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topLinePunct/>
        <w:spacing w:before="240" w:beforeLines="100" w:line="360" w:lineRule="auto"/>
        <w:jc w:val="left"/>
        <w:rPr>
          <w:rFonts w:hAnsi="宋体"/>
          <w:b/>
          <w:bCs/>
          <w:sz w:val="36"/>
          <w:szCs w:val="36"/>
          <w:highlight w:val="none"/>
        </w:rPr>
      </w:pPr>
      <w:r>
        <w:rPr>
          <w:rFonts w:hint="eastAsia" w:hAnsi="宋体"/>
          <w:b/>
          <w:bCs/>
          <w:sz w:val="36"/>
          <w:szCs w:val="36"/>
          <w:highlight w:val="none"/>
        </w:rPr>
        <w:t>项目编号：510101202100354</w:t>
      </w:r>
      <w:r>
        <w:rPr>
          <w:rFonts w:hint="eastAsia" w:hAnsi="宋体"/>
          <w:b/>
          <w:bCs/>
          <w:sz w:val="36"/>
          <w:szCs w:val="36"/>
          <w:highlight w:val="none"/>
        </w:rPr>
        <w:tab/>
      </w:r>
    </w:p>
    <w:p>
      <w:pPr>
        <w:wordWrap w:val="0"/>
        <w:topLinePunct/>
        <w:spacing w:line="360" w:lineRule="auto"/>
        <w:jc w:val="left"/>
        <w:rPr>
          <w:rFonts w:hAnsi="宋体"/>
          <w:b/>
          <w:bCs/>
          <w:sz w:val="36"/>
          <w:szCs w:val="36"/>
          <w:highlight w:val="none"/>
        </w:rPr>
      </w:pPr>
      <w:r>
        <w:rPr>
          <w:rFonts w:hint="eastAsia" w:hAnsi="宋体"/>
          <w:b/>
          <w:bCs/>
          <w:sz w:val="36"/>
          <w:szCs w:val="36"/>
          <w:highlight w:val="none"/>
        </w:rPr>
        <w:t>内部编号：ZCQXZB-2021-0249X</w:t>
      </w:r>
    </w:p>
    <w:p>
      <w:pPr>
        <w:widowControl/>
        <w:shd w:val="clear" w:color="auto" w:fill="FFFFFF"/>
        <w:spacing w:line="360" w:lineRule="auto"/>
        <w:rPr>
          <w:rFonts w:hAnsi="宋体"/>
          <w:b/>
          <w:bCs/>
          <w:sz w:val="36"/>
          <w:szCs w:val="36"/>
          <w:highlight w:val="none"/>
        </w:rPr>
      </w:pPr>
      <w:r>
        <w:rPr>
          <w:rFonts w:hint="eastAsia" w:hAnsi="宋体"/>
          <w:b/>
          <w:bCs/>
          <w:sz w:val="36"/>
          <w:szCs w:val="36"/>
          <w:highlight w:val="none"/>
        </w:rPr>
        <w:t>项目名称：成都市城市管理委员会2021年《中国建设报》城市管理宣传服务采购项目</w:t>
      </w:r>
    </w:p>
    <w:p>
      <w:pPr>
        <w:pStyle w:val="10"/>
        <w:wordWrap w:val="0"/>
        <w:topLinePunct/>
        <w:rPr>
          <w:rFonts w:hAnsi="宋体"/>
          <w:highlight w:val="none"/>
        </w:rPr>
      </w:pPr>
    </w:p>
    <w:p>
      <w:pPr>
        <w:wordWrap w:val="0"/>
        <w:topLinePunct/>
        <w:jc w:val="center"/>
        <w:rPr>
          <w:rFonts w:hAnsi="宋体"/>
          <w:b/>
          <w:bCs/>
          <w:sz w:val="24"/>
          <w:szCs w:val="24"/>
          <w:highlight w:val="none"/>
        </w:rPr>
      </w:pPr>
    </w:p>
    <w:p>
      <w:pPr>
        <w:wordWrap w:val="0"/>
        <w:topLinePunct/>
        <w:jc w:val="center"/>
        <w:rPr>
          <w:rFonts w:hAnsi="宋体"/>
          <w:b/>
          <w:bCs/>
          <w:sz w:val="24"/>
          <w:szCs w:val="24"/>
          <w:highlight w:val="none"/>
        </w:rPr>
      </w:pPr>
    </w:p>
    <w:p>
      <w:pPr>
        <w:wordWrap w:val="0"/>
        <w:topLinePunct/>
        <w:jc w:val="center"/>
        <w:rPr>
          <w:rFonts w:hAnsi="宋体"/>
          <w:b/>
          <w:bCs/>
          <w:sz w:val="84"/>
          <w:szCs w:val="84"/>
          <w:highlight w:val="none"/>
        </w:rPr>
      </w:pPr>
    </w:p>
    <w:p>
      <w:pPr>
        <w:wordWrap w:val="0"/>
        <w:topLinePunct/>
        <w:jc w:val="center"/>
        <w:rPr>
          <w:rFonts w:hAnsi="宋体"/>
          <w:b/>
          <w:bCs/>
          <w:sz w:val="84"/>
          <w:szCs w:val="84"/>
          <w:highlight w:val="none"/>
        </w:rPr>
      </w:pPr>
    </w:p>
    <w:p>
      <w:pPr>
        <w:wordWrap w:val="0"/>
        <w:topLinePunct/>
        <w:spacing w:before="240" w:beforeLines="100" w:after="240" w:afterLines="100"/>
        <w:jc w:val="center"/>
        <w:rPr>
          <w:rFonts w:hAnsi="宋体"/>
          <w:b/>
          <w:bCs/>
          <w:sz w:val="72"/>
          <w:szCs w:val="72"/>
          <w:highlight w:val="none"/>
        </w:rPr>
      </w:pPr>
      <w:r>
        <w:rPr>
          <w:rFonts w:hint="eastAsia" w:hAnsi="宋体"/>
          <w:b/>
          <w:bCs/>
          <w:sz w:val="84"/>
          <w:szCs w:val="84"/>
          <w:highlight w:val="none"/>
        </w:rPr>
        <w:t>单一来源采购文件</w:t>
      </w:r>
    </w:p>
    <w:p>
      <w:pPr>
        <w:wordWrap w:val="0"/>
        <w:topLinePunct/>
        <w:jc w:val="center"/>
        <w:rPr>
          <w:rFonts w:hAnsi="宋体"/>
          <w:b/>
          <w:bCs/>
          <w:sz w:val="24"/>
          <w:szCs w:val="24"/>
          <w:highlight w:val="none"/>
        </w:rPr>
      </w:pPr>
    </w:p>
    <w:p>
      <w:pPr>
        <w:wordWrap w:val="0"/>
        <w:topLinePunct/>
        <w:spacing w:line="360" w:lineRule="auto"/>
        <w:jc w:val="center"/>
        <w:rPr>
          <w:rFonts w:hAnsi="宋体"/>
          <w:b/>
          <w:bCs/>
          <w:sz w:val="24"/>
          <w:szCs w:val="24"/>
          <w:highlight w:val="none"/>
        </w:rPr>
      </w:pPr>
    </w:p>
    <w:p>
      <w:pPr>
        <w:wordWrap w:val="0"/>
        <w:topLinePunct/>
        <w:spacing w:line="360" w:lineRule="auto"/>
        <w:jc w:val="center"/>
        <w:rPr>
          <w:rFonts w:hAnsi="宋体"/>
          <w:b/>
          <w:bCs/>
          <w:sz w:val="24"/>
          <w:szCs w:val="24"/>
          <w:highlight w:val="none"/>
        </w:rPr>
      </w:pPr>
    </w:p>
    <w:p>
      <w:pPr>
        <w:wordWrap w:val="0"/>
        <w:topLinePunct/>
        <w:spacing w:line="360" w:lineRule="auto"/>
        <w:jc w:val="center"/>
        <w:rPr>
          <w:rFonts w:hAnsi="宋体"/>
          <w:b/>
          <w:bCs/>
          <w:sz w:val="24"/>
          <w:szCs w:val="24"/>
          <w:highlight w:val="none"/>
        </w:rPr>
      </w:pPr>
    </w:p>
    <w:p>
      <w:pPr>
        <w:wordWrap w:val="0"/>
        <w:topLinePunct/>
        <w:spacing w:line="360" w:lineRule="auto"/>
        <w:jc w:val="center"/>
        <w:rPr>
          <w:rFonts w:hAnsi="宋体"/>
          <w:b/>
          <w:bCs/>
          <w:sz w:val="24"/>
          <w:szCs w:val="24"/>
          <w:highlight w:val="none"/>
        </w:rPr>
      </w:pPr>
    </w:p>
    <w:p>
      <w:pPr>
        <w:wordWrap w:val="0"/>
        <w:topLinePunct/>
        <w:spacing w:line="360" w:lineRule="auto"/>
        <w:rPr>
          <w:rFonts w:hAnsi="宋体"/>
          <w:b/>
          <w:bCs/>
          <w:sz w:val="32"/>
          <w:szCs w:val="32"/>
          <w:highlight w:val="none"/>
        </w:rPr>
      </w:pPr>
    </w:p>
    <w:p>
      <w:pPr>
        <w:wordWrap w:val="0"/>
        <w:topLinePunct/>
        <w:spacing w:line="480" w:lineRule="auto"/>
        <w:jc w:val="center"/>
        <w:rPr>
          <w:rFonts w:hAnsi="宋体"/>
          <w:b/>
          <w:bCs/>
          <w:sz w:val="28"/>
          <w:szCs w:val="28"/>
          <w:highlight w:val="none"/>
        </w:rPr>
      </w:pPr>
      <w:r>
        <w:rPr>
          <w:rFonts w:hint="eastAsia" w:hAnsi="宋体"/>
          <w:b/>
          <w:bCs/>
          <w:sz w:val="28"/>
          <w:szCs w:val="28"/>
          <w:highlight w:val="none"/>
        </w:rPr>
        <w:t>中国·四川</w:t>
      </w:r>
    </w:p>
    <w:p>
      <w:pPr>
        <w:wordWrap w:val="0"/>
        <w:topLinePunct/>
        <w:spacing w:line="360" w:lineRule="auto"/>
        <w:ind w:left="2720" w:leftChars="800"/>
        <w:rPr>
          <w:rFonts w:hAnsi="宋体"/>
          <w:b/>
          <w:bCs/>
          <w:sz w:val="28"/>
          <w:szCs w:val="28"/>
          <w:highlight w:val="none"/>
        </w:rPr>
      </w:pPr>
      <w:r>
        <w:rPr>
          <w:rFonts w:hint="eastAsia" w:hAnsi="宋体"/>
          <w:b/>
          <w:bCs/>
          <w:sz w:val="28"/>
          <w:szCs w:val="28"/>
          <w:highlight w:val="none"/>
        </w:rPr>
        <w:t xml:space="preserve">采   购   人：成都市城市管理委员会 </w:t>
      </w:r>
    </w:p>
    <w:p>
      <w:pPr>
        <w:wordWrap w:val="0"/>
        <w:topLinePunct/>
        <w:spacing w:line="360" w:lineRule="auto"/>
        <w:ind w:left="2720" w:leftChars="800"/>
        <w:rPr>
          <w:rFonts w:hAnsi="宋体"/>
          <w:b/>
          <w:bCs/>
          <w:sz w:val="28"/>
          <w:szCs w:val="28"/>
          <w:highlight w:val="none"/>
        </w:rPr>
      </w:pPr>
      <w:r>
        <w:rPr>
          <w:rFonts w:hint="eastAsia" w:hAnsi="宋体"/>
          <w:b/>
          <w:bCs/>
          <w:sz w:val="28"/>
          <w:szCs w:val="28"/>
          <w:highlight w:val="none"/>
        </w:rPr>
        <w:t>采购代理机构：四川乾新招投标代理有限公司</w:t>
      </w:r>
    </w:p>
    <w:p>
      <w:pPr>
        <w:wordWrap w:val="0"/>
        <w:topLinePunct/>
        <w:spacing w:line="360" w:lineRule="auto"/>
        <w:ind w:left="2720" w:leftChars="800"/>
        <w:rPr>
          <w:rFonts w:hAnsi="宋体"/>
          <w:b/>
          <w:bCs/>
          <w:sz w:val="28"/>
          <w:szCs w:val="28"/>
          <w:highlight w:val="none"/>
        </w:rPr>
      </w:pPr>
      <w:r>
        <w:rPr>
          <w:rFonts w:hint="eastAsia" w:hAnsi="宋体"/>
          <w:b/>
          <w:bCs/>
          <w:sz w:val="28"/>
          <w:szCs w:val="28"/>
          <w:highlight w:val="none"/>
        </w:rPr>
        <w:t>编  制 单 位：采购人和采购代理机构共同编制</w:t>
      </w:r>
    </w:p>
    <w:p>
      <w:pPr>
        <w:wordWrap w:val="0"/>
        <w:topLinePunct/>
        <w:jc w:val="center"/>
        <w:rPr>
          <w:rFonts w:hAnsi="宋体"/>
          <w:b/>
          <w:bCs/>
          <w:sz w:val="32"/>
          <w:szCs w:val="32"/>
          <w:highlight w:val="none"/>
        </w:rPr>
        <w:sectPr>
          <w:headerReference r:id="rId4" w:type="first"/>
          <w:footerReference r:id="rId5" w:type="first"/>
          <w:headerReference r:id="rId3" w:type="default"/>
          <w:pgSz w:w="11907" w:h="16840"/>
          <w:pgMar w:top="1440" w:right="1083" w:bottom="1440" w:left="1083" w:header="811" w:footer="992" w:gutter="0"/>
          <w:pgNumType w:start="1"/>
          <w:cols w:space="0" w:num="1"/>
          <w:titlePg/>
        </w:sectPr>
      </w:pPr>
      <w:r>
        <w:rPr>
          <w:rFonts w:hint="eastAsia" w:hAnsi="宋体"/>
          <w:b/>
          <w:bCs/>
          <w:sz w:val="28"/>
          <w:szCs w:val="28"/>
          <w:highlight w:val="none"/>
        </w:rPr>
        <w:t>2021年</w:t>
      </w:r>
      <w:r>
        <w:rPr>
          <w:rFonts w:hint="eastAsia" w:hAnsi="宋体"/>
          <w:b/>
          <w:bCs/>
          <w:sz w:val="28"/>
          <w:szCs w:val="28"/>
          <w:highlight w:val="none"/>
          <w:lang w:val="en-US" w:eastAsia="zh-CN"/>
        </w:rPr>
        <w:t>5</w:t>
      </w:r>
      <w:r>
        <w:rPr>
          <w:rFonts w:hint="eastAsia" w:hAnsi="宋体"/>
          <w:b/>
          <w:bCs/>
          <w:sz w:val="28"/>
          <w:szCs w:val="28"/>
          <w:highlight w:val="none"/>
        </w:rPr>
        <w:t>月</w:t>
      </w:r>
    </w:p>
    <w:p>
      <w:pPr>
        <w:pStyle w:val="55"/>
        <w:adjustRightInd w:val="0"/>
        <w:snapToGrid w:val="0"/>
        <w:spacing w:line="440" w:lineRule="exact"/>
        <w:ind w:firstLine="803" w:firstLineChars="200"/>
        <w:jc w:val="center"/>
        <w:rPr>
          <w:b/>
          <w:bCs/>
          <w:sz w:val="40"/>
          <w:szCs w:val="40"/>
          <w:highlight w:val="none"/>
        </w:rPr>
      </w:pPr>
      <w:bookmarkStart w:id="0" w:name="_Toc502651262"/>
      <w:bookmarkStart w:id="1" w:name="_Toc452473646"/>
      <w:bookmarkStart w:id="2" w:name="_Toc372620750"/>
      <w:bookmarkStart w:id="3" w:name="_Toc373139265"/>
      <w:bookmarkStart w:id="4" w:name="_Toc371958974"/>
      <w:bookmarkStart w:id="5" w:name="_Toc336690878"/>
      <w:r>
        <w:rPr>
          <w:rFonts w:hint="eastAsia"/>
          <w:b/>
          <w:bCs/>
          <w:sz w:val="40"/>
          <w:szCs w:val="40"/>
          <w:highlight w:val="none"/>
        </w:rPr>
        <w:t>政府采购阳光宣言</w:t>
      </w:r>
      <w:bookmarkEnd w:id="0"/>
      <w:bookmarkEnd w:id="1"/>
    </w:p>
    <w:p>
      <w:pPr>
        <w:pStyle w:val="55"/>
        <w:adjustRightInd w:val="0"/>
        <w:snapToGrid w:val="0"/>
        <w:spacing w:line="440" w:lineRule="exact"/>
        <w:ind w:firstLine="480" w:firstLineChars="200"/>
        <w:jc w:val="left"/>
        <w:rPr>
          <w:sz w:val="24"/>
          <w:szCs w:val="24"/>
          <w:highlight w:val="none"/>
        </w:rPr>
      </w:pPr>
      <w:r>
        <w:rPr>
          <w:rFonts w:hint="eastAsia"/>
          <w:sz w:val="24"/>
          <w:szCs w:val="24"/>
          <w:highlight w:val="none"/>
        </w:rPr>
        <w:t>四川乾新践行公平竞争、诚信的核心价值观，诚信于股东、诚信于服务对象、诚信于员工、诚信于社会。</w:t>
      </w:r>
    </w:p>
    <w:p>
      <w:pPr>
        <w:pStyle w:val="55"/>
        <w:adjustRightInd w:val="0"/>
        <w:snapToGrid w:val="0"/>
        <w:spacing w:line="440" w:lineRule="exact"/>
        <w:ind w:firstLine="480" w:firstLineChars="200"/>
        <w:jc w:val="left"/>
        <w:rPr>
          <w:sz w:val="24"/>
          <w:szCs w:val="24"/>
          <w:highlight w:val="none"/>
        </w:rPr>
      </w:pPr>
      <w:r>
        <w:rPr>
          <w:rFonts w:hint="eastAsia"/>
          <w:sz w:val="24"/>
          <w:szCs w:val="24"/>
          <w:highlight w:val="none"/>
        </w:rPr>
        <w:t>四川乾新全体员工严格遵守《乾新十戒》和《员工廉洁从业规定》，遵纪守法，强化自律，廉洁从业，规范经营。</w:t>
      </w:r>
    </w:p>
    <w:p>
      <w:pPr>
        <w:pStyle w:val="55"/>
        <w:adjustRightInd w:val="0"/>
        <w:snapToGrid w:val="0"/>
        <w:spacing w:line="440" w:lineRule="exact"/>
        <w:ind w:firstLine="480" w:firstLineChars="200"/>
        <w:jc w:val="left"/>
        <w:rPr>
          <w:sz w:val="24"/>
          <w:szCs w:val="24"/>
          <w:highlight w:val="none"/>
        </w:rPr>
      </w:pPr>
      <w:r>
        <w:rPr>
          <w:rFonts w:hint="eastAsia"/>
          <w:sz w:val="24"/>
          <w:szCs w:val="24"/>
          <w:highlight w:val="none"/>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55"/>
        <w:adjustRightInd w:val="0"/>
        <w:snapToGrid w:val="0"/>
        <w:spacing w:line="440" w:lineRule="exact"/>
        <w:ind w:firstLine="480" w:firstLineChars="200"/>
        <w:jc w:val="left"/>
        <w:rPr>
          <w:sz w:val="24"/>
          <w:szCs w:val="24"/>
          <w:highlight w:val="none"/>
        </w:rPr>
      </w:pPr>
      <w:r>
        <w:rPr>
          <w:rFonts w:hint="eastAsia"/>
          <w:sz w:val="24"/>
          <w:szCs w:val="24"/>
          <w:highlight w:val="none"/>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p>
    <w:p>
      <w:pPr>
        <w:pStyle w:val="56"/>
        <w:spacing w:line="440" w:lineRule="exact"/>
        <w:ind w:firstLine="480"/>
        <w:jc w:val="left"/>
        <w:rPr>
          <w:sz w:val="24"/>
          <w:szCs w:val="24"/>
          <w:highlight w:val="none"/>
        </w:rPr>
      </w:pPr>
      <w:r>
        <w:rPr>
          <w:rFonts w:hint="eastAsia"/>
          <w:sz w:val="24"/>
          <w:szCs w:val="24"/>
          <w:highlight w:val="none"/>
        </w:rPr>
        <w:t>四川乾新不以向采购人及其亲属提供任何个人利益的方式谋求合作关系；</w:t>
      </w:r>
    </w:p>
    <w:p>
      <w:pPr>
        <w:pStyle w:val="56"/>
        <w:spacing w:line="440" w:lineRule="exact"/>
        <w:ind w:firstLine="480"/>
        <w:jc w:val="left"/>
        <w:rPr>
          <w:sz w:val="24"/>
          <w:szCs w:val="24"/>
          <w:highlight w:val="none"/>
        </w:rPr>
      </w:pPr>
      <w:r>
        <w:rPr>
          <w:rFonts w:hint="eastAsia"/>
          <w:sz w:val="24"/>
          <w:szCs w:val="24"/>
          <w:highlight w:val="none"/>
        </w:rPr>
        <w:t>四川乾新不迷信任何实际存在的或虚构的所谓关系；</w:t>
      </w:r>
    </w:p>
    <w:p>
      <w:pPr>
        <w:pStyle w:val="56"/>
        <w:spacing w:line="440" w:lineRule="exact"/>
        <w:ind w:firstLine="480"/>
        <w:jc w:val="left"/>
        <w:rPr>
          <w:sz w:val="24"/>
          <w:szCs w:val="24"/>
          <w:highlight w:val="none"/>
        </w:rPr>
      </w:pPr>
      <w:r>
        <w:rPr>
          <w:rFonts w:hint="eastAsia"/>
          <w:sz w:val="24"/>
          <w:szCs w:val="24"/>
          <w:highlight w:val="none"/>
        </w:rPr>
        <w:t>四川乾新不采取恶性竞争等不正当手段竞争业务；</w:t>
      </w:r>
    </w:p>
    <w:p>
      <w:pPr>
        <w:pStyle w:val="56"/>
        <w:spacing w:line="440" w:lineRule="exact"/>
        <w:ind w:firstLine="480"/>
        <w:jc w:val="left"/>
        <w:rPr>
          <w:sz w:val="24"/>
          <w:szCs w:val="24"/>
          <w:highlight w:val="none"/>
        </w:rPr>
      </w:pPr>
      <w:r>
        <w:rPr>
          <w:rFonts w:hint="eastAsia"/>
          <w:sz w:val="24"/>
          <w:szCs w:val="24"/>
          <w:highlight w:val="none"/>
        </w:rPr>
        <w:t>四川乾新不向采购人提供好处费、回扣、现金及有价证券、支付凭证、贵重礼物；</w:t>
      </w:r>
    </w:p>
    <w:p>
      <w:pPr>
        <w:pStyle w:val="56"/>
        <w:spacing w:line="440" w:lineRule="exact"/>
        <w:ind w:firstLine="480"/>
        <w:jc w:val="left"/>
        <w:rPr>
          <w:sz w:val="24"/>
          <w:szCs w:val="24"/>
          <w:highlight w:val="none"/>
        </w:rPr>
      </w:pPr>
      <w:r>
        <w:rPr>
          <w:rFonts w:hint="eastAsia"/>
          <w:sz w:val="24"/>
          <w:szCs w:val="24"/>
          <w:highlight w:val="none"/>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56"/>
        <w:spacing w:line="440" w:lineRule="exact"/>
        <w:ind w:firstLine="480"/>
        <w:jc w:val="left"/>
        <w:rPr>
          <w:sz w:val="24"/>
          <w:szCs w:val="24"/>
          <w:highlight w:val="none"/>
        </w:rPr>
      </w:pPr>
      <w:r>
        <w:rPr>
          <w:rFonts w:hint="eastAsia"/>
          <w:sz w:val="24"/>
          <w:szCs w:val="24"/>
          <w:highlight w:val="none"/>
        </w:rPr>
        <w:t>供应商在参与项目时公平竞争，充分发挥市场主体作用，降低采购成本，节约采购资金；</w:t>
      </w:r>
    </w:p>
    <w:p>
      <w:pPr>
        <w:pStyle w:val="56"/>
        <w:spacing w:line="440" w:lineRule="exact"/>
        <w:ind w:firstLine="480"/>
        <w:jc w:val="left"/>
        <w:rPr>
          <w:sz w:val="24"/>
          <w:szCs w:val="24"/>
          <w:highlight w:val="none"/>
        </w:rPr>
      </w:pPr>
      <w:r>
        <w:rPr>
          <w:rFonts w:hint="eastAsia"/>
          <w:sz w:val="24"/>
          <w:szCs w:val="24"/>
          <w:highlight w:val="none"/>
        </w:rPr>
        <w:t>四川乾新不与采购人、供应商串通投标；</w:t>
      </w:r>
    </w:p>
    <w:p>
      <w:pPr>
        <w:pStyle w:val="56"/>
        <w:spacing w:line="440" w:lineRule="exact"/>
        <w:ind w:firstLine="480"/>
        <w:jc w:val="left"/>
        <w:rPr>
          <w:sz w:val="24"/>
          <w:szCs w:val="24"/>
          <w:highlight w:val="none"/>
        </w:rPr>
      </w:pPr>
      <w:r>
        <w:rPr>
          <w:rFonts w:hint="eastAsia"/>
          <w:sz w:val="24"/>
          <w:szCs w:val="24"/>
          <w:highlight w:val="none"/>
        </w:rPr>
        <w:t>四川乾新、采购人不与供应商就标底、其他单位的投标书等商业秘密及合同中的质量、价格、验收等条款进行私下商谈或者达成默契；</w:t>
      </w:r>
    </w:p>
    <w:p>
      <w:pPr>
        <w:pStyle w:val="56"/>
        <w:spacing w:line="440" w:lineRule="exact"/>
        <w:ind w:firstLine="480"/>
        <w:jc w:val="left"/>
        <w:rPr>
          <w:sz w:val="24"/>
          <w:szCs w:val="24"/>
          <w:highlight w:val="none"/>
        </w:rPr>
      </w:pPr>
      <w:r>
        <w:rPr>
          <w:rFonts w:hint="eastAsia"/>
          <w:sz w:val="24"/>
          <w:szCs w:val="24"/>
          <w:highlight w:val="none"/>
        </w:rPr>
        <w:t>四川乾新坚决杜绝以下行为：①乾新员工有行贿倾向、建议等行为；②乾新员工有索贿、受贿等行为。</w:t>
      </w:r>
    </w:p>
    <w:p>
      <w:pPr>
        <w:pStyle w:val="55"/>
        <w:adjustRightInd w:val="0"/>
        <w:snapToGrid w:val="0"/>
        <w:spacing w:line="440" w:lineRule="exact"/>
        <w:ind w:firstLine="480" w:firstLineChars="200"/>
        <w:jc w:val="left"/>
        <w:rPr>
          <w:sz w:val="24"/>
          <w:szCs w:val="24"/>
          <w:highlight w:val="none"/>
        </w:rPr>
      </w:pPr>
      <w:r>
        <w:rPr>
          <w:rFonts w:hint="eastAsia"/>
          <w:sz w:val="24"/>
          <w:szCs w:val="24"/>
          <w:highlight w:val="none"/>
        </w:rPr>
        <w:t>如出现违反宣言的行为，请及时向四川乾新监察部投诉或举报，经核查属实的，严格按照公司规定处理，涉及违法违纪的将追究相关法律责任。请各采购人及供应商积极宣传本宣言，了解并自觉践行宣言，共同营造廉洁、公正、诚实信用的政采环境，共同推动政府采购阳光公开。</w:t>
      </w:r>
    </w:p>
    <w:p>
      <w:pPr>
        <w:pStyle w:val="55"/>
        <w:adjustRightInd w:val="0"/>
        <w:snapToGrid w:val="0"/>
        <w:spacing w:line="440" w:lineRule="exact"/>
        <w:ind w:firstLine="480" w:firstLineChars="200"/>
        <w:jc w:val="left"/>
        <w:rPr>
          <w:sz w:val="24"/>
          <w:szCs w:val="24"/>
          <w:highlight w:val="none"/>
        </w:rPr>
      </w:pPr>
      <w:r>
        <w:rPr>
          <w:rFonts w:hint="eastAsia"/>
          <w:sz w:val="24"/>
          <w:szCs w:val="24"/>
          <w:highlight w:val="none"/>
        </w:rPr>
        <w:t>监察部投诉及举报邮箱：scqxzb_shl@163.com</w:t>
      </w:r>
    </w:p>
    <w:p>
      <w:pPr>
        <w:wordWrap w:val="0"/>
        <w:topLinePunct/>
        <w:spacing w:line="440" w:lineRule="exact"/>
        <w:ind w:firstLine="480" w:firstLineChars="200"/>
        <w:jc w:val="left"/>
        <w:rPr>
          <w:sz w:val="24"/>
          <w:szCs w:val="24"/>
          <w:highlight w:val="none"/>
        </w:rPr>
      </w:pPr>
      <w:r>
        <w:rPr>
          <w:rFonts w:hint="eastAsia"/>
          <w:sz w:val="24"/>
          <w:szCs w:val="24"/>
          <w:highlight w:val="none"/>
        </w:rPr>
        <w:t>监察部投诉及举报电话：028-62630990</w:t>
      </w:r>
      <w:bookmarkEnd w:id="2"/>
      <w:bookmarkEnd w:id="3"/>
      <w:bookmarkEnd w:id="4"/>
      <w:bookmarkEnd w:id="5"/>
    </w:p>
    <w:p>
      <w:pPr>
        <w:wordWrap w:val="0"/>
        <w:topLinePunct/>
        <w:jc w:val="center"/>
        <w:rPr>
          <w:rFonts w:hAnsi="宋体"/>
          <w:sz w:val="28"/>
          <w:szCs w:val="28"/>
          <w:highlight w:val="none"/>
        </w:rPr>
      </w:pPr>
      <w:r>
        <w:rPr>
          <w:rFonts w:hint="eastAsia" w:hAnsi="宋体"/>
          <w:sz w:val="28"/>
          <w:szCs w:val="28"/>
          <w:highlight w:val="none"/>
        </w:rPr>
        <w:t>目 录</w:t>
      </w:r>
    </w:p>
    <w:p>
      <w:pPr>
        <w:pStyle w:val="19"/>
        <w:tabs>
          <w:tab w:val="right" w:leader="dot" w:pos="9741"/>
        </w:tabs>
        <w:rPr>
          <w:highlight w:val="none"/>
        </w:rPr>
      </w:pPr>
      <w:r>
        <w:rPr>
          <w:rFonts w:hint="eastAsia"/>
          <w:szCs w:val="21"/>
          <w:highlight w:val="none"/>
        </w:rPr>
        <w:fldChar w:fldCharType="begin"/>
      </w:r>
      <w:r>
        <w:rPr>
          <w:rFonts w:hint="eastAsia"/>
          <w:szCs w:val="21"/>
          <w:highlight w:val="none"/>
        </w:rPr>
        <w:instrText xml:space="preserve">TOC \o "1-3" \h \u </w:instrText>
      </w:r>
      <w:r>
        <w:rPr>
          <w:rFonts w:hint="eastAsia"/>
          <w:szCs w:val="21"/>
          <w:highlight w:val="none"/>
        </w:rPr>
        <w:fldChar w:fldCharType="separate"/>
      </w:r>
      <w:r>
        <w:rPr>
          <w:rFonts w:hint="eastAsia"/>
          <w:szCs w:val="21"/>
          <w:highlight w:val="none"/>
        </w:rPr>
        <w:fldChar w:fldCharType="begin"/>
      </w:r>
      <w:r>
        <w:rPr>
          <w:rFonts w:hint="eastAsia"/>
          <w:szCs w:val="21"/>
          <w:highlight w:val="none"/>
        </w:rPr>
        <w:instrText xml:space="preserve"> HYPERLINK \l _Toc4024 </w:instrText>
      </w:r>
      <w:r>
        <w:rPr>
          <w:rFonts w:hint="eastAsia"/>
          <w:szCs w:val="21"/>
          <w:highlight w:val="none"/>
        </w:rPr>
        <w:fldChar w:fldCharType="separate"/>
      </w:r>
      <w:r>
        <w:rPr>
          <w:rFonts w:hint="eastAsia"/>
          <w:highlight w:val="none"/>
        </w:rPr>
        <w:t>第一章 单一来源采购邀请</w:t>
      </w:r>
      <w:r>
        <w:rPr>
          <w:highlight w:val="none"/>
        </w:rPr>
        <w:tab/>
      </w:r>
      <w:r>
        <w:rPr>
          <w:highlight w:val="none"/>
        </w:rPr>
        <w:fldChar w:fldCharType="begin"/>
      </w:r>
      <w:r>
        <w:rPr>
          <w:highlight w:val="none"/>
        </w:rPr>
        <w:instrText xml:space="preserve"> PAGEREF _Toc4024 \h </w:instrText>
      </w:r>
      <w:r>
        <w:rPr>
          <w:highlight w:val="none"/>
        </w:rPr>
        <w:fldChar w:fldCharType="separate"/>
      </w:r>
      <w:r>
        <w:rPr>
          <w:highlight w:val="none"/>
        </w:rPr>
        <w:t>1</w:t>
      </w:r>
      <w:r>
        <w:rPr>
          <w:highlight w:val="none"/>
        </w:rPr>
        <w:fldChar w:fldCharType="end"/>
      </w:r>
      <w:r>
        <w:rPr>
          <w:rFonts w:hint="eastAsia"/>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_Toc13645 </w:instrText>
      </w:r>
      <w:r>
        <w:rPr>
          <w:rFonts w:hint="eastAsia" w:hAnsi="宋体"/>
          <w:szCs w:val="21"/>
          <w:highlight w:val="none"/>
        </w:rPr>
        <w:fldChar w:fldCharType="separate"/>
      </w:r>
      <w:r>
        <w:rPr>
          <w:rFonts w:hint="eastAsia"/>
          <w:highlight w:val="none"/>
        </w:rPr>
        <w:t>一、项目概述</w:t>
      </w:r>
      <w:r>
        <w:rPr>
          <w:highlight w:val="none"/>
        </w:rPr>
        <w:tab/>
      </w:r>
      <w:r>
        <w:rPr>
          <w:highlight w:val="none"/>
        </w:rPr>
        <w:fldChar w:fldCharType="begin"/>
      </w:r>
      <w:r>
        <w:rPr>
          <w:highlight w:val="none"/>
        </w:rPr>
        <w:instrText xml:space="preserve"> PAGEREF _Toc13645 \h </w:instrText>
      </w:r>
      <w:r>
        <w:rPr>
          <w:highlight w:val="none"/>
        </w:rPr>
        <w:fldChar w:fldCharType="separate"/>
      </w:r>
      <w:r>
        <w:rPr>
          <w:highlight w:val="none"/>
        </w:rPr>
        <w:t>1</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_Toc518 </w:instrText>
      </w:r>
      <w:r>
        <w:rPr>
          <w:rFonts w:hint="eastAsia" w:hAnsi="宋体"/>
          <w:szCs w:val="21"/>
          <w:highlight w:val="none"/>
        </w:rPr>
        <w:fldChar w:fldCharType="separate"/>
      </w:r>
      <w:r>
        <w:rPr>
          <w:rFonts w:hint="eastAsia"/>
          <w:highlight w:val="none"/>
        </w:rPr>
        <w:t>二、供应商参加本次政府采购活动应具备以下条件</w:t>
      </w:r>
      <w:r>
        <w:rPr>
          <w:highlight w:val="none"/>
        </w:rPr>
        <w:tab/>
      </w:r>
      <w:r>
        <w:rPr>
          <w:highlight w:val="none"/>
        </w:rPr>
        <w:fldChar w:fldCharType="begin"/>
      </w:r>
      <w:r>
        <w:rPr>
          <w:highlight w:val="none"/>
        </w:rPr>
        <w:instrText xml:space="preserve"> PAGEREF _Toc518 \h </w:instrText>
      </w:r>
      <w:r>
        <w:rPr>
          <w:highlight w:val="none"/>
        </w:rPr>
        <w:fldChar w:fldCharType="separate"/>
      </w:r>
      <w:r>
        <w:rPr>
          <w:highlight w:val="none"/>
        </w:rPr>
        <w:t>1</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_Toc3232 </w:instrText>
      </w:r>
      <w:r>
        <w:rPr>
          <w:rFonts w:hint="eastAsia" w:hAnsi="宋体"/>
          <w:szCs w:val="21"/>
          <w:highlight w:val="none"/>
        </w:rPr>
        <w:fldChar w:fldCharType="separate"/>
      </w:r>
      <w:r>
        <w:rPr>
          <w:rFonts w:hint="eastAsia"/>
          <w:highlight w:val="none"/>
        </w:rPr>
        <w:t>三、获取单一来源采购文件的时间期限、地点、方式及单一来源采购文件售价</w:t>
      </w:r>
      <w:r>
        <w:rPr>
          <w:highlight w:val="none"/>
        </w:rPr>
        <w:tab/>
      </w:r>
      <w:r>
        <w:rPr>
          <w:highlight w:val="none"/>
        </w:rPr>
        <w:fldChar w:fldCharType="begin"/>
      </w:r>
      <w:r>
        <w:rPr>
          <w:highlight w:val="none"/>
        </w:rPr>
        <w:instrText xml:space="preserve"> PAGEREF _Toc3232 \h </w:instrText>
      </w:r>
      <w:r>
        <w:rPr>
          <w:highlight w:val="none"/>
        </w:rPr>
        <w:fldChar w:fldCharType="separate"/>
      </w:r>
      <w:r>
        <w:rPr>
          <w:highlight w:val="none"/>
        </w:rPr>
        <w:t>1</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_Toc24303 </w:instrText>
      </w:r>
      <w:r>
        <w:rPr>
          <w:rFonts w:hint="eastAsia" w:hAnsi="宋体"/>
          <w:szCs w:val="21"/>
          <w:highlight w:val="none"/>
        </w:rPr>
        <w:fldChar w:fldCharType="separate"/>
      </w:r>
      <w:r>
        <w:rPr>
          <w:rFonts w:hint="eastAsia"/>
          <w:highlight w:val="none"/>
        </w:rPr>
        <w:t>四、响应文件的递交</w:t>
      </w:r>
      <w:r>
        <w:rPr>
          <w:highlight w:val="none"/>
        </w:rPr>
        <w:tab/>
      </w:r>
      <w:r>
        <w:rPr>
          <w:highlight w:val="none"/>
        </w:rPr>
        <w:fldChar w:fldCharType="begin"/>
      </w:r>
      <w:r>
        <w:rPr>
          <w:highlight w:val="none"/>
        </w:rPr>
        <w:instrText xml:space="preserve"> PAGEREF _Toc24303 \h </w:instrText>
      </w:r>
      <w:r>
        <w:rPr>
          <w:highlight w:val="none"/>
        </w:rPr>
        <w:fldChar w:fldCharType="separate"/>
      </w:r>
      <w:r>
        <w:rPr>
          <w:highlight w:val="none"/>
        </w:rPr>
        <w:t>2</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_Toc1117 </w:instrText>
      </w:r>
      <w:r>
        <w:rPr>
          <w:rFonts w:hint="eastAsia" w:hAnsi="宋体"/>
          <w:szCs w:val="21"/>
          <w:highlight w:val="none"/>
        </w:rPr>
        <w:fldChar w:fldCharType="separate"/>
      </w:r>
      <w:r>
        <w:rPr>
          <w:rFonts w:hint="eastAsia"/>
          <w:highlight w:val="none"/>
        </w:rPr>
        <w:t>五、 协商时间及地点</w:t>
      </w:r>
      <w:r>
        <w:rPr>
          <w:highlight w:val="none"/>
        </w:rPr>
        <w:tab/>
      </w:r>
      <w:r>
        <w:rPr>
          <w:highlight w:val="none"/>
        </w:rPr>
        <w:fldChar w:fldCharType="begin"/>
      </w:r>
      <w:r>
        <w:rPr>
          <w:highlight w:val="none"/>
        </w:rPr>
        <w:instrText xml:space="preserve"> PAGEREF _Toc1117 \h </w:instrText>
      </w:r>
      <w:r>
        <w:rPr>
          <w:highlight w:val="none"/>
        </w:rPr>
        <w:fldChar w:fldCharType="separate"/>
      </w:r>
      <w:r>
        <w:rPr>
          <w:highlight w:val="none"/>
        </w:rPr>
        <w:t>2</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_Toc9975 </w:instrText>
      </w:r>
      <w:r>
        <w:rPr>
          <w:rFonts w:hint="eastAsia" w:hAnsi="宋体"/>
          <w:szCs w:val="21"/>
          <w:highlight w:val="none"/>
        </w:rPr>
        <w:fldChar w:fldCharType="separate"/>
      </w:r>
      <w:r>
        <w:rPr>
          <w:rFonts w:hint="eastAsia"/>
          <w:highlight w:val="none"/>
        </w:rPr>
        <w:t>(一) 协商时间：</w:t>
      </w:r>
      <w:r>
        <w:rPr>
          <w:highlight w:val="none"/>
        </w:rPr>
        <w:tab/>
      </w:r>
      <w:r>
        <w:rPr>
          <w:highlight w:val="none"/>
        </w:rPr>
        <w:fldChar w:fldCharType="begin"/>
      </w:r>
      <w:r>
        <w:rPr>
          <w:highlight w:val="none"/>
        </w:rPr>
        <w:instrText xml:space="preserve"> PAGEREF _Toc9975 \h </w:instrText>
      </w:r>
      <w:r>
        <w:rPr>
          <w:highlight w:val="none"/>
        </w:rPr>
        <w:fldChar w:fldCharType="separate"/>
      </w:r>
      <w:r>
        <w:rPr>
          <w:highlight w:val="none"/>
        </w:rPr>
        <w:t>2</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_Toc3755 </w:instrText>
      </w:r>
      <w:r>
        <w:rPr>
          <w:rFonts w:hint="eastAsia" w:hAnsi="宋体"/>
          <w:szCs w:val="21"/>
          <w:highlight w:val="none"/>
        </w:rPr>
        <w:fldChar w:fldCharType="separate"/>
      </w:r>
      <w:r>
        <w:rPr>
          <w:rFonts w:hint="eastAsia"/>
          <w:szCs w:val="24"/>
          <w:highlight w:val="none"/>
        </w:rPr>
        <w:t>(二) 协商地点：</w:t>
      </w:r>
      <w:r>
        <w:rPr>
          <w:highlight w:val="none"/>
        </w:rPr>
        <w:tab/>
      </w:r>
      <w:r>
        <w:rPr>
          <w:highlight w:val="none"/>
        </w:rPr>
        <w:fldChar w:fldCharType="begin"/>
      </w:r>
      <w:r>
        <w:rPr>
          <w:highlight w:val="none"/>
        </w:rPr>
        <w:instrText xml:space="preserve"> PAGEREF _Toc3755 \h </w:instrText>
      </w:r>
      <w:r>
        <w:rPr>
          <w:highlight w:val="none"/>
        </w:rPr>
        <w:fldChar w:fldCharType="separate"/>
      </w:r>
      <w:r>
        <w:rPr>
          <w:highlight w:val="none"/>
        </w:rPr>
        <w:t>2</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_Toc4214 </w:instrText>
      </w:r>
      <w:r>
        <w:rPr>
          <w:rFonts w:hint="eastAsia" w:hAnsi="宋体"/>
          <w:szCs w:val="21"/>
          <w:highlight w:val="none"/>
        </w:rPr>
        <w:fldChar w:fldCharType="separate"/>
      </w:r>
      <w:r>
        <w:rPr>
          <w:rFonts w:hint="eastAsia"/>
          <w:highlight w:val="none"/>
        </w:rPr>
        <w:t>六、供应商邀请方式及采购信息发布媒体</w:t>
      </w:r>
      <w:r>
        <w:rPr>
          <w:highlight w:val="none"/>
        </w:rPr>
        <w:tab/>
      </w:r>
      <w:r>
        <w:rPr>
          <w:highlight w:val="none"/>
        </w:rPr>
        <w:fldChar w:fldCharType="begin"/>
      </w:r>
      <w:r>
        <w:rPr>
          <w:highlight w:val="none"/>
        </w:rPr>
        <w:instrText xml:space="preserve"> PAGEREF _Toc4214 \h </w:instrText>
      </w:r>
      <w:r>
        <w:rPr>
          <w:highlight w:val="none"/>
        </w:rPr>
        <w:fldChar w:fldCharType="separate"/>
      </w:r>
      <w:r>
        <w:rPr>
          <w:highlight w:val="none"/>
        </w:rPr>
        <w:t>2</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_Toc10768 </w:instrText>
      </w:r>
      <w:r>
        <w:rPr>
          <w:rFonts w:hint="eastAsia" w:hAnsi="宋体"/>
          <w:szCs w:val="21"/>
          <w:highlight w:val="none"/>
        </w:rPr>
        <w:fldChar w:fldCharType="separate"/>
      </w:r>
      <w:r>
        <w:rPr>
          <w:rFonts w:hint="eastAsia"/>
          <w:highlight w:val="none"/>
        </w:rPr>
        <w:t>七、供应商信用融资</w:t>
      </w:r>
      <w:r>
        <w:rPr>
          <w:highlight w:val="none"/>
        </w:rPr>
        <w:tab/>
      </w:r>
      <w:r>
        <w:rPr>
          <w:highlight w:val="none"/>
        </w:rPr>
        <w:fldChar w:fldCharType="begin"/>
      </w:r>
      <w:r>
        <w:rPr>
          <w:highlight w:val="none"/>
        </w:rPr>
        <w:instrText xml:space="preserve"> PAGEREF _Toc10768 \h </w:instrText>
      </w:r>
      <w:r>
        <w:rPr>
          <w:highlight w:val="none"/>
        </w:rPr>
        <w:fldChar w:fldCharType="separate"/>
      </w:r>
      <w:r>
        <w:rPr>
          <w:highlight w:val="none"/>
        </w:rPr>
        <w:t>2</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_Toc25405 </w:instrText>
      </w:r>
      <w:r>
        <w:rPr>
          <w:rFonts w:hint="eastAsia" w:hAnsi="宋体"/>
          <w:szCs w:val="21"/>
          <w:highlight w:val="none"/>
        </w:rPr>
        <w:fldChar w:fldCharType="separate"/>
      </w:r>
      <w:r>
        <w:rPr>
          <w:rFonts w:hint="eastAsia"/>
          <w:highlight w:val="none"/>
        </w:rPr>
        <w:t>八、凡对本次采购提出询问，请按以下方式联系。</w:t>
      </w:r>
      <w:r>
        <w:rPr>
          <w:highlight w:val="none"/>
        </w:rPr>
        <w:tab/>
      </w:r>
      <w:r>
        <w:rPr>
          <w:highlight w:val="none"/>
        </w:rPr>
        <w:fldChar w:fldCharType="begin"/>
      </w:r>
      <w:r>
        <w:rPr>
          <w:highlight w:val="none"/>
        </w:rPr>
        <w:instrText xml:space="preserve"> PAGEREF _Toc25405 \h </w:instrText>
      </w:r>
      <w:r>
        <w:rPr>
          <w:highlight w:val="none"/>
        </w:rPr>
        <w:fldChar w:fldCharType="separate"/>
      </w:r>
      <w:r>
        <w:rPr>
          <w:highlight w:val="none"/>
        </w:rPr>
        <w:t>3</w:t>
      </w:r>
      <w:r>
        <w:rPr>
          <w:highlight w:val="none"/>
        </w:rPr>
        <w:fldChar w:fldCharType="end"/>
      </w:r>
      <w:r>
        <w:rPr>
          <w:rFonts w:hint="eastAsia" w:hAnsi="宋体"/>
          <w:szCs w:val="21"/>
          <w:highlight w:val="none"/>
        </w:rPr>
        <w:fldChar w:fldCharType="end"/>
      </w:r>
    </w:p>
    <w:p>
      <w:pPr>
        <w:pStyle w:val="19"/>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_Toc15602 </w:instrText>
      </w:r>
      <w:r>
        <w:rPr>
          <w:rFonts w:hint="eastAsia" w:hAnsi="宋体"/>
          <w:szCs w:val="21"/>
          <w:highlight w:val="none"/>
        </w:rPr>
        <w:fldChar w:fldCharType="separate"/>
      </w:r>
      <w:r>
        <w:rPr>
          <w:rFonts w:hint="eastAsia" w:hAnsi="宋体"/>
          <w:bCs/>
          <w:szCs w:val="36"/>
          <w:highlight w:val="none"/>
        </w:rPr>
        <w:t>第二章 采购须知</w:t>
      </w:r>
      <w:r>
        <w:rPr>
          <w:highlight w:val="none"/>
        </w:rPr>
        <w:tab/>
      </w:r>
      <w:r>
        <w:rPr>
          <w:highlight w:val="none"/>
        </w:rPr>
        <w:fldChar w:fldCharType="begin"/>
      </w:r>
      <w:r>
        <w:rPr>
          <w:highlight w:val="none"/>
        </w:rPr>
        <w:instrText xml:space="preserve"> PAGEREF _Toc15602 \h </w:instrText>
      </w:r>
      <w:r>
        <w:rPr>
          <w:highlight w:val="none"/>
        </w:rPr>
        <w:fldChar w:fldCharType="separate"/>
      </w:r>
      <w:r>
        <w:rPr>
          <w:highlight w:val="none"/>
        </w:rPr>
        <w:t>4</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_Toc6800 </w:instrText>
      </w:r>
      <w:r>
        <w:rPr>
          <w:rFonts w:hint="eastAsia" w:hAnsi="宋体"/>
          <w:szCs w:val="21"/>
          <w:highlight w:val="none"/>
        </w:rPr>
        <w:fldChar w:fldCharType="separate"/>
      </w:r>
      <w:r>
        <w:rPr>
          <w:rFonts w:hint="eastAsia"/>
          <w:szCs w:val="28"/>
          <w:highlight w:val="none"/>
        </w:rPr>
        <w:t>一、采购须知前附表</w:t>
      </w:r>
      <w:r>
        <w:rPr>
          <w:highlight w:val="none"/>
        </w:rPr>
        <w:tab/>
      </w:r>
      <w:r>
        <w:rPr>
          <w:highlight w:val="none"/>
        </w:rPr>
        <w:fldChar w:fldCharType="begin"/>
      </w:r>
      <w:r>
        <w:rPr>
          <w:highlight w:val="none"/>
        </w:rPr>
        <w:instrText xml:space="preserve"> PAGEREF _Toc6800 \h </w:instrText>
      </w:r>
      <w:r>
        <w:rPr>
          <w:highlight w:val="none"/>
        </w:rPr>
        <w:fldChar w:fldCharType="separate"/>
      </w:r>
      <w:r>
        <w:rPr>
          <w:highlight w:val="none"/>
        </w:rPr>
        <w:t>4</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_Toc4657 </w:instrText>
      </w:r>
      <w:r>
        <w:rPr>
          <w:rFonts w:hint="eastAsia" w:hAnsi="宋体"/>
          <w:szCs w:val="21"/>
          <w:highlight w:val="none"/>
        </w:rPr>
        <w:fldChar w:fldCharType="separate"/>
      </w:r>
      <w:r>
        <w:rPr>
          <w:rFonts w:hint="eastAsia"/>
          <w:szCs w:val="28"/>
          <w:highlight w:val="none"/>
        </w:rPr>
        <w:t>二、适用范围</w:t>
      </w:r>
      <w:r>
        <w:rPr>
          <w:highlight w:val="none"/>
        </w:rPr>
        <w:tab/>
      </w:r>
      <w:r>
        <w:rPr>
          <w:highlight w:val="none"/>
        </w:rPr>
        <w:fldChar w:fldCharType="begin"/>
      </w:r>
      <w:r>
        <w:rPr>
          <w:highlight w:val="none"/>
        </w:rPr>
        <w:instrText xml:space="preserve"> PAGEREF _Toc4657 \h </w:instrText>
      </w:r>
      <w:r>
        <w:rPr>
          <w:highlight w:val="none"/>
        </w:rPr>
        <w:fldChar w:fldCharType="separate"/>
      </w:r>
      <w:r>
        <w:rPr>
          <w:highlight w:val="none"/>
        </w:rPr>
        <w:t>6</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_Toc18383 </w:instrText>
      </w:r>
      <w:r>
        <w:rPr>
          <w:rFonts w:hint="eastAsia" w:hAnsi="宋体"/>
          <w:szCs w:val="21"/>
          <w:highlight w:val="none"/>
        </w:rPr>
        <w:fldChar w:fldCharType="separate"/>
      </w:r>
      <w:r>
        <w:rPr>
          <w:rFonts w:hint="eastAsia"/>
          <w:szCs w:val="28"/>
          <w:highlight w:val="none"/>
        </w:rPr>
        <w:t>三、采购文件</w:t>
      </w:r>
      <w:r>
        <w:rPr>
          <w:highlight w:val="none"/>
        </w:rPr>
        <w:tab/>
      </w:r>
      <w:r>
        <w:rPr>
          <w:highlight w:val="none"/>
        </w:rPr>
        <w:fldChar w:fldCharType="begin"/>
      </w:r>
      <w:r>
        <w:rPr>
          <w:highlight w:val="none"/>
        </w:rPr>
        <w:instrText xml:space="preserve"> PAGEREF _Toc18383 \h </w:instrText>
      </w:r>
      <w:r>
        <w:rPr>
          <w:highlight w:val="none"/>
        </w:rPr>
        <w:fldChar w:fldCharType="separate"/>
      </w:r>
      <w:r>
        <w:rPr>
          <w:highlight w:val="none"/>
        </w:rPr>
        <w:t>6</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_Toc10150 </w:instrText>
      </w:r>
      <w:r>
        <w:rPr>
          <w:rFonts w:hint="eastAsia" w:hAnsi="宋体"/>
          <w:szCs w:val="21"/>
          <w:highlight w:val="none"/>
        </w:rPr>
        <w:fldChar w:fldCharType="separate"/>
      </w:r>
      <w:r>
        <w:rPr>
          <w:rFonts w:hint="eastAsia"/>
          <w:szCs w:val="28"/>
          <w:highlight w:val="none"/>
        </w:rPr>
        <w:t>四、响应文件的组成</w:t>
      </w:r>
      <w:r>
        <w:rPr>
          <w:highlight w:val="none"/>
        </w:rPr>
        <w:tab/>
      </w:r>
      <w:r>
        <w:rPr>
          <w:highlight w:val="none"/>
        </w:rPr>
        <w:fldChar w:fldCharType="begin"/>
      </w:r>
      <w:r>
        <w:rPr>
          <w:highlight w:val="none"/>
        </w:rPr>
        <w:instrText xml:space="preserve"> PAGEREF _Toc10150 \h </w:instrText>
      </w:r>
      <w:r>
        <w:rPr>
          <w:highlight w:val="none"/>
        </w:rPr>
        <w:fldChar w:fldCharType="separate"/>
      </w:r>
      <w:r>
        <w:rPr>
          <w:highlight w:val="none"/>
        </w:rPr>
        <w:t>6</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_Toc17279 </w:instrText>
      </w:r>
      <w:r>
        <w:rPr>
          <w:rFonts w:hint="eastAsia" w:hAnsi="宋体"/>
          <w:szCs w:val="21"/>
          <w:highlight w:val="none"/>
        </w:rPr>
        <w:fldChar w:fldCharType="separate"/>
      </w:r>
      <w:r>
        <w:rPr>
          <w:rFonts w:hint="eastAsia"/>
          <w:szCs w:val="28"/>
          <w:highlight w:val="none"/>
        </w:rPr>
        <w:t>五、签到、协商和成交</w:t>
      </w:r>
      <w:r>
        <w:rPr>
          <w:highlight w:val="none"/>
        </w:rPr>
        <w:tab/>
      </w:r>
      <w:r>
        <w:rPr>
          <w:highlight w:val="none"/>
        </w:rPr>
        <w:fldChar w:fldCharType="begin"/>
      </w:r>
      <w:r>
        <w:rPr>
          <w:highlight w:val="none"/>
        </w:rPr>
        <w:instrText xml:space="preserve"> PAGEREF _Toc17279 \h </w:instrText>
      </w:r>
      <w:r>
        <w:rPr>
          <w:highlight w:val="none"/>
        </w:rPr>
        <w:fldChar w:fldCharType="separate"/>
      </w:r>
      <w:r>
        <w:rPr>
          <w:highlight w:val="none"/>
        </w:rPr>
        <w:t>6</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_Toc17801 </w:instrText>
      </w:r>
      <w:r>
        <w:rPr>
          <w:rFonts w:hint="eastAsia" w:hAnsi="宋体"/>
          <w:szCs w:val="21"/>
          <w:highlight w:val="none"/>
        </w:rPr>
        <w:fldChar w:fldCharType="separate"/>
      </w:r>
      <w:r>
        <w:rPr>
          <w:rFonts w:hint="eastAsia"/>
          <w:bCs/>
          <w:szCs w:val="28"/>
          <w:highlight w:val="none"/>
        </w:rPr>
        <w:t>六、合同签订、履行和项目验收</w:t>
      </w:r>
      <w:r>
        <w:rPr>
          <w:highlight w:val="none"/>
        </w:rPr>
        <w:tab/>
      </w:r>
      <w:r>
        <w:rPr>
          <w:highlight w:val="none"/>
        </w:rPr>
        <w:fldChar w:fldCharType="begin"/>
      </w:r>
      <w:r>
        <w:rPr>
          <w:highlight w:val="none"/>
        </w:rPr>
        <w:instrText xml:space="preserve"> PAGEREF _Toc17801 \h </w:instrText>
      </w:r>
      <w:r>
        <w:rPr>
          <w:highlight w:val="none"/>
        </w:rPr>
        <w:fldChar w:fldCharType="separate"/>
      </w:r>
      <w:r>
        <w:rPr>
          <w:highlight w:val="none"/>
        </w:rPr>
        <w:t>7</w:t>
      </w:r>
      <w:r>
        <w:rPr>
          <w:highlight w:val="none"/>
        </w:rPr>
        <w:fldChar w:fldCharType="end"/>
      </w:r>
      <w:r>
        <w:rPr>
          <w:rFonts w:hint="eastAsia" w:hAnsi="宋体"/>
          <w:szCs w:val="21"/>
          <w:highlight w:val="none"/>
        </w:rPr>
        <w:fldChar w:fldCharType="end"/>
      </w:r>
    </w:p>
    <w:p>
      <w:pPr>
        <w:pStyle w:val="19"/>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_Toc26522 </w:instrText>
      </w:r>
      <w:r>
        <w:rPr>
          <w:rFonts w:hint="eastAsia" w:hAnsi="宋体"/>
          <w:szCs w:val="21"/>
          <w:highlight w:val="none"/>
        </w:rPr>
        <w:fldChar w:fldCharType="separate"/>
      </w:r>
      <w:r>
        <w:rPr>
          <w:rFonts w:hint="eastAsia"/>
          <w:highlight w:val="none"/>
        </w:rPr>
        <w:t>第三章 采购项目技术、商务及其他要求</w:t>
      </w:r>
      <w:r>
        <w:rPr>
          <w:highlight w:val="none"/>
        </w:rPr>
        <w:tab/>
      </w:r>
      <w:r>
        <w:rPr>
          <w:highlight w:val="none"/>
        </w:rPr>
        <w:fldChar w:fldCharType="begin"/>
      </w:r>
      <w:r>
        <w:rPr>
          <w:highlight w:val="none"/>
        </w:rPr>
        <w:instrText xml:space="preserve"> PAGEREF _Toc26522 \h </w:instrText>
      </w:r>
      <w:r>
        <w:rPr>
          <w:highlight w:val="none"/>
        </w:rPr>
        <w:fldChar w:fldCharType="separate"/>
      </w:r>
      <w:r>
        <w:rPr>
          <w:highlight w:val="none"/>
        </w:rPr>
        <w:t>9</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_Toc19977 </w:instrText>
      </w:r>
      <w:r>
        <w:rPr>
          <w:rFonts w:hint="eastAsia" w:hAnsi="宋体"/>
          <w:szCs w:val="21"/>
          <w:highlight w:val="none"/>
        </w:rPr>
        <w:fldChar w:fldCharType="separate"/>
      </w:r>
      <w:r>
        <w:rPr>
          <w:rFonts w:hint="eastAsia" w:hAnsi="宋体"/>
          <w:bCs/>
          <w:szCs w:val="22"/>
          <w:highlight w:val="none"/>
        </w:rPr>
        <w:t>一、 项目概述</w:t>
      </w:r>
      <w:r>
        <w:rPr>
          <w:highlight w:val="none"/>
        </w:rPr>
        <w:tab/>
      </w:r>
      <w:r>
        <w:rPr>
          <w:highlight w:val="none"/>
        </w:rPr>
        <w:fldChar w:fldCharType="begin"/>
      </w:r>
      <w:r>
        <w:rPr>
          <w:highlight w:val="none"/>
        </w:rPr>
        <w:instrText xml:space="preserve"> PAGEREF _Toc19977 \h </w:instrText>
      </w:r>
      <w:r>
        <w:rPr>
          <w:highlight w:val="none"/>
        </w:rPr>
        <w:fldChar w:fldCharType="separate"/>
      </w:r>
      <w:r>
        <w:rPr>
          <w:highlight w:val="none"/>
        </w:rPr>
        <w:t>9</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_Toc9543 </w:instrText>
      </w:r>
      <w:r>
        <w:rPr>
          <w:rFonts w:hint="eastAsia" w:hAnsi="宋体"/>
          <w:szCs w:val="21"/>
          <w:highlight w:val="none"/>
        </w:rPr>
        <w:fldChar w:fldCharType="separate"/>
      </w:r>
      <w:r>
        <w:rPr>
          <w:rFonts w:hint="eastAsia" w:hAnsi="宋体"/>
          <w:bCs/>
          <w:szCs w:val="22"/>
          <w:highlight w:val="none"/>
        </w:rPr>
        <w:t>二、 项目服务内容</w:t>
      </w:r>
      <w:r>
        <w:rPr>
          <w:highlight w:val="none"/>
        </w:rPr>
        <w:tab/>
      </w:r>
      <w:r>
        <w:rPr>
          <w:highlight w:val="none"/>
        </w:rPr>
        <w:fldChar w:fldCharType="begin"/>
      </w:r>
      <w:r>
        <w:rPr>
          <w:highlight w:val="none"/>
        </w:rPr>
        <w:instrText xml:space="preserve"> PAGEREF _Toc9543 \h </w:instrText>
      </w:r>
      <w:r>
        <w:rPr>
          <w:highlight w:val="none"/>
        </w:rPr>
        <w:fldChar w:fldCharType="separate"/>
      </w:r>
      <w:r>
        <w:rPr>
          <w:highlight w:val="none"/>
        </w:rPr>
        <w:t>9</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_Toc6507 </w:instrText>
      </w:r>
      <w:r>
        <w:rPr>
          <w:rFonts w:hint="eastAsia" w:hAnsi="宋体"/>
          <w:szCs w:val="21"/>
          <w:highlight w:val="none"/>
        </w:rPr>
        <w:fldChar w:fldCharType="separate"/>
      </w:r>
      <w:r>
        <w:rPr>
          <w:rFonts w:hint="eastAsia" w:hAnsi="宋体"/>
          <w:bCs/>
          <w:szCs w:val="22"/>
          <w:highlight w:val="none"/>
        </w:rPr>
        <w:t>三、 项目服务要求</w:t>
      </w:r>
      <w:r>
        <w:rPr>
          <w:highlight w:val="none"/>
        </w:rPr>
        <w:tab/>
      </w:r>
      <w:r>
        <w:rPr>
          <w:highlight w:val="none"/>
        </w:rPr>
        <w:fldChar w:fldCharType="begin"/>
      </w:r>
      <w:r>
        <w:rPr>
          <w:highlight w:val="none"/>
        </w:rPr>
        <w:instrText xml:space="preserve"> PAGEREF _Toc6507 \h </w:instrText>
      </w:r>
      <w:r>
        <w:rPr>
          <w:highlight w:val="none"/>
        </w:rPr>
        <w:fldChar w:fldCharType="separate"/>
      </w:r>
      <w:r>
        <w:rPr>
          <w:highlight w:val="none"/>
        </w:rPr>
        <w:t>9</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_Toc26825 </w:instrText>
      </w:r>
      <w:r>
        <w:rPr>
          <w:rFonts w:hint="eastAsia" w:hAnsi="宋体"/>
          <w:szCs w:val="21"/>
          <w:highlight w:val="none"/>
        </w:rPr>
        <w:fldChar w:fldCharType="separate"/>
      </w:r>
      <w:r>
        <w:rPr>
          <w:rFonts w:hint="eastAsia" w:hAnsi="宋体"/>
          <w:bCs/>
          <w:highlight w:val="none"/>
        </w:rPr>
        <w:t>四、 商务要求</w:t>
      </w:r>
      <w:r>
        <w:rPr>
          <w:highlight w:val="none"/>
        </w:rPr>
        <w:tab/>
      </w:r>
      <w:r>
        <w:rPr>
          <w:highlight w:val="none"/>
        </w:rPr>
        <w:fldChar w:fldCharType="begin"/>
      </w:r>
      <w:r>
        <w:rPr>
          <w:highlight w:val="none"/>
        </w:rPr>
        <w:instrText xml:space="preserve"> PAGEREF _Toc26825 \h </w:instrText>
      </w:r>
      <w:r>
        <w:rPr>
          <w:highlight w:val="none"/>
        </w:rPr>
        <w:fldChar w:fldCharType="separate"/>
      </w:r>
      <w:r>
        <w:rPr>
          <w:highlight w:val="none"/>
        </w:rPr>
        <w:t>10</w:t>
      </w:r>
      <w:r>
        <w:rPr>
          <w:highlight w:val="none"/>
        </w:rPr>
        <w:fldChar w:fldCharType="end"/>
      </w:r>
      <w:r>
        <w:rPr>
          <w:rFonts w:hint="eastAsia" w:hAnsi="宋体"/>
          <w:szCs w:val="21"/>
          <w:highlight w:val="none"/>
        </w:rPr>
        <w:fldChar w:fldCharType="end"/>
      </w:r>
    </w:p>
    <w:p>
      <w:pPr>
        <w:pStyle w:val="19"/>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_Toc7860 </w:instrText>
      </w:r>
      <w:r>
        <w:rPr>
          <w:rFonts w:hint="eastAsia" w:hAnsi="宋体"/>
          <w:szCs w:val="21"/>
          <w:highlight w:val="none"/>
        </w:rPr>
        <w:fldChar w:fldCharType="separate"/>
      </w:r>
      <w:r>
        <w:rPr>
          <w:rFonts w:hint="eastAsia"/>
          <w:szCs w:val="36"/>
          <w:highlight w:val="none"/>
        </w:rPr>
        <w:t>第四章 响应文件格式</w:t>
      </w:r>
      <w:r>
        <w:rPr>
          <w:highlight w:val="none"/>
        </w:rPr>
        <w:tab/>
      </w:r>
      <w:r>
        <w:rPr>
          <w:highlight w:val="none"/>
        </w:rPr>
        <w:fldChar w:fldCharType="begin"/>
      </w:r>
      <w:r>
        <w:rPr>
          <w:highlight w:val="none"/>
        </w:rPr>
        <w:instrText xml:space="preserve"> PAGEREF _Toc7860 \h </w:instrText>
      </w:r>
      <w:r>
        <w:rPr>
          <w:highlight w:val="none"/>
        </w:rPr>
        <w:fldChar w:fldCharType="separate"/>
      </w:r>
      <w:r>
        <w:rPr>
          <w:highlight w:val="none"/>
        </w:rPr>
        <w:t>13</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_Toc5777 </w:instrText>
      </w:r>
      <w:r>
        <w:rPr>
          <w:rFonts w:hint="eastAsia" w:hAnsi="宋体"/>
          <w:szCs w:val="21"/>
          <w:highlight w:val="none"/>
        </w:rPr>
        <w:fldChar w:fldCharType="separate"/>
      </w:r>
      <w:r>
        <w:rPr>
          <w:rFonts w:hint="eastAsia"/>
          <w:szCs w:val="28"/>
          <w:highlight w:val="none"/>
        </w:rPr>
        <w:t>一、报价表/最后报价表</w:t>
      </w:r>
      <w:r>
        <w:rPr>
          <w:highlight w:val="none"/>
        </w:rPr>
        <w:tab/>
      </w:r>
      <w:r>
        <w:rPr>
          <w:highlight w:val="none"/>
        </w:rPr>
        <w:fldChar w:fldCharType="begin"/>
      </w:r>
      <w:r>
        <w:rPr>
          <w:highlight w:val="none"/>
        </w:rPr>
        <w:instrText xml:space="preserve"> PAGEREF _Toc5777 \h </w:instrText>
      </w:r>
      <w:r>
        <w:rPr>
          <w:highlight w:val="none"/>
        </w:rPr>
        <w:fldChar w:fldCharType="separate"/>
      </w:r>
      <w:r>
        <w:rPr>
          <w:highlight w:val="none"/>
        </w:rPr>
        <w:t>15</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_Toc4366 </w:instrText>
      </w:r>
      <w:r>
        <w:rPr>
          <w:rFonts w:hint="eastAsia" w:hAnsi="宋体"/>
          <w:szCs w:val="21"/>
          <w:highlight w:val="none"/>
        </w:rPr>
        <w:fldChar w:fldCharType="separate"/>
      </w:r>
      <w:r>
        <w:rPr>
          <w:rFonts w:hint="eastAsia" w:ascii="宋体" w:hAnsi="宋体" w:eastAsia="宋体" w:cs="宋体"/>
          <w:szCs w:val="28"/>
          <w:highlight w:val="none"/>
        </w:rPr>
        <w:t>二、法定代表人/单位负责人授权书</w:t>
      </w:r>
      <w:r>
        <w:rPr>
          <w:highlight w:val="none"/>
        </w:rPr>
        <w:tab/>
      </w:r>
      <w:r>
        <w:rPr>
          <w:highlight w:val="none"/>
        </w:rPr>
        <w:fldChar w:fldCharType="begin"/>
      </w:r>
      <w:r>
        <w:rPr>
          <w:highlight w:val="none"/>
        </w:rPr>
        <w:instrText xml:space="preserve"> PAGEREF _Toc4366 \h </w:instrText>
      </w:r>
      <w:r>
        <w:rPr>
          <w:highlight w:val="none"/>
        </w:rPr>
        <w:fldChar w:fldCharType="separate"/>
      </w:r>
      <w:r>
        <w:rPr>
          <w:highlight w:val="none"/>
        </w:rPr>
        <w:t>16</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_Toc11916 </w:instrText>
      </w:r>
      <w:r>
        <w:rPr>
          <w:rFonts w:hint="eastAsia" w:hAnsi="宋体"/>
          <w:szCs w:val="21"/>
          <w:highlight w:val="none"/>
        </w:rPr>
        <w:fldChar w:fldCharType="separate"/>
      </w:r>
      <w:r>
        <w:rPr>
          <w:rFonts w:hint="eastAsia" w:hAnsi="宋体"/>
          <w:szCs w:val="28"/>
          <w:highlight w:val="none"/>
        </w:rPr>
        <w:t>三、法定代表人/单位负责人证明书</w:t>
      </w:r>
      <w:r>
        <w:rPr>
          <w:highlight w:val="none"/>
        </w:rPr>
        <w:tab/>
      </w:r>
      <w:r>
        <w:rPr>
          <w:highlight w:val="none"/>
        </w:rPr>
        <w:fldChar w:fldCharType="begin"/>
      </w:r>
      <w:r>
        <w:rPr>
          <w:highlight w:val="none"/>
        </w:rPr>
        <w:instrText xml:space="preserve"> PAGEREF _Toc11916 \h </w:instrText>
      </w:r>
      <w:r>
        <w:rPr>
          <w:highlight w:val="none"/>
        </w:rPr>
        <w:fldChar w:fldCharType="separate"/>
      </w:r>
      <w:r>
        <w:rPr>
          <w:highlight w:val="none"/>
        </w:rPr>
        <w:t>17</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_Toc21918 </w:instrText>
      </w:r>
      <w:r>
        <w:rPr>
          <w:rFonts w:hint="eastAsia" w:hAnsi="宋体"/>
          <w:szCs w:val="21"/>
          <w:highlight w:val="none"/>
        </w:rPr>
        <w:fldChar w:fldCharType="separate"/>
      </w:r>
      <w:r>
        <w:rPr>
          <w:rFonts w:hint="eastAsia" w:hAnsi="宋体"/>
          <w:szCs w:val="28"/>
          <w:highlight w:val="none"/>
        </w:rPr>
        <w:t>四、符合《中华人民共和国政府采购法》第二十二条规定的条件的承诺及声明函</w:t>
      </w:r>
      <w:r>
        <w:rPr>
          <w:highlight w:val="none"/>
        </w:rPr>
        <w:tab/>
      </w:r>
      <w:r>
        <w:rPr>
          <w:highlight w:val="none"/>
        </w:rPr>
        <w:fldChar w:fldCharType="begin"/>
      </w:r>
      <w:r>
        <w:rPr>
          <w:highlight w:val="none"/>
        </w:rPr>
        <w:instrText xml:space="preserve"> PAGEREF _Toc21918 \h </w:instrText>
      </w:r>
      <w:r>
        <w:rPr>
          <w:highlight w:val="none"/>
        </w:rPr>
        <w:fldChar w:fldCharType="separate"/>
      </w:r>
      <w:r>
        <w:rPr>
          <w:highlight w:val="none"/>
        </w:rPr>
        <w:t>18</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_Toc11893 </w:instrText>
      </w:r>
      <w:r>
        <w:rPr>
          <w:rFonts w:hint="eastAsia" w:hAnsi="宋体"/>
          <w:szCs w:val="21"/>
          <w:highlight w:val="none"/>
        </w:rPr>
        <w:fldChar w:fldCharType="separate"/>
      </w:r>
      <w:r>
        <w:rPr>
          <w:rFonts w:hint="eastAsia" w:hAnsi="宋体"/>
          <w:szCs w:val="28"/>
          <w:highlight w:val="none"/>
        </w:rPr>
        <w:t>五、具有独立承担民事责任的能力的证明材料</w:t>
      </w:r>
      <w:r>
        <w:rPr>
          <w:highlight w:val="none"/>
        </w:rPr>
        <w:tab/>
      </w:r>
      <w:r>
        <w:rPr>
          <w:highlight w:val="none"/>
        </w:rPr>
        <w:fldChar w:fldCharType="begin"/>
      </w:r>
      <w:r>
        <w:rPr>
          <w:highlight w:val="none"/>
        </w:rPr>
        <w:instrText xml:space="preserve"> PAGEREF _Toc11893 \h </w:instrText>
      </w:r>
      <w:r>
        <w:rPr>
          <w:highlight w:val="none"/>
        </w:rPr>
        <w:fldChar w:fldCharType="separate"/>
      </w:r>
      <w:r>
        <w:rPr>
          <w:highlight w:val="none"/>
        </w:rPr>
        <w:t>19</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_Toc5048 </w:instrText>
      </w:r>
      <w:r>
        <w:rPr>
          <w:rFonts w:hint="eastAsia" w:hAnsi="宋体"/>
          <w:szCs w:val="21"/>
          <w:highlight w:val="none"/>
        </w:rPr>
        <w:fldChar w:fldCharType="separate"/>
      </w:r>
      <w:r>
        <w:rPr>
          <w:rFonts w:hint="eastAsia"/>
          <w:szCs w:val="28"/>
          <w:highlight w:val="none"/>
        </w:rPr>
        <w:t>六、提供具有良好的商业信誉和健全的财务会计制度的证明材料</w:t>
      </w:r>
      <w:r>
        <w:rPr>
          <w:highlight w:val="none"/>
        </w:rPr>
        <w:tab/>
      </w:r>
      <w:r>
        <w:rPr>
          <w:highlight w:val="none"/>
        </w:rPr>
        <w:fldChar w:fldCharType="begin"/>
      </w:r>
      <w:r>
        <w:rPr>
          <w:highlight w:val="none"/>
        </w:rPr>
        <w:instrText xml:space="preserve"> PAGEREF _Toc5048 \h </w:instrText>
      </w:r>
      <w:r>
        <w:rPr>
          <w:highlight w:val="none"/>
        </w:rPr>
        <w:fldChar w:fldCharType="separate"/>
      </w:r>
      <w:r>
        <w:rPr>
          <w:highlight w:val="none"/>
        </w:rPr>
        <w:t>20</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_Toc18124 </w:instrText>
      </w:r>
      <w:r>
        <w:rPr>
          <w:rFonts w:hint="eastAsia" w:hAnsi="宋体"/>
          <w:szCs w:val="21"/>
          <w:highlight w:val="none"/>
        </w:rPr>
        <w:fldChar w:fldCharType="separate"/>
      </w:r>
      <w:r>
        <w:rPr>
          <w:rFonts w:hint="eastAsia"/>
          <w:szCs w:val="28"/>
          <w:highlight w:val="none"/>
        </w:rPr>
        <w:t>七、具有履行合同所必需的设备和专业技术能力证明材料</w:t>
      </w:r>
      <w:r>
        <w:rPr>
          <w:highlight w:val="none"/>
        </w:rPr>
        <w:tab/>
      </w:r>
      <w:r>
        <w:rPr>
          <w:highlight w:val="none"/>
        </w:rPr>
        <w:fldChar w:fldCharType="begin"/>
      </w:r>
      <w:r>
        <w:rPr>
          <w:highlight w:val="none"/>
        </w:rPr>
        <w:instrText xml:space="preserve"> PAGEREF _Toc18124 \h </w:instrText>
      </w:r>
      <w:r>
        <w:rPr>
          <w:highlight w:val="none"/>
        </w:rPr>
        <w:fldChar w:fldCharType="separate"/>
      </w:r>
      <w:r>
        <w:rPr>
          <w:highlight w:val="none"/>
        </w:rPr>
        <w:t>21</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_Toc11884 </w:instrText>
      </w:r>
      <w:r>
        <w:rPr>
          <w:rFonts w:hint="eastAsia" w:hAnsi="宋体"/>
          <w:szCs w:val="21"/>
          <w:highlight w:val="none"/>
        </w:rPr>
        <w:fldChar w:fldCharType="separate"/>
      </w:r>
      <w:r>
        <w:rPr>
          <w:rFonts w:hint="eastAsia"/>
          <w:szCs w:val="28"/>
          <w:highlight w:val="none"/>
        </w:rPr>
        <w:t>八、具有依法缴纳税收和社会保障资金的良好记录的证明材料</w:t>
      </w:r>
      <w:r>
        <w:rPr>
          <w:highlight w:val="none"/>
        </w:rPr>
        <w:tab/>
      </w:r>
      <w:r>
        <w:rPr>
          <w:highlight w:val="none"/>
        </w:rPr>
        <w:fldChar w:fldCharType="begin"/>
      </w:r>
      <w:r>
        <w:rPr>
          <w:highlight w:val="none"/>
        </w:rPr>
        <w:instrText xml:space="preserve"> PAGEREF _Toc11884 \h </w:instrText>
      </w:r>
      <w:r>
        <w:rPr>
          <w:highlight w:val="none"/>
        </w:rPr>
        <w:fldChar w:fldCharType="separate"/>
      </w:r>
      <w:r>
        <w:rPr>
          <w:highlight w:val="none"/>
        </w:rPr>
        <w:t>22</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_Toc14500 </w:instrText>
      </w:r>
      <w:r>
        <w:rPr>
          <w:rFonts w:hint="eastAsia" w:hAnsi="宋体"/>
          <w:szCs w:val="21"/>
          <w:highlight w:val="none"/>
        </w:rPr>
        <w:fldChar w:fldCharType="separate"/>
      </w:r>
      <w:r>
        <w:rPr>
          <w:rFonts w:hint="eastAsia"/>
          <w:szCs w:val="28"/>
          <w:highlight w:val="none"/>
        </w:rPr>
        <w:t>九、供应商</w:t>
      </w:r>
      <w:r>
        <w:rPr>
          <w:rFonts w:hint="eastAsia"/>
          <w:szCs w:val="28"/>
          <w:highlight w:val="none"/>
          <w:lang w:val="zh-CN"/>
        </w:rPr>
        <w:t>及其现任法定代表人、主要负责人无行贿犯罪记录</w:t>
      </w:r>
      <w:r>
        <w:rPr>
          <w:rFonts w:hint="eastAsia"/>
          <w:szCs w:val="28"/>
          <w:highlight w:val="none"/>
        </w:rPr>
        <w:t>的承诺函</w:t>
      </w:r>
      <w:r>
        <w:rPr>
          <w:highlight w:val="none"/>
        </w:rPr>
        <w:tab/>
      </w:r>
      <w:r>
        <w:rPr>
          <w:highlight w:val="none"/>
        </w:rPr>
        <w:fldChar w:fldCharType="begin"/>
      </w:r>
      <w:r>
        <w:rPr>
          <w:highlight w:val="none"/>
        </w:rPr>
        <w:instrText xml:space="preserve"> PAGEREF _Toc14500 \h </w:instrText>
      </w:r>
      <w:r>
        <w:rPr>
          <w:highlight w:val="none"/>
        </w:rPr>
        <w:fldChar w:fldCharType="separate"/>
      </w:r>
      <w:r>
        <w:rPr>
          <w:highlight w:val="none"/>
        </w:rPr>
        <w:t>23</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_Toc19362 </w:instrText>
      </w:r>
      <w:r>
        <w:rPr>
          <w:rFonts w:hint="eastAsia" w:hAnsi="宋体"/>
          <w:szCs w:val="21"/>
          <w:highlight w:val="none"/>
        </w:rPr>
        <w:fldChar w:fldCharType="separate"/>
      </w:r>
      <w:r>
        <w:rPr>
          <w:rFonts w:hint="eastAsia"/>
          <w:szCs w:val="28"/>
          <w:highlight w:val="none"/>
        </w:rPr>
        <w:t>十、信用信息查询</w:t>
      </w:r>
      <w:r>
        <w:rPr>
          <w:highlight w:val="none"/>
        </w:rPr>
        <w:tab/>
      </w:r>
      <w:r>
        <w:rPr>
          <w:highlight w:val="none"/>
        </w:rPr>
        <w:fldChar w:fldCharType="begin"/>
      </w:r>
      <w:r>
        <w:rPr>
          <w:highlight w:val="none"/>
        </w:rPr>
        <w:instrText xml:space="preserve"> PAGEREF _Toc19362 \h </w:instrText>
      </w:r>
      <w:r>
        <w:rPr>
          <w:highlight w:val="none"/>
        </w:rPr>
        <w:fldChar w:fldCharType="separate"/>
      </w:r>
      <w:r>
        <w:rPr>
          <w:highlight w:val="none"/>
        </w:rPr>
        <w:t>24</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_Toc24293 </w:instrText>
      </w:r>
      <w:r>
        <w:rPr>
          <w:rFonts w:hint="eastAsia" w:hAnsi="宋体"/>
          <w:szCs w:val="21"/>
          <w:highlight w:val="none"/>
        </w:rPr>
        <w:fldChar w:fldCharType="separate"/>
      </w:r>
      <w:r>
        <w:rPr>
          <w:rFonts w:hint="eastAsia" w:ascii="宋体" w:hAnsi="宋体" w:eastAsia="宋体" w:cs="宋体"/>
          <w:szCs w:val="28"/>
          <w:highlight w:val="none"/>
        </w:rPr>
        <w:t>十一、根据采购项目的特殊要求，规定供应商提供的特定条件的证明材料</w:t>
      </w:r>
      <w:r>
        <w:rPr>
          <w:highlight w:val="none"/>
        </w:rPr>
        <w:tab/>
      </w:r>
      <w:r>
        <w:rPr>
          <w:highlight w:val="none"/>
        </w:rPr>
        <w:fldChar w:fldCharType="begin"/>
      </w:r>
      <w:r>
        <w:rPr>
          <w:highlight w:val="none"/>
        </w:rPr>
        <w:instrText xml:space="preserve"> PAGEREF _Toc24293 \h </w:instrText>
      </w:r>
      <w:r>
        <w:rPr>
          <w:highlight w:val="none"/>
        </w:rPr>
        <w:fldChar w:fldCharType="separate"/>
      </w:r>
      <w:r>
        <w:rPr>
          <w:highlight w:val="none"/>
        </w:rPr>
        <w:t>25</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_Toc23767 </w:instrText>
      </w:r>
      <w:r>
        <w:rPr>
          <w:rFonts w:hint="eastAsia" w:hAnsi="宋体"/>
          <w:szCs w:val="21"/>
          <w:highlight w:val="none"/>
        </w:rPr>
        <w:fldChar w:fldCharType="separate"/>
      </w:r>
      <w:r>
        <w:rPr>
          <w:rFonts w:hint="eastAsia"/>
          <w:szCs w:val="28"/>
          <w:highlight w:val="none"/>
        </w:rPr>
        <w:t>十二、商务、服务应答表</w:t>
      </w:r>
      <w:r>
        <w:rPr>
          <w:highlight w:val="none"/>
        </w:rPr>
        <w:tab/>
      </w:r>
      <w:r>
        <w:rPr>
          <w:highlight w:val="none"/>
        </w:rPr>
        <w:fldChar w:fldCharType="begin"/>
      </w:r>
      <w:r>
        <w:rPr>
          <w:highlight w:val="none"/>
        </w:rPr>
        <w:instrText xml:space="preserve"> PAGEREF _Toc23767 \h </w:instrText>
      </w:r>
      <w:r>
        <w:rPr>
          <w:highlight w:val="none"/>
        </w:rPr>
        <w:fldChar w:fldCharType="separate"/>
      </w:r>
      <w:r>
        <w:rPr>
          <w:highlight w:val="none"/>
        </w:rPr>
        <w:t>26</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_Toc9856 </w:instrText>
      </w:r>
      <w:r>
        <w:rPr>
          <w:rFonts w:hint="eastAsia" w:hAnsi="宋体"/>
          <w:szCs w:val="21"/>
          <w:highlight w:val="none"/>
        </w:rPr>
        <w:fldChar w:fldCharType="separate"/>
      </w:r>
      <w:r>
        <w:rPr>
          <w:rFonts w:hint="eastAsia" w:hAnsi="宋体"/>
          <w:szCs w:val="28"/>
          <w:highlight w:val="none"/>
        </w:rPr>
        <w:t>十三、项目管理、技术、服务人员配置情况表</w:t>
      </w:r>
      <w:r>
        <w:rPr>
          <w:highlight w:val="none"/>
        </w:rPr>
        <w:tab/>
      </w:r>
      <w:r>
        <w:rPr>
          <w:highlight w:val="none"/>
        </w:rPr>
        <w:fldChar w:fldCharType="begin"/>
      </w:r>
      <w:r>
        <w:rPr>
          <w:highlight w:val="none"/>
        </w:rPr>
        <w:instrText xml:space="preserve"> PAGEREF _Toc9856 \h </w:instrText>
      </w:r>
      <w:r>
        <w:rPr>
          <w:highlight w:val="none"/>
        </w:rPr>
        <w:fldChar w:fldCharType="separate"/>
      </w:r>
      <w:r>
        <w:rPr>
          <w:highlight w:val="none"/>
        </w:rPr>
        <w:t>27</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_Toc32503 </w:instrText>
      </w:r>
      <w:r>
        <w:rPr>
          <w:rFonts w:hint="eastAsia" w:hAnsi="宋体"/>
          <w:szCs w:val="21"/>
          <w:highlight w:val="none"/>
        </w:rPr>
        <w:fldChar w:fldCharType="separate"/>
      </w:r>
      <w:r>
        <w:rPr>
          <w:rFonts w:hint="eastAsia" w:ascii="宋体" w:hAnsi="宋体" w:eastAsia="宋体" w:cs="宋体"/>
          <w:szCs w:val="28"/>
          <w:highlight w:val="none"/>
        </w:rPr>
        <w:t>十四、招标代理服务费承诺函</w:t>
      </w:r>
      <w:r>
        <w:rPr>
          <w:highlight w:val="none"/>
        </w:rPr>
        <w:tab/>
      </w:r>
      <w:r>
        <w:rPr>
          <w:highlight w:val="none"/>
        </w:rPr>
        <w:fldChar w:fldCharType="begin"/>
      </w:r>
      <w:r>
        <w:rPr>
          <w:highlight w:val="none"/>
        </w:rPr>
        <w:instrText xml:space="preserve"> PAGEREF _Toc32503 \h </w:instrText>
      </w:r>
      <w:r>
        <w:rPr>
          <w:highlight w:val="none"/>
        </w:rPr>
        <w:fldChar w:fldCharType="separate"/>
      </w:r>
      <w:r>
        <w:rPr>
          <w:highlight w:val="none"/>
        </w:rPr>
        <w:t>28</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_Toc5484 </w:instrText>
      </w:r>
      <w:r>
        <w:rPr>
          <w:rFonts w:hint="eastAsia" w:hAnsi="宋体"/>
          <w:szCs w:val="21"/>
          <w:highlight w:val="none"/>
        </w:rPr>
        <w:fldChar w:fldCharType="separate"/>
      </w:r>
      <w:r>
        <w:rPr>
          <w:rFonts w:hint="eastAsia" w:asciiTheme="minorEastAsia" w:hAnsiTheme="minorEastAsia" w:eastAsiaTheme="minorEastAsia" w:cstheme="minorEastAsia"/>
          <w:szCs w:val="28"/>
          <w:highlight w:val="none"/>
        </w:rPr>
        <w:t>十五、采购标的成本、同类项目合同价格以及相关专利、专有技术等情况说明</w:t>
      </w:r>
      <w:r>
        <w:rPr>
          <w:highlight w:val="none"/>
        </w:rPr>
        <w:tab/>
      </w:r>
      <w:r>
        <w:rPr>
          <w:highlight w:val="none"/>
        </w:rPr>
        <w:fldChar w:fldCharType="begin"/>
      </w:r>
      <w:r>
        <w:rPr>
          <w:highlight w:val="none"/>
        </w:rPr>
        <w:instrText xml:space="preserve"> PAGEREF _Toc5484 \h </w:instrText>
      </w:r>
      <w:r>
        <w:rPr>
          <w:highlight w:val="none"/>
        </w:rPr>
        <w:fldChar w:fldCharType="separate"/>
      </w:r>
      <w:r>
        <w:rPr>
          <w:highlight w:val="none"/>
        </w:rPr>
        <w:t>29</w:t>
      </w:r>
      <w:r>
        <w:rPr>
          <w:highlight w:val="none"/>
        </w:rPr>
        <w:fldChar w:fldCharType="end"/>
      </w:r>
      <w:r>
        <w:rPr>
          <w:rFonts w:hint="eastAsia" w:hAnsi="宋体"/>
          <w:szCs w:val="21"/>
          <w:highlight w:val="none"/>
        </w:rPr>
        <w:fldChar w:fldCharType="end"/>
      </w:r>
    </w:p>
    <w:p>
      <w:pPr>
        <w:pStyle w:val="13"/>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_Toc29169 </w:instrText>
      </w:r>
      <w:r>
        <w:rPr>
          <w:rFonts w:hint="eastAsia" w:hAnsi="宋体"/>
          <w:szCs w:val="21"/>
          <w:highlight w:val="none"/>
        </w:rPr>
        <w:fldChar w:fldCharType="separate"/>
      </w:r>
      <w:r>
        <w:rPr>
          <w:rFonts w:hint="eastAsia"/>
          <w:szCs w:val="28"/>
          <w:highlight w:val="none"/>
        </w:rPr>
        <w:t>(一)成本说明</w:t>
      </w:r>
      <w:r>
        <w:rPr>
          <w:highlight w:val="none"/>
        </w:rPr>
        <w:tab/>
      </w:r>
      <w:r>
        <w:rPr>
          <w:highlight w:val="none"/>
        </w:rPr>
        <w:fldChar w:fldCharType="begin"/>
      </w:r>
      <w:r>
        <w:rPr>
          <w:highlight w:val="none"/>
        </w:rPr>
        <w:instrText xml:space="preserve"> PAGEREF _Toc29169 \h </w:instrText>
      </w:r>
      <w:r>
        <w:rPr>
          <w:highlight w:val="none"/>
        </w:rPr>
        <w:fldChar w:fldCharType="separate"/>
      </w:r>
      <w:r>
        <w:rPr>
          <w:highlight w:val="none"/>
        </w:rPr>
        <w:t>29</w:t>
      </w:r>
      <w:r>
        <w:rPr>
          <w:highlight w:val="none"/>
        </w:rPr>
        <w:fldChar w:fldCharType="end"/>
      </w:r>
      <w:r>
        <w:rPr>
          <w:rFonts w:hint="eastAsia" w:hAnsi="宋体"/>
          <w:szCs w:val="21"/>
          <w:highlight w:val="none"/>
        </w:rPr>
        <w:fldChar w:fldCharType="end"/>
      </w:r>
    </w:p>
    <w:p>
      <w:pPr>
        <w:pStyle w:val="13"/>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_Toc15974 </w:instrText>
      </w:r>
      <w:r>
        <w:rPr>
          <w:rFonts w:hint="eastAsia" w:hAnsi="宋体"/>
          <w:szCs w:val="21"/>
          <w:highlight w:val="none"/>
        </w:rPr>
        <w:fldChar w:fldCharType="separate"/>
      </w:r>
      <w:r>
        <w:rPr>
          <w:rFonts w:hint="eastAsia" w:asciiTheme="minorEastAsia" w:hAnsiTheme="minorEastAsia" w:eastAsiaTheme="minorEastAsia" w:cstheme="minorEastAsia"/>
          <w:szCs w:val="28"/>
          <w:highlight w:val="none"/>
        </w:rPr>
        <w:t>(二)同类项目合同价格</w:t>
      </w:r>
      <w:r>
        <w:rPr>
          <w:highlight w:val="none"/>
        </w:rPr>
        <w:tab/>
      </w:r>
      <w:r>
        <w:rPr>
          <w:highlight w:val="none"/>
        </w:rPr>
        <w:fldChar w:fldCharType="begin"/>
      </w:r>
      <w:r>
        <w:rPr>
          <w:highlight w:val="none"/>
        </w:rPr>
        <w:instrText xml:space="preserve"> PAGEREF _Toc15974 \h </w:instrText>
      </w:r>
      <w:r>
        <w:rPr>
          <w:highlight w:val="none"/>
        </w:rPr>
        <w:fldChar w:fldCharType="separate"/>
      </w:r>
      <w:r>
        <w:rPr>
          <w:highlight w:val="none"/>
        </w:rPr>
        <w:t>30</w:t>
      </w:r>
      <w:r>
        <w:rPr>
          <w:highlight w:val="none"/>
        </w:rPr>
        <w:fldChar w:fldCharType="end"/>
      </w:r>
      <w:r>
        <w:rPr>
          <w:rFonts w:hint="eastAsia" w:hAnsi="宋体"/>
          <w:szCs w:val="21"/>
          <w:highlight w:val="none"/>
        </w:rPr>
        <w:fldChar w:fldCharType="end"/>
      </w:r>
    </w:p>
    <w:p>
      <w:pPr>
        <w:pStyle w:val="19"/>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_Toc11760 </w:instrText>
      </w:r>
      <w:r>
        <w:rPr>
          <w:rFonts w:hint="eastAsia" w:hAnsi="宋体"/>
          <w:szCs w:val="21"/>
          <w:highlight w:val="none"/>
        </w:rPr>
        <w:fldChar w:fldCharType="separate"/>
      </w:r>
      <w:r>
        <w:rPr>
          <w:rFonts w:hint="eastAsia"/>
          <w:bCs/>
          <w:highlight w:val="none"/>
        </w:rPr>
        <w:t>第五章 协商办法</w:t>
      </w:r>
      <w:r>
        <w:rPr>
          <w:highlight w:val="none"/>
        </w:rPr>
        <w:tab/>
      </w:r>
      <w:r>
        <w:rPr>
          <w:highlight w:val="none"/>
        </w:rPr>
        <w:fldChar w:fldCharType="begin"/>
      </w:r>
      <w:r>
        <w:rPr>
          <w:highlight w:val="none"/>
        </w:rPr>
        <w:instrText xml:space="preserve"> PAGEREF _Toc11760 \h </w:instrText>
      </w:r>
      <w:r>
        <w:rPr>
          <w:highlight w:val="none"/>
        </w:rPr>
        <w:fldChar w:fldCharType="separate"/>
      </w:r>
      <w:r>
        <w:rPr>
          <w:highlight w:val="none"/>
        </w:rPr>
        <w:t>31</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_Toc12227 </w:instrText>
      </w:r>
      <w:r>
        <w:rPr>
          <w:rFonts w:hint="eastAsia" w:hAnsi="宋体"/>
          <w:szCs w:val="21"/>
          <w:highlight w:val="none"/>
        </w:rPr>
        <w:fldChar w:fldCharType="separate"/>
      </w:r>
      <w:r>
        <w:rPr>
          <w:rFonts w:hint="eastAsia" w:hAnsi="宋体"/>
          <w:szCs w:val="24"/>
          <w:highlight w:val="none"/>
        </w:rPr>
        <w:t>一、协商程序</w:t>
      </w:r>
      <w:r>
        <w:rPr>
          <w:highlight w:val="none"/>
        </w:rPr>
        <w:tab/>
      </w:r>
      <w:r>
        <w:rPr>
          <w:highlight w:val="none"/>
        </w:rPr>
        <w:fldChar w:fldCharType="begin"/>
      </w:r>
      <w:r>
        <w:rPr>
          <w:highlight w:val="none"/>
        </w:rPr>
        <w:instrText xml:space="preserve"> PAGEREF _Toc12227 \h </w:instrText>
      </w:r>
      <w:r>
        <w:rPr>
          <w:highlight w:val="none"/>
        </w:rPr>
        <w:fldChar w:fldCharType="separate"/>
      </w:r>
      <w:r>
        <w:rPr>
          <w:highlight w:val="none"/>
        </w:rPr>
        <w:t>31</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_Toc2917 </w:instrText>
      </w:r>
      <w:r>
        <w:rPr>
          <w:rFonts w:hint="eastAsia" w:hAnsi="宋体"/>
          <w:szCs w:val="21"/>
          <w:highlight w:val="none"/>
        </w:rPr>
        <w:fldChar w:fldCharType="separate"/>
      </w:r>
      <w:r>
        <w:rPr>
          <w:rFonts w:hint="eastAsia" w:hAnsi="宋体"/>
          <w:szCs w:val="24"/>
          <w:highlight w:val="none"/>
        </w:rPr>
        <w:t>二、成交原则</w:t>
      </w:r>
      <w:r>
        <w:rPr>
          <w:highlight w:val="none"/>
        </w:rPr>
        <w:tab/>
      </w:r>
      <w:r>
        <w:rPr>
          <w:highlight w:val="none"/>
        </w:rPr>
        <w:fldChar w:fldCharType="begin"/>
      </w:r>
      <w:r>
        <w:rPr>
          <w:highlight w:val="none"/>
        </w:rPr>
        <w:instrText xml:space="preserve"> PAGEREF _Toc2917 \h </w:instrText>
      </w:r>
      <w:r>
        <w:rPr>
          <w:highlight w:val="none"/>
        </w:rPr>
        <w:fldChar w:fldCharType="separate"/>
      </w:r>
      <w:r>
        <w:rPr>
          <w:highlight w:val="none"/>
        </w:rPr>
        <w:t>33</w:t>
      </w:r>
      <w:r>
        <w:rPr>
          <w:highlight w:val="none"/>
        </w:rPr>
        <w:fldChar w:fldCharType="end"/>
      </w:r>
      <w:r>
        <w:rPr>
          <w:rFonts w:hint="eastAsia" w:hAnsi="宋体"/>
          <w:szCs w:val="21"/>
          <w:highlight w:val="none"/>
        </w:rPr>
        <w:fldChar w:fldCharType="end"/>
      </w:r>
    </w:p>
    <w:p>
      <w:pPr>
        <w:pStyle w:val="19"/>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_Toc7648 </w:instrText>
      </w:r>
      <w:r>
        <w:rPr>
          <w:rFonts w:hint="eastAsia" w:hAnsi="宋体"/>
          <w:szCs w:val="21"/>
          <w:highlight w:val="none"/>
        </w:rPr>
        <w:fldChar w:fldCharType="separate"/>
      </w:r>
      <w:r>
        <w:rPr>
          <w:rFonts w:hint="eastAsia"/>
          <w:szCs w:val="36"/>
          <w:highlight w:val="none"/>
        </w:rPr>
        <w:t>第六章 合同草案</w:t>
      </w:r>
      <w:r>
        <w:rPr>
          <w:highlight w:val="none"/>
        </w:rPr>
        <w:tab/>
      </w:r>
      <w:r>
        <w:rPr>
          <w:highlight w:val="none"/>
        </w:rPr>
        <w:fldChar w:fldCharType="begin"/>
      </w:r>
      <w:r>
        <w:rPr>
          <w:highlight w:val="none"/>
        </w:rPr>
        <w:instrText xml:space="preserve"> PAGEREF _Toc7648 \h </w:instrText>
      </w:r>
      <w:r>
        <w:rPr>
          <w:highlight w:val="none"/>
        </w:rPr>
        <w:fldChar w:fldCharType="separate"/>
      </w:r>
      <w:r>
        <w:rPr>
          <w:highlight w:val="none"/>
        </w:rPr>
        <w:t>34</w:t>
      </w:r>
      <w:r>
        <w:rPr>
          <w:highlight w:val="none"/>
        </w:rPr>
        <w:fldChar w:fldCharType="end"/>
      </w:r>
      <w:r>
        <w:rPr>
          <w:rFonts w:hint="eastAsia" w:hAnsi="宋体"/>
          <w:szCs w:val="21"/>
          <w:highlight w:val="none"/>
        </w:rPr>
        <w:fldChar w:fldCharType="end"/>
      </w:r>
    </w:p>
    <w:p>
      <w:pPr>
        <w:pStyle w:val="19"/>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_Toc23613 </w:instrText>
      </w:r>
      <w:r>
        <w:rPr>
          <w:rFonts w:hint="eastAsia" w:hAnsi="宋体"/>
          <w:szCs w:val="21"/>
          <w:highlight w:val="none"/>
        </w:rPr>
        <w:fldChar w:fldCharType="separate"/>
      </w:r>
      <w:r>
        <w:rPr>
          <w:rFonts w:hint="eastAsia"/>
          <w:szCs w:val="36"/>
          <w:highlight w:val="none"/>
        </w:rPr>
        <w:t xml:space="preserve">第七章 </w:t>
      </w:r>
      <w:r>
        <w:rPr>
          <w:rFonts w:hint="eastAsia"/>
          <w:szCs w:val="36"/>
          <w:highlight w:val="none"/>
          <w:lang w:val="en-US" w:eastAsia="zh-CN"/>
        </w:rPr>
        <w:t>附件</w:t>
      </w:r>
      <w:r>
        <w:rPr>
          <w:highlight w:val="none"/>
        </w:rPr>
        <w:tab/>
      </w:r>
      <w:r>
        <w:rPr>
          <w:highlight w:val="none"/>
        </w:rPr>
        <w:fldChar w:fldCharType="begin"/>
      </w:r>
      <w:r>
        <w:rPr>
          <w:highlight w:val="none"/>
        </w:rPr>
        <w:instrText xml:space="preserve"> PAGEREF _Toc23613 \h </w:instrText>
      </w:r>
      <w:r>
        <w:rPr>
          <w:highlight w:val="none"/>
        </w:rPr>
        <w:fldChar w:fldCharType="separate"/>
      </w:r>
      <w:r>
        <w:rPr>
          <w:highlight w:val="none"/>
        </w:rPr>
        <w:t>38</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_Toc19946 </w:instrText>
      </w:r>
      <w:r>
        <w:rPr>
          <w:rFonts w:hint="eastAsia" w:hAnsi="宋体"/>
          <w:szCs w:val="21"/>
          <w:highlight w:val="none"/>
        </w:rPr>
        <w:fldChar w:fldCharType="separate"/>
      </w:r>
      <w:r>
        <w:rPr>
          <w:rFonts w:hint="eastAsia"/>
          <w:bCs/>
          <w:szCs w:val="24"/>
          <w:highlight w:val="none"/>
          <w:lang w:val="en-US" w:eastAsia="zh-CN"/>
        </w:rPr>
        <w:t>附件一：</w:t>
      </w:r>
      <w:r>
        <w:rPr>
          <w:rFonts w:hint="eastAsia"/>
          <w:bCs/>
          <w:szCs w:val="24"/>
          <w:highlight w:val="none"/>
        </w:rPr>
        <w:t>2021年度信用评价服务效果调查表(供应商)</w:t>
      </w:r>
      <w:r>
        <w:rPr>
          <w:highlight w:val="none"/>
        </w:rPr>
        <w:tab/>
      </w:r>
      <w:r>
        <w:rPr>
          <w:highlight w:val="none"/>
        </w:rPr>
        <w:fldChar w:fldCharType="begin"/>
      </w:r>
      <w:r>
        <w:rPr>
          <w:highlight w:val="none"/>
        </w:rPr>
        <w:instrText xml:space="preserve"> PAGEREF _Toc19946 \h </w:instrText>
      </w:r>
      <w:r>
        <w:rPr>
          <w:highlight w:val="none"/>
        </w:rPr>
        <w:fldChar w:fldCharType="separate"/>
      </w:r>
      <w:r>
        <w:rPr>
          <w:highlight w:val="none"/>
        </w:rPr>
        <w:t>38</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_Toc2048 </w:instrText>
      </w:r>
      <w:r>
        <w:rPr>
          <w:rFonts w:hint="eastAsia" w:hAnsi="宋体"/>
          <w:szCs w:val="21"/>
          <w:highlight w:val="none"/>
        </w:rPr>
        <w:fldChar w:fldCharType="separate"/>
      </w:r>
      <w:r>
        <w:rPr>
          <w:rFonts w:hint="eastAsia" w:ascii="宋体" w:hAnsi="宋体" w:eastAsia="宋体" w:cs="宋体"/>
          <w:bCs/>
          <w:szCs w:val="24"/>
          <w:highlight w:val="none"/>
          <w:lang w:val="en-US" w:eastAsia="zh-CN"/>
        </w:rPr>
        <w:t>附件二：《四川省财政厅关于推进四川省政府采购供应商信用融资工作的通知》(川财采〔2018〕123号文)</w:t>
      </w:r>
      <w:r>
        <w:rPr>
          <w:highlight w:val="none"/>
        </w:rPr>
        <w:tab/>
      </w:r>
      <w:r>
        <w:rPr>
          <w:highlight w:val="none"/>
        </w:rPr>
        <w:fldChar w:fldCharType="begin"/>
      </w:r>
      <w:r>
        <w:rPr>
          <w:highlight w:val="none"/>
        </w:rPr>
        <w:instrText xml:space="preserve"> PAGEREF _Toc2048 \h </w:instrText>
      </w:r>
      <w:r>
        <w:rPr>
          <w:highlight w:val="none"/>
        </w:rPr>
        <w:fldChar w:fldCharType="separate"/>
      </w:r>
      <w:r>
        <w:rPr>
          <w:highlight w:val="none"/>
        </w:rPr>
        <w:t>39</w:t>
      </w:r>
      <w:r>
        <w:rPr>
          <w:highlight w:val="none"/>
        </w:rPr>
        <w:fldChar w:fldCharType="end"/>
      </w:r>
      <w:r>
        <w:rPr>
          <w:rFonts w:hint="eastAsia" w:hAnsi="宋体"/>
          <w:szCs w:val="21"/>
          <w:highlight w:val="none"/>
        </w:rPr>
        <w:fldChar w:fldCharType="end"/>
      </w:r>
    </w:p>
    <w:p>
      <w:pPr>
        <w:pStyle w:val="20"/>
        <w:tabs>
          <w:tab w:val="right" w:leader="dot" w:pos="9741"/>
        </w:tabs>
        <w:rPr>
          <w:highlight w:val="none"/>
        </w:rPr>
      </w:pPr>
      <w:r>
        <w:rPr>
          <w:rFonts w:hint="eastAsia" w:hAnsi="宋体"/>
          <w:szCs w:val="21"/>
          <w:highlight w:val="none"/>
        </w:rPr>
        <w:fldChar w:fldCharType="begin"/>
      </w:r>
      <w:r>
        <w:rPr>
          <w:rFonts w:hint="eastAsia" w:hAnsi="宋体"/>
          <w:szCs w:val="21"/>
          <w:highlight w:val="none"/>
        </w:rPr>
        <w:instrText xml:space="preserve"> HYPERLINK \l _Toc11291 </w:instrText>
      </w:r>
      <w:r>
        <w:rPr>
          <w:rFonts w:hint="eastAsia" w:hAnsi="宋体"/>
          <w:szCs w:val="21"/>
          <w:highlight w:val="none"/>
        </w:rPr>
        <w:fldChar w:fldCharType="separate"/>
      </w:r>
      <w:r>
        <w:rPr>
          <w:rFonts w:hint="eastAsia" w:ascii="宋体" w:hAnsi="宋体" w:eastAsia="宋体" w:cs="宋体"/>
          <w:bCs/>
          <w:szCs w:val="24"/>
          <w:highlight w:val="none"/>
          <w:lang w:val="en-US" w:eastAsia="zh-CN"/>
        </w:rPr>
        <w:t>附件三：成都市财政局  中国人民银行成都分行营业管理部关于印发《成都市中小企业政府采购信用融资暂行办法》和《成都市级支持中小企业政府采购信用融资实施方案》的通知(成财采〔2019〕17号)</w:t>
      </w:r>
      <w:r>
        <w:rPr>
          <w:highlight w:val="none"/>
        </w:rPr>
        <w:tab/>
      </w:r>
      <w:r>
        <w:rPr>
          <w:highlight w:val="none"/>
        </w:rPr>
        <w:fldChar w:fldCharType="begin"/>
      </w:r>
      <w:r>
        <w:rPr>
          <w:highlight w:val="none"/>
        </w:rPr>
        <w:instrText xml:space="preserve"> PAGEREF _Toc11291 \h </w:instrText>
      </w:r>
      <w:r>
        <w:rPr>
          <w:highlight w:val="none"/>
        </w:rPr>
        <w:fldChar w:fldCharType="separate"/>
      </w:r>
      <w:r>
        <w:rPr>
          <w:highlight w:val="none"/>
        </w:rPr>
        <w:t>44</w:t>
      </w:r>
      <w:r>
        <w:rPr>
          <w:highlight w:val="none"/>
        </w:rPr>
        <w:fldChar w:fldCharType="end"/>
      </w:r>
      <w:r>
        <w:rPr>
          <w:rFonts w:hint="eastAsia" w:hAnsi="宋体"/>
          <w:szCs w:val="21"/>
          <w:highlight w:val="none"/>
        </w:rPr>
        <w:fldChar w:fldCharType="end"/>
      </w:r>
    </w:p>
    <w:p>
      <w:pPr>
        <w:wordWrap w:val="0"/>
        <w:topLinePunct/>
        <w:spacing w:line="260" w:lineRule="exact"/>
        <w:rPr>
          <w:rFonts w:hAnsi="宋体"/>
          <w:sz w:val="24"/>
          <w:szCs w:val="24"/>
          <w:highlight w:val="none"/>
        </w:rPr>
      </w:pPr>
      <w:r>
        <w:rPr>
          <w:rFonts w:hint="eastAsia" w:hAnsi="宋体"/>
          <w:szCs w:val="21"/>
          <w:highlight w:val="none"/>
        </w:rPr>
        <w:fldChar w:fldCharType="end"/>
      </w:r>
    </w:p>
    <w:p>
      <w:pPr>
        <w:pStyle w:val="20"/>
        <w:tabs>
          <w:tab w:val="right" w:leader="dot" w:pos="9741"/>
        </w:tabs>
        <w:adjustRightInd/>
        <w:snapToGrid/>
        <w:ind w:left="680"/>
        <w:rPr>
          <w:sz w:val="24"/>
          <w:szCs w:val="24"/>
          <w:highlight w:val="none"/>
        </w:rPr>
      </w:pPr>
      <w:r>
        <w:rPr>
          <w:rFonts w:hint="eastAsia"/>
          <w:sz w:val="24"/>
          <w:szCs w:val="24"/>
          <w:highlight w:val="none"/>
        </w:rPr>
        <w:fldChar w:fldCharType="begin"/>
      </w:r>
      <w:r>
        <w:rPr>
          <w:rFonts w:hint="eastAsia"/>
          <w:sz w:val="24"/>
          <w:szCs w:val="24"/>
          <w:highlight w:val="none"/>
        </w:rPr>
        <w:instrText xml:space="preserve">TOC \o "1-2" \h \u </w:instrText>
      </w:r>
      <w:r>
        <w:rPr>
          <w:rFonts w:hint="eastAsia"/>
          <w:sz w:val="24"/>
          <w:szCs w:val="24"/>
          <w:highlight w:val="none"/>
        </w:rPr>
        <w:fldChar w:fldCharType="separate"/>
      </w:r>
    </w:p>
    <w:p>
      <w:pPr>
        <w:pStyle w:val="20"/>
        <w:tabs>
          <w:tab w:val="right" w:leader="dot" w:pos="9071"/>
        </w:tabs>
        <w:adjustRightInd/>
        <w:snapToGrid/>
        <w:spacing w:line="360" w:lineRule="auto"/>
        <w:ind w:left="0" w:leftChars="0"/>
        <w:jc w:val="left"/>
        <w:rPr>
          <w:sz w:val="24"/>
          <w:szCs w:val="24"/>
          <w:highlight w:val="none"/>
        </w:rPr>
      </w:pPr>
      <w:r>
        <w:rPr>
          <w:rFonts w:hint="eastAsia"/>
          <w:sz w:val="24"/>
          <w:szCs w:val="24"/>
          <w:highlight w:val="none"/>
        </w:rPr>
        <w:fldChar w:fldCharType="end"/>
      </w:r>
    </w:p>
    <w:p>
      <w:pPr>
        <w:tabs>
          <w:tab w:val="center" w:pos="4535"/>
        </w:tabs>
        <w:wordWrap w:val="0"/>
        <w:topLinePunct/>
        <w:jc w:val="left"/>
        <w:rPr>
          <w:rFonts w:hAnsi="宋体"/>
          <w:sz w:val="24"/>
          <w:szCs w:val="24"/>
          <w:highlight w:val="none"/>
        </w:rPr>
        <w:sectPr>
          <w:headerReference r:id="rId7" w:type="first"/>
          <w:footerReference r:id="rId9" w:type="first"/>
          <w:headerReference r:id="rId6" w:type="default"/>
          <w:footerReference r:id="rId8" w:type="default"/>
          <w:pgSz w:w="11907" w:h="16840"/>
          <w:pgMar w:top="1440" w:right="1083" w:bottom="1440" w:left="1083" w:header="471" w:footer="992" w:gutter="0"/>
          <w:pgNumType w:start="1"/>
          <w:cols w:space="0" w:num="1"/>
          <w:titlePg/>
        </w:sectPr>
      </w:pPr>
      <w:r>
        <w:rPr>
          <w:rFonts w:hint="eastAsia" w:hAnsi="宋体"/>
          <w:highlight w:val="none"/>
        </w:rPr>
        <w:tab/>
      </w:r>
    </w:p>
    <w:p>
      <w:pPr>
        <w:pStyle w:val="4"/>
        <w:keepNext w:val="0"/>
        <w:keepLines w:val="0"/>
        <w:wordWrap w:val="0"/>
        <w:topLinePunct/>
        <w:adjustRightInd/>
        <w:snapToGrid/>
        <w:spacing w:before="120" w:after="120" w:line="360" w:lineRule="auto"/>
        <w:rPr>
          <w:highlight w:val="none"/>
        </w:rPr>
      </w:pPr>
      <w:bookmarkStart w:id="6" w:name="_Toc4024"/>
      <w:bookmarkStart w:id="7" w:name="_Toc13647"/>
      <w:bookmarkStart w:id="8" w:name="_Toc10552"/>
      <w:bookmarkStart w:id="9" w:name="_Toc8358"/>
      <w:bookmarkStart w:id="10" w:name="_Toc22589"/>
      <w:bookmarkStart w:id="11" w:name="_Toc31494"/>
      <w:bookmarkStart w:id="12" w:name="_Toc24133"/>
      <w:bookmarkStart w:id="13" w:name="_Toc12127"/>
      <w:bookmarkStart w:id="14" w:name="_Toc22223"/>
      <w:bookmarkStart w:id="15" w:name="_Toc19584"/>
      <w:bookmarkStart w:id="16" w:name="_Toc7306"/>
      <w:bookmarkStart w:id="17" w:name="_Toc12845"/>
      <w:bookmarkStart w:id="18" w:name="_Toc29577"/>
      <w:bookmarkStart w:id="19" w:name="_Toc10499"/>
      <w:bookmarkStart w:id="20" w:name="_Toc9694"/>
      <w:bookmarkStart w:id="21" w:name="_Toc6317"/>
      <w:r>
        <w:rPr>
          <w:rFonts w:hint="eastAsia"/>
          <w:highlight w:val="none"/>
        </w:rPr>
        <w:t>第一章 单一来源采购邀请</w:t>
      </w:r>
      <w:bookmarkEnd w:id="6"/>
      <w:bookmarkEnd w:id="7"/>
      <w:bookmarkEnd w:id="8"/>
      <w:bookmarkEnd w:id="9"/>
      <w:bookmarkEnd w:id="10"/>
      <w:bookmarkEnd w:id="11"/>
      <w:bookmarkEnd w:id="12"/>
      <w:bookmarkEnd w:id="13"/>
      <w:bookmarkEnd w:id="14"/>
      <w:bookmarkEnd w:id="15"/>
      <w:bookmarkEnd w:id="16"/>
      <w:bookmarkEnd w:id="17"/>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四川乾新招投标代理有限公司受</w:t>
      </w:r>
      <w:r>
        <w:rPr>
          <w:rFonts w:hint="eastAsia" w:hAnsi="宋体"/>
          <w:sz w:val="24"/>
          <w:szCs w:val="24"/>
          <w:highlight w:val="none"/>
          <w:u w:val="single"/>
        </w:rPr>
        <w:t>成都市城市管理委员会</w:t>
      </w:r>
      <w:r>
        <w:rPr>
          <w:rFonts w:hint="eastAsia" w:hAnsi="宋体"/>
          <w:sz w:val="24"/>
          <w:szCs w:val="24"/>
          <w:highlight w:val="none"/>
        </w:rPr>
        <w:t>的委托，拟对</w:t>
      </w:r>
      <w:r>
        <w:rPr>
          <w:rFonts w:hint="eastAsia" w:hAnsi="宋体"/>
          <w:sz w:val="24"/>
          <w:szCs w:val="24"/>
          <w:highlight w:val="none"/>
          <w:u w:val="single"/>
        </w:rPr>
        <w:t>成都市城市管理委员会2021年《中国建设报》城市管理宣传服务采购项目</w:t>
      </w:r>
      <w:r>
        <w:rPr>
          <w:rFonts w:hint="eastAsia" w:hAnsi="宋体"/>
          <w:sz w:val="24"/>
          <w:szCs w:val="24"/>
          <w:highlight w:val="none"/>
        </w:rPr>
        <w:t>进行单一来源采购。本项目按照财政部《政府采购非招标采购方式管理办法》(财政部令第74号)、《四川省政府采购非招标采购方式实施办法》(川财采〔2015〕36号)、四川省政府集中采购目录及标准</w:t>
      </w:r>
      <w:r>
        <w:rPr>
          <w:rFonts w:hint="eastAsia" w:hAnsi="宋体"/>
          <w:sz w:val="24"/>
          <w:szCs w:val="24"/>
          <w:highlight w:val="none"/>
          <w:lang w:eastAsia="zh-CN"/>
        </w:rPr>
        <w:t>(</w:t>
      </w:r>
      <w:r>
        <w:rPr>
          <w:rFonts w:hint="eastAsia" w:hAnsi="宋体"/>
          <w:sz w:val="24"/>
          <w:szCs w:val="24"/>
          <w:highlight w:val="none"/>
        </w:rPr>
        <w:t>2020年版</w:t>
      </w:r>
      <w:r>
        <w:rPr>
          <w:rFonts w:hint="eastAsia" w:hAnsi="宋体"/>
          <w:sz w:val="24"/>
          <w:szCs w:val="24"/>
          <w:highlight w:val="none"/>
          <w:lang w:eastAsia="zh-CN"/>
        </w:rPr>
        <w:t>)</w:t>
      </w:r>
      <w:r>
        <w:rPr>
          <w:rFonts w:hint="eastAsia" w:hAnsi="宋体"/>
          <w:sz w:val="24"/>
          <w:szCs w:val="24"/>
          <w:highlight w:val="none"/>
        </w:rPr>
        <w:t>等要求采用单一来源方式采购，兹邀请：</w:t>
      </w:r>
      <w:r>
        <w:rPr>
          <w:rFonts w:hint="eastAsia" w:hAnsi="宋体"/>
          <w:sz w:val="24"/>
          <w:szCs w:val="24"/>
          <w:highlight w:val="none"/>
          <w:u w:val="single"/>
        </w:rPr>
        <w:t>中国建设报社</w:t>
      </w:r>
      <w:r>
        <w:rPr>
          <w:rFonts w:hint="eastAsia" w:hAnsi="宋体"/>
          <w:sz w:val="24"/>
          <w:szCs w:val="24"/>
          <w:highlight w:val="none"/>
        </w:rPr>
        <w:t>按照本邀请书的有关要求参加本次采购活动。</w:t>
      </w:r>
    </w:p>
    <w:p>
      <w:pPr>
        <w:pStyle w:val="45"/>
        <w:ind w:firstLine="482"/>
        <w:rPr>
          <w:highlight w:val="none"/>
        </w:rPr>
      </w:pPr>
      <w:bookmarkStart w:id="22" w:name="_Toc20857"/>
      <w:bookmarkStart w:id="23" w:name="_Toc13645"/>
      <w:r>
        <w:rPr>
          <w:rFonts w:hint="eastAsia"/>
          <w:highlight w:val="none"/>
        </w:rPr>
        <w:t>一、项目概述</w:t>
      </w:r>
      <w:bookmarkEnd w:id="22"/>
      <w:bookmarkEnd w:id="23"/>
    </w:p>
    <w:p>
      <w:pPr>
        <w:numPr>
          <w:ilvl w:val="0"/>
          <w:numId w:val="6"/>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项目名称：成都市城市管理委员会2021年《中国建设报》城市管理宣传服务采购项目</w:t>
      </w:r>
    </w:p>
    <w:p>
      <w:pPr>
        <w:numPr>
          <w:ilvl w:val="0"/>
          <w:numId w:val="6"/>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项目编号：</w:t>
      </w:r>
      <w:r>
        <w:rPr>
          <w:rFonts w:hint="eastAsia" w:hAnsi="宋体"/>
          <w:sz w:val="24"/>
          <w:szCs w:val="24"/>
          <w:highlight w:val="none"/>
        </w:rPr>
        <w:tab/>
      </w:r>
      <w:r>
        <w:rPr>
          <w:rFonts w:hint="eastAsia" w:hAnsi="宋体"/>
          <w:sz w:val="24"/>
          <w:szCs w:val="24"/>
          <w:highlight w:val="none"/>
        </w:rPr>
        <w:t>510101202100354</w:t>
      </w:r>
    </w:p>
    <w:p>
      <w:pPr>
        <w:numPr>
          <w:ilvl w:val="0"/>
          <w:numId w:val="6"/>
        </w:numPr>
        <w:wordWrap w:val="0"/>
        <w:topLinePunct/>
        <w:spacing w:line="440" w:lineRule="exact"/>
        <w:ind w:firstLine="480" w:firstLineChars="200"/>
        <w:rPr>
          <w:rFonts w:hAnsi="宋体"/>
          <w:sz w:val="24"/>
          <w:szCs w:val="24"/>
          <w:highlight w:val="none"/>
        </w:rPr>
      </w:pPr>
      <w:r>
        <w:rPr>
          <w:rFonts w:hint="eastAsia" w:hAnsi="宋体"/>
          <w:sz w:val="24"/>
          <w:szCs w:val="24"/>
          <w:highlight w:val="none"/>
        </w:rPr>
        <w:t>资金情况：财政资金已落实，采购预算人民币</w:t>
      </w:r>
      <w:r>
        <w:rPr>
          <w:rFonts w:hint="eastAsia" w:hAnsi="宋体"/>
          <w:sz w:val="24"/>
          <w:szCs w:val="24"/>
          <w:highlight w:val="none"/>
          <w:u w:val="single"/>
        </w:rPr>
        <w:t>200000</w:t>
      </w:r>
      <w:r>
        <w:rPr>
          <w:rFonts w:hint="eastAsia" w:hAnsi="宋体"/>
          <w:sz w:val="24"/>
          <w:szCs w:val="24"/>
          <w:highlight w:val="none"/>
        </w:rPr>
        <w:t>元；</w:t>
      </w:r>
      <w:r>
        <w:rPr>
          <w:rFonts w:hint="eastAsia" w:hAnsi="宋体"/>
          <w:sz w:val="24"/>
          <w:szCs w:val="24"/>
          <w:highlight w:val="none"/>
        </w:rPr>
        <w:t>采购计划编号：(2021)0847号；</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(四)拟定采购内容及供应商情况：</w:t>
      </w:r>
    </w:p>
    <w:tbl>
      <w:tblPr>
        <w:tblStyle w:val="22"/>
        <w:tblW w:w="99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3"/>
        <w:gridCol w:w="3197"/>
        <w:gridCol w:w="3185"/>
        <w:gridCol w:w="2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blHeader/>
          <w:jc w:val="center"/>
        </w:trPr>
        <w:tc>
          <w:tcPr>
            <w:tcW w:w="783" w:type="dxa"/>
            <w:tcBorders>
              <w:right w:val="single" w:color="auto" w:sz="4" w:space="0"/>
            </w:tcBorders>
            <w:vAlign w:val="center"/>
          </w:tcPr>
          <w:p>
            <w:pPr>
              <w:wordWrap w:val="0"/>
              <w:topLinePunct/>
              <w:spacing w:line="440" w:lineRule="exact"/>
              <w:jc w:val="center"/>
              <w:rPr>
                <w:rFonts w:hAnsi="宋体"/>
                <w:b/>
                <w:bCs/>
                <w:sz w:val="21"/>
                <w:szCs w:val="21"/>
                <w:highlight w:val="none"/>
              </w:rPr>
            </w:pPr>
            <w:r>
              <w:rPr>
                <w:rFonts w:hint="eastAsia" w:hAnsi="宋体"/>
                <w:b/>
                <w:bCs/>
                <w:sz w:val="21"/>
                <w:szCs w:val="21"/>
                <w:highlight w:val="none"/>
              </w:rPr>
              <w:t>序号</w:t>
            </w:r>
          </w:p>
        </w:tc>
        <w:tc>
          <w:tcPr>
            <w:tcW w:w="3197" w:type="dxa"/>
            <w:tcBorders>
              <w:left w:val="single" w:color="auto" w:sz="4" w:space="0"/>
            </w:tcBorders>
            <w:vAlign w:val="center"/>
          </w:tcPr>
          <w:p>
            <w:pPr>
              <w:wordWrap w:val="0"/>
              <w:topLinePunct/>
              <w:spacing w:line="440" w:lineRule="exact"/>
              <w:jc w:val="center"/>
              <w:rPr>
                <w:rFonts w:hAnsi="宋体"/>
                <w:b/>
                <w:bCs/>
                <w:sz w:val="21"/>
                <w:szCs w:val="21"/>
                <w:highlight w:val="none"/>
              </w:rPr>
            </w:pPr>
            <w:r>
              <w:rPr>
                <w:rFonts w:hint="eastAsia" w:hAnsi="宋体"/>
                <w:b/>
                <w:bCs/>
                <w:sz w:val="21"/>
                <w:szCs w:val="21"/>
                <w:highlight w:val="none"/>
              </w:rPr>
              <w:t>采购内容</w:t>
            </w:r>
          </w:p>
        </w:tc>
        <w:tc>
          <w:tcPr>
            <w:tcW w:w="3185" w:type="dxa"/>
            <w:vAlign w:val="center"/>
          </w:tcPr>
          <w:p>
            <w:pPr>
              <w:wordWrap w:val="0"/>
              <w:topLinePunct/>
              <w:spacing w:line="440" w:lineRule="exact"/>
              <w:jc w:val="center"/>
              <w:rPr>
                <w:rFonts w:hAnsi="宋体"/>
                <w:b/>
                <w:bCs/>
                <w:sz w:val="21"/>
                <w:szCs w:val="21"/>
                <w:highlight w:val="none"/>
              </w:rPr>
            </w:pPr>
            <w:r>
              <w:rPr>
                <w:rFonts w:hint="eastAsia" w:hAnsi="宋体"/>
                <w:b/>
                <w:bCs/>
                <w:sz w:val="21"/>
                <w:szCs w:val="21"/>
                <w:highlight w:val="none"/>
              </w:rPr>
              <w:t>拟推荐的供应商</w:t>
            </w:r>
          </w:p>
        </w:tc>
        <w:tc>
          <w:tcPr>
            <w:tcW w:w="2813" w:type="dxa"/>
            <w:vAlign w:val="center"/>
          </w:tcPr>
          <w:p>
            <w:pPr>
              <w:wordWrap w:val="0"/>
              <w:topLinePunct/>
              <w:spacing w:line="440" w:lineRule="exact"/>
              <w:jc w:val="center"/>
              <w:rPr>
                <w:rFonts w:hAnsi="宋体"/>
                <w:b/>
                <w:bCs/>
                <w:sz w:val="21"/>
                <w:szCs w:val="21"/>
                <w:highlight w:val="none"/>
              </w:rPr>
            </w:pPr>
            <w:r>
              <w:rPr>
                <w:rFonts w:hint="eastAsia" w:hAnsi="宋体"/>
                <w:b/>
                <w:bCs/>
                <w:sz w:val="21"/>
                <w:szCs w:val="21"/>
                <w:highlight w:val="none"/>
              </w:rPr>
              <w:t>供应商地址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783" w:type="dxa"/>
            <w:tcBorders>
              <w:right w:val="single" w:color="auto" w:sz="4" w:space="0"/>
            </w:tcBorders>
            <w:vAlign w:val="center"/>
          </w:tcPr>
          <w:p>
            <w:pPr>
              <w:wordWrap w:val="0"/>
              <w:topLinePunct/>
              <w:spacing w:line="440" w:lineRule="exact"/>
              <w:jc w:val="center"/>
              <w:rPr>
                <w:rFonts w:hAnsi="宋体"/>
                <w:sz w:val="21"/>
                <w:szCs w:val="21"/>
                <w:highlight w:val="none"/>
              </w:rPr>
            </w:pPr>
            <w:r>
              <w:rPr>
                <w:rFonts w:hint="eastAsia" w:hAnsi="宋体"/>
                <w:sz w:val="21"/>
                <w:szCs w:val="21"/>
                <w:highlight w:val="none"/>
              </w:rPr>
              <w:t>1</w:t>
            </w:r>
          </w:p>
        </w:tc>
        <w:tc>
          <w:tcPr>
            <w:tcW w:w="3197" w:type="dxa"/>
            <w:tcBorders>
              <w:left w:val="single" w:color="auto" w:sz="4" w:space="0"/>
            </w:tcBorders>
            <w:vAlign w:val="center"/>
          </w:tcPr>
          <w:p>
            <w:pPr>
              <w:wordWrap w:val="0"/>
              <w:topLinePunct/>
              <w:spacing w:line="440" w:lineRule="exact"/>
              <w:jc w:val="center"/>
              <w:rPr>
                <w:rFonts w:hAnsi="宋体"/>
                <w:sz w:val="21"/>
                <w:szCs w:val="21"/>
                <w:highlight w:val="none"/>
              </w:rPr>
            </w:pPr>
            <w:r>
              <w:rPr>
                <w:rFonts w:hint="eastAsia" w:hAnsi="宋体"/>
                <w:sz w:val="21"/>
                <w:szCs w:val="21"/>
                <w:highlight w:val="none"/>
              </w:rPr>
              <w:t>2021年《中国建设报》城市管理宣传服务</w:t>
            </w:r>
          </w:p>
        </w:tc>
        <w:tc>
          <w:tcPr>
            <w:tcW w:w="3185" w:type="dxa"/>
            <w:vAlign w:val="center"/>
          </w:tcPr>
          <w:p>
            <w:pPr>
              <w:wordWrap w:val="0"/>
              <w:topLinePunct/>
              <w:spacing w:line="440" w:lineRule="exact"/>
              <w:jc w:val="center"/>
              <w:rPr>
                <w:rFonts w:hAnsi="宋体"/>
                <w:sz w:val="21"/>
                <w:szCs w:val="21"/>
                <w:highlight w:val="none"/>
              </w:rPr>
            </w:pPr>
            <w:r>
              <w:rPr>
                <w:rFonts w:hint="eastAsia" w:hAnsi="宋体"/>
                <w:sz w:val="21"/>
                <w:szCs w:val="21"/>
                <w:highlight w:val="none"/>
              </w:rPr>
              <w:t>中国建设报社</w:t>
            </w:r>
          </w:p>
        </w:tc>
        <w:tc>
          <w:tcPr>
            <w:tcW w:w="2813" w:type="dxa"/>
            <w:vAlign w:val="center"/>
          </w:tcPr>
          <w:p>
            <w:pPr>
              <w:wordWrap w:val="0"/>
              <w:topLinePunct/>
              <w:spacing w:line="440" w:lineRule="exact"/>
              <w:jc w:val="center"/>
              <w:rPr>
                <w:rFonts w:hAnsi="宋体"/>
                <w:sz w:val="21"/>
                <w:szCs w:val="21"/>
                <w:highlight w:val="none"/>
              </w:rPr>
            </w:pPr>
            <w:r>
              <w:rPr>
                <w:rFonts w:hint="eastAsia" w:hAnsi="宋体"/>
                <w:sz w:val="21"/>
                <w:szCs w:val="21"/>
                <w:highlight w:val="none"/>
              </w:rPr>
              <w:t>北京市海淀区三里河路9号</w:t>
            </w:r>
          </w:p>
        </w:tc>
      </w:tr>
    </w:tbl>
    <w:p>
      <w:pPr>
        <w:pStyle w:val="45"/>
        <w:ind w:firstLine="482"/>
        <w:rPr>
          <w:highlight w:val="none"/>
        </w:rPr>
      </w:pPr>
      <w:bookmarkStart w:id="24" w:name="_Toc518"/>
      <w:bookmarkStart w:id="25" w:name="_Toc22783"/>
      <w:r>
        <w:rPr>
          <w:rFonts w:hint="eastAsia"/>
          <w:highlight w:val="none"/>
        </w:rPr>
        <w:t>二、供应商参加本次政府采购活动应具备以下条件</w:t>
      </w:r>
      <w:bookmarkEnd w:id="24"/>
      <w:bookmarkEnd w:id="25"/>
    </w:p>
    <w:p>
      <w:pPr>
        <w:pStyle w:val="55"/>
        <w:adjustRightInd w:val="0"/>
        <w:snapToGrid w:val="0"/>
        <w:spacing w:line="440" w:lineRule="exact"/>
        <w:ind w:firstLine="480" w:firstLineChars="200"/>
        <w:rPr>
          <w:sz w:val="24"/>
          <w:szCs w:val="24"/>
          <w:highlight w:val="none"/>
          <w:lang w:val="zh-CN"/>
        </w:rPr>
      </w:pPr>
      <w:r>
        <w:rPr>
          <w:rFonts w:hint="eastAsia"/>
          <w:sz w:val="24"/>
          <w:szCs w:val="24"/>
          <w:highlight w:val="none"/>
        </w:rPr>
        <w:t>(一)</w:t>
      </w:r>
      <w:r>
        <w:rPr>
          <w:rFonts w:hint="eastAsia"/>
          <w:sz w:val="24"/>
          <w:szCs w:val="24"/>
          <w:highlight w:val="none"/>
          <w:lang w:val="zh-CN"/>
        </w:rPr>
        <w:t>符合《中华人民共和国政府采购法》第二十二条规定的条件：</w:t>
      </w:r>
    </w:p>
    <w:p>
      <w:pPr>
        <w:pStyle w:val="55"/>
        <w:adjustRightInd w:val="0"/>
        <w:snapToGrid w:val="0"/>
        <w:spacing w:line="440" w:lineRule="exact"/>
        <w:ind w:firstLine="480" w:firstLineChars="200"/>
        <w:rPr>
          <w:sz w:val="24"/>
          <w:szCs w:val="24"/>
          <w:highlight w:val="none"/>
        </w:rPr>
      </w:pPr>
      <w:r>
        <w:rPr>
          <w:rFonts w:hint="eastAsia"/>
          <w:sz w:val="24"/>
          <w:szCs w:val="24"/>
          <w:highlight w:val="none"/>
        </w:rPr>
        <w:t>1.具有独立承担</w:t>
      </w:r>
      <w:r>
        <w:rPr>
          <w:highlight w:val="none"/>
        </w:rPr>
        <w:fldChar w:fldCharType="begin"/>
      </w:r>
      <w:r>
        <w:rPr>
          <w:highlight w:val="none"/>
        </w:rPr>
        <w:instrText xml:space="preserve"> HYPERLINK "http://www.lawtime.cn/info/minfa/mszeren/" \t "_blank" </w:instrText>
      </w:r>
      <w:r>
        <w:rPr>
          <w:highlight w:val="none"/>
        </w:rPr>
        <w:fldChar w:fldCharType="separate"/>
      </w:r>
      <w:r>
        <w:rPr>
          <w:rFonts w:hint="eastAsia"/>
          <w:sz w:val="24"/>
          <w:szCs w:val="24"/>
          <w:highlight w:val="none"/>
        </w:rPr>
        <w:t>民事责任</w:t>
      </w:r>
      <w:r>
        <w:rPr>
          <w:rFonts w:hint="eastAsia"/>
          <w:sz w:val="24"/>
          <w:szCs w:val="24"/>
          <w:highlight w:val="none"/>
        </w:rPr>
        <w:fldChar w:fldCharType="end"/>
      </w:r>
      <w:r>
        <w:rPr>
          <w:rFonts w:hint="eastAsia"/>
          <w:sz w:val="24"/>
          <w:szCs w:val="24"/>
          <w:highlight w:val="none"/>
        </w:rPr>
        <w:t>的能力；</w:t>
      </w:r>
    </w:p>
    <w:p>
      <w:pPr>
        <w:pStyle w:val="55"/>
        <w:adjustRightInd w:val="0"/>
        <w:snapToGrid w:val="0"/>
        <w:spacing w:line="440" w:lineRule="exact"/>
        <w:ind w:firstLine="480" w:firstLineChars="200"/>
        <w:rPr>
          <w:sz w:val="24"/>
          <w:szCs w:val="24"/>
          <w:highlight w:val="none"/>
        </w:rPr>
      </w:pPr>
      <w:r>
        <w:rPr>
          <w:rFonts w:hint="eastAsia"/>
          <w:sz w:val="24"/>
          <w:szCs w:val="24"/>
          <w:highlight w:val="none"/>
        </w:rPr>
        <w:t>2.具有良好的商业信誉和健全的财务会计制度；</w:t>
      </w:r>
    </w:p>
    <w:p>
      <w:pPr>
        <w:pStyle w:val="55"/>
        <w:adjustRightInd w:val="0"/>
        <w:snapToGrid w:val="0"/>
        <w:spacing w:line="440" w:lineRule="exact"/>
        <w:ind w:firstLine="480" w:firstLineChars="200"/>
        <w:rPr>
          <w:sz w:val="24"/>
          <w:szCs w:val="24"/>
          <w:highlight w:val="none"/>
        </w:rPr>
      </w:pPr>
      <w:r>
        <w:rPr>
          <w:rFonts w:hint="eastAsia"/>
          <w:sz w:val="24"/>
          <w:szCs w:val="24"/>
          <w:highlight w:val="none"/>
        </w:rPr>
        <w:t>3.具有履行合同所必需的设备和专业技术能力；</w:t>
      </w:r>
    </w:p>
    <w:p>
      <w:pPr>
        <w:pStyle w:val="55"/>
        <w:adjustRightInd w:val="0"/>
        <w:snapToGrid w:val="0"/>
        <w:spacing w:line="440" w:lineRule="exact"/>
        <w:ind w:firstLine="480" w:firstLineChars="200"/>
        <w:rPr>
          <w:sz w:val="24"/>
          <w:szCs w:val="24"/>
          <w:highlight w:val="none"/>
        </w:rPr>
      </w:pPr>
      <w:r>
        <w:rPr>
          <w:rFonts w:hint="eastAsia"/>
          <w:sz w:val="24"/>
          <w:szCs w:val="24"/>
          <w:highlight w:val="none"/>
        </w:rPr>
        <w:t>4.有依法缴纳税收和</w:t>
      </w:r>
      <w:r>
        <w:rPr>
          <w:highlight w:val="none"/>
        </w:rPr>
        <w:fldChar w:fldCharType="begin"/>
      </w:r>
      <w:r>
        <w:rPr>
          <w:highlight w:val="none"/>
        </w:rPr>
        <w:instrText xml:space="preserve"> HYPERLINK "http://www.lawtime.cn/info/laodong/shehuibaozhang/" \t "_blank" </w:instrText>
      </w:r>
      <w:r>
        <w:rPr>
          <w:highlight w:val="none"/>
        </w:rPr>
        <w:fldChar w:fldCharType="separate"/>
      </w:r>
      <w:r>
        <w:rPr>
          <w:rFonts w:hint="eastAsia"/>
          <w:sz w:val="24"/>
          <w:szCs w:val="24"/>
          <w:highlight w:val="none"/>
        </w:rPr>
        <w:t>社会保障</w:t>
      </w:r>
      <w:r>
        <w:rPr>
          <w:rFonts w:hint="eastAsia"/>
          <w:sz w:val="24"/>
          <w:szCs w:val="24"/>
          <w:highlight w:val="none"/>
        </w:rPr>
        <w:fldChar w:fldCharType="end"/>
      </w:r>
      <w:r>
        <w:rPr>
          <w:rFonts w:hint="eastAsia"/>
          <w:sz w:val="24"/>
          <w:szCs w:val="24"/>
          <w:highlight w:val="none"/>
        </w:rPr>
        <w:t>资金的良好记录；</w:t>
      </w:r>
    </w:p>
    <w:p>
      <w:pPr>
        <w:pStyle w:val="55"/>
        <w:adjustRightInd w:val="0"/>
        <w:snapToGrid w:val="0"/>
        <w:spacing w:line="440" w:lineRule="exact"/>
        <w:ind w:firstLine="480" w:firstLineChars="200"/>
        <w:rPr>
          <w:sz w:val="24"/>
          <w:szCs w:val="24"/>
          <w:highlight w:val="none"/>
        </w:rPr>
      </w:pPr>
      <w:r>
        <w:rPr>
          <w:rFonts w:hint="eastAsia"/>
          <w:sz w:val="24"/>
          <w:szCs w:val="24"/>
          <w:highlight w:val="none"/>
        </w:rPr>
        <w:t>5.参加政府采购活动前三年内，在经营活动中没有重大违法记录；</w:t>
      </w:r>
    </w:p>
    <w:p>
      <w:pPr>
        <w:pStyle w:val="55"/>
        <w:adjustRightInd w:val="0"/>
        <w:snapToGrid w:val="0"/>
        <w:spacing w:line="440" w:lineRule="exact"/>
        <w:ind w:firstLine="480" w:firstLineChars="200"/>
        <w:rPr>
          <w:sz w:val="24"/>
          <w:szCs w:val="24"/>
          <w:highlight w:val="none"/>
          <w:lang w:val="zh-CN"/>
        </w:rPr>
      </w:pPr>
      <w:r>
        <w:rPr>
          <w:rFonts w:hint="eastAsia"/>
          <w:sz w:val="24"/>
          <w:szCs w:val="24"/>
          <w:highlight w:val="none"/>
        </w:rPr>
        <w:t>6.法律、</w:t>
      </w:r>
      <w:r>
        <w:rPr>
          <w:highlight w:val="none"/>
        </w:rPr>
        <w:fldChar w:fldCharType="begin"/>
      </w:r>
      <w:r>
        <w:rPr>
          <w:highlight w:val="none"/>
        </w:rPr>
        <w:instrText xml:space="preserve"> HYPERLINK "http://www.lawtime.cn/info/sifakaoshi/xingzhengfa/" \t "_blank" </w:instrText>
      </w:r>
      <w:r>
        <w:rPr>
          <w:highlight w:val="none"/>
        </w:rPr>
        <w:fldChar w:fldCharType="separate"/>
      </w:r>
      <w:r>
        <w:rPr>
          <w:rFonts w:hint="eastAsia"/>
          <w:sz w:val="24"/>
          <w:szCs w:val="24"/>
          <w:highlight w:val="none"/>
        </w:rPr>
        <w:t>行政法</w:t>
      </w:r>
      <w:r>
        <w:rPr>
          <w:rFonts w:hint="eastAsia"/>
          <w:sz w:val="24"/>
          <w:szCs w:val="24"/>
          <w:highlight w:val="none"/>
        </w:rPr>
        <w:fldChar w:fldCharType="end"/>
      </w:r>
      <w:r>
        <w:rPr>
          <w:rFonts w:hint="eastAsia"/>
          <w:sz w:val="24"/>
          <w:szCs w:val="24"/>
          <w:highlight w:val="none"/>
        </w:rPr>
        <w:t>规规定的其他条件；</w:t>
      </w:r>
    </w:p>
    <w:p>
      <w:pPr>
        <w:pStyle w:val="48"/>
        <w:adjustRightInd w:val="0"/>
        <w:snapToGrid w:val="0"/>
        <w:spacing w:line="440" w:lineRule="exact"/>
        <w:ind w:firstLine="480" w:firstLineChars="200"/>
        <w:rPr>
          <w:sz w:val="24"/>
          <w:szCs w:val="24"/>
          <w:highlight w:val="none"/>
          <w:lang w:val="zh-CN"/>
        </w:rPr>
      </w:pPr>
      <w:r>
        <w:rPr>
          <w:rFonts w:hint="eastAsia"/>
          <w:sz w:val="24"/>
          <w:szCs w:val="24"/>
          <w:highlight w:val="none"/>
        </w:rPr>
        <w:t>(二)</w:t>
      </w:r>
      <w:r>
        <w:rPr>
          <w:rFonts w:hint="eastAsia"/>
          <w:sz w:val="24"/>
          <w:szCs w:val="24"/>
          <w:highlight w:val="none"/>
          <w:lang w:val="zh-CN"/>
        </w:rPr>
        <w:t>本项目的特定资格要求：</w:t>
      </w:r>
      <w:r>
        <w:rPr>
          <w:rFonts w:hint="eastAsia"/>
          <w:sz w:val="24"/>
          <w:szCs w:val="24"/>
          <w:highlight w:val="none"/>
        </w:rPr>
        <w:t>具备国家行政主管部门颁发的有效的</w:t>
      </w:r>
      <w:r>
        <w:rPr>
          <w:rFonts w:hint="eastAsia"/>
          <w:sz w:val="24"/>
          <w:szCs w:val="24"/>
          <w:highlight w:val="none"/>
          <w:u w:val="single"/>
        </w:rPr>
        <w:t>《中华人民共和国报纸出版许可证》</w:t>
      </w:r>
      <w:r>
        <w:rPr>
          <w:rFonts w:hint="eastAsia"/>
          <w:sz w:val="24"/>
          <w:szCs w:val="24"/>
          <w:highlight w:val="none"/>
        </w:rPr>
        <w:t>。</w:t>
      </w:r>
    </w:p>
    <w:p>
      <w:pPr>
        <w:pStyle w:val="45"/>
        <w:ind w:firstLine="482"/>
        <w:rPr>
          <w:highlight w:val="none"/>
        </w:rPr>
      </w:pPr>
      <w:bookmarkStart w:id="26" w:name="_Toc13311"/>
      <w:bookmarkStart w:id="27" w:name="_Toc3232"/>
      <w:r>
        <w:rPr>
          <w:rFonts w:hint="eastAsia"/>
          <w:highlight w:val="none"/>
        </w:rPr>
        <w:t>三、获取单一来源采购文件的时间期限、地点、方式及单一来源采购文件售价</w:t>
      </w:r>
      <w:bookmarkEnd w:id="26"/>
      <w:bookmarkEnd w:id="27"/>
    </w:p>
    <w:p>
      <w:pPr>
        <w:numPr>
          <w:ilvl w:val="0"/>
          <w:numId w:val="7"/>
        </w:numPr>
        <w:wordWrap w:val="0"/>
        <w:topLinePunct/>
        <w:spacing w:line="440" w:lineRule="exact"/>
        <w:ind w:firstLine="480" w:firstLineChars="200"/>
        <w:jc w:val="left"/>
        <w:rPr>
          <w:rFonts w:hAnsi="宋体"/>
          <w:sz w:val="24"/>
          <w:szCs w:val="24"/>
          <w:highlight w:val="none"/>
          <w:lang w:val="zh-CN"/>
        </w:rPr>
      </w:pPr>
      <w:r>
        <w:rPr>
          <w:rFonts w:hint="eastAsia" w:hAnsi="宋体"/>
          <w:sz w:val="24"/>
          <w:szCs w:val="24"/>
          <w:highlight w:val="none"/>
        </w:rPr>
        <w:t>获取单一来源的时间期限(即报名时间)：2021年</w:t>
      </w:r>
      <w:r>
        <w:rPr>
          <w:rFonts w:hint="eastAsia" w:hAnsi="宋体"/>
          <w:sz w:val="24"/>
          <w:szCs w:val="24"/>
          <w:highlight w:val="none"/>
          <w:lang w:val="en-US" w:eastAsia="zh-CN"/>
        </w:rPr>
        <w:t>5</w:t>
      </w:r>
      <w:r>
        <w:rPr>
          <w:rFonts w:hint="eastAsia" w:hAnsi="宋体"/>
          <w:sz w:val="24"/>
          <w:szCs w:val="24"/>
          <w:highlight w:val="none"/>
        </w:rPr>
        <w:t>月</w:t>
      </w:r>
      <w:r>
        <w:rPr>
          <w:rFonts w:hint="eastAsia" w:hAnsi="宋体"/>
          <w:sz w:val="24"/>
          <w:szCs w:val="24"/>
          <w:highlight w:val="none"/>
          <w:lang w:val="en-US" w:eastAsia="zh-CN"/>
        </w:rPr>
        <w:t>18</w:t>
      </w:r>
      <w:r>
        <w:rPr>
          <w:rFonts w:hint="eastAsia" w:hAnsi="宋体"/>
          <w:sz w:val="24"/>
          <w:szCs w:val="24"/>
          <w:highlight w:val="none"/>
        </w:rPr>
        <w:t>日至2021年</w:t>
      </w:r>
      <w:r>
        <w:rPr>
          <w:rFonts w:hint="eastAsia" w:hAnsi="宋体"/>
          <w:sz w:val="24"/>
          <w:szCs w:val="24"/>
          <w:highlight w:val="none"/>
          <w:lang w:val="en-US" w:eastAsia="zh-CN"/>
        </w:rPr>
        <w:t>5</w:t>
      </w:r>
      <w:r>
        <w:rPr>
          <w:rFonts w:hint="eastAsia" w:hAnsi="宋体"/>
          <w:sz w:val="24"/>
          <w:szCs w:val="24"/>
          <w:highlight w:val="none"/>
        </w:rPr>
        <w:t>月</w:t>
      </w:r>
      <w:r>
        <w:rPr>
          <w:rFonts w:hint="eastAsia" w:hAnsi="宋体"/>
          <w:sz w:val="24"/>
          <w:szCs w:val="24"/>
          <w:highlight w:val="none"/>
          <w:lang w:val="en-US" w:eastAsia="zh-CN"/>
        </w:rPr>
        <w:t>19</w:t>
      </w:r>
      <w:r>
        <w:rPr>
          <w:rFonts w:hint="eastAsia" w:hAnsi="宋体"/>
          <w:sz w:val="24"/>
          <w:szCs w:val="24"/>
          <w:highlight w:val="none"/>
        </w:rPr>
        <w:t>日，每天上午9时00分至12时00分，下午</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00</w:t>
      </w:r>
      <w:r>
        <w:rPr>
          <w:rFonts w:hint="eastAsia" w:hAnsi="宋体"/>
          <w:sz w:val="24"/>
          <w:szCs w:val="24"/>
          <w:highlight w:val="none"/>
        </w:rPr>
        <w:t>分至1</w:t>
      </w:r>
      <w:r>
        <w:rPr>
          <w:rFonts w:hint="eastAsia" w:hAnsi="宋体"/>
          <w:sz w:val="24"/>
          <w:szCs w:val="24"/>
          <w:highlight w:val="none"/>
          <w:lang w:val="en-US" w:eastAsia="zh-CN"/>
        </w:rPr>
        <w:t>7</w:t>
      </w:r>
      <w:r>
        <w:rPr>
          <w:rFonts w:hint="eastAsia" w:hAnsi="宋体"/>
          <w:sz w:val="24"/>
          <w:szCs w:val="24"/>
          <w:highlight w:val="none"/>
        </w:rPr>
        <w:t>时</w:t>
      </w:r>
      <w:r>
        <w:rPr>
          <w:rFonts w:hint="eastAsia" w:hAnsi="宋体"/>
          <w:sz w:val="24"/>
          <w:szCs w:val="24"/>
          <w:highlight w:val="none"/>
          <w:lang w:val="en-US" w:eastAsia="zh-CN"/>
        </w:rPr>
        <w:t>00</w:t>
      </w:r>
      <w:r>
        <w:rPr>
          <w:rFonts w:hint="eastAsia" w:hAnsi="宋体"/>
          <w:sz w:val="24"/>
          <w:szCs w:val="24"/>
          <w:highlight w:val="none"/>
        </w:rPr>
        <w:t>分</w:t>
      </w:r>
      <w:r>
        <w:rPr>
          <w:rFonts w:hint="eastAsia" w:hAnsi="宋体"/>
          <w:sz w:val="24"/>
          <w:szCs w:val="24"/>
          <w:highlight w:val="none"/>
          <w:lang w:eastAsia="zh-CN"/>
        </w:rPr>
        <w:t>(</w:t>
      </w:r>
      <w:r>
        <w:rPr>
          <w:rFonts w:hint="eastAsia" w:hAnsi="宋体"/>
          <w:sz w:val="24"/>
          <w:szCs w:val="24"/>
          <w:highlight w:val="none"/>
        </w:rPr>
        <w:t>北京时间，法定节假日除外</w:t>
      </w:r>
      <w:r>
        <w:rPr>
          <w:rFonts w:hint="eastAsia" w:hAnsi="宋体"/>
          <w:sz w:val="24"/>
          <w:szCs w:val="24"/>
          <w:highlight w:val="none"/>
          <w:lang w:eastAsia="zh-CN"/>
        </w:rPr>
        <w:t>)</w:t>
      </w:r>
      <w:r>
        <w:rPr>
          <w:rFonts w:hint="eastAsia" w:hAnsi="宋体"/>
          <w:sz w:val="24"/>
          <w:szCs w:val="24"/>
          <w:highlight w:val="none"/>
          <w:lang w:val="zh-CN"/>
        </w:rPr>
        <w:t>。</w:t>
      </w:r>
    </w:p>
    <w:p>
      <w:pPr>
        <w:numPr>
          <w:ilvl w:val="0"/>
          <w:numId w:val="7"/>
        </w:numPr>
        <w:wordWrap w:val="0"/>
        <w:topLinePunct/>
        <w:spacing w:line="440" w:lineRule="exact"/>
        <w:ind w:firstLine="480" w:firstLineChars="200"/>
        <w:jc w:val="left"/>
        <w:rPr>
          <w:rFonts w:hAnsi="宋体"/>
          <w:sz w:val="24"/>
          <w:szCs w:val="24"/>
          <w:highlight w:val="none"/>
          <w:lang w:val="zh-CN"/>
        </w:rPr>
      </w:pPr>
      <w:r>
        <w:rPr>
          <w:rFonts w:hint="eastAsia" w:hAnsi="宋体"/>
          <w:sz w:val="24"/>
          <w:szCs w:val="24"/>
          <w:highlight w:val="none"/>
        </w:rPr>
        <w:t>获取单一来源采购文件的地点：http://www.qxztb.cn</w:t>
      </w:r>
      <w:r>
        <w:rPr>
          <w:rFonts w:hint="eastAsia" w:hAnsi="宋体"/>
          <w:sz w:val="24"/>
          <w:szCs w:val="24"/>
          <w:highlight w:val="none"/>
          <w:lang w:val="zh-CN"/>
        </w:rPr>
        <w:t>。</w:t>
      </w:r>
    </w:p>
    <w:p>
      <w:pPr>
        <w:numPr>
          <w:ilvl w:val="0"/>
          <w:numId w:val="7"/>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获取</w:t>
      </w:r>
      <w:r>
        <w:rPr>
          <w:rFonts w:hint="eastAsia" w:hAnsi="宋体"/>
          <w:sz w:val="24"/>
          <w:szCs w:val="24"/>
          <w:highlight w:val="none"/>
          <w:lang w:val="zh-CN"/>
        </w:rPr>
        <w:t>单一来源采购文件</w:t>
      </w:r>
      <w:r>
        <w:rPr>
          <w:rFonts w:hint="eastAsia" w:hAnsi="宋体"/>
          <w:sz w:val="24"/>
          <w:szCs w:val="24"/>
          <w:highlight w:val="none"/>
        </w:rPr>
        <w:t>的方式：</w:t>
      </w: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1.在本项目单一来源采购文件获取时间期限内，采购代理机构指定网站(http://www.qxztb.cn)购买，具体购买流程详见该网站的“标书在线购买流程”。</w:t>
      </w: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2.报名咨询电话：028-61375575、62600820、62630990转601或602。</w:t>
      </w: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供应商购买单一来源采购文件时须如实认真填写项目信息及供应商信息；若因供应商提供的错误信息，对其参加协商事宜造成影响的，由供应商自行承担所有责任(若供应商需变更报名信息，请于获取单一来源采购文件截止之日前联系采购代理机构重新登记)。</w:t>
      </w:r>
    </w:p>
    <w:p>
      <w:pPr>
        <w:numPr>
          <w:ilvl w:val="0"/>
          <w:numId w:val="7"/>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单一来源采购文件售价：人民币150元/份(单一来源采购文件售后不退，协商资格不得转让)。</w:t>
      </w:r>
    </w:p>
    <w:p>
      <w:pPr>
        <w:numPr>
          <w:ilvl w:val="0"/>
          <w:numId w:val="7"/>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供应商应在规定的时间未按照上述要求获取本单一来源采购文件，如在规定时间内未获取单一来源采购文件供应商均无资格参加该项目的协商。</w:t>
      </w:r>
    </w:p>
    <w:p>
      <w:pPr>
        <w:pStyle w:val="45"/>
        <w:ind w:firstLine="482"/>
        <w:rPr>
          <w:highlight w:val="none"/>
        </w:rPr>
      </w:pPr>
      <w:bookmarkStart w:id="28" w:name="_Toc22454"/>
      <w:bookmarkStart w:id="29" w:name="_Toc24303"/>
      <w:r>
        <w:rPr>
          <w:rFonts w:hint="eastAsia"/>
          <w:highlight w:val="none"/>
        </w:rPr>
        <w:t>四、响应文件的递交</w:t>
      </w:r>
      <w:bookmarkEnd w:id="28"/>
      <w:bookmarkEnd w:id="29"/>
    </w:p>
    <w:p>
      <w:pPr>
        <w:numPr>
          <w:ilvl w:val="0"/>
          <w:numId w:val="8"/>
        </w:numPr>
        <w:wordWrap w:val="0"/>
        <w:topLinePunct/>
        <w:spacing w:line="440" w:lineRule="exact"/>
        <w:ind w:firstLine="480" w:firstLineChars="200"/>
        <w:jc w:val="left"/>
        <w:rPr>
          <w:rFonts w:hAnsi="宋体"/>
          <w:sz w:val="24"/>
          <w:szCs w:val="24"/>
          <w:highlight w:val="none"/>
          <w:lang w:val="zh-CN"/>
        </w:rPr>
      </w:pPr>
      <w:r>
        <w:rPr>
          <w:rFonts w:hint="eastAsia" w:hAnsi="宋体"/>
          <w:sz w:val="24"/>
          <w:szCs w:val="24"/>
          <w:highlight w:val="none"/>
          <w:lang w:val="zh-CN"/>
        </w:rPr>
        <w:t>响应文件递交的起止时间：</w:t>
      </w:r>
      <w:r>
        <w:rPr>
          <w:rFonts w:hint="eastAsia" w:hAnsi="宋体"/>
          <w:sz w:val="24"/>
          <w:szCs w:val="24"/>
          <w:highlight w:val="none"/>
          <w:lang w:val="zh-CN"/>
        </w:rPr>
        <w:t>20</w:t>
      </w:r>
      <w:r>
        <w:rPr>
          <w:rFonts w:hint="eastAsia" w:hAnsi="宋体"/>
          <w:sz w:val="24"/>
          <w:szCs w:val="24"/>
          <w:highlight w:val="none"/>
        </w:rPr>
        <w:t>21</w:t>
      </w:r>
      <w:r>
        <w:rPr>
          <w:rFonts w:hint="eastAsia" w:hAnsi="宋体"/>
          <w:sz w:val="24"/>
          <w:szCs w:val="24"/>
          <w:highlight w:val="none"/>
          <w:lang w:val="zh-CN"/>
        </w:rPr>
        <w:t>年</w:t>
      </w:r>
      <w:r>
        <w:rPr>
          <w:rFonts w:hint="eastAsia" w:hAnsi="宋体"/>
          <w:sz w:val="24"/>
          <w:szCs w:val="24"/>
          <w:highlight w:val="none"/>
          <w:lang w:val="en-US" w:eastAsia="zh-CN"/>
        </w:rPr>
        <w:t>5</w:t>
      </w:r>
      <w:r>
        <w:rPr>
          <w:rFonts w:hint="eastAsia" w:hAnsi="宋体"/>
          <w:sz w:val="24"/>
          <w:szCs w:val="24"/>
          <w:highlight w:val="none"/>
        </w:rPr>
        <w:t>月</w:t>
      </w:r>
      <w:r>
        <w:rPr>
          <w:rFonts w:hint="eastAsia" w:hAnsi="宋体"/>
          <w:sz w:val="24"/>
          <w:szCs w:val="24"/>
          <w:highlight w:val="none"/>
          <w:lang w:val="en-US" w:eastAsia="zh-CN"/>
        </w:rPr>
        <w:t>25</w:t>
      </w:r>
      <w:r>
        <w:rPr>
          <w:rFonts w:hint="eastAsia" w:hAnsi="宋体"/>
          <w:sz w:val="24"/>
          <w:szCs w:val="24"/>
          <w:highlight w:val="none"/>
        </w:rPr>
        <w:t>日</w:t>
      </w:r>
      <w:r>
        <w:rPr>
          <w:rFonts w:hint="eastAsia" w:hAnsi="宋体"/>
          <w:sz w:val="24"/>
          <w:szCs w:val="24"/>
          <w:highlight w:val="none"/>
          <w:lang w:val="en-US" w:eastAsia="zh-CN"/>
        </w:rPr>
        <w:t>14</w:t>
      </w:r>
      <w:r>
        <w:rPr>
          <w:rFonts w:hint="eastAsia" w:hAnsi="宋体"/>
          <w:sz w:val="24"/>
          <w:szCs w:val="24"/>
          <w:highlight w:val="none"/>
          <w:lang w:val="zh-CN"/>
        </w:rPr>
        <w:t>时</w:t>
      </w:r>
      <w:r>
        <w:rPr>
          <w:rFonts w:hint="eastAsia" w:hAnsi="宋体"/>
          <w:sz w:val="24"/>
          <w:szCs w:val="24"/>
          <w:highlight w:val="none"/>
        </w:rPr>
        <w:t>00</w:t>
      </w:r>
      <w:r>
        <w:rPr>
          <w:rFonts w:hint="eastAsia" w:hAnsi="宋体"/>
          <w:sz w:val="24"/>
          <w:szCs w:val="24"/>
          <w:highlight w:val="none"/>
          <w:lang w:val="zh-CN"/>
        </w:rPr>
        <w:t>分至</w:t>
      </w:r>
      <w:r>
        <w:rPr>
          <w:rFonts w:hint="eastAsia" w:hAnsi="宋体"/>
          <w:sz w:val="24"/>
          <w:szCs w:val="24"/>
          <w:highlight w:val="none"/>
          <w:lang w:val="en-US" w:eastAsia="zh-CN"/>
        </w:rPr>
        <w:t>14</w:t>
      </w:r>
      <w:r>
        <w:rPr>
          <w:rFonts w:hint="eastAsia" w:hAnsi="宋体"/>
          <w:sz w:val="24"/>
          <w:szCs w:val="24"/>
          <w:highlight w:val="none"/>
          <w:lang w:val="zh-CN"/>
        </w:rPr>
        <w:t>时</w:t>
      </w:r>
      <w:r>
        <w:rPr>
          <w:rFonts w:hint="eastAsia" w:hAnsi="宋体"/>
          <w:sz w:val="24"/>
          <w:szCs w:val="24"/>
          <w:highlight w:val="none"/>
        </w:rPr>
        <w:t>30</w:t>
      </w:r>
      <w:r>
        <w:rPr>
          <w:rFonts w:hint="eastAsia" w:hAnsi="宋体"/>
          <w:sz w:val="24"/>
          <w:szCs w:val="24"/>
          <w:highlight w:val="none"/>
          <w:lang w:val="zh-CN"/>
        </w:rPr>
        <w:t>分(北京时间)；</w:t>
      </w:r>
    </w:p>
    <w:p>
      <w:pPr>
        <w:numPr>
          <w:ilvl w:val="0"/>
          <w:numId w:val="8"/>
        </w:numPr>
        <w:wordWrap w:val="0"/>
        <w:topLinePunct/>
        <w:spacing w:line="440" w:lineRule="exact"/>
        <w:ind w:firstLine="480" w:firstLineChars="200"/>
        <w:jc w:val="left"/>
        <w:rPr>
          <w:rFonts w:hAnsi="宋体"/>
          <w:sz w:val="24"/>
          <w:szCs w:val="24"/>
          <w:highlight w:val="none"/>
          <w:lang w:val="zh-CN"/>
        </w:rPr>
      </w:pPr>
      <w:r>
        <w:rPr>
          <w:rFonts w:hint="eastAsia" w:hAnsi="宋体"/>
          <w:sz w:val="24"/>
          <w:szCs w:val="24"/>
          <w:highlight w:val="none"/>
          <w:lang w:val="zh-CN"/>
        </w:rPr>
        <w:t>响应文件</w:t>
      </w:r>
      <w:r>
        <w:rPr>
          <w:rFonts w:hint="eastAsia" w:hAnsi="宋体"/>
          <w:sz w:val="24"/>
          <w:szCs w:val="24"/>
          <w:highlight w:val="none"/>
        </w:rPr>
        <w:t>递交</w:t>
      </w:r>
      <w:r>
        <w:rPr>
          <w:rFonts w:hint="eastAsia" w:hAnsi="宋体"/>
          <w:sz w:val="24"/>
          <w:szCs w:val="24"/>
          <w:highlight w:val="none"/>
          <w:lang w:val="zh-CN"/>
        </w:rPr>
        <w:t>截止时间：</w:t>
      </w:r>
      <w:r>
        <w:rPr>
          <w:rFonts w:hint="eastAsia" w:hAnsi="宋体"/>
          <w:sz w:val="24"/>
          <w:szCs w:val="24"/>
          <w:highlight w:val="none"/>
          <w:lang w:val="zh-CN"/>
        </w:rPr>
        <w:t>20</w:t>
      </w:r>
      <w:r>
        <w:rPr>
          <w:rFonts w:hint="eastAsia" w:hAnsi="宋体"/>
          <w:sz w:val="24"/>
          <w:szCs w:val="24"/>
          <w:highlight w:val="none"/>
        </w:rPr>
        <w:t>21</w:t>
      </w:r>
      <w:r>
        <w:rPr>
          <w:rFonts w:hint="eastAsia" w:hAnsi="宋体"/>
          <w:sz w:val="24"/>
          <w:szCs w:val="24"/>
          <w:highlight w:val="none"/>
          <w:lang w:val="zh-CN"/>
        </w:rPr>
        <w:t>年</w:t>
      </w:r>
      <w:r>
        <w:rPr>
          <w:rFonts w:hint="eastAsia" w:hAnsi="宋体"/>
          <w:sz w:val="24"/>
          <w:szCs w:val="24"/>
          <w:highlight w:val="none"/>
          <w:lang w:val="en-US" w:eastAsia="zh-CN"/>
        </w:rPr>
        <w:t>5</w:t>
      </w:r>
      <w:r>
        <w:rPr>
          <w:rFonts w:hint="eastAsia" w:hAnsi="宋体"/>
          <w:sz w:val="24"/>
          <w:szCs w:val="24"/>
          <w:highlight w:val="none"/>
        </w:rPr>
        <w:t>月</w:t>
      </w:r>
      <w:r>
        <w:rPr>
          <w:rFonts w:hint="eastAsia" w:hAnsi="宋体"/>
          <w:sz w:val="24"/>
          <w:szCs w:val="24"/>
          <w:highlight w:val="none"/>
          <w:lang w:val="en-US" w:eastAsia="zh-CN"/>
        </w:rPr>
        <w:t>25</w:t>
      </w:r>
      <w:r>
        <w:rPr>
          <w:rFonts w:hint="eastAsia" w:hAnsi="宋体"/>
          <w:sz w:val="24"/>
          <w:szCs w:val="24"/>
          <w:highlight w:val="none"/>
        </w:rPr>
        <w:t>日</w:t>
      </w:r>
      <w:r>
        <w:rPr>
          <w:rFonts w:hint="eastAsia" w:hAnsi="宋体"/>
          <w:sz w:val="24"/>
          <w:szCs w:val="24"/>
          <w:highlight w:val="none"/>
          <w:lang w:val="en-US" w:eastAsia="zh-CN"/>
        </w:rPr>
        <w:t>14</w:t>
      </w:r>
      <w:r>
        <w:rPr>
          <w:rFonts w:hint="eastAsia" w:hAnsi="宋体"/>
          <w:sz w:val="24"/>
          <w:szCs w:val="24"/>
          <w:highlight w:val="none"/>
          <w:lang w:val="zh-CN"/>
        </w:rPr>
        <w:t>时</w:t>
      </w:r>
      <w:r>
        <w:rPr>
          <w:rFonts w:hint="eastAsia" w:hAnsi="宋体"/>
          <w:sz w:val="24"/>
          <w:szCs w:val="24"/>
          <w:highlight w:val="none"/>
        </w:rPr>
        <w:t>30</w:t>
      </w:r>
      <w:r>
        <w:rPr>
          <w:rFonts w:hint="eastAsia" w:hAnsi="宋体"/>
          <w:sz w:val="24"/>
          <w:szCs w:val="24"/>
          <w:highlight w:val="none"/>
          <w:lang w:val="zh-CN"/>
        </w:rPr>
        <w:t>分(北京时间)；</w:t>
      </w:r>
    </w:p>
    <w:p>
      <w:pPr>
        <w:numPr>
          <w:ilvl w:val="0"/>
          <w:numId w:val="8"/>
        </w:numPr>
        <w:wordWrap w:val="0"/>
        <w:topLinePunct/>
        <w:spacing w:line="440" w:lineRule="exact"/>
        <w:ind w:firstLine="480" w:firstLineChars="200"/>
        <w:jc w:val="left"/>
        <w:rPr>
          <w:rFonts w:hAnsi="宋体"/>
          <w:sz w:val="24"/>
          <w:szCs w:val="24"/>
          <w:highlight w:val="none"/>
          <w:lang w:val="zh-CN"/>
        </w:rPr>
      </w:pPr>
      <w:r>
        <w:rPr>
          <w:rFonts w:hint="eastAsia" w:hAnsi="宋体"/>
          <w:sz w:val="24"/>
          <w:szCs w:val="24"/>
          <w:highlight w:val="none"/>
          <w:lang w:val="zh-CN"/>
        </w:rPr>
        <w:t>响应文件递交地点：成都市高新区吉庆三路333号蜀都中心二期一号楼一单元401号本项目洽谈室；</w:t>
      </w:r>
    </w:p>
    <w:p>
      <w:pPr>
        <w:numPr>
          <w:ilvl w:val="0"/>
          <w:numId w:val="8"/>
        </w:numPr>
        <w:wordWrap w:val="0"/>
        <w:topLinePunct/>
        <w:spacing w:line="440" w:lineRule="exact"/>
        <w:ind w:firstLine="480" w:firstLineChars="200"/>
        <w:jc w:val="left"/>
        <w:rPr>
          <w:rFonts w:hAnsi="宋体"/>
          <w:sz w:val="24"/>
          <w:szCs w:val="24"/>
          <w:highlight w:val="none"/>
          <w:lang w:val="zh-CN"/>
        </w:rPr>
      </w:pPr>
      <w:r>
        <w:rPr>
          <w:rFonts w:hint="eastAsia" w:hAnsi="宋体"/>
          <w:sz w:val="24"/>
          <w:szCs w:val="24"/>
          <w:highlight w:val="none"/>
          <w:lang w:val="zh-CN"/>
        </w:rPr>
        <w:t>响应文件必须在响应文件递交的截止时间前送达递交地点，逾期送达的响应文件恕不接收，本次采购不接受邮寄的响应文件。</w:t>
      </w:r>
    </w:p>
    <w:p>
      <w:pPr>
        <w:pStyle w:val="45"/>
        <w:numPr>
          <w:ilvl w:val="0"/>
          <w:numId w:val="9"/>
        </w:numPr>
        <w:ind w:firstLine="482"/>
        <w:rPr>
          <w:highlight w:val="none"/>
        </w:rPr>
      </w:pPr>
      <w:bookmarkStart w:id="30" w:name="_Toc29218"/>
      <w:bookmarkStart w:id="31" w:name="_Toc1117"/>
      <w:r>
        <w:rPr>
          <w:rFonts w:hint="eastAsia"/>
          <w:highlight w:val="none"/>
        </w:rPr>
        <w:t>协商时间及地点</w:t>
      </w:r>
      <w:bookmarkEnd w:id="30"/>
      <w:bookmarkEnd w:id="31"/>
    </w:p>
    <w:p>
      <w:pPr>
        <w:pStyle w:val="45"/>
        <w:numPr>
          <w:ilvl w:val="0"/>
          <w:numId w:val="10"/>
        </w:numPr>
        <w:ind w:firstLine="482"/>
        <w:outlineLvl w:val="9"/>
        <w:rPr>
          <w:highlight w:val="none"/>
        </w:rPr>
      </w:pPr>
      <w:bookmarkStart w:id="32" w:name="_Toc26396"/>
      <w:bookmarkStart w:id="33" w:name="_Toc9975"/>
      <w:r>
        <w:rPr>
          <w:rFonts w:hint="eastAsia"/>
          <w:highlight w:val="none"/>
        </w:rPr>
        <w:t>协商时间：</w:t>
      </w:r>
      <w:bookmarkEnd w:id="32"/>
      <w:bookmarkEnd w:id="33"/>
    </w:p>
    <w:p>
      <w:pPr>
        <w:spacing w:line="440" w:lineRule="exact"/>
        <w:ind w:firstLine="482" w:firstLineChars="200"/>
        <w:rPr>
          <w:b/>
          <w:bCs/>
          <w:sz w:val="24"/>
          <w:szCs w:val="24"/>
          <w:highlight w:val="none"/>
          <w:lang w:val="zh-CN"/>
        </w:rPr>
      </w:pPr>
      <w:r>
        <w:rPr>
          <w:rFonts w:hint="eastAsia"/>
          <w:b/>
          <w:bCs/>
          <w:sz w:val="24"/>
          <w:szCs w:val="24"/>
          <w:highlight w:val="none"/>
          <w:lang w:val="zh-CN"/>
        </w:rPr>
        <w:t>20</w:t>
      </w:r>
      <w:r>
        <w:rPr>
          <w:rFonts w:hint="eastAsia"/>
          <w:b/>
          <w:bCs/>
          <w:sz w:val="24"/>
          <w:szCs w:val="24"/>
          <w:highlight w:val="none"/>
        </w:rPr>
        <w:t>21</w:t>
      </w:r>
      <w:r>
        <w:rPr>
          <w:rFonts w:hint="eastAsia"/>
          <w:b/>
          <w:bCs/>
          <w:sz w:val="24"/>
          <w:szCs w:val="24"/>
          <w:highlight w:val="none"/>
          <w:lang w:val="zh-CN"/>
        </w:rPr>
        <w:t>年</w:t>
      </w:r>
      <w:r>
        <w:rPr>
          <w:rFonts w:hint="eastAsia"/>
          <w:b/>
          <w:bCs/>
          <w:sz w:val="24"/>
          <w:szCs w:val="24"/>
          <w:highlight w:val="none"/>
          <w:lang w:val="en-US" w:eastAsia="zh-CN"/>
        </w:rPr>
        <w:t>5</w:t>
      </w:r>
      <w:r>
        <w:rPr>
          <w:rFonts w:hint="eastAsia"/>
          <w:b/>
          <w:bCs/>
          <w:sz w:val="24"/>
          <w:szCs w:val="24"/>
          <w:highlight w:val="none"/>
        </w:rPr>
        <w:t>月</w:t>
      </w:r>
      <w:r>
        <w:rPr>
          <w:rFonts w:hint="eastAsia"/>
          <w:b/>
          <w:bCs/>
          <w:sz w:val="24"/>
          <w:szCs w:val="24"/>
          <w:highlight w:val="none"/>
          <w:lang w:val="en-US" w:eastAsia="zh-CN"/>
        </w:rPr>
        <w:t>25</w:t>
      </w:r>
      <w:r>
        <w:rPr>
          <w:rFonts w:hint="eastAsia"/>
          <w:b/>
          <w:bCs/>
          <w:sz w:val="24"/>
          <w:szCs w:val="24"/>
          <w:highlight w:val="none"/>
        </w:rPr>
        <w:t>日</w:t>
      </w:r>
      <w:r>
        <w:rPr>
          <w:rFonts w:hint="eastAsia"/>
          <w:b/>
          <w:bCs/>
          <w:sz w:val="24"/>
          <w:szCs w:val="24"/>
          <w:highlight w:val="none"/>
          <w:lang w:val="en-US" w:eastAsia="zh-CN"/>
        </w:rPr>
        <w:t>14</w:t>
      </w:r>
      <w:r>
        <w:rPr>
          <w:rFonts w:hint="eastAsia"/>
          <w:b/>
          <w:bCs/>
          <w:sz w:val="24"/>
          <w:szCs w:val="24"/>
          <w:highlight w:val="none"/>
          <w:lang w:val="zh-CN"/>
        </w:rPr>
        <w:t>时</w:t>
      </w:r>
      <w:r>
        <w:rPr>
          <w:rFonts w:hint="eastAsia"/>
          <w:b/>
          <w:bCs/>
          <w:sz w:val="24"/>
          <w:szCs w:val="24"/>
          <w:highlight w:val="none"/>
        </w:rPr>
        <w:t>30</w:t>
      </w:r>
      <w:r>
        <w:rPr>
          <w:rFonts w:hint="eastAsia"/>
          <w:b/>
          <w:bCs/>
          <w:sz w:val="24"/>
          <w:szCs w:val="24"/>
          <w:highlight w:val="none"/>
          <w:lang w:val="zh-CN"/>
        </w:rPr>
        <w:t>分(北京时间)</w:t>
      </w:r>
    </w:p>
    <w:p>
      <w:pPr>
        <w:pStyle w:val="45"/>
        <w:numPr>
          <w:ilvl w:val="0"/>
          <w:numId w:val="10"/>
        </w:numPr>
        <w:ind w:firstLine="482"/>
        <w:outlineLvl w:val="9"/>
        <w:rPr>
          <w:szCs w:val="24"/>
          <w:highlight w:val="none"/>
        </w:rPr>
      </w:pPr>
      <w:bookmarkStart w:id="34" w:name="_Toc3755"/>
      <w:bookmarkStart w:id="35" w:name="_Toc31905"/>
      <w:r>
        <w:rPr>
          <w:rFonts w:hint="eastAsia"/>
          <w:szCs w:val="24"/>
          <w:highlight w:val="none"/>
        </w:rPr>
        <w:t>协商地点：</w:t>
      </w:r>
      <w:bookmarkEnd w:id="34"/>
      <w:bookmarkEnd w:id="35"/>
    </w:p>
    <w:p>
      <w:pPr>
        <w:spacing w:line="440" w:lineRule="exact"/>
        <w:ind w:firstLine="482" w:firstLineChars="200"/>
        <w:rPr>
          <w:b/>
          <w:bCs/>
          <w:sz w:val="24"/>
          <w:szCs w:val="24"/>
          <w:highlight w:val="none"/>
        </w:rPr>
      </w:pPr>
      <w:r>
        <w:rPr>
          <w:rFonts w:hint="eastAsia"/>
          <w:b/>
          <w:bCs/>
          <w:sz w:val="24"/>
          <w:szCs w:val="24"/>
          <w:highlight w:val="none"/>
          <w:lang w:val="zh-CN"/>
        </w:rPr>
        <w:t>成都市高新区吉庆三路333号蜀都中心二期一号楼一单元401号(本项目洽谈室)</w:t>
      </w:r>
    </w:p>
    <w:p>
      <w:pPr>
        <w:pStyle w:val="45"/>
        <w:ind w:firstLine="482"/>
        <w:rPr>
          <w:highlight w:val="none"/>
        </w:rPr>
      </w:pPr>
      <w:bookmarkStart w:id="36" w:name="_Toc4214"/>
      <w:bookmarkStart w:id="37" w:name="_Toc23333"/>
      <w:r>
        <w:rPr>
          <w:rFonts w:hint="eastAsia"/>
          <w:highlight w:val="none"/>
        </w:rPr>
        <w:t>六、供应商邀请方式及采购信息发布媒体</w:t>
      </w:r>
      <w:bookmarkEnd w:id="36"/>
      <w:bookmarkEnd w:id="37"/>
    </w:p>
    <w:p>
      <w:pPr>
        <w:pStyle w:val="34"/>
        <w:wordWrap w:val="0"/>
        <w:topLinePunct/>
        <w:spacing w:line="440" w:lineRule="exact"/>
        <w:ind w:firstLine="480"/>
        <w:rPr>
          <w:rFonts w:hAnsi="宋体"/>
          <w:sz w:val="24"/>
          <w:szCs w:val="24"/>
          <w:highlight w:val="none"/>
        </w:rPr>
      </w:pPr>
      <w:r>
        <w:rPr>
          <w:rFonts w:hint="eastAsia" w:hAnsi="宋体"/>
          <w:sz w:val="24"/>
          <w:szCs w:val="24"/>
          <w:highlight w:val="none"/>
        </w:rPr>
        <w:t>本采购邀请在“四川政府采购网”以公告形式发布。</w:t>
      </w:r>
    </w:p>
    <w:p>
      <w:pPr>
        <w:pStyle w:val="45"/>
        <w:ind w:firstLine="482"/>
        <w:rPr>
          <w:highlight w:val="none"/>
        </w:rPr>
      </w:pPr>
      <w:bookmarkStart w:id="38" w:name="_Toc10768"/>
      <w:bookmarkStart w:id="39" w:name="_Toc11536"/>
      <w:r>
        <w:rPr>
          <w:rFonts w:hint="eastAsia"/>
          <w:highlight w:val="none"/>
        </w:rPr>
        <w:t>七、供应商信用融资</w:t>
      </w:r>
      <w:bookmarkEnd w:id="38"/>
      <w:bookmarkEnd w:id="39"/>
    </w:p>
    <w:p>
      <w:pPr>
        <w:pStyle w:val="34"/>
        <w:wordWrap w:val="0"/>
        <w:topLinePunct/>
        <w:spacing w:line="440" w:lineRule="exact"/>
        <w:ind w:firstLine="480"/>
        <w:rPr>
          <w:rFonts w:hAnsi="宋体"/>
          <w:sz w:val="24"/>
          <w:szCs w:val="24"/>
          <w:highlight w:val="none"/>
        </w:rPr>
      </w:pPr>
      <w:r>
        <w:rPr>
          <w:rFonts w:hint="eastAsia" w:hAnsi="宋体"/>
          <w:sz w:val="24"/>
          <w:szCs w:val="24"/>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通知书向银行提出贷款意向申请，并按照相关规定要求和贷款流程申请信用融资贷款。</w:t>
      </w:r>
    </w:p>
    <w:p>
      <w:pPr>
        <w:pStyle w:val="45"/>
        <w:ind w:firstLine="482"/>
        <w:rPr>
          <w:highlight w:val="none"/>
        </w:rPr>
      </w:pPr>
      <w:bookmarkStart w:id="40" w:name="_Toc20186"/>
      <w:bookmarkStart w:id="41" w:name="_Toc25405"/>
      <w:bookmarkStart w:id="42" w:name="_Toc3373"/>
      <w:bookmarkStart w:id="43" w:name="_Toc32026"/>
      <w:bookmarkStart w:id="44" w:name="_Toc17349"/>
      <w:bookmarkStart w:id="45" w:name="_Toc12914"/>
      <w:bookmarkStart w:id="46" w:name="_Toc2850"/>
      <w:bookmarkStart w:id="47" w:name="_Toc213397009"/>
      <w:bookmarkStart w:id="48" w:name="_Toc31681"/>
      <w:bookmarkStart w:id="49" w:name="_Toc5509"/>
      <w:bookmarkStart w:id="50" w:name="_Toc217446031"/>
      <w:bookmarkStart w:id="51" w:name="_Toc213396945"/>
      <w:bookmarkStart w:id="52" w:name="_Toc213496267"/>
      <w:bookmarkStart w:id="53" w:name="_Toc14832"/>
      <w:bookmarkStart w:id="54" w:name="_Toc213396759"/>
      <w:bookmarkStart w:id="55" w:name="_Toc21313"/>
      <w:bookmarkStart w:id="56" w:name="_Toc931"/>
      <w:r>
        <w:rPr>
          <w:rFonts w:hint="eastAsia"/>
          <w:highlight w:val="none"/>
        </w:rPr>
        <w:t>八、凡对本次采购提出询问，请按以下方式联系。</w:t>
      </w:r>
      <w:bookmarkEnd w:id="40"/>
      <w:bookmarkEnd w:id="41"/>
    </w:p>
    <w:p>
      <w:pPr>
        <w:pStyle w:val="34"/>
        <w:wordWrap w:val="0"/>
        <w:topLinePunct/>
        <w:spacing w:line="440" w:lineRule="exact"/>
        <w:ind w:firstLine="480"/>
        <w:rPr>
          <w:rFonts w:hAnsi="宋体"/>
          <w:sz w:val="24"/>
          <w:szCs w:val="24"/>
          <w:highlight w:val="none"/>
        </w:rPr>
      </w:pPr>
      <w:r>
        <w:rPr>
          <w:rFonts w:hint="eastAsia" w:hAnsi="宋体"/>
          <w:sz w:val="24"/>
          <w:szCs w:val="24"/>
          <w:highlight w:val="none"/>
          <w:lang w:eastAsia="zh-CN"/>
        </w:rPr>
        <w:t>(</w:t>
      </w:r>
      <w:r>
        <w:rPr>
          <w:rFonts w:hint="eastAsia" w:hAnsi="宋体"/>
          <w:sz w:val="24"/>
          <w:szCs w:val="24"/>
          <w:highlight w:val="none"/>
        </w:rPr>
        <w:t>一</w:t>
      </w:r>
      <w:r>
        <w:rPr>
          <w:rFonts w:hint="eastAsia" w:hAnsi="宋体"/>
          <w:sz w:val="24"/>
          <w:szCs w:val="24"/>
          <w:highlight w:val="none"/>
          <w:lang w:eastAsia="zh-CN"/>
        </w:rPr>
        <w:t>)</w:t>
      </w:r>
      <w:r>
        <w:rPr>
          <w:rFonts w:hint="eastAsia" w:hAnsi="宋体"/>
          <w:sz w:val="24"/>
          <w:szCs w:val="24"/>
          <w:highlight w:val="none"/>
        </w:rPr>
        <w:t>采购人信息</w:t>
      </w:r>
    </w:p>
    <w:p>
      <w:pPr>
        <w:pStyle w:val="34"/>
        <w:wordWrap w:val="0"/>
        <w:topLinePunct/>
        <w:spacing w:line="440" w:lineRule="exact"/>
        <w:ind w:firstLine="480"/>
        <w:rPr>
          <w:rFonts w:hAnsi="宋体"/>
          <w:sz w:val="24"/>
          <w:szCs w:val="24"/>
          <w:highlight w:val="none"/>
        </w:rPr>
      </w:pPr>
      <w:r>
        <w:rPr>
          <w:rFonts w:hint="eastAsia" w:hAnsi="宋体"/>
          <w:sz w:val="24"/>
          <w:szCs w:val="24"/>
          <w:highlight w:val="none"/>
        </w:rPr>
        <w:t>名    称：成都市城市管理委员会</w:t>
      </w:r>
    </w:p>
    <w:p>
      <w:pPr>
        <w:pStyle w:val="34"/>
        <w:wordWrap w:val="0"/>
        <w:topLinePunct/>
        <w:spacing w:line="440" w:lineRule="exact"/>
        <w:ind w:firstLine="480"/>
        <w:rPr>
          <w:rFonts w:hAnsi="宋体"/>
          <w:sz w:val="24"/>
          <w:highlight w:val="none"/>
        </w:rPr>
      </w:pPr>
      <w:r>
        <w:rPr>
          <w:rFonts w:hint="eastAsia" w:hAnsi="宋体"/>
          <w:sz w:val="24"/>
          <w:highlight w:val="none"/>
        </w:rPr>
        <w:t>地    址：</w:t>
      </w:r>
      <w:r>
        <w:rPr>
          <w:rFonts w:hint="eastAsia" w:asciiTheme="minorEastAsia" w:hAnsiTheme="minorEastAsia" w:eastAsiaTheme="minorEastAsia" w:cstheme="minorEastAsia"/>
          <w:sz w:val="24"/>
          <w:highlight w:val="none"/>
        </w:rPr>
        <w:t>成都市金河路57号</w:t>
      </w:r>
    </w:p>
    <w:p>
      <w:pPr>
        <w:pStyle w:val="34"/>
        <w:tabs>
          <w:tab w:val="left" w:pos="0"/>
        </w:tabs>
        <w:wordWrap w:val="0"/>
        <w:topLinePunct/>
        <w:spacing w:line="440" w:lineRule="exact"/>
        <w:ind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联 系 人：秦老师</w:t>
      </w:r>
    </w:p>
    <w:p>
      <w:pPr>
        <w:pStyle w:val="34"/>
        <w:wordWrap w:val="0"/>
        <w:topLinePunct/>
        <w:spacing w:line="440" w:lineRule="exact"/>
        <w:ind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联系方式：028-</w:t>
      </w:r>
      <w:r>
        <w:rPr>
          <w:rFonts w:asciiTheme="minorEastAsia" w:hAnsiTheme="minorEastAsia" w:eastAsiaTheme="minorEastAsia" w:cstheme="minorEastAsia"/>
          <w:sz w:val="24"/>
          <w:highlight w:val="none"/>
        </w:rPr>
        <w:t>86690359</w:t>
      </w:r>
    </w:p>
    <w:p>
      <w:pPr>
        <w:pStyle w:val="34"/>
        <w:wordWrap w:val="0"/>
        <w:topLinePunct/>
        <w:spacing w:line="440" w:lineRule="exact"/>
        <w:ind w:firstLine="480"/>
        <w:rPr>
          <w:rFonts w:hAnsi="宋体"/>
          <w:sz w:val="24"/>
          <w:szCs w:val="24"/>
          <w:highlight w:val="none"/>
        </w:rPr>
      </w:pPr>
      <w:r>
        <w:rPr>
          <w:rFonts w:hint="eastAsia" w:hAnsi="宋体"/>
          <w:sz w:val="24"/>
          <w:szCs w:val="24"/>
          <w:highlight w:val="none"/>
          <w:lang w:eastAsia="zh-CN"/>
        </w:rPr>
        <w:t>(</w:t>
      </w:r>
      <w:r>
        <w:rPr>
          <w:rFonts w:hint="eastAsia" w:hAnsi="宋体"/>
          <w:sz w:val="24"/>
          <w:szCs w:val="24"/>
          <w:highlight w:val="none"/>
        </w:rPr>
        <w:t>二</w:t>
      </w:r>
      <w:r>
        <w:rPr>
          <w:rFonts w:hint="eastAsia" w:hAnsi="宋体"/>
          <w:sz w:val="24"/>
          <w:szCs w:val="24"/>
          <w:highlight w:val="none"/>
          <w:lang w:eastAsia="zh-CN"/>
        </w:rPr>
        <w:t>)</w:t>
      </w:r>
      <w:r>
        <w:rPr>
          <w:rFonts w:hint="eastAsia" w:hAnsi="宋体"/>
          <w:sz w:val="24"/>
          <w:szCs w:val="24"/>
          <w:highlight w:val="none"/>
        </w:rPr>
        <w:t>采购代理机构信息</w:t>
      </w:r>
    </w:p>
    <w:p>
      <w:pPr>
        <w:pStyle w:val="34"/>
        <w:wordWrap w:val="0"/>
        <w:topLinePunct/>
        <w:spacing w:line="440" w:lineRule="exact"/>
        <w:ind w:firstLine="480"/>
        <w:rPr>
          <w:rFonts w:hAnsi="宋体"/>
          <w:sz w:val="24"/>
          <w:szCs w:val="24"/>
          <w:highlight w:val="none"/>
        </w:rPr>
      </w:pPr>
      <w:r>
        <w:rPr>
          <w:rFonts w:hint="eastAsia" w:hAnsi="宋体"/>
          <w:sz w:val="24"/>
          <w:szCs w:val="24"/>
          <w:highlight w:val="none"/>
        </w:rPr>
        <w:t>名    称：四川乾新招投标代理有限公司</w:t>
      </w:r>
    </w:p>
    <w:p>
      <w:pPr>
        <w:pStyle w:val="34"/>
        <w:wordWrap w:val="0"/>
        <w:topLinePunct/>
        <w:spacing w:line="440" w:lineRule="exact"/>
        <w:ind w:firstLine="480"/>
        <w:rPr>
          <w:rFonts w:hAnsi="宋体"/>
          <w:sz w:val="24"/>
          <w:szCs w:val="24"/>
          <w:highlight w:val="none"/>
        </w:rPr>
      </w:pPr>
      <w:r>
        <w:rPr>
          <w:rFonts w:hint="eastAsia" w:hAnsi="宋体"/>
          <w:sz w:val="24"/>
          <w:szCs w:val="24"/>
          <w:highlight w:val="none"/>
        </w:rPr>
        <w:t>地    址：</w:t>
      </w:r>
      <w:r>
        <w:rPr>
          <w:rFonts w:hint="eastAsia" w:hAnsi="宋体"/>
          <w:sz w:val="24"/>
          <w:szCs w:val="24"/>
          <w:highlight w:val="none"/>
          <w:lang w:val="zh-CN"/>
        </w:rPr>
        <w:t>成都市高新区吉庆三路333号蜀都中心二期一号楼一单元401号</w:t>
      </w:r>
    </w:p>
    <w:p>
      <w:pPr>
        <w:pStyle w:val="34"/>
        <w:wordWrap w:val="0"/>
        <w:topLinePunct/>
        <w:spacing w:line="440" w:lineRule="exact"/>
        <w:ind w:firstLine="480"/>
        <w:rPr>
          <w:rFonts w:hAnsi="宋体"/>
          <w:sz w:val="24"/>
          <w:szCs w:val="24"/>
          <w:highlight w:val="none"/>
        </w:rPr>
      </w:pPr>
      <w:r>
        <w:rPr>
          <w:rFonts w:hint="eastAsia" w:hAnsi="宋体"/>
          <w:sz w:val="24"/>
          <w:szCs w:val="24"/>
          <w:highlight w:val="none"/>
        </w:rPr>
        <w:t>联 系 人：杨莉娟</w:t>
      </w:r>
    </w:p>
    <w:p>
      <w:pPr>
        <w:pStyle w:val="34"/>
        <w:wordWrap w:val="0"/>
        <w:topLinePunct/>
        <w:spacing w:line="440" w:lineRule="exact"/>
        <w:ind w:firstLine="480"/>
        <w:rPr>
          <w:rFonts w:hAnsi="宋体"/>
          <w:sz w:val="24"/>
          <w:szCs w:val="24"/>
          <w:highlight w:val="none"/>
        </w:rPr>
      </w:pPr>
      <w:r>
        <w:rPr>
          <w:rFonts w:hint="eastAsia" w:hAnsi="宋体"/>
          <w:sz w:val="24"/>
          <w:szCs w:val="24"/>
          <w:highlight w:val="none"/>
          <w:lang w:val="zh-CN"/>
        </w:rPr>
        <w:t>联系电话：</w:t>
      </w:r>
      <w:bookmarkStart w:id="418" w:name="_GoBack"/>
      <w:r>
        <w:rPr>
          <w:rFonts w:hint="eastAsia" w:hAnsi="宋体"/>
          <w:sz w:val="24"/>
          <w:szCs w:val="24"/>
          <w:highlight w:val="none"/>
          <w:lang w:val="zh-CN"/>
        </w:rPr>
        <w:t>028-61375575、62600820、62630990转</w:t>
      </w:r>
      <w:r>
        <w:rPr>
          <w:rFonts w:hint="eastAsia" w:hAnsi="宋体"/>
          <w:sz w:val="24"/>
          <w:szCs w:val="24"/>
          <w:highlight w:val="none"/>
        </w:rPr>
        <w:t>652</w:t>
      </w:r>
      <w:bookmarkEnd w:id="418"/>
    </w:p>
    <w:p>
      <w:pPr>
        <w:pStyle w:val="34"/>
        <w:wordWrap w:val="0"/>
        <w:topLinePunct/>
        <w:spacing w:line="440" w:lineRule="exact"/>
        <w:ind w:firstLine="480"/>
        <w:rPr>
          <w:rFonts w:hAnsi="宋体"/>
          <w:sz w:val="24"/>
          <w:szCs w:val="24"/>
          <w:highlight w:val="none"/>
          <w:lang w:val="zh-CN"/>
        </w:rPr>
      </w:pPr>
      <w:r>
        <w:rPr>
          <w:rFonts w:hint="eastAsia" w:hAnsi="宋体"/>
          <w:sz w:val="24"/>
          <w:szCs w:val="24"/>
          <w:highlight w:val="none"/>
          <w:lang w:val="zh-CN"/>
        </w:rPr>
        <w:t>传    真：</w:t>
      </w:r>
      <w:r>
        <w:rPr>
          <w:rFonts w:hint="eastAsia" w:hAnsi="宋体"/>
          <w:sz w:val="24"/>
          <w:szCs w:val="24"/>
          <w:highlight w:val="none"/>
        </w:rPr>
        <w:t>028-</w:t>
      </w:r>
      <w:r>
        <w:rPr>
          <w:rFonts w:hint="eastAsia" w:hAnsi="宋体"/>
          <w:sz w:val="24"/>
          <w:szCs w:val="24"/>
          <w:highlight w:val="none"/>
          <w:lang w:val="zh-CN"/>
        </w:rPr>
        <w:t>83381</w:t>
      </w:r>
      <w:r>
        <w:rPr>
          <w:rFonts w:hint="eastAsia" w:hAnsi="宋体"/>
          <w:sz w:val="24"/>
          <w:szCs w:val="24"/>
          <w:highlight w:val="none"/>
        </w:rPr>
        <w:t>268</w:t>
      </w:r>
    </w:p>
    <w:p>
      <w:pPr>
        <w:pStyle w:val="34"/>
        <w:wordWrap w:val="0"/>
        <w:topLinePunct/>
        <w:spacing w:line="440" w:lineRule="exact"/>
        <w:ind w:firstLine="480"/>
        <w:rPr>
          <w:rFonts w:hAnsi="宋体"/>
          <w:sz w:val="24"/>
          <w:szCs w:val="24"/>
          <w:highlight w:val="none"/>
          <w:lang w:val="zh-CN"/>
        </w:rPr>
      </w:pPr>
      <w:r>
        <w:rPr>
          <w:rFonts w:hint="eastAsia" w:hAnsi="宋体"/>
          <w:sz w:val="24"/>
          <w:szCs w:val="24"/>
          <w:highlight w:val="none"/>
          <w:lang w:val="zh-CN"/>
        </w:rPr>
        <w:t>电子邮件：</w:t>
      </w:r>
      <w:r>
        <w:rPr>
          <w:highlight w:val="none"/>
        </w:rPr>
        <w:fldChar w:fldCharType="begin"/>
      </w:r>
      <w:r>
        <w:rPr>
          <w:highlight w:val="none"/>
        </w:rPr>
        <w:instrText xml:space="preserve"> HYPERLINK "mailto:scqxzb@163.com" </w:instrText>
      </w:r>
      <w:r>
        <w:rPr>
          <w:highlight w:val="none"/>
        </w:rPr>
        <w:fldChar w:fldCharType="separate"/>
      </w:r>
      <w:r>
        <w:rPr>
          <w:rFonts w:hint="eastAsia" w:hAnsi="宋体"/>
          <w:sz w:val="24"/>
          <w:szCs w:val="24"/>
          <w:highlight w:val="none"/>
          <w:lang w:val="zh-CN"/>
        </w:rPr>
        <w:t>scqxzb@163.com</w:t>
      </w:r>
      <w:r>
        <w:rPr>
          <w:rFonts w:hint="eastAsia" w:hAnsi="宋体"/>
          <w:sz w:val="24"/>
          <w:szCs w:val="24"/>
          <w:highlight w:val="none"/>
          <w:lang w:val="zh-CN"/>
        </w:rPr>
        <w:fldChar w:fldCharType="end"/>
      </w:r>
    </w:p>
    <w:p>
      <w:pPr>
        <w:rPr>
          <w:rFonts w:hAnsi="宋体"/>
          <w:highlight w:val="none"/>
        </w:rPr>
      </w:pPr>
      <w:r>
        <w:rPr>
          <w:rFonts w:hint="eastAsia" w:hAnsi="宋体"/>
          <w:highlight w:val="none"/>
        </w:rPr>
        <w:br w:type="page"/>
      </w:r>
    </w:p>
    <w:p>
      <w:pPr>
        <w:wordWrap w:val="0"/>
        <w:topLinePunct/>
        <w:adjustRightInd w:val="0"/>
        <w:snapToGrid w:val="0"/>
        <w:spacing w:before="120" w:beforeLines="50" w:after="120" w:afterLines="50"/>
        <w:jc w:val="center"/>
        <w:outlineLvl w:val="0"/>
        <w:rPr>
          <w:rFonts w:hAnsi="宋体"/>
          <w:b/>
          <w:bCs/>
          <w:sz w:val="36"/>
          <w:szCs w:val="36"/>
          <w:highlight w:val="none"/>
        </w:rPr>
      </w:pPr>
      <w:bookmarkStart w:id="57" w:name="_Toc2186"/>
      <w:bookmarkStart w:id="58" w:name="_Toc15602"/>
      <w:bookmarkStart w:id="59" w:name="_Toc5478"/>
      <w:bookmarkStart w:id="60" w:name="_Toc17166"/>
      <w:bookmarkStart w:id="61" w:name="_Toc13924"/>
      <w:r>
        <w:rPr>
          <w:rFonts w:hint="eastAsia" w:hAnsi="宋体"/>
          <w:b/>
          <w:bCs/>
          <w:sz w:val="36"/>
          <w:szCs w:val="36"/>
          <w:highlight w:val="none"/>
        </w:rPr>
        <w:t>第二章 采购须知</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45"/>
        <w:spacing w:before="120" w:beforeLines="50" w:after="120" w:afterLines="50"/>
        <w:ind w:firstLine="562"/>
        <w:jc w:val="center"/>
        <w:rPr>
          <w:sz w:val="28"/>
          <w:szCs w:val="28"/>
          <w:highlight w:val="none"/>
        </w:rPr>
      </w:pPr>
      <w:bookmarkStart w:id="62" w:name="_Toc22826"/>
      <w:bookmarkStart w:id="63" w:name="_Toc29740"/>
      <w:bookmarkStart w:id="64" w:name="_Toc6800"/>
      <w:bookmarkStart w:id="65" w:name="_Toc12408"/>
      <w:bookmarkStart w:id="66" w:name="_Toc4438"/>
      <w:bookmarkStart w:id="67" w:name="_Toc22309"/>
      <w:bookmarkStart w:id="68" w:name="_Toc30021"/>
      <w:bookmarkStart w:id="69" w:name="_Toc14638"/>
      <w:bookmarkStart w:id="70" w:name="_Toc11589"/>
      <w:bookmarkStart w:id="71" w:name="_Toc3436"/>
      <w:bookmarkStart w:id="72" w:name="_Toc2170"/>
      <w:bookmarkStart w:id="73" w:name="_Toc18932"/>
      <w:bookmarkStart w:id="74" w:name="_Toc25107"/>
      <w:bookmarkStart w:id="75" w:name="_Toc28315"/>
      <w:bookmarkStart w:id="76" w:name="_Toc4088"/>
      <w:bookmarkStart w:id="77" w:name="_Toc24414"/>
      <w:bookmarkStart w:id="78" w:name="_Toc8979"/>
      <w:bookmarkStart w:id="79" w:name="_Toc5913"/>
      <w:bookmarkStart w:id="80" w:name="_Toc16796"/>
      <w:bookmarkStart w:id="81" w:name="_Toc15921"/>
      <w:bookmarkStart w:id="82" w:name="_Toc20447"/>
      <w:bookmarkStart w:id="83" w:name="_Toc30511"/>
      <w:bookmarkStart w:id="84" w:name="_Toc15877"/>
      <w:bookmarkStart w:id="85" w:name="_Toc229476046"/>
      <w:bookmarkStart w:id="86" w:name="_Toc255896711"/>
      <w:bookmarkStart w:id="87" w:name="_Toc229475717"/>
      <w:bookmarkStart w:id="88" w:name="_Toc229393498"/>
      <w:bookmarkStart w:id="89" w:name="_Toc245441523"/>
      <w:bookmarkStart w:id="90" w:name="_Toc183682342"/>
      <w:bookmarkStart w:id="91" w:name="_Toc229393330"/>
      <w:bookmarkStart w:id="92" w:name="_Toc240869992"/>
      <w:bookmarkStart w:id="93" w:name="_Toc255975659"/>
      <w:bookmarkStart w:id="94" w:name="_Toc217446034"/>
      <w:bookmarkStart w:id="95" w:name="_Toc255976221"/>
      <w:bookmarkStart w:id="96" w:name="_Toc241204365"/>
      <w:bookmarkStart w:id="97" w:name="_Toc229393582"/>
      <w:bookmarkStart w:id="98" w:name="_Toc229395167"/>
      <w:bookmarkStart w:id="99" w:name="_Toc241054964"/>
      <w:bookmarkStart w:id="100" w:name="_Toc183582205"/>
      <w:r>
        <w:rPr>
          <w:rFonts w:hint="eastAsia"/>
          <w:sz w:val="28"/>
          <w:szCs w:val="28"/>
          <w:highlight w:val="none"/>
        </w:rPr>
        <w:t>一、采购须知前附表</w:t>
      </w:r>
      <w:bookmarkEnd w:id="62"/>
      <w:bookmarkEnd w:id="63"/>
      <w:bookmarkEnd w:id="64"/>
      <w:bookmarkEnd w:id="65"/>
      <w:bookmarkEnd w:id="66"/>
      <w:bookmarkEnd w:id="67"/>
      <w:bookmarkEnd w:id="68"/>
      <w:bookmarkEnd w:id="69"/>
      <w:bookmarkEnd w:id="70"/>
      <w:bookmarkEnd w:id="71"/>
      <w:bookmarkEnd w:id="72"/>
      <w:bookmarkEnd w:id="73"/>
    </w:p>
    <w:tbl>
      <w:tblPr>
        <w:tblStyle w:val="22"/>
        <w:tblW w:w="9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2"/>
        <w:gridCol w:w="2050"/>
        <w:gridCol w:w="7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682" w:type="dxa"/>
            <w:vAlign w:val="center"/>
          </w:tcPr>
          <w:p>
            <w:pPr>
              <w:wordWrap w:val="0"/>
              <w:topLinePunct/>
              <w:adjustRightInd w:val="0"/>
              <w:snapToGrid w:val="0"/>
              <w:spacing w:line="360" w:lineRule="exact"/>
              <w:rPr>
                <w:rFonts w:hAnsi="宋体"/>
                <w:b/>
                <w:bCs/>
                <w:sz w:val="21"/>
                <w:szCs w:val="21"/>
                <w:highlight w:val="none"/>
              </w:rPr>
            </w:pPr>
            <w:r>
              <w:rPr>
                <w:rFonts w:hint="eastAsia" w:hAnsi="宋体"/>
                <w:b/>
                <w:bCs/>
                <w:sz w:val="21"/>
                <w:szCs w:val="21"/>
                <w:highlight w:val="none"/>
              </w:rPr>
              <w:t>序号</w:t>
            </w:r>
          </w:p>
        </w:tc>
        <w:tc>
          <w:tcPr>
            <w:tcW w:w="2050" w:type="dxa"/>
            <w:vAlign w:val="center"/>
          </w:tcPr>
          <w:p>
            <w:pPr>
              <w:wordWrap w:val="0"/>
              <w:topLinePunct/>
              <w:adjustRightInd w:val="0"/>
              <w:snapToGrid w:val="0"/>
              <w:spacing w:line="360" w:lineRule="exact"/>
              <w:jc w:val="center"/>
              <w:rPr>
                <w:rFonts w:hAnsi="宋体"/>
                <w:b/>
                <w:bCs/>
                <w:sz w:val="21"/>
                <w:szCs w:val="21"/>
                <w:highlight w:val="none"/>
              </w:rPr>
            </w:pPr>
            <w:r>
              <w:rPr>
                <w:rFonts w:hint="eastAsia" w:hAnsi="宋体"/>
                <w:b/>
                <w:bCs/>
                <w:sz w:val="21"/>
                <w:szCs w:val="21"/>
                <w:highlight w:val="none"/>
              </w:rPr>
              <w:t>须知事项</w:t>
            </w:r>
          </w:p>
        </w:tc>
        <w:tc>
          <w:tcPr>
            <w:tcW w:w="7225" w:type="dxa"/>
            <w:vAlign w:val="center"/>
          </w:tcPr>
          <w:p>
            <w:pPr>
              <w:wordWrap w:val="0"/>
              <w:topLinePunct/>
              <w:adjustRightInd w:val="0"/>
              <w:snapToGrid w:val="0"/>
              <w:spacing w:line="360" w:lineRule="exact"/>
              <w:jc w:val="center"/>
              <w:rPr>
                <w:rFonts w:hAnsi="宋体"/>
                <w:b/>
                <w:bCs/>
                <w:sz w:val="21"/>
                <w:szCs w:val="21"/>
                <w:highlight w:val="none"/>
              </w:rPr>
            </w:pPr>
            <w:r>
              <w:rPr>
                <w:rFonts w:hint="eastAsia" w:hAnsi="宋体"/>
                <w:b/>
                <w:bCs/>
                <w:sz w:val="21"/>
                <w:szCs w:val="21"/>
                <w:highlight w:val="none"/>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采购预算及报价</w:t>
            </w:r>
          </w:p>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要求</w:t>
            </w:r>
          </w:p>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(实质性要求)</w:t>
            </w:r>
          </w:p>
        </w:tc>
        <w:tc>
          <w:tcPr>
            <w:tcW w:w="7225" w:type="dxa"/>
            <w:vAlign w:val="center"/>
          </w:tcPr>
          <w:p>
            <w:pPr>
              <w:pStyle w:val="35"/>
              <w:wordWrap w:val="0"/>
              <w:topLinePunct/>
              <w:autoSpaceDE/>
              <w:autoSpaceDN/>
              <w:snapToGrid w:val="0"/>
              <w:spacing w:line="360" w:lineRule="exact"/>
              <w:rPr>
                <w:sz w:val="21"/>
                <w:szCs w:val="21"/>
                <w:highlight w:val="none"/>
              </w:rPr>
            </w:pPr>
            <w:r>
              <w:rPr>
                <w:rFonts w:hint="eastAsia"/>
                <w:sz w:val="21"/>
                <w:szCs w:val="21"/>
                <w:highlight w:val="none"/>
              </w:rPr>
              <w:t>本项目采购预算为人民币200000元。本项目采用现场协商报价，报价不得超过本项目采购预算，否则终止采购活动。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adjustRightInd w:val="0"/>
              <w:snapToGrid w:val="0"/>
              <w:ind w:left="34" w:leftChars="10" w:right="34" w:rightChars="10"/>
              <w:rPr>
                <w:szCs w:val="21"/>
                <w:highlight w:val="none"/>
              </w:rPr>
            </w:pPr>
            <w:r>
              <w:rPr>
                <w:rFonts w:hint="eastAsia"/>
                <w:highlight w:val="none"/>
              </w:rPr>
              <w:t>本项目所属行业</w:t>
            </w:r>
          </w:p>
        </w:tc>
        <w:tc>
          <w:tcPr>
            <w:tcW w:w="7225" w:type="dxa"/>
            <w:vAlign w:val="center"/>
          </w:tcPr>
          <w:p>
            <w:pPr>
              <w:pStyle w:val="44"/>
              <w:adjustRightInd w:val="0"/>
              <w:snapToGrid w:val="0"/>
              <w:ind w:left="0" w:leftChars="0" w:right="85" w:rightChars="25" w:firstLine="0" w:firstLineChars="0"/>
              <w:rPr>
                <w:szCs w:val="21"/>
                <w:highlight w:val="none"/>
              </w:rPr>
            </w:pPr>
            <w:r>
              <w:rPr>
                <w:rFonts w:hint="eastAsia"/>
                <w:highlight w:val="none"/>
              </w:rPr>
              <w:t>本项目所属行业为文化、体育和娱乐业。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履约时间、履约地点</w:t>
            </w:r>
          </w:p>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(实质性要求)</w:t>
            </w:r>
          </w:p>
        </w:tc>
        <w:tc>
          <w:tcPr>
            <w:tcW w:w="7225" w:type="dxa"/>
            <w:vAlign w:val="center"/>
          </w:tcPr>
          <w:p>
            <w:pPr>
              <w:pStyle w:val="35"/>
              <w:wordWrap w:val="0"/>
              <w:topLinePunct/>
              <w:autoSpaceDE/>
              <w:autoSpaceDN/>
              <w:snapToGrid w:val="0"/>
              <w:spacing w:line="360" w:lineRule="exact"/>
              <w:rPr>
                <w:sz w:val="21"/>
                <w:szCs w:val="21"/>
                <w:highlight w:val="none"/>
              </w:rPr>
            </w:pPr>
            <w:r>
              <w:rPr>
                <w:rFonts w:hint="eastAsia"/>
                <w:sz w:val="21"/>
                <w:szCs w:val="21"/>
                <w:highlight w:val="none"/>
              </w:rPr>
              <w:t>1.履约时间：政府采购合同签订生效后12个月按照采购人要求的方式完成履约；</w:t>
            </w:r>
          </w:p>
          <w:p>
            <w:pPr>
              <w:pStyle w:val="35"/>
              <w:wordWrap w:val="0"/>
              <w:topLinePunct/>
              <w:autoSpaceDE/>
              <w:autoSpaceDN/>
              <w:snapToGrid w:val="0"/>
              <w:spacing w:line="360" w:lineRule="exact"/>
              <w:rPr>
                <w:sz w:val="21"/>
                <w:szCs w:val="21"/>
                <w:highlight w:val="none"/>
              </w:rPr>
            </w:pPr>
            <w:r>
              <w:rPr>
                <w:rFonts w:hint="eastAsia"/>
                <w:sz w:val="21"/>
                <w:szCs w:val="21"/>
                <w:highlight w:val="none"/>
              </w:rPr>
              <w:t>2.履约地点：采购人指定地点。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rPr>
                <w:highlight w:val="none"/>
              </w:rPr>
            </w:pPr>
            <w:r>
              <w:rPr>
                <w:rFonts w:hint="eastAsia"/>
                <w:highlight w:val="none"/>
              </w:rPr>
              <w:t>质量要求、验收标准、质保期</w:t>
            </w:r>
          </w:p>
          <w:p>
            <w:pPr>
              <w:pStyle w:val="43"/>
              <w:rPr>
                <w:szCs w:val="21"/>
                <w:highlight w:val="none"/>
              </w:rPr>
            </w:pPr>
            <w:r>
              <w:rPr>
                <w:rFonts w:hint="eastAsia"/>
                <w:highlight w:val="none"/>
                <w:lang w:val="zh-CN"/>
              </w:rPr>
              <w:t>(实质性要求)</w:t>
            </w:r>
          </w:p>
        </w:tc>
        <w:tc>
          <w:tcPr>
            <w:tcW w:w="7225" w:type="dxa"/>
            <w:vAlign w:val="center"/>
          </w:tcPr>
          <w:p>
            <w:pPr>
              <w:pStyle w:val="44"/>
              <w:ind w:left="0" w:leftChars="0"/>
              <w:rPr>
                <w:highlight w:val="none"/>
              </w:rPr>
            </w:pPr>
            <w:r>
              <w:rPr>
                <w:rFonts w:hint="eastAsia"/>
                <w:highlight w:val="none"/>
              </w:rPr>
              <w:t>1.质量要求：符合国家相关标准、行业标准、地方标准或者其他标准、规范要求。</w:t>
            </w:r>
          </w:p>
          <w:p>
            <w:pPr>
              <w:pStyle w:val="44"/>
              <w:ind w:left="0" w:leftChars="0"/>
              <w:rPr>
                <w:szCs w:val="21"/>
                <w:highlight w:val="none"/>
              </w:rPr>
            </w:pPr>
            <w:r>
              <w:rPr>
                <w:rFonts w:hint="eastAsia"/>
                <w:highlight w:val="none"/>
              </w:rPr>
              <w:t xml:space="preserve">2.验收标准：严格按照《财政部关于进一步加强政府采购需求和履约验收管理的指导意见》(财库〔2016〕205号)及参照四川省财政厅印发《四川省政府采购项目需求论证和履约验收管理办法》(川财采〔2015〕32号)和的要求进行验收。符合国家有关规定、询价通知书的质量要求和技术指标、供应商的响应文件及承诺以及合同条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lang w:val="zh-CN"/>
              </w:rPr>
            </w:pPr>
            <w:r>
              <w:rPr>
                <w:rFonts w:hint="eastAsia"/>
                <w:sz w:val="21"/>
                <w:szCs w:val="21"/>
                <w:highlight w:val="none"/>
                <w:lang w:val="zh-CN"/>
              </w:rPr>
              <w:t>采购方式</w:t>
            </w:r>
          </w:p>
        </w:tc>
        <w:tc>
          <w:tcPr>
            <w:tcW w:w="7225" w:type="dxa"/>
            <w:vAlign w:val="center"/>
          </w:tcPr>
          <w:p>
            <w:pPr>
              <w:pStyle w:val="35"/>
              <w:wordWrap w:val="0"/>
              <w:topLinePunct/>
              <w:autoSpaceDE/>
              <w:autoSpaceDN/>
              <w:snapToGrid w:val="0"/>
              <w:spacing w:line="360" w:lineRule="exact"/>
              <w:rPr>
                <w:sz w:val="21"/>
                <w:szCs w:val="21"/>
                <w:highlight w:val="none"/>
                <w:lang w:val="zh-CN"/>
              </w:rPr>
            </w:pPr>
            <w:r>
              <w:rPr>
                <w:rFonts w:hint="eastAsia"/>
                <w:sz w:val="21"/>
                <w:szCs w:val="21"/>
                <w:highlight w:val="none"/>
                <w:lang w:val="zh-CN"/>
              </w:rPr>
              <w:t>单一来源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lang w:val="zh-CN"/>
              </w:rPr>
            </w:pPr>
            <w:r>
              <w:rPr>
                <w:rFonts w:hint="eastAsia"/>
                <w:sz w:val="21"/>
                <w:szCs w:val="21"/>
                <w:highlight w:val="none"/>
              </w:rPr>
              <w:t>协商</w:t>
            </w:r>
            <w:r>
              <w:rPr>
                <w:rFonts w:hint="eastAsia"/>
                <w:sz w:val="21"/>
                <w:szCs w:val="21"/>
                <w:highlight w:val="none"/>
                <w:lang w:val="zh-CN"/>
              </w:rPr>
              <w:t>办法</w:t>
            </w:r>
          </w:p>
        </w:tc>
        <w:tc>
          <w:tcPr>
            <w:tcW w:w="7225" w:type="dxa"/>
            <w:vAlign w:val="center"/>
          </w:tcPr>
          <w:p>
            <w:pPr>
              <w:pStyle w:val="35"/>
              <w:wordWrap w:val="0"/>
              <w:topLinePunct/>
              <w:autoSpaceDE/>
              <w:autoSpaceDN/>
              <w:snapToGrid w:val="0"/>
              <w:spacing w:line="360" w:lineRule="exact"/>
              <w:rPr>
                <w:sz w:val="21"/>
                <w:szCs w:val="21"/>
                <w:highlight w:val="none"/>
                <w:lang w:val="zh-CN"/>
              </w:rPr>
            </w:pPr>
            <w:r>
              <w:rPr>
                <w:rFonts w:hint="eastAsia"/>
                <w:sz w:val="21"/>
                <w:szCs w:val="21"/>
                <w:highlight w:val="none"/>
                <w:lang w:val="zh-CN"/>
              </w:rPr>
              <w:t>详见第</w:t>
            </w:r>
            <w:r>
              <w:rPr>
                <w:rFonts w:hint="eastAsia"/>
                <w:sz w:val="21"/>
                <w:szCs w:val="21"/>
                <w:highlight w:val="none"/>
              </w:rPr>
              <w:t>五</w:t>
            </w:r>
            <w:r>
              <w:rPr>
                <w:rFonts w:hint="eastAsia"/>
                <w:sz w:val="21"/>
                <w:szCs w:val="21"/>
                <w:highlight w:val="none"/>
                <w:lang w:val="zh-CN"/>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协商日期和地点，协商人员数量</w:t>
            </w:r>
          </w:p>
        </w:tc>
        <w:tc>
          <w:tcPr>
            <w:tcW w:w="7225" w:type="dxa"/>
            <w:vAlign w:val="center"/>
          </w:tcPr>
          <w:p>
            <w:pPr>
              <w:pStyle w:val="35"/>
              <w:wordWrap w:val="0"/>
              <w:topLinePunct/>
              <w:autoSpaceDE/>
              <w:autoSpaceDN/>
              <w:snapToGrid w:val="0"/>
              <w:spacing w:line="360" w:lineRule="exact"/>
              <w:rPr>
                <w:sz w:val="21"/>
                <w:szCs w:val="21"/>
                <w:highlight w:val="none"/>
              </w:rPr>
            </w:pPr>
            <w:r>
              <w:rPr>
                <w:rFonts w:hint="eastAsia"/>
                <w:sz w:val="21"/>
                <w:szCs w:val="21"/>
                <w:highlight w:val="none"/>
              </w:rPr>
              <w:t>1.协商日期：响应文件递交当日；</w:t>
            </w:r>
          </w:p>
          <w:p>
            <w:pPr>
              <w:pStyle w:val="35"/>
              <w:wordWrap w:val="0"/>
              <w:topLinePunct/>
              <w:autoSpaceDE/>
              <w:autoSpaceDN/>
              <w:snapToGrid w:val="0"/>
              <w:spacing w:line="360" w:lineRule="exact"/>
              <w:rPr>
                <w:sz w:val="21"/>
                <w:szCs w:val="21"/>
                <w:highlight w:val="none"/>
              </w:rPr>
            </w:pPr>
            <w:r>
              <w:rPr>
                <w:rFonts w:hint="eastAsia"/>
                <w:sz w:val="21"/>
                <w:szCs w:val="21"/>
                <w:highlight w:val="none"/>
              </w:rPr>
              <w:t>2.地点：同响应文件递交地点；</w:t>
            </w:r>
          </w:p>
          <w:p>
            <w:pPr>
              <w:pStyle w:val="35"/>
              <w:wordWrap w:val="0"/>
              <w:topLinePunct/>
              <w:autoSpaceDE/>
              <w:autoSpaceDN/>
              <w:snapToGrid w:val="0"/>
              <w:spacing w:line="360" w:lineRule="exact"/>
              <w:rPr>
                <w:sz w:val="21"/>
                <w:szCs w:val="21"/>
                <w:highlight w:val="none"/>
              </w:rPr>
            </w:pPr>
            <w:r>
              <w:rPr>
                <w:rFonts w:hint="eastAsia"/>
                <w:sz w:val="21"/>
                <w:szCs w:val="21"/>
                <w:highlight w:val="none"/>
              </w:rPr>
              <w:t>3.协商小组人员：3名(其中一名为采购人代表)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响应保证金</w:t>
            </w:r>
          </w:p>
        </w:tc>
        <w:tc>
          <w:tcPr>
            <w:tcW w:w="7225" w:type="dxa"/>
            <w:vAlign w:val="center"/>
          </w:tcPr>
          <w:p>
            <w:pPr>
              <w:pStyle w:val="35"/>
              <w:wordWrap w:val="0"/>
              <w:topLinePunct/>
              <w:autoSpaceDE/>
              <w:autoSpaceDN/>
              <w:snapToGrid w:val="0"/>
              <w:spacing w:line="360" w:lineRule="exact"/>
              <w:rPr>
                <w:sz w:val="21"/>
                <w:szCs w:val="21"/>
                <w:highlight w:val="none"/>
              </w:rPr>
            </w:pPr>
            <w:r>
              <w:rPr>
                <w:rFonts w:hint="eastAsia"/>
                <w:sz w:val="21"/>
                <w:szCs w:val="21"/>
                <w:highlight w:val="none"/>
              </w:rPr>
              <w:t>本项目不收取响应保证金。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rPr>
                <w:szCs w:val="21"/>
                <w:highlight w:val="none"/>
              </w:rPr>
            </w:pPr>
            <w:r>
              <w:rPr>
                <w:rFonts w:hint="eastAsia"/>
                <w:highlight w:val="none"/>
              </w:rPr>
              <w:t>政府采购供应商信用融资</w:t>
            </w:r>
          </w:p>
        </w:tc>
        <w:tc>
          <w:tcPr>
            <w:tcW w:w="7225" w:type="dxa"/>
            <w:vAlign w:val="center"/>
          </w:tcPr>
          <w:p>
            <w:pPr>
              <w:pStyle w:val="44"/>
              <w:ind w:left="0" w:leftChars="0"/>
              <w:rPr>
                <w:highlight w:val="none"/>
              </w:rPr>
            </w:pPr>
            <w:r>
              <w:rPr>
                <w:rFonts w:hint="eastAsia"/>
                <w:highlight w:val="none"/>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4"/>
              <w:ind w:left="0" w:leftChars="0"/>
              <w:rPr>
                <w:highlight w:val="none"/>
              </w:rPr>
            </w:pPr>
            <w:r>
              <w:rPr>
                <w:rFonts w:hint="eastAsia"/>
                <w:highlight w:val="none"/>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p>
          <w:p>
            <w:pPr>
              <w:pStyle w:val="44"/>
              <w:adjustRightInd w:val="0"/>
              <w:snapToGrid w:val="0"/>
              <w:ind w:left="0" w:leftChars="0"/>
              <w:rPr>
                <w:highlight w:val="none"/>
              </w:rPr>
            </w:pPr>
            <w:r>
              <w:rPr>
                <w:rFonts w:hint="eastAsia"/>
                <w:highlight w:val="none"/>
              </w:rPr>
              <w:t>3.“政采贷”政策咨询电话：</w:t>
            </w:r>
            <w:r>
              <w:rPr>
                <w:rFonts w:hint="eastAsia"/>
                <w:highlight w:val="none"/>
                <w:lang w:val="zh-CN"/>
              </w:rPr>
              <w:t>028-61375575转6</w:t>
            </w:r>
            <w:r>
              <w:rPr>
                <w:rFonts w:hint="eastAsia"/>
                <w:highlight w:val="none"/>
              </w:rPr>
              <w:t>08。</w:t>
            </w:r>
          </w:p>
          <w:p>
            <w:pPr>
              <w:pStyle w:val="44"/>
              <w:ind w:left="0" w:leftChars="0"/>
              <w:rPr>
                <w:szCs w:val="21"/>
                <w:highlight w:val="none"/>
              </w:rPr>
            </w:pPr>
            <w:r>
              <w:rPr>
                <w:rFonts w:hint="eastAsia"/>
                <w:highlight w:val="none"/>
              </w:rPr>
              <w:t>注：相关政策文件详见本单一来源采购文件附件内容。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需要递交的资料及密封</w:t>
            </w:r>
          </w:p>
        </w:tc>
        <w:tc>
          <w:tcPr>
            <w:tcW w:w="7225" w:type="dxa"/>
            <w:vAlign w:val="center"/>
          </w:tcPr>
          <w:p>
            <w:pPr>
              <w:pStyle w:val="35"/>
              <w:wordWrap w:val="0"/>
              <w:topLinePunct/>
              <w:autoSpaceDE/>
              <w:autoSpaceDN/>
              <w:snapToGrid w:val="0"/>
              <w:spacing w:line="360" w:lineRule="exact"/>
              <w:rPr>
                <w:sz w:val="21"/>
                <w:szCs w:val="21"/>
                <w:highlight w:val="none"/>
                <w:lang w:val="zh-CN"/>
              </w:rPr>
            </w:pPr>
            <w:r>
              <w:rPr>
                <w:rFonts w:hint="eastAsia"/>
                <w:sz w:val="21"/>
                <w:szCs w:val="21"/>
                <w:highlight w:val="none"/>
              </w:rPr>
              <w:t>1.</w:t>
            </w:r>
            <w:r>
              <w:rPr>
                <w:rFonts w:hint="eastAsia"/>
                <w:sz w:val="21"/>
                <w:szCs w:val="21"/>
                <w:highlight w:val="none"/>
                <w:lang w:val="zh-CN"/>
              </w:rPr>
              <w:t>响应文件正本1份、副本</w:t>
            </w:r>
            <w:r>
              <w:rPr>
                <w:rFonts w:hint="eastAsia"/>
                <w:sz w:val="21"/>
                <w:szCs w:val="21"/>
                <w:highlight w:val="none"/>
              </w:rPr>
              <w:t>2</w:t>
            </w:r>
            <w:r>
              <w:rPr>
                <w:rFonts w:hint="eastAsia"/>
                <w:sz w:val="21"/>
                <w:szCs w:val="21"/>
                <w:highlight w:val="none"/>
                <w:lang w:val="zh-CN"/>
              </w:rPr>
              <w:t>份(副本可采用正本的复印件)；</w:t>
            </w:r>
          </w:p>
          <w:p>
            <w:pPr>
              <w:pStyle w:val="35"/>
              <w:wordWrap w:val="0"/>
              <w:topLinePunct/>
              <w:autoSpaceDE/>
              <w:autoSpaceDN/>
              <w:snapToGrid w:val="0"/>
              <w:spacing w:line="360" w:lineRule="exact"/>
              <w:rPr>
                <w:sz w:val="21"/>
                <w:szCs w:val="21"/>
                <w:highlight w:val="none"/>
                <w:lang w:val="zh-CN"/>
              </w:rPr>
            </w:pPr>
            <w:r>
              <w:rPr>
                <w:rFonts w:hint="eastAsia"/>
                <w:sz w:val="21"/>
                <w:szCs w:val="21"/>
                <w:highlight w:val="none"/>
              </w:rPr>
              <w:t>2.</w:t>
            </w:r>
            <w:r>
              <w:rPr>
                <w:rFonts w:hint="eastAsia"/>
                <w:sz w:val="21"/>
                <w:szCs w:val="21"/>
                <w:highlight w:val="none"/>
                <w:lang w:val="zh-CN"/>
              </w:rPr>
              <w:t>响应文件可以密封为一袋或几袋；密封袋应按第四章中响应文件格式“密封袋格式”</w:t>
            </w:r>
            <w:r>
              <w:rPr>
                <w:rFonts w:hint="eastAsia"/>
                <w:sz w:val="21"/>
                <w:szCs w:val="21"/>
                <w:highlight w:val="none"/>
              </w:rPr>
              <w:t>要求</w:t>
            </w:r>
            <w:r>
              <w:rPr>
                <w:rFonts w:hint="eastAsia"/>
                <w:sz w:val="21"/>
                <w:szCs w:val="21"/>
                <w:highlight w:val="none"/>
                <w:lang w:val="zh-CN"/>
              </w:rPr>
              <w:t>制作，并加盖供应商(法定名称)</w:t>
            </w:r>
            <w:r>
              <w:rPr>
                <w:rFonts w:hint="eastAsia"/>
                <w:sz w:val="21"/>
                <w:szCs w:val="21"/>
                <w:highlight w:val="none"/>
              </w:rPr>
              <w:t>公</w:t>
            </w:r>
            <w:r>
              <w:rPr>
                <w:rFonts w:hint="eastAsia"/>
                <w:sz w:val="21"/>
                <w:szCs w:val="21"/>
                <w:highlight w:val="none"/>
                <w:lang w:val="zh-CN"/>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rFonts w:hAnsi="宋体"/>
                <w:sz w:val="21"/>
                <w:szCs w:val="21"/>
                <w:highlight w:val="none"/>
              </w:rPr>
            </w:pPr>
          </w:p>
        </w:tc>
        <w:tc>
          <w:tcPr>
            <w:tcW w:w="2050" w:type="dxa"/>
            <w:vAlign w:val="center"/>
          </w:tcPr>
          <w:p>
            <w:pPr>
              <w:pStyle w:val="43"/>
              <w:rPr>
                <w:szCs w:val="21"/>
                <w:highlight w:val="none"/>
              </w:rPr>
            </w:pPr>
            <w:r>
              <w:rPr>
                <w:rFonts w:hint="eastAsia"/>
                <w:highlight w:val="none"/>
              </w:rPr>
              <w:t>招标代理</w:t>
            </w:r>
            <w:r>
              <w:rPr>
                <w:rFonts w:hint="eastAsia"/>
                <w:highlight w:val="none"/>
                <w:lang w:val="zh-CN"/>
              </w:rPr>
              <w:t>服务费</w:t>
            </w:r>
          </w:p>
        </w:tc>
        <w:tc>
          <w:tcPr>
            <w:tcW w:w="7225" w:type="dxa"/>
            <w:vAlign w:val="center"/>
          </w:tcPr>
          <w:p>
            <w:pPr>
              <w:pStyle w:val="44"/>
              <w:ind w:left="0" w:leftChars="0"/>
              <w:rPr>
                <w:rFonts w:hint="eastAsia"/>
                <w:szCs w:val="21"/>
                <w:highlight w:val="none"/>
                <w:lang w:val="zh-CN"/>
              </w:rPr>
            </w:pPr>
            <w:r>
              <w:rPr>
                <w:rFonts w:hint="eastAsia"/>
                <w:szCs w:val="21"/>
                <w:highlight w:val="none"/>
                <w:lang w:val="zh-CN"/>
              </w:rPr>
              <w:t>1.收取标准：招标代理服务费以成本加合理利润为原则，定额收取6000元。</w:t>
            </w:r>
          </w:p>
          <w:p>
            <w:pPr>
              <w:pStyle w:val="44"/>
              <w:ind w:left="0" w:leftChars="0"/>
              <w:rPr>
                <w:szCs w:val="21"/>
                <w:highlight w:val="none"/>
                <w:lang w:val="zh-CN"/>
              </w:rPr>
            </w:pPr>
            <w:r>
              <w:rPr>
                <w:rFonts w:hint="eastAsia"/>
                <w:szCs w:val="21"/>
                <w:highlight w:val="none"/>
                <w:lang w:val="zh-CN"/>
              </w:rPr>
              <w:t>2.收取方式：成交通知发出后二个工作日内由成交供应商一次性支付至采购代理机构。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rPr>
                <w:szCs w:val="21"/>
                <w:highlight w:val="none"/>
                <w:lang w:val="zh-CN"/>
              </w:rPr>
            </w:pPr>
            <w:r>
              <w:rPr>
                <w:rFonts w:hint="eastAsia"/>
                <w:highlight w:val="none"/>
                <w:lang w:val="zh-CN"/>
              </w:rPr>
              <w:t>成交通知书领取</w:t>
            </w:r>
          </w:p>
        </w:tc>
        <w:tc>
          <w:tcPr>
            <w:tcW w:w="7225" w:type="dxa"/>
            <w:vAlign w:val="center"/>
          </w:tcPr>
          <w:p>
            <w:pPr>
              <w:pStyle w:val="44"/>
              <w:ind w:left="0" w:leftChars="0"/>
              <w:rPr>
                <w:highlight w:val="none"/>
                <w:lang w:val="zh-CN"/>
              </w:rPr>
            </w:pPr>
            <w:r>
              <w:rPr>
                <w:rFonts w:hint="eastAsia"/>
                <w:highlight w:val="none"/>
                <w:lang w:val="zh-CN"/>
              </w:rPr>
              <w:t>采购代理机构在</w:t>
            </w:r>
            <w:r>
              <w:rPr>
                <w:rFonts w:hint="eastAsia"/>
                <w:highlight w:val="none"/>
              </w:rPr>
              <w:t>成交</w:t>
            </w:r>
            <w:r>
              <w:rPr>
                <w:rFonts w:hint="eastAsia"/>
                <w:highlight w:val="none"/>
                <w:lang w:val="zh-CN"/>
              </w:rPr>
              <w:t>供应商确定后2个工作日内，在“四川政府采购网”发布成交公告，同时向</w:t>
            </w:r>
            <w:r>
              <w:rPr>
                <w:rFonts w:hint="eastAsia"/>
                <w:highlight w:val="none"/>
              </w:rPr>
              <w:t>成交</w:t>
            </w:r>
            <w:r>
              <w:rPr>
                <w:rFonts w:hint="eastAsia"/>
                <w:highlight w:val="none"/>
                <w:lang w:val="zh-CN"/>
              </w:rPr>
              <w:t>供应商发出</w:t>
            </w:r>
            <w:r>
              <w:rPr>
                <w:rFonts w:hint="eastAsia"/>
                <w:highlight w:val="none"/>
              </w:rPr>
              <w:t>成交</w:t>
            </w:r>
            <w:r>
              <w:rPr>
                <w:rFonts w:hint="eastAsia"/>
                <w:highlight w:val="none"/>
                <w:lang w:val="zh-CN"/>
              </w:rPr>
              <w:t>通知书。</w:t>
            </w:r>
          </w:p>
          <w:p>
            <w:pPr>
              <w:pStyle w:val="44"/>
              <w:ind w:left="0" w:leftChars="0"/>
              <w:rPr>
                <w:highlight w:val="none"/>
                <w:lang w:val="zh-CN"/>
              </w:rPr>
            </w:pPr>
            <w:r>
              <w:rPr>
                <w:rFonts w:hint="eastAsia"/>
                <w:highlight w:val="none"/>
                <w:lang w:val="zh-CN"/>
              </w:rPr>
              <w:t>请</w:t>
            </w:r>
            <w:r>
              <w:rPr>
                <w:rFonts w:hint="eastAsia"/>
                <w:highlight w:val="none"/>
              </w:rPr>
              <w:t>成交</w:t>
            </w:r>
            <w:r>
              <w:rPr>
                <w:rFonts w:hint="eastAsia"/>
                <w:highlight w:val="none"/>
                <w:lang w:val="zh-CN"/>
              </w:rPr>
              <w:t>供应商凭有效身份证明证件到采购代理机构领取</w:t>
            </w:r>
            <w:r>
              <w:rPr>
                <w:rFonts w:hint="eastAsia"/>
                <w:highlight w:val="none"/>
              </w:rPr>
              <w:t>成交</w:t>
            </w:r>
            <w:r>
              <w:rPr>
                <w:rFonts w:hint="eastAsia"/>
                <w:highlight w:val="none"/>
                <w:lang w:val="zh-CN"/>
              </w:rPr>
              <w:t>通知书，逾期采购代理机构将</w:t>
            </w:r>
            <w:r>
              <w:rPr>
                <w:rFonts w:hint="eastAsia"/>
                <w:highlight w:val="none"/>
              </w:rPr>
              <w:t>成交</w:t>
            </w:r>
            <w:r>
              <w:rPr>
                <w:rFonts w:hint="eastAsia"/>
                <w:highlight w:val="none"/>
                <w:lang w:val="zh-CN"/>
              </w:rPr>
              <w:t>通知书快递至</w:t>
            </w:r>
            <w:r>
              <w:rPr>
                <w:rFonts w:hint="eastAsia"/>
                <w:highlight w:val="none"/>
              </w:rPr>
              <w:t>成交供应商</w:t>
            </w:r>
            <w:r>
              <w:rPr>
                <w:rFonts w:hint="eastAsia"/>
                <w:highlight w:val="none"/>
                <w:lang w:val="zh-CN"/>
              </w:rPr>
              <w:t>，</w:t>
            </w:r>
            <w:r>
              <w:rPr>
                <w:rFonts w:hint="eastAsia"/>
                <w:highlight w:val="none"/>
              </w:rPr>
              <w:t>成交</w:t>
            </w:r>
            <w:r>
              <w:rPr>
                <w:rFonts w:hint="eastAsia"/>
                <w:highlight w:val="none"/>
                <w:lang w:val="zh-CN"/>
              </w:rPr>
              <w:t>供应商自行承担相关不利后果。</w:t>
            </w:r>
          </w:p>
          <w:p>
            <w:pPr>
              <w:pStyle w:val="44"/>
              <w:ind w:left="0" w:leftChars="0"/>
              <w:rPr>
                <w:highlight w:val="none"/>
              </w:rPr>
            </w:pPr>
            <w:r>
              <w:rPr>
                <w:rFonts w:hint="eastAsia"/>
                <w:highlight w:val="none"/>
              </w:rPr>
              <w:t>联系人：朱琴</w:t>
            </w:r>
          </w:p>
          <w:p>
            <w:pPr>
              <w:pStyle w:val="44"/>
              <w:ind w:left="0" w:leftChars="0"/>
              <w:rPr>
                <w:highlight w:val="none"/>
              </w:rPr>
            </w:pPr>
            <w:r>
              <w:rPr>
                <w:rFonts w:hint="eastAsia"/>
                <w:highlight w:val="none"/>
                <w:lang w:val="zh-CN"/>
              </w:rPr>
              <w:t>联系电话：</w:t>
            </w:r>
            <w:r>
              <w:rPr>
                <w:rFonts w:hint="eastAsia"/>
                <w:highlight w:val="none"/>
              </w:rPr>
              <w:t>028-61375575、62600820、62630990转601或602</w:t>
            </w:r>
          </w:p>
          <w:p>
            <w:pPr>
              <w:pStyle w:val="44"/>
              <w:ind w:left="0" w:leftChars="0"/>
              <w:rPr>
                <w:szCs w:val="21"/>
                <w:highlight w:val="none"/>
              </w:rPr>
            </w:pPr>
            <w:r>
              <w:rPr>
                <w:rFonts w:hint="eastAsia"/>
                <w:highlight w:val="none"/>
                <w:lang w:val="zh-CN"/>
              </w:rPr>
              <w:t>地址：成都市高新区吉庆三路333号蜀都中心二期一号楼一单元401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adjustRightInd w:val="0"/>
              <w:snapToGrid w:val="0"/>
              <w:ind w:left="34" w:leftChars="10" w:right="34" w:rightChars="10"/>
              <w:rPr>
                <w:highlight w:val="none"/>
                <w:lang w:val="zh-CN"/>
              </w:rPr>
            </w:pPr>
            <w:r>
              <w:rPr>
                <w:rFonts w:hint="eastAsia"/>
                <w:highlight w:val="none"/>
                <w:lang w:val="zh-CN"/>
              </w:rPr>
              <w:t>履约保证金</w:t>
            </w:r>
          </w:p>
        </w:tc>
        <w:tc>
          <w:tcPr>
            <w:tcW w:w="7225" w:type="dxa"/>
            <w:vAlign w:val="center"/>
          </w:tcPr>
          <w:p>
            <w:pPr>
              <w:pStyle w:val="44"/>
              <w:adjustRightInd w:val="0"/>
              <w:snapToGrid w:val="0"/>
              <w:ind w:left="0" w:leftChars="0" w:right="85" w:rightChars="25"/>
              <w:rPr>
                <w:highlight w:val="none"/>
              </w:rPr>
            </w:pPr>
            <w:r>
              <w:rPr>
                <w:rFonts w:hint="eastAsia"/>
                <w:highlight w:val="none"/>
              </w:rPr>
              <w:t>本项目不收取履约保证金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6"/>
              <w:numPr>
                <w:ilvl w:val="0"/>
                <w:numId w:val="11"/>
              </w:numPr>
              <w:wordWrap w:val="0"/>
              <w:topLinePunct/>
              <w:adjustRightInd w:val="0"/>
              <w:snapToGrid w:val="0"/>
              <w:spacing w:line="360" w:lineRule="exact"/>
              <w:ind w:right="68" w:rightChars="20" w:firstLine="420"/>
              <w:jc w:val="center"/>
              <w:rPr>
                <w:rFonts w:hAnsi="宋体"/>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响应文件签署</w:t>
            </w:r>
          </w:p>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及盖章</w:t>
            </w:r>
          </w:p>
          <w:p>
            <w:pPr>
              <w:pStyle w:val="35"/>
              <w:wordWrap w:val="0"/>
              <w:topLinePunct/>
              <w:autoSpaceDE/>
              <w:autoSpaceDN/>
              <w:snapToGrid w:val="0"/>
              <w:spacing w:line="360" w:lineRule="exact"/>
              <w:jc w:val="center"/>
              <w:rPr>
                <w:sz w:val="21"/>
                <w:szCs w:val="21"/>
                <w:highlight w:val="none"/>
              </w:rPr>
            </w:pPr>
            <w:r>
              <w:rPr>
                <w:rFonts w:hint="eastAsia"/>
                <w:sz w:val="21"/>
                <w:szCs w:val="21"/>
                <w:highlight w:val="none"/>
              </w:rPr>
              <w:t>(实质性要求)</w:t>
            </w:r>
          </w:p>
        </w:tc>
        <w:tc>
          <w:tcPr>
            <w:tcW w:w="7225" w:type="dxa"/>
            <w:vAlign w:val="center"/>
          </w:tcPr>
          <w:p>
            <w:pPr>
              <w:pStyle w:val="34"/>
              <w:wordWrap w:val="0"/>
              <w:topLinePunct/>
              <w:adjustRightInd w:val="0"/>
              <w:snapToGrid w:val="0"/>
              <w:spacing w:line="360" w:lineRule="exact"/>
              <w:ind w:firstLine="0" w:firstLineChars="0"/>
              <w:rPr>
                <w:rFonts w:hAnsi="宋体"/>
                <w:sz w:val="21"/>
                <w:szCs w:val="21"/>
                <w:highlight w:val="none"/>
              </w:rPr>
            </w:pPr>
            <w:r>
              <w:rPr>
                <w:rFonts w:hint="eastAsia" w:hAnsi="宋体"/>
                <w:sz w:val="21"/>
                <w:szCs w:val="21"/>
                <w:highlight w:val="none"/>
              </w:rPr>
              <w:t>法定代表人或其授权代表签字或盖个人印鉴(签字可用具有法定效力的个人印章代替)不得使用专用章(如经济合同章、投标专用章等)或下属单位印章代替。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rPr>
                <w:szCs w:val="21"/>
                <w:highlight w:val="none"/>
                <w:lang w:val="zh-CN"/>
              </w:rPr>
            </w:pPr>
            <w:r>
              <w:rPr>
                <w:rFonts w:hint="eastAsia"/>
                <w:highlight w:val="none"/>
              </w:rPr>
              <w:t>采购文件咨询</w:t>
            </w:r>
          </w:p>
        </w:tc>
        <w:tc>
          <w:tcPr>
            <w:tcW w:w="7225" w:type="dxa"/>
          </w:tcPr>
          <w:p>
            <w:pPr>
              <w:pStyle w:val="44"/>
              <w:adjustRightInd w:val="0"/>
              <w:snapToGrid w:val="0"/>
              <w:ind w:left="0" w:leftChars="0"/>
              <w:rPr>
                <w:highlight w:val="none"/>
              </w:rPr>
            </w:pPr>
            <w:r>
              <w:rPr>
                <w:rFonts w:hint="eastAsia"/>
                <w:highlight w:val="none"/>
              </w:rPr>
              <w:t>联系人：杨莉娟</w:t>
            </w:r>
          </w:p>
          <w:p>
            <w:pPr>
              <w:pStyle w:val="44"/>
              <w:adjustRightInd w:val="0"/>
              <w:snapToGrid w:val="0"/>
              <w:ind w:left="0" w:leftChars="0"/>
              <w:rPr>
                <w:szCs w:val="21"/>
                <w:highlight w:val="none"/>
              </w:rPr>
            </w:pPr>
            <w:r>
              <w:rPr>
                <w:rFonts w:hint="eastAsia"/>
                <w:highlight w:val="none"/>
              </w:rPr>
              <w:t>联系电话：</w:t>
            </w:r>
            <w:r>
              <w:rPr>
                <w:rFonts w:hint="eastAsia"/>
                <w:highlight w:val="none"/>
                <w:lang w:val="zh-CN"/>
              </w:rPr>
              <w:t>028-61375575、62600820、62630990转</w:t>
            </w:r>
            <w:r>
              <w:rPr>
                <w:rFonts w:hint="eastAsia"/>
                <w:highlight w:val="none"/>
              </w:rPr>
              <w:t>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rPr>
                <w:szCs w:val="21"/>
                <w:highlight w:val="none"/>
                <w:lang w:val="zh-CN"/>
              </w:rPr>
            </w:pPr>
            <w:r>
              <w:rPr>
                <w:rFonts w:hint="eastAsia"/>
                <w:highlight w:val="none"/>
              </w:rPr>
              <w:t>协商咨询</w:t>
            </w:r>
          </w:p>
        </w:tc>
        <w:tc>
          <w:tcPr>
            <w:tcW w:w="7225" w:type="dxa"/>
          </w:tcPr>
          <w:p>
            <w:pPr>
              <w:pStyle w:val="44"/>
              <w:adjustRightInd w:val="0"/>
              <w:snapToGrid w:val="0"/>
              <w:ind w:left="0" w:leftChars="0"/>
              <w:rPr>
                <w:rFonts w:hint="eastAsia" w:eastAsia="宋体"/>
                <w:highlight w:val="none"/>
                <w:lang w:eastAsia="zh-CN"/>
              </w:rPr>
            </w:pPr>
            <w:r>
              <w:rPr>
                <w:rFonts w:hint="eastAsia"/>
                <w:highlight w:val="none"/>
              </w:rPr>
              <w:t>联系人：</w:t>
            </w:r>
            <w:r>
              <w:rPr>
                <w:rFonts w:hint="eastAsia"/>
                <w:highlight w:val="none"/>
                <w:lang w:val="en-US" w:eastAsia="zh-CN"/>
              </w:rPr>
              <w:t>郭婉莹</w:t>
            </w:r>
          </w:p>
          <w:p>
            <w:pPr>
              <w:pStyle w:val="44"/>
              <w:adjustRightInd w:val="0"/>
              <w:snapToGrid w:val="0"/>
              <w:ind w:left="0" w:leftChars="0"/>
              <w:rPr>
                <w:rFonts w:hint="default" w:eastAsia="宋体"/>
                <w:szCs w:val="21"/>
                <w:highlight w:val="none"/>
                <w:lang w:val="en-US" w:eastAsia="zh-CN"/>
              </w:rPr>
            </w:pPr>
            <w:r>
              <w:rPr>
                <w:rFonts w:hint="eastAsia"/>
                <w:highlight w:val="none"/>
              </w:rPr>
              <w:t>联系电话：</w:t>
            </w:r>
            <w:r>
              <w:rPr>
                <w:rFonts w:hint="eastAsia"/>
                <w:highlight w:val="none"/>
                <w:lang w:val="zh-CN"/>
              </w:rPr>
              <w:t>028-61375575、62600820、62630990转</w:t>
            </w:r>
            <w:r>
              <w:rPr>
                <w:rFonts w:hint="eastAsia"/>
                <w:highlight w:val="none"/>
                <w:lang w:val="en-US" w:eastAsia="zh-CN"/>
              </w:rPr>
              <w:t>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rPr>
                <w:szCs w:val="21"/>
                <w:highlight w:val="none"/>
                <w:lang w:val="zh-CN"/>
              </w:rPr>
            </w:pPr>
            <w:r>
              <w:rPr>
                <w:rFonts w:hint="eastAsia"/>
                <w:highlight w:val="none"/>
              </w:rPr>
              <w:t>服务质量投诉电话</w:t>
            </w:r>
          </w:p>
        </w:tc>
        <w:tc>
          <w:tcPr>
            <w:tcW w:w="7225" w:type="dxa"/>
            <w:vAlign w:val="center"/>
          </w:tcPr>
          <w:p>
            <w:pPr>
              <w:pStyle w:val="44"/>
              <w:ind w:left="0" w:leftChars="0"/>
              <w:rPr>
                <w:highlight w:val="none"/>
              </w:rPr>
            </w:pPr>
            <w:r>
              <w:rPr>
                <w:rFonts w:hint="eastAsia"/>
                <w:highlight w:val="none"/>
              </w:rPr>
              <w:t>联系人：滕德伟</w:t>
            </w:r>
          </w:p>
          <w:p>
            <w:pPr>
              <w:pStyle w:val="44"/>
              <w:ind w:left="0" w:leftChars="0"/>
              <w:rPr>
                <w:szCs w:val="21"/>
                <w:highlight w:val="none"/>
                <w:lang w:val="zh-CN"/>
              </w:rPr>
            </w:pPr>
            <w:r>
              <w:rPr>
                <w:rFonts w:hint="eastAsia"/>
                <w:highlight w:val="none"/>
              </w:rPr>
              <w:t>联系电话：028-61375575、62600820、62630990转656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43"/>
              <w:rPr>
                <w:highlight w:val="none"/>
              </w:rPr>
            </w:pPr>
            <w:r>
              <w:rPr>
                <w:rFonts w:hint="eastAsia"/>
                <w:highlight w:val="none"/>
                <w:lang w:val="zh-CN"/>
              </w:rPr>
              <w:t>声明承诺提醒</w:t>
            </w:r>
          </w:p>
        </w:tc>
        <w:tc>
          <w:tcPr>
            <w:tcW w:w="7225" w:type="dxa"/>
            <w:vAlign w:val="center"/>
          </w:tcPr>
          <w:p>
            <w:pPr>
              <w:pStyle w:val="43"/>
              <w:adjustRightInd w:val="0"/>
              <w:snapToGrid w:val="0"/>
              <w:ind w:right="85" w:rightChars="25"/>
              <w:jc w:val="left"/>
              <w:rPr>
                <w:highlight w:val="none"/>
              </w:rPr>
            </w:pPr>
            <w:r>
              <w:rPr>
                <w:rFonts w:hint="eastAsia"/>
                <w:highlight w:val="none"/>
                <w:lang w:val="zh-CN"/>
              </w:rPr>
              <w:t>供应商响应文件中提供的各种声明和承诺应当真实有效，无效声明和承诺、虚假声明和承诺将由供应商</w:t>
            </w:r>
            <w:r>
              <w:rPr>
                <w:rFonts w:hint="eastAsia"/>
                <w:highlight w:val="none"/>
              </w:rPr>
              <w:t>自行</w:t>
            </w:r>
            <w:r>
              <w:rPr>
                <w:rFonts w:hint="eastAsia"/>
                <w:highlight w:val="none"/>
                <w:lang w:val="zh-CN"/>
              </w:rPr>
              <w:t>承担由此带来的</w:t>
            </w:r>
            <w:r>
              <w:rPr>
                <w:rFonts w:hint="eastAsia"/>
                <w:highlight w:val="none"/>
              </w:rPr>
              <w:t>一切</w:t>
            </w:r>
            <w:r>
              <w:rPr>
                <w:rFonts w:hint="eastAsia"/>
                <w:highlight w:val="none"/>
                <w:lang w:val="zh-CN"/>
              </w:rPr>
              <w:t>不利后果，</w:t>
            </w:r>
            <w:r>
              <w:rPr>
                <w:rFonts w:hint="eastAsia"/>
                <w:highlight w:val="none"/>
              </w:rPr>
              <w:t>采购代理机构</w:t>
            </w:r>
            <w:r>
              <w:rPr>
                <w:rFonts w:hint="eastAsia"/>
                <w:highlight w:val="none"/>
                <w:lang w:val="zh-CN"/>
              </w:rPr>
              <w:t>还将报告</w:t>
            </w:r>
            <w:r>
              <w:rPr>
                <w:rFonts w:hint="eastAsia"/>
                <w:highlight w:val="none"/>
              </w:rPr>
              <w:t>同级</w:t>
            </w:r>
            <w:r>
              <w:rPr>
                <w:rFonts w:hint="eastAsia"/>
                <w:highlight w:val="none"/>
                <w:lang w:val="zh-CN"/>
              </w:rPr>
              <w:t>监管部门追究</w:t>
            </w:r>
            <w:r>
              <w:rPr>
                <w:rFonts w:hint="eastAsia"/>
                <w:highlight w:val="none"/>
              </w:rPr>
              <w:t>其</w:t>
            </w:r>
            <w:r>
              <w:rPr>
                <w:rFonts w:hint="eastAsia"/>
                <w:highlight w:val="none"/>
                <w:lang w:val="zh-CN"/>
              </w:rPr>
              <w:t>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2" w:type="dxa"/>
            <w:vAlign w:val="center"/>
          </w:tcPr>
          <w:p>
            <w:pPr>
              <w:pStyle w:val="35"/>
              <w:numPr>
                <w:ilvl w:val="0"/>
                <w:numId w:val="11"/>
              </w:numPr>
              <w:wordWrap w:val="0"/>
              <w:topLinePunct/>
              <w:autoSpaceDE/>
              <w:autoSpaceDN/>
              <w:snapToGrid w:val="0"/>
              <w:spacing w:line="360" w:lineRule="exact"/>
              <w:ind w:right="68" w:rightChars="20"/>
              <w:jc w:val="center"/>
              <w:rPr>
                <w:sz w:val="21"/>
                <w:szCs w:val="21"/>
                <w:highlight w:val="none"/>
              </w:rPr>
            </w:pPr>
          </w:p>
        </w:tc>
        <w:tc>
          <w:tcPr>
            <w:tcW w:w="2050" w:type="dxa"/>
            <w:vAlign w:val="center"/>
          </w:tcPr>
          <w:p>
            <w:pPr>
              <w:pStyle w:val="35"/>
              <w:wordWrap w:val="0"/>
              <w:topLinePunct/>
              <w:autoSpaceDE/>
              <w:autoSpaceDN/>
              <w:snapToGrid w:val="0"/>
              <w:spacing w:line="360" w:lineRule="exact"/>
              <w:jc w:val="center"/>
              <w:rPr>
                <w:sz w:val="21"/>
                <w:szCs w:val="21"/>
                <w:highlight w:val="none"/>
                <w:lang w:val="zh-CN"/>
              </w:rPr>
            </w:pPr>
            <w:r>
              <w:rPr>
                <w:rFonts w:hint="eastAsia"/>
                <w:sz w:val="21"/>
                <w:szCs w:val="21"/>
                <w:highlight w:val="none"/>
              </w:rPr>
              <w:t>备  注</w:t>
            </w:r>
          </w:p>
        </w:tc>
        <w:tc>
          <w:tcPr>
            <w:tcW w:w="7225" w:type="dxa"/>
            <w:vAlign w:val="center"/>
          </w:tcPr>
          <w:p>
            <w:pPr>
              <w:pStyle w:val="35"/>
              <w:wordWrap w:val="0"/>
              <w:topLinePunct/>
              <w:autoSpaceDE/>
              <w:autoSpaceDN/>
              <w:snapToGrid w:val="0"/>
              <w:spacing w:line="360" w:lineRule="exact"/>
              <w:jc w:val="both"/>
              <w:rPr>
                <w:sz w:val="21"/>
                <w:szCs w:val="21"/>
                <w:highlight w:val="none"/>
                <w:lang w:val="zh-CN"/>
              </w:rPr>
            </w:pPr>
            <w:r>
              <w:rPr>
                <w:rFonts w:hint="eastAsia"/>
                <w:sz w:val="21"/>
                <w:szCs w:val="21"/>
                <w:highlight w:val="none"/>
              </w:rPr>
              <w:t>若单一来源采购文件中其他内容与须知前附表内容不一致的，以采购须知前附表为准。</w:t>
            </w:r>
          </w:p>
        </w:tc>
      </w:tr>
    </w:tbl>
    <w:p>
      <w:pPr>
        <w:pStyle w:val="35"/>
        <w:wordWrap w:val="0"/>
        <w:topLinePunct/>
        <w:autoSpaceDE/>
        <w:autoSpaceDN/>
        <w:ind w:right="-16"/>
        <w:rPr>
          <w:b/>
          <w:bCs/>
          <w:highlight w:val="none"/>
        </w:rPr>
        <w:sectPr>
          <w:headerReference r:id="rId11" w:type="first"/>
          <w:footerReference r:id="rId13" w:type="first"/>
          <w:headerReference r:id="rId10" w:type="default"/>
          <w:footerReference r:id="rId12" w:type="default"/>
          <w:pgSz w:w="11907" w:h="16840"/>
          <w:pgMar w:top="1440" w:right="1083" w:bottom="1440" w:left="1083" w:header="471" w:footer="992" w:gutter="0"/>
          <w:pgNumType w:start="1"/>
          <w:cols w:space="0" w:num="1"/>
          <w:titlePg/>
        </w:sectPr>
      </w:pPr>
    </w:p>
    <w:p>
      <w:pPr>
        <w:pStyle w:val="45"/>
        <w:spacing w:before="120" w:beforeLines="50" w:after="120" w:afterLines="50"/>
        <w:ind w:firstLine="562"/>
        <w:jc w:val="center"/>
        <w:rPr>
          <w:sz w:val="28"/>
          <w:szCs w:val="28"/>
          <w:highlight w:val="none"/>
        </w:rPr>
      </w:pPr>
      <w:bookmarkStart w:id="101" w:name="_Toc72"/>
      <w:bookmarkStart w:id="102" w:name="_Toc4657"/>
      <w:r>
        <w:rPr>
          <w:rFonts w:hint="eastAsia"/>
          <w:sz w:val="28"/>
          <w:szCs w:val="28"/>
          <w:highlight w:val="none"/>
        </w:rPr>
        <w:t>二、适用范围</w:t>
      </w:r>
      <w:bookmarkEnd w:id="74"/>
      <w:bookmarkEnd w:id="75"/>
      <w:bookmarkEnd w:id="76"/>
      <w:bookmarkEnd w:id="77"/>
      <w:bookmarkEnd w:id="78"/>
      <w:bookmarkEnd w:id="79"/>
      <w:bookmarkEnd w:id="80"/>
      <w:bookmarkEnd w:id="81"/>
      <w:bookmarkEnd w:id="82"/>
      <w:bookmarkEnd w:id="83"/>
      <w:bookmarkEnd w:id="84"/>
      <w:bookmarkEnd w:id="101"/>
      <w:bookmarkEnd w:id="102"/>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本文件仅适用于本次单一来源采购。</w:t>
      </w:r>
    </w:p>
    <w:p>
      <w:pPr>
        <w:pStyle w:val="45"/>
        <w:spacing w:before="120" w:beforeLines="50" w:after="120" w:afterLines="50"/>
        <w:ind w:firstLine="562"/>
        <w:jc w:val="center"/>
        <w:rPr>
          <w:sz w:val="28"/>
          <w:szCs w:val="28"/>
          <w:highlight w:val="none"/>
        </w:rPr>
      </w:pPr>
      <w:bookmarkStart w:id="103" w:name="_Toc1582"/>
      <w:bookmarkStart w:id="104" w:name="_Toc2431"/>
      <w:bookmarkStart w:id="105" w:name="_Toc183582209"/>
      <w:bookmarkStart w:id="106" w:name="_Toc217446038"/>
      <w:bookmarkStart w:id="107" w:name="_Toc77400779"/>
      <w:bookmarkStart w:id="108" w:name="_Toc10109"/>
      <w:bookmarkStart w:id="109" w:name="_Toc28718"/>
      <w:bookmarkStart w:id="110" w:name="_Toc10804"/>
      <w:bookmarkStart w:id="111" w:name="_Toc1112"/>
      <w:bookmarkStart w:id="112" w:name="_Toc19027"/>
      <w:bookmarkStart w:id="113" w:name="_Toc5476"/>
      <w:bookmarkStart w:id="114" w:name="_Toc5160"/>
      <w:bookmarkStart w:id="115" w:name="_Toc2426"/>
      <w:bookmarkStart w:id="116" w:name="_Toc18383"/>
      <w:bookmarkStart w:id="117" w:name="_Toc26075"/>
      <w:bookmarkStart w:id="118" w:name="_Toc13941"/>
      <w:bookmarkStart w:id="119" w:name="_Toc183682346"/>
      <w:bookmarkStart w:id="120" w:name="_Toc89075875"/>
      <w:bookmarkStart w:id="121" w:name="_Toc12196"/>
      <w:r>
        <w:rPr>
          <w:rFonts w:hint="eastAsia"/>
          <w:sz w:val="28"/>
          <w:szCs w:val="28"/>
          <w:highlight w:val="none"/>
        </w:rPr>
        <w:t>三、采购文件</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numPr>
          <w:ilvl w:val="0"/>
          <w:numId w:val="12"/>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采购文件的构成</w:t>
      </w:r>
    </w:p>
    <w:p>
      <w:pPr>
        <w:numPr>
          <w:ilvl w:val="0"/>
          <w:numId w:val="13"/>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单一来源采购文件由采购邀请、采购须知、采购项目技术、商务及其他要求、响应文件格式、协商办法、合同主要条款组成。</w:t>
      </w:r>
    </w:p>
    <w:p>
      <w:pPr>
        <w:numPr>
          <w:ilvl w:val="0"/>
          <w:numId w:val="13"/>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供应商应认真阅读和充分理解采购文件中所有的事项、格式条款和规范要求。供应商没有对采购文件全面做出实质性响应，自行承担由此带来的风险。</w:t>
      </w:r>
    </w:p>
    <w:p>
      <w:pPr>
        <w:numPr>
          <w:ilvl w:val="0"/>
          <w:numId w:val="12"/>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采购文件的澄清和修改</w:t>
      </w:r>
    </w:p>
    <w:p>
      <w:pPr>
        <w:numPr>
          <w:ilvl w:val="0"/>
          <w:numId w:val="14"/>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提交响应文件截止之日前，采购人或者采购代理机构无论出于何种原因，可以对采购文件进行澄清或者修改。</w:t>
      </w:r>
    </w:p>
    <w:p>
      <w:pPr>
        <w:numPr>
          <w:ilvl w:val="0"/>
          <w:numId w:val="14"/>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采购人或者采购代理机构的澄清或者修改可能影响响应文件编制的，应当在提交响应文件截止之日3个工作日之前，以更正公告形式在“四川政府采购网”发布，不足3个工作日的，应当顺延提交响应文件截止日期。供应商应随时关注项目进度，更正公告的内容作为单一来源采购文件的组成部分。</w:t>
      </w:r>
    </w:p>
    <w:p>
      <w:pPr>
        <w:numPr>
          <w:ilvl w:val="0"/>
          <w:numId w:val="14"/>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供应商发现采购文件中不合理或者有误的，须在响应文件递交截止日前、以书面形式要求采购人或者采购代理机构澄清。没有书面澄清要求，又参与了该项目采购活动的供应商将被视为完全认同文件。</w:t>
      </w:r>
    </w:p>
    <w:p>
      <w:pPr>
        <w:numPr>
          <w:ilvl w:val="0"/>
          <w:numId w:val="14"/>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供应商不按文件规定的时间、网址查看澄清(更正)公告所造成的各种后果，由供应商自行负责。</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Pr>
        <w:pStyle w:val="45"/>
        <w:spacing w:before="120" w:beforeLines="50" w:after="120" w:afterLines="50"/>
        <w:ind w:firstLine="562"/>
        <w:jc w:val="center"/>
        <w:rPr>
          <w:sz w:val="28"/>
          <w:szCs w:val="28"/>
          <w:highlight w:val="none"/>
        </w:rPr>
      </w:pPr>
      <w:bookmarkStart w:id="122" w:name="_Toc7583"/>
      <w:bookmarkStart w:id="123" w:name="_Toc19252"/>
      <w:bookmarkStart w:id="124" w:name="_Toc16656"/>
      <w:bookmarkStart w:id="125" w:name="_Toc21678"/>
      <w:bookmarkStart w:id="126" w:name="_Toc11931"/>
      <w:bookmarkStart w:id="127" w:name="_Toc10150"/>
      <w:bookmarkStart w:id="128" w:name="_Toc399"/>
      <w:bookmarkStart w:id="129" w:name="_Toc16873"/>
      <w:bookmarkStart w:id="130" w:name="_Toc29261"/>
      <w:bookmarkStart w:id="131" w:name="_Toc26285"/>
      <w:bookmarkStart w:id="132" w:name="_Toc30873"/>
      <w:bookmarkStart w:id="133" w:name="_Toc27647"/>
      <w:bookmarkStart w:id="134" w:name="_Toc22971"/>
      <w:r>
        <w:rPr>
          <w:rFonts w:hint="eastAsia"/>
          <w:sz w:val="28"/>
          <w:szCs w:val="28"/>
          <w:highlight w:val="none"/>
        </w:rPr>
        <w:t>四、响应文件的组成</w:t>
      </w:r>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0"/>
          <w:numId w:val="15"/>
        </w:numPr>
        <w:wordWrap w:val="0"/>
        <w:topLinePunct/>
        <w:spacing w:line="440" w:lineRule="exact"/>
        <w:ind w:firstLine="480" w:firstLineChars="200"/>
        <w:jc w:val="left"/>
        <w:rPr>
          <w:rFonts w:hAnsi="宋体"/>
          <w:sz w:val="24"/>
          <w:szCs w:val="24"/>
          <w:highlight w:val="none"/>
        </w:rPr>
      </w:pPr>
      <w:bookmarkStart w:id="135" w:name="_Toc183682354"/>
      <w:bookmarkStart w:id="136" w:name="_Toc217446048"/>
      <w:bookmarkStart w:id="137" w:name="_Toc183582217"/>
      <w:r>
        <w:rPr>
          <w:rFonts w:hint="eastAsia" w:hAnsi="宋体"/>
          <w:sz w:val="24"/>
          <w:szCs w:val="24"/>
          <w:highlight w:val="none"/>
        </w:rPr>
        <w:t>响应文件</w:t>
      </w:r>
      <w:bookmarkEnd w:id="135"/>
      <w:bookmarkEnd w:id="136"/>
      <w:bookmarkEnd w:id="137"/>
      <w:r>
        <w:rPr>
          <w:rFonts w:hint="eastAsia" w:hAnsi="宋体"/>
          <w:sz w:val="24"/>
          <w:szCs w:val="24"/>
          <w:highlight w:val="none"/>
        </w:rPr>
        <w:t>由以下内容组成：</w:t>
      </w:r>
    </w:p>
    <w:p>
      <w:pPr>
        <w:numPr>
          <w:ilvl w:val="0"/>
          <w:numId w:val="16"/>
        </w:numPr>
        <w:tabs>
          <w:tab w:val="left" w:pos="7665"/>
        </w:tabs>
        <w:wordWrap w:val="0"/>
        <w:topLinePunct/>
        <w:adjustRightInd w:val="0"/>
        <w:spacing w:line="440" w:lineRule="exact"/>
        <w:ind w:firstLine="480" w:firstLineChars="200"/>
        <w:jc w:val="left"/>
        <w:rPr>
          <w:rFonts w:hAnsi="宋体"/>
          <w:sz w:val="24"/>
          <w:szCs w:val="24"/>
          <w:highlight w:val="none"/>
        </w:rPr>
      </w:pPr>
      <w:bookmarkStart w:id="138" w:name="_Toc217446049"/>
      <w:bookmarkStart w:id="139" w:name="_Toc183682355"/>
      <w:bookmarkStart w:id="140" w:name="_Toc183582218"/>
      <w:r>
        <w:rPr>
          <w:rFonts w:hint="eastAsia" w:hAnsi="宋体"/>
          <w:sz w:val="24"/>
          <w:szCs w:val="24"/>
          <w:highlight w:val="none"/>
        </w:rPr>
        <w:t>资格性(实质性)证明资料(按照第三章实质性要求、第五章资格性检查内容要求进行提供)</w:t>
      </w:r>
    </w:p>
    <w:p>
      <w:pPr>
        <w:numPr>
          <w:ilvl w:val="0"/>
          <w:numId w:val="16"/>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技术参数、商务、服务应答表</w:t>
      </w:r>
    </w:p>
    <w:p>
      <w:pPr>
        <w:numPr>
          <w:ilvl w:val="0"/>
          <w:numId w:val="16"/>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招标代理服务费承诺函</w:t>
      </w:r>
    </w:p>
    <w:p>
      <w:pPr>
        <w:numPr>
          <w:ilvl w:val="0"/>
          <w:numId w:val="16"/>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其他材料(如有)</w:t>
      </w:r>
    </w:p>
    <w:bookmarkEnd w:id="138"/>
    <w:bookmarkEnd w:id="139"/>
    <w:bookmarkEnd w:id="140"/>
    <w:p>
      <w:pPr>
        <w:pStyle w:val="45"/>
        <w:spacing w:before="120" w:beforeLines="50" w:after="120" w:afterLines="50"/>
        <w:ind w:firstLine="562"/>
        <w:jc w:val="center"/>
        <w:rPr>
          <w:sz w:val="28"/>
          <w:szCs w:val="28"/>
          <w:highlight w:val="none"/>
        </w:rPr>
      </w:pPr>
      <w:bookmarkStart w:id="141" w:name="_Toc89075878"/>
      <w:bookmarkStart w:id="142" w:name="_Toc77400782"/>
      <w:bookmarkStart w:id="143" w:name="_Toc4696"/>
      <w:bookmarkStart w:id="144" w:name="_Toc183682368"/>
      <w:bookmarkStart w:id="145" w:name="_Toc217446056"/>
      <w:bookmarkStart w:id="146" w:name="_Toc183582231"/>
      <w:bookmarkStart w:id="147" w:name="_Toc10446"/>
      <w:bookmarkStart w:id="148" w:name="_Toc28326"/>
      <w:bookmarkStart w:id="149" w:name="_Toc4292"/>
      <w:bookmarkStart w:id="150" w:name="_Toc3421"/>
      <w:bookmarkStart w:id="151" w:name="_Toc30179"/>
      <w:bookmarkStart w:id="152" w:name="_Toc16050"/>
      <w:bookmarkStart w:id="153" w:name="_Toc5120"/>
      <w:bookmarkStart w:id="154" w:name="_Toc27391"/>
      <w:bookmarkStart w:id="155" w:name="_Toc29387"/>
      <w:bookmarkStart w:id="156" w:name="_Toc1446"/>
      <w:bookmarkStart w:id="157" w:name="_Toc22293"/>
      <w:bookmarkStart w:id="158" w:name="_Toc17279"/>
      <w:bookmarkStart w:id="159" w:name="_Toc32025"/>
      <w:r>
        <w:rPr>
          <w:rFonts w:hint="eastAsia"/>
          <w:sz w:val="28"/>
          <w:szCs w:val="28"/>
          <w:highlight w:val="none"/>
        </w:rPr>
        <w:t>五、签到、</w:t>
      </w:r>
      <w:bookmarkEnd w:id="141"/>
      <w:bookmarkEnd w:id="142"/>
      <w:bookmarkEnd w:id="143"/>
      <w:bookmarkEnd w:id="144"/>
      <w:bookmarkEnd w:id="145"/>
      <w:bookmarkEnd w:id="146"/>
      <w:r>
        <w:rPr>
          <w:rFonts w:hint="eastAsia"/>
          <w:sz w:val="28"/>
          <w:szCs w:val="28"/>
          <w:highlight w:val="none"/>
        </w:rPr>
        <w:t>协商和成交</w:t>
      </w:r>
      <w:bookmarkEnd w:id="147"/>
      <w:bookmarkEnd w:id="148"/>
      <w:bookmarkEnd w:id="149"/>
      <w:bookmarkEnd w:id="150"/>
      <w:bookmarkEnd w:id="151"/>
      <w:bookmarkEnd w:id="152"/>
      <w:bookmarkEnd w:id="153"/>
      <w:bookmarkEnd w:id="154"/>
      <w:bookmarkEnd w:id="155"/>
      <w:bookmarkEnd w:id="156"/>
      <w:bookmarkEnd w:id="157"/>
      <w:bookmarkEnd w:id="158"/>
      <w:bookmarkEnd w:id="159"/>
    </w:p>
    <w:p>
      <w:pPr>
        <w:numPr>
          <w:ilvl w:val="0"/>
          <w:numId w:val="17"/>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签到</w:t>
      </w:r>
    </w:p>
    <w:p>
      <w:pPr>
        <w:numPr>
          <w:ilvl w:val="0"/>
          <w:numId w:val="18"/>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供应商在递交响应文件截止时间之前，将响应文件送达到递交地点，并进行现场签到，逾期送达的响应文件恕不接收。</w:t>
      </w:r>
    </w:p>
    <w:p>
      <w:pPr>
        <w:numPr>
          <w:ilvl w:val="0"/>
          <w:numId w:val="18"/>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供应商对递交的响应文件进行密封情况检查，并在密封情况检查表上签字确认。</w:t>
      </w:r>
    </w:p>
    <w:p>
      <w:pPr>
        <w:numPr>
          <w:ilvl w:val="0"/>
          <w:numId w:val="18"/>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采购执行机构在监督人员的监督下将响应文件及相关表格移送至评审室供协商小组组织协商。</w:t>
      </w:r>
    </w:p>
    <w:p>
      <w:pPr>
        <w:numPr>
          <w:ilvl w:val="0"/>
          <w:numId w:val="17"/>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协商程序</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详见第五章协商办法。</w:t>
      </w:r>
    </w:p>
    <w:p>
      <w:pPr>
        <w:numPr>
          <w:ilvl w:val="0"/>
          <w:numId w:val="17"/>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成交通知书</w:t>
      </w:r>
    </w:p>
    <w:p>
      <w:pPr>
        <w:numPr>
          <w:ilvl w:val="0"/>
          <w:numId w:val="19"/>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成交通知书为签订政府采购合同的依据，是合同的有效组成部分。</w:t>
      </w:r>
    </w:p>
    <w:p>
      <w:pPr>
        <w:numPr>
          <w:ilvl w:val="0"/>
          <w:numId w:val="19"/>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成交通知书对采购人和成交供应商均具有法律效力。成交通知书发出后，采购人改变成交结果，或者成交供应商无正当理由放弃成交的，应当承担相应的法律责任。</w:t>
      </w:r>
    </w:p>
    <w:p>
      <w:pPr>
        <w:numPr>
          <w:ilvl w:val="0"/>
          <w:numId w:val="19"/>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无法商定合理的成交价格或者无法保证采购项目质量的，与供应商进行商定的专业人员应当停止商定，并由采购人、采购代理机构终止采购活动，书面告知供应商，说明理由。</w:t>
      </w:r>
    </w:p>
    <w:p>
      <w:pPr>
        <w:numPr>
          <w:ilvl w:val="0"/>
          <w:numId w:val="19"/>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采购人与成交供应商应当在成交通知书发出之日起30日内，依据采购文件、响应文件以及评审、商定过程中确定的事项签订政府采购合同。</w:t>
      </w:r>
    </w:p>
    <w:p>
      <w:pPr>
        <w:pStyle w:val="45"/>
        <w:spacing w:before="120" w:beforeLines="50" w:after="120" w:afterLines="50"/>
        <w:ind w:firstLine="562"/>
        <w:jc w:val="center"/>
        <w:rPr>
          <w:bCs/>
          <w:sz w:val="28"/>
          <w:szCs w:val="28"/>
          <w:highlight w:val="none"/>
        </w:rPr>
      </w:pPr>
      <w:bookmarkStart w:id="160" w:name="_Toc217446064"/>
      <w:bookmarkStart w:id="161" w:name="_Toc8471"/>
      <w:bookmarkStart w:id="162" w:name="_Toc28951"/>
      <w:bookmarkStart w:id="163" w:name="_Toc548"/>
      <w:bookmarkStart w:id="164" w:name="_Toc23538"/>
      <w:bookmarkStart w:id="165" w:name="_Toc30647"/>
      <w:bookmarkStart w:id="166" w:name="_Toc31542"/>
      <w:bookmarkStart w:id="167" w:name="_Toc9598"/>
      <w:bookmarkStart w:id="168" w:name="_Toc7340"/>
      <w:bookmarkStart w:id="169" w:name="_Toc28"/>
      <w:bookmarkStart w:id="170" w:name="_Toc19018"/>
      <w:bookmarkStart w:id="171" w:name="_Toc26742"/>
      <w:bookmarkStart w:id="172" w:name="_Toc17801"/>
      <w:bookmarkStart w:id="173" w:name="_Toc12659"/>
      <w:bookmarkStart w:id="174" w:name="_Toc22753"/>
      <w:bookmarkStart w:id="175" w:name="_Toc217446066"/>
      <w:bookmarkStart w:id="176" w:name="_Toc183582240"/>
      <w:bookmarkStart w:id="177" w:name="_Toc183682377"/>
      <w:r>
        <w:rPr>
          <w:rFonts w:hint="eastAsia"/>
          <w:bCs/>
          <w:sz w:val="28"/>
          <w:szCs w:val="28"/>
          <w:highlight w:val="none"/>
        </w:rPr>
        <w:t>六、合同签订、履行</w:t>
      </w:r>
      <w:bookmarkEnd w:id="160"/>
      <w:r>
        <w:rPr>
          <w:rFonts w:hint="eastAsia"/>
          <w:bCs/>
          <w:sz w:val="28"/>
          <w:szCs w:val="28"/>
          <w:highlight w:val="none"/>
        </w:rPr>
        <w:t>和项目验收</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numPr>
          <w:ilvl w:val="0"/>
          <w:numId w:val="20"/>
        </w:numPr>
        <w:wordWrap w:val="0"/>
        <w:topLinePunct/>
        <w:spacing w:line="440" w:lineRule="exact"/>
        <w:ind w:firstLine="480" w:firstLineChars="200"/>
        <w:jc w:val="left"/>
        <w:rPr>
          <w:rFonts w:hAnsi="宋体"/>
          <w:sz w:val="24"/>
          <w:szCs w:val="24"/>
          <w:highlight w:val="none"/>
        </w:rPr>
      </w:pPr>
      <w:bookmarkStart w:id="178" w:name="_Toc217446065"/>
      <w:r>
        <w:rPr>
          <w:rFonts w:hint="eastAsia" w:hAnsi="宋体"/>
          <w:sz w:val="24"/>
          <w:szCs w:val="24"/>
          <w:highlight w:val="none"/>
        </w:rPr>
        <w:t>合同</w:t>
      </w:r>
      <w:bookmarkEnd w:id="178"/>
      <w:r>
        <w:rPr>
          <w:rFonts w:hint="eastAsia" w:hAnsi="宋体"/>
          <w:sz w:val="24"/>
          <w:szCs w:val="24"/>
          <w:highlight w:val="none"/>
        </w:rPr>
        <w:t>签订</w:t>
      </w:r>
    </w:p>
    <w:p>
      <w:pPr>
        <w:numPr>
          <w:ilvl w:val="0"/>
          <w:numId w:val="21"/>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成交供应商在收到采购代理机构发出的《成交通知书》后，应在30日内与采购人签订采购合同。由于成交供应商的原因逾期未与采购人签订采购合同的，将视为放弃成交，取消其成交资格并将按相关规定进行处理。</w:t>
      </w:r>
    </w:p>
    <w:p>
      <w:pPr>
        <w:numPr>
          <w:ilvl w:val="0"/>
          <w:numId w:val="21"/>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采购人不得向成交供应商提出任何不合理的要求，作为签订合同的条件，不得与成交供应商私下订立背离合同实质性内容的任何协议，所签订的合同不得对采购文件和成交供应商响应文件作实质性修改。</w:t>
      </w:r>
    </w:p>
    <w:p>
      <w:pPr>
        <w:numPr>
          <w:ilvl w:val="0"/>
          <w:numId w:val="21"/>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采购文件所附《合同主要条款》是采购人与成交供应商签订合同的基本条款，供应商应认真阅读。对此，请供应商参加采购活动前慎重考虑相关商业风险。</w:t>
      </w:r>
    </w:p>
    <w:p>
      <w:pPr>
        <w:numPr>
          <w:ilvl w:val="0"/>
          <w:numId w:val="21"/>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成交供应商在合同签订之后三个工作日内，将签订的合同原件1份送四川乾新招投标代理有限公司编号。</w:t>
      </w:r>
      <w:bookmarkEnd w:id="175"/>
      <w:bookmarkStart w:id="179" w:name="_Toc217446067"/>
    </w:p>
    <w:p>
      <w:pPr>
        <w:numPr>
          <w:ilvl w:val="0"/>
          <w:numId w:val="20"/>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合同公告</w:t>
      </w:r>
    </w:p>
    <w:p>
      <w:pPr>
        <w:tabs>
          <w:tab w:val="left" w:pos="0"/>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采购人应当自政府采购合同签订(双方当事人均已签字盖章)之日起2个工作日内，将政府采购合同在省级以上人民政府财政部门指定的媒体“四川政府采购网”公告，但采购合同中涉及国家秘密、商业秘密的内容除外。</w:t>
      </w:r>
    </w:p>
    <w:bookmarkEnd w:id="179"/>
    <w:p>
      <w:pPr>
        <w:numPr>
          <w:ilvl w:val="0"/>
          <w:numId w:val="20"/>
        </w:numPr>
        <w:wordWrap w:val="0"/>
        <w:topLinePunct/>
        <w:spacing w:line="440" w:lineRule="exact"/>
        <w:ind w:firstLine="480" w:firstLineChars="200"/>
        <w:jc w:val="left"/>
        <w:rPr>
          <w:rFonts w:hAnsi="宋体"/>
          <w:sz w:val="24"/>
          <w:szCs w:val="24"/>
          <w:highlight w:val="none"/>
        </w:rPr>
      </w:pPr>
      <w:bookmarkStart w:id="180" w:name="_Toc217446069"/>
      <w:r>
        <w:rPr>
          <w:rFonts w:hint="eastAsia" w:hAnsi="宋体"/>
          <w:sz w:val="24"/>
          <w:szCs w:val="24"/>
          <w:highlight w:val="none"/>
        </w:rPr>
        <w:t>履行合同</w:t>
      </w:r>
      <w:bookmarkEnd w:id="180"/>
    </w:p>
    <w:p>
      <w:pPr>
        <w:numPr>
          <w:ilvl w:val="0"/>
          <w:numId w:val="22"/>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成交供应商与采购人签订合同后，合同双方应严格执行合同条款，履行合同规定的义务，保证合同的顺利完成。</w:t>
      </w:r>
    </w:p>
    <w:p>
      <w:pPr>
        <w:numPr>
          <w:ilvl w:val="0"/>
          <w:numId w:val="22"/>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在合同履行过程中，如发生合同纠纷，合同双方应按照《合同法》的有关规定进行处理。</w:t>
      </w:r>
    </w:p>
    <w:bookmarkEnd w:id="176"/>
    <w:bookmarkEnd w:id="177"/>
    <w:p>
      <w:pPr>
        <w:numPr>
          <w:ilvl w:val="0"/>
          <w:numId w:val="20"/>
        </w:numPr>
        <w:wordWrap w:val="0"/>
        <w:topLinePunct/>
        <w:spacing w:line="440" w:lineRule="exact"/>
        <w:ind w:firstLine="480" w:firstLineChars="200"/>
        <w:jc w:val="left"/>
        <w:rPr>
          <w:rFonts w:hAnsi="宋体"/>
          <w:sz w:val="24"/>
          <w:szCs w:val="24"/>
          <w:highlight w:val="none"/>
        </w:rPr>
      </w:pPr>
      <w:bookmarkStart w:id="181" w:name="_Toc217446070"/>
      <w:r>
        <w:rPr>
          <w:rFonts w:hint="eastAsia" w:hAnsi="宋体"/>
          <w:sz w:val="24"/>
          <w:szCs w:val="24"/>
          <w:highlight w:val="none"/>
        </w:rPr>
        <w:t>验收</w:t>
      </w:r>
      <w:bookmarkEnd w:id="181"/>
      <w:bookmarkStart w:id="182" w:name="_Toc217446071"/>
    </w:p>
    <w:bookmarkEnd w:id="182"/>
    <w:p>
      <w:pPr>
        <w:tabs>
          <w:tab w:val="left" w:pos="7665"/>
        </w:tabs>
        <w:wordWrap w:val="0"/>
        <w:topLinePunct/>
        <w:spacing w:line="440" w:lineRule="exact"/>
        <w:ind w:firstLine="480" w:firstLineChars="200"/>
        <w:rPr>
          <w:rFonts w:hAnsi="宋体"/>
          <w:sz w:val="24"/>
          <w:szCs w:val="24"/>
          <w:highlight w:val="none"/>
        </w:rPr>
      </w:pPr>
      <w:bookmarkStart w:id="183" w:name="_Toc183582243"/>
      <w:bookmarkStart w:id="184" w:name="_Toc183682380"/>
      <w:r>
        <w:rPr>
          <w:rFonts w:hint="eastAsia" w:hAnsi="宋体"/>
          <w:sz w:val="24"/>
          <w:szCs w:val="24"/>
          <w:highlight w:val="none"/>
        </w:rPr>
        <w:t>采购人将按照《财政部关于进一步加强政府采购需求和履约验收管理的指导意见》(财库〔2016〕205号)及参照《四川省政府采购项目需求论证和履约验收管理办法》(川财采〔2015〕32号)的要求进行验收。</w:t>
      </w:r>
    </w:p>
    <w:bookmarkEnd w:id="183"/>
    <w:bookmarkEnd w:id="184"/>
    <w:p>
      <w:pPr>
        <w:numPr>
          <w:ilvl w:val="0"/>
          <w:numId w:val="20"/>
        </w:numPr>
        <w:wordWrap w:val="0"/>
        <w:topLinePunct/>
        <w:spacing w:line="440" w:lineRule="exact"/>
        <w:ind w:firstLine="480" w:firstLineChars="200"/>
        <w:jc w:val="left"/>
        <w:rPr>
          <w:rFonts w:hAnsi="宋体"/>
          <w:sz w:val="24"/>
          <w:szCs w:val="24"/>
          <w:highlight w:val="none"/>
        </w:rPr>
      </w:pPr>
      <w:bookmarkStart w:id="185" w:name="_Toc17231"/>
      <w:bookmarkStart w:id="186" w:name="_Toc27029"/>
      <w:r>
        <w:rPr>
          <w:rFonts w:hint="eastAsia" w:hAnsi="宋体"/>
          <w:sz w:val="24"/>
          <w:szCs w:val="24"/>
          <w:highlight w:val="none"/>
        </w:rPr>
        <w:t>关于响应最高人民检察院关于行贿犯罪档案查询工作的规定</w:t>
      </w:r>
      <w:bookmarkEnd w:id="185"/>
      <w:bookmarkEnd w:id="186"/>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highlight w:val="none"/>
        </w:rPr>
        <w:t>因国家检察机关职务犯罪侦查部门转隶工作已经完成，供应商洽谈时须按照采购文件要求提供承诺函或通过“中国裁判文书网”自行查询。</w:t>
      </w:r>
    </w:p>
    <w:p>
      <w:pPr>
        <w:numPr>
          <w:ilvl w:val="0"/>
          <w:numId w:val="20"/>
        </w:numPr>
        <w:wordWrap w:val="0"/>
        <w:topLinePunct/>
        <w:spacing w:line="440" w:lineRule="exact"/>
        <w:ind w:firstLine="480" w:firstLineChars="200"/>
        <w:jc w:val="left"/>
        <w:rPr>
          <w:rFonts w:hAnsi="宋体"/>
          <w:sz w:val="24"/>
          <w:szCs w:val="24"/>
          <w:highlight w:val="none"/>
        </w:rPr>
      </w:pPr>
      <w:bookmarkStart w:id="187" w:name="_Toc7267"/>
      <w:bookmarkStart w:id="188" w:name="_Toc31011"/>
      <w:r>
        <w:rPr>
          <w:rFonts w:hint="eastAsia" w:hAnsi="宋体"/>
          <w:sz w:val="24"/>
          <w:szCs w:val="24"/>
          <w:highlight w:val="none"/>
        </w:rPr>
        <w:t>其他</w:t>
      </w:r>
      <w:bookmarkEnd w:id="187"/>
      <w:bookmarkEnd w:id="188"/>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本采购文件中所引相关法律制度规定，在政府采购中有变化的，按照变化后的相关法律制度规定执行。本章和第五章中“协商程序、成交原则”规定的内容条款，在本项目响应文件递交截止时间届满后，因相关法律制度规定的变化导致不符合相关法律制度规定的，直接按照变化后的相关法律制度规定执行，本采购文件不再作调整。</w:t>
      </w:r>
    </w:p>
    <w:p>
      <w:pPr>
        <w:wordWrap w:val="0"/>
        <w:topLinePunct/>
        <w:spacing w:line="440" w:lineRule="exact"/>
        <w:jc w:val="center"/>
        <w:rPr>
          <w:rFonts w:hAnsi="宋体"/>
          <w:b/>
          <w:bCs/>
          <w:sz w:val="32"/>
          <w:szCs w:val="32"/>
          <w:highlight w:val="none"/>
        </w:rPr>
      </w:pPr>
    </w:p>
    <w:p>
      <w:pPr>
        <w:pStyle w:val="4"/>
        <w:keepNext w:val="0"/>
        <w:keepLines w:val="0"/>
        <w:wordWrap w:val="0"/>
        <w:topLinePunct/>
        <w:spacing w:before="120" w:after="120"/>
        <w:rPr>
          <w:highlight w:val="none"/>
        </w:rPr>
      </w:pPr>
      <w:r>
        <w:rPr>
          <w:rFonts w:hint="eastAsia"/>
          <w:highlight w:val="none"/>
        </w:rPr>
        <w:br w:type="page"/>
      </w:r>
      <w:bookmarkStart w:id="189" w:name="_Toc12402"/>
      <w:bookmarkStart w:id="190" w:name="_Toc16236"/>
      <w:bookmarkStart w:id="191" w:name="_Toc482"/>
      <w:bookmarkStart w:id="192" w:name="_Toc23560"/>
      <w:bookmarkStart w:id="193" w:name="_Toc24219"/>
      <w:bookmarkStart w:id="194" w:name="_Toc16619"/>
      <w:bookmarkStart w:id="195" w:name="_Toc26356"/>
      <w:bookmarkStart w:id="196" w:name="_Toc21264"/>
      <w:bookmarkStart w:id="197" w:name="_Toc28611"/>
      <w:bookmarkStart w:id="198" w:name="_Toc2473"/>
      <w:bookmarkStart w:id="199" w:name="_Toc26522"/>
      <w:bookmarkStart w:id="200" w:name="_Toc14604"/>
      <w:bookmarkStart w:id="201" w:name="_Toc6062"/>
      <w:bookmarkStart w:id="202" w:name="_Toc26165"/>
      <w:r>
        <w:rPr>
          <w:rFonts w:hint="eastAsia"/>
          <w:highlight w:val="none"/>
        </w:rPr>
        <w:t>第三章 采购项目技术、商务及其他要求</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Start w:id="203" w:name="_Toc3894"/>
      <w:bookmarkStart w:id="204" w:name="_Toc29810"/>
      <w:bookmarkStart w:id="205" w:name="_Toc26987"/>
      <w:bookmarkStart w:id="206" w:name="_Toc19531"/>
      <w:bookmarkStart w:id="207" w:name="_Toc15467"/>
      <w:bookmarkStart w:id="208" w:name="_Toc21280"/>
      <w:bookmarkStart w:id="209" w:name="_Toc29039"/>
      <w:bookmarkStart w:id="210" w:name="_Toc28533"/>
      <w:bookmarkStart w:id="211" w:name="_Toc12818"/>
      <w:bookmarkStart w:id="212" w:name="_Toc4563"/>
      <w:bookmarkStart w:id="213" w:name="_Toc16005"/>
    </w:p>
    <w:bookmarkEnd w:id="203"/>
    <w:bookmarkEnd w:id="204"/>
    <w:bookmarkEnd w:id="205"/>
    <w:bookmarkEnd w:id="206"/>
    <w:bookmarkEnd w:id="207"/>
    <w:bookmarkEnd w:id="208"/>
    <w:bookmarkEnd w:id="209"/>
    <w:bookmarkEnd w:id="210"/>
    <w:bookmarkEnd w:id="211"/>
    <w:bookmarkEnd w:id="212"/>
    <w:bookmarkEnd w:id="213"/>
    <w:p>
      <w:pPr>
        <w:pStyle w:val="34"/>
        <w:numPr>
          <w:ilvl w:val="0"/>
          <w:numId w:val="23"/>
        </w:numPr>
        <w:tabs>
          <w:tab w:val="left" w:pos="0"/>
        </w:tabs>
        <w:wordWrap w:val="0"/>
        <w:spacing w:line="440" w:lineRule="exact"/>
        <w:ind w:firstLine="482"/>
        <w:jc w:val="left"/>
        <w:outlineLvl w:val="1"/>
        <w:rPr>
          <w:rFonts w:hAnsi="宋体"/>
          <w:b/>
          <w:bCs/>
          <w:sz w:val="24"/>
          <w:szCs w:val="22"/>
          <w:highlight w:val="none"/>
        </w:rPr>
      </w:pPr>
      <w:bookmarkStart w:id="214" w:name="_Toc5517"/>
      <w:bookmarkStart w:id="215" w:name="_Toc16589"/>
      <w:bookmarkStart w:id="216" w:name="_Toc19977"/>
      <w:bookmarkStart w:id="217" w:name="_Toc8346"/>
      <w:bookmarkStart w:id="218" w:name="_Toc7818"/>
      <w:bookmarkStart w:id="219" w:name="_Toc6986"/>
      <w:bookmarkStart w:id="220" w:name="_Toc32606"/>
      <w:bookmarkStart w:id="221" w:name="_Toc23217"/>
      <w:r>
        <w:rPr>
          <w:rFonts w:hint="eastAsia" w:hAnsi="宋体"/>
          <w:b/>
          <w:bCs/>
          <w:sz w:val="24"/>
          <w:szCs w:val="22"/>
          <w:highlight w:val="none"/>
        </w:rPr>
        <w:t>项目概述</w:t>
      </w:r>
      <w:bookmarkEnd w:id="214"/>
      <w:bookmarkEnd w:id="215"/>
      <w:bookmarkEnd w:id="216"/>
    </w:p>
    <w:p>
      <w:pPr>
        <w:tabs>
          <w:tab w:val="left" w:pos="0"/>
        </w:tabs>
        <w:spacing w:line="440" w:lineRule="exact"/>
        <w:ind w:firstLine="480" w:firstLineChars="200"/>
        <w:rPr>
          <w:rFonts w:hAnsi="宋体"/>
          <w:sz w:val="24"/>
          <w:highlight w:val="none"/>
        </w:rPr>
      </w:pPr>
      <w:r>
        <w:rPr>
          <w:rFonts w:hint="eastAsia" w:hAnsi="宋体"/>
          <w:sz w:val="24"/>
          <w:highlight w:val="none"/>
        </w:rPr>
        <w:t>为进一步加强城市管理宣传工作，提升社会动员能力。在成都大力推进治理能力现代化，加快建设全面体现新发展理念的城市和美丽宜居公园，“城市管理让城市更美丽、让生活更美好”，肩负实现“安全、清洁、有序、便民”城市管理目标的重要职责，为全面体现成都市城市管理工作亮点，成都市城市管理委员会为进一步做好引导和宣传工作，拟通过《中国建设报》广泛的受众群体提升广大市民对成都市城管委工作的知晓度和关注度。</w:t>
      </w:r>
    </w:p>
    <w:p>
      <w:pPr>
        <w:pStyle w:val="34"/>
        <w:numPr>
          <w:ilvl w:val="0"/>
          <w:numId w:val="23"/>
        </w:numPr>
        <w:tabs>
          <w:tab w:val="left" w:pos="0"/>
        </w:tabs>
        <w:wordWrap w:val="0"/>
        <w:spacing w:line="440" w:lineRule="exact"/>
        <w:ind w:firstLine="482"/>
        <w:jc w:val="left"/>
        <w:outlineLvl w:val="1"/>
        <w:rPr>
          <w:rFonts w:hAnsi="宋体"/>
          <w:b/>
          <w:bCs/>
          <w:sz w:val="24"/>
          <w:szCs w:val="22"/>
          <w:highlight w:val="none"/>
        </w:rPr>
      </w:pPr>
      <w:bookmarkStart w:id="222" w:name="_Toc10363"/>
      <w:bookmarkStart w:id="223" w:name="_Toc9543"/>
      <w:r>
        <w:rPr>
          <w:rFonts w:hint="eastAsia" w:hAnsi="宋体"/>
          <w:b/>
          <w:bCs/>
          <w:sz w:val="24"/>
          <w:szCs w:val="22"/>
          <w:highlight w:val="none"/>
        </w:rPr>
        <w:t>项目服务内容</w:t>
      </w:r>
      <w:bookmarkEnd w:id="222"/>
      <w:bookmarkEnd w:id="223"/>
    </w:p>
    <w:p>
      <w:pPr>
        <w:tabs>
          <w:tab w:val="left" w:pos="0"/>
        </w:tabs>
        <w:spacing w:line="440" w:lineRule="exact"/>
        <w:ind w:firstLine="480" w:firstLineChars="200"/>
        <w:rPr>
          <w:rFonts w:hAnsi="宋体"/>
          <w:sz w:val="24"/>
          <w:highlight w:val="none"/>
        </w:rPr>
      </w:pPr>
      <w:r>
        <w:rPr>
          <w:rFonts w:hint="eastAsia" w:hAnsi="宋体"/>
          <w:sz w:val="24"/>
          <w:highlight w:val="none"/>
        </w:rPr>
        <w:t>围绕成都城市管理工作的经验做法和工作亮点，提供不少于12次专题宣传报道服务</w:t>
      </w:r>
      <w:r>
        <w:rPr>
          <w:rFonts w:hint="eastAsia" w:hAnsi="宋体"/>
          <w:sz w:val="24"/>
          <w:highlight w:val="none"/>
          <w:lang w:eastAsia="zh-CN"/>
        </w:rPr>
        <w:t>(</w:t>
      </w:r>
      <w:r>
        <w:rPr>
          <w:rFonts w:hint="eastAsia" w:hAnsi="宋体"/>
          <w:sz w:val="24"/>
          <w:highlight w:val="none"/>
        </w:rPr>
        <w:t>报纸不少于4次，中国建设报官方微信“大城管”不少于6次，中国建设新闻网不少于4次</w:t>
      </w:r>
      <w:r>
        <w:rPr>
          <w:rFonts w:hint="eastAsia" w:hAnsi="宋体"/>
          <w:sz w:val="24"/>
          <w:highlight w:val="none"/>
          <w:lang w:eastAsia="zh-CN"/>
        </w:rPr>
        <w:t>)</w:t>
      </w:r>
      <w:r>
        <w:rPr>
          <w:rFonts w:hint="eastAsia" w:hAnsi="宋体"/>
          <w:sz w:val="24"/>
          <w:highlight w:val="none"/>
        </w:rPr>
        <w:t>；在其内部刊物《信息报送》</w:t>
      </w:r>
      <w:r>
        <w:rPr>
          <w:rFonts w:hint="eastAsia" w:hAnsi="宋体"/>
          <w:sz w:val="24"/>
          <w:highlight w:val="none"/>
          <w:lang w:eastAsia="zh-CN"/>
        </w:rPr>
        <w:t>、</w:t>
      </w:r>
      <w:r>
        <w:rPr>
          <w:rFonts w:hint="eastAsia" w:hAnsi="宋体"/>
          <w:sz w:val="24"/>
          <w:highlight w:val="none"/>
        </w:rPr>
        <w:t>《舆情专报》或《周报》推送成都市城市管理先进做法不少于6次。</w:t>
      </w:r>
    </w:p>
    <w:p>
      <w:pPr>
        <w:pStyle w:val="34"/>
        <w:numPr>
          <w:ilvl w:val="0"/>
          <w:numId w:val="23"/>
        </w:numPr>
        <w:tabs>
          <w:tab w:val="left" w:pos="0"/>
        </w:tabs>
        <w:wordWrap w:val="0"/>
        <w:spacing w:line="440" w:lineRule="exact"/>
        <w:ind w:firstLine="482"/>
        <w:jc w:val="left"/>
        <w:outlineLvl w:val="1"/>
        <w:rPr>
          <w:rFonts w:hAnsi="宋体"/>
          <w:b/>
          <w:bCs/>
          <w:sz w:val="24"/>
          <w:szCs w:val="22"/>
          <w:highlight w:val="none"/>
        </w:rPr>
      </w:pPr>
      <w:bookmarkStart w:id="224" w:name="_Toc6507"/>
      <w:bookmarkStart w:id="225" w:name="_Toc27781"/>
      <w:r>
        <w:rPr>
          <w:rFonts w:hint="eastAsia" w:hAnsi="宋体"/>
          <w:b/>
          <w:bCs/>
          <w:sz w:val="24"/>
          <w:szCs w:val="22"/>
          <w:highlight w:val="none"/>
        </w:rPr>
        <w:t>项目服务要求</w:t>
      </w:r>
      <w:bookmarkEnd w:id="224"/>
      <w:bookmarkEnd w:id="225"/>
    </w:p>
    <w:p>
      <w:pPr>
        <w:numPr>
          <w:ilvl w:val="0"/>
          <w:numId w:val="24"/>
        </w:numPr>
        <w:tabs>
          <w:tab w:val="left" w:pos="0"/>
        </w:tabs>
        <w:spacing w:line="440" w:lineRule="exact"/>
        <w:rPr>
          <w:rFonts w:hAnsi="宋体"/>
          <w:sz w:val="24"/>
          <w:highlight w:val="none"/>
        </w:rPr>
      </w:pPr>
      <w:r>
        <w:rPr>
          <w:rFonts w:hint="eastAsia" w:hAnsi="宋体"/>
          <w:sz w:val="24"/>
          <w:highlight w:val="none"/>
        </w:rPr>
        <w:t>充分发挥报社大数据和舆情监测的优势，就城市管理行业的热点、痛点和难点，总结提炼成都城管委的经验做法和工作亮点，以信息报送、舆情专报、周报等形式供高层决策及各地实践参考。</w:t>
      </w:r>
    </w:p>
    <w:p>
      <w:pPr>
        <w:tabs>
          <w:tab w:val="left" w:pos="0"/>
        </w:tabs>
        <w:spacing w:line="440" w:lineRule="exact"/>
        <w:ind w:firstLine="480" w:firstLineChars="200"/>
        <w:rPr>
          <w:rFonts w:hAnsi="宋体"/>
          <w:sz w:val="24"/>
          <w:highlight w:val="none"/>
        </w:rPr>
      </w:pPr>
      <w:r>
        <w:rPr>
          <w:rFonts w:hint="eastAsia" w:hAnsi="宋体"/>
          <w:sz w:val="24"/>
          <w:highlight w:val="none"/>
        </w:rPr>
        <w:t>1.围绕城市管理、城市市容环境卫生等行业的热点、难点和痛点问题，组织主管部门、行业专家、代表企业召开内部小型研讨会，以信息报送、舆情专报、周报等形式上报决策部门</w:t>
      </w:r>
      <w:r>
        <w:rPr>
          <w:rFonts w:hint="eastAsia" w:hAnsi="宋体"/>
          <w:sz w:val="24"/>
          <w:highlight w:val="none"/>
          <w:lang w:eastAsia="zh-CN"/>
        </w:rPr>
        <w:t>(</w:t>
      </w:r>
      <w:r>
        <w:rPr>
          <w:rFonts w:hint="eastAsia" w:hAnsi="宋体"/>
          <w:sz w:val="24"/>
          <w:highlight w:val="none"/>
        </w:rPr>
        <w:t>信息报送、舆情专报、周报不少于6次</w:t>
      </w:r>
      <w:r>
        <w:rPr>
          <w:rFonts w:hint="eastAsia" w:hAnsi="宋体"/>
          <w:sz w:val="24"/>
          <w:highlight w:val="none"/>
          <w:lang w:eastAsia="zh-CN"/>
        </w:rPr>
        <w:t>)</w:t>
      </w:r>
      <w:r>
        <w:rPr>
          <w:rFonts w:hint="eastAsia" w:hAnsi="宋体"/>
          <w:sz w:val="24"/>
          <w:highlight w:val="none"/>
        </w:rPr>
        <w:t>，供住房和城乡建设部领导及各司局领导决策参考，为各地具体实践提供借鉴。</w:t>
      </w:r>
    </w:p>
    <w:p>
      <w:pPr>
        <w:tabs>
          <w:tab w:val="left" w:pos="0"/>
        </w:tabs>
        <w:spacing w:line="440" w:lineRule="exact"/>
        <w:ind w:firstLine="480" w:firstLineChars="200"/>
        <w:rPr>
          <w:rFonts w:hAnsi="宋体"/>
          <w:sz w:val="24"/>
          <w:highlight w:val="none"/>
        </w:rPr>
      </w:pPr>
      <w:r>
        <w:rPr>
          <w:rFonts w:hint="eastAsia" w:hAnsi="宋体"/>
          <w:sz w:val="24"/>
          <w:highlight w:val="none"/>
        </w:rPr>
        <w:t>2.在全国“两会”</w:t>
      </w:r>
      <w:r>
        <w:rPr>
          <w:rFonts w:hint="eastAsia" w:hAnsi="宋体"/>
          <w:sz w:val="24"/>
          <w:highlight w:val="none"/>
          <w:lang w:eastAsia="zh-CN"/>
        </w:rPr>
        <w:t>(</w:t>
      </w:r>
      <w:r>
        <w:rPr>
          <w:rFonts w:hint="eastAsia" w:hAnsi="宋体"/>
          <w:sz w:val="24"/>
          <w:highlight w:val="none"/>
        </w:rPr>
        <w:t>每年3月</w:t>
      </w:r>
      <w:r>
        <w:rPr>
          <w:rFonts w:hint="eastAsia" w:hAnsi="宋体"/>
          <w:sz w:val="24"/>
          <w:highlight w:val="none"/>
          <w:lang w:eastAsia="zh-CN"/>
        </w:rPr>
        <w:t>)</w:t>
      </w:r>
      <w:r>
        <w:rPr>
          <w:rFonts w:hint="eastAsia" w:hAnsi="宋体"/>
          <w:sz w:val="24"/>
          <w:highlight w:val="none"/>
        </w:rPr>
        <w:t>、全国住房城乡建设工作会议</w:t>
      </w:r>
      <w:r>
        <w:rPr>
          <w:rFonts w:hint="eastAsia" w:hAnsi="宋体"/>
          <w:sz w:val="24"/>
          <w:highlight w:val="none"/>
          <w:lang w:eastAsia="zh-CN"/>
        </w:rPr>
        <w:t>(</w:t>
      </w:r>
      <w:r>
        <w:rPr>
          <w:rFonts w:hint="eastAsia" w:hAnsi="宋体"/>
          <w:sz w:val="24"/>
          <w:highlight w:val="none"/>
        </w:rPr>
        <w:t>每年12月</w:t>
      </w:r>
      <w:r>
        <w:rPr>
          <w:rFonts w:hint="eastAsia" w:hAnsi="宋体"/>
          <w:sz w:val="24"/>
          <w:highlight w:val="none"/>
          <w:lang w:eastAsia="zh-CN"/>
        </w:rPr>
        <w:t>)</w:t>
      </w:r>
      <w:r>
        <w:rPr>
          <w:rFonts w:hint="eastAsia" w:hAnsi="宋体"/>
          <w:sz w:val="24"/>
          <w:highlight w:val="none"/>
        </w:rPr>
        <w:t>、建党100周年及其他重大活动或会议节点，报社全媒体传播平台推出“城市管理”“环境卫生”“垃圾分类”等专题策划服务，每年重大节点加大力度。</w:t>
      </w:r>
    </w:p>
    <w:p>
      <w:pPr>
        <w:tabs>
          <w:tab w:val="left" w:pos="0"/>
        </w:tabs>
        <w:spacing w:line="440" w:lineRule="exact"/>
        <w:ind w:firstLine="480" w:firstLineChars="200"/>
        <w:rPr>
          <w:rFonts w:hAnsi="宋体"/>
          <w:sz w:val="24"/>
          <w:highlight w:val="none"/>
        </w:rPr>
      </w:pPr>
      <w:r>
        <w:rPr>
          <w:rFonts w:hint="eastAsia" w:hAnsi="宋体"/>
          <w:sz w:val="24"/>
          <w:highlight w:val="none"/>
        </w:rPr>
        <w:t>3.对重点工作及典型经验组织专家咨询、开展实地调研、研讨等活动，计划开展专家咨询/访谈/调研等活动不少于2次。</w:t>
      </w:r>
    </w:p>
    <w:p>
      <w:pPr>
        <w:numPr>
          <w:ilvl w:val="0"/>
          <w:numId w:val="24"/>
        </w:numPr>
        <w:tabs>
          <w:tab w:val="left" w:pos="0"/>
        </w:tabs>
        <w:spacing w:line="440" w:lineRule="exact"/>
        <w:rPr>
          <w:rFonts w:hAnsi="宋体"/>
          <w:sz w:val="24"/>
          <w:highlight w:val="none"/>
        </w:rPr>
      </w:pPr>
      <w:r>
        <w:rPr>
          <w:rFonts w:hint="eastAsia" w:hAnsi="宋体"/>
          <w:sz w:val="24"/>
          <w:highlight w:val="none"/>
        </w:rPr>
        <w:t>依托报社全媒体传播平台及影响力，将成都城管委的经验向社会推广</w:t>
      </w:r>
    </w:p>
    <w:p>
      <w:pPr>
        <w:tabs>
          <w:tab w:val="left" w:pos="0"/>
        </w:tabs>
        <w:spacing w:line="440" w:lineRule="exact"/>
        <w:ind w:firstLine="480" w:firstLineChars="200"/>
        <w:rPr>
          <w:rFonts w:hAnsi="宋体"/>
          <w:sz w:val="24"/>
          <w:highlight w:val="none"/>
        </w:rPr>
      </w:pPr>
      <w:r>
        <w:rPr>
          <w:rFonts w:hint="eastAsia" w:hAnsi="宋体"/>
          <w:sz w:val="24"/>
          <w:highlight w:val="none"/>
        </w:rPr>
        <w:t>1.供应商与采购人建立紧密的沟通机制，安排专人对接，在服务期内成都城管委的最新动态、重大新闻、重要成果、会议活动等，及时进行跟踪报道，以中国建设报、中国建设新闻网、官方微信、官方微博、学习强国等平台做宣传主阵地，以纸、微、网、端等融媒体平台为载体，全媒体整合传播。</w:t>
      </w:r>
    </w:p>
    <w:p>
      <w:pPr>
        <w:tabs>
          <w:tab w:val="left" w:pos="0"/>
        </w:tabs>
        <w:spacing w:line="440" w:lineRule="exact"/>
        <w:ind w:firstLine="480" w:firstLineChars="200"/>
        <w:rPr>
          <w:rFonts w:hAnsi="宋体"/>
          <w:sz w:val="24"/>
          <w:highlight w:val="none"/>
        </w:rPr>
      </w:pPr>
      <w:r>
        <w:rPr>
          <w:rFonts w:hint="eastAsia" w:hAnsi="宋体"/>
          <w:sz w:val="24"/>
          <w:highlight w:val="none"/>
        </w:rPr>
        <w:t>2.围绕成都城管委的发展模式、工作热点、典型实践案例、品牌文化等深度挖掘、总结，以讲好成都城管委的故事为着力点，创新推进报社全媒体平台传播。</w:t>
      </w:r>
    </w:p>
    <w:p>
      <w:pPr>
        <w:tabs>
          <w:tab w:val="left" w:pos="0"/>
        </w:tabs>
        <w:spacing w:line="440" w:lineRule="exact"/>
        <w:ind w:firstLine="480" w:firstLineChars="200"/>
        <w:rPr>
          <w:rFonts w:hAnsi="宋体"/>
          <w:sz w:val="24"/>
          <w:highlight w:val="none"/>
        </w:rPr>
      </w:pPr>
      <w:r>
        <w:rPr>
          <w:rFonts w:hint="eastAsia" w:hAnsi="宋体"/>
          <w:sz w:val="24"/>
          <w:highlight w:val="none"/>
        </w:rPr>
        <w:t>3.供应商宣传报道内容应传播行业正能量，坚持以正面典型和优秀案例引导社会舆论，推动城市管理行业形象的提升。</w:t>
      </w:r>
    </w:p>
    <w:bookmarkEnd w:id="217"/>
    <w:p>
      <w:pPr>
        <w:pStyle w:val="34"/>
        <w:numPr>
          <w:ilvl w:val="0"/>
          <w:numId w:val="23"/>
        </w:numPr>
        <w:tabs>
          <w:tab w:val="left" w:pos="0"/>
        </w:tabs>
        <w:wordWrap w:val="0"/>
        <w:spacing w:line="440" w:lineRule="exact"/>
        <w:ind w:firstLine="482"/>
        <w:jc w:val="left"/>
        <w:outlineLvl w:val="1"/>
        <w:rPr>
          <w:rFonts w:hAnsi="宋体"/>
          <w:b/>
          <w:bCs/>
          <w:sz w:val="24"/>
          <w:highlight w:val="none"/>
        </w:rPr>
      </w:pPr>
      <w:bookmarkStart w:id="226" w:name="_Toc4595"/>
      <w:bookmarkStart w:id="227" w:name="_Toc26825"/>
      <w:bookmarkStart w:id="228" w:name="_Toc19164"/>
      <w:r>
        <w:rPr>
          <w:rFonts w:hint="eastAsia" w:hAnsi="宋体"/>
          <w:b/>
          <w:bCs/>
          <w:sz w:val="24"/>
          <w:highlight w:val="none"/>
        </w:rPr>
        <w:t>商务要求</w:t>
      </w:r>
      <w:bookmarkEnd w:id="226"/>
      <w:bookmarkEnd w:id="227"/>
      <w:bookmarkEnd w:id="228"/>
    </w:p>
    <w:p>
      <w:pPr>
        <w:pStyle w:val="34"/>
        <w:numPr>
          <w:ilvl w:val="0"/>
          <w:numId w:val="25"/>
        </w:numPr>
        <w:tabs>
          <w:tab w:val="left" w:pos="0"/>
        </w:tabs>
        <w:wordWrap w:val="0"/>
        <w:spacing w:line="440" w:lineRule="exact"/>
        <w:ind w:firstLine="482"/>
        <w:jc w:val="left"/>
        <w:rPr>
          <w:rFonts w:hAnsi="宋体"/>
          <w:b/>
          <w:bCs/>
          <w:sz w:val="24"/>
          <w:highlight w:val="none"/>
        </w:rPr>
      </w:pPr>
      <w:r>
        <w:rPr>
          <w:rFonts w:hint="eastAsia" w:hAnsi="宋体"/>
          <w:b/>
          <w:bCs/>
          <w:sz w:val="24"/>
          <w:highlight w:val="none"/>
        </w:rPr>
        <w:t>履约时间和地点</w:t>
      </w:r>
    </w:p>
    <w:p>
      <w:pPr>
        <w:pStyle w:val="34"/>
        <w:numPr>
          <w:ilvl w:val="0"/>
          <w:numId w:val="26"/>
        </w:numPr>
        <w:wordWrap w:val="0"/>
        <w:spacing w:line="440" w:lineRule="exact"/>
        <w:ind w:firstLine="482"/>
        <w:jc w:val="left"/>
        <w:rPr>
          <w:rFonts w:hAnsi="宋体"/>
          <w:b/>
          <w:bCs/>
          <w:sz w:val="24"/>
          <w:highlight w:val="none"/>
        </w:rPr>
      </w:pPr>
      <w:r>
        <w:rPr>
          <w:rFonts w:hint="eastAsia" w:hAnsi="宋体"/>
          <w:b/>
          <w:bCs/>
          <w:sz w:val="24"/>
          <w:highlight w:val="none"/>
        </w:rPr>
        <w:t>履约时间</w:t>
      </w:r>
      <w:r>
        <w:rPr>
          <w:rFonts w:hint="eastAsia" w:hAnsi="宋体"/>
          <w:sz w:val="24"/>
          <w:highlight w:val="none"/>
        </w:rPr>
        <w:t>：政府采购合同签订生效后12个月按照采购人要求的方式完成履约。</w:t>
      </w:r>
    </w:p>
    <w:p>
      <w:pPr>
        <w:pStyle w:val="34"/>
        <w:tabs>
          <w:tab w:val="left" w:pos="0"/>
        </w:tabs>
        <w:wordWrap w:val="0"/>
        <w:spacing w:line="440" w:lineRule="exact"/>
        <w:ind w:firstLine="482"/>
        <w:jc w:val="left"/>
        <w:rPr>
          <w:rFonts w:hAnsi="宋体"/>
          <w:sz w:val="24"/>
          <w:highlight w:val="none"/>
        </w:rPr>
      </w:pPr>
      <w:r>
        <w:rPr>
          <w:rFonts w:hint="eastAsia" w:hAnsi="宋体"/>
          <w:b/>
          <w:bCs/>
          <w:sz w:val="24"/>
          <w:highlight w:val="none"/>
        </w:rPr>
        <w:t>2.履约地点</w:t>
      </w:r>
      <w:r>
        <w:rPr>
          <w:rFonts w:hint="eastAsia" w:hAnsi="宋体"/>
          <w:sz w:val="24"/>
          <w:highlight w:val="none"/>
        </w:rPr>
        <w:t>：采购人指定地点。</w:t>
      </w:r>
    </w:p>
    <w:p>
      <w:pPr>
        <w:pStyle w:val="34"/>
        <w:numPr>
          <w:ilvl w:val="0"/>
          <w:numId w:val="25"/>
        </w:numPr>
        <w:tabs>
          <w:tab w:val="left" w:pos="0"/>
        </w:tabs>
        <w:wordWrap w:val="0"/>
        <w:spacing w:line="440" w:lineRule="exact"/>
        <w:ind w:firstLine="482"/>
        <w:jc w:val="left"/>
        <w:rPr>
          <w:rFonts w:hAnsi="宋体"/>
          <w:b/>
          <w:bCs/>
          <w:sz w:val="24"/>
          <w:highlight w:val="none"/>
        </w:rPr>
      </w:pPr>
      <w:r>
        <w:rPr>
          <w:rFonts w:hint="eastAsia" w:hAnsi="宋体"/>
          <w:b/>
          <w:bCs/>
          <w:sz w:val="24"/>
          <w:highlight w:val="none"/>
        </w:rPr>
        <w:t>合同价款</w:t>
      </w:r>
    </w:p>
    <w:p>
      <w:pPr>
        <w:pStyle w:val="34"/>
        <w:tabs>
          <w:tab w:val="left" w:pos="0"/>
        </w:tabs>
        <w:wordWrap w:val="0"/>
        <w:spacing w:line="440" w:lineRule="exact"/>
        <w:ind w:firstLine="480"/>
        <w:jc w:val="left"/>
        <w:rPr>
          <w:rFonts w:hAnsi="宋体"/>
          <w:sz w:val="24"/>
          <w:highlight w:val="none"/>
        </w:rPr>
      </w:pPr>
      <w:r>
        <w:rPr>
          <w:rFonts w:hint="eastAsia" w:hAnsi="宋体"/>
          <w:sz w:val="24"/>
          <w:highlight w:val="none"/>
        </w:rPr>
        <w:t>合同价是供应商响应采购项目要求的全部工作内容的价格体现，</w:t>
      </w:r>
      <w:r>
        <w:rPr>
          <w:rFonts w:hint="eastAsia" w:hAnsi="宋体"/>
          <w:sz w:val="24"/>
          <w:szCs w:val="24"/>
          <w:highlight w:val="none"/>
        </w:rPr>
        <w:t>包含完成本项目所涉及人员劳务、差旅、设备投入、耗材、发刊、保险、风险、税金、利润、招标代理服务费以及单一来源文件规定的一切费用</w:t>
      </w:r>
      <w:r>
        <w:rPr>
          <w:rFonts w:hint="eastAsia" w:hAnsi="宋体"/>
          <w:sz w:val="24"/>
          <w:highlight w:val="none"/>
        </w:rPr>
        <w:t>。</w:t>
      </w:r>
    </w:p>
    <w:p>
      <w:pPr>
        <w:pStyle w:val="34"/>
        <w:numPr>
          <w:ilvl w:val="0"/>
          <w:numId w:val="25"/>
        </w:numPr>
        <w:tabs>
          <w:tab w:val="left" w:pos="0"/>
        </w:tabs>
        <w:wordWrap w:val="0"/>
        <w:spacing w:line="440" w:lineRule="exact"/>
        <w:ind w:firstLine="482"/>
        <w:jc w:val="left"/>
        <w:rPr>
          <w:rFonts w:hAnsi="宋体"/>
          <w:b/>
          <w:bCs/>
          <w:sz w:val="24"/>
          <w:highlight w:val="none"/>
        </w:rPr>
      </w:pPr>
      <w:r>
        <w:rPr>
          <w:rFonts w:hint="eastAsia" w:hAnsi="宋体"/>
          <w:b/>
          <w:bCs/>
          <w:sz w:val="24"/>
          <w:highlight w:val="none"/>
        </w:rPr>
        <w:t>付款方式</w:t>
      </w:r>
    </w:p>
    <w:p>
      <w:pPr>
        <w:pStyle w:val="34"/>
        <w:tabs>
          <w:tab w:val="left" w:pos="0"/>
        </w:tabs>
        <w:wordWrap w:val="0"/>
        <w:spacing w:line="440" w:lineRule="exact"/>
        <w:ind w:firstLine="480"/>
        <w:rPr>
          <w:rFonts w:hAnsi="宋体"/>
          <w:sz w:val="24"/>
          <w:highlight w:val="none"/>
        </w:rPr>
      </w:pPr>
      <w:r>
        <w:rPr>
          <w:rFonts w:hint="eastAsia" w:hAnsi="宋体"/>
          <w:sz w:val="24"/>
          <w:szCs w:val="24"/>
          <w:highlight w:val="none"/>
        </w:rPr>
        <w:t>采购合同签订后十五个工作日内支付60%，剩余40%待项目履约完成后付清</w:t>
      </w:r>
      <w:r>
        <w:rPr>
          <w:rFonts w:hint="eastAsia" w:hAnsi="宋体"/>
          <w:sz w:val="24"/>
          <w:highlight w:val="none"/>
        </w:rPr>
        <w:t>。</w:t>
      </w:r>
    </w:p>
    <w:p>
      <w:pPr>
        <w:pStyle w:val="34"/>
        <w:tabs>
          <w:tab w:val="left" w:pos="0"/>
        </w:tabs>
        <w:wordWrap w:val="0"/>
        <w:spacing w:line="440" w:lineRule="exact"/>
        <w:ind w:firstLine="480"/>
        <w:jc w:val="left"/>
        <w:rPr>
          <w:rFonts w:hAnsi="宋体"/>
          <w:sz w:val="24"/>
          <w:highlight w:val="none"/>
        </w:rPr>
      </w:pPr>
      <w:r>
        <w:rPr>
          <w:rFonts w:hint="eastAsia" w:hAnsi="宋体"/>
          <w:sz w:val="24"/>
          <w:highlight w:val="none"/>
        </w:rPr>
        <w:t>供应商须向采购人出具合法有效完整的完税发票及凭证资料后进行支付结算，付款方式均采用公对公的银行转账，供应商接受转账的开户信息以采购合同载明的为准。</w:t>
      </w:r>
    </w:p>
    <w:p>
      <w:pPr>
        <w:pStyle w:val="34"/>
        <w:numPr>
          <w:ilvl w:val="0"/>
          <w:numId w:val="25"/>
        </w:numPr>
        <w:tabs>
          <w:tab w:val="left" w:pos="0"/>
        </w:tabs>
        <w:wordWrap w:val="0"/>
        <w:spacing w:line="440" w:lineRule="exact"/>
        <w:ind w:firstLine="482"/>
        <w:jc w:val="left"/>
        <w:rPr>
          <w:rFonts w:hAnsi="宋体"/>
          <w:b/>
          <w:bCs/>
          <w:sz w:val="24"/>
          <w:highlight w:val="none"/>
        </w:rPr>
      </w:pPr>
      <w:r>
        <w:rPr>
          <w:rFonts w:hint="eastAsia" w:hAnsi="宋体"/>
          <w:b/>
          <w:bCs/>
          <w:sz w:val="24"/>
          <w:highlight w:val="none"/>
        </w:rPr>
        <w:t>违约责任</w:t>
      </w:r>
    </w:p>
    <w:p>
      <w:pPr>
        <w:numPr>
          <w:ilvl w:val="0"/>
          <w:numId w:val="27"/>
        </w:numPr>
        <w:tabs>
          <w:tab w:val="left" w:pos="0"/>
        </w:tabs>
        <w:spacing w:line="440" w:lineRule="exact"/>
        <w:ind w:firstLine="480" w:firstLineChars="200"/>
        <w:rPr>
          <w:rFonts w:hAnsi="宋体"/>
          <w:sz w:val="24"/>
          <w:highlight w:val="none"/>
        </w:rPr>
      </w:pPr>
      <w:r>
        <w:rPr>
          <w:rFonts w:hint="eastAsia" w:hAnsi="宋体"/>
          <w:sz w:val="24"/>
          <w:highlight w:val="none"/>
        </w:rPr>
        <w:t>供应商必须遵守采购合同并执行合同中的各项规定，保证采购合同的正常履行。</w:t>
      </w:r>
    </w:p>
    <w:p>
      <w:pPr>
        <w:numPr>
          <w:ilvl w:val="0"/>
          <w:numId w:val="27"/>
        </w:numPr>
        <w:tabs>
          <w:tab w:val="left" w:pos="0"/>
        </w:tabs>
        <w:spacing w:line="440" w:lineRule="exact"/>
        <w:ind w:firstLine="480" w:firstLineChars="200"/>
        <w:rPr>
          <w:rFonts w:hAnsi="宋体"/>
          <w:sz w:val="24"/>
          <w:highlight w:val="none"/>
        </w:rPr>
      </w:pPr>
      <w:r>
        <w:rPr>
          <w:rFonts w:hint="eastAsia" w:hAnsi="宋体"/>
          <w:sz w:val="24"/>
          <w:highlight w:val="none"/>
        </w:rPr>
        <w:t>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numPr>
          <w:ilvl w:val="0"/>
          <w:numId w:val="27"/>
        </w:numPr>
        <w:tabs>
          <w:tab w:val="left" w:pos="0"/>
        </w:tabs>
        <w:spacing w:line="440" w:lineRule="exact"/>
        <w:ind w:firstLine="480" w:firstLineChars="200"/>
        <w:rPr>
          <w:rFonts w:hAnsi="宋体"/>
          <w:sz w:val="24"/>
          <w:highlight w:val="none"/>
        </w:rPr>
      </w:pPr>
      <w:r>
        <w:rPr>
          <w:rFonts w:hint="eastAsia" w:hAnsi="宋体"/>
          <w:sz w:val="24"/>
          <w:highlight w:val="none"/>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3"/>
        <w:numPr>
          <w:ilvl w:val="0"/>
          <w:numId w:val="27"/>
        </w:num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有下列情形之一的，当事人可以解除合同：</w:t>
      </w:r>
    </w:p>
    <w:p>
      <w:pPr>
        <w:pStyle w:val="3"/>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(1)因不可抗力致使不能实现合同目的(由于非供应商或采购人原因，致使合同实质性条款无法实现的)；</w:t>
      </w:r>
    </w:p>
    <w:p>
      <w:pPr>
        <w:pStyle w:val="3"/>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(2)在履行期限届满之前，当事人一方明确表示或者以自己的行为表明不履行主要债务；</w:t>
      </w:r>
    </w:p>
    <w:p>
      <w:pPr>
        <w:pStyle w:val="3"/>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(3)当事人一方迟延履行主要债务，经催告后在合理期限内仍未履行；</w:t>
      </w:r>
    </w:p>
    <w:p>
      <w:pPr>
        <w:pStyle w:val="3"/>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(4)当事人一方迟延履行债务或者有其他违约行为致使不能实现合同目的；</w:t>
      </w:r>
    </w:p>
    <w:p>
      <w:pPr>
        <w:pStyle w:val="3"/>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(5)法律规定的其他情形。</w:t>
      </w:r>
    </w:p>
    <w:p>
      <w:pPr>
        <w:pStyle w:val="34"/>
        <w:numPr>
          <w:ilvl w:val="0"/>
          <w:numId w:val="25"/>
        </w:numPr>
        <w:tabs>
          <w:tab w:val="left" w:pos="0"/>
        </w:tabs>
        <w:wordWrap w:val="0"/>
        <w:spacing w:line="440" w:lineRule="exact"/>
        <w:ind w:firstLine="482"/>
        <w:jc w:val="left"/>
        <w:rPr>
          <w:rFonts w:hAnsi="宋体"/>
          <w:b/>
          <w:bCs/>
          <w:sz w:val="24"/>
          <w:highlight w:val="none"/>
        </w:rPr>
      </w:pPr>
      <w:r>
        <w:rPr>
          <w:rFonts w:hint="eastAsia" w:hAnsi="宋体"/>
          <w:b/>
          <w:bCs/>
          <w:sz w:val="24"/>
          <w:highlight w:val="none"/>
        </w:rPr>
        <w:t>解决争议的方法</w:t>
      </w:r>
    </w:p>
    <w:p>
      <w:pPr>
        <w:pStyle w:val="36"/>
        <w:tabs>
          <w:tab w:val="left" w:pos="0"/>
        </w:tabs>
        <w:wordWrap w:val="0"/>
        <w:topLinePunct/>
        <w:spacing w:line="440" w:lineRule="exact"/>
        <w:ind w:firstLine="480"/>
        <w:rPr>
          <w:rFonts w:hAnsi="宋体"/>
          <w:highlight w:val="none"/>
        </w:rPr>
      </w:pPr>
      <w:r>
        <w:rPr>
          <w:rFonts w:hint="eastAsia" w:hAnsi="宋体"/>
          <w:highlight w:val="none"/>
        </w:rPr>
        <w:t>1.因服务</w:t>
      </w:r>
      <w:r>
        <w:rPr>
          <w:rFonts w:hint="eastAsia" w:hAnsi="宋体"/>
          <w:highlight w:val="none"/>
          <w:lang w:val="en-US" w:eastAsia="zh-CN"/>
        </w:rPr>
        <w:t>或货物</w:t>
      </w:r>
      <w:r>
        <w:rPr>
          <w:rFonts w:hint="eastAsia" w:hAnsi="宋体"/>
          <w:highlight w:val="none"/>
        </w:rPr>
        <w:t>的质量问题发生争议，由采购人或其指定的第三方机构进行质量鉴定。服务符合标准的，鉴定费由采购人承担；服务不符合质量标准的，鉴定费由供应商承担。</w:t>
      </w:r>
    </w:p>
    <w:p>
      <w:pPr>
        <w:tabs>
          <w:tab w:val="left" w:pos="0"/>
        </w:tabs>
        <w:spacing w:line="440" w:lineRule="exact"/>
        <w:ind w:firstLine="480" w:firstLineChars="200"/>
        <w:rPr>
          <w:rFonts w:hAnsi="宋体"/>
          <w:sz w:val="24"/>
          <w:highlight w:val="none"/>
        </w:rPr>
      </w:pPr>
      <w:r>
        <w:rPr>
          <w:rFonts w:hint="eastAsia" w:hAnsi="宋体"/>
          <w:sz w:val="24"/>
          <w:highlight w:val="none"/>
        </w:rPr>
        <w:t>2.合同履行期间,若双方发生争议，可协商或由有关部门调解解决，协商或调解不成的，向采购人所在地仲裁委员会申请仲裁或向采购人所在地人民法院起诉。</w:t>
      </w:r>
    </w:p>
    <w:p>
      <w:pPr>
        <w:pStyle w:val="34"/>
        <w:numPr>
          <w:ilvl w:val="0"/>
          <w:numId w:val="25"/>
        </w:numPr>
        <w:tabs>
          <w:tab w:val="left" w:pos="0"/>
        </w:tabs>
        <w:wordWrap w:val="0"/>
        <w:spacing w:line="440" w:lineRule="exact"/>
        <w:ind w:firstLine="482"/>
        <w:jc w:val="left"/>
        <w:rPr>
          <w:rFonts w:hAnsi="宋体"/>
          <w:b/>
          <w:bCs/>
          <w:sz w:val="24"/>
          <w:highlight w:val="none"/>
        </w:rPr>
      </w:pPr>
      <w:r>
        <w:rPr>
          <w:rFonts w:hint="eastAsia" w:hAnsi="宋体"/>
          <w:b/>
          <w:bCs/>
          <w:sz w:val="24"/>
          <w:highlight w:val="none"/>
        </w:rPr>
        <w:t>验收方法和标准</w:t>
      </w:r>
    </w:p>
    <w:p>
      <w:pPr>
        <w:tabs>
          <w:tab w:val="left" w:pos="0"/>
        </w:tabs>
        <w:spacing w:line="440" w:lineRule="exact"/>
        <w:ind w:firstLine="480" w:firstLineChars="200"/>
        <w:rPr>
          <w:rFonts w:hAnsi="宋体"/>
          <w:sz w:val="24"/>
          <w:highlight w:val="none"/>
        </w:rPr>
      </w:pPr>
      <w:r>
        <w:rPr>
          <w:rFonts w:hint="eastAsia" w:hAnsi="宋体"/>
          <w:sz w:val="24"/>
          <w:highlight w:val="none"/>
        </w:rPr>
        <w:t>1.成交供应商应在双方约定的时间内完成项目初稿，并将初稿提交给采购人征求意见。成交供应商项目编制组向评审会汇报项目成果，专家对成果编制的规范性、科学性、可操作性等方面进行评审。满足以下条件时，采购人才向成交供应商签发验收合格单：</w:t>
      </w:r>
    </w:p>
    <w:p>
      <w:pPr>
        <w:tabs>
          <w:tab w:val="left" w:pos="0"/>
        </w:tabs>
        <w:spacing w:line="440" w:lineRule="exact"/>
        <w:ind w:firstLine="480" w:firstLineChars="200"/>
        <w:rPr>
          <w:rFonts w:hAnsi="宋体"/>
          <w:sz w:val="24"/>
          <w:highlight w:val="none"/>
        </w:rPr>
      </w:pPr>
      <w:r>
        <w:rPr>
          <w:rFonts w:hint="eastAsia" w:hAnsi="宋体"/>
          <w:sz w:val="24"/>
          <w:highlight w:val="none"/>
        </w:rPr>
        <w:t>(1)成交供应商已提供了全部服务及完整的文档资料；</w:t>
      </w:r>
    </w:p>
    <w:p>
      <w:pPr>
        <w:tabs>
          <w:tab w:val="left" w:pos="0"/>
        </w:tabs>
        <w:spacing w:line="440" w:lineRule="exact"/>
        <w:ind w:firstLine="480" w:firstLineChars="200"/>
        <w:rPr>
          <w:rFonts w:hAnsi="宋体"/>
          <w:sz w:val="24"/>
          <w:highlight w:val="none"/>
        </w:rPr>
      </w:pPr>
      <w:r>
        <w:rPr>
          <w:rFonts w:hint="eastAsia" w:hAnsi="宋体"/>
          <w:sz w:val="24"/>
          <w:highlight w:val="none"/>
        </w:rPr>
        <w:t>(2)符合本采购文件技术要求和服务需求的事项和规范中的要求；</w:t>
      </w:r>
    </w:p>
    <w:p>
      <w:pPr>
        <w:tabs>
          <w:tab w:val="left" w:pos="0"/>
        </w:tabs>
        <w:spacing w:line="440" w:lineRule="exact"/>
        <w:ind w:firstLine="480" w:firstLineChars="200"/>
        <w:rPr>
          <w:rFonts w:hAnsi="宋体"/>
          <w:sz w:val="24"/>
          <w:highlight w:val="none"/>
        </w:rPr>
      </w:pPr>
      <w:r>
        <w:rPr>
          <w:rFonts w:hint="eastAsia" w:hAnsi="宋体"/>
          <w:sz w:val="24"/>
          <w:highlight w:val="none"/>
        </w:rPr>
        <w:t>(3)通过采购人组织的专家评审。</w:t>
      </w:r>
    </w:p>
    <w:p>
      <w:pPr>
        <w:tabs>
          <w:tab w:val="left" w:pos="0"/>
        </w:tabs>
        <w:spacing w:line="440" w:lineRule="exact"/>
        <w:ind w:firstLine="480" w:firstLineChars="200"/>
        <w:rPr>
          <w:rFonts w:hAnsi="宋体"/>
          <w:sz w:val="24"/>
          <w:highlight w:val="none"/>
        </w:rPr>
      </w:pPr>
      <w:r>
        <w:rPr>
          <w:rFonts w:hint="eastAsia" w:hAnsi="宋体"/>
          <w:sz w:val="24"/>
          <w:highlight w:val="none"/>
        </w:rPr>
        <w:t>2.验收标准：按国家有关规定(时间节点为：验收时国省市最新规定标准)以及采购文件的质量要求和技术指标、供应商的响应文件及承诺与本合同约定标准进行验收，前述内容发生冲突的，验收标准按照国省市最新规定标准执行。</w:t>
      </w:r>
    </w:p>
    <w:p>
      <w:pPr>
        <w:tabs>
          <w:tab w:val="left" w:pos="0"/>
        </w:tabs>
        <w:spacing w:line="440" w:lineRule="exact"/>
        <w:ind w:firstLine="480" w:firstLineChars="200"/>
        <w:rPr>
          <w:rFonts w:hAnsi="宋体"/>
          <w:sz w:val="24"/>
          <w:highlight w:val="none"/>
        </w:rPr>
      </w:pPr>
      <w:r>
        <w:rPr>
          <w:rFonts w:hint="eastAsia" w:hAnsi="宋体"/>
          <w:sz w:val="24"/>
          <w:highlight w:val="none"/>
        </w:rPr>
        <w:t>3.采购人无故不进行验收工作并已使用项目履约成果的，视同验收合格。</w:t>
      </w:r>
    </w:p>
    <w:p>
      <w:pPr>
        <w:tabs>
          <w:tab w:val="left" w:pos="0"/>
        </w:tabs>
        <w:spacing w:line="440" w:lineRule="exact"/>
        <w:ind w:firstLine="480" w:firstLineChars="200"/>
        <w:rPr>
          <w:rFonts w:hAnsi="宋体"/>
          <w:sz w:val="24"/>
          <w:highlight w:val="none"/>
        </w:rPr>
      </w:pPr>
      <w:r>
        <w:rPr>
          <w:rFonts w:hint="eastAsia" w:hAnsi="宋体"/>
          <w:sz w:val="24"/>
          <w:highlight w:val="none"/>
        </w:rPr>
        <w:t>4.项目验收结果合格的，供应商凭验收合格证明书办理资金支付；验收结果不合格的，将不予支付采购资金，还可能上报本项目同级财政部门按照政府采购法律法规等有关规定给予行政处罚或者以失信行为记入诚信档案。</w:t>
      </w:r>
    </w:p>
    <w:p>
      <w:pPr>
        <w:tabs>
          <w:tab w:val="left" w:pos="0"/>
        </w:tabs>
        <w:spacing w:line="440" w:lineRule="exact"/>
        <w:ind w:firstLine="480" w:firstLineChars="200"/>
        <w:rPr>
          <w:rFonts w:hAnsi="宋体"/>
          <w:sz w:val="24"/>
          <w:highlight w:val="none"/>
        </w:rPr>
      </w:pPr>
      <w:r>
        <w:rPr>
          <w:rFonts w:hint="eastAsia" w:hAnsi="宋体"/>
          <w:sz w:val="24"/>
          <w:highlight w:val="none"/>
        </w:rPr>
        <w:t>5.其他未尽事宜应严格按照《财政部关于进一步加强政府采购需求和履约验收管理的指导意见》(财库〔2016〕205号)及参照《四川省政府采购项目需求论证和履约验收管理办法》(川财采〔2015〕32号)的要求进行验收。</w:t>
      </w:r>
    </w:p>
    <w:p>
      <w:pPr>
        <w:pStyle w:val="34"/>
        <w:numPr>
          <w:ilvl w:val="0"/>
          <w:numId w:val="25"/>
        </w:numPr>
        <w:tabs>
          <w:tab w:val="left" w:pos="0"/>
        </w:tabs>
        <w:wordWrap w:val="0"/>
        <w:spacing w:line="440" w:lineRule="exact"/>
        <w:ind w:firstLine="482"/>
        <w:jc w:val="left"/>
        <w:rPr>
          <w:rFonts w:hAnsi="宋体"/>
          <w:b/>
          <w:bCs/>
          <w:sz w:val="24"/>
          <w:highlight w:val="none"/>
        </w:rPr>
      </w:pPr>
      <w:r>
        <w:rPr>
          <w:rFonts w:hint="eastAsia" w:hAnsi="宋体"/>
          <w:b/>
          <w:bCs/>
          <w:sz w:val="24"/>
          <w:highlight w:val="none"/>
        </w:rPr>
        <w:t>其他要求</w:t>
      </w:r>
    </w:p>
    <w:p>
      <w:pPr>
        <w:pStyle w:val="34"/>
        <w:numPr>
          <w:ilvl w:val="0"/>
          <w:numId w:val="28"/>
        </w:numPr>
        <w:tabs>
          <w:tab w:val="left" w:pos="0"/>
        </w:tabs>
        <w:wordWrap w:val="0"/>
        <w:spacing w:line="440" w:lineRule="exact"/>
        <w:ind w:firstLine="480"/>
        <w:jc w:val="left"/>
        <w:rPr>
          <w:rFonts w:hAnsi="宋体"/>
          <w:sz w:val="24"/>
          <w:highlight w:val="none"/>
        </w:rPr>
      </w:pPr>
      <w:r>
        <w:rPr>
          <w:rFonts w:hint="eastAsia" w:hAnsi="宋体"/>
          <w:sz w:val="24"/>
          <w:highlight w:val="none"/>
        </w:rPr>
        <w:t>政府采购合同签订时间：供应商自成交通知书发出之日起，须按政府采购相关法律法规要求，在30日内与采购人签订政府采购合同。</w:t>
      </w:r>
    </w:p>
    <w:p>
      <w:pPr>
        <w:pStyle w:val="34"/>
        <w:numPr>
          <w:ilvl w:val="0"/>
          <w:numId w:val="28"/>
        </w:numPr>
        <w:tabs>
          <w:tab w:val="left" w:pos="0"/>
        </w:tabs>
        <w:wordWrap w:val="0"/>
        <w:spacing w:line="440" w:lineRule="exact"/>
        <w:ind w:firstLine="480"/>
        <w:jc w:val="left"/>
        <w:rPr>
          <w:rFonts w:hAnsi="宋体"/>
          <w:sz w:val="24"/>
          <w:highlight w:val="none"/>
        </w:rPr>
      </w:pPr>
      <w:r>
        <w:rPr>
          <w:rFonts w:hint="eastAsia" w:hAnsi="宋体"/>
          <w:sz w:val="24"/>
          <w:highlight w:val="none"/>
        </w:rPr>
        <w:t>供应商应保证所提供的服务或其任何一部分均不会侵犯任何第三方的专利权、商标权或著作权。</w:t>
      </w:r>
    </w:p>
    <w:p>
      <w:pPr>
        <w:pStyle w:val="34"/>
        <w:numPr>
          <w:ilvl w:val="0"/>
          <w:numId w:val="28"/>
        </w:numPr>
        <w:tabs>
          <w:tab w:val="left" w:pos="0"/>
        </w:tabs>
        <w:wordWrap w:val="0"/>
        <w:spacing w:line="440" w:lineRule="exact"/>
        <w:ind w:firstLine="480"/>
        <w:jc w:val="left"/>
        <w:rPr>
          <w:rFonts w:hAnsi="宋体"/>
          <w:sz w:val="24"/>
          <w:highlight w:val="none"/>
        </w:rPr>
      </w:pPr>
      <w:r>
        <w:rPr>
          <w:rFonts w:hint="eastAsia" w:hAnsi="宋体"/>
          <w:sz w:val="24"/>
          <w:highlight w:val="none"/>
        </w:rPr>
        <w:t>本项目不统一组织现场踏勘，供应商可自行踏勘项目现场。不踏勘项目现场的，视为知悉项目现场及本项目要求，一切责任由供应商自行承担。</w:t>
      </w:r>
    </w:p>
    <w:p>
      <w:pPr>
        <w:pStyle w:val="34"/>
        <w:numPr>
          <w:ilvl w:val="0"/>
          <w:numId w:val="28"/>
        </w:numPr>
        <w:tabs>
          <w:tab w:val="left" w:pos="0"/>
        </w:tabs>
        <w:wordWrap w:val="0"/>
        <w:spacing w:line="440" w:lineRule="exact"/>
        <w:ind w:firstLine="480"/>
        <w:jc w:val="left"/>
        <w:rPr>
          <w:rFonts w:hAnsi="宋体"/>
          <w:sz w:val="24"/>
          <w:highlight w:val="none"/>
        </w:rPr>
      </w:pPr>
      <w:r>
        <w:rPr>
          <w:rFonts w:hint="eastAsia" w:hAnsi="宋体"/>
          <w:sz w:val="24"/>
          <w:highlight w:val="none"/>
        </w:rPr>
        <w:t>采购人定期核对供应商提供服务所配备的人员数量及相关信息，对于未按照采购文件及投标响应要求执行或存在不合理的部分有权下达整改通知书，并要求供应商限期整改。</w:t>
      </w:r>
    </w:p>
    <w:p>
      <w:pPr>
        <w:pStyle w:val="34"/>
        <w:numPr>
          <w:ilvl w:val="0"/>
          <w:numId w:val="28"/>
        </w:numPr>
        <w:tabs>
          <w:tab w:val="left" w:pos="0"/>
        </w:tabs>
        <w:wordWrap w:val="0"/>
        <w:spacing w:line="440" w:lineRule="exact"/>
        <w:ind w:firstLine="480"/>
        <w:jc w:val="left"/>
        <w:rPr>
          <w:rFonts w:hAnsi="宋体"/>
          <w:sz w:val="24"/>
          <w:highlight w:val="none"/>
        </w:rPr>
      </w:pPr>
      <w:r>
        <w:rPr>
          <w:rFonts w:hint="eastAsia" w:hAnsi="宋体"/>
          <w:sz w:val="24"/>
          <w:highlight w:val="none"/>
        </w:rPr>
        <w:t>供应商定期及时向采购人通告本项目服务范围内有关服务的重大事项及其进度。</w:t>
      </w:r>
    </w:p>
    <w:p>
      <w:pPr>
        <w:pStyle w:val="34"/>
        <w:numPr>
          <w:ilvl w:val="0"/>
          <w:numId w:val="28"/>
        </w:numPr>
        <w:tabs>
          <w:tab w:val="left" w:pos="0"/>
        </w:tabs>
        <w:wordWrap w:val="0"/>
        <w:spacing w:line="440" w:lineRule="exact"/>
        <w:ind w:firstLine="480"/>
        <w:jc w:val="left"/>
        <w:rPr>
          <w:rFonts w:hAnsi="宋体"/>
          <w:sz w:val="24"/>
          <w:highlight w:val="none"/>
        </w:rPr>
      </w:pPr>
      <w:r>
        <w:rPr>
          <w:rFonts w:hint="eastAsia" w:hAnsi="宋体"/>
          <w:sz w:val="24"/>
          <w:highlight w:val="none"/>
        </w:rPr>
        <w:t>接受项目行业管理部门及政府有关部门的指导，接受采购人的监督。</w:t>
      </w:r>
    </w:p>
    <w:p>
      <w:pPr>
        <w:pStyle w:val="34"/>
        <w:tabs>
          <w:tab w:val="left" w:pos="0"/>
        </w:tabs>
        <w:wordWrap w:val="0"/>
        <w:spacing w:line="440" w:lineRule="exact"/>
        <w:ind w:firstLine="480"/>
        <w:jc w:val="left"/>
        <w:rPr>
          <w:rFonts w:hAnsi="宋体"/>
          <w:szCs w:val="24"/>
          <w:highlight w:val="none"/>
        </w:rPr>
      </w:pPr>
      <w:r>
        <w:rPr>
          <w:rFonts w:hint="eastAsia" w:hAnsi="宋体"/>
          <w:sz w:val="24"/>
          <w:highlight w:val="none"/>
        </w:rPr>
        <w:t>7.在采购合同履约过程中发生的或与本合同有关的争端，供应商与采购人应通过友好协商解决，协商或调解不成的，由当事人依法维护其合法权益</w:t>
      </w:r>
      <w:r>
        <w:rPr>
          <w:rFonts w:hint="eastAsia" w:hAnsi="宋体"/>
          <w:szCs w:val="24"/>
          <w:highlight w:val="none"/>
        </w:rPr>
        <w:t>。</w:t>
      </w:r>
    </w:p>
    <w:p>
      <w:pPr>
        <w:pStyle w:val="4"/>
        <w:keepNext w:val="0"/>
        <w:keepLines w:val="0"/>
        <w:pageBreakBefore/>
        <w:wordWrap w:val="0"/>
        <w:topLinePunct/>
        <w:spacing w:before="120" w:after="120"/>
        <w:rPr>
          <w:szCs w:val="36"/>
          <w:highlight w:val="none"/>
        </w:rPr>
      </w:pPr>
      <w:bookmarkStart w:id="229" w:name="_Toc3494"/>
      <w:bookmarkStart w:id="230" w:name="_Toc7860"/>
      <w:r>
        <w:rPr>
          <w:rFonts w:hint="eastAsia"/>
          <w:szCs w:val="36"/>
          <w:highlight w:val="none"/>
        </w:rPr>
        <w:t>第四章 响应文件格式</w:t>
      </w:r>
      <w:bookmarkEnd w:id="218"/>
      <w:bookmarkEnd w:id="219"/>
      <w:bookmarkEnd w:id="220"/>
      <w:bookmarkEnd w:id="221"/>
      <w:bookmarkEnd w:id="229"/>
      <w:bookmarkEnd w:id="230"/>
    </w:p>
    <w:p>
      <w:pPr>
        <w:tabs>
          <w:tab w:val="left" w:pos="7665"/>
        </w:tabs>
        <w:wordWrap w:val="0"/>
        <w:topLinePunct/>
        <w:spacing w:line="400" w:lineRule="exact"/>
        <w:ind w:firstLine="2891" w:firstLineChars="900"/>
        <w:rPr>
          <w:rFonts w:hAnsi="宋体"/>
          <w:b/>
          <w:bCs/>
          <w:sz w:val="32"/>
          <w:szCs w:val="32"/>
          <w:highlight w:val="none"/>
        </w:rPr>
      </w:pPr>
    </w:p>
    <w:p>
      <w:pPr>
        <w:tabs>
          <w:tab w:val="left" w:pos="7665"/>
        </w:tabs>
        <w:wordWrap w:val="0"/>
        <w:topLinePunct/>
        <w:spacing w:line="400" w:lineRule="exact"/>
        <w:rPr>
          <w:rFonts w:hAnsi="宋体"/>
          <w:sz w:val="24"/>
          <w:szCs w:val="24"/>
          <w:highlight w:val="none"/>
        </w:rPr>
      </w:pPr>
      <w:r>
        <w:rPr>
          <w:rFonts w:hint="eastAsia" w:hAnsi="宋体"/>
          <w:sz w:val="24"/>
          <w:szCs w:val="24"/>
          <w:highlight w:val="none"/>
        </w:rPr>
        <w:t>附件：密封袋格式</w:t>
      </w:r>
    </w:p>
    <w:p>
      <w:pPr>
        <w:tabs>
          <w:tab w:val="left" w:pos="7665"/>
        </w:tabs>
        <w:wordWrap w:val="0"/>
        <w:topLinePunct/>
        <w:spacing w:line="400" w:lineRule="exact"/>
        <w:rPr>
          <w:rFonts w:hAnsi="宋体"/>
          <w:sz w:val="24"/>
          <w:szCs w:val="24"/>
          <w:highlight w:val="none"/>
        </w:rPr>
      </w:pPr>
    </w:p>
    <w:p>
      <w:pPr>
        <w:tabs>
          <w:tab w:val="left" w:pos="7665"/>
        </w:tabs>
        <w:wordWrap w:val="0"/>
        <w:topLinePunct/>
        <w:spacing w:line="400" w:lineRule="exact"/>
        <w:rPr>
          <w:rFonts w:hAnsi="宋体"/>
          <w:sz w:val="24"/>
          <w:szCs w:val="24"/>
          <w:highlight w:val="none"/>
        </w:rPr>
      </w:pPr>
    </w:p>
    <w:p>
      <w:pPr>
        <w:tabs>
          <w:tab w:val="left" w:pos="7665"/>
        </w:tabs>
        <w:wordWrap w:val="0"/>
        <w:topLinePunct/>
        <w:spacing w:line="400" w:lineRule="exact"/>
        <w:rPr>
          <w:rFonts w:hAnsi="宋体"/>
          <w:sz w:val="24"/>
          <w:szCs w:val="24"/>
          <w:highlight w:val="none"/>
        </w:rPr>
      </w:pPr>
    </w:p>
    <w:p>
      <w:pPr>
        <w:tabs>
          <w:tab w:val="left" w:pos="7665"/>
        </w:tabs>
        <w:wordWrap w:val="0"/>
        <w:topLinePunct/>
        <w:spacing w:line="400" w:lineRule="exact"/>
        <w:rPr>
          <w:rFonts w:hAnsi="宋体"/>
          <w:sz w:val="24"/>
          <w:szCs w:val="24"/>
          <w:highlight w:val="none"/>
        </w:rPr>
      </w:pPr>
    </w:p>
    <w:tbl>
      <w:tblPr>
        <w:tblStyle w:val="22"/>
        <w:tblW w:w="9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6" w:hRule="atLeast"/>
          <w:jc w:val="center"/>
        </w:trPr>
        <w:tc>
          <w:tcPr>
            <w:tcW w:w="9400" w:type="dxa"/>
          </w:tcPr>
          <w:p>
            <w:pPr>
              <w:tabs>
                <w:tab w:val="left" w:pos="7665"/>
              </w:tabs>
              <w:wordWrap w:val="0"/>
              <w:topLinePunct/>
              <w:spacing w:line="400" w:lineRule="exact"/>
              <w:ind w:firstLine="2880" w:firstLineChars="1200"/>
              <w:rPr>
                <w:rFonts w:hAnsi="宋体"/>
                <w:sz w:val="24"/>
                <w:szCs w:val="24"/>
                <w:highlight w:val="none"/>
                <w:u w:val="single"/>
              </w:rPr>
            </w:pPr>
          </w:p>
          <w:p>
            <w:pPr>
              <w:tabs>
                <w:tab w:val="left" w:pos="7665"/>
              </w:tabs>
              <w:wordWrap w:val="0"/>
              <w:topLinePunct/>
              <w:spacing w:line="400" w:lineRule="exact"/>
              <w:ind w:firstLine="3060" w:firstLineChars="1275"/>
              <w:jc w:val="left"/>
              <w:rPr>
                <w:rFonts w:hAnsi="宋体"/>
                <w:sz w:val="24"/>
                <w:szCs w:val="24"/>
                <w:highlight w:val="none"/>
                <w:u w:val="single"/>
              </w:rPr>
            </w:pPr>
            <w:r>
              <w:rPr>
                <w:rFonts w:hint="eastAsia" w:hAnsi="宋体"/>
                <w:sz w:val="24"/>
                <w:szCs w:val="24"/>
                <w:highlight w:val="none"/>
              </w:rPr>
              <w:t>项目编号：</w:t>
            </w:r>
            <w:r>
              <w:rPr>
                <w:rFonts w:hint="eastAsia" w:hAnsi="宋体"/>
                <w:sz w:val="24"/>
                <w:szCs w:val="24"/>
                <w:highlight w:val="none"/>
                <w:u w:val="single"/>
              </w:rPr>
              <w:t xml:space="preserve">                   </w:t>
            </w:r>
          </w:p>
          <w:p>
            <w:pPr>
              <w:tabs>
                <w:tab w:val="left" w:pos="7665"/>
              </w:tabs>
              <w:wordWrap w:val="0"/>
              <w:topLinePunct/>
              <w:spacing w:line="400" w:lineRule="exact"/>
              <w:ind w:firstLine="3060" w:firstLineChars="1275"/>
              <w:jc w:val="left"/>
              <w:rPr>
                <w:rFonts w:hAnsi="宋体"/>
                <w:sz w:val="24"/>
                <w:szCs w:val="24"/>
                <w:highlight w:val="none"/>
                <w:u w:val="single"/>
              </w:rPr>
            </w:pPr>
            <w:r>
              <w:rPr>
                <w:rFonts w:hint="eastAsia" w:hAnsi="宋体"/>
                <w:sz w:val="24"/>
                <w:szCs w:val="24"/>
                <w:highlight w:val="none"/>
              </w:rPr>
              <w:t>项目名称：</w:t>
            </w:r>
            <w:r>
              <w:rPr>
                <w:rFonts w:hint="eastAsia" w:hAnsi="宋体"/>
                <w:sz w:val="24"/>
                <w:szCs w:val="24"/>
                <w:highlight w:val="none"/>
                <w:u w:val="single"/>
              </w:rPr>
              <w:t xml:space="preserve">                   </w:t>
            </w:r>
          </w:p>
          <w:p>
            <w:pPr>
              <w:tabs>
                <w:tab w:val="left" w:pos="7665"/>
              </w:tabs>
              <w:wordWrap w:val="0"/>
              <w:topLinePunct/>
              <w:spacing w:line="400" w:lineRule="exact"/>
              <w:jc w:val="center"/>
              <w:rPr>
                <w:rFonts w:hAnsi="宋体"/>
                <w:b/>
                <w:bCs/>
                <w:sz w:val="32"/>
                <w:szCs w:val="32"/>
                <w:highlight w:val="none"/>
              </w:rPr>
            </w:pPr>
          </w:p>
          <w:p>
            <w:pPr>
              <w:tabs>
                <w:tab w:val="left" w:pos="7665"/>
              </w:tabs>
              <w:wordWrap w:val="0"/>
              <w:topLinePunct/>
              <w:spacing w:line="400" w:lineRule="exact"/>
              <w:jc w:val="center"/>
              <w:rPr>
                <w:rFonts w:hAnsi="宋体"/>
                <w:b/>
                <w:bCs/>
                <w:sz w:val="32"/>
                <w:szCs w:val="32"/>
                <w:highlight w:val="none"/>
              </w:rPr>
            </w:pPr>
            <w:r>
              <w:rPr>
                <w:rFonts w:hint="eastAsia" w:hAnsi="宋体"/>
                <w:b/>
                <w:bCs/>
                <w:sz w:val="32"/>
                <w:szCs w:val="32"/>
                <w:highlight w:val="none"/>
              </w:rPr>
              <w:t>响应文件(正本/副本)</w:t>
            </w:r>
          </w:p>
          <w:p>
            <w:pPr>
              <w:tabs>
                <w:tab w:val="left" w:pos="7665"/>
              </w:tabs>
              <w:wordWrap w:val="0"/>
              <w:topLinePunct/>
              <w:spacing w:line="400" w:lineRule="exact"/>
              <w:jc w:val="center"/>
              <w:rPr>
                <w:rFonts w:hAnsi="宋体"/>
                <w:b/>
                <w:bCs/>
                <w:sz w:val="32"/>
                <w:szCs w:val="32"/>
                <w:highlight w:val="none"/>
              </w:rPr>
            </w:pPr>
          </w:p>
          <w:p>
            <w:pPr>
              <w:tabs>
                <w:tab w:val="left" w:pos="7665"/>
              </w:tabs>
              <w:wordWrap w:val="0"/>
              <w:topLinePunct/>
              <w:spacing w:line="400" w:lineRule="exact"/>
              <w:ind w:firstLine="3060" w:firstLineChars="1275"/>
              <w:rPr>
                <w:rFonts w:hAnsi="宋体"/>
                <w:sz w:val="24"/>
                <w:szCs w:val="24"/>
                <w:highlight w:val="none"/>
                <w:u w:val="single"/>
              </w:rPr>
            </w:pPr>
            <w:r>
              <w:rPr>
                <w:rFonts w:hint="eastAsia" w:hAnsi="宋体"/>
                <w:sz w:val="24"/>
                <w:szCs w:val="24"/>
                <w:highlight w:val="none"/>
              </w:rPr>
              <w:t>供应商名称：</w:t>
            </w:r>
            <w:r>
              <w:rPr>
                <w:rFonts w:hint="eastAsia" w:hAnsi="宋体"/>
                <w:sz w:val="24"/>
                <w:szCs w:val="24"/>
                <w:highlight w:val="none"/>
                <w:u w:val="single"/>
              </w:rPr>
              <w:t xml:space="preserve">                 </w:t>
            </w:r>
          </w:p>
          <w:p>
            <w:pPr>
              <w:tabs>
                <w:tab w:val="left" w:pos="7665"/>
              </w:tabs>
              <w:wordWrap w:val="0"/>
              <w:topLinePunct/>
              <w:spacing w:line="400" w:lineRule="exact"/>
              <w:ind w:firstLine="3060" w:firstLineChars="1275"/>
              <w:rPr>
                <w:rFonts w:hAnsi="宋体"/>
                <w:sz w:val="24"/>
                <w:szCs w:val="24"/>
                <w:highlight w:val="none"/>
              </w:rPr>
            </w:pPr>
            <w:r>
              <w:rPr>
                <w:rFonts w:hint="eastAsia" w:hAnsi="宋体"/>
                <w:sz w:val="24"/>
                <w:szCs w:val="24"/>
                <w:highlight w:val="none"/>
              </w:rPr>
              <w:t>协商日期：</w:t>
            </w:r>
            <w:r>
              <w:rPr>
                <w:rFonts w:hint="eastAsia" w:hAnsi="宋体"/>
                <w:sz w:val="24"/>
                <w:szCs w:val="24"/>
                <w:highlight w:val="none"/>
                <w:u w:val="single"/>
              </w:rPr>
              <w:t xml:space="preserve">                   </w:t>
            </w:r>
          </w:p>
          <w:p>
            <w:pPr>
              <w:tabs>
                <w:tab w:val="left" w:pos="7665"/>
              </w:tabs>
              <w:wordWrap w:val="0"/>
              <w:topLinePunct/>
              <w:spacing w:line="400" w:lineRule="exact"/>
              <w:rPr>
                <w:rFonts w:hAnsi="宋体"/>
                <w:sz w:val="24"/>
                <w:szCs w:val="24"/>
                <w:highlight w:val="none"/>
              </w:rPr>
            </w:pPr>
            <w:r>
              <w:rPr>
                <w:rFonts w:hint="eastAsia" w:hAnsi="宋体"/>
                <w:sz w:val="24"/>
                <w:szCs w:val="24"/>
                <w:highlight w:val="none"/>
              </w:rPr>
              <w:t xml:space="preserve">   </w:t>
            </w:r>
          </w:p>
        </w:tc>
      </w:tr>
    </w:tbl>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wordWrap w:val="0"/>
        <w:topLinePunct/>
        <w:ind w:left="2710"/>
        <w:rPr>
          <w:rFonts w:hAnsi="宋体"/>
          <w:b/>
          <w:bCs/>
          <w:spacing w:val="8"/>
          <w:sz w:val="44"/>
          <w:szCs w:val="44"/>
          <w:highlight w:val="none"/>
        </w:rPr>
      </w:pPr>
    </w:p>
    <w:p>
      <w:pPr>
        <w:pageBreakBefore/>
        <w:wordWrap w:val="0"/>
        <w:topLinePunct/>
        <w:rPr>
          <w:rFonts w:hAnsi="宋体"/>
          <w:highlight w:val="none"/>
        </w:rPr>
      </w:pPr>
      <w:r>
        <w:rPr>
          <w:rFonts w:hint="eastAsia" w:hAnsi="宋体"/>
          <w:highlight w:val="none"/>
        </w:rPr>
        <w:t>封面</w:t>
      </w:r>
    </w:p>
    <w:tbl>
      <w:tblPr>
        <w:tblStyle w:val="22"/>
        <w:tblpPr w:leftFromText="180" w:rightFromText="180" w:vertAnchor="text" w:horzAnchor="page" w:tblpX="8413" w:tblpY="448"/>
        <w:tblOverlap w:val="never"/>
        <w:tblW w:w="19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929" w:type="dxa"/>
            <w:vAlign w:val="center"/>
          </w:tcPr>
          <w:p>
            <w:pPr>
              <w:wordWrap w:val="0"/>
              <w:topLinePunct/>
              <w:jc w:val="center"/>
              <w:rPr>
                <w:rFonts w:hAnsi="宋体"/>
                <w:b/>
                <w:bCs/>
                <w:sz w:val="32"/>
                <w:szCs w:val="32"/>
                <w:highlight w:val="none"/>
              </w:rPr>
            </w:pPr>
            <w:r>
              <w:rPr>
                <w:rFonts w:hint="eastAsia" w:hAnsi="宋体"/>
                <w:b/>
                <w:bCs/>
                <w:sz w:val="32"/>
                <w:szCs w:val="32"/>
                <w:highlight w:val="none"/>
              </w:rPr>
              <w:t>正本或副本</w:t>
            </w:r>
          </w:p>
        </w:tc>
      </w:tr>
    </w:tbl>
    <w:p>
      <w:pPr>
        <w:wordWrap w:val="0"/>
        <w:topLinePunct/>
        <w:rPr>
          <w:rFonts w:hAnsi="宋体"/>
          <w:highlight w:val="none"/>
        </w:rPr>
      </w:pPr>
    </w:p>
    <w:p>
      <w:pPr>
        <w:wordWrap w:val="0"/>
        <w:topLinePunct/>
        <w:rPr>
          <w:rFonts w:hAnsi="宋体"/>
          <w:highlight w:val="none"/>
        </w:rPr>
      </w:pPr>
    </w:p>
    <w:p>
      <w:pPr>
        <w:wordWrap w:val="0"/>
        <w:topLinePunct/>
        <w:rPr>
          <w:rFonts w:hAnsi="宋体"/>
          <w:highlight w:val="none"/>
        </w:rPr>
      </w:pPr>
    </w:p>
    <w:p>
      <w:pPr>
        <w:wordWrap w:val="0"/>
        <w:topLinePunct/>
        <w:rPr>
          <w:rFonts w:hAnsi="宋体"/>
          <w:highlight w:val="none"/>
        </w:rPr>
      </w:pPr>
    </w:p>
    <w:p>
      <w:pPr>
        <w:wordWrap w:val="0"/>
        <w:topLinePunct/>
        <w:jc w:val="center"/>
        <w:rPr>
          <w:rFonts w:hAnsi="宋体"/>
          <w:b/>
          <w:bCs/>
          <w:sz w:val="48"/>
          <w:szCs w:val="48"/>
          <w:highlight w:val="none"/>
        </w:rPr>
      </w:pPr>
    </w:p>
    <w:p>
      <w:pPr>
        <w:wordWrap w:val="0"/>
        <w:topLinePunct/>
        <w:jc w:val="center"/>
        <w:rPr>
          <w:rFonts w:hAnsi="宋体"/>
          <w:b/>
          <w:bCs/>
          <w:sz w:val="84"/>
          <w:szCs w:val="84"/>
          <w:highlight w:val="none"/>
        </w:rPr>
      </w:pPr>
    </w:p>
    <w:p>
      <w:pPr>
        <w:wordWrap w:val="0"/>
        <w:topLinePunct/>
        <w:jc w:val="center"/>
        <w:rPr>
          <w:rFonts w:hAnsi="宋体"/>
          <w:b/>
          <w:bCs/>
          <w:sz w:val="84"/>
          <w:szCs w:val="84"/>
          <w:highlight w:val="none"/>
        </w:rPr>
      </w:pPr>
      <w:r>
        <w:rPr>
          <w:rFonts w:hint="eastAsia" w:hAnsi="宋体"/>
          <w:b/>
          <w:bCs/>
          <w:sz w:val="84"/>
          <w:szCs w:val="84"/>
          <w:highlight w:val="none"/>
        </w:rPr>
        <w:t>响 应 文 件</w:t>
      </w:r>
    </w:p>
    <w:p>
      <w:pPr>
        <w:wordWrap w:val="0"/>
        <w:topLinePunct/>
        <w:jc w:val="center"/>
        <w:rPr>
          <w:rFonts w:hAnsi="宋体"/>
          <w:b/>
          <w:bCs/>
          <w:sz w:val="84"/>
          <w:szCs w:val="84"/>
          <w:highlight w:val="none"/>
        </w:rPr>
      </w:pPr>
    </w:p>
    <w:p>
      <w:pPr>
        <w:wordWrap w:val="0"/>
        <w:topLinePunct/>
        <w:spacing w:line="360" w:lineRule="auto"/>
        <w:jc w:val="center"/>
        <w:rPr>
          <w:rFonts w:hAnsi="宋体"/>
          <w:b/>
          <w:bCs/>
          <w:sz w:val="32"/>
          <w:szCs w:val="32"/>
          <w:highlight w:val="none"/>
        </w:rPr>
      </w:pPr>
    </w:p>
    <w:p>
      <w:pPr>
        <w:wordWrap w:val="0"/>
        <w:topLinePunct/>
        <w:spacing w:line="480" w:lineRule="auto"/>
        <w:jc w:val="center"/>
        <w:rPr>
          <w:rFonts w:hAnsi="宋体"/>
          <w:b/>
          <w:bCs/>
          <w:sz w:val="36"/>
          <w:szCs w:val="36"/>
          <w:highlight w:val="none"/>
        </w:rPr>
      </w:pPr>
    </w:p>
    <w:p>
      <w:pPr>
        <w:wordWrap w:val="0"/>
        <w:topLinePunct/>
        <w:spacing w:line="480" w:lineRule="auto"/>
        <w:jc w:val="center"/>
        <w:rPr>
          <w:rFonts w:hAnsi="宋体"/>
          <w:b/>
          <w:bCs/>
          <w:sz w:val="36"/>
          <w:szCs w:val="36"/>
          <w:highlight w:val="none"/>
        </w:rPr>
      </w:pPr>
    </w:p>
    <w:p>
      <w:pPr>
        <w:tabs>
          <w:tab w:val="left" w:pos="2450"/>
          <w:tab w:val="center" w:pos="4934"/>
        </w:tabs>
        <w:wordWrap w:val="0"/>
        <w:topLinePunct/>
        <w:spacing w:line="480" w:lineRule="auto"/>
        <w:ind w:left="2040" w:leftChars="600"/>
        <w:jc w:val="left"/>
        <w:rPr>
          <w:rFonts w:hAnsi="宋体"/>
          <w:b/>
          <w:bCs/>
          <w:sz w:val="36"/>
          <w:szCs w:val="36"/>
          <w:highlight w:val="none"/>
        </w:rPr>
      </w:pPr>
      <w:r>
        <w:rPr>
          <w:rFonts w:hint="eastAsia" w:hAnsi="宋体"/>
          <w:b/>
          <w:bCs/>
          <w:sz w:val="36"/>
          <w:szCs w:val="36"/>
          <w:highlight w:val="none"/>
        </w:rPr>
        <w:t>项目名称：________________</w:t>
      </w:r>
    </w:p>
    <w:p>
      <w:pPr>
        <w:wordWrap w:val="0"/>
        <w:topLinePunct/>
        <w:spacing w:line="480" w:lineRule="auto"/>
        <w:ind w:left="2040" w:leftChars="600"/>
        <w:rPr>
          <w:rFonts w:hAnsi="宋体"/>
          <w:b/>
          <w:bCs/>
          <w:sz w:val="36"/>
          <w:szCs w:val="36"/>
          <w:highlight w:val="none"/>
        </w:rPr>
      </w:pPr>
      <w:r>
        <w:rPr>
          <w:rFonts w:hint="eastAsia" w:hAnsi="宋体"/>
          <w:b/>
          <w:bCs/>
          <w:sz w:val="36"/>
          <w:szCs w:val="36"/>
          <w:highlight w:val="none"/>
        </w:rPr>
        <w:t>项目编号：________________</w:t>
      </w:r>
    </w:p>
    <w:p>
      <w:pPr>
        <w:wordWrap w:val="0"/>
        <w:topLinePunct/>
        <w:spacing w:line="480" w:lineRule="auto"/>
        <w:ind w:left="2040" w:leftChars="600"/>
        <w:rPr>
          <w:rFonts w:hAnsi="宋体"/>
          <w:b/>
          <w:bCs/>
          <w:sz w:val="36"/>
          <w:szCs w:val="36"/>
          <w:highlight w:val="none"/>
          <w:u w:val="single"/>
        </w:rPr>
      </w:pPr>
      <w:r>
        <w:rPr>
          <w:rFonts w:hint="eastAsia" w:hAnsi="宋体"/>
          <w:b/>
          <w:bCs/>
          <w:sz w:val="36"/>
          <w:szCs w:val="36"/>
          <w:highlight w:val="none"/>
        </w:rPr>
        <w:t>供应商名称：</w:t>
      </w:r>
      <w:r>
        <w:rPr>
          <w:rFonts w:hint="eastAsia" w:hAnsi="宋体"/>
          <w:b/>
          <w:bCs/>
          <w:sz w:val="36"/>
          <w:szCs w:val="36"/>
          <w:highlight w:val="none"/>
          <w:u w:val="single"/>
        </w:rPr>
        <w:t xml:space="preserve">               </w:t>
      </w:r>
    </w:p>
    <w:p>
      <w:pPr>
        <w:wordWrap w:val="0"/>
        <w:topLinePunct/>
        <w:spacing w:line="480" w:lineRule="auto"/>
        <w:ind w:left="2040" w:leftChars="600"/>
        <w:rPr>
          <w:rFonts w:hAnsi="宋体"/>
          <w:b/>
          <w:bCs/>
          <w:sz w:val="32"/>
          <w:szCs w:val="32"/>
          <w:highlight w:val="none"/>
        </w:rPr>
      </w:pPr>
      <w:r>
        <w:rPr>
          <w:rFonts w:hint="eastAsia" w:hAnsi="宋体"/>
          <w:b/>
          <w:bCs/>
          <w:sz w:val="36"/>
          <w:szCs w:val="36"/>
          <w:highlight w:val="none"/>
        </w:rPr>
        <w:t>协商日期：</w:t>
      </w:r>
      <w:r>
        <w:rPr>
          <w:rFonts w:hint="eastAsia" w:hAnsi="宋体"/>
          <w:b/>
          <w:bCs/>
          <w:sz w:val="36"/>
          <w:szCs w:val="36"/>
          <w:highlight w:val="none"/>
          <w:u w:val="single"/>
        </w:rPr>
        <w:t xml:space="preserve">     </w:t>
      </w:r>
      <w:r>
        <w:rPr>
          <w:rFonts w:hint="eastAsia" w:hAnsi="宋体"/>
          <w:b/>
          <w:bCs/>
          <w:sz w:val="36"/>
          <w:szCs w:val="36"/>
          <w:highlight w:val="none"/>
        </w:rPr>
        <w:t>年</w:t>
      </w:r>
      <w:r>
        <w:rPr>
          <w:rFonts w:hint="eastAsia" w:hAnsi="宋体"/>
          <w:b/>
          <w:bCs/>
          <w:sz w:val="36"/>
          <w:szCs w:val="36"/>
          <w:highlight w:val="none"/>
          <w:u w:val="single"/>
        </w:rPr>
        <w:t xml:space="preserve">   </w:t>
      </w:r>
      <w:r>
        <w:rPr>
          <w:rFonts w:hint="eastAsia" w:hAnsi="宋体"/>
          <w:b/>
          <w:bCs/>
          <w:sz w:val="36"/>
          <w:szCs w:val="36"/>
          <w:highlight w:val="none"/>
        </w:rPr>
        <w:t>月</w:t>
      </w:r>
      <w:r>
        <w:rPr>
          <w:rFonts w:hint="eastAsia" w:hAnsi="宋体"/>
          <w:b/>
          <w:bCs/>
          <w:sz w:val="36"/>
          <w:szCs w:val="36"/>
          <w:highlight w:val="none"/>
          <w:u w:val="single"/>
        </w:rPr>
        <w:t xml:space="preserve">   </w:t>
      </w:r>
      <w:r>
        <w:rPr>
          <w:rFonts w:hint="eastAsia" w:hAnsi="宋体"/>
          <w:b/>
          <w:bCs/>
          <w:sz w:val="36"/>
          <w:szCs w:val="36"/>
          <w:highlight w:val="none"/>
        </w:rPr>
        <w:t>日</w:t>
      </w:r>
    </w:p>
    <w:p>
      <w:pPr>
        <w:wordWrap w:val="0"/>
        <w:topLinePunct/>
        <w:ind w:left="2710"/>
        <w:rPr>
          <w:rFonts w:hAnsi="宋体"/>
          <w:b/>
          <w:bCs/>
          <w:spacing w:val="8"/>
          <w:sz w:val="44"/>
          <w:szCs w:val="44"/>
          <w:highlight w:val="none"/>
        </w:rPr>
        <w:sectPr>
          <w:pgSz w:w="11907" w:h="16840"/>
          <w:pgMar w:top="1440" w:right="1083" w:bottom="1440" w:left="1083" w:header="471" w:footer="992" w:gutter="0"/>
          <w:cols w:space="0" w:num="1"/>
          <w:titlePg/>
        </w:sectPr>
      </w:pPr>
    </w:p>
    <w:p>
      <w:pPr>
        <w:pStyle w:val="45"/>
        <w:spacing w:before="120" w:beforeLines="50" w:after="120" w:afterLines="50"/>
        <w:ind w:firstLine="562"/>
        <w:jc w:val="center"/>
        <w:rPr>
          <w:sz w:val="28"/>
          <w:szCs w:val="28"/>
          <w:highlight w:val="none"/>
        </w:rPr>
      </w:pPr>
      <w:bookmarkStart w:id="231" w:name="_Toc22574"/>
      <w:bookmarkStart w:id="232" w:name="_Toc14691"/>
      <w:bookmarkStart w:id="233" w:name="_Toc31751"/>
      <w:bookmarkStart w:id="234" w:name="_Toc24631"/>
      <w:bookmarkStart w:id="235" w:name="_Toc18784"/>
      <w:bookmarkStart w:id="236" w:name="_Toc13474"/>
      <w:bookmarkStart w:id="237" w:name="_Toc21375"/>
      <w:bookmarkStart w:id="238" w:name="_Toc26265"/>
      <w:bookmarkStart w:id="239" w:name="_Toc23110"/>
      <w:bookmarkStart w:id="240" w:name="_Toc265"/>
      <w:bookmarkStart w:id="241" w:name="_Toc13192"/>
      <w:bookmarkStart w:id="242" w:name="_Toc5777"/>
      <w:bookmarkStart w:id="243" w:name="_Toc21577"/>
      <w:r>
        <w:rPr>
          <w:rFonts w:hint="eastAsia"/>
          <w:sz w:val="28"/>
          <w:szCs w:val="28"/>
          <w:highlight w:val="none"/>
        </w:rPr>
        <w:t>一、报价表</w:t>
      </w:r>
      <w:bookmarkEnd w:id="231"/>
      <w:bookmarkEnd w:id="232"/>
      <w:bookmarkEnd w:id="233"/>
      <w:bookmarkEnd w:id="234"/>
      <w:bookmarkEnd w:id="235"/>
      <w:bookmarkEnd w:id="236"/>
      <w:bookmarkEnd w:id="237"/>
      <w:bookmarkEnd w:id="238"/>
      <w:bookmarkEnd w:id="239"/>
      <w:bookmarkEnd w:id="240"/>
      <w:bookmarkEnd w:id="241"/>
      <w:r>
        <w:rPr>
          <w:rFonts w:hint="eastAsia"/>
          <w:sz w:val="28"/>
          <w:szCs w:val="28"/>
          <w:highlight w:val="none"/>
        </w:rPr>
        <w:t>/最后报价表</w:t>
      </w:r>
      <w:bookmarkEnd w:id="242"/>
      <w:bookmarkEnd w:id="243"/>
    </w:p>
    <w:p>
      <w:pPr>
        <w:wordWrap w:val="0"/>
        <w:topLinePunct/>
        <w:spacing w:line="360" w:lineRule="auto"/>
        <w:rPr>
          <w:rFonts w:hAnsi="宋体"/>
          <w:sz w:val="24"/>
          <w:szCs w:val="24"/>
          <w:highlight w:val="none"/>
        </w:rPr>
      </w:pPr>
      <w:r>
        <w:rPr>
          <w:rFonts w:hint="eastAsia" w:hAnsi="宋体"/>
          <w:sz w:val="24"/>
          <w:szCs w:val="24"/>
          <w:highlight w:val="none"/>
        </w:rPr>
        <w:t>项目编号：</w:t>
      </w:r>
      <w:r>
        <w:rPr>
          <w:rFonts w:hint="eastAsia" w:hAnsi="宋体"/>
          <w:sz w:val="24"/>
          <w:szCs w:val="24"/>
          <w:highlight w:val="none"/>
          <w:u w:val="single"/>
        </w:rPr>
        <w:t xml:space="preserve">                </w:t>
      </w:r>
    </w:p>
    <w:p>
      <w:pPr>
        <w:wordWrap w:val="0"/>
        <w:topLinePunct/>
        <w:spacing w:line="360" w:lineRule="auto"/>
        <w:rPr>
          <w:rFonts w:hAnsi="宋体"/>
          <w:sz w:val="24"/>
          <w:szCs w:val="24"/>
          <w:highlight w:val="none"/>
          <w:u w:val="single"/>
        </w:rPr>
      </w:pPr>
      <w:r>
        <w:rPr>
          <w:rFonts w:hint="eastAsia" w:hAnsi="宋体"/>
          <w:sz w:val="24"/>
          <w:szCs w:val="24"/>
          <w:highlight w:val="none"/>
        </w:rPr>
        <w:t>项目名称：</w:t>
      </w:r>
      <w:r>
        <w:rPr>
          <w:rFonts w:hint="eastAsia" w:hAnsi="宋体"/>
          <w:sz w:val="24"/>
          <w:szCs w:val="24"/>
          <w:highlight w:val="none"/>
          <w:u w:val="single"/>
        </w:rPr>
        <w:t xml:space="preserve">                </w:t>
      </w:r>
      <w:r>
        <w:rPr>
          <w:rFonts w:hint="eastAsia" w:hAnsi="宋体"/>
          <w:sz w:val="24"/>
          <w:szCs w:val="24"/>
          <w:highlight w:val="none"/>
        </w:rPr>
        <w:t xml:space="preserve">                                            </w:t>
      </w:r>
    </w:p>
    <w:tbl>
      <w:tblPr>
        <w:tblStyle w:val="2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526"/>
        <w:gridCol w:w="2633"/>
        <w:gridCol w:w="2584"/>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blHeader/>
          <w:jc w:val="center"/>
        </w:trPr>
        <w:tc>
          <w:tcPr>
            <w:tcW w:w="810" w:type="dxa"/>
            <w:shd w:val="clear" w:color="auto" w:fill="FFFFFF"/>
            <w:vAlign w:val="center"/>
          </w:tcPr>
          <w:p>
            <w:pPr>
              <w:wordWrap w:val="0"/>
              <w:topLinePunct/>
              <w:spacing w:line="320" w:lineRule="exact"/>
              <w:jc w:val="center"/>
              <w:rPr>
                <w:rFonts w:hAnsi="宋体"/>
                <w:sz w:val="21"/>
                <w:szCs w:val="21"/>
                <w:highlight w:val="none"/>
              </w:rPr>
            </w:pPr>
            <w:r>
              <w:rPr>
                <w:rFonts w:hint="eastAsia" w:hAnsi="宋体"/>
                <w:sz w:val="21"/>
                <w:szCs w:val="21"/>
                <w:highlight w:val="none"/>
              </w:rPr>
              <w:t>序号</w:t>
            </w:r>
          </w:p>
        </w:tc>
        <w:tc>
          <w:tcPr>
            <w:tcW w:w="2526" w:type="dxa"/>
            <w:shd w:val="clear" w:color="auto" w:fill="FFFFFF"/>
            <w:vAlign w:val="center"/>
          </w:tcPr>
          <w:p>
            <w:pPr>
              <w:wordWrap w:val="0"/>
              <w:topLinePunct/>
              <w:spacing w:line="320" w:lineRule="exact"/>
              <w:jc w:val="center"/>
              <w:rPr>
                <w:rFonts w:hAnsi="宋体"/>
                <w:sz w:val="21"/>
                <w:szCs w:val="21"/>
                <w:highlight w:val="none"/>
              </w:rPr>
            </w:pPr>
            <w:r>
              <w:rPr>
                <w:rFonts w:hint="eastAsia" w:hAnsi="宋体"/>
                <w:sz w:val="21"/>
                <w:szCs w:val="21"/>
                <w:highlight w:val="none"/>
              </w:rPr>
              <w:t>采购内容</w:t>
            </w:r>
          </w:p>
        </w:tc>
        <w:tc>
          <w:tcPr>
            <w:tcW w:w="2633" w:type="dxa"/>
            <w:shd w:val="clear" w:color="auto" w:fill="FFFFFF"/>
            <w:vAlign w:val="center"/>
          </w:tcPr>
          <w:p>
            <w:pPr>
              <w:wordWrap w:val="0"/>
              <w:topLinePunct/>
              <w:spacing w:line="320" w:lineRule="exact"/>
              <w:jc w:val="center"/>
              <w:rPr>
                <w:rFonts w:hAnsi="宋体"/>
                <w:sz w:val="21"/>
                <w:szCs w:val="21"/>
                <w:highlight w:val="none"/>
              </w:rPr>
            </w:pPr>
            <w:r>
              <w:rPr>
                <w:rFonts w:hint="eastAsia" w:hAnsi="宋体"/>
                <w:sz w:val="21"/>
                <w:szCs w:val="21"/>
                <w:highlight w:val="none"/>
              </w:rPr>
              <w:t>报价(元)</w:t>
            </w:r>
          </w:p>
        </w:tc>
        <w:tc>
          <w:tcPr>
            <w:tcW w:w="2584" w:type="dxa"/>
            <w:shd w:val="clear" w:color="auto" w:fill="FFFFFF"/>
            <w:vAlign w:val="center"/>
          </w:tcPr>
          <w:p>
            <w:pPr>
              <w:wordWrap w:val="0"/>
              <w:topLinePunct/>
              <w:spacing w:line="320" w:lineRule="exact"/>
              <w:jc w:val="center"/>
              <w:rPr>
                <w:rFonts w:hAnsi="宋体"/>
                <w:sz w:val="21"/>
                <w:szCs w:val="21"/>
                <w:highlight w:val="none"/>
              </w:rPr>
            </w:pPr>
            <w:r>
              <w:rPr>
                <w:rFonts w:hint="eastAsia" w:hAnsi="宋体"/>
                <w:sz w:val="21"/>
                <w:szCs w:val="21"/>
                <w:highlight w:val="none"/>
              </w:rPr>
              <w:t>履约时间</w:t>
            </w:r>
          </w:p>
        </w:tc>
        <w:tc>
          <w:tcPr>
            <w:tcW w:w="1046" w:type="dxa"/>
            <w:shd w:val="clear" w:color="auto" w:fill="FFFFFF"/>
            <w:vAlign w:val="center"/>
          </w:tcPr>
          <w:p>
            <w:pPr>
              <w:wordWrap w:val="0"/>
              <w:topLinePunct/>
              <w:spacing w:line="320" w:lineRule="exact"/>
              <w:jc w:val="center"/>
              <w:rPr>
                <w:rFonts w:hAnsi="宋体"/>
                <w:sz w:val="21"/>
                <w:szCs w:val="21"/>
                <w:highlight w:val="none"/>
              </w:rPr>
            </w:pPr>
            <w:r>
              <w:rPr>
                <w:rFonts w:hint="eastAsia" w:hAns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810" w:type="dxa"/>
            <w:vAlign w:val="center"/>
          </w:tcPr>
          <w:p>
            <w:pPr>
              <w:wordWrap w:val="0"/>
              <w:topLinePunct/>
              <w:spacing w:line="360" w:lineRule="exact"/>
              <w:jc w:val="center"/>
              <w:rPr>
                <w:rFonts w:hAnsi="宋体"/>
                <w:sz w:val="21"/>
                <w:szCs w:val="21"/>
                <w:highlight w:val="none"/>
              </w:rPr>
            </w:pPr>
            <w:r>
              <w:rPr>
                <w:rFonts w:hint="eastAsia" w:hAnsi="宋体"/>
                <w:sz w:val="21"/>
                <w:szCs w:val="21"/>
                <w:highlight w:val="none"/>
              </w:rPr>
              <w:t>1</w:t>
            </w:r>
          </w:p>
        </w:tc>
        <w:tc>
          <w:tcPr>
            <w:tcW w:w="2526" w:type="dxa"/>
            <w:shd w:val="clear" w:color="auto" w:fill="FFFFFF"/>
            <w:vAlign w:val="center"/>
          </w:tcPr>
          <w:p>
            <w:pPr>
              <w:wordWrap w:val="0"/>
              <w:topLinePunct/>
              <w:spacing w:line="440" w:lineRule="exact"/>
              <w:jc w:val="center"/>
              <w:rPr>
                <w:rFonts w:hAnsi="宋体"/>
                <w:sz w:val="21"/>
                <w:szCs w:val="21"/>
                <w:highlight w:val="none"/>
              </w:rPr>
            </w:pPr>
          </w:p>
        </w:tc>
        <w:tc>
          <w:tcPr>
            <w:tcW w:w="2633" w:type="dxa"/>
            <w:shd w:val="clear" w:color="auto" w:fill="FFFFFF"/>
            <w:vAlign w:val="center"/>
          </w:tcPr>
          <w:p>
            <w:pPr>
              <w:wordWrap w:val="0"/>
              <w:topLinePunct/>
              <w:spacing w:line="360" w:lineRule="exact"/>
              <w:jc w:val="center"/>
              <w:rPr>
                <w:rFonts w:hAnsi="宋体"/>
                <w:sz w:val="21"/>
                <w:szCs w:val="21"/>
                <w:highlight w:val="none"/>
              </w:rPr>
            </w:pPr>
          </w:p>
        </w:tc>
        <w:tc>
          <w:tcPr>
            <w:tcW w:w="2584" w:type="dxa"/>
            <w:shd w:val="clear" w:color="auto" w:fill="FFFFFF"/>
            <w:vAlign w:val="center"/>
          </w:tcPr>
          <w:p>
            <w:pPr>
              <w:wordWrap w:val="0"/>
              <w:topLinePunct/>
              <w:spacing w:line="360" w:lineRule="exact"/>
              <w:jc w:val="left"/>
              <w:rPr>
                <w:rFonts w:hAnsi="宋体"/>
                <w:sz w:val="21"/>
                <w:szCs w:val="21"/>
                <w:highlight w:val="none"/>
              </w:rPr>
            </w:pPr>
          </w:p>
        </w:tc>
        <w:tc>
          <w:tcPr>
            <w:tcW w:w="1046" w:type="dxa"/>
            <w:shd w:val="clear" w:color="auto" w:fill="FFFFFF"/>
            <w:vAlign w:val="center"/>
          </w:tcPr>
          <w:p>
            <w:pPr>
              <w:wordWrap w:val="0"/>
              <w:topLinePunct/>
              <w:spacing w:line="3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9599" w:type="dxa"/>
            <w:gridSpan w:val="5"/>
            <w:vAlign w:val="center"/>
          </w:tcPr>
          <w:p>
            <w:pPr>
              <w:wordWrap w:val="0"/>
              <w:topLinePunct/>
              <w:jc w:val="left"/>
              <w:rPr>
                <w:rFonts w:hAnsi="宋体"/>
                <w:sz w:val="21"/>
                <w:szCs w:val="21"/>
                <w:highlight w:val="none"/>
              </w:rPr>
            </w:pPr>
            <w:r>
              <w:rPr>
                <w:rFonts w:hint="eastAsia" w:hAnsi="宋体"/>
                <w:sz w:val="21"/>
                <w:szCs w:val="21"/>
                <w:highlight w:val="none"/>
              </w:rPr>
              <w:t xml:space="preserve">大写(人民币)：       </w:t>
            </w:r>
          </w:p>
        </w:tc>
      </w:tr>
    </w:tbl>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注：①报价是供应商完成本项目全部工作内容的费用，包含完成本项目所涉及人员劳务、差旅、设备投入、耗材、发刊、保险、风险、税金、利润、招标代理服务费以及单一来源文件规定的一切费用；</w:t>
      </w: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②此表由代理机构现场提供，响应文件中不提供。</w:t>
      </w:r>
    </w:p>
    <w:p>
      <w:pPr>
        <w:wordWrap w:val="0"/>
        <w:topLinePunct/>
        <w:snapToGrid w:val="0"/>
        <w:spacing w:after="156" w:line="440" w:lineRule="atLeast"/>
        <w:jc w:val="left"/>
        <w:rPr>
          <w:rFonts w:hAnsi="宋体"/>
          <w:sz w:val="24"/>
          <w:szCs w:val="24"/>
          <w:highlight w:val="none"/>
        </w:rPr>
      </w:pPr>
    </w:p>
    <w:p>
      <w:pPr>
        <w:wordWrap w:val="0"/>
        <w:topLinePunct/>
        <w:snapToGrid w:val="0"/>
        <w:spacing w:after="156" w:line="440" w:lineRule="atLeast"/>
        <w:jc w:val="left"/>
        <w:rPr>
          <w:rFonts w:hAnsi="宋体"/>
          <w:sz w:val="24"/>
          <w:szCs w:val="24"/>
          <w:highlight w:val="none"/>
        </w:rPr>
      </w:pPr>
    </w:p>
    <w:p>
      <w:pPr>
        <w:wordWrap w:val="0"/>
        <w:topLinePunct/>
        <w:snapToGrid w:val="0"/>
        <w:spacing w:after="156" w:line="440" w:lineRule="atLeast"/>
        <w:jc w:val="left"/>
        <w:rPr>
          <w:rFonts w:hAnsi="宋体"/>
          <w:sz w:val="24"/>
          <w:szCs w:val="24"/>
          <w:highlight w:val="none"/>
        </w:rPr>
      </w:pPr>
    </w:p>
    <w:p>
      <w:pPr>
        <w:wordWrap w:val="0"/>
        <w:topLinePunct/>
        <w:snapToGrid w:val="0"/>
        <w:spacing w:after="156" w:line="440" w:lineRule="atLeast"/>
        <w:jc w:val="left"/>
        <w:rPr>
          <w:rFonts w:hAnsi="宋体"/>
          <w:sz w:val="24"/>
          <w:szCs w:val="24"/>
          <w:highlight w:val="none"/>
        </w:rPr>
      </w:pPr>
    </w:p>
    <w:p>
      <w:pPr>
        <w:wordWrap w:val="0"/>
        <w:topLinePunct/>
        <w:snapToGrid w:val="0"/>
        <w:spacing w:after="156" w:line="440" w:lineRule="atLeast"/>
        <w:ind w:firstLine="679" w:firstLineChars="283"/>
        <w:jc w:val="left"/>
        <w:rPr>
          <w:rFonts w:hAnsi="宋体"/>
          <w:sz w:val="24"/>
          <w:szCs w:val="24"/>
          <w:highlight w:val="none"/>
          <w:u w:val="single"/>
        </w:rPr>
      </w:pPr>
      <w:r>
        <w:rPr>
          <w:rFonts w:hint="eastAsia" w:hAnsi="宋体"/>
          <w:sz w:val="24"/>
          <w:szCs w:val="24"/>
          <w:highlight w:val="none"/>
        </w:rPr>
        <w:t>供应商名称：</w:t>
      </w:r>
      <w:r>
        <w:rPr>
          <w:rFonts w:hint="eastAsia" w:hAnsi="宋体"/>
          <w:sz w:val="24"/>
          <w:szCs w:val="24"/>
          <w:highlight w:val="none"/>
          <w:u w:val="single"/>
        </w:rPr>
        <w:t xml:space="preserve">                          </w:t>
      </w:r>
    </w:p>
    <w:p>
      <w:pPr>
        <w:wordWrap w:val="0"/>
        <w:topLinePunct/>
        <w:spacing w:before="60" w:after="156" w:line="440" w:lineRule="atLeast"/>
        <w:ind w:firstLine="679" w:firstLineChars="283"/>
        <w:rPr>
          <w:rFonts w:hAnsi="宋体"/>
          <w:sz w:val="24"/>
          <w:szCs w:val="24"/>
          <w:highlight w:val="none"/>
          <w:u w:val="single"/>
        </w:rPr>
      </w:pPr>
      <w:r>
        <w:rPr>
          <w:rFonts w:hint="eastAsia" w:hAnsi="宋体"/>
          <w:sz w:val="24"/>
          <w:szCs w:val="24"/>
          <w:highlight w:val="none"/>
        </w:rPr>
        <w:t>法定代表人/单位负责人(签字或盖章)或授权代表(签字)：</w:t>
      </w:r>
      <w:r>
        <w:rPr>
          <w:rFonts w:hint="eastAsia" w:hAnsi="宋体"/>
          <w:sz w:val="24"/>
          <w:szCs w:val="24"/>
          <w:highlight w:val="none"/>
          <w:u w:val="single"/>
        </w:rPr>
        <w:t xml:space="preserve">              </w:t>
      </w:r>
    </w:p>
    <w:p>
      <w:pPr>
        <w:wordWrap w:val="0"/>
        <w:topLinePunct/>
        <w:spacing w:before="60" w:after="156" w:line="440" w:lineRule="atLeast"/>
        <w:ind w:firstLine="679" w:firstLineChars="283"/>
        <w:rPr>
          <w:rFonts w:hAnsi="宋体"/>
          <w:sz w:val="24"/>
          <w:szCs w:val="24"/>
          <w:highlight w:val="none"/>
        </w:rPr>
      </w:pPr>
      <w:r>
        <w:rPr>
          <w:rFonts w:hint="eastAsia" w:hAnsi="宋体"/>
          <w:sz w:val="24"/>
          <w:szCs w:val="24"/>
          <w:highlight w:val="none"/>
        </w:rPr>
        <w:t>协商日期：</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日</w:t>
      </w:r>
    </w:p>
    <w:p>
      <w:pPr>
        <w:wordWrap w:val="0"/>
        <w:topLinePunct/>
        <w:spacing w:before="60" w:after="156" w:line="440" w:lineRule="atLeast"/>
        <w:ind w:firstLine="360" w:firstLineChars="150"/>
        <w:rPr>
          <w:rFonts w:hAnsi="宋体"/>
          <w:sz w:val="24"/>
          <w:szCs w:val="24"/>
          <w:highlight w:val="none"/>
        </w:rPr>
      </w:pPr>
    </w:p>
    <w:p>
      <w:pPr>
        <w:wordWrap w:val="0"/>
        <w:topLinePunct/>
        <w:rPr>
          <w:rFonts w:hAnsi="宋体"/>
          <w:b/>
          <w:bCs/>
          <w:spacing w:val="8"/>
          <w:sz w:val="44"/>
          <w:szCs w:val="44"/>
          <w:highlight w:val="none"/>
        </w:rPr>
      </w:pPr>
    </w:p>
    <w:p>
      <w:pPr>
        <w:wordWrap w:val="0"/>
        <w:topLinePunct/>
        <w:ind w:left="2710"/>
        <w:rPr>
          <w:rFonts w:hAnsi="宋体"/>
          <w:b/>
          <w:bCs/>
          <w:spacing w:val="8"/>
          <w:sz w:val="44"/>
          <w:szCs w:val="44"/>
          <w:highlight w:val="none"/>
        </w:rPr>
      </w:pPr>
    </w:p>
    <w:p>
      <w:pPr>
        <w:pStyle w:val="5"/>
        <w:wordWrap w:val="0"/>
        <w:topLinePunct/>
        <w:spacing w:line="440" w:lineRule="exact"/>
        <w:jc w:val="center"/>
        <w:rPr>
          <w:rFonts w:ascii="宋体" w:hAnsi="宋体" w:eastAsia="宋体" w:cs="宋体"/>
          <w:b/>
          <w:sz w:val="28"/>
          <w:szCs w:val="28"/>
          <w:highlight w:val="none"/>
        </w:rPr>
      </w:pPr>
      <w:bookmarkStart w:id="244" w:name="_Toc20108"/>
      <w:bookmarkStart w:id="245" w:name="_Toc28079"/>
      <w:bookmarkStart w:id="246" w:name="_Toc388517350"/>
      <w:r>
        <w:rPr>
          <w:rFonts w:hint="eastAsia" w:ascii="宋体" w:hAnsi="宋体" w:eastAsia="宋体" w:cs="宋体"/>
          <w:highlight w:val="none"/>
        </w:rPr>
        <w:br w:type="page"/>
      </w:r>
      <w:bookmarkStart w:id="247" w:name="_Toc12870"/>
      <w:bookmarkStart w:id="248" w:name="_Toc6665"/>
      <w:bookmarkStart w:id="249" w:name="_Toc3515"/>
      <w:bookmarkStart w:id="250" w:name="_Toc21581"/>
      <w:bookmarkStart w:id="251" w:name="_Toc20815"/>
      <w:bookmarkStart w:id="252" w:name="_Toc16110"/>
      <w:bookmarkStart w:id="253" w:name="_Toc1594"/>
      <w:bookmarkStart w:id="254" w:name="_Toc25273"/>
      <w:bookmarkStart w:id="255" w:name="_Toc4366"/>
      <w:bookmarkStart w:id="256" w:name="_Toc12769"/>
      <w:bookmarkStart w:id="257" w:name="_Toc21067"/>
      <w:r>
        <w:rPr>
          <w:rFonts w:hint="eastAsia" w:ascii="宋体" w:hAnsi="宋体" w:eastAsia="宋体" w:cs="宋体"/>
          <w:b/>
          <w:sz w:val="28"/>
          <w:szCs w:val="28"/>
          <w:highlight w:val="none"/>
        </w:rPr>
        <w:t>二、法定代表人/单位负责人授权书</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wordWrap w:val="0"/>
        <w:topLinePunct/>
        <w:spacing w:line="440" w:lineRule="exact"/>
        <w:rPr>
          <w:rFonts w:hAnsi="宋体"/>
          <w:sz w:val="24"/>
          <w:szCs w:val="24"/>
          <w:highlight w:val="none"/>
        </w:rPr>
      </w:pPr>
      <w:r>
        <w:rPr>
          <w:rFonts w:hint="eastAsia" w:hAnsi="宋体"/>
          <w:sz w:val="24"/>
          <w:szCs w:val="24"/>
          <w:highlight w:val="none"/>
          <w:u w:val="single"/>
        </w:rPr>
        <w:t xml:space="preserve">                    </w:t>
      </w:r>
      <w:r>
        <w:rPr>
          <w:rFonts w:hint="eastAsia" w:hAnsi="宋体"/>
          <w:sz w:val="24"/>
          <w:szCs w:val="24"/>
          <w:highlight w:val="none"/>
        </w:rPr>
        <w:t>(代理机构)：</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本授权声明：</w:t>
      </w:r>
      <w:r>
        <w:rPr>
          <w:rFonts w:hint="eastAsia" w:hAnsi="宋体"/>
          <w:sz w:val="24"/>
          <w:szCs w:val="24"/>
          <w:highlight w:val="none"/>
          <w:u w:val="single"/>
        </w:rPr>
        <w:t xml:space="preserve">                     </w:t>
      </w:r>
      <w:r>
        <w:rPr>
          <w:rFonts w:hint="eastAsia" w:hAnsi="宋体"/>
          <w:sz w:val="24"/>
          <w:szCs w:val="24"/>
          <w:highlight w:val="none"/>
        </w:rPr>
        <w:t>(供应商名称)</w:t>
      </w:r>
      <w:r>
        <w:rPr>
          <w:rFonts w:hint="eastAsia" w:hAnsi="宋体"/>
          <w:sz w:val="24"/>
          <w:szCs w:val="24"/>
          <w:highlight w:val="none"/>
          <w:u w:val="single"/>
        </w:rPr>
        <w:t xml:space="preserve">          </w:t>
      </w:r>
      <w:r>
        <w:rPr>
          <w:rFonts w:hint="eastAsia" w:hAnsi="宋体"/>
          <w:sz w:val="24"/>
          <w:szCs w:val="24"/>
          <w:highlight w:val="none"/>
        </w:rPr>
        <w:t>(法定代表人/单位负责人姓名、职务)授权</w:t>
      </w:r>
      <w:r>
        <w:rPr>
          <w:rFonts w:hint="eastAsia" w:hAnsi="宋体"/>
          <w:sz w:val="24"/>
          <w:szCs w:val="24"/>
          <w:highlight w:val="none"/>
          <w:u w:val="single"/>
        </w:rPr>
        <w:t xml:space="preserve">                        </w:t>
      </w:r>
      <w:r>
        <w:rPr>
          <w:rFonts w:hint="eastAsia" w:hAnsi="宋体"/>
          <w:sz w:val="24"/>
          <w:szCs w:val="24"/>
          <w:highlight w:val="none"/>
        </w:rPr>
        <w:t>(授权代表姓名、职务)为我方“</w:t>
      </w:r>
      <w:r>
        <w:rPr>
          <w:rFonts w:hint="eastAsia" w:hAnsi="宋体"/>
          <w:sz w:val="24"/>
          <w:szCs w:val="24"/>
          <w:highlight w:val="none"/>
          <w:u w:val="single"/>
        </w:rPr>
        <w:t xml:space="preserve">              </w:t>
      </w:r>
      <w:r>
        <w:rPr>
          <w:rFonts w:hint="eastAsia" w:hAnsi="宋体"/>
          <w:sz w:val="24"/>
          <w:szCs w:val="24"/>
          <w:highlight w:val="none"/>
        </w:rPr>
        <w:t>(项目名称)”(项目编号：</w:t>
      </w:r>
      <w:r>
        <w:rPr>
          <w:rFonts w:hint="eastAsia" w:hAnsi="宋体"/>
          <w:sz w:val="24"/>
          <w:szCs w:val="24"/>
          <w:highlight w:val="none"/>
          <w:u w:val="single"/>
        </w:rPr>
        <w:t xml:space="preserve">             </w:t>
      </w:r>
      <w:r>
        <w:rPr>
          <w:rFonts w:hint="eastAsia" w:hAnsi="宋体"/>
          <w:sz w:val="24"/>
          <w:szCs w:val="24"/>
          <w:highlight w:val="none"/>
        </w:rPr>
        <w:t>)采购项目活动的授权代表，以我方名义全权处理该项目的单一来源协商过程、签署合同、合同的执行等处理与之相关的一切事宜。授权代表在本次采购中所签署的一切文件和处理的一切有关事宜，我单位均予承认，所产生的法律后果均由我单位承担。</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特此声明。</w:t>
      </w: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附：法定代表人/单位负责人和授权代表身份证正反面复印件</w:t>
      </w: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2" w:firstLineChars="200"/>
        <w:jc w:val="center"/>
        <w:rPr>
          <w:rFonts w:hAnsi="宋体"/>
          <w:b/>
          <w:bCs/>
          <w:sz w:val="24"/>
          <w:szCs w:val="24"/>
          <w:highlight w:val="none"/>
        </w:rPr>
      </w:pP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供应商名称(盖章)：</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u w:val="single"/>
        </w:rPr>
      </w:pPr>
      <w:r>
        <w:rPr>
          <w:rFonts w:hint="eastAsia" w:hAnsi="宋体"/>
          <w:sz w:val="24"/>
          <w:szCs w:val="24"/>
          <w:highlight w:val="none"/>
        </w:rPr>
        <w:t>法定代表人/单位负责人(签字或盖章)：</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u w:val="single"/>
        </w:rPr>
      </w:pPr>
      <w:r>
        <w:rPr>
          <w:rFonts w:hint="eastAsia" w:hAnsi="宋体"/>
          <w:sz w:val="24"/>
          <w:szCs w:val="24"/>
          <w:highlight w:val="none"/>
        </w:rPr>
        <w:t>授权代表签字：</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协商日期：</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日</w:t>
      </w: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注：1.法定代表人/单位负责人不亲自参加协商，而授权代表参加协商的适用。</w:t>
      </w: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2.供应商为法人单位时提供“法定代表人授权书”，供应商为其他组织时提供“单位负责人授权书”，供应商为自然人时提供“自然人身份证明材料”。</w:t>
      </w: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3.应附法定代表人/单位负责人身份证明材料复印件和授权代表身份证明材料复印件。</w:t>
      </w: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4.身份证明材料包括居民身份证或户口本或军官证或护照等。</w:t>
      </w: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5.身份证明材料应同时提供其在有效期的材料，如居民身份证正、反面复印件。</w:t>
      </w:r>
    </w:p>
    <w:p>
      <w:pPr>
        <w:wordWrap w:val="0"/>
        <w:topLinePunct/>
        <w:rPr>
          <w:rFonts w:hAnsi="宋体"/>
          <w:highlight w:val="none"/>
        </w:rPr>
      </w:pPr>
    </w:p>
    <w:p>
      <w:pPr>
        <w:wordWrap w:val="0"/>
        <w:topLinePunct/>
        <w:spacing w:line="600" w:lineRule="atLeast"/>
        <w:jc w:val="center"/>
        <w:rPr>
          <w:rFonts w:hAnsi="宋体"/>
          <w:b/>
          <w:bCs/>
          <w:sz w:val="32"/>
          <w:szCs w:val="32"/>
          <w:highlight w:val="none"/>
        </w:rPr>
      </w:pPr>
    </w:p>
    <w:p>
      <w:pPr>
        <w:wordWrap w:val="0"/>
        <w:topLinePunct/>
        <w:jc w:val="center"/>
        <w:rPr>
          <w:rFonts w:hAnsi="宋体"/>
          <w:b/>
          <w:bCs/>
          <w:w w:val="94"/>
          <w:sz w:val="28"/>
          <w:szCs w:val="28"/>
          <w:highlight w:val="none"/>
        </w:rPr>
      </w:pPr>
      <w:bookmarkStart w:id="258" w:name="_Toc26130"/>
      <w:bookmarkStart w:id="259" w:name="_Toc3103"/>
      <w:bookmarkStart w:id="260" w:name="_Toc2382"/>
      <w:bookmarkStart w:id="261" w:name="_Toc5749"/>
      <w:bookmarkStart w:id="262" w:name="_Toc18968"/>
      <w:bookmarkStart w:id="263" w:name="_Toc18642"/>
      <w:bookmarkStart w:id="264" w:name="_Toc8828"/>
      <w:bookmarkStart w:id="265" w:name="_Toc388517351"/>
      <w:bookmarkStart w:id="266" w:name="_Toc22"/>
      <w:bookmarkStart w:id="267" w:name="_Toc22494"/>
      <w:bookmarkStart w:id="268" w:name="_Toc3891"/>
      <w:bookmarkStart w:id="269" w:name="_Toc32653"/>
    </w:p>
    <w:p>
      <w:pPr>
        <w:wordWrap w:val="0"/>
        <w:topLinePunct/>
        <w:spacing w:before="260" w:after="260" w:line="440" w:lineRule="exact"/>
        <w:jc w:val="center"/>
        <w:outlineLvl w:val="1"/>
        <w:rPr>
          <w:rFonts w:hAnsi="宋体"/>
          <w:b/>
          <w:sz w:val="28"/>
          <w:szCs w:val="28"/>
          <w:highlight w:val="none"/>
        </w:rPr>
      </w:pPr>
      <w:r>
        <w:rPr>
          <w:rFonts w:hint="eastAsia" w:hAnsi="宋体"/>
          <w:b/>
          <w:bCs/>
          <w:w w:val="94"/>
          <w:sz w:val="28"/>
          <w:szCs w:val="28"/>
          <w:highlight w:val="none"/>
        </w:rPr>
        <w:br w:type="page"/>
      </w:r>
      <w:bookmarkStart w:id="270" w:name="_Toc11916"/>
      <w:bookmarkStart w:id="271" w:name="_Toc26556"/>
      <w:r>
        <w:rPr>
          <w:rFonts w:hint="eastAsia" w:hAnsi="宋体"/>
          <w:b/>
          <w:sz w:val="28"/>
          <w:szCs w:val="28"/>
          <w:highlight w:val="none"/>
        </w:rPr>
        <w:t>三、法定代表人/单位负责人证明书</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wordWrap w:val="0"/>
        <w:topLinePunct/>
        <w:spacing w:line="440" w:lineRule="exact"/>
        <w:ind w:firstLine="480" w:firstLineChars="200"/>
        <w:jc w:val="left"/>
        <w:rPr>
          <w:rFonts w:hAnsi="宋体"/>
          <w:sz w:val="24"/>
          <w:szCs w:val="24"/>
          <w:highlight w:val="none"/>
          <w:u w:val="single"/>
        </w:rPr>
      </w:pPr>
      <w:r>
        <w:rPr>
          <w:rFonts w:hint="eastAsia" w:hAnsi="宋体"/>
          <w:sz w:val="24"/>
          <w:szCs w:val="24"/>
          <w:highlight w:val="none"/>
        </w:rPr>
        <w:t>单位名称：</w:t>
      </w:r>
      <w:r>
        <w:rPr>
          <w:rFonts w:hint="eastAsia" w:hAnsi="宋体"/>
          <w:sz w:val="24"/>
          <w:szCs w:val="24"/>
          <w:highlight w:val="none"/>
          <w:u w:val="single"/>
        </w:rPr>
        <w:t xml:space="preserve">                            </w:t>
      </w:r>
    </w:p>
    <w:p>
      <w:pPr>
        <w:wordWrap w:val="0"/>
        <w:topLinePunct/>
        <w:spacing w:line="440" w:lineRule="exact"/>
        <w:ind w:firstLine="480" w:firstLineChars="200"/>
        <w:jc w:val="left"/>
        <w:rPr>
          <w:rFonts w:hAnsi="宋体"/>
          <w:sz w:val="24"/>
          <w:szCs w:val="24"/>
          <w:highlight w:val="none"/>
          <w:u w:val="single"/>
        </w:rPr>
      </w:pPr>
      <w:r>
        <w:rPr>
          <w:rFonts w:hint="eastAsia" w:hAnsi="宋体"/>
          <w:sz w:val="24"/>
          <w:szCs w:val="24"/>
          <w:highlight w:val="none"/>
        </w:rPr>
        <w:t>地    址：</w:t>
      </w:r>
      <w:r>
        <w:rPr>
          <w:rFonts w:hint="eastAsia" w:hAnsi="宋体"/>
          <w:sz w:val="24"/>
          <w:szCs w:val="24"/>
          <w:highlight w:val="none"/>
          <w:u w:val="single"/>
        </w:rPr>
        <w:t xml:space="preserve">                            </w:t>
      </w:r>
    </w:p>
    <w:p>
      <w:pPr>
        <w:wordWrap w:val="0"/>
        <w:topLinePunct/>
        <w:spacing w:line="440" w:lineRule="exact"/>
        <w:ind w:firstLine="480" w:firstLineChars="200"/>
        <w:jc w:val="left"/>
        <w:rPr>
          <w:rFonts w:hAnsi="宋体"/>
          <w:sz w:val="24"/>
          <w:szCs w:val="24"/>
          <w:highlight w:val="none"/>
          <w:u w:val="single"/>
        </w:rPr>
      </w:pPr>
      <w:r>
        <w:rPr>
          <w:rFonts w:hint="eastAsia" w:hAnsi="宋体"/>
          <w:sz w:val="24"/>
          <w:szCs w:val="24"/>
          <w:highlight w:val="none"/>
        </w:rPr>
        <w:t>姓    名：</w:t>
      </w:r>
      <w:r>
        <w:rPr>
          <w:rFonts w:hint="eastAsia" w:hAnsi="宋体"/>
          <w:sz w:val="24"/>
          <w:szCs w:val="24"/>
          <w:highlight w:val="none"/>
          <w:u w:val="single"/>
        </w:rPr>
        <w:t xml:space="preserve">         </w:t>
      </w:r>
      <w:r>
        <w:rPr>
          <w:rFonts w:hint="eastAsia" w:hAnsi="宋体"/>
          <w:sz w:val="24"/>
          <w:szCs w:val="24"/>
          <w:highlight w:val="none"/>
        </w:rPr>
        <w:t xml:space="preserve"> 性别：</w:t>
      </w:r>
      <w:r>
        <w:rPr>
          <w:rFonts w:hint="eastAsia" w:hAnsi="宋体"/>
          <w:sz w:val="24"/>
          <w:szCs w:val="24"/>
          <w:highlight w:val="none"/>
          <w:u w:val="single"/>
        </w:rPr>
        <w:t xml:space="preserve">     </w:t>
      </w:r>
      <w:r>
        <w:rPr>
          <w:rFonts w:hint="eastAsia" w:hAnsi="宋体"/>
          <w:sz w:val="24"/>
          <w:szCs w:val="24"/>
          <w:highlight w:val="none"/>
        </w:rPr>
        <w:t>年龄：</w:t>
      </w:r>
      <w:r>
        <w:rPr>
          <w:rFonts w:hint="eastAsia" w:hAnsi="宋体"/>
          <w:sz w:val="24"/>
          <w:szCs w:val="24"/>
          <w:highlight w:val="none"/>
          <w:u w:val="single"/>
        </w:rPr>
        <w:t xml:space="preserve">     </w:t>
      </w:r>
      <w:r>
        <w:rPr>
          <w:rFonts w:hint="eastAsia" w:hAnsi="宋体"/>
          <w:sz w:val="24"/>
          <w:szCs w:val="24"/>
          <w:highlight w:val="none"/>
        </w:rPr>
        <w:t>职务：</w:t>
      </w:r>
      <w:r>
        <w:rPr>
          <w:rFonts w:hint="eastAsia" w:hAnsi="宋体"/>
          <w:sz w:val="24"/>
          <w:szCs w:val="24"/>
          <w:highlight w:val="none"/>
          <w:u w:val="single"/>
        </w:rPr>
        <w:t xml:space="preserve">            </w:t>
      </w: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身份证号：</w:t>
      </w:r>
      <w:r>
        <w:rPr>
          <w:rFonts w:hint="eastAsia" w:hAnsi="宋体"/>
          <w:sz w:val="24"/>
          <w:szCs w:val="24"/>
          <w:highlight w:val="none"/>
          <w:u w:val="single"/>
        </w:rPr>
        <w:t xml:space="preserve">                              </w:t>
      </w: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本人系</w:t>
      </w:r>
      <w:r>
        <w:rPr>
          <w:rFonts w:hint="eastAsia" w:hAnsi="宋体"/>
          <w:sz w:val="24"/>
          <w:szCs w:val="24"/>
          <w:highlight w:val="none"/>
          <w:u w:val="single"/>
        </w:rPr>
        <w:t xml:space="preserve">                             </w:t>
      </w:r>
      <w:r>
        <w:rPr>
          <w:rFonts w:hint="eastAsia" w:hAnsi="宋体"/>
          <w:sz w:val="24"/>
          <w:szCs w:val="24"/>
          <w:highlight w:val="none"/>
        </w:rPr>
        <w:t>(供应商名称)的法定代表人/单位负责人。就参加你公司组织的</w:t>
      </w:r>
      <w:r>
        <w:rPr>
          <w:rFonts w:hint="eastAsia" w:hAnsi="宋体"/>
          <w:sz w:val="24"/>
          <w:szCs w:val="24"/>
          <w:highlight w:val="none"/>
          <w:u w:val="single"/>
        </w:rPr>
        <w:t xml:space="preserve">                      </w:t>
      </w:r>
      <w:r>
        <w:rPr>
          <w:rFonts w:hint="eastAsia" w:hAnsi="宋体"/>
          <w:sz w:val="24"/>
          <w:szCs w:val="24"/>
          <w:highlight w:val="none"/>
        </w:rPr>
        <w:t>(项目名称)(项目编号：</w:t>
      </w:r>
      <w:r>
        <w:rPr>
          <w:rFonts w:hint="eastAsia" w:hAnsi="宋体"/>
          <w:sz w:val="24"/>
          <w:szCs w:val="24"/>
          <w:highlight w:val="none"/>
          <w:u w:val="single"/>
        </w:rPr>
        <w:t xml:space="preserve">              </w:t>
      </w:r>
      <w:r>
        <w:rPr>
          <w:rFonts w:hint="eastAsia" w:hAnsi="宋体"/>
          <w:sz w:val="24"/>
          <w:szCs w:val="24"/>
          <w:highlight w:val="none"/>
        </w:rPr>
        <w:t>)采购项目的单一来源协商过程、签署合同、合同的执行等处理与之相关的一切事宜。</w:t>
      </w: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特此证明。</w:t>
      </w:r>
    </w:p>
    <w:p>
      <w:pPr>
        <w:wordWrap w:val="0"/>
        <w:topLinePunct/>
        <w:spacing w:line="440" w:lineRule="exact"/>
        <w:ind w:firstLine="480" w:firstLineChars="200"/>
        <w:jc w:val="left"/>
        <w:rPr>
          <w:rFonts w:hAnsi="宋体"/>
          <w:sz w:val="24"/>
          <w:szCs w:val="24"/>
          <w:highlight w:val="none"/>
        </w:rPr>
      </w:pPr>
    </w:p>
    <w:p>
      <w:pPr>
        <w:wordWrap w:val="0"/>
        <w:topLinePunct/>
        <w:spacing w:line="440" w:lineRule="exact"/>
        <w:ind w:firstLine="482" w:firstLineChars="200"/>
        <w:jc w:val="left"/>
        <w:rPr>
          <w:rFonts w:hAnsi="宋体"/>
          <w:b/>
          <w:bCs/>
          <w:sz w:val="24"/>
          <w:szCs w:val="24"/>
          <w:highlight w:val="none"/>
        </w:rPr>
      </w:pPr>
      <w:r>
        <w:rPr>
          <w:rFonts w:hint="eastAsia" w:hAnsi="宋体"/>
          <w:b/>
          <w:bCs/>
          <w:sz w:val="24"/>
          <w:szCs w:val="24"/>
          <w:highlight w:val="none"/>
        </w:rPr>
        <w:t>附：法定代表人/单位负责人身份证正反面复印件</w:t>
      </w:r>
    </w:p>
    <w:p>
      <w:pPr>
        <w:wordWrap w:val="0"/>
        <w:topLinePunct/>
        <w:spacing w:line="440" w:lineRule="exact"/>
        <w:ind w:firstLine="482" w:firstLineChars="200"/>
        <w:jc w:val="center"/>
        <w:rPr>
          <w:rFonts w:hAnsi="宋体"/>
          <w:b/>
          <w:bCs/>
          <w:sz w:val="24"/>
          <w:szCs w:val="24"/>
          <w:highlight w:val="none"/>
        </w:rPr>
      </w:pPr>
    </w:p>
    <w:p>
      <w:pPr>
        <w:wordWrap w:val="0"/>
        <w:topLinePunct/>
        <w:spacing w:line="440" w:lineRule="exact"/>
        <w:ind w:firstLine="482" w:firstLineChars="200"/>
        <w:jc w:val="center"/>
        <w:rPr>
          <w:rFonts w:hAnsi="宋体"/>
          <w:b/>
          <w:bCs/>
          <w:sz w:val="24"/>
          <w:szCs w:val="24"/>
          <w:highlight w:val="none"/>
        </w:rPr>
      </w:pP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供应商名称(盖章)：</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法定代表人/单位负责人(签字并加盖公章)：</w:t>
      </w:r>
      <w:r>
        <w:rPr>
          <w:rFonts w:hint="eastAsia" w:hAnsi="宋体"/>
          <w:sz w:val="24"/>
          <w:szCs w:val="24"/>
          <w:highlight w:val="none"/>
          <w:u w:val="single"/>
        </w:rPr>
        <w:t xml:space="preserve">                     </w:t>
      </w:r>
      <w:r>
        <w:rPr>
          <w:rFonts w:hint="eastAsia" w:hAnsi="宋体"/>
          <w:sz w:val="24"/>
          <w:szCs w:val="24"/>
          <w:highlight w:val="none"/>
        </w:rPr>
        <w:t xml:space="preserve"> </w:t>
      </w:r>
    </w:p>
    <w:p>
      <w:pPr>
        <w:wordWrap w:val="0"/>
        <w:topLinePunct/>
        <w:spacing w:line="440" w:lineRule="exact"/>
        <w:ind w:firstLine="480" w:firstLineChars="200"/>
        <w:rPr>
          <w:rFonts w:hAnsi="宋体"/>
          <w:b/>
          <w:bCs/>
          <w:sz w:val="24"/>
          <w:szCs w:val="24"/>
          <w:highlight w:val="none"/>
        </w:rPr>
      </w:pPr>
      <w:r>
        <w:rPr>
          <w:rFonts w:hint="eastAsia" w:hAnsi="宋体"/>
          <w:sz w:val="24"/>
          <w:szCs w:val="24"/>
          <w:highlight w:val="none"/>
        </w:rPr>
        <w:t>协商日期：</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日</w:t>
      </w: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2" w:firstLineChars="200"/>
        <w:rPr>
          <w:rFonts w:hAnsi="宋体"/>
          <w:b/>
          <w:bCs/>
          <w:sz w:val="24"/>
          <w:szCs w:val="24"/>
          <w:highlight w:val="none"/>
        </w:rPr>
      </w:pP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注：1.法定代表人/单位负责人亲自参加协商时适用本证明书。</w:t>
      </w: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2.应附法定代表人/单位负责人身份证明材料复印件。</w:t>
      </w: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3.身份证明材料包括居民身份证或户口本或军官证或护照等。</w:t>
      </w:r>
    </w:p>
    <w:p>
      <w:pPr>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4.身份证明材料应同时提供其在有效期的材料，如居民身份证正、反面复印件。</w:t>
      </w:r>
    </w:p>
    <w:p>
      <w:pPr>
        <w:wordWrap w:val="0"/>
        <w:topLinePunct/>
        <w:spacing w:line="400" w:lineRule="exact"/>
        <w:rPr>
          <w:rFonts w:hAnsi="宋体"/>
          <w:b/>
          <w:bCs/>
          <w:sz w:val="24"/>
          <w:szCs w:val="24"/>
          <w:highlight w:val="none"/>
        </w:rPr>
      </w:pPr>
    </w:p>
    <w:p>
      <w:pPr>
        <w:wordWrap w:val="0"/>
        <w:topLinePunct/>
        <w:rPr>
          <w:rFonts w:hAnsi="宋体"/>
          <w:highlight w:val="none"/>
        </w:rPr>
      </w:pPr>
    </w:p>
    <w:p>
      <w:pPr>
        <w:wordWrap w:val="0"/>
        <w:topLinePunct/>
        <w:rPr>
          <w:rFonts w:hAnsi="宋体"/>
          <w:highlight w:val="none"/>
        </w:rPr>
      </w:pPr>
    </w:p>
    <w:p>
      <w:pPr>
        <w:wordWrap w:val="0"/>
        <w:topLinePunct/>
        <w:spacing w:before="260" w:after="260" w:line="440" w:lineRule="exact"/>
        <w:jc w:val="center"/>
        <w:outlineLvl w:val="1"/>
        <w:rPr>
          <w:rFonts w:hAnsi="宋体"/>
          <w:b/>
          <w:sz w:val="28"/>
          <w:szCs w:val="28"/>
          <w:highlight w:val="none"/>
        </w:rPr>
      </w:pPr>
      <w:r>
        <w:rPr>
          <w:rFonts w:hint="eastAsia" w:hAnsi="宋体"/>
          <w:b/>
          <w:bCs/>
          <w:sz w:val="32"/>
          <w:szCs w:val="32"/>
          <w:highlight w:val="none"/>
        </w:rPr>
        <w:br w:type="page"/>
      </w:r>
      <w:bookmarkStart w:id="272" w:name="_Toc4815"/>
      <w:bookmarkStart w:id="273" w:name="_Toc28262"/>
      <w:bookmarkStart w:id="274" w:name="_Toc21918"/>
      <w:bookmarkStart w:id="275" w:name="_Toc7680"/>
      <w:r>
        <w:rPr>
          <w:rFonts w:hint="eastAsia" w:hAnsi="宋体"/>
          <w:b/>
          <w:sz w:val="28"/>
          <w:szCs w:val="28"/>
          <w:highlight w:val="none"/>
        </w:rPr>
        <w:t>四、</w:t>
      </w:r>
      <w:bookmarkEnd w:id="272"/>
      <w:bookmarkEnd w:id="273"/>
      <w:bookmarkStart w:id="276" w:name="_Toc13774"/>
      <w:bookmarkStart w:id="277" w:name="_Toc14272"/>
      <w:r>
        <w:rPr>
          <w:rFonts w:hint="eastAsia" w:hAnsi="宋体"/>
          <w:b/>
          <w:sz w:val="28"/>
          <w:szCs w:val="28"/>
          <w:highlight w:val="none"/>
        </w:rPr>
        <w:t>符合《中华人民共和国政府采购法》第二十二条规定的条件的承诺</w:t>
      </w:r>
      <w:bookmarkEnd w:id="276"/>
      <w:r>
        <w:rPr>
          <w:rFonts w:hint="eastAsia" w:hAnsi="宋体"/>
          <w:b/>
          <w:sz w:val="28"/>
          <w:szCs w:val="28"/>
          <w:highlight w:val="none"/>
        </w:rPr>
        <w:t>及声明函</w:t>
      </w:r>
      <w:bookmarkEnd w:id="274"/>
      <w:bookmarkEnd w:id="275"/>
      <w:bookmarkEnd w:id="277"/>
    </w:p>
    <w:p>
      <w:pPr>
        <w:pStyle w:val="15"/>
        <w:wordWrap w:val="0"/>
        <w:topLinePunct/>
        <w:spacing w:line="460" w:lineRule="exact"/>
        <w:ind w:left="0" w:leftChars="0"/>
        <w:rPr>
          <w:rFonts w:hAnsi="宋体"/>
          <w:sz w:val="24"/>
          <w:szCs w:val="24"/>
          <w:highlight w:val="none"/>
        </w:rPr>
      </w:pPr>
      <w:r>
        <w:rPr>
          <w:rFonts w:hint="eastAsia" w:hAnsi="宋体"/>
          <w:sz w:val="24"/>
          <w:szCs w:val="24"/>
          <w:highlight w:val="none"/>
        </w:rPr>
        <w:t>四川乾新招投标代理有限公司(代理机构名称)：</w:t>
      </w:r>
    </w:p>
    <w:p>
      <w:pPr>
        <w:wordWrap w:val="0"/>
        <w:topLinePunct/>
        <w:adjustRightInd w:val="0"/>
        <w:spacing w:line="440" w:lineRule="exact"/>
        <w:ind w:firstLine="480" w:firstLineChars="200"/>
        <w:jc w:val="left"/>
        <w:rPr>
          <w:rFonts w:hAnsi="宋体"/>
          <w:sz w:val="24"/>
          <w:szCs w:val="24"/>
          <w:highlight w:val="none"/>
          <w:lang w:val="zh-CN"/>
        </w:rPr>
      </w:pPr>
      <w:r>
        <w:rPr>
          <w:rFonts w:hint="eastAsia" w:hAnsi="宋体"/>
          <w:sz w:val="24"/>
          <w:szCs w:val="24"/>
          <w:highlight w:val="none"/>
          <w:lang w:val="zh-CN"/>
        </w:rPr>
        <w:t>我单位</w:t>
      </w:r>
      <w:r>
        <w:rPr>
          <w:rFonts w:hint="eastAsia" w:hAnsi="宋体"/>
          <w:sz w:val="24"/>
          <w:szCs w:val="24"/>
          <w:highlight w:val="none"/>
          <w:u w:val="single"/>
          <w:lang w:val="zh-CN"/>
        </w:rPr>
        <w:t xml:space="preserve">               </w:t>
      </w:r>
      <w:r>
        <w:rPr>
          <w:rFonts w:hint="eastAsia" w:hAnsi="宋体"/>
          <w:sz w:val="24"/>
          <w:szCs w:val="24"/>
          <w:highlight w:val="none"/>
          <w:lang w:val="zh-CN"/>
        </w:rPr>
        <w:t>(</w:t>
      </w:r>
      <w:r>
        <w:rPr>
          <w:rFonts w:hint="eastAsia" w:hAnsi="宋体"/>
          <w:sz w:val="24"/>
          <w:szCs w:val="24"/>
          <w:highlight w:val="none"/>
        </w:rPr>
        <w:t>供应商</w:t>
      </w:r>
      <w:r>
        <w:rPr>
          <w:rFonts w:hint="eastAsia" w:hAnsi="宋体"/>
          <w:sz w:val="24"/>
          <w:szCs w:val="24"/>
          <w:highlight w:val="none"/>
          <w:lang w:val="zh-CN"/>
        </w:rPr>
        <w:t>名称)参加</w:t>
      </w:r>
      <w:r>
        <w:rPr>
          <w:rFonts w:hint="eastAsia" w:hAnsi="宋体"/>
          <w:sz w:val="24"/>
          <w:szCs w:val="24"/>
          <w:highlight w:val="none"/>
          <w:u w:val="single"/>
          <w:lang w:val="zh-CN"/>
        </w:rPr>
        <w:t xml:space="preserve">           </w:t>
      </w:r>
      <w:r>
        <w:rPr>
          <w:rFonts w:hint="eastAsia" w:hAnsi="宋体"/>
          <w:sz w:val="24"/>
          <w:szCs w:val="24"/>
          <w:highlight w:val="none"/>
          <w:lang w:val="zh-CN"/>
        </w:rPr>
        <w:t>(项目名称)(项目编号：</w:t>
      </w:r>
      <w:r>
        <w:rPr>
          <w:rFonts w:hint="eastAsia" w:hAnsi="宋体"/>
          <w:sz w:val="24"/>
          <w:szCs w:val="24"/>
          <w:highlight w:val="none"/>
          <w:u w:val="single"/>
          <w:lang w:val="zh-CN"/>
        </w:rPr>
        <w:t xml:space="preserve">        </w:t>
      </w:r>
      <w:r>
        <w:rPr>
          <w:rFonts w:hint="eastAsia" w:hAnsi="宋体"/>
          <w:sz w:val="24"/>
          <w:szCs w:val="24"/>
          <w:highlight w:val="none"/>
          <w:lang w:val="zh-CN"/>
        </w:rPr>
        <w:t>)的</w:t>
      </w:r>
      <w:r>
        <w:rPr>
          <w:rFonts w:hint="eastAsia" w:hAnsi="宋体"/>
          <w:sz w:val="24"/>
          <w:szCs w:val="24"/>
          <w:highlight w:val="none"/>
        </w:rPr>
        <w:t>采购</w:t>
      </w:r>
      <w:r>
        <w:rPr>
          <w:rFonts w:hint="eastAsia" w:hAnsi="宋体"/>
          <w:sz w:val="24"/>
          <w:szCs w:val="24"/>
          <w:highlight w:val="none"/>
          <w:lang w:val="zh-CN"/>
        </w:rPr>
        <w:t>活动，现我单位对具备</w:t>
      </w:r>
      <w:r>
        <w:rPr>
          <w:rFonts w:hint="eastAsia" w:hAnsi="宋体"/>
          <w:sz w:val="24"/>
          <w:szCs w:val="24"/>
          <w:highlight w:val="none"/>
        </w:rPr>
        <w:t>《中华人民共和国政府采购法》第二十二条规定的条件，具体情况承诺及声明如下</w:t>
      </w:r>
      <w:r>
        <w:rPr>
          <w:rFonts w:hint="eastAsia" w:hAnsi="宋体"/>
          <w:sz w:val="24"/>
          <w:szCs w:val="24"/>
          <w:highlight w:val="none"/>
          <w:lang w:val="zh-CN"/>
        </w:rPr>
        <w:t>：</w:t>
      </w:r>
    </w:p>
    <w:p>
      <w:pPr>
        <w:wordWrap w:val="0"/>
        <w:topLinePunct/>
        <w:adjustRightInd w:val="0"/>
        <w:spacing w:line="440" w:lineRule="exact"/>
        <w:ind w:firstLine="480" w:firstLineChars="200"/>
        <w:jc w:val="left"/>
        <w:rPr>
          <w:rFonts w:hAnsi="宋体"/>
          <w:sz w:val="24"/>
          <w:szCs w:val="24"/>
          <w:highlight w:val="none"/>
          <w:lang w:val="zh-CN"/>
        </w:rPr>
      </w:pPr>
      <w:r>
        <w:rPr>
          <w:rFonts w:hint="eastAsia" w:hAnsi="宋体"/>
          <w:sz w:val="24"/>
          <w:szCs w:val="24"/>
          <w:highlight w:val="none"/>
          <w:lang w:val="zh-CN"/>
        </w:rPr>
        <w:t>一、具备《中华人民共和国政府采购法》第二十二条第一款和本项目规定的条件：</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 xml:space="preserve">(一)具有独立承担民事责任的能力； </w:t>
      </w:r>
      <w:r>
        <w:rPr>
          <w:rFonts w:hint="eastAsia" w:hAnsi="宋体"/>
          <w:sz w:val="24"/>
          <w:szCs w:val="24"/>
          <w:highlight w:val="none"/>
        </w:rPr>
        <w:br w:type="textWrapping"/>
      </w:r>
      <w:r>
        <w:rPr>
          <w:rFonts w:hint="eastAsia" w:hAnsi="宋体"/>
          <w:sz w:val="24"/>
          <w:szCs w:val="24"/>
          <w:highlight w:val="none"/>
        </w:rPr>
        <w:t xml:space="preserve">　　(二)具有良好的商业信誉和健全的财务会计制度； </w:t>
      </w:r>
      <w:r>
        <w:rPr>
          <w:rFonts w:hint="eastAsia" w:hAnsi="宋体"/>
          <w:sz w:val="24"/>
          <w:szCs w:val="24"/>
          <w:highlight w:val="none"/>
        </w:rPr>
        <w:br w:type="textWrapping"/>
      </w:r>
      <w:r>
        <w:rPr>
          <w:rFonts w:hint="eastAsia" w:hAnsi="宋体"/>
          <w:sz w:val="24"/>
          <w:szCs w:val="24"/>
          <w:highlight w:val="none"/>
        </w:rPr>
        <w:t xml:space="preserve">　　(三)具有履行合同所必需的设备和专业技术能力； </w:t>
      </w:r>
      <w:r>
        <w:rPr>
          <w:rFonts w:hint="eastAsia" w:hAnsi="宋体"/>
          <w:sz w:val="24"/>
          <w:szCs w:val="24"/>
          <w:highlight w:val="none"/>
        </w:rPr>
        <w:br w:type="textWrapping"/>
      </w:r>
      <w:r>
        <w:rPr>
          <w:rFonts w:hint="eastAsia" w:hAnsi="宋体"/>
          <w:sz w:val="24"/>
          <w:szCs w:val="24"/>
          <w:highlight w:val="none"/>
        </w:rPr>
        <w:t xml:space="preserve">　　(四)具有依法缴纳税收和社会保障资金的良好记录； </w:t>
      </w:r>
      <w:r>
        <w:rPr>
          <w:rFonts w:hint="eastAsia" w:hAnsi="宋体"/>
          <w:sz w:val="24"/>
          <w:szCs w:val="24"/>
          <w:highlight w:val="none"/>
        </w:rPr>
        <w:br w:type="textWrapping"/>
      </w:r>
      <w:r>
        <w:rPr>
          <w:rFonts w:hint="eastAsia" w:hAnsi="宋体"/>
          <w:sz w:val="24"/>
          <w:szCs w:val="24"/>
          <w:highlight w:val="none"/>
        </w:rPr>
        <w:t>　　(五)参加本次政府采购活动前三年内，在经营活动中没有重大违法记录(成立不足三年的，从成立之日起开始计算)；</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(六)法律、行政法规规定的其他条件。</w:t>
      </w:r>
    </w:p>
    <w:p>
      <w:pPr>
        <w:wordWrap w:val="0"/>
        <w:topLinePunct/>
        <w:spacing w:line="440" w:lineRule="exact"/>
        <w:ind w:firstLine="480" w:firstLineChars="200"/>
        <w:rPr>
          <w:rFonts w:hAnsi="宋体"/>
          <w:sz w:val="24"/>
          <w:szCs w:val="24"/>
          <w:highlight w:val="none"/>
          <w:lang w:val="zh-CN"/>
        </w:rPr>
      </w:pPr>
      <w:r>
        <w:rPr>
          <w:rFonts w:hint="eastAsia" w:hAnsi="宋体"/>
          <w:sz w:val="24"/>
          <w:szCs w:val="24"/>
          <w:highlight w:val="none"/>
        </w:rPr>
        <w:t>我单位对上述承诺的内容事项真实性负责。如经查实上述承诺的内容事项存在虚假，我单位愿意接受以提供虚假材料谋取成交追究法律责任。</w:t>
      </w:r>
    </w:p>
    <w:p>
      <w:pPr>
        <w:wordWrap w:val="0"/>
        <w:topLinePunct/>
        <w:adjustRightInd w:val="0"/>
        <w:spacing w:line="440" w:lineRule="exact"/>
        <w:ind w:firstLine="480" w:firstLineChars="200"/>
        <w:jc w:val="left"/>
        <w:rPr>
          <w:rFonts w:hAnsi="宋体"/>
          <w:sz w:val="24"/>
          <w:szCs w:val="24"/>
          <w:highlight w:val="none"/>
          <w:lang w:val="zh-CN"/>
        </w:rPr>
      </w:pPr>
      <w:r>
        <w:rPr>
          <w:rFonts w:hint="eastAsia" w:hAnsi="宋体"/>
          <w:sz w:val="24"/>
          <w:szCs w:val="24"/>
          <w:highlight w:val="none"/>
          <w:lang w:val="zh-CN"/>
        </w:rPr>
        <w:t>如违反以上承诺</w:t>
      </w:r>
      <w:r>
        <w:rPr>
          <w:rFonts w:hint="eastAsia" w:hAnsi="宋体"/>
          <w:sz w:val="24"/>
          <w:szCs w:val="24"/>
          <w:highlight w:val="none"/>
        </w:rPr>
        <w:t>及声明</w:t>
      </w:r>
      <w:r>
        <w:rPr>
          <w:rFonts w:hint="eastAsia" w:hAnsi="宋体"/>
          <w:sz w:val="24"/>
          <w:szCs w:val="24"/>
          <w:highlight w:val="none"/>
          <w:lang w:val="zh-CN"/>
        </w:rPr>
        <w:t>，我单位愿承担一切法律责任。</w:t>
      </w:r>
    </w:p>
    <w:p>
      <w:pPr>
        <w:wordWrap w:val="0"/>
        <w:topLinePunct/>
        <w:spacing w:line="440" w:lineRule="exact"/>
        <w:ind w:firstLine="480" w:firstLineChars="200"/>
        <w:rPr>
          <w:rFonts w:hAnsi="宋体"/>
          <w:sz w:val="24"/>
          <w:szCs w:val="24"/>
          <w:highlight w:val="none"/>
        </w:rPr>
      </w:pPr>
    </w:p>
    <w:p>
      <w:pPr>
        <w:pStyle w:val="2"/>
        <w:keepNext w:val="0"/>
        <w:keepLines w:val="0"/>
        <w:wordWrap w:val="0"/>
        <w:topLinePunct/>
        <w:spacing w:line="440" w:lineRule="exact"/>
        <w:ind w:firstLine="482" w:firstLineChars="200"/>
        <w:outlineLvl w:val="9"/>
        <w:rPr>
          <w:rFonts w:ascii="宋体" w:hAnsi="宋体" w:eastAsia="宋体" w:cs="宋体"/>
          <w:highlight w:val="none"/>
        </w:rPr>
      </w:pP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承诺人名称(盖章)：</w:t>
      </w:r>
      <w:r>
        <w:rPr>
          <w:rFonts w:hint="eastAsia" w:hAnsi="宋体"/>
          <w:sz w:val="24"/>
          <w:szCs w:val="24"/>
          <w:highlight w:val="none"/>
          <w:u w:val="single"/>
        </w:rPr>
        <w:t xml:space="preserve">                         </w:t>
      </w:r>
      <w:r>
        <w:rPr>
          <w:rFonts w:hint="eastAsia" w:hAnsi="宋体"/>
          <w:sz w:val="24"/>
          <w:szCs w:val="24"/>
          <w:highlight w:val="non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法定代表人/单位负责人(签字或盖章)或授权代表(签字)：</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协商日期：</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 xml:space="preserve">日    </w:t>
      </w:r>
    </w:p>
    <w:p>
      <w:pPr>
        <w:wordWrap w:val="0"/>
        <w:topLinePunct/>
        <w:spacing w:before="260" w:after="260" w:line="440" w:lineRule="exact"/>
        <w:jc w:val="center"/>
        <w:outlineLvl w:val="1"/>
        <w:rPr>
          <w:rFonts w:hAnsi="宋体"/>
          <w:b/>
          <w:sz w:val="28"/>
          <w:szCs w:val="28"/>
          <w:highlight w:val="none"/>
        </w:rPr>
      </w:pPr>
      <w:bookmarkStart w:id="278" w:name="_Toc29620"/>
      <w:bookmarkStart w:id="279" w:name="_Toc19649"/>
      <w:r>
        <w:rPr>
          <w:rFonts w:hint="eastAsia" w:hAnsi="宋体"/>
          <w:b/>
          <w:bCs/>
          <w:w w:val="94"/>
          <w:sz w:val="28"/>
          <w:szCs w:val="28"/>
          <w:highlight w:val="none"/>
        </w:rPr>
        <w:br w:type="page"/>
      </w:r>
      <w:bookmarkStart w:id="280" w:name="_Toc11893"/>
      <w:bookmarkStart w:id="281" w:name="_Toc26766"/>
      <w:r>
        <w:rPr>
          <w:rFonts w:hint="eastAsia" w:hAnsi="宋体"/>
          <w:b/>
          <w:sz w:val="28"/>
          <w:szCs w:val="28"/>
          <w:highlight w:val="none"/>
        </w:rPr>
        <w:t>五、具有独立承担民事责任的能力的证明材料</w:t>
      </w:r>
      <w:bookmarkEnd w:id="278"/>
      <w:bookmarkEnd w:id="279"/>
      <w:bookmarkEnd w:id="280"/>
      <w:bookmarkEnd w:id="281"/>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wordWrap w:val="0"/>
        <w:topLinePunct/>
        <w:spacing w:line="440" w:lineRule="exact"/>
        <w:ind w:firstLine="482" w:firstLineChars="200"/>
        <w:rPr>
          <w:rFonts w:hAnsi="宋体"/>
          <w:b/>
          <w:bCs/>
          <w:kern w:val="2"/>
          <w:sz w:val="24"/>
          <w:szCs w:val="24"/>
          <w:highlight w:val="none"/>
        </w:rPr>
        <w:sectPr>
          <w:pgSz w:w="11907" w:h="16840"/>
          <w:pgMar w:top="1440" w:right="1083" w:bottom="1440" w:left="1083" w:header="471" w:footer="992" w:gutter="0"/>
          <w:cols w:space="0" w:num="1"/>
          <w:titlePg/>
        </w:sectPr>
      </w:pPr>
      <w:r>
        <w:rPr>
          <w:rFonts w:hint="eastAsia" w:hAnsi="宋体"/>
          <w:b/>
          <w:bCs/>
          <w:sz w:val="24"/>
          <w:szCs w:val="24"/>
          <w:highlight w:val="none"/>
        </w:rPr>
        <w:t>注：①企业若已更换为三证合一的则提供营业执照副本复印件，事业单位提供事业单位法人证书，其他组织提供营业执照等证明文件，自然人提供身份证明均具备此条同等效力。②根据国务院办公厅关于加快推进“多证合一”改革的指导意见(国办发〔2017〕41号)等政策要求，若资格要求涉及的登记、备案等有关事项和各类证照已实行多证合一的，供应商须提供多证合一证照副本复印件</w:t>
      </w:r>
      <w:r>
        <w:rPr>
          <w:rFonts w:hint="eastAsia" w:hAnsi="宋体"/>
          <w:b/>
          <w:bCs/>
          <w:kern w:val="2"/>
          <w:sz w:val="24"/>
          <w:szCs w:val="24"/>
          <w:highlight w:val="none"/>
        </w:rPr>
        <w:t>。</w:t>
      </w:r>
    </w:p>
    <w:p>
      <w:pPr>
        <w:pStyle w:val="45"/>
        <w:spacing w:before="120" w:beforeLines="50" w:after="120" w:afterLines="50"/>
        <w:ind w:firstLine="562"/>
        <w:jc w:val="center"/>
        <w:rPr>
          <w:sz w:val="28"/>
          <w:szCs w:val="28"/>
          <w:highlight w:val="none"/>
          <w:lang w:val="zh-CN"/>
        </w:rPr>
      </w:pPr>
      <w:bookmarkStart w:id="282" w:name="_Toc5048"/>
      <w:bookmarkStart w:id="283" w:name="_Toc7808"/>
      <w:r>
        <w:rPr>
          <w:rFonts w:hint="eastAsia"/>
          <w:sz w:val="28"/>
          <w:szCs w:val="28"/>
          <w:highlight w:val="none"/>
        </w:rPr>
        <w:t>六、提供具有良好的商业信誉和健全的财务会计制度的证明材料</w:t>
      </w:r>
      <w:bookmarkEnd w:id="282"/>
      <w:bookmarkEnd w:id="283"/>
    </w:p>
    <w:p>
      <w:pPr>
        <w:tabs>
          <w:tab w:val="left" w:pos="7665"/>
        </w:tabs>
        <w:wordWrap w:val="0"/>
        <w:topLinePunct/>
        <w:spacing w:line="440" w:lineRule="exact"/>
        <w:ind w:firstLine="480" w:firstLineChars="200"/>
        <w:rPr>
          <w:rFonts w:hAnsi="宋体"/>
          <w:kern w:val="2"/>
          <w:sz w:val="24"/>
          <w:szCs w:val="24"/>
          <w:highlight w:val="none"/>
        </w:rPr>
      </w:pPr>
      <w:r>
        <w:rPr>
          <w:rFonts w:hint="eastAsia" w:hAnsi="宋体"/>
          <w:kern w:val="2"/>
          <w:sz w:val="24"/>
          <w:szCs w:val="24"/>
          <w:highlight w:val="none"/>
        </w:rPr>
        <w:t>1.供应商具有良好商业信誉的证明材料；</w:t>
      </w:r>
    </w:p>
    <w:p>
      <w:pPr>
        <w:tabs>
          <w:tab w:val="left" w:pos="7665"/>
        </w:tabs>
        <w:wordWrap w:val="0"/>
        <w:topLinePunct/>
        <w:spacing w:line="440" w:lineRule="exact"/>
        <w:ind w:firstLine="480" w:firstLineChars="200"/>
        <w:rPr>
          <w:rFonts w:hAnsi="宋体"/>
          <w:kern w:val="2"/>
          <w:sz w:val="24"/>
          <w:szCs w:val="24"/>
          <w:highlight w:val="none"/>
        </w:rPr>
      </w:pPr>
      <w:r>
        <w:rPr>
          <w:rFonts w:hint="eastAsia" w:hAnsi="宋体"/>
          <w:kern w:val="2"/>
          <w:sz w:val="24"/>
          <w:szCs w:val="24"/>
          <w:highlight w:val="none"/>
        </w:rPr>
        <w:t>提供具有良好的商业信誉的承诺函；</w:t>
      </w:r>
    </w:p>
    <w:p>
      <w:pPr>
        <w:tabs>
          <w:tab w:val="left" w:pos="7665"/>
        </w:tabs>
        <w:wordWrap w:val="0"/>
        <w:topLinePunct/>
        <w:spacing w:line="440" w:lineRule="exact"/>
        <w:ind w:firstLine="482" w:firstLineChars="200"/>
        <w:rPr>
          <w:rFonts w:hAnsi="宋体"/>
          <w:b/>
          <w:bCs/>
          <w:kern w:val="2"/>
          <w:sz w:val="24"/>
          <w:szCs w:val="24"/>
          <w:highlight w:val="none"/>
        </w:rPr>
      </w:pPr>
      <w:r>
        <w:rPr>
          <w:rFonts w:hint="eastAsia" w:hAnsi="宋体"/>
          <w:b/>
          <w:bCs/>
          <w:kern w:val="2"/>
          <w:sz w:val="24"/>
          <w:szCs w:val="24"/>
          <w:highlight w:val="none"/>
        </w:rPr>
        <w:t>注：供应商在参加政府采购活动前，被纳入法院、工商(市场监管)行政管理部门、税务部门、银行认定的失信名单且在有效期内，或者在前三年政府采购合同履约过程中及其他经营活动履约过程中未依法履约被有关行政部门处罚(处理)的，本项目不认定其具有良好的商业信誉。</w:t>
      </w:r>
    </w:p>
    <w:p>
      <w:pPr>
        <w:tabs>
          <w:tab w:val="left" w:pos="7665"/>
        </w:tabs>
        <w:wordWrap w:val="0"/>
        <w:topLinePunct/>
        <w:spacing w:line="440" w:lineRule="exact"/>
        <w:ind w:firstLine="480" w:firstLineChars="200"/>
        <w:rPr>
          <w:rFonts w:hAnsi="宋体"/>
          <w:kern w:val="2"/>
          <w:sz w:val="24"/>
          <w:szCs w:val="24"/>
          <w:highlight w:val="none"/>
        </w:rPr>
      </w:pPr>
      <w:r>
        <w:rPr>
          <w:rFonts w:hint="eastAsia" w:hAnsi="宋体"/>
          <w:kern w:val="2"/>
          <w:sz w:val="24"/>
          <w:szCs w:val="24"/>
          <w:highlight w:val="none"/>
        </w:rPr>
        <w:t>2.供应商具有健全的财务会计制度的证明材料；</w:t>
      </w:r>
    </w:p>
    <w:p>
      <w:pPr>
        <w:tabs>
          <w:tab w:val="left" w:pos="7665"/>
        </w:tabs>
        <w:wordWrap w:val="0"/>
        <w:topLinePunct/>
        <w:spacing w:line="440" w:lineRule="exact"/>
        <w:ind w:firstLine="480" w:firstLineChars="200"/>
        <w:rPr>
          <w:rFonts w:hAnsi="宋体"/>
          <w:kern w:val="2"/>
          <w:sz w:val="24"/>
          <w:szCs w:val="24"/>
          <w:highlight w:val="none"/>
        </w:rPr>
      </w:pPr>
      <w:r>
        <w:rPr>
          <w:rFonts w:hint="eastAsia" w:hAnsi="宋体"/>
          <w:kern w:val="2"/>
          <w:sz w:val="24"/>
          <w:szCs w:val="24"/>
          <w:highlight w:val="none"/>
        </w:rPr>
        <w:t>(1)供应商提供2019年度或2020年度经过会计师事务所审计的财务报告复印件(经审计的有效财务报告应包括报告及报告中所附的完整内容，并由注册会计师签名、盖章以及会计师事务所盖章)；</w:t>
      </w:r>
    </w:p>
    <w:p>
      <w:pPr>
        <w:tabs>
          <w:tab w:val="left" w:pos="7665"/>
        </w:tabs>
        <w:wordWrap w:val="0"/>
        <w:topLinePunct/>
        <w:spacing w:line="440" w:lineRule="exact"/>
        <w:ind w:firstLine="480" w:firstLineChars="200"/>
        <w:rPr>
          <w:rFonts w:hAnsi="宋体"/>
          <w:kern w:val="2"/>
          <w:sz w:val="24"/>
          <w:szCs w:val="24"/>
          <w:highlight w:val="none"/>
        </w:rPr>
      </w:pPr>
      <w:r>
        <w:rPr>
          <w:rFonts w:hint="eastAsia" w:hAnsi="宋体"/>
          <w:kern w:val="2"/>
          <w:sz w:val="24"/>
          <w:szCs w:val="24"/>
          <w:highlight w:val="none"/>
        </w:rPr>
        <w:t>(2)供应商提供2019年度或2020年度供应商内部的财务报表复印件(至少包含资产负债表)；</w:t>
      </w:r>
    </w:p>
    <w:p>
      <w:pPr>
        <w:tabs>
          <w:tab w:val="left" w:pos="7665"/>
        </w:tabs>
        <w:wordWrap w:val="0"/>
        <w:topLinePunct/>
        <w:spacing w:line="440" w:lineRule="exact"/>
        <w:ind w:firstLine="480" w:firstLineChars="200"/>
        <w:rPr>
          <w:rFonts w:hAnsi="宋体"/>
          <w:kern w:val="2"/>
          <w:sz w:val="24"/>
          <w:szCs w:val="24"/>
          <w:highlight w:val="none"/>
        </w:rPr>
      </w:pPr>
      <w:r>
        <w:rPr>
          <w:rFonts w:hint="eastAsia" w:hAnsi="宋体"/>
          <w:kern w:val="2"/>
          <w:sz w:val="24"/>
          <w:szCs w:val="24"/>
          <w:highlight w:val="none"/>
        </w:rPr>
        <w:t>(3)供应商提供响应文件递交截止日前一年内银行为其出具的资信证明复印件；</w:t>
      </w:r>
    </w:p>
    <w:p>
      <w:pPr>
        <w:tabs>
          <w:tab w:val="left" w:pos="7665"/>
        </w:tabs>
        <w:wordWrap w:val="0"/>
        <w:topLinePunct/>
        <w:spacing w:line="440" w:lineRule="exact"/>
        <w:ind w:firstLine="480" w:firstLineChars="200"/>
        <w:rPr>
          <w:rFonts w:hAnsi="宋体"/>
          <w:kern w:val="2"/>
          <w:sz w:val="24"/>
          <w:szCs w:val="24"/>
          <w:highlight w:val="none"/>
        </w:rPr>
      </w:pPr>
      <w:r>
        <w:rPr>
          <w:rFonts w:hint="eastAsia" w:hAnsi="宋体"/>
          <w:kern w:val="2"/>
          <w:sz w:val="24"/>
          <w:szCs w:val="24"/>
          <w:highlight w:val="none"/>
        </w:rPr>
        <w:t>(4)供应商工商(市场监管)注册时间截至响应文件递交截止日不足一年的，可提供公司章程复印件；</w:t>
      </w:r>
    </w:p>
    <w:p>
      <w:pPr>
        <w:tabs>
          <w:tab w:val="left" w:pos="7665"/>
        </w:tabs>
        <w:wordWrap w:val="0"/>
        <w:topLinePunct/>
        <w:spacing w:line="440" w:lineRule="exact"/>
        <w:ind w:firstLine="480" w:firstLineChars="200"/>
        <w:rPr>
          <w:rFonts w:hAnsi="宋体"/>
          <w:kern w:val="2"/>
          <w:sz w:val="24"/>
          <w:szCs w:val="24"/>
          <w:highlight w:val="none"/>
        </w:rPr>
      </w:pPr>
      <w:r>
        <w:rPr>
          <w:rFonts w:hint="eastAsia" w:hAnsi="宋体"/>
          <w:kern w:val="2"/>
          <w:sz w:val="24"/>
          <w:szCs w:val="24"/>
          <w:highlight w:val="none"/>
        </w:rPr>
        <w:t>(5)供应商提供具有健全的财务会计制度的承诺函。</w:t>
      </w:r>
    </w:p>
    <w:p>
      <w:pPr>
        <w:tabs>
          <w:tab w:val="left" w:pos="7665"/>
        </w:tabs>
        <w:wordWrap w:val="0"/>
        <w:topLinePunct/>
        <w:spacing w:line="440" w:lineRule="exact"/>
        <w:ind w:firstLine="482" w:firstLineChars="200"/>
        <w:rPr>
          <w:rFonts w:hAnsi="宋体"/>
          <w:b/>
          <w:bCs/>
          <w:kern w:val="2"/>
          <w:sz w:val="24"/>
          <w:szCs w:val="24"/>
          <w:highlight w:val="none"/>
        </w:rPr>
      </w:pPr>
      <w:r>
        <w:rPr>
          <w:rFonts w:hint="eastAsia" w:hAnsi="宋体"/>
          <w:b/>
          <w:bCs/>
          <w:kern w:val="2"/>
          <w:sz w:val="24"/>
          <w:szCs w:val="24"/>
          <w:highlight w:val="none"/>
        </w:rPr>
        <w:t>注：具有健全的财务会计制度的证明材料中第(1)-(5)项具有同等的效力。</w:t>
      </w:r>
    </w:p>
    <w:p>
      <w:pPr>
        <w:tabs>
          <w:tab w:val="left" w:pos="7665"/>
        </w:tabs>
        <w:wordWrap w:val="0"/>
        <w:topLinePunct/>
        <w:spacing w:line="440" w:lineRule="exact"/>
        <w:rPr>
          <w:rFonts w:hAnsi="宋体"/>
          <w:b/>
          <w:bCs/>
          <w:kern w:val="2"/>
          <w:sz w:val="24"/>
          <w:szCs w:val="24"/>
          <w:highlight w:val="none"/>
        </w:rPr>
        <w:sectPr>
          <w:pgSz w:w="11907" w:h="16840"/>
          <w:pgMar w:top="1440" w:right="1083" w:bottom="1440" w:left="1083" w:header="471" w:footer="992" w:gutter="0"/>
          <w:cols w:space="0" w:num="1"/>
          <w:titlePg/>
        </w:sectPr>
      </w:pPr>
    </w:p>
    <w:p>
      <w:pPr>
        <w:pStyle w:val="45"/>
        <w:spacing w:before="120" w:beforeLines="50" w:after="120" w:afterLines="50"/>
        <w:ind w:firstLine="562"/>
        <w:jc w:val="center"/>
        <w:rPr>
          <w:sz w:val="28"/>
          <w:szCs w:val="28"/>
          <w:highlight w:val="none"/>
        </w:rPr>
      </w:pPr>
      <w:bookmarkStart w:id="284" w:name="_Toc18124"/>
      <w:bookmarkStart w:id="285" w:name="_Toc25284"/>
      <w:bookmarkStart w:id="286" w:name="_Toc16271"/>
      <w:r>
        <w:rPr>
          <w:rFonts w:hint="eastAsia"/>
          <w:sz w:val="28"/>
          <w:szCs w:val="28"/>
          <w:highlight w:val="none"/>
        </w:rPr>
        <w:t>七、</w:t>
      </w:r>
      <w:bookmarkStart w:id="287" w:name="_Toc26023"/>
      <w:bookmarkStart w:id="288" w:name="_Toc15870"/>
      <w:bookmarkStart w:id="289" w:name="_Toc16336"/>
      <w:r>
        <w:rPr>
          <w:rFonts w:hint="eastAsia"/>
          <w:sz w:val="28"/>
          <w:szCs w:val="28"/>
          <w:highlight w:val="none"/>
        </w:rPr>
        <w:t>具有履行合同所必需的设备和专业技术能力证明材料</w:t>
      </w:r>
      <w:bookmarkEnd w:id="284"/>
      <w:bookmarkEnd w:id="285"/>
      <w:bookmarkEnd w:id="287"/>
      <w:bookmarkEnd w:id="288"/>
      <w:bookmarkEnd w:id="289"/>
    </w:p>
    <w:p>
      <w:pPr>
        <w:tabs>
          <w:tab w:val="left" w:pos="7665"/>
        </w:tabs>
        <w:wordWrap w:val="0"/>
        <w:topLinePunct/>
        <w:spacing w:line="440" w:lineRule="exact"/>
        <w:ind w:firstLine="480" w:firstLineChars="200"/>
        <w:rPr>
          <w:rFonts w:hAnsi="宋体"/>
          <w:kern w:val="2"/>
          <w:sz w:val="24"/>
          <w:szCs w:val="24"/>
          <w:highlight w:val="none"/>
        </w:rPr>
      </w:pPr>
      <w:bookmarkStart w:id="290" w:name="_Toc540"/>
      <w:r>
        <w:rPr>
          <w:rFonts w:hint="eastAsia" w:hAnsi="宋体"/>
          <w:kern w:val="2"/>
          <w:sz w:val="24"/>
          <w:szCs w:val="24"/>
          <w:highlight w:val="none"/>
        </w:rPr>
        <w:t>提供具有履行合同所必需的设备和专业技术能力的承诺函；</w:t>
      </w:r>
      <w:bookmarkEnd w:id="290"/>
    </w:p>
    <w:p>
      <w:pPr>
        <w:tabs>
          <w:tab w:val="left" w:pos="7665"/>
        </w:tabs>
        <w:wordWrap w:val="0"/>
        <w:topLinePunct/>
        <w:spacing w:line="440" w:lineRule="exact"/>
        <w:ind w:firstLine="482" w:firstLineChars="200"/>
        <w:rPr>
          <w:rFonts w:hAnsi="宋体"/>
          <w:b/>
          <w:bCs/>
          <w:kern w:val="2"/>
          <w:sz w:val="24"/>
          <w:szCs w:val="24"/>
          <w:highlight w:val="none"/>
        </w:rPr>
      </w:pPr>
      <w:bookmarkStart w:id="291" w:name="_Toc16983"/>
      <w:r>
        <w:rPr>
          <w:rFonts w:hint="eastAsia" w:hAnsi="宋体"/>
          <w:b/>
          <w:bCs/>
          <w:kern w:val="2"/>
          <w:sz w:val="24"/>
          <w:szCs w:val="24"/>
          <w:highlight w:val="none"/>
        </w:rPr>
        <w:t>注：</w:t>
      </w:r>
      <w:r>
        <w:rPr>
          <w:rFonts w:hint="eastAsia" w:asciiTheme="minorEastAsia" w:hAnsiTheme="minorEastAsia" w:eastAsiaTheme="minorEastAsia" w:cstheme="minorEastAsia"/>
          <w:b/>
          <w:bCs/>
          <w:kern w:val="2"/>
          <w:sz w:val="24"/>
          <w:szCs w:val="24"/>
          <w:highlight w:val="none"/>
        </w:rPr>
        <w:t>格式自拟，或参照《符合&lt;中华人民共和国政府采购法&gt;第二十二条规定的条件的承诺及声明函》提供承诺函</w:t>
      </w:r>
      <w:r>
        <w:rPr>
          <w:rFonts w:hint="eastAsia" w:hAnsi="宋体"/>
          <w:b/>
          <w:bCs/>
          <w:kern w:val="2"/>
          <w:sz w:val="24"/>
          <w:szCs w:val="24"/>
          <w:highlight w:val="none"/>
        </w:rPr>
        <w:t>。</w:t>
      </w:r>
      <w:bookmarkEnd w:id="291"/>
    </w:p>
    <w:p>
      <w:pPr>
        <w:rPr>
          <w:sz w:val="28"/>
          <w:szCs w:val="28"/>
          <w:highlight w:val="none"/>
        </w:rPr>
      </w:pPr>
      <w:r>
        <w:rPr>
          <w:rFonts w:hint="eastAsia"/>
          <w:sz w:val="28"/>
          <w:szCs w:val="28"/>
          <w:highlight w:val="none"/>
        </w:rPr>
        <w:br w:type="page"/>
      </w:r>
    </w:p>
    <w:p>
      <w:pPr>
        <w:pStyle w:val="45"/>
        <w:spacing w:before="120" w:beforeLines="50" w:after="120" w:afterLines="50"/>
        <w:ind w:firstLine="562"/>
        <w:jc w:val="center"/>
        <w:rPr>
          <w:sz w:val="28"/>
          <w:szCs w:val="28"/>
          <w:highlight w:val="none"/>
          <w:lang w:val="zh-CN"/>
        </w:rPr>
      </w:pPr>
      <w:bookmarkStart w:id="292" w:name="_Toc11997"/>
      <w:bookmarkStart w:id="293" w:name="_Toc11884"/>
      <w:r>
        <w:rPr>
          <w:rFonts w:hint="eastAsia"/>
          <w:sz w:val="28"/>
          <w:szCs w:val="28"/>
          <w:highlight w:val="none"/>
        </w:rPr>
        <w:t>八、具有依法缴纳税收和社会保障资金的良好记录的证明材料</w:t>
      </w:r>
      <w:bookmarkEnd w:id="286"/>
      <w:bookmarkEnd w:id="292"/>
      <w:bookmarkEnd w:id="293"/>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提供具有</w:t>
      </w:r>
      <w:r>
        <w:rPr>
          <w:rFonts w:hint="eastAsia" w:hAnsi="宋体"/>
          <w:sz w:val="24"/>
          <w:szCs w:val="24"/>
          <w:highlight w:val="none"/>
          <w:lang w:val="zh-CN"/>
        </w:rPr>
        <w:t>依法缴纳税收和社会保障资金的良好记录</w:t>
      </w:r>
      <w:r>
        <w:rPr>
          <w:rFonts w:hint="eastAsia" w:hAnsi="宋体"/>
          <w:sz w:val="24"/>
          <w:szCs w:val="24"/>
          <w:highlight w:val="none"/>
        </w:rPr>
        <w:t>的承诺函。</w:t>
      </w:r>
    </w:p>
    <w:p>
      <w:pPr>
        <w:tabs>
          <w:tab w:val="left" w:pos="7665"/>
        </w:tabs>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注：格式自拟，或参照《符合&lt;中华人民共和国政府采购法&gt;第二十二条规定的条件的承诺及声明函》提供承诺函。</w:t>
      </w:r>
    </w:p>
    <w:p>
      <w:pPr>
        <w:tabs>
          <w:tab w:val="left" w:pos="7665"/>
        </w:tabs>
        <w:wordWrap w:val="0"/>
        <w:topLinePunct/>
        <w:spacing w:line="440" w:lineRule="exact"/>
        <w:rPr>
          <w:rFonts w:hAnsi="宋体"/>
          <w:b/>
          <w:bCs/>
          <w:sz w:val="24"/>
          <w:szCs w:val="24"/>
          <w:highlight w:val="none"/>
        </w:rPr>
        <w:sectPr>
          <w:pgSz w:w="11907" w:h="16840"/>
          <w:pgMar w:top="1440" w:right="1083" w:bottom="1440" w:left="1083" w:header="471" w:footer="992" w:gutter="0"/>
          <w:cols w:space="0" w:num="1"/>
          <w:titlePg/>
        </w:sectPr>
      </w:pPr>
    </w:p>
    <w:p>
      <w:pPr>
        <w:pStyle w:val="45"/>
        <w:spacing w:before="120" w:beforeLines="50" w:after="120" w:afterLines="50"/>
        <w:ind w:firstLine="562"/>
        <w:jc w:val="center"/>
        <w:rPr>
          <w:sz w:val="28"/>
          <w:szCs w:val="28"/>
          <w:highlight w:val="none"/>
        </w:rPr>
      </w:pPr>
      <w:bookmarkStart w:id="294" w:name="_Toc24147"/>
      <w:bookmarkStart w:id="295" w:name="_Toc14500"/>
      <w:r>
        <w:rPr>
          <w:rFonts w:hint="eastAsia"/>
          <w:sz w:val="28"/>
          <w:szCs w:val="28"/>
          <w:highlight w:val="none"/>
        </w:rPr>
        <w:t>九、供应商</w:t>
      </w:r>
      <w:r>
        <w:rPr>
          <w:rFonts w:hint="eastAsia"/>
          <w:sz w:val="28"/>
          <w:szCs w:val="28"/>
          <w:highlight w:val="none"/>
          <w:lang w:val="zh-CN"/>
        </w:rPr>
        <w:t>及其现任法定代表人、主要负责人无行贿犯罪记录</w:t>
      </w:r>
      <w:r>
        <w:rPr>
          <w:rFonts w:hint="eastAsia"/>
          <w:sz w:val="28"/>
          <w:szCs w:val="28"/>
          <w:highlight w:val="none"/>
        </w:rPr>
        <w:t>的承诺函</w:t>
      </w:r>
      <w:bookmarkEnd w:id="294"/>
      <w:bookmarkEnd w:id="295"/>
    </w:p>
    <w:p>
      <w:pPr>
        <w:pStyle w:val="48"/>
        <w:spacing w:line="440" w:lineRule="exact"/>
        <w:rPr>
          <w:sz w:val="24"/>
          <w:szCs w:val="24"/>
          <w:highlight w:val="none"/>
        </w:rPr>
      </w:pPr>
      <w:r>
        <w:rPr>
          <w:rFonts w:hint="eastAsia"/>
          <w:sz w:val="24"/>
          <w:szCs w:val="24"/>
          <w:highlight w:val="none"/>
          <w:u w:val="single"/>
        </w:rPr>
        <w:t xml:space="preserve">                   </w:t>
      </w:r>
      <w:r>
        <w:rPr>
          <w:rFonts w:hint="eastAsia"/>
          <w:sz w:val="24"/>
          <w:szCs w:val="24"/>
          <w:highlight w:val="none"/>
        </w:rPr>
        <w:t>(采购代理机构名称)：</w:t>
      </w:r>
    </w:p>
    <w:p>
      <w:pPr>
        <w:pStyle w:val="48"/>
        <w:spacing w:line="440" w:lineRule="exact"/>
        <w:ind w:firstLine="480" w:firstLineChars="200"/>
        <w:rPr>
          <w:sz w:val="24"/>
          <w:szCs w:val="24"/>
          <w:highlight w:val="none"/>
        </w:rPr>
      </w:pPr>
      <w:r>
        <w:rPr>
          <w:rFonts w:hint="eastAsia"/>
          <w:sz w:val="24"/>
          <w:szCs w:val="24"/>
          <w:highlight w:val="none"/>
        </w:rPr>
        <w:t>我单位作为本次采购项目的供应商，根据采购文件要求，现郑重承诺如下：</w:t>
      </w:r>
    </w:p>
    <w:p>
      <w:pPr>
        <w:pStyle w:val="46"/>
        <w:spacing w:line="440" w:lineRule="exact"/>
        <w:rPr>
          <w:sz w:val="24"/>
          <w:szCs w:val="24"/>
          <w:highlight w:val="none"/>
          <w:u w:val="single"/>
        </w:rPr>
      </w:pPr>
      <w:r>
        <w:rPr>
          <w:rFonts w:hint="eastAsia"/>
          <w:sz w:val="24"/>
          <w:szCs w:val="24"/>
          <w:highlight w:val="none"/>
          <w:u w:val="single"/>
        </w:rPr>
        <w:t xml:space="preserve">        </w:t>
      </w:r>
      <w:r>
        <w:rPr>
          <w:rFonts w:hint="eastAsia"/>
          <w:sz w:val="24"/>
          <w:szCs w:val="24"/>
          <w:highlight w:val="none"/>
        </w:rPr>
        <w:t>(供应商名称)及其现任法定代表人</w:t>
      </w:r>
      <w:r>
        <w:rPr>
          <w:rFonts w:hint="eastAsia"/>
          <w:sz w:val="24"/>
          <w:szCs w:val="24"/>
          <w:highlight w:val="none"/>
          <w:u w:val="single"/>
        </w:rPr>
        <w:t xml:space="preserve">      </w:t>
      </w:r>
      <w:r>
        <w:rPr>
          <w:rFonts w:hint="eastAsia"/>
          <w:sz w:val="24"/>
          <w:szCs w:val="24"/>
          <w:highlight w:val="none"/>
        </w:rPr>
        <w:t>(姓名)、</w:t>
      </w:r>
      <w:r>
        <w:rPr>
          <w:rFonts w:hint="eastAsia"/>
          <w:sz w:val="24"/>
          <w:szCs w:val="24"/>
          <w:highlight w:val="none"/>
          <w:u w:val="single"/>
        </w:rPr>
        <w:t xml:space="preserve">     </w:t>
      </w:r>
      <w:r>
        <w:rPr>
          <w:rFonts w:hint="eastAsia"/>
          <w:sz w:val="24"/>
          <w:szCs w:val="24"/>
          <w:highlight w:val="none"/>
        </w:rPr>
        <w:t>(身份证号码)，主要负责人</w:t>
      </w:r>
      <w:r>
        <w:rPr>
          <w:rFonts w:hint="eastAsia"/>
          <w:sz w:val="24"/>
          <w:szCs w:val="24"/>
          <w:highlight w:val="none"/>
          <w:u w:val="single"/>
        </w:rPr>
        <w:t xml:space="preserve">       </w:t>
      </w:r>
      <w:r>
        <w:rPr>
          <w:rFonts w:hint="eastAsia"/>
          <w:sz w:val="24"/>
          <w:szCs w:val="24"/>
          <w:highlight w:val="none"/>
        </w:rPr>
        <w:t>(姓名)、</w:t>
      </w:r>
      <w:r>
        <w:rPr>
          <w:rFonts w:hint="eastAsia"/>
          <w:sz w:val="24"/>
          <w:szCs w:val="24"/>
          <w:highlight w:val="none"/>
          <w:u w:val="single"/>
        </w:rPr>
        <w:t xml:space="preserve">     </w:t>
      </w:r>
      <w:r>
        <w:rPr>
          <w:rFonts w:hint="eastAsia"/>
          <w:sz w:val="24"/>
          <w:szCs w:val="24"/>
          <w:highlight w:val="none"/>
        </w:rPr>
        <w:t>(身份证号码)，</w:t>
      </w:r>
      <w:r>
        <w:rPr>
          <w:rFonts w:hint="eastAsia"/>
          <w:sz w:val="24"/>
          <w:szCs w:val="24"/>
          <w:highlight w:val="none"/>
          <w:u w:val="single"/>
        </w:rPr>
        <w:t xml:space="preserve">    </w:t>
      </w:r>
      <w:r>
        <w:rPr>
          <w:rFonts w:hint="eastAsia"/>
          <w:sz w:val="24"/>
          <w:szCs w:val="24"/>
          <w:highlight w:val="none"/>
        </w:rPr>
        <w:t xml:space="preserve">(无行贿犯罪记录的期限)均无行贿犯罪记录。     </w:t>
      </w:r>
    </w:p>
    <w:p>
      <w:pPr>
        <w:pStyle w:val="46"/>
        <w:spacing w:line="440" w:lineRule="exact"/>
        <w:rPr>
          <w:sz w:val="24"/>
          <w:szCs w:val="24"/>
          <w:highlight w:val="none"/>
        </w:rPr>
      </w:pPr>
      <w:r>
        <w:rPr>
          <w:rFonts w:hint="eastAsia"/>
          <w:sz w:val="24"/>
          <w:szCs w:val="24"/>
          <w:highlight w:val="none"/>
        </w:rPr>
        <w:t>我单位对上述承诺的内容事项真实性、合法性负责。如经查实上述承诺的内容事项存在虚假，我公司自愿接受以提供虚假材料谋取成交所带来的所有法律责任。</w:t>
      </w:r>
    </w:p>
    <w:p>
      <w:pPr>
        <w:pStyle w:val="48"/>
        <w:spacing w:line="440" w:lineRule="exact"/>
        <w:rPr>
          <w:sz w:val="24"/>
          <w:szCs w:val="24"/>
          <w:highlight w:val="none"/>
        </w:rPr>
      </w:pPr>
    </w:p>
    <w:p>
      <w:pPr>
        <w:pStyle w:val="48"/>
        <w:spacing w:line="440" w:lineRule="exact"/>
        <w:rPr>
          <w:sz w:val="24"/>
          <w:szCs w:val="24"/>
          <w:highlight w:val="none"/>
        </w:rPr>
      </w:pPr>
    </w:p>
    <w:p>
      <w:pPr>
        <w:pStyle w:val="46"/>
        <w:spacing w:line="440" w:lineRule="exact"/>
        <w:rPr>
          <w:sz w:val="24"/>
          <w:szCs w:val="24"/>
          <w:highlight w:val="none"/>
        </w:rPr>
      </w:pPr>
      <w:r>
        <w:rPr>
          <w:rFonts w:hint="eastAsia"/>
          <w:sz w:val="24"/>
          <w:szCs w:val="24"/>
          <w:highlight w:val="none"/>
        </w:rPr>
        <w:t>供应商名称：</w:t>
      </w:r>
      <w:r>
        <w:rPr>
          <w:rFonts w:hint="eastAsia"/>
          <w:sz w:val="24"/>
          <w:szCs w:val="24"/>
          <w:highlight w:val="none"/>
          <w:u w:val="single"/>
        </w:rPr>
        <w:t xml:space="preserve">             </w:t>
      </w:r>
      <w:r>
        <w:rPr>
          <w:rFonts w:hint="eastAsia"/>
          <w:sz w:val="24"/>
          <w:szCs w:val="24"/>
          <w:highlight w:val="none"/>
        </w:rPr>
        <w:t>(盖章)</w:t>
      </w:r>
    </w:p>
    <w:p>
      <w:pPr>
        <w:pStyle w:val="46"/>
        <w:spacing w:line="440" w:lineRule="exact"/>
        <w:rPr>
          <w:sz w:val="24"/>
          <w:szCs w:val="24"/>
          <w:highlight w:val="none"/>
        </w:rPr>
      </w:pPr>
      <w:r>
        <w:rPr>
          <w:rFonts w:hint="eastAsia"/>
          <w:sz w:val="24"/>
          <w:szCs w:val="24"/>
          <w:highlight w:val="none"/>
        </w:rPr>
        <w:t>法定代表人/单位负责人或授权代表：</w:t>
      </w:r>
      <w:r>
        <w:rPr>
          <w:rFonts w:hint="eastAsia"/>
          <w:sz w:val="24"/>
          <w:szCs w:val="24"/>
          <w:highlight w:val="none"/>
          <w:u w:val="single"/>
        </w:rPr>
        <w:t xml:space="preserve">            </w:t>
      </w:r>
      <w:r>
        <w:rPr>
          <w:rFonts w:hint="eastAsia"/>
          <w:sz w:val="24"/>
          <w:szCs w:val="24"/>
          <w:highlight w:val="none"/>
        </w:rPr>
        <w:t>(签字或盖章)</w:t>
      </w:r>
    </w:p>
    <w:p>
      <w:pPr>
        <w:pStyle w:val="10"/>
        <w:wordWrap w:val="0"/>
        <w:topLinePunct/>
        <w:spacing w:after="0" w:line="440" w:lineRule="exact"/>
        <w:ind w:firstLine="480" w:firstLineChars="200"/>
        <w:jc w:val="left"/>
        <w:rPr>
          <w:rFonts w:hAnsi="宋体"/>
          <w:highlight w:val="none"/>
        </w:rPr>
      </w:pPr>
      <w:r>
        <w:rPr>
          <w:rFonts w:hint="eastAsia" w:hAnsi="宋体"/>
          <w:sz w:val="24"/>
          <w:szCs w:val="24"/>
          <w:highlight w:val="none"/>
        </w:rPr>
        <w:t>协商日期：</w:t>
      </w:r>
      <w:r>
        <w:rPr>
          <w:rFonts w:hint="eastAsia" w:hAnsi="宋体"/>
          <w:sz w:val="24"/>
          <w:szCs w:val="24"/>
          <w:highlight w:val="none"/>
          <w:u w:val="single"/>
        </w:rPr>
        <w:t xml:space="preserve">                </w:t>
      </w:r>
    </w:p>
    <w:p>
      <w:pPr>
        <w:wordWrap w:val="0"/>
        <w:topLinePunct/>
        <w:spacing w:line="400" w:lineRule="exact"/>
        <w:rPr>
          <w:rFonts w:hAnsi="宋体"/>
          <w:sz w:val="24"/>
          <w:szCs w:val="24"/>
          <w:highlight w:val="none"/>
        </w:rPr>
      </w:pPr>
    </w:p>
    <w:p>
      <w:pPr>
        <w:pStyle w:val="2"/>
        <w:spacing w:before="0" w:after="0" w:line="440" w:lineRule="exact"/>
        <w:outlineLvl w:val="9"/>
        <w:rPr>
          <w:highlight w:val="none"/>
        </w:rPr>
        <w:sectPr>
          <w:pgSz w:w="11907" w:h="16840"/>
          <w:pgMar w:top="1440" w:right="1083" w:bottom="1440" w:left="1083" w:header="471" w:footer="992" w:gutter="0"/>
          <w:cols w:space="0" w:num="1"/>
          <w:titlePg/>
        </w:sectPr>
      </w:pPr>
      <w:r>
        <w:rPr>
          <w:rFonts w:hint="eastAsia" w:ascii="宋体" w:hAnsi="宋体" w:eastAsia="宋体" w:cs="宋体"/>
          <w:highlight w:val="none"/>
        </w:rPr>
        <w:t xml:space="preserve">    注：供应商成立时间超过十年的，在“无行贿犯罪记录的期限”处填写“十年内”；供应商成立时间不足十年的，在“无行贿犯罪记录的期限”处填写“自我单位成立之日起至今”。</w:t>
      </w:r>
    </w:p>
    <w:p>
      <w:pPr>
        <w:pStyle w:val="45"/>
        <w:spacing w:before="120" w:beforeLines="50" w:after="120" w:afterLines="50"/>
        <w:ind w:firstLine="562"/>
        <w:jc w:val="center"/>
        <w:rPr>
          <w:sz w:val="28"/>
          <w:szCs w:val="28"/>
          <w:highlight w:val="none"/>
        </w:rPr>
      </w:pPr>
      <w:bookmarkStart w:id="296" w:name="_Toc14686"/>
      <w:bookmarkStart w:id="297" w:name="_Toc19362"/>
      <w:r>
        <w:rPr>
          <w:rFonts w:hint="eastAsia"/>
          <w:sz w:val="28"/>
          <w:szCs w:val="28"/>
          <w:highlight w:val="none"/>
        </w:rPr>
        <w:t>十、信用信息查询</w:t>
      </w:r>
      <w:bookmarkEnd w:id="296"/>
      <w:bookmarkEnd w:id="297"/>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wordWrap w:val="0"/>
        <w:topLinePunct/>
        <w:spacing w:line="440" w:lineRule="exact"/>
        <w:ind w:firstLine="480" w:firstLineChars="200"/>
        <w:rPr>
          <w:rFonts w:hAnsi="宋体"/>
          <w:b/>
          <w:bCs/>
          <w:sz w:val="24"/>
          <w:szCs w:val="24"/>
          <w:highlight w:val="none"/>
        </w:rPr>
      </w:pPr>
      <w:r>
        <w:rPr>
          <w:rFonts w:hint="eastAsia" w:hAnsi="宋体"/>
          <w:sz w:val="24"/>
          <w:szCs w:val="24"/>
          <w:highlight w:val="none"/>
        </w:rPr>
        <w:t>注：①采购代理机构通过“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②供应商参与协商时无需对此条进行响应。</w:t>
      </w:r>
    </w:p>
    <w:p>
      <w:pPr>
        <w:keepNext/>
        <w:keepLines/>
        <w:rPr>
          <w:highlight w:val="none"/>
        </w:rPr>
      </w:pPr>
    </w:p>
    <w:p>
      <w:pPr>
        <w:rPr>
          <w:highlight w:val="none"/>
        </w:rPr>
      </w:pPr>
      <w:r>
        <w:rPr>
          <w:rFonts w:hint="eastAsia"/>
          <w:highlight w:val="non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 xml:space="preserve">       </w:t>
      </w:r>
    </w:p>
    <w:p>
      <w:pPr>
        <w:pStyle w:val="10"/>
        <w:wordWrap w:val="0"/>
        <w:topLinePunct/>
        <w:rPr>
          <w:rFonts w:hAnsi="宋体"/>
          <w:sz w:val="24"/>
          <w:szCs w:val="24"/>
          <w:highlight w:val="none"/>
        </w:rPr>
        <w:sectPr>
          <w:pgSz w:w="11907" w:h="16840"/>
          <w:pgMar w:top="1440" w:right="1083" w:bottom="1440" w:left="1083" w:header="471" w:footer="992" w:gutter="0"/>
          <w:cols w:space="0" w:num="1"/>
          <w:titlePg/>
        </w:sectPr>
      </w:pPr>
      <w:bookmarkStart w:id="298" w:name="_Toc217446089"/>
    </w:p>
    <w:p>
      <w:pPr>
        <w:pStyle w:val="5"/>
        <w:wordWrap w:val="0"/>
        <w:topLinePunct/>
        <w:jc w:val="center"/>
        <w:rPr>
          <w:rFonts w:ascii="宋体" w:hAnsi="宋体" w:eastAsia="宋体" w:cs="宋体"/>
          <w:b/>
          <w:sz w:val="28"/>
          <w:szCs w:val="28"/>
          <w:highlight w:val="none"/>
        </w:rPr>
      </w:pPr>
      <w:bookmarkStart w:id="299" w:name="_Toc15850"/>
      <w:bookmarkStart w:id="300" w:name="_Toc30673"/>
      <w:bookmarkStart w:id="301" w:name="_Toc18804"/>
      <w:bookmarkStart w:id="302" w:name="_Toc24293"/>
      <w:bookmarkStart w:id="303" w:name="_Toc24776"/>
      <w:bookmarkStart w:id="304" w:name="_Toc13729"/>
      <w:bookmarkStart w:id="305" w:name="_Toc10592"/>
      <w:bookmarkStart w:id="306" w:name="_Toc29476"/>
      <w:bookmarkStart w:id="307" w:name="_Toc29310"/>
      <w:bookmarkStart w:id="308" w:name="_Toc13341"/>
      <w:bookmarkStart w:id="309" w:name="_Toc28099"/>
      <w:bookmarkStart w:id="310" w:name="_Toc8290"/>
      <w:bookmarkStart w:id="311" w:name="_Toc6004"/>
      <w:r>
        <w:rPr>
          <w:rFonts w:hint="eastAsia" w:ascii="宋体" w:hAnsi="宋体" w:eastAsia="宋体" w:cs="宋体"/>
          <w:b/>
          <w:sz w:val="28"/>
          <w:szCs w:val="28"/>
          <w:highlight w:val="none"/>
        </w:rPr>
        <w:t>十一、</w:t>
      </w:r>
      <w:bookmarkStart w:id="312" w:name="_Toc15054"/>
      <w:bookmarkStart w:id="313" w:name="_Toc27123"/>
      <w:bookmarkStart w:id="314" w:name="_Toc19166"/>
      <w:bookmarkStart w:id="315" w:name="_Toc4865"/>
      <w:r>
        <w:rPr>
          <w:rFonts w:hint="eastAsia" w:ascii="宋体" w:hAnsi="宋体" w:eastAsia="宋体" w:cs="宋体"/>
          <w:b/>
          <w:sz w:val="28"/>
          <w:szCs w:val="28"/>
          <w:highlight w:val="none"/>
        </w:rPr>
        <w:t>根据采购项目的特殊要求，规定供应商提供的特定条件</w:t>
      </w:r>
      <w:bookmarkEnd w:id="312"/>
      <w:r>
        <w:rPr>
          <w:rFonts w:hint="eastAsia" w:ascii="宋体" w:hAnsi="宋体" w:eastAsia="宋体" w:cs="宋体"/>
          <w:b/>
          <w:sz w:val="28"/>
          <w:szCs w:val="28"/>
          <w:highlight w:val="none"/>
        </w:rPr>
        <w:t>的证明材料</w:t>
      </w:r>
      <w:bookmarkEnd w:id="299"/>
      <w:bookmarkEnd w:id="300"/>
      <w:bookmarkEnd w:id="301"/>
      <w:bookmarkEnd w:id="302"/>
      <w:bookmarkEnd w:id="313"/>
      <w:bookmarkEnd w:id="314"/>
      <w:bookmarkEnd w:id="315"/>
    </w:p>
    <w:p>
      <w:pPr>
        <w:wordWrap w:val="0"/>
        <w:topLinePunct/>
        <w:spacing w:line="400" w:lineRule="exact"/>
        <w:ind w:firstLine="480" w:firstLineChars="200"/>
        <w:rPr>
          <w:highlight w:val="none"/>
        </w:rPr>
      </w:pPr>
      <w:r>
        <w:rPr>
          <w:rFonts w:hint="eastAsia" w:hAnsi="宋体"/>
          <w:sz w:val="24"/>
          <w:szCs w:val="24"/>
          <w:highlight w:val="none"/>
        </w:rPr>
        <w:t>提供国家行政主管部门颁发的且在有效期内的《中华人民共和国报纸出版许可证》复印件。</w:t>
      </w:r>
    </w:p>
    <w:p>
      <w:pPr>
        <w:pStyle w:val="45"/>
        <w:spacing w:before="156" w:beforeLines="50" w:after="156" w:afterLines="50"/>
        <w:ind w:firstLine="562"/>
        <w:jc w:val="center"/>
        <w:rPr>
          <w:sz w:val="28"/>
          <w:szCs w:val="28"/>
          <w:highlight w:val="none"/>
        </w:rPr>
        <w:sectPr>
          <w:pgSz w:w="11906" w:h="16838"/>
          <w:pgMar w:top="1440" w:right="1083" w:bottom="1440" w:left="1083" w:header="851" w:footer="992" w:gutter="0"/>
          <w:cols w:space="425" w:num="1"/>
          <w:docGrid w:type="lines" w:linePitch="312" w:charSpace="0"/>
        </w:sectPr>
      </w:pPr>
    </w:p>
    <w:p>
      <w:pPr>
        <w:pStyle w:val="45"/>
        <w:spacing w:before="156" w:beforeLines="50" w:after="156" w:afterLines="50"/>
        <w:ind w:firstLine="562"/>
        <w:jc w:val="center"/>
        <w:rPr>
          <w:sz w:val="28"/>
          <w:szCs w:val="28"/>
          <w:highlight w:val="none"/>
        </w:rPr>
      </w:pPr>
      <w:bookmarkStart w:id="316" w:name="_Toc23767"/>
      <w:bookmarkStart w:id="317" w:name="_Toc14704"/>
      <w:r>
        <w:rPr>
          <w:rFonts w:hint="eastAsia"/>
          <w:sz w:val="28"/>
          <w:szCs w:val="28"/>
          <w:highlight w:val="none"/>
        </w:rPr>
        <w:t>十二、商务、服务应答表</w:t>
      </w:r>
      <w:bookmarkEnd w:id="316"/>
      <w:bookmarkEnd w:id="317"/>
    </w:p>
    <w:p>
      <w:pPr>
        <w:wordWrap w:val="0"/>
        <w:topLinePunct/>
        <w:spacing w:line="400" w:lineRule="exact"/>
        <w:rPr>
          <w:rFonts w:hAnsi="宋体"/>
          <w:sz w:val="24"/>
          <w:szCs w:val="24"/>
          <w:highlight w:val="none"/>
        </w:rPr>
      </w:pPr>
      <w:r>
        <w:rPr>
          <w:rFonts w:hint="eastAsia" w:hAnsi="宋体"/>
          <w:sz w:val="24"/>
          <w:szCs w:val="24"/>
          <w:highlight w:val="none"/>
        </w:rPr>
        <w:t>项目名称：</w:t>
      </w:r>
      <w:r>
        <w:rPr>
          <w:rFonts w:hint="eastAsia" w:hAnsi="宋体"/>
          <w:sz w:val="24"/>
          <w:szCs w:val="24"/>
          <w:highlight w:val="none"/>
          <w:u w:val="single"/>
        </w:rPr>
        <w:t xml:space="preserve">                        </w:t>
      </w:r>
    </w:p>
    <w:p>
      <w:pPr>
        <w:wordWrap w:val="0"/>
        <w:topLinePunct/>
        <w:spacing w:line="400" w:lineRule="exact"/>
        <w:rPr>
          <w:rFonts w:hAnsi="宋体"/>
          <w:sz w:val="24"/>
          <w:szCs w:val="24"/>
          <w:highlight w:val="none"/>
        </w:rPr>
      </w:pPr>
      <w:r>
        <w:rPr>
          <w:rFonts w:hint="eastAsia" w:hAnsi="宋体"/>
          <w:sz w:val="24"/>
          <w:szCs w:val="24"/>
          <w:highlight w:val="none"/>
        </w:rPr>
        <w:t>项目编号：</w:t>
      </w:r>
      <w:r>
        <w:rPr>
          <w:rFonts w:hint="eastAsia" w:hAnsi="宋体"/>
          <w:sz w:val="24"/>
          <w:szCs w:val="24"/>
          <w:highlight w:val="none"/>
          <w:u w:val="single"/>
        </w:rPr>
        <w:t xml:space="preserve">                        </w:t>
      </w:r>
      <w:r>
        <w:rPr>
          <w:rFonts w:hint="eastAsia" w:hAnsi="宋体"/>
          <w:sz w:val="24"/>
          <w:szCs w:val="24"/>
          <w:highlight w:val="none"/>
        </w:rPr>
        <w:t xml:space="preserve">                                            </w:t>
      </w:r>
    </w:p>
    <w:tbl>
      <w:tblPr>
        <w:tblStyle w:val="22"/>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711"/>
        <w:gridCol w:w="3712"/>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Align w:val="center"/>
          </w:tcPr>
          <w:p>
            <w:pPr>
              <w:wordWrap w:val="0"/>
              <w:topLinePunct/>
              <w:spacing w:before="60" w:after="60"/>
              <w:jc w:val="center"/>
              <w:rPr>
                <w:rFonts w:hAnsi="宋体"/>
                <w:b/>
                <w:bCs/>
                <w:sz w:val="21"/>
                <w:szCs w:val="21"/>
                <w:highlight w:val="none"/>
              </w:rPr>
            </w:pPr>
            <w:r>
              <w:rPr>
                <w:rFonts w:hint="eastAsia" w:hAnsi="宋体"/>
                <w:b/>
                <w:bCs/>
                <w:sz w:val="21"/>
                <w:szCs w:val="21"/>
                <w:highlight w:val="none"/>
              </w:rPr>
              <w:t>序号</w:t>
            </w:r>
          </w:p>
        </w:tc>
        <w:tc>
          <w:tcPr>
            <w:tcW w:w="3711" w:type="dxa"/>
            <w:vAlign w:val="center"/>
          </w:tcPr>
          <w:p>
            <w:pPr>
              <w:wordWrap w:val="0"/>
              <w:topLinePunct/>
              <w:spacing w:before="60" w:after="60"/>
              <w:jc w:val="center"/>
              <w:rPr>
                <w:rFonts w:hAnsi="宋体"/>
                <w:b/>
                <w:bCs/>
                <w:sz w:val="21"/>
                <w:szCs w:val="21"/>
                <w:highlight w:val="none"/>
              </w:rPr>
            </w:pPr>
            <w:r>
              <w:rPr>
                <w:rFonts w:hint="eastAsia" w:hAnsi="宋体"/>
                <w:b/>
                <w:bCs/>
                <w:sz w:val="21"/>
                <w:szCs w:val="21"/>
                <w:highlight w:val="none"/>
              </w:rPr>
              <w:t>采购文件要求</w:t>
            </w:r>
          </w:p>
        </w:tc>
        <w:tc>
          <w:tcPr>
            <w:tcW w:w="3712" w:type="dxa"/>
            <w:vAlign w:val="center"/>
          </w:tcPr>
          <w:p>
            <w:pPr>
              <w:wordWrap w:val="0"/>
              <w:topLinePunct/>
              <w:spacing w:before="60" w:after="60"/>
              <w:jc w:val="center"/>
              <w:rPr>
                <w:rFonts w:hAnsi="宋体"/>
                <w:b/>
                <w:bCs/>
                <w:sz w:val="21"/>
                <w:szCs w:val="21"/>
                <w:highlight w:val="none"/>
              </w:rPr>
            </w:pPr>
            <w:r>
              <w:rPr>
                <w:rFonts w:hint="eastAsia" w:hAnsi="宋体"/>
                <w:b/>
                <w:bCs/>
                <w:sz w:val="21"/>
                <w:szCs w:val="21"/>
                <w:highlight w:val="none"/>
              </w:rPr>
              <w:t>响应文件应答</w:t>
            </w:r>
          </w:p>
        </w:tc>
        <w:tc>
          <w:tcPr>
            <w:tcW w:w="1535" w:type="dxa"/>
            <w:vAlign w:val="center"/>
          </w:tcPr>
          <w:p>
            <w:pPr>
              <w:wordWrap w:val="0"/>
              <w:topLinePunct/>
              <w:spacing w:before="60" w:after="60"/>
              <w:jc w:val="center"/>
              <w:rPr>
                <w:rFonts w:hAnsi="宋体"/>
                <w:b/>
                <w:bCs/>
                <w:sz w:val="21"/>
                <w:szCs w:val="21"/>
                <w:highlight w:val="none"/>
              </w:rPr>
            </w:pPr>
            <w:r>
              <w:rPr>
                <w:rFonts w:hint="eastAsia" w:hAnsi="宋体"/>
                <w:b/>
                <w:bCs/>
                <w:sz w:val="21"/>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tcPr>
          <w:p>
            <w:pPr>
              <w:wordWrap w:val="0"/>
              <w:topLinePunct/>
              <w:spacing w:before="120" w:after="120"/>
              <w:rPr>
                <w:rFonts w:hAnsi="宋体"/>
                <w:sz w:val="21"/>
                <w:szCs w:val="21"/>
                <w:highlight w:val="none"/>
              </w:rPr>
            </w:pPr>
          </w:p>
        </w:tc>
        <w:tc>
          <w:tcPr>
            <w:tcW w:w="3711" w:type="dxa"/>
          </w:tcPr>
          <w:p>
            <w:pPr>
              <w:wordWrap w:val="0"/>
              <w:topLinePunct/>
              <w:spacing w:before="120" w:after="120"/>
              <w:rPr>
                <w:rFonts w:hAnsi="宋体"/>
                <w:sz w:val="21"/>
                <w:szCs w:val="21"/>
                <w:highlight w:val="none"/>
              </w:rPr>
            </w:pPr>
          </w:p>
        </w:tc>
        <w:tc>
          <w:tcPr>
            <w:tcW w:w="3712" w:type="dxa"/>
          </w:tcPr>
          <w:p>
            <w:pPr>
              <w:wordWrap w:val="0"/>
              <w:topLinePunct/>
              <w:spacing w:before="120" w:after="120"/>
              <w:rPr>
                <w:rFonts w:hAnsi="宋体"/>
                <w:sz w:val="21"/>
                <w:szCs w:val="21"/>
                <w:highlight w:val="none"/>
              </w:rPr>
            </w:pPr>
          </w:p>
        </w:tc>
        <w:tc>
          <w:tcPr>
            <w:tcW w:w="1535" w:type="dxa"/>
          </w:tcPr>
          <w:p>
            <w:pPr>
              <w:wordWrap w:val="0"/>
              <w:topLinePunct/>
              <w:spacing w:before="120" w:after="120"/>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tcPr>
          <w:p>
            <w:pPr>
              <w:wordWrap w:val="0"/>
              <w:topLinePunct/>
              <w:spacing w:before="120" w:after="120"/>
              <w:rPr>
                <w:rFonts w:hAnsi="宋体"/>
                <w:sz w:val="21"/>
                <w:szCs w:val="21"/>
                <w:highlight w:val="none"/>
              </w:rPr>
            </w:pPr>
          </w:p>
        </w:tc>
        <w:tc>
          <w:tcPr>
            <w:tcW w:w="3711" w:type="dxa"/>
          </w:tcPr>
          <w:p>
            <w:pPr>
              <w:wordWrap w:val="0"/>
              <w:topLinePunct/>
              <w:spacing w:before="120" w:after="120"/>
              <w:rPr>
                <w:rFonts w:hAnsi="宋体"/>
                <w:sz w:val="21"/>
                <w:szCs w:val="21"/>
                <w:highlight w:val="none"/>
              </w:rPr>
            </w:pPr>
          </w:p>
        </w:tc>
        <w:tc>
          <w:tcPr>
            <w:tcW w:w="3712" w:type="dxa"/>
          </w:tcPr>
          <w:p>
            <w:pPr>
              <w:wordWrap w:val="0"/>
              <w:topLinePunct/>
              <w:spacing w:before="120" w:after="120"/>
              <w:rPr>
                <w:rFonts w:hAnsi="宋体"/>
                <w:sz w:val="21"/>
                <w:szCs w:val="21"/>
                <w:highlight w:val="none"/>
              </w:rPr>
            </w:pPr>
          </w:p>
        </w:tc>
        <w:tc>
          <w:tcPr>
            <w:tcW w:w="1535" w:type="dxa"/>
          </w:tcPr>
          <w:p>
            <w:pPr>
              <w:wordWrap w:val="0"/>
              <w:topLinePunct/>
              <w:spacing w:before="120" w:after="120"/>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tcPr>
          <w:p>
            <w:pPr>
              <w:wordWrap w:val="0"/>
              <w:topLinePunct/>
              <w:spacing w:before="120" w:after="120"/>
              <w:rPr>
                <w:rFonts w:hAnsi="宋体"/>
                <w:sz w:val="21"/>
                <w:szCs w:val="21"/>
                <w:highlight w:val="none"/>
              </w:rPr>
            </w:pPr>
          </w:p>
        </w:tc>
        <w:tc>
          <w:tcPr>
            <w:tcW w:w="3711" w:type="dxa"/>
          </w:tcPr>
          <w:p>
            <w:pPr>
              <w:wordWrap w:val="0"/>
              <w:topLinePunct/>
              <w:spacing w:before="120" w:after="120"/>
              <w:rPr>
                <w:rFonts w:hAnsi="宋体"/>
                <w:sz w:val="21"/>
                <w:szCs w:val="21"/>
                <w:highlight w:val="none"/>
              </w:rPr>
            </w:pPr>
          </w:p>
        </w:tc>
        <w:tc>
          <w:tcPr>
            <w:tcW w:w="3712" w:type="dxa"/>
          </w:tcPr>
          <w:p>
            <w:pPr>
              <w:wordWrap w:val="0"/>
              <w:topLinePunct/>
              <w:spacing w:before="120" w:after="120"/>
              <w:rPr>
                <w:rFonts w:hAnsi="宋体"/>
                <w:sz w:val="21"/>
                <w:szCs w:val="21"/>
                <w:highlight w:val="none"/>
              </w:rPr>
            </w:pPr>
          </w:p>
        </w:tc>
        <w:tc>
          <w:tcPr>
            <w:tcW w:w="1535" w:type="dxa"/>
          </w:tcPr>
          <w:p>
            <w:pPr>
              <w:wordWrap w:val="0"/>
              <w:topLinePunct/>
              <w:spacing w:before="120" w:after="120"/>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tcPr>
          <w:p>
            <w:pPr>
              <w:wordWrap w:val="0"/>
              <w:topLinePunct/>
              <w:spacing w:before="120" w:after="120"/>
              <w:rPr>
                <w:rFonts w:hAnsi="宋体"/>
                <w:sz w:val="21"/>
                <w:szCs w:val="21"/>
                <w:highlight w:val="none"/>
              </w:rPr>
            </w:pPr>
          </w:p>
        </w:tc>
        <w:tc>
          <w:tcPr>
            <w:tcW w:w="3711" w:type="dxa"/>
          </w:tcPr>
          <w:p>
            <w:pPr>
              <w:wordWrap w:val="0"/>
              <w:topLinePunct/>
              <w:spacing w:before="120" w:after="120"/>
              <w:rPr>
                <w:rFonts w:hAnsi="宋体"/>
                <w:sz w:val="21"/>
                <w:szCs w:val="21"/>
                <w:highlight w:val="none"/>
              </w:rPr>
            </w:pPr>
          </w:p>
        </w:tc>
        <w:tc>
          <w:tcPr>
            <w:tcW w:w="3712" w:type="dxa"/>
          </w:tcPr>
          <w:p>
            <w:pPr>
              <w:wordWrap w:val="0"/>
              <w:topLinePunct/>
              <w:spacing w:before="120" w:after="120"/>
              <w:rPr>
                <w:rFonts w:hAnsi="宋体"/>
                <w:sz w:val="21"/>
                <w:szCs w:val="21"/>
                <w:highlight w:val="none"/>
              </w:rPr>
            </w:pPr>
          </w:p>
        </w:tc>
        <w:tc>
          <w:tcPr>
            <w:tcW w:w="1535" w:type="dxa"/>
          </w:tcPr>
          <w:p>
            <w:pPr>
              <w:wordWrap w:val="0"/>
              <w:topLinePunct/>
              <w:spacing w:before="120" w:after="120"/>
              <w:rPr>
                <w:rFonts w:hAnsi="宋体"/>
                <w:sz w:val="21"/>
                <w:szCs w:val="21"/>
                <w:highlight w:val="none"/>
              </w:rPr>
            </w:pPr>
          </w:p>
        </w:tc>
      </w:tr>
    </w:tbl>
    <w:p>
      <w:pPr>
        <w:shd w:val="clear" w:color="auto" w:fill="FFFFFF"/>
        <w:wordWrap w:val="0"/>
        <w:topLinePunct/>
        <w:spacing w:line="440" w:lineRule="exact"/>
        <w:ind w:firstLine="482" w:firstLineChars="200"/>
        <w:jc w:val="left"/>
        <w:rPr>
          <w:rFonts w:hAnsi="宋体"/>
          <w:b/>
          <w:bCs/>
          <w:sz w:val="24"/>
          <w:szCs w:val="24"/>
          <w:highlight w:val="none"/>
        </w:rPr>
      </w:pPr>
      <w:r>
        <w:rPr>
          <w:rFonts w:hint="eastAsia" w:hAnsi="宋体"/>
          <w:b/>
          <w:bCs/>
          <w:sz w:val="24"/>
          <w:highlight w:val="none"/>
        </w:rPr>
        <w:t>注：如与单一来源采购文件第三章服务内容及要求、商务要求的内容有偏离(包括正偏离和负偏离)，请将偏离条款逐条应答。如与单一来</w:t>
      </w:r>
      <w:r>
        <w:rPr>
          <w:rFonts w:hint="eastAsia" w:hAnsi="宋体"/>
          <w:b/>
          <w:bCs/>
          <w:sz w:val="24"/>
          <w:highlight w:val="none"/>
        </w:rPr>
        <w:t>源采购文件第三章服务内容及要求、商务要求的所有条款无偏离，则无须在此表中应答，视为默认完</w:t>
      </w:r>
      <w:r>
        <w:rPr>
          <w:rFonts w:hint="eastAsia" w:hAnsi="宋体"/>
          <w:b/>
          <w:bCs/>
          <w:sz w:val="24"/>
          <w:highlight w:val="none"/>
        </w:rPr>
        <w:t>全响应和接受单一来源采购文件第三章服务内容及要求、商务要求所有的内容，供应商不得以未作应答而拒不接受。供应商必须据实填写，不得虚假应答，否则将取消其成交资格。</w:t>
      </w:r>
    </w:p>
    <w:p>
      <w:pPr>
        <w:wordWrap w:val="0"/>
        <w:topLinePunct/>
        <w:adjustRightInd w:val="0"/>
        <w:spacing w:line="440" w:lineRule="exact"/>
        <w:ind w:firstLine="480" w:firstLineChars="200"/>
        <w:jc w:val="left"/>
        <w:rPr>
          <w:rFonts w:hAnsi="宋体"/>
          <w:sz w:val="24"/>
          <w:szCs w:val="24"/>
          <w:highlight w:val="none"/>
        </w:rPr>
      </w:pPr>
    </w:p>
    <w:p>
      <w:pPr>
        <w:pStyle w:val="2"/>
        <w:keepNext w:val="0"/>
        <w:keepLines w:val="0"/>
        <w:wordWrap w:val="0"/>
        <w:topLinePunct/>
        <w:spacing w:line="440" w:lineRule="exact"/>
        <w:ind w:firstLine="482" w:firstLineChars="200"/>
        <w:outlineLvl w:val="9"/>
        <w:rPr>
          <w:rFonts w:ascii="宋体" w:hAnsi="宋体" w:eastAsia="宋体" w:cs="宋体"/>
          <w:highlight w:val="none"/>
        </w:rPr>
      </w:pP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供应商名称：</w:t>
      </w:r>
      <w:r>
        <w:rPr>
          <w:rFonts w:hint="eastAsia" w:hAnsi="宋体"/>
          <w:sz w:val="24"/>
          <w:szCs w:val="24"/>
          <w:highlight w:val="none"/>
          <w:u w:val="single"/>
        </w:rPr>
        <w:t xml:space="preserve">            </w:t>
      </w:r>
      <w:r>
        <w:rPr>
          <w:rFonts w:hint="eastAsia" w:hAnsi="宋体"/>
          <w:sz w:val="24"/>
          <w:szCs w:val="24"/>
          <w:highlight w:val="none"/>
        </w:rPr>
        <w:t>(盖章)</w:t>
      </w: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法定代表人/单位负责人(签字或盖章)或授权代表(签字)：</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协商日期：</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日</w:t>
      </w:r>
    </w:p>
    <w:p>
      <w:pPr>
        <w:wordWrap w:val="0"/>
        <w:topLinePunct/>
        <w:spacing w:line="440" w:lineRule="exact"/>
        <w:jc w:val="center"/>
        <w:outlineLvl w:val="1"/>
        <w:rPr>
          <w:rFonts w:hAnsi="宋体"/>
          <w:b/>
          <w:sz w:val="28"/>
          <w:szCs w:val="28"/>
          <w:highlight w:val="none"/>
        </w:rPr>
      </w:pPr>
      <w:r>
        <w:rPr>
          <w:rFonts w:hint="eastAsia" w:hAnsi="宋体"/>
          <w:b/>
          <w:bCs/>
          <w:sz w:val="28"/>
          <w:szCs w:val="28"/>
          <w:highlight w:val="none"/>
        </w:rPr>
        <w:br w:type="page"/>
      </w:r>
      <w:bookmarkStart w:id="318" w:name="_Toc3279"/>
      <w:bookmarkStart w:id="319" w:name="_Toc9856"/>
      <w:r>
        <w:rPr>
          <w:rFonts w:hint="eastAsia" w:hAnsi="宋体"/>
          <w:b/>
          <w:sz w:val="28"/>
          <w:szCs w:val="28"/>
          <w:highlight w:val="none"/>
        </w:rPr>
        <w:t>十三、项目管理、技术、服务人员配置情况表</w:t>
      </w:r>
      <w:bookmarkEnd w:id="303"/>
      <w:bookmarkEnd w:id="304"/>
      <w:bookmarkEnd w:id="305"/>
      <w:bookmarkEnd w:id="306"/>
      <w:bookmarkEnd w:id="307"/>
      <w:bookmarkEnd w:id="308"/>
      <w:bookmarkEnd w:id="309"/>
      <w:bookmarkEnd w:id="310"/>
      <w:bookmarkEnd w:id="311"/>
      <w:bookmarkEnd w:id="318"/>
      <w:bookmarkEnd w:id="319"/>
    </w:p>
    <w:p>
      <w:pPr>
        <w:wordWrap w:val="0"/>
        <w:topLinePunct/>
        <w:spacing w:line="400" w:lineRule="exact"/>
        <w:rPr>
          <w:rFonts w:hAnsi="宋体"/>
          <w:sz w:val="24"/>
          <w:szCs w:val="24"/>
          <w:highlight w:val="none"/>
        </w:rPr>
      </w:pPr>
      <w:r>
        <w:rPr>
          <w:rFonts w:hint="eastAsia" w:hAnsi="宋体"/>
          <w:sz w:val="24"/>
          <w:szCs w:val="24"/>
          <w:highlight w:val="none"/>
        </w:rPr>
        <w:t>项目名称：</w:t>
      </w:r>
      <w:r>
        <w:rPr>
          <w:rFonts w:hint="eastAsia" w:hAnsi="宋体"/>
          <w:sz w:val="24"/>
          <w:szCs w:val="24"/>
          <w:highlight w:val="none"/>
          <w:u w:val="single"/>
        </w:rPr>
        <w:t xml:space="preserve">                        </w:t>
      </w:r>
    </w:p>
    <w:p>
      <w:pPr>
        <w:wordWrap w:val="0"/>
        <w:topLinePunct/>
        <w:spacing w:line="400" w:lineRule="exact"/>
        <w:rPr>
          <w:rFonts w:hAnsi="宋体"/>
          <w:sz w:val="24"/>
          <w:szCs w:val="24"/>
          <w:highlight w:val="none"/>
        </w:rPr>
      </w:pPr>
      <w:r>
        <w:rPr>
          <w:rFonts w:hint="eastAsia" w:hAnsi="宋体"/>
          <w:sz w:val="24"/>
          <w:szCs w:val="24"/>
          <w:highlight w:val="none"/>
        </w:rPr>
        <w:t>项目编号：</w:t>
      </w:r>
      <w:r>
        <w:rPr>
          <w:rFonts w:hint="eastAsia" w:hAnsi="宋体"/>
          <w:sz w:val="24"/>
          <w:szCs w:val="24"/>
          <w:highlight w:val="none"/>
          <w:u w:val="single"/>
        </w:rPr>
        <w:t xml:space="preserve">                        </w:t>
      </w:r>
    </w:p>
    <w:tbl>
      <w:tblPr>
        <w:tblStyle w:val="22"/>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211"/>
        <w:gridCol w:w="922"/>
        <w:gridCol w:w="923"/>
        <w:gridCol w:w="1228"/>
        <w:gridCol w:w="1535"/>
        <w:gridCol w:w="853"/>
        <w:gridCol w:w="99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restart"/>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类别</w:t>
            </w:r>
          </w:p>
        </w:tc>
        <w:tc>
          <w:tcPr>
            <w:tcW w:w="1211" w:type="dxa"/>
            <w:vMerge w:val="restart"/>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职务</w:t>
            </w:r>
          </w:p>
        </w:tc>
        <w:tc>
          <w:tcPr>
            <w:tcW w:w="922" w:type="dxa"/>
            <w:vMerge w:val="restart"/>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姓名</w:t>
            </w:r>
          </w:p>
        </w:tc>
        <w:tc>
          <w:tcPr>
            <w:tcW w:w="923" w:type="dxa"/>
            <w:vMerge w:val="restart"/>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职称</w:t>
            </w:r>
          </w:p>
        </w:tc>
        <w:tc>
          <w:tcPr>
            <w:tcW w:w="1228" w:type="dxa"/>
            <w:vMerge w:val="restart"/>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常住地</w:t>
            </w:r>
          </w:p>
        </w:tc>
        <w:tc>
          <w:tcPr>
            <w:tcW w:w="4614" w:type="dxa"/>
            <w:gridSpan w:val="4"/>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continue"/>
            <w:shd w:val="clear" w:color="auto" w:fill="FFFFFF" w:themeFill="background1"/>
            <w:vAlign w:val="center"/>
          </w:tcPr>
          <w:p>
            <w:pPr>
              <w:wordWrap w:val="0"/>
              <w:topLinePunct/>
              <w:spacing w:line="400" w:lineRule="exact"/>
              <w:jc w:val="center"/>
              <w:rPr>
                <w:rFonts w:hAnsi="宋体"/>
                <w:sz w:val="21"/>
                <w:szCs w:val="21"/>
                <w:highlight w:val="none"/>
              </w:rPr>
            </w:pPr>
          </w:p>
        </w:tc>
        <w:tc>
          <w:tcPr>
            <w:tcW w:w="1211" w:type="dxa"/>
            <w:vMerge w:val="continue"/>
            <w:shd w:val="clear" w:color="auto" w:fill="FFFFFF" w:themeFill="background1"/>
            <w:vAlign w:val="center"/>
          </w:tcPr>
          <w:p>
            <w:pPr>
              <w:wordWrap w:val="0"/>
              <w:topLinePunct/>
              <w:spacing w:line="400" w:lineRule="exact"/>
              <w:jc w:val="center"/>
              <w:rPr>
                <w:rFonts w:hAnsi="宋体"/>
                <w:sz w:val="21"/>
                <w:szCs w:val="21"/>
                <w:highlight w:val="none"/>
              </w:rPr>
            </w:pPr>
          </w:p>
        </w:tc>
        <w:tc>
          <w:tcPr>
            <w:tcW w:w="922" w:type="dxa"/>
            <w:vMerge w:val="continue"/>
            <w:shd w:val="clear" w:color="auto" w:fill="FFFFFF" w:themeFill="background1"/>
            <w:vAlign w:val="center"/>
          </w:tcPr>
          <w:p>
            <w:pPr>
              <w:wordWrap w:val="0"/>
              <w:topLinePunct/>
              <w:spacing w:line="400" w:lineRule="exact"/>
              <w:jc w:val="center"/>
              <w:rPr>
                <w:rFonts w:hAnsi="宋体"/>
                <w:sz w:val="21"/>
                <w:szCs w:val="21"/>
                <w:highlight w:val="none"/>
              </w:rPr>
            </w:pPr>
          </w:p>
        </w:tc>
        <w:tc>
          <w:tcPr>
            <w:tcW w:w="923" w:type="dxa"/>
            <w:vMerge w:val="continue"/>
            <w:shd w:val="clear" w:color="auto" w:fill="FFFFFF" w:themeFill="background1"/>
            <w:vAlign w:val="center"/>
          </w:tcPr>
          <w:p>
            <w:pPr>
              <w:wordWrap w:val="0"/>
              <w:topLinePunct/>
              <w:spacing w:line="400" w:lineRule="exact"/>
              <w:jc w:val="center"/>
              <w:rPr>
                <w:rFonts w:hAnsi="宋体"/>
                <w:sz w:val="21"/>
                <w:szCs w:val="21"/>
                <w:highlight w:val="none"/>
              </w:rPr>
            </w:pPr>
          </w:p>
        </w:tc>
        <w:tc>
          <w:tcPr>
            <w:tcW w:w="1228" w:type="dxa"/>
            <w:vMerge w:val="continue"/>
            <w:shd w:val="clear" w:color="auto" w:fill="FFFFFF" w:themeFill="background1"/>
            <w:vAlign w:val="center"/>
          </w:tcPr>
          <w:p>
            <w:pPr>
              <w:wordWrap w:val="0"/>
              <w:topLinePunct/>
              <w:spacing w:line="400" w:lineRule="exact"/>
              <w:jc w:val="center"/>
              <w:rPr>
                <w:rFonts w:hAnsi="宋体"/>
                <w:sz w:val="21"/>
                <w:szCs w:val="21"/>
                <w:highlight w:val="none"/>
              </w:rPr>
            </w:pPr>
          </w:p>
        </w:tc>
        <w:tc>
          <w:tcPr>
            <w:tcW w:w="1535" w:type="dxa"/>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证书名称</w:t>
            </w:r>
          </w:p>
        </w:tc>
        <w:tc>
          <w:tcPr>
            <w:tcW w:w="853" w:type="dxa"/>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级别</w:t>
            </w:r>
          </w:p>
        </w:tc>
        <w:tc>
          <w:tcPr>
            <w:tcW w:w="995" w:type="dxa"/>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证号</w:t>
            </w:r>
          </w:p>
        </w:tc>
        <w:tc>
          <w:tcPr>
            <w:tcW w:w="1231" w:type="dxa"/>
            <w:shd w:val="clear" w:color="auto" w:fill="FFFFFF" w:themeFill="background1"/>
            <w:vAlign w:val="center"/>
          </w:tcPr>
          <w:p>
            <w:pPr>
              <w:wordWrap w:val="0"/>
              <w:topLinePunct/>
              <w:spacing w:line="400" w:lineRule="exact"/>
              <w:jc w:val="center"/>
              <w:rPr>
                <w:rFonts w:hAnsi="宋体"/>
                <w:sz w:val="21"/>
                <w:szCs w:val="21"/>
                <w:highlight w:val="none"/>
              </w:rPr>
            </w:pPr>
            <w:r>
              <w:rPr>
                <w:rFonts w:hint="eastAsia" w:hAnsi="宋体"/>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9" w:type="dxa"/>
            <w:vMerge w:val="restart"/>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continue"/>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9" w:type="dxa"/>
            <w:vMerge w:val="continue"/>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restart"/>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9" w:type="dxa"/>
            <w:vMerge w:val="continue"/>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continue"/>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059" w:type="dxa"/>
            <w:vMerge w:val="restart"/>
            <w:vAlign w:val="center"/>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059" w:type="dxa"/>
            <w:vMerge w:val="continue"/>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059" w:type="dxa"/>
            <w:vMerge w:val="continue"/>
          </w:tcPr>
          <w:p>
            <w:pPr>
              <w:wordWrap w:val="0"/>
              <w:topLinePunct/>
              <w:spacing w:line="400" w:lineRule="exact"/>
              <w:jc w:val="center"/>
              <w:rPr>
                <w:rFonts w:hAnsi="宋体"/>
                <w:sz w:val="21"/>
                <w:szCs w:val="21"/>
                <w:highlight w:val="none"/>
              </w:rPr>
            </w:pPr>
          </w:p>
        </w:tc>
        <w:tc>
          <w:tcPr>
            <w:tcW w:w="1211" w:type="dxa"/>
          </w:tcPr>
          <w:p>
            <w:pPr>
              <w:wordWrap w:val="0"/>
              <w:topLinePunct/>
              <w:spacing w:line="400" w:lineRule="exact"/>
              <w:jc w:val="center"/>
              <w:rPr>
                <w:rFonts w:hAnsi="宋体"/>
                <w:sz w:val="21"/>
                <w:szCs w:val="21"/>
                <w:highlight w:val="none"/>
              </w:rPr>
            </w:pPr>
          </w:p>
        </w:tc>
        <w:tc>
          <w:tcPr>
            <w:tcW w:w="922" w:type="dxa"/>
          </w:tcPr>
          <w:p>
            <w:pPr>
              <w:wordWrap w:val="0"/>
              <w:topLinePunct/>
              <w:spacing w:line="400" w:lineRule="exact"/>
              <w:jc w:val="center"/>
              <w:rPr>
                <w:rFonts w:hAnsi="宋体"/>
                <w:sz w:val="21"/>
                <w:szCs w:val="21"/>
                <w:highlight w:val="none"/>
              </w:rPr>
            </w:pPr>
          </w:p>
        </w:tc>
        <w:tc>
          <w:tcPr>
            <w:tcW w:w="923" w:type="dxa"/>
          </w:tcPr>
          <w:p>
            <w:pPr>
              <w:wordWrap w:val="0"/>
              <w:topLinePunct/>
              <w:spacing w:line="400" w:lineRule="exact"/>
              <w:jc w:val="center"/>
              <w:rPr>
                <w:rFonts w:hAnsi="宋体"/>
                <w:sz w:val="21"/>
                <w:szCs w:val="21"/>
                <w:highlight w:val="none"/>
              </w:rPr>
            </w:pPr>
          </w:p>
        </w:tc>
        <w:tc>
          <w:tcPr>
            <w:tcW w:w="1228" w:type="dxa"/>
          </w:tcPr>
          <w:p>
            <w:pPr>
              <w:wordWrap w:val="0"/>
              <w:topLinePunct/>
              <w:spacing w:line="400" w:lineRule="exact"/>
              <w:jc w:val="center"/>
              <w:rPr>
                <w:rFonts w:hAnsi="宋体"/>
                <w:sz w:val="21"/>
                <w:szCs w:val="21"/>
                <w:highlight w:val="none"/>
              </w:rPr>
            </w:pPr>
          </w:p>
        </w:tc>
        <w:tc>
          <w:tcPr>
            <w:tcW w:w="1535" w:type="dxa"/>
          </w:tcPr>
          <w:p>
            <w:pPr>
              <w:wordWrap w:val="0"/>
              <w:topLinePunct/>
              <w:spacing w:line="400" w:lineRule="exact"/>
              <w:jc w:val="center"/>
              <w:rPr>
                <w:rFonts w:hAnsi="宋体"/>
                <w:sz w:val="21"/>
                <w:szCs w:val="21"/>
                <w:highlight w:val="none"/>
              </w:rPr>
            </w:pPr>
          </w:p>
        </w:tc>
        <w:tc>
          <w:tcPr>
            <w:tcW w:w="853" w:type="dxa"/>
          </w:tcPr>
          <w:p>
            <w:pPr>
              <w:wordWrap w:val="0"/>
              <w:topLinePunct/>
              <w:spacing w:line="400" w:lineRule="exact"/>
              <w:jc w:val="center"/>
              <w:rPr>
                <w:rFonts w:hAnsi="宋体"/>
                <w:sz w:val="21"/>
                <w:szCs w:val="21"/>
                <w:highlight w:val="none"/>
              </w:rPr>
            </w:pPr>
          </w:p>
        </w:tc>
        <w:tc>
          <w:tcPr>
            <w:tcW w:w="995" w:type="dxa"/>
          </w:tcPr>
          <w:p>
            <w:pPr>
              <w:wordWrap w:val="0"/>
              <w:topLinePunct/>
              <w:spacing w:line="400" w:lineRule="exact"/>
              <w:jc w:val="center"/>
              <w:rPr>
                <w:rFonts w:hAnsi="宋体"/>
                <w:sz w:val="21"/>
                <w:szCs w:val="21"/>
                <w:highlight w:val="none"/>
              </w:rPr>
            </w:pPr>
          </w:p>
        </w:tc>
        <w:tc>
          <w:tcPr>
            <w:tcW w:w="1231" w:type="dxa"/>
          </w:tcPr>
          <w:p>
            <w:pPr>
              <w:wordWrap w:val="0"/>
              <w:topLinePunct/>
              <w:spacing w:line="400" w:lineRule="exact"/>
              <w:jc w:val="center"/>
              <w:rPr>
                <w:rFonts w:hAnsi="宋体"/>
                <w:sz w:val="21"/>
                <w:szCs w:val="21"/>
                <w:highlight w:val="none"/>
              </w:rPr>
            </w:pPr>
          </w:p>
        </w:tc>
      </w:tr>
    </w:tbl>
    <w:p>
      <w:pPr>
        <w:wordWrap w:val="0"/>
        <w:topLinePunct/>
        <w:spacing w:line="400" w:lineRule="exact"/>
        <w:ind w:firstLine="482" w:firstLineChars="200"/>
        <w:rPr>
          <w:rFonts w:hAnsi="宋体"/>
          <w:b/>
          <w:bCs/>
          <w:highlight w:val="none"/>
        </w:rPr>
      </w:pPr>
      <w:r>
        <w:rPr>
          <w:rFonts w:hint="eastAsia" w:hAnsi="宋体"/>
          <w:b/>
          <w:sz w:val="24"/>
          <w:szCs w:val="24"/>
          <w:highlight w:val="none"/>
        </w:rPr>
        <w:t>注：</w:t>
      </w:r>
      <w:r>
        <w:rPr>
          <w:rFonts w:hint="eastAsia" w:hAnsi="宋体"/>
          <w:b/>
          <w:kern w:val="2"/>
          <w:sz w:val="24"/>
          <w:szCs w:val="24"/>
          <w:highlight w:val="none"/>
        </w:rPr>
        <w:t>供应商根据自身实际情况填写，对不涉及的内容可填写“/”。</w:t>
      </w:r>
    </w:p>
    <w:p>
      <w:pPr>
        <w:wordWrap w:val="0"/>
        <w:topLinePunct/>
        <w:spacing w:line="400" w:lineRule="exact"/>
        <w:ind w:left="194" w:leftChars="57" w:firstLine="683" w:firstLineChars="200"/>
        <w:rPr>
          <w:rFonts w:hAnsi="宋体"/>
          <w:b/>
          <w:bCs/>
          <w:highlight w:val="none"/>
        </w:rPr>
      </w:pPr>
    </w:p>
    <w:p>
      <w:pPr>
        <w:wordWrap w:val="0"/>
        <w:topLinePunct/>
        <w:spacing w:line="400" w:lineRule="exact"/>
        <w:ind w:left="194" w:leftChars="57" w:firstLine="683" w:firstLineChars="200"/>
        <w:rPr>
          <w:rFonts w:hAnsi="宋体"/>
          <w:b/>
          <w:bCs/>
          <w:highlight w:val="none"/>
        </w:rPr>
      </w:pPr>
    </w:p>
    <w:p>
      <w:pPr>
        <w:wordWrap w:val="0"/>
        <w:topLinePunct/>
        <w:spacing w:line="400" w:lineRule="exact"/>
        <w:rPr>
          <w:rFonts w:hAnsi="宋体"/>
          <w:b/>
          <w:bCs/>
          <w:highlight w:val="none"/>
        </w:rPr>
      </w:pPr>
    </w:p>
    <w:p>
      <w:pPr>
        <w:wordWrap w:val="0"/>
        <w:topLinePunct/>
        <w:spacing w:line="400" w:lineRule="exact"/>
        <w:ind w:firstLine="458" w:firstLineChars="191"/>
        <w:rPr>
          <w:rFonts w:hAnsi="宋体"/>
          <w:sz w:val="24"/>
          <w:szCs w:val="24"/>
          <w:highlight w:val="none"/>
        </w:rPr>
      </w:pPr>
      <w:r>
        <w:rPr>
          <w:rFonts w:hint="eastAsia" w:hAnsi="宋体"/>
          <w:sz w:val="24"/>
          <w:szCs w:val="24"/>
          <w:highlight w:val="none"/>
        </w:rPr>
        <w:t>供应商名称(盖章)：</w:t>
      </w:r>
      <w:r>
        <w:rPr>
          <w:rFonts w:hint="eastAsia" w:hAnsi="宋体"/>
          <w:sz w:val="24"/>
          <w:szCs w:val="24"/>
          <w:highlight w:val="none"/>
          <w:u w:val="single"/>
        </w:rPr>
        <w:t xml:space="preserve">                         </w:t>
      </w:r>
      <w:r>
        <w:rPr>
          <w:rFonts w:hint="eastAsia" w:hAnsi="宋体"/>
          <w:sz w:val="24"/>
          <w:szCs w:val="24"/>
          <w:highlight w:val="none"/>
        </w:rPr>
        <w:t xml:space="preserve"> </w:t>
      </w:r>
    </w:p>
    <w:p>
      <w:pPr>
        <w:wordWrap w:val="0"/>
        <w:topLinePunct/>
        <w:spacing w:line="400" w:lineRule="exact"/>
        <w:ind w:firstLine="458" w:firstLineChars="191"/>
        <w:rPr>
          <w:rFonts w:hAnsi="宋体"/>
          <w:sz w:val="24"/>
          <w:szCs w:val="24"/>
          <w:highlight w:val="none"/>
        </w:rPr>
      </w:pPr>
      <w:r>
        <w:rPr>
          <w:rFonts w:hint="eastAsia" w:hAnsi="宋体"/>
          <w:sz w:val="24"/>
          <w:szCs w:val="24"/>
          <w:highlight w:val="none"/>
        </w:rPr>
        <w:t>法定代表人/单位负责人(签字或盖章)或授权代表(签字)：</w:t>
      </w:r>
      <w:r>
        <w:rPr>
          <w:rFonts w:hint="eastAsia" w:hAnsi="宋体"/>
          <w:sz w:val="24"/>
          <w:szCs w:val="24"/>
          <w:highlight w:val="none"/>
          <w:u w:val="single"/>
        </w:rPr>
        <w:t xml:space="preserve">           </w:t>
      </w:r>
    </w:p>
    <w:p>
      <w:pPr>
        <w:wordWrap w:val="0"/>
        <w:topLinePunct/>
        <w:spacing w:line="400" w:lineRule="exact"/>
        <w:ind w:firstLine="458" w:firstLineChars="191"/>
        <w:rPr>
          <w:rFonts w:hAnsi="宋体"/>
          <w:sz w:val="36"/>
          <w:szCs w:val="36"/>
          <w:highlight w:val="none"/>
        </w:rPr>
        <w:sectPr>
          <w:pgSz w:w="11906" w:h="16838"/>
          <w:pgMar w:top="1440" w:right="1083" w:bottom="1440" w:left="1083" w:header="851" w:footer="992" w:gutter="0"/>
          <w:cols w:space="425" w:num="1"/>
          <w:docGrid w:type="lines" w:linePitch="312" w:charSpace="0"/>
        </w:sectPr>
      </w:pPr>
      <w:r>
        <w:rPr>
          <w:rFonts w:hint="eastAsia" w:hAnsi="宋体"/>
          <w:sz w:val="24"/>
          <w:szCs w:val="24"/>
          <w:highlight w:val="none"/>
        </w:rPr>
        <w:t>协商日期：</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bookmarkEnd w:id="298"/>
      <w:bookmarkStart w:id="320" w:name="_Toc22687"/>
      <w:bookmarkStart w:id="321" w:name="_Toc25919"/>
      <w:bookmarkStart w:id="322" w:name="_Toc10741"/>
      <w:bookmarkStart w:id="323" w:name="_Toc2515"/>
      <w:bookmarkStart w:id="324" w:name="_Toc30589"/>
      <w:bookmarkStart w:id="325" w:name="_Toc16606"/>
      <w:bookmarkStart w:id="326" w:name="_Toc19900"/>
      <w:bookmarkStart w:id="327" w:name="_Toc3191"/>
      <w:bookmarkStart w:id="328" w:name="_Toc15160"/>
      <w:bookmarkStart w:id="329" w:name="_Toc1464"/>
      <w:bookmarkStart w:id="330" w:name="_Toc4523"/>
    </w:p>
    <w:p>
      <w:pPr>
        <w:pStyle w:val="5"/>
        <w:pageBreakBefore/>
        <w:wordWrap w:val="0"/>
        <w:topLinePunct/>
        <w:spacing w:line="413" w:lineRule="auto"/>
        <w:jc w:val="center"/>
        <w:rPr>
          <w:rFonts w:ascii="宋体" w:hAnsi="宋体" w:eastAsia="宋体" w:cs="宋体"/>
          <w:b/>
          <w:sz w:val="28"/>
          <w:szCs w:val="28"/>
          <w:highlight w:val="none"/>
        </w:rPr>
      </w:pPr>
      <w:bookmarkStart w:id="331" w:name="_Toc32503"/>
      <w:bookmarkStart w:id="332" w:name="_Toc23688"/>
      <w:r>
        <w:rPr>
          <w:rFonts w:hint="eastAsia" w:ascii="宋体" w:hAnsi="宋体" w:eastAsia="宋体" w:cs="宋体"/>
          <w:b/>
          <w:sz w:val="28"/>
          <w:szCs w:val="28"/>
          <w:highlight w:val="none"/>
        </w:rPr>
        <w:t>十四、招标代理服务费承诺函</w:t>
      </w:r>
      <w:bookmarkEnd w:id="331"/>
      <w:bookmarkEnd w:id="332"/>
    </w:p>
    <w:p>
      <w:pPr>
        <w:wordWrap w:val="0"/>
        <w:topLinePunct/>
        <w:spacing w:line="360" w:lineRule="auto"/>
        <w:rPr>
          <w:rFonts w:hAnsi="宋体"/>
          <w:sz w:val="24"/>
          <w:highlight w:val="none"/>
        </w:rPr>
      </w:pPr>
      <w:r>
        <w:rPr>
          <w:rFonts w:hint="eastAsia" w:hAnsi="宋体"/>
          <w:sz w:val="24"/>
          <w:highlight w:val="none"/>
        </w:rPr>
        <w:t>四川乾新招投标代理有限公司：</w:t>
      </w:r>
    </w:p>
    <w:p>
      <w:pPr>
        <w:wordWrap w:val="0"/>
        <w:topLinePunct/>
        <w:spacing w:line="360" w:lineRule="auto"/>
        <w:ind w:firstLine="489" w:firstLineChars="204"/>
        <w:rPr>
          <w:rFonts w:hAnsi="宋体"/>
          <w:sz w:val="24"/>
          <w:highlight w:val="none"/>
        </w:rPr>
      </w:pPr>
      <w:r>
        <w:rPr>
          <w:rFonts w:hint="eastAsia" w:hAnsi="宋体"/>
          <w:sz w:val="24"/>
          <w:highlight w:val="none"/>
        </w:rPr>
        <w:t>我单位保证在收到</w:t>
      </w:r>
      <w:r>
        <w:rPr>
          <w:rFonts w:hint="eastAsia" w:hAnsi="宋体"/>
          <w:sz w:val="24"/>
          <w:highlight w:val="none"/>
          <w:u w:val="single"/>
        </w:rPr>
        <w:t xml:space="preserve">                              </w:t>
      </w:r>
      <w:r>
        <w:rPr>
          <w:rFonts w:hint="eastAsia" w:hAnsi="宋体"/>
          <w:sz w:val="24"/>
          <w:highlight w:val="none"/>
        </w:rPr>
        <w:t>项目(项目编号：</w:t>
      </w:r>
      <w:r>
        <w:rPr>
          <w:rFonts w:hint="eastAsia" w:hAnsi="宋体"/>
          <w:sz w:val="24"/>
          <w:highlight w:val="none"/>
          <w:u w:val="single"/>
        </w:rPr>
        <w:t xml:space="preserve">                </w:t>
      </w:r>
      <w:r>
        <w:rPr>
          <w:rFonts w:hint="eastAsia" w:hAnsi="宋体"/>
          <w:sz w:val="24"/>
          <w:highlight w:val="none"/>
        </w:rPr>
        <w:t>)成交通知后2个工作日内按</w:t>
      </w:r>
      <w:r>
        <w:rPr>
          <w:rFonts w:hint="eastAsia" w:hAnsi="宋体"/>
          <w:sz w:val="24"/>
          <w:highlight w:val="none"/>
          <w:lang w:val="zh-CN"/>
        </w:rPr>
        <w:t>采购文件</w:t>
      </w:r>
      <w:r>
        <w:rPr>
          <w:rFonts w:hint="eastAsia" w:hAnsi="宋体"/>
          <w:sz w:val="24"/>
          <w:highlight w:val="none"/>
        </w:rPr>
        <w:t>的规定，以支票、银行汇票、电汇、现金、转帐或经贵公司认可的一种方式，向贵公司即四川乾新招投标代理有限公司指定的银行帐号，按照</w:t>
      </w:r>
      <w:r>
        <w:rPr>
          <w:rFonts w:hint="eastAsia" w:hAnsi="宋体"/>
          <w:sz w:val="24"/>
          <w:highlight w:val="none"/>
          <w:lang w:val="zh-CN"/>
        </w:rPr>
        <w:t>采购文件中</w:t>
      </w:r>
      <w:r>
        <w:rPr>
          <w:rFonts w:hint="eastAsia" w:hAnsi="宋体"/>
          <w:sz w:val="24"/>
          <w:highlight w:val="none"/>
        </w:rPr>
        <w:t>招标代理服务费收取标准一次性支付招标代理服务费。</w:t>
      </w:r>
      <w:r>
        <w:rPr>
          <w:rFonts w:hint="eastAsia" w:hAnsi="宋体"/>
          <w:b/>
          <w:bCs/>
          <w:sz w:val="24"/>
          <w:highlight w:val="none"/>
        </w:rPr>
        <w:t>如因我单位自身原因造成取消成交资格或自愿放弃成交资格的，我司缴纳的招标代理服务费不予退还，由此造成的损失由我方自行承担。</w:t>
      </w:r>
    </w:p>
    <w:p>
      <w:pPr>
        <w:wordWrap w:val="0"/>
        <w:topLinePunct/>
        <w:spacing w:line="360" w:lineRule="auto"/>
        <w:ind w:firstLine="435"/>
        <w:rPr>
          <w:rFonts w:hAnsi="宋体"/>
          <w:sz w:val="24"/>
          <w:highlight w:val="none"/>
        </w:rPr>
      </w:pPr>
    </w:p>
    <w:p>
      <w:pPr>
        <w:wordWrap w:val="0"/>
        <w:topLinePunct/>
        <w:spacing w:line="360" w:lineRule="auto"/>
        <w:ind w:firstLine="480" w:firstLineChars="200"/>
        <w:rPr>
          <w:rFonts w:hAnsi="宋体"/>
          <w:sz w:val="24"/>
          <w:highlight w:val="none"/>
        </w:rPr>
      </w:pPr>
      <w:r>
        <w:rPr>
          <w:rFonts w:hint="eastAsia" w:hAnsi="宋体"/>
          <w:sz w:val="24"/>
          <w:highlight w:val="none"/>
        </w:rPr>
        <w:t>特此承诺。</w:t>
      </w:r>
    </w:p>
    <w:p>
      <w:pPr>
        <w:wordWrap w:val="0"/>
        <w:topLinePunct/>
        <w:spacing w:line="360" w:lineRule="auto"/>
        <w:ind w:firstLine="435"/>
        <w:rPr>
          <w:rFonts w:hAnsi="宋体"/>
          <w:sz w:val="24"/>
          <w:highlight w:val="none"/>
        </w:rPr>
      </w:pPr>
    </w:p>
    <w:p>
      <w:pPr>
        <w:wordWrap w:val="0"/>
        <w:topLinePunct/>
        <w:spacing w:line="360" w:lineRule="auto"/>
        <w:ind w:firstLine="435"/>
        <w:rPr>
          <w:rFonts w:hAnsi="宋体"/>
          <w:sz w:val="24"/>
          <w:highlight w:val="none"/>
        </w:rPr>
      </w:pPr>
    </w:p>
    <w:p>
      <w:pPr>
        <w:wordWrap w:val="0"/>
        <w:topLinePunct/>
        <w:spacing w:line="360" w:lineRule="auto"/>
        <w:ind w:firstLine="480" w:firstLineChars="200"/>
        <w:rPr>
          <w:rFonts w:hAnsi="宋体"/>
          <w:sz w:val="24"/>
          <w:highlight w:val="none"/>
        </w:rPr>
      </w:pPr>
      <w:r>
        <w:rPr>
          <w:rFonts w:hint="eastAsia" w:hAnsi="宋体"/>
          <w:sz w:val="24"/>
          <w:highlight w:val="none"/>
        </w:rPr>
        <w:t>承诺方法定名称(承诺方盖章)：</w:t>
      </w:r>
      <w:r>
        <w:rPr>
          <w:rFonts w:hint="eastAsia" w:hAnsi="宋体"/>
          <w:bCs/>
          <w:sz w:val="24"/>
          <w:highlight w:val="none"/>
          <w:u w:val="single"/>
        </w:rPr>
        <w:t xml:space="preserve">                </w:t>
      </w:r>
    </w:p>
    <w:p>
      <w:pPr>
        <w:wordWrap w:val="0"/>
        <w:topLinePunct/>
        <w:spacing w:line="360" w:lineRule="auto"/>
        <w:ind w:firstLine="480" w:firstLineChars="200"/>
        <w:rPr>
          <w:rFonts w:hAnsi="宋体"/>
          <w:sz w:val="24"/>
          <w:highlight w:val="none"/>
        </w:rPr>
      </w:pPr>
      <w:r>
        <w:rPr>
          <w:rFonts w:hint="eastAsia" w:hAnsi="宋体"/>
          <w:sz w:val="24"/>
          <w:highlight w:val="none"/>
        </w:rPr>
        <w:t>地  址：</w:t>
      </w:r>
      <w:r>
        <w:rPr>
          <w:rFonts w:hint="eastAsia" w:hAnsi="宋体"/>
          <w:bCs/>
          <w:sz w:val="24"/>
          <w:highlight w:val="none"/>
          <w:u w:val="single"/>
        </w:rPr>
        <w:t xml:space="preserve">                </w:t>
      </w:r>
    </w:p>
    <w:p>
      <w:pPr>
        <w:wordWrap w:val="0"/>
        <w:topLinePunct/>
        <w:spacing w:line="360" w:lineRule="auto"/>
        <w:ind w:firstLine="480" w:firstLineChars="200"/>
        <w:rPr>
          <w:rFonts w:hAnsi="宋体"/>
          <w:sz w:val="24"/>
          <w:highlight w:val="none"/>
        </w:rPr>
      </w:pPr>
      <w:r>
        <w:rPr>
          <w:rFonts w:hint="eastAsia" w:hAnsi="宋体"/>
          <w:sz w:val="24"/>
          <w:highlight w:val="none"/>
        </w:rPr>
        <w:t>电  话：</w:t>
      </w:r>
      <w:r>
        <w:rPr>
          <w:rFonts w:hint="eastAsia" w:hAnsi="宋体"/>
          <w:bCs/>
          <w:sz w:val="24"/>
          <w:highlight w:val="none"/>
          <w:u w:val="single"/>
        </w:rPr>
        <w:t xml:space="preserve">                </w:t>
      </w:r>
    </w:p>
    <w:p>
      <w:pPr>
        <w:wordWrap w:val="0"/>
        <w:topLinePunct/>
        <w:spacing w:line="360" w:lineRule="auto"/>
        <w:ind w:firstLine="480" w:firstLineChars="200"/>
        <w:rPr>
          <w:rFonts w:hAnsi="宋体"/>
          <w:sz w:val="24"/>
          <w:highlight w:val="none"/>
        </w:rPr>
      </w:pPr>
      <w:r>
        <w:rPr>
          <w:rFonts w:hint="eastAsia" w:hAnsi="宋体"/>
          <w:sz w:val="24"/>
          <w:highlight w:val="none"/>
        </w:rPr>
        <w:t>传  真：</w:t>
      </w:r>
      <w:r>
        <w:rPr>
          <w:rFonts w:hint="eastAsia" w:hAnsi="宋体"/>
          <w:bCs/>
          <w:sz w:val="24"/>
          <w:highlight w:val="none"/>
          <w:u w:val="single"/>
        </w:rPr>
        <w:t xml:space="preserve">                </w:t>
      </w:r>
    </w:p>
    <w:p>
      <w:pPr>
        <w:wordWrap w:val="0"/>
        <w:topLinePunct/>
        <w:spacing w:line="360" w:lineRule="auto"/>
        <w:ind w:firstLine="480" w:firstLineChars="200"/>
        <w:rPr>
          <w:rFonts w:hAnsi="宋体"/>
          <w:sz w:val="24"/>
          <w:highlight w:val="none"/>
        </w:rPr>
      </w:pPr>
      <w:r>
        <w:rPr>
          <w:rFonts w:hint="eastAsia" w:hAnsi="宋体"/>
          <w:sz w:val="24"/>
          <w:highlight w:val="none"/>
        </w:rPr>
        <w:t>邮  编：</w:t>
      </w:r>
      <w:r>
        <w:rPr>
          <w:rFonts w:hint="eastAsia" w:hAnsi="宋体"/>
          <w:bCs/>
          <w:sz w:val="24"/>
          <w:highlight w:val="none"/>
          <w:u w:val="single"/>
        </w:rPr>
        <w:t xml:space="preserve">                </w:t>
      </w:r>
    </w:p>
    <w:p>
      <w:pPr>
        <w:tabs>
          <w:tab w:val="left" w:pos="0"/>
        </w:tabs>
        <w:adjustRightInd w:val="0"/>
        <w:snapToGrid w:val="0"/>
        <w:spacing w:line="44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法定代表人/单位负责人或授权代表：</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(签字或盖章)</w:t>
      </w:r>
    </w:p>
    <w:p>
      <w:pPr>
        <w:wordWrap w:val="0"/>
        <w:topLinePunct/>
        <w:spacing w:line="360" w:lineRule="auto"/>
        <w:ind w:firstLine="480" w:firstLineChars="200"/>
        <w:rPr>
          <w:rFonts w:hAnsi="宋体"/>
          <w:sz w:val="24"/>
          <w:highlight w:val="none"/>
          <w:u w:val="single"/>
        </w:rPr>
      </w:pPr>
      <w:r>
        <w:rPr>
          <w:rFonts w:hint="eastAsia" w:hAnsi="宋体"/>
          <w:bCs/>
          <w:sz w:val="24"/>
          <w:highlight w:val="none"/>
        </w:rPr>
        <w:t>承诺日期：</w:t>
      </w:r>
      <w:r>
        <w:rPr>
          <w:rFonts w:hint="eastAsia" w:hAnsi="宋体"/>
          <w:bCs/>
          <w:sz w:val="24"/>
          <w:highlight w:val="none"/>
          <w:u w:val="single"/>
        </w:rPr>
        <w:t xml:space="preserve">                </w:t>
      </w:r>
    </w:p>
    <w:p>
      <w:pPr>
        <w:pStyle w:val="4"/>
        <w:keepNext w:val="0"/>
        <w:keepLines w:val="0"/>
        <w:wordWrap w:val="0"/>
        <w:topLinePunct/>
        <w:spacing w:before="156" w:after="156"/>
        <w:rPr>
          <w:szCs w:val="36"/>
          <w:highlight w:val="none"/>
        </w:rPr>
        <w:sectPr>
          <w:pgSz w:w="11906" w:h="16838"/>
          <w:pgMar w:top="1440" w:right="1083" w:bottom="1440" w:left="1083" w:header="851" w:footer="992" w:gutter="0"/>
          <w:cols w:space="425" w:num="1"/>
          <w:docGrid w:type="lines" w:linePitch="312" w:charSpace="0"/>
        </w:sectPr>
      </w:pPr>
    </w:p>
    <w:p>
      <w:pPr>
        <w:pStyle w:val="5"/>
        <w:pageBreakBefore/>
        <w:wordWrap w:val="0"/>
        <w:topLinePunct/>
        <w:spacing w:line="413" w:lineRule="auto"/>
        <w:jc w:val="center"/>
        <w:rPr>
          <w:rFonts w:asciiTheme="minorEastAsia" w:hAnsiTheme="minorEastAsia" w:eastAsiaTheme="minorEastAsia" w:cstheme="minorEastAsia"/>
          <w:b/>
          <w:sz w:val="28"/>
          <w:szCs w:val="28"/>
          <w:highlight w:val="none"/>
        </w:rPr>
      </w:pPr>
      <w:bookmarkStart w:id="333" w:name="_Toc24714"/>
      <w:bookmarkStart w:id="334" w:name="_Toc31946"/>
      <w:bookmarkStart w:id="335" w:name="_Toc10785"/>
      <w:bookmarkStart w:id="336" w:name="_Toc28209"/>
      <w:bookmarkStart w:id="337" w:name="_Toc28265"/>
      <w:bookmarkStart w:id="338" w:name="_Toc5484"/>
      <w:r>
        <w:rPr>
          <w:rFonts w:hint="eastAsia" w:asciiTheme="minorEastAsia" w:hAnsiTheme="minorEastAsia" w:eastAsiaTheme="minorEastAsia" w:cstheme="minorEastAsia"/>
          <w:b/>
          <w:sz w:val="28"/>
          <w:szCs w:val="28"/>
          <w:highlight w:val="none"/>
        </w:rPr>
        <w:t>十五、采购标的成本、同类项目合同价格以及相关专利、专有技术等情况说明</w:t>
      </w:r>
      <w:bookmarkEnd w:id="333"/>
      <w:bookmarkEnd w:id="334"/>
      <w:bookmarkEnd w:id="335"/>
      <w:bookmarkEnd w:id="336"/>
      <w:bookmarkEnd w:id="337"/>
      <w:bookmarkEnd w:id="338"/>
    </w:p>
    <w:p>
      <w:pPr>
        <w:spacing w:line="360" w:lineRule="auto"/>
        <w:jc w:val="center"/>
        <w:outlineLvl w:val="2"/>
        <w:rPr>
          <w:sz w:val="28"/>
          <w:szCs w:val="28"/>
          <w:highlight w:val="none"/>
        </w:rPr>
      </w:pPr>
      <w:bookmarkStart w:id="339" w:name="_Toc10758"/>
      <w:bookmarkStart w:id="340" w:name="_Toc26352"/>
      <w:bookmarkStart w:id="341" w:name="_Toc4337"/>
      <w:bookmarkStart w:id="342" w:name="_Toc15242"/>
      <w:bookmarkStart w:id="343" w:name="_Toc29169"/>
      <w:bookmarkStart w:id="344" w:name="_Toc7430"/>
      <w:r>
        <w:rPr>
          <w:rFonts w:hint="eastAsia"/>
          <w:sz w:val="28"/>
          <w:szCs w:val="28"/>
          <w:highlight w:val="none"/>
        </w:rPr>
        <w:t>(一)成本说明</w:t>
      </w:r>
      <w:bookmarkEnd w:id="339"/>
      <w:bookmarkEnd w:id="340"/>
      <w:bookmarkEnd w:id="341"/>
      <w:bookmarkEnd w:id="342"/>
      <w:bookmarkEnd w:id="343"/>
      <w:bookmarkEnd w:id="344"/>
    </w:p>
    <w:p>
      <w:pPr>
        <w:spacing w:line="44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四川乾新招投标代理有限公司：</w:t>
      </w:r>
    </w:p>
    <w:p>
      <w:pPr>
        <w:wordWrap w:val="0"/>
        <w:spacing w:line="440" w:lineRule="exact"/>
        <w:ind w:firstLine="42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我单位参加贵单位组织的“</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(项目名称)(项目编号：</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)”,根据《政府采购非招标采购方式管理办法》(财政部令第74号)对于单一来源采购方式的相关要求，提供本项目采购标的成本说明如下：</w:t>
      </w:r>
    </w:p>
    <w:p>
      <w:pPr>
        <w:wordWrap w:val="0"/>
        <w:spacing w:line="440" w:lineRule="exact"/>
        <w:ind w:firstLine="420"/>
        <w:rPr>
          <w:rFonts w:hAnsi="宋体"/>
          <w:sz w:val="24"/>
          <w:szCs w:val="24"/>
          <w:highlight w:val="none"/>
        </w:rPr>
      </w:pPr>
      <w:r>
        <w:rPr>
          <w:rFonts w:hint="eastAsia" w:asciiTheme="minorEastAsia" w:hAnsiTheme="minorEastAsia" w:eastAsiaTheme="minorEastAsia" w:cstheme="minorEastAsia"/>
          <w:sz w:val="24"/>
          <w:szCs w:val="24"/>
          <w:highlight w:val="none"/>
        </w:rPr>
        <w:t>我单位为采购人提供的服务为：</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元；在同一地区、同一类型服务的市场平均价格为：</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p>
    <w:p>
      <w:pPr>
        <w:wordWrap w:val="0"/>
        <w:spacing w:line="440" w:lineRule="exact"/>
        <w:ind w:firstLine="420"/>
        <w:rPr>
          <w:rFonts w:hAnsi="宋体"/>
          <w:sz w:val="24"/>
          <w:szCs w:val="24"/>
          <w:highlight w:val="none"/>
        </w:rPr>
      </w:pPr>
      <w:r>
        <w:rPr>
          <w:rFonts w:hint="eastAsia" w:hAnsi="宋体"/>
          <w:sz w:val="24"/>
          <w:szCs w:val="24"/>
          <w:highlight w:val="none"/>
        </w:rPr>
        <w:br w:type="textWrapping"/>
      </w:r>
      <w:r>
        <w:rPr>
          <w:rFonts w:hint="eastAsia" w:hAnsi="宋体"/>
          <w:sz w:val="24"/>
          <w:szCs w:val="24"/>
          <w:highlight w:val="none"/>
        </w:rPr>
        <w:br w:type="textWrapping"/>
      </w:r>
      <w:r>
        <w:rPr>
          <w:rFonts w:hint="eastAsia" w:hAnsi="宋体"/>
          <w:sz w:val="24"/>
          <w:szCs w:val="24"/>
          <w:highlight w:val="none"/>
        </w:rPr>
        <w:br w:type="textWrapping"/>
      </w:r>
    </w:p>
    <w:p>
      <w:pPr>
        <w:wordWrap w:val="0"/>
        <w:spacing w:line="440" w:lineRule="exact"/>
        <w:ind w:firstLine="420"/>
        <w:rPr>
          <w:rFonts w:hAnsi="宋体"/>
          <w:sz w:val="24"/>
          <w:szCs w:val="24"/>
          <w:highlight w:val="none"/>
        </w:rPr>
      </w:pPr>
      <w:r>
        <w:rPr>
          <w:rFonts w:hint="eastAsia" w:hAnsi="宋体"/>
          <w:sz w:val="24"/>
          <w:szCs w:val="24"/>
          <w:highlight w:val="none"/>
        </w:rPr>
        <w:t>供应商名称</w:t>
      </w:r>
      <w:r>
        <w:rPr>
          <w:rFonts w:hAnsi="宋体"/>
          <w:sz w:val="24"/>
          <w:szCs w:val="24"/>
          <w:highlight w:val="none"/>
        </w:rPr>
        <w:t>(</w:t>
      </w:r>
      <w:r>
        <w:rPr>
          <w:rFonts w:hint="eastAsia" w:hAnsi="宋体"/>
          <w:sz w:val="24"/>
          <w:szCs w:val="24"/>
          <w:highlight w:val="none"/>
        </w:rPr>
        <w:t>盖章</w:t>
      </w:r>
      <w:r>
        <w:rPr>
          <w:rFonts w:hAnsi="宋体"/>
          <w:sz w:val="24"/>
          <w:szCs w:val="24"/>
          <w:highlight w:val="none"/>
        </w:rPr>
        <w:t>)</w:t>
      </w:r>
      <w:r>
        <w:rPr>
          <w:rFonts w:hint="eastAsia" w:hAnsi="宋体"/>
          <w:sz w:val="24"/>
          <w:szCs w:val="24"/>
          <w:highlight w:val="none"/>
        </w:rPr>
        <w:t>：</w:t>
      </w:r>
      <w:r>
        <w:rPr>
          <w:rFonts w:hint="eastAsia" w:hAnsi="宋体"/>
          <w:sz w:val="24"/>
          <w:highlight w:val="none"/>
          <w:u w:val="single"/>
        </w:rPr>
        <w:t xml:space="preserve">             </w:t>
      </w:r>
    </w:p>
    <w:p>
      <w:pPr>
        <w:wordWrap w:val="0"/>
        <w:spacing w:line="440" w:lineRule="exact"/>
        <w:ind w:firstLine="420"/>
        <w:rPr>
          <w:rFonts w:hAnsi="宋体"/>
          <w:sz w:val="24"/>
          <w:szCs w:val="24"/>
          <w:highlight w:val="none"/>
        </w:rPr>
      </w:pPr>
      <w:r>
        <w:rPr>
          <w:rFonts w:hint="eastAsia" w:hAnsi="宋体"/>
          <w:sz w:val="24"/>
          <w:szCs w:val="24"/>
          <w:highlight w:val="none"/>
        </w:rPr>
        <w:t>法定代表人/负责人</w:t>
      </w:r>
      <w:r>
        <w:rPr>
          <w:rFonts w:hAnsi="宋体"/>
          <w:sz w:val="24"/>
          <w:szCs w:val="24"/>
          <w:highlight w:val="none"/>
        </w:rPr>
        <w:t>(</w:t>
      </w:r>
      <w:r>
        <w:rPr>
          <w:rFonts w:hint="eastAsia" w:hAnsi="宋体"/>
          <w:sz w:val="24"/>
          <w:szCs w:val="24"/>
          <w:highlight w:val="none"/>
        </w:rPr>
        <w:t>签字或盖章</w:t>
      </w:r>
      <w:r>
        <w:rPr>
          <w:rFonts w:hAnsi="宋体"/>
          <w:sz w:val="24"/>
          <w:szCs w:val="24"/>
          <w:highlight w:val="none"/>
        </w:rPr>
        <w:t>)</w:t>
      </w:r>
      <w:r>
        <w:rPr>
          <w:rFonts w:hint="eastAsia" w:hAnsi="宋体"/>
          <w:sz w:val="24"/>
          <w:szCs w:val="24"/>
          <w:highlight w:val="none"/>
        </w:rPr>
        <w:t>或授权代表</w:t>
      </w:r>
      <w:r>
        <w:rPr>
          <w:rFonts w:hAnsi="宋体"/>
          <w:sz w:val="24"/>
          <w:szCs w:val="24"/>
          <w:highlight w:val="none"/>
        </w:rPr>
        <w:t>(</w:t>
      </w:r>
      <w:r>
        <w:rPr>
          <w:rFonts w:hint="eastAsia" w:hAnsi="宋体"/>
          <w:sz w:val="24"/>
          <w:szCs w:val="24"/>
          <w:highlight w:val="none"/>
        </w:rPr>
        <w:t>签字</w:t>
      </w:r>
      <w:r>
        <w:rPr>
          <w:rFonts w:hAnsi="宋体"/>
          <w:sz w:val="24"/>
          <w:szCs w:val="24"/>
          <w:highlight w:val="none"/>
        </w:rPr>
        <w:t>)</w:t>
      </w:r>
      <w:r>
        <w:rPr>
          <w:rFonts w:hint="eastAsia" w:hAnsi="宋体"/>
          <w:sz w:val="24"/>
          <w:szCs w:val="24"/>
          <w:highlight w:val="none"/>
        </w:rPr>
        <w:t>：</w:t>
      </w:r>
      <w:r>
        <w:rPr>
          <w:rFonts w:hint="eastAsia" w:hAnsi="宋体"/>
          <w:sz w:val="24"/>
          <w:highlight w:val="none"/>
          <w:u w:val="single"/>
        </w:rPr>
        <w:t xml:space="preserve">             </w:t>
      </w:r>
    </w:p>
    <w:p>
      <w:pPr>
        <w:wordWrap w:val="0"/>
        <w:spacing w:line="440" w:lineRule="exact"/>
        <w:ind w:firstLine="420"/>
        <w:rPr>
          <w:rFonts w:hAnsi="宋体"/>
          <w:sz w:val="24"/>
          <w:szCs w:val="24"/>
          <w:highlight w:val="none"/>
        </w:rPr>
        <w:sectPr>
          <w:pgSz w:w="11907" w:h="16840"/>
          <w:pgMar w:top="1440" w:right="1083" w:bottom="1440" w:left="1083" w:header="471" w:footer="992" w:gutter="0"/>
          <w:cols w:space="0" w:num="1"/>
          <w:titlePg/>
          <w:docGrid w:linePitch="312" w:charSpace="0"/>
        </w:sectPr>
      </w:pPr>
      <w:r>
        <w:rPr>
          <w:rFonts w:hint="eastAsia" w:hAnsi="宋体"/>
          <w:sz w:val="24"/>
          <w:szCs w:val="24"/>
          <w:highlight w:val="none"/>
        </w:rPr>
        <w:t>日期：</w:t>
      </w:r>
      <w:r>
        <w:rPr>
          <w:rFonts w:hint="eastAsia" w:hAnsi="宋体"/>
          <w:sz w:val="24"/>
          <w:highlight w:val="none"/>
          <w:u w:val="single"/>
        </w:rPr>
        <w:t xml:space="preserve">    </w:t>
      </w:r>
      <w:r>
        <w:rPr>
          <w:rFonts w:hint="eastAsia" w:hAnsi="宋体"/>
          <w:sz w:val="24"/>
          <w:szCs w:val="24"/>
          <w:highlight w:val="none"/>
        </w:rPr>
        <w:t>年</w:t>
      </w:r>
      <w:r>
        <w:rPr>
          <w:rFonts w:hint="eastAsia" w:hAnsi="宋体"/>
          <w:sz w:val="24"/>
          <w:highlight w:val="none"/>
          <w:u w:val="single"/>
        </w:rPr>
        <w:t xml:space="preserve">    </w:t>
      </w:r>
      <w:r>
        <w:rPr>
          <w:rFonts w:hint="eastAsia" w:hAnsi="宋体"/>
          <w:sz w:val="24"/>
          <w:szCs w:val="24"/>
          <w:highlight w:val="none"/>
        </w:rPr>
        <w:t>月</w:t>
      </w:r>
      <w:r>
        <w:rPr>
          <w:rFonts w:hint="eastAsia" w:hAnsi="宋体"/>
          <w:sz w:val="24"/>
          <w:highlight w:val="none"/>
          <w:u w:val="single"/>
        </w:rPr>
        <w:t xml:space="preserve">    </w:t>
      </w:r>
      <w:r>
        <w:rPr>
          <w:rFonts w:hint="eastAsia" w:hAnsi="宋体"/>
          <w:sz w:val="24"/>
          <w:szCs w:val="24"/>
          <w:highlight w:val="none"/>
        </w:rPr>
        <w:t>日</w:t>
      </w:r>
    </w:p>
    <w:p>
      <w:pPr>
        <w:pStyle w:val="2"/>
        <w:spacing w:before="0" w:after="0" w:line="300" w:lineRule="auto"/>
        <w:jc w:val="center"/>
        <w:outlineLvl w:val="2"/>
        <w:rPr>
          <w:rFonts w:asciiTheme="minorEastAsia" w:hAnsiTheme="minorEastAsia" w:eastAsiaTheme="minorEastAsia" w:cstheme="minorEastAsia"/>
          <w:b w:val="0"/>
          <w:sz w:val="28"/>
          <w:szCs w:val="28"/>
          <w:highlight w:val="none"/>
        </w:rPr>
      </w:pPr>
      <w:bookmarkStart w:id="345" w:name="_Toc5824"/>
      <w:bookmarkStart w:id="346" w:name="_Toc6250"/>
      <w:bookmarkStart w:id="347" w:name="_Toc18868"/>
      <w:bookmarkStart w:id="348" w:name="_Toc32578"/>
      <w:bookmarkStart w:id="349" w:name="_Toc7216"/>
      <w:bookmarkStart w:id="350" w:name="_Toc15974"/>
      <w:r>
        <w:rPr>
          <w:rFonts w:hint="eastAsia" w:asciiTheme="minorEastAsia" w:hAnsiTheme="minorEastAsia" w:eastAsiaTheme="minorEastAsia" w:cstheme="minorEastAsia"/>
          <w:b w:val="0"/>
          <w:sz w:val="28"/>
          <w:szCs w:val="28"/>
          <w:highlight w:val="none"/>
        </w:rPr>
        <w:t>(二)同类项目合同</w:t>
      </w:r>
      <w:bookmarkEnd w:id="345"/>
      <w:r>
        <w:rPr>
          <w:rFonts w:hint="eastAsia" w:asciiTheme="minorEastAsia" w:hAnsiTheme="minorEastAsia" w:eastAsiaTheme="minorEastAsia" w:cstheme="minorEastAsia"/>
          <w:b w:val="0"/>
          <w:sz w:val="28"/>
          <w:szCs w:val="28"/>
          <w:highlight w:val="none"/>
        </w:rPr>
        <w:t>价格</w:t>
      </w:r>
      <w:bookmarkEnd w:id="346"/>
      <w:bookmarkEnd w:id="347"/>
      <w:bookmarkEnd w:id="348"/>
      <w:bookmarkEnd w:id="349"/>
      <w:bookmarkEnd w:id="350"/>
    </w:p>
    <w:p>
      <w:pPr>
        <w:wordWrap w:val="0"/>
        <w:topLinePunct/>
        <w:adjustRightInd w:val="0"/>
        <w:snapToGrid w:val="0"/>
        <w:spacing w:line="440" w:lineRule="exact"/>
        <w:ind w:firstLine="480" w:firstLineChars="200"/>
        <w:jc w:val="left"/>
        <w:rPr>
          <w:rFonts w:hAnsi="宋体"/>
          <w:sz w:val="36"/>
          <w:szCs w:val="36"/>
          <w:highlight w:val="none"/>
        </w:rPr>
        <w:sectPr>
          <w:pgSz w:w="11906" w:h="16838"/>
          <w:pgMar w:top="1440" w:right="1083" w:bottom="1440" w:left="1083" w:header="851" w:footer="992" w:gutter="0"/>
          <w:cols w:space="425" w:num="1"/>
          <w:docGrid w:type="lines" w:linePitch="312" w:charSpace="0"/>
        </w:sectPr>
      </w:pPr>
      <w:r>
        <w:rPr>
          <w:rFonts w:hint="eastAsia" w:asciiTheme="minorEastAsia" w:hAnsiTheme="minorEastAsia" w:eastAsiaTheme="minorEastAsia" w:cstheme="minorEastAsia"/>
          <w:bCs/>
          <w:sz w:val="24"/>
          <w:szCs w:val="24"/>
          <w:highlight w:val="none"/>
        </w:rPr>
        <w:t>注：同类项目合同由供应商根据本次采购项目属性自行提供，如无则提供相关情况说明，本项目可提供往年合同。</w:t>
      </w:r>
    </w:p>
    <w:p>
      <w:pPr>
        <w:pStyle w:val="4"/>
        <w:keepNext w:val="0"/>
        <w:keepLines w:val="0"/>
        <w:wordWrap w:val="0"/>
        <w:topLinePunct/>
        <w:spacing w:before="156" w:after="156"/>
        <w:rPr>
          <w:sz w:val="32"/>
          <w:szCs w:val="32"/>
          <w:highlight w:val="none"/>
        </w:rPr>
      </w:pPr>
      <w:bookmarkStart w:id="351" w:name="_Toc25612"/>
      <w:bookmarkStart w:id="352" w:name="_Toc4518"/>
      <w:bookmarkStart w:id="353" w:name="_Toc11760"/>
      <w:r>
        <w:rPr>
          <w:rStyle w:val="26"/>
          <w:rFonts w:hint="eastAsia"/>
          <w:b/>
          <w:bCs/>
          <w:highlight w:val="none"/>
        </w:rPr>
        <w:t xml:space="preserve">第五章 </w:t>
      </w:r>
      <w:bookmarkStart w:id="354" w:name="_Toc183682415"/>
      <w:bookmarkStart w:id="355" w:name="_Toc217446097"/>
      <w:bookmarkStart w:id="356" w:name="_Toc208849007"/>
      <w:bookmarkStart w:id="357" w:name="_Toc183582280"/>
      <w:r>
        <w:rPr>
          <w:rStyle w:val="26"/>
          <w:rFonts w:hint="eastAsia"/>
          <w:b/>
          <w:bCs/>
          <w:highlight w:val="none"/>
        </w:rPr>
        <w:t>协商办法</w:t>
      </w:r>
      <w:bookmarkEnd w:id="320"/>
      <w:bookmarkEnd w:id="321"/>
      <w:bookmarkEnd w:id="322"/>
      <w:bookmarkEnd w:id="323"/>
      <w:bookmarkEnd w:id="324"/>
      <w:bookmarkEnd w:id="325"/>
      <w:bookmarkEnd w:id="326"/>
      <w:bookmarkEnd w:id="327"/>
      <w:bookmarkEnd w:id="328"/>
      <w:bookmarkEnd w:id="329"/>
      <w:bookmarkEnd w:id="330"/>
      <w:bookmarkEnd w:id="351"/>
      <w:bookmarkEnd w:id="352"/>
      <w:bookmarkEnd w:id="353"/>
    </w:p>
    <w:bookmarkEnd w:id="18"/>
    <w:bookmarkEnd w:id="19"/>
    <w:bookmarkEnd w:id="20"/>
    <w:bookmarkEnd w:id="21"/>
    <w:bookmarkEnd w:id="354"/>
    <w:bookmarkEnd w:id="355"/>
    <w:bookmarkEnd w:id="356"/>
    <w:bookmarkEnd w:id="357"/>
    <w:p>
      <w:pPr>
        <w:wordWrap w:val="0"/>
        <w:topLinePunct/>
        <w:spacing w:line="440" w:lineRule="exact"/>
        <w:ind w:firstLine="482" w:firstLineChars="200"/>
        <w:jc w:val="left"/>
        <w:outlineLvl w:val="1"/>
        <w:rPr>
          <w:rFonts w:hAnsi="宋体"/>
          <w:b/>
          <w:sz w:val="24"/>
          <w:szCs w:val="24"/>
          <w:highlight w:val="none"/>
        </w:rPr>
      </w:pPr>
      <w:bookmarkStart w:id="358" w:name="_Toc19856"/>
      <w:bookmarkStart w:id="359" w:name="_Toc12227"/>
      <w:bookmarkStart w:id="360" w:name="_Toc28926"/>
      <w:r>
        <w:rPr>
          <w:rFonts w:hint="eastAsia" w:hAnsi="宋体"/>
          <w:b/>
          <w:sz w:val="24"/>
          <w:szCs w:val="24"/>
          <w:highlight w:val="none"/>
        </w:rPr>
        <w:t>一、协商程序</w:t>
      </w:r>
      <w:bookmarkEnd w:id="358"/>
      <w:bookmarkEnd w:id="359"/>
      <w:bookmarkEnd w:id="360"/>
    </w:p>
    <w:p>
      <w:pPr>
        <w:numPr>
          <w:ilvl w:val="0"/>
          <w:numId w:val="29"/>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推选协商小组组长</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协商小组主要负责协调协商小组成员之间的事务性工作、与采购人或者采购执行机构牵头交涉相关事宜、执笔撰写协商情况记录等。协商小组组长与其他成员的法定职责、权利、义务相同。协商小组组长由专业人员担任，采购人代表不得担任组长。</w:t>
      </w:r>
    </w:p>
    <w:p>
      <w:pPr>
        <w:numPr>
          <w:ilvl w:val="0"/>
          <w:numId w:val="29"/>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资格性(实质性)审查</w:t>
      </w:r>
    </w:p>
    <w:p>
      <w:pPr>
        <w:tabs>
          <w:tab w:val="left" w:pos="1080"/>
        </w:tabs>
        <w:wordWrap w:val="0"/>
        <w:topLinePunct/>
        <w:adjustRightInd w:val="0"/>
        <w:spacing w:line="440" w:lineRule="exact"/>
        <w:ind w:firstLine="480" w:firstLineChars="200"/>
        <w:rPr>
          <w:rFonts w:hAnsi="宋体"/>
          <w:sz w:val="24"/>
          <w:szCs w:val="24"/>
          <w:highlight w:val="none"/>
        </w:rPr>
      </w:pPr>
      <w:r>
        <w:rPr>
          <w:rFonts w:hint="eastAsia" w:hAnsi="宋体"/>
          <w:sz w:val="24"/>
          <w:szCs w:val="24"/>
          <w:highlight w:val="none"/>
        </w:rPr>
        <w:t>1.以下要求有一项不满足或未提供，协商小组须现场请供应商及时补充完整，并通过资格性审查(供应商自动放弃本项目或发生项目终止情形除外)，不得终止协商。</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(1)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tabs>
          <w:tab w:val="left" w:pos="7665"/>
        </w:tabs>
        <w:wordWrap w:val="0"/>
        <w:topLinePunct/>
        <w:spacing w:line="440" w:lineRule="exact"/>
        <w:ind w:firstLine="482" w:firstLineChars="200"/>
        <w:rPr>
          <w:rFonts w:hAnsi="宋体"/>
          <w:b/>
          <w:bCs/>
          <w:sz w:val="24"/>
          <w:szCs w:val="24"/>
          <w:highlight w:val="none"/>
        </w:rPr>
      </w:pPr>
      <w:r>
        <w:rPr>
          <w:rFonts w:hint="eastAsia" w:hAnsi="宋体"/>
          <w:b/>
          <w:bCs/>
          <w:sz w:val="24"/>
          <w:szCs w:val="24"/>
          <w:highlight w:val="none"/>
        </w:rPr>
        <w:t>注：①企业若已更换为三证合一的则提供营业执照副本复印件，事业单位提供事业单位法人证书，其他组织提供营业执照等证明文件，自然人提供身份证明均具备此条同等效力。②根据国务院办公厅关于加快推进“多证合一”改革的指导意见(国办发〔2017〕41号)等政策要求，若资格要求涉及的登记、备案等有关事项和各类证照已实行多证合一的，供应商须提供多证合一证照副本复印件。</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(2)提供具有良好的商业信誉和健全的财务会计制度的证明材料；</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1)供应商具有良好商业信誉的证明材料；</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提供具有良好的商业信誉的承诺函；</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注：供应商在参加政府采购活动前，被纳入法院、工商</w:t>
      </w:r>
      <w:r>
        <w:rPr>
          <w:rFonts w:hint="eastAsia" w:hAnsi="宋体"/>
          <w:kern w:val="2"/>
          <w:sz w:val="24"/>
          <w:szCs w:val="24"/>
          <w:highlight w:val="none"/>
        </w:rPr>
        <w:t>(市场监管)</w:t>
      </w:r>
      <w:r>
        <w:rPr>
          <w:rFonts w:hint="eastAsia" w:hAnsi="宋体"/>
          <w:sz w:val="24"/>
          <w:szCs w:val="24"/>
          <w:highlight w:val="none"/>
        </w:rPr>
        <w:t>行政管理部门、税务部门、银行认定的失信名单且在有效期内，或者在前三年政府采购合同履约过程中及其他经营活动履约过程中未依法履约被有关行政部门处罚(处理)的，本项目不认定其具有良好的商业信誉。</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2)供应商具有健全的财务会计制度的证明材料；</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①供应商提供2019年度或2020年度经过会计师事务所审计的财务报告复印件(经审计的有效财务报告应包括报告及报告中所附的完整内容，并由注册会计师签名、盖章以及会计师事务所盖章)；</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②供应商提供2019年度或2020年度供应商内部的财务报表复印件(至少包含资产负债表)；</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③供应商提供响应文件递交截止日前一年内银行为其出具的资信证明复印件；</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④供应商工商</w:t>
      </w:r>
      <w:r>
        <w:rPr>
          <w:rFonts w:hint="eastAsia" w:hAnsi="宋体"/>
          <w:kern w:val="2"/>
          <w:sz w:val="24"/>
          <w:szCs w:val="24"/>
          <w:highlight w:val="none"/>
        </w:rPr>
        <w:t>(市场监管)</w:t>
      </w:r>
      <w:r>
        <w:rPr>
          <w:rFonts w:hint="eastAsia" w:hAnsi="宋体"/>
          <w:sz w:val="24"/>
          <w:szCs w:val="24"/>
          <w:highlight w:val="none"/>
        </w:rPr>
        <w:t>注册时间截至响应文件递交截止日不足一年的，可提供公司章程复印件；</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⑤</w:t>
      </w:r>
      <w:r>
        <w:rPr>
          <w:rFonts w:hint="eastAsia" w:hAnsi="宋体"/>
          <w:kern w:val="2"/>
          <w:sz w:val="24"/>
          <w:szCs w:val="24"/>
          <w:highlight w:val="none"/>
        </w:rPr>
        <w:t>供应商提供具有健全的财务会计制度的承诺函</w:t>
      </w:r>
      <w:r>
        <w:rPr>
          <w:rFonts w:hint="eastAsia" w:hAnsi="宋体"/>
          <w:sz w:val="24"/>
          <w:szCs w:val="24"/>
          <w:highlight w:val="none"/>
        </w:rPr>
        <w:t>。</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注：具有健全的财务会计制度的证明材料中第①-⑤项具有同等的效力。</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(3)提供具有依法缴纳税收和社会保障资金的良好记录的证明材料；</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提供具有</w:t>
      </w:r>
      <w:r>
        <w:rPr>
          <w:rFonts w:hint="eastAsia" w:hAnsi="宋体"/>
          <w:sz w:val="24"/>
          <w:szCs w:val="24"/>
          <w:highlight w:val="none"/>
          <w:lang w:val="zh-CN"/>
        </w:rPr>
        <w:t>依法缴纳税收和社会保障资金的良好记录</w:t>
      </w:r>
      <w:r>
        <w:rPr>
          <w:rFonts w:hint="eastAsia" w:hAnsi="宋体"/>
          <w:sz w:val="24"/>
          <w:szCs w:val="24"/>
          <w:highlight w:val="none"/>
        </w:rPr>
        <w:t>的承诺函；</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(4)提供具备履行合同所必需的设备和专业技术能力的证明材料</w:t>
      </w:r>
    </w:p>
    <w:p>
      <w:pPr>
        <w:tabs>
          <w:tab w:val="left" w:pos="7665"/>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提供具备履行合同所必需的设备和专业技术能力的承诺函；</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(5)提供参加本次政府采购活动前3年内，在经营活动中没有重大违法记录的声明函(成立不足三年的从成立之日起计算)；</w:t>
      </w:r>
    </w:p>
    <w:p>
      <w:pPr>
        <w:pStyle w:val="57"/>
        <w:numPr>
          <w:ilvl w:val="1"/>
          <w:numId w:val="0"/>
        </w:numPr>
        <w:spacing w:line="440" w:lineRule="exact"/>
        <w:ind w:firstLine="480" w:firstLineChars="200"/>
        <w:rPr>
          <w:b/>
          <w:bCs/>
          <w:sz w:val="24"/>
          <w:szCs w:val="24"/>
          <w:highlight w:val="none"/>
        </w:rPr>
      </w:pPr>
      <w:r>
        <w:rPr>
          <w:rFonts w:hint="eastAsia"/>
          <w:sz w:val="24"/>
          <w:szCs w:val="24"/>
          <w:highlight w:val="none"/>
        </w:rPr>
        <w:t>(6)供应商</w:t>
      </w:r>
      <w:r>
        <w:rPr>
          <w:rFonts w:hint="eastAsia"/>
          <w:sz w:val="24"/>
          <w:szCs w:val="24"/>
          <w:highlight w:val="none"/>
          <w:lang w:val="zh-CN"/>
        </w:rPr>
        <w:t>及其现任法定代表人、主要负责人不得具有行贿犯罪记录</w:t>
      </w:r>
      <w:r>
        <w:rPr>
          <w:rFonts w:hint="eastAsia"/>
          <w:sz w:val="24"/>
          <w:szCs w:val="24"/>
          <w:highlight w:val="none"/>
        </w:rPr>
        <w:t>的证明材料</w:t>
      </w:r>
      <w:r>
        <w:rPr>
          <w:rFonts w:hint="eastAsia"/>
          <w:sz w:val="24"/>
          <w:szCs w:val="24"/>
          <w:highlight w:val="none"/>
          <w:lang w:val="zh-CN"/>
        </w:rPr>
        <w:t>；</w:t>
      </w:r>
    </w:p>
    <w:p>
      <w:pPr>
        <w:pStyle w:val="47"/>
        <w:spacing w:line="440" w:lineRule="exact"/>
        <w:rPr>
          <w:b w:val="0"/>
          <w:bCs/>
          <w:sz w:val="24"/>
          <w:szCs w:val="24"/>
          <w:highlight w:val="none"/>
        </w:rPr>
      </w:pPr>
      <w:r>
        <w:rPr>
          <w:rFonts w:hint="eastAsia"/>
          <w:b w:val="0"/>
          <w:bCs/>
          <w:sz w:val="24"/>
          <w:szCs w:val="24"/>
          <w:highlight w:val="none"/>
        </w:rPr>
        <w:t>①在响应文件中作出供应商及其现任法定代表人(姓名和身份证号码)、主要负责人(姓名和身份证号码)10年内(</w:t>
      </w:r>
      <w:r>
        <w:rPr>
          <w:rFonts w:hint="eastAsia"/>
          <w:b w:val="0"/>
          <w:bCs/>
          <w:sz w:val="24"/>
          <w:szCs w:val="24"/>
          <w:highlight w:val="none"/>
          <w:lang w:val="zh-CN"/>
        </w:rPr>
        <w:t>若</w:t>
      </w:r>
      <w:r>
        <w:rPr>
          <w:rFonts w:hint="eastAsia"/>
          <w:b w:val="0"/>
          <w:bCs/>
          <w:sz w:val="24"/>
          <w:szCs w:val="24"/>
          <w:highlight w:val="none"/>
        </w:rPr>
        <w:t>供应商</w:t>
      </w:r>
      <w:r>
        <w:rPr>
          <w:rFonts w:hint="eastAsia"/>
          <w:b w:val="0"/>
          <w:bCs/>
          <w:sz w:val="24"/>
          <w:szCs w:val="24"/>
          <w:highlight w:val="none"/>
          <w:lang w:val="zh-CN"/>
        </w:rPr>
        <w:t>成立不足10年的，</w:t>
      </w:r>
      <w:r>
        <w:rPr>
          <w:rFonts w:hint="eastAsia"/>
          <w:b w:val="0"/>
          <w:bCs/>
          <w:sz w:val="24"/>
          <w:szCs w:val="24"/>
          <w:highlight w:val="none"/>
        </w:rPr>
        <w:t>承诺期限为</w:t>
      </w:r>
      <w:r>
        <w:rPr>
          <w:rFonts w:hint="eastAsia"/>
          <w:b w:val="0"/>
          <w:bCs/>
          <w:sz w:val="24"/>
          <w:szCs w:val="24"/>
          <w:highlight w:val="none"/>
          <w:lang w:val="zh-CN"/>
        </w:rPr>
        <w:t>成立之日起</w:t>
      </w:r>
      <w:r>
        <w:rPr>
          <w:rFonts w:hint="eastAsia"/>
          <w:b w:val="0"/>
          <w:bCs/>
          <w:sz w:val="24"/>
          <w:szCs w:val="24"/>
          <w:highlight w:val="none"/>
        </w:rPr>
        <w:t>至今)无行贿犯罪记录的承诺；</w:t>
      </w:r>
    </w:p>
    <w:p>
      <w:pPr>
        <w:pStyle w:val="47"/>
        <w:spacing w:line="440" w:lineRule="exact"/>
        <w:rPr>
          <w:b w:val="0"/>
          <w:bCs/>
          <w:sz w:val="24"/>
          <w:szCs w:val="24"/>
          <w:highlight w:val="none"/>
          <w:lang w:val="zh-CN"/>
        </w:rPr>
      </w:pPr>
      <w:r>
        <w:rPr>
          <w:rFonts w:hint="eastAsia"/>
          <w:b w:val="0"/>
          <w:bCs/>
          <w:sz w:val="24"/>
          <w:szCs w:val="24"/>
          <w:highlight w:val="none"/>
        </w:rPr>
        <w:t>②</w:t>
      </w:r>
      <w:r>
        <w:rPr>
          <w:rFonts w:hint="eastAsia"/>
          <w:b w:val="0"/>
          <w:bCs/>
          <w:sz w:val="24"/>
          <w:highlight w:val="none"/>
        </w:rPr>
        <w:t>未提供承诺函的由采购代理机构通过“中国裁判文书网”查询，并将查询记录存档</w:t>
      </w:r>
      <w:r>
        <w:rPr>
          <w:rFonts w:hint="eastAsia"/>
          <w:b w:val="0"/>
          <w:bCs/>
          <w:sz w:val="24"/>
          <w:szCs w:val="24"/>
          <w:highlight w:val="none"/>
          <w:lang w:val="zh-CN"/>
        </w:rPr>
        <w:t>。</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(7)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tabs>
          <w:tab w:val="left" w:pos="7665"/>
        </w:tabs>
        <w:wordWrap w:val="0"/>
        <w:topLinePunct/>
        <w:spacing w:line="440" w:lineRule="exact"/>
        <w:ind w:firstLine="482" w:firstLineChars="200"/>
        <w:rPr>
          <w:rFonts w:hAnsi="宋体"/>
          <w:sz w:val="24"/>
          <w:szCs w:val="24"/>
          <w:highlight w:val="none"/>
        </w:rPr>
      </w:pPr>
      <w:r>
        <w:rPr>
          <w:rFonts w:hint="eastAsia" w:hAnsi="宋体"/>
          <w:b/>
          <w:bCs/>
          <w:sz w:val="24"/>
          <w:szCs w:val="24"/>
          <w:highlight w:val="none"/>
        </w:rPr>
        <w:t>注：①采购代理机构将通过“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②供应商参与协商时无需对此条进行响应。</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(8)法定代表人/单位负责人授权书原件(①附法定代表人/单位负责人和被授权人身份证明文件复印件；②法定代表人/单位负责人参与协商时不需要提供)；</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(9)法定代表人/单位负责人身份证明书原件(法定代表人/单位负责人亲自参加协商时适用)；</w:t>
      </w:r>
    </w:p>
    <w:p>
      <w:pPr>
        <w:wordWrap w:val="0"/>
        <w:topLinePunct/>
        <w:spacing w:line="440" w:lineRule="exact"/>
        <w:ind w:firstLine="480" w:firstLineChars="200"/>
        <w:rPr>
          <w:rFonts w:hAnsi="宋体"/>
          <w:sz w:val="24"/>
          <w:szCs w:val="24"/>
          <w:highlight w:val="none"/>
          <w:lang w:val="zh-CN"/>
        </w:rPr>
      </w:pPr>
      <w:r>
        <w:rPr>
          <w:rFonts w:hint="eastAsia" w:hAnsi="宋体"/>
          <w:sz w:val="24"/>
          <w:szCs w:val="24"/>
          <w:highlight w:val="none"/>
        </w:rPr>
        <w:t>(10)</w:t>
      </w:r>
      <w:r>
        <w:rPr>
          <w:rFonts w:hint="eastAsia" w:hAnsi="宋体"/>
          <w:sz w:val="24"/>
          <w:szCs w:val="24"/>
          <w:highlight w:val="none"/>
          <w:lang w:val="en-US" w:eastAsia="zh-CN"/>
        </w:rPr>
        <w:t>提供</w:t>
      </w:r>
      <w:r>
        <w:rPr>
          <w:rFonts w:hint="eastAsia"/>
          <w:sz w:val="24"/>
          <w:szCs w:val="24"/>
          <w:highlight w:val="none"/>
        </w:rPr>
        <w:t>具备国家行政主管部门颁发的有效的</w:t>
      </w:r>
      <w:r>
        <w:rPr>
          <w:rFonts w:hint="eastAsia"/>
          <w:sz w:val="24"/>
          <w:szCs w:val="24"/>
          <w:highlight w:val="none"/>
          <w:u w:val="single"/>
        </w:rPr>
        <w:t>《中华人民共和国报纸出版许可证》</w:t>
      </w:r>
      <w:r>
        <w:rPr>
          <w:rFonts w:hint="eastAsia"/>
          <w:sz w:val="24"/>
          <w:szCs w:val="24"/>
          <w:highlight w:val="none"/>
          <w:u w:val="none"/>
          <w:lang w:val="en-US" w:eastAsia="zh-CN"/>
        </w:rPr>
        <w:t>复印件</w:t>
      </w:r>
      <w:r>
        <w:rPr>
          <w:rFonts w:hint="eastAsia"/>
          <w:sz w:val="24"/>
          <w:szCs w:val="24"/>
          <w:highlight w:val="none"/>
          <w:u w:val="none"/>
        </w:rPr>
        <w:t>。</w:t>
      </w:r>
    </w:p>
    <w:p>
      <w:pPr>
        <w:tabs>
          <w:tab w:val="left" w:pos="1080"/>
        </w:tabs>
        <w:wordWrap w:val="0"/>
        <w:topLinePunct/>
        <w:adjustRightInd w:val="0"/>
        <w:spacing w:line="440" w:lineRule="exact"/>
        <w:ind w:firstLine="480" w:firstLineChars="200"/>
        <w:rPr>
          <w:rFonts w:hAnsi="宋体"/>
          <w:sz w:val="24"/>
          <w:szCs w:val="24"/>
          <w:highlight w:val="none"/>
        </w:rPr>
      </w:pPr>
      <w:r>
        <w:rPr>
          <w:rFonts w:hint="eastAsia" w:hAnsi="宋体"/>
          <w:sz w:val="24"/>
          <w:szCs w:val="24"/>
          <w:highlight w:val="none"/>
        </w:rPr>
        <w:t>2.协商小组应出具资格性(含实质性审查)审查报告。</w:t>
      </w:r>
    </w:p>
    <w:p>
      <w:pPr>
        <w:tabs>
          <w:tab w:val="left" w:pos="1080"/>
        </w:tabs>
        <w:wordWrap w:val="0"/>
        <w:topLinePunct/>
        <w:adjustRightInd w:val="0"/>
        <w:spacing w:line="440" w:lineRule="exact"/>
        <w:ind w:firstLine="482" w:firstLineChars="200"/>
        <w:rPr>
          <w:rFonts w:hAnsi="宋体"/>
          <w:b/>
          <w:bCs/>
          <w:sz w:val="24"/>
          <w:szCs w:val="24"/>
          <w:highlight w:val="none"/>
        </w:rPr>
      </w:pPr>
      <w:r>
        <w:rPr>
          <w:rFonts w:hint="eastAsia" w:hAnsi="宋体"/>
          <w:b/>
          <w:bCs/>
          <w:sz w:val="24"/>
          <w:szCs w:val="24"/>
          <w:highlight w:val="none"/>
        </w:rPr>
        <w:t>注：以上承诺及声明函可参照响应文件格式第四章“承诺及声明函”格式或自拟格式填写均有效，须加盖供应商单位公章。</w:t>
      </w:r>
    </w:p>
    <w:p>
      <w:pPr>
        <w:numPr>
          <w:ilvl w:val="0"/>
          <w:numId w:val="29"/>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协商及最后报价</w:t>
      </w:r>
    </w:p>
    <w:p>
      <w:pPr>
        <w:numPr>
          <w:ilvl w:val="0"/>
          <w:numId w:val="30"/>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协商小组按照采购文件的规定与供应商协商后进行报价。</w:t>
      </w:r>
    </w:p>
    <w:p>
      <w:pPr>
        <w:numPr>
          <w:ilvl w:val="0"/>
          <w:numId w:val="30"/>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协商过程中，供应商提供采购标的成本、同类项目合同价格以及相关专利、专有技术等情况说明(若涉及时提供)；供应商可以根据协商情况变更其技术、服务性响应文件，并将变更内容形成书面材料送协商小组。变更内容作为响应文件的一部分。供应商书面材料应当签字确认，否则无效。</w:t>
      </w:r>
    </w:p>
    <w:p>
      <w:pPr>
        <w:numPr>
          <w:ilvl w:val="0"/>
          <w:numId w:val="30"/>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协商达到供应商响应文件符合采购需求、质量和服务相等的前提下，协商小组应要求供应商进行报价。协商过程中，协商小组发现或者知晓供应商存在违法、违纪行为的，协商小组应当将该供应商淘汰，并终止本项目采购活动。</w:t>
      </w:r>
    </w:p>
    <w:p>
      <w:pPr>
        <w:numPr>
          <w:ilvl w:val="0"/>
          <w:numId w:val="30"/>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供应商独立填写最后报价表，由采购执行机构工作人员递交协商小组。供应商提交的最后报价表应当签字确认，并盖手印。</w:t>
      </w:r>
    </w:p>
    <w:p>
      <w:pPr>
        <w:numPr>
          <w:ilvl w:val="0"/>
          <w:numId w:val="30"/>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协商情况记录应当由采购全体人员签字认可。对记录有异议的采购人员，应当签署不同意见并说明理由。采购人员拒绝在记录上签字又不书面说明其不同意见和理由的，视为同意。</w:t>
      </w:r>
    </w:p>
    <w:p>
      <w:pPr>
        <w:numPr>
          <w:ilvl w:val="0"/>
          <w:numId w:val="29"/>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项目终止</w:t>
      </w:r>
    </w:p>
    <w:p>
      <w:p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出现下列情形之一的，采购人或者采购代理机构应当终止采购活动，发布项目终止公告并说明原因，重新开展采购活动：</w:t>
      </w:r>
    </w:p>
    <w:p>
      <w:pPr>
        <w:numPr>
          <w:ilvl w:val="0"/>
          <w:numId w:val="31"/>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因情况变化，不再符合规定的单一来源采购方式适用情形的；</w:t>
      </w:r>
    </w:p>
    <w:p>
      <w:pPr>
        <w:numPr>
          <w:ilvl w:val="0"/>
          <w:numId w:val="31"/>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出现影响采购公正的违法、违规行为的；</w:t>
      </w:r>
    </w:p>
    <w:p>
      <w:pPr>
        <w:numPr>
          <w:ilvl w:val="0"/>
          <w:numId w:val="31"/>
        </w:numPr>
        <w:tabs>
          <w:tab w:val="left" w:pos="7665"/>
        </w:tabs>
        <w:wordWrap w:val="0"/>
        <w:topLinePunct/>
        <w:adjustRightInd w:val="0"/>
        <w:spacing w:line="440" w:lineRule="exact"/>
        <w:ind w:firstLine="480" w:firstLineChars="200"/>
        <w:jc w:val="left"/>
        <w:rPr>
          <w:rFonts w:hAnsi="宋体"/>
          <w:sz w:val="24"/>
          <w:szCs w:val="24"/>
          <w:highlight w:val="none"/>
        </w:rPr>
      </w:pPr>
      <w:r>
        <w:rPr>
          <w:rFonts w:hint="eastAsia" w:hAnsi="宋体"/>
          <w:sz w:val="24"/>
          <w:szCs w:val="24"/>
          <w:highlight w:val="none"/>
        </w:rPr>
        <w:t>报价超过最高限价的。</w:t>
      </w:r>
    </w:p>
    <w:p>
      <w:pPr>
        <w:wordWrap w:val="0"/>
        <w:topLinePunct/>
        <w:spacing w:line="440" w:lineRule="exact"/>
        <w:ind w:firstLine="482" w:firstLineChars="200"/>
        <w:jc w:val="left"/>
        <w:outlineLvl w:val="1"/>
        <w:rPr>
          <w:rFonts w:hAnsi="宋体"/>
          <w:b/>
          <w:sz w:val="24"/>
          <w:szCs w:val="24"/>
          <w:highlight w:val="none"/>
        </w:rPr>
      </w:pPr>
      <w:bookmarkStart w:id="361" w:name="_Toc2917"/>
      <w:bookmarkStart w:id="362" w:name="_Toc9706"/>
      <w:bookmarkStart w:id="363" w:name="_Toc23652"/>
      <w:r>
        <w:rPr>
          <w:rFonts w:hint="eastAsia" w:hAnsi="宋体"/>
          <w:b/>
          <w:sz w:val="24"/>
          <w:szCs w:val="24"/>
          <w:highlight w:val="none"/>
        </w:rPr>
        <w:t>二、成交原则</w:t>
      </w:r>
      <w:bookmarkEnd w:id="361"/>
      <w:bookmarkEnd w:id="362"/>
      <w:bookmarkEnd w:id="363"/>
    </w:p>
    <w:p>
      <w:pPr>
        <w:numPr>
          <w:ilvl w:val="0"/>
          <w:numId w:val="32"/>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本项目由采购人确定成交供应商。</w:t>
      </w:r>
    </w:p>
    <w:p>
      <w:pPr>
        <w:numPr>
          <w:ilvl w:val="0"/>
          <w:numId w:val="32"/>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采购代理机构在“四川政府采购网”发布本项目的成交结果公告。</w:t>
      </w:r>
    </w:p>
    <w:p>
      <w:pPr>
        <w:numPr>
          <w:ilvl w:val="0"/>
          <w:numId w:val="32"/>
        </w:numPr>
        <w:wordWrap w:val="0"/>
        <w:topLinePunct/>
        <w:spacing w:line="440" w:lineRule="exact"/>
        <w:ind w:firstLine="480" w:firstLineChars="200"/>
        <w:jc w:val="left"/>
        <w:rPr>
          <w:rFonts w:hAnsi="宋体"/>
          <w:sz w:val="24"/>
          <w:szCs w:val="24"/>
          <w:highlight w:val="none"/>
        </w:rPr>
      </w:pPr>
      <w:r>
        <w:rPr>
          <w:rFonts w:hint="eastAsia" w:hAnsi="宋体"/>
          <w:sz w:val="24"/>
          <w:szCs w:val="24"/>
          <w:highlight w:val="none"/>
        </w:rPr>
        <w:t>采购人应当自政府采购合同签订之日起2个工作日内，将政府采购合同在省级以上人民政府财政部门指定的媒体上公告，但政府采购合同中涉及国家秘密、商业秘密的内容除外。</w:t>
      </w:r>
    </w:p>
    <w:p>
      <w:pPr>
        <w:tabs>
          <w:tab w:val="left" w:pos="1080"/>
        </w:tabs>
        <w:wordWrap w:val="0"/>
        <w:topLinePunct/>
        <w:adjustRightInd w:val="0"/>
        <w:spacing w:line="360" w:lineRule="auto"/>
        <w:ind w:firstLine="512" w:firstLineChars="200"/>
        <w:rPr>
          <w:rFonts w:hAnsi="宋体"/>
          <w:spacing w:val="8"/>
          <w:sz w:val="24"/>
          <w:highlight w:val="none"/>
        </w:rPr>
      </w:pPr>
    </w:p>
    <w:p>
      <w:pPr>
        <w:tabs>
          <w:tab w:val="left" w:pos="1080"/>
        </w:tabs>
        <w:wordWrap w:val="0"/>
        <w:topLinePunct/>
        <w:adjustRightInd w:val="0"/>
        <w:spacing w:line="400" w:lineRule="exact"/>
        <w:ind w:firstLine="512" w:firstLineChars="200"/>
        <w:rPr>
          <w:rFonts w:hAnsi="宋体"/>
          <w:spacing w:val="8"/>
          <w:sz w:val="24"/>
          <w:highlight w:val="none"/>
        </w:rPr>
      </w:pPr>
    </w:p>
    <w:p>
      <w:pPr>
        <w:wordWrap w:val="0"/>
        <w:topLinePunct/>
        <w:spacing w:line="400" w:lineRule="exact"/>
        <w:rPr>
          <w:rFonts w:hAnsi="宋体"/>
          <w:sz w:val="24"/>
          <w:highlight w:val="none"/>
        </w:rPr>
      </w:pPr>
    </w:p>
    <w:p>
      <w:pPr>
        <w:pStyle w:val="4"/>
        <w:keepNext w:val="0"/>
        <w:keepLines w:val="0"/>
        <w:wordWrap w:val="0"/>
        <w:topLinePunct/>
        <w:spacing w:before="156" w:after="156"/>
        <w:rPr>
          <w:szCs w:val="36"/>
          <w:highlight w:val="none"/>
        </w:rPr>
      </w:pPr>
      <w:r>
        <w:rPr>
          <w:rFonts w:hint="eastAsia"/>
          <w:sz w:val="24"/>
          <w:highlight w:val="none"/>
        </w:rPr>
        <w:br w:type="page"/>
      </w:r>
      <w:bookmarkStart w:id="364" w:name="_Toc30413"/>
      <w:bookmarkStart w:id="365" w:name="_Toc27510"/>
      <w:bookmarkStart w:id="366" w:name="_Toc3546"/>
      <w:bookmarkStart w:id="367" w:name="_Toc5528"/>
      <w:bookmarkStart w:id="368" w:name="_Toc18700"/>
      <w:bookmarkStart w:id="369" w:name="_Toc26180"/>
      <w:bookmarkStart w:id="370" w:name="_Toc13766"/>
      <w:bookmarkStart w:id="371" w:name="_Toc13703"/>
      <w:bookmarkStart w:id="372" w:name="_Toc31212"/>
      <w:bookmarkStart w:id="373" w:name="_Toc7648"/>
      <w:bookmarkStart w:id="374" w:name="_Toc23463"/>
      <w:bookmarkStart w:id="375" w:name="_Toc18860"/>
      <w:r>
        <w:rPr>
          <w:rFonts w:hint="eastAsia"/>
          <w:szCs w:val="36"/>
          <w:highlight w:val="none"/>
        </w:rPr>
        <w:t>第六章 合同草案</w:t>
      </w:r>
      <w:bookmarkEnd w:id="364"/>
      <w:bookmarkEnd w:id="365"/>
      <w:bookmarkEnd w:id="366"/>
      <w:bookmarkEnd w:id="367"/>
      <w:bookmarkEnd w:id="368"/>
      <w:bookmarkEnd w:id="369"/>
      <w:bookmarkEnd w:id="370"/>
      <w:bookmarkEnd w:id="371"/>
      <w:bookmarkEnd w:id="372"/>
      <w:bookmarkEnd w:id="373"/>
      <w:bookmarkEnd w:id="374"/>
      <w:bookmarkEnd w:id="375"/>
      <w:r>
        <w:rPr>
          <w:rFonts w:hint="eastAsia"/>
          <w:szCs w:val="36"/>
          <w:highlight w:val="none"/>
        </w:rPr>
        <w:t xml:space="preserve"> </w:t>
      </w: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合同编号：</w:t>
      </w:r>
      <w:r>
        <w:rPr>
          <w:rFonts w:hint="eastAsia" w:hAnsi="宋体"/>
          <w:sz w:val="24"/>
          <w:szCs w:val="24"/>
          <w:highlight w:val="none"/>
          <w:u w:val="single"/>
        </w:rPr>
        <w:t>与项目编号一致</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计划号/备案号：</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签订地点：</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u w:val="single"/>
        </w:rPr>
      </w:pPr>
      <w:r>
        <w:rPr>
          <w:rFonts w:hint="eastAsia" w:hAnsi="宋体"/>
          <w:sz w:val="24"/>
          <w:szCs w:val="24"/>
          <w:highlight w:val="none"/>
        </w:rPr>
        <w:t>签订时间：</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采购人名称(甲方)：</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成交供应商名称(乙方)：</w:t>
      </w:r>
      <w:r>
        <w:rPr>
          <w:rFonts w:hint="eastAsia" w:hAnsi="宋体"/>
          <w:sz w:val="24"/>
          <w:szCs w:val="24"/>
          <w:highlight w:val="none"/>
          <w:u w:val="single"/>
        </w:rPr>
        <w:t xml:space="preserve">                          </w:t>
      </w:r>
    </w:p>
    <w:p>
      <w:pPr>
        <w:wordWrap w:val="0"/>
        <w:topLinePunct/>
        <w:spacing w:line="440" w:lineRule="exact"/>
        <w:ind w:firstLine="480" w:firstLineChars="200"/>
        <w:rPr>
          <w:rFonts w:hAnsi="宋体"/>
          <w:sz w:val="24"/>
          <w:szCs w:val="24"/>
          <w:highlight w:val="none"/>
        </w:rPr>
      </w:pP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根据《中华人民共和国民法典》、《中华人民共和国政府采购法》、《中华人民共和国政府采购法实施条例》(国务院令第658号)、</w:t>
      </w:r>
      <w:r>
        <w:rPr>
          <w:rFonts w:hint="eastAsia" w:hAnsi="宋体"/>
          <w:sz w:val="24"/>
          <w:highlight w:val="none"/>
        </w:rPr>
        <w:t>《政府采购非招标采购方式管理办法》</w:t>
      </w:r>
      <w:r>
        <w:rPr>
          <w:rFonts w:hint="eastAsia" w:hAnsi="宋体"/>
          <w:sz w:val="24"/>
          <w:szCs w:val="24"/>
          <w:highlight w:val="none"/>
        </w:rPr>
        <w:t xml:space="preserve">及(采购项目的名称)(项目编号：XX)的《单一来源采购文件》、乙方的《响应文件》及《成交通知书》，甲、乙双方同意签订本合同。详细技术说明及其他有关合同项目的特定信息由合同附件予以说明，合同附件及本项目的单一来源采购文件、响应文件、《成交通知书》等均为本合同不可分割的部分。双方同意共同遵守如下条款： </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项目基本情况</w:t>
      </w:r>
    </w:p>
    <w:p>
      <w:pPr>
        <w:wordWrap w:val="0"/>
        <w:topLinePunct/>
        <w:spacing w:line="440" w:lineRule="exact"/>
        <w:ind w:firstLine="482" w:firstLineChars="200"/>
        <w:rPr>
          <w:rFonts w:hAnsi="宋体"/>
          <w:b/>
          <w:sz w:val="24"/>
          <w:szCs w:val="24"/>
          <w:highlight w:val="none"/>
        </w:rPr>
      </w:pP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合同履行</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1.履约期限：</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2.履行地点：</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3.履约方式：</w:t>
      </w:r>
    </w:p>
    <w:p>
      <w:pPr>
        <w:numPr>
          <w:ilvl w:val="0"/>
          <w:numId w:val="33"/>
        </w:numPr>
        <w:wordWrap w:val="0"/>
        <w:topLinePunct/>
        <w:spacing w:line="440" w:lineRule="exact"/>
        <w:ind w:left="0" w:firstLine="482" w:firstLineChars="200"/>
        <w:rPr>
          <w:rFonts w:hAnsi="宋体"/>
          <w:b/>
          <w:sz w:val="24"/>
          <w:szCs w:val="24"/>
          <w:highlight w:val="none"/>
        </w:rPr>
      </w:pPr>
      <w:bookmarkStart w:id="376" w:name="_Toc238984975"/>
      <w:bookmarkStart w:id="377" w:name="_Toc232492928"/>
      <w:bookmarkStart w:id="378" w:name="_Toc225670751"/>
      <w:bookmarkStart w:id="379" w:name="_Toc251768862"/>
      <w:bookmarkStart w:id="380" w:name="_Toc211911348"/>
      <w:bookmarkStart w:id="381" w:name="_Toc225244852"/>
      <w:bookmarkStart w:id="382" w:name="_Toc239568418"/>
      <w:bookmarkStart w:id="383" w:name="_Toc241833903"/>
      <w:bookmarkStart w:id="384" w:name="_Toc286993786"/>
      <w:bookmarkStart w:id="385" w:name="_Toc225654644"/>
      <w:bookmarkStart w:id="386" w:name="_Toc239233914"/>
      <w:bookmarkStart w:id="387" w:name="_Toc247334841"/>
      <w:bookmarkStart w:id="388" w:name="_Toc185395249"/>
      <w:bookmarkStart w:id="389" w:name="_Toc211854449"/>
      <w:bookmarkStart w:id="390" w:name="_Toc282696226"/>
      <w:bookmarkStart w:id="391" w:name="_Toc212019594"/>
      <w:bookmarkStart w:id="392" w:name="_Toc283019214"/>
      <w:bookmarkStart w:id="393" w:name="_Toc237145406"/>
      <w:r>
        <w:rPr>
          <w:rFonts w:hint="eastAsia" w:hAnsi="宋体"/>
          <w:b/>
          <w:sz w:val="24"/>
          <w:szCs w:val="24"/>
          <w:highlight w:val="none"/>
        </w:rPr>
        <w:t>合同标的</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1.XXXX……；</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2.数量(若涉及填写)；</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3.质量(若涉及填写)；</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质量标准</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1.XXXX；</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2.XXXX；</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3.XXXX．</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验收要求</w:t>
      </w:r>
    </w:p>
    <w:p>
      <w:pPr>
        <w:tabs>
          <w:tab w:val="left" w:pos="144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1.严格按照《财政部关于进一步加强政府采购需求和履约验收管理的指导意见》(财库〔2016〕205号)及参照《四川省政府采购项目需求论证和履约验收管理办法》(川财采〔2015〕32号)的要求进行验收。须符合国家有关规定、采购文件的质量要求和技术指标、供应商的响应文件及承诺以及合同条款。</w:t>
      </w:r>
    </w:p>
    <w:p>
      <w:pPr>
        <w:tabs>
          <w:tab w:val="left" w:pos="144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2.甲乙双方如对质量要求和技术指标的约定标准有相互抵触或异议的事项，由甲方在响应文件中按质量要求和技术指标比较优胜的原则确定该项的约定标准进行验收；</w:t>
      </w:r>
    </w:p>
    <w:p>
      <w:pPr>
        <w:tabs>
          <w:tab w:val="left" w:pos="144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3.如质量验收合格，双方签署质量验收报告。</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合同价款及支付方式</w:t>
      </w:r>
    </w:p>
    <w:p>
      <w:pPr>
        <w:numPr>
          <w:ilvl w:val="0"/>
          <w:numId w:val="34"/>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本项目合同价款由以下组成：</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1.XX万元；</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2.XX万元；</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3.XX万元。</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w:t>
      </w:r>
    </w:p>
    <w:p>
      <w:pPr>
        <w:numPr>
          <w:ilvl w:val="0"/>
          <w:numId w:val="34"/>
        </w:numPr>
        <w:tabs>
          <w:tab w:val="left" w:pos="780"/>
        </w:tabs>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 xml:space="preserve">支付方式： </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知识产权</w:t>
      </w:r>
    </w:p>
    <w:p>
      <w:pPr>
        <w:tabs>
          <w:tab w:val="left" w:pos="144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乙方应保证所提供的服务或其任何一部分均不会侵犯任何第三方的专利权、商标权或著作权。</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无产权瑕疵条款</w:t>
      </w:r>
    </w:p>
    <w:p>
      <w:pPr>
        <w:tabs>
          <w:tab w:val="left" w:pos="144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乙方保证所提供的服务的所有权完全属于乙方且无任何抵押、查封等产权瑕疵。如有产权瑕疵的，视为乙方违约。乙方应负担由此而产生的一切损失。</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甲方的权利和义务</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2.甲方有权依据双方签订的考评办法对乙方提供的服务进行定期考评。当考评结果未达到标准时，有权依据考评办法约定的数额扣除履约保证金。</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3.负责检查监督乙方管理工作的实施及制度的执行情况。</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4.根据本合同规定，按时向乙方支付应付服务费用。</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5、国家法律、法规所规定由甲方承担的其它责任。</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乙方的权利和义务</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1.对本合同规定的委托服务范围内的项目享有管理权及服务义务。</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2.根据本合同的规定向甲方收取相关服务费用，并有权在本项目管理范围内管理及合理使用。</w:t>
      </w:r>
    </w:p>
    <w:p>
      <w:pPr>
        <w:wordWrap w:val="0"/>
        <w:topLinePunct/>
        <w:adjustRightInd w:val="0"/>
        <w:spacing w:line="440" w:lineRule="exact"/>
        <w:ind w:firstLine="480" w:firstLineChars="200"/>
        <w:textAlignment w:val="baseline"/>
        <w:rPr>
          <w:rFonts w:hAnsi="宋体"/>
          <w:sz w:val="24"/>
          <w:szCs w:val="24"/>
          <w:highlight w:val="none"/>
        </w:rPr>
      </w:pPr>
      <w:r>
        <w:rPr>
          <w:rFonts w:hint="eastAsia" w:hAnsi="宋体"/>
          <w:sz w:val="24"/>
          <w:szCs w:val="24"/>
          <w:highlight w:val="none"/>
        </w:rPr>
        <w:t>3.及时向甲方通告本项目服务范围内有关服务的重大事项，及时配合处理投诉。</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sz w:val="24"/>
          <w:szCs w:val="24"/>
          <w:highlight w:val="none"/>
        </w:rPr>
        <w:t>4.</w:t>
      </w:r>
      <w:r>
        <w:rPr>
          <w:rFonts w:hint="eastAsia" w:hAnsi="宋体"/>
          <w:bCs/>
          <w:sz w:val="24"/>
          <w:szCs w:val="24"/>
          <w:highlight w:val="none"/>
        </w:rPr>
        <w:t>接受项目行业管理部门及政府有关部门的指导，接受甲方的监督。</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5.国家法律、法规所规定由乙方承担的其它责任。</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违约责任</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1.甲乙双方必须遵守本合同并执行合同中的各项规定，保证本合同的正常履行。</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ordWrap w:val="0"/>
        <w:topLinePunct/>
        <w:adjustRightInd w:val="0"/>
        <w:spacing w:line="440" w:lineRule="exact"/>
        <w:ind w:firstLine="480" w:firstLineChars="200"/>
        <w:textAlignment w:val="baseline"/>
        <w:rPr>
          <w:rFonts w:hAnsi="宋体"/>
          <w:bCs/>
          <w:sz w:val="24"/>
          <w:szCs w:val="24"/>
          <w:highlight w:val="none"/>
        </w:rPr>
      </w:pPr>
      <w:r>
        <w:rPr>
          <w:rFonts w:hint="eastAsia" w:hAnsi="宋体"/>
          <w:bCs/>
          <w:sz w:val="24"/>
          <w:szCs w:val="24"/>
          <w:highlight w:val="none"/>
        </w:rPr>
        <w:t>3、双方约定的其他违约责任：</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不可抗力事件处理</w:t>
      </w:r>
    </w:p>
    <w:p>
      <w:pPr>
        <w:tabs>
          <w:tab w:val="left" w:pos="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1.在合同有效期内，任何一方因不可抗力事件导致不能履行合同，则合同履行期可延长，其延长期与不可抗力影响期相同。</w:t>
      </w:r>
    </w:p>
    <w:p>
      <w:pPr>
        <w:tabs>
          <w:tab w:val="left" w:pos="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2.不可抗力事件发生后，应立即通知对方，并寄送有关权威机构出具的证明。</w:t>
      </w:r>
    </w:p>
    <w:p>
      <w:pPr>
        <w:tabs>
          <w:tab w:val="left" w:pos="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3.不可抗力事件延续XX天以上，双方应通过友好协商，确定是否继续履行合同。</w:t>
      </w: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解决争议的方法</w:t>
      </w:r>
    </w:p>
    <w:p>
      <w:pPr>
        <w:pStyle w:val="36"/>
        <w:wordWrap w:val="0"/>
        <w:topLinePunct/>
        <w:spacing w:line="440" w:lineRule="exact"/>
        <w:ind w:firstLine="480"/>
        <w:rPr>
          <w:rFonts w:hAnsi="宋体"/>
          <w:highlight w:val="none"/>
        </w:rPr>
      </w:pPr>
      <w:r>
        <w:rPr>
          <w:rFonts w:hint="eastAsia" w:hAnsi="宋体"/>
          <w:highlight w:val="none"/>
        </w:rPr>
        <w:t>1.因服务的质量问题发生争议，由甲方或其指定的第三方机构进行质量鉴定。服务符合标准的，鉴定费由甲方承担；服务不符合质量标准的，鉴定费由乙方承担。</w:t>
      </w:r>
    </w:p>
    <w:p>
      <w:pPr>
        <w:tabs>
          <w:tab w:val="left" w:pos="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2.合同履行期间,若双方发生争议，可协商或由有关部门调解解决，协商或调解不成的，按照下列方式解决(任选一项，且只能选择一项，在选定的一项前的方框内打“√”)：</w:t>
      </w:r>
    </w:p>
    <w:p>
      <w:pPr>
        <w:tabs>
          <w:tab w:val="left" w:pos="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 向</w:t>
      </w:r>
      <w:r>
        <w:rPr>
          <w:rFonts w:hint="eastAsia" w:hAnsi="宋体"/>
          <w:sz w:val="24"/>
          <w:szCs w:val="24"/>
          <w:highlight w:val="none"/>
          <w:u w:val="single"/>
        </w:rPr>
        <w:t xml:space="preserve">     </w:t>
      </w:r>
      <w:r>
        <w:rPr>
          <w:rFonts w:hint="eastAsia" w:hAnsi="宋体"/>
          <w:sz w:val="24"/>
          <w:szCs w:val="24"/>
          <w:highlight w:val="none"/>
        </w:rPr>
        <w:t>仲裁委员会申请仲裁；□ 向</w:t>
      </w:r>
      <w:r>
        <w:rPr>
          <w:rFonts w:hint="eastAsia" w:hAnsi="宋体"/>
          <w:sz w:val="24"/>
          <w:szCs w:val="24"/>
          <w:highlight w:val="none"/>
          <w:u w:val="single"/>
        </w:rPr>
        <w:t xml:space="preserve">      </w:t>
      </w:r>
      <w:r>
        <w:rPr>
          <w:rFonts w:hint="eastAsia" w:hAnsi="宋体"/>
          <w:sz w:val="24"/>
          <w:szCs w:val="24"/>
          <w:highlight w:val="none"/>
        </w:rPr>
        <w:t>所在地人民法院起诉。</w:t>
      </w:r>
    </w:p>
    <w:p>
      <w:pPr>
        <w:tabs>
          <w:tab w:val="left" w:pos="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3.仲裁裁决应为最终决定，并对双方具有约束力。</w:t>
      </w:r>
    </w:p>
    <w:p>
      <w:pPr>
        <w:tabs>
          <w:tab w:val="left" w:pos="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 xml:space="preserve">4.除另有裁决外，仲裁费应由败诉方负担。 </w:t>
      </w:r>
    </w:p>
    <w:p>
      <w:pPr>
        <w:tabs>
          <w:tab w:val="left" w:pos="0"/>
        </w:tabs>
        <w:wordWrap w:val="0"/>
        <w:topLinePunct/>
        <w:spacing w:line="440" w:lineRule="exact"/>
        <w:ind w:firstLine="480" w:firstLineChars="200"/>
        <w:rPr>
          <w:rFonts w:hAnsi="宋体"/>
          <w:sz w:val="24"/>
          <w:szCs w:val="24"/>
          <w:highlight w:val="none"/>
        </w:rPr>
      </w:pPr>
      <w:r>
        <w:rPr>
          <w:rFonts w:hint="eastAsia" w:hAnsi="宋体"/>
          <w:sz w:val="24"/>
          <w:szCs w:val="24"/>
          <w:highlight w:val="none"/>
        </w:rPr>
        <w:t xml:space="preserve">5.在仲裁期间，除正在进行仲裁部分外，合同其他部分继续执行。  </w:t>
      </w:r>
    </w:p>
    <w:p>
      <w:pPr>
        <w:numPr>
          <w:ilvl w:val="0"/>
          <w:numId w:val="33"/>
        </w:numPr>
        <w:wordWrap w:val="0"/>
        <w:topLinePunct/>
        <w:spacing w:line="440" w:lineRule="exact"/>
        <w:ind w:left="0" w:firstLine="482" w:firstLineChars="200"/>
        <w:rPr>
          <w:rFonts w:hAnsi="宋体"/>
          <w:b/>
          <w:sz w:val="24"/>
          <w:szCs w:val="24"/>
          <w:highlight w:val="none"/>
        </w:rPr>
      </w:pPr>
      <w:bookmarkStart w:id="394" w:name="_Toc286993793"/>
      <w:bookmarkStart w:id="395" w:name="_Toc251768868"/>
      <w:bookmarkStart w:id="396" w:name="_Toc232492934"/>
      <w:bookmarkStart w:id="397" w:name="_Toc241833909"/>
      <w:bookmarkStart w:id="398" w:name="_Toc239568424"/>
      <w:bookmarkStart w:id="399" w:name="_Toc247334847"/>
      <w:bookmarkStart w:id="400" w:name="_Toc211911354"/>
      <w:bookmarkStart w:id="401" w:name="_Toc185395255"/>
      <w:bookmarkStart w:id="402" w:name="_Toc225670757"/>
      <w:bookmarkStart w:id="403" w:name="_Toc212019600"/>
      <w:bookmarkStart w:id="404" w:name="_Toc211854455"/>
      <w:bookmarkStart w:id="405" w:name="_Toc225244858"/>
      <w:bookmarkStart w:id="406" w:name="_Toc225654650"/>
      <w:bookmarkStart w:id="407" w:name="_Toc239233920"/>
      <w:bookmarkStart w:id="408" w:name="_Toc282696231"/>
      <w:bookmarkStart w:id="409" w:name="_Toc237145412"/>
      <w:bookmarkStart w:id="410" w:name="_Toc283019219"/>
      <w:bookmarkStart w:id="411" w:name="_Toc238984981"/>
      <w:r>
        <w:rPr>
          <w:rFonts w:hint="eastAsia" w:hAnsi="宋体"/>
          <w:b/>
          <w:sz w:val="24"/>
          <w:szCs w:val="24"/>
          <w:highlight w:val="none"/>
        </w:rPr>
        <w:t>合同</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Fonts w:hint="eastAsia" w:hAnsi="宋体"/>
          <w:b/>
          <w:sz w:val="24"/>
          <w:szCs w:val="24"/>
          <w:highlight w:val="none"/>
        </w:rPr>
        <w:t>生效及其他</w:t>
      </w:r>
    </w:p>
    <w:p>
      <w:pPr>
        <w:pStyle w:val="41"/>
        <w:wordWrap w:val="0"/>
        <w:topLinePunct/>
        <w:spacing w:line="440" w:lineRule="exact"/>
        <w:ind w:firstLine="480"/>
        <w:rPr>
          <w:rFonts w:hAnsi="宋体"/>
          <w:sz w:val="24"/>
          <w:szCs w:val="24"/>
          <w:highlight w:val="none"/>
        </w:rPr>
      </w:pPr>
      <w:r>
        <w:rPr>
          <w:rFonts w:hint="eastAsia" w:hAnsi="宋体"/>
          <w:sz w:val="24"/>
          <w:szCs w:val="24"/>
          <w:highlight w:val="none"/>
        </w:rPr>
        <w:t>1.合同经双方法定代表人或授权委托代理人签字并加盖单位公章后生效。</w:t>
      </w:r>
    </w:p>
    <w:p>
      <w:pPr>
        <w:pStyle w:val="41"/>
        <w:wordWrap w:val="0"/>
        <w:topLinePunct/>
        <w:spacing w:line="440" w:lineRule="exact"/>
        <w:ind w:firstLine="480"/>
        <w:rPr>
          <w:rFonts w:hAnsi="宋体"/>
          <w:sz w:val="24"/>
          <w:szCs w:val="24"/>
          <w:highlight w:val="none"/>
        </w:rPr>
      </w:pPr>
      <w:r>
        <w:rPr>
          <w:rFonts w:hint="eastAsia" w:hAnsi="宋体"/>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41"/>
        <w:wordWrap w:val="0"/>
        <w:topLinePunct/>
        <w:spacing w:line="440" w:lineRule="exact"/>
        <w:ind w:firstLine="480"/>
        <w:rPr>
          <w:rFonts w:hAnsi="宋体"/>
          <w:sz w:val="24"/>
          <w:szCs w:val="24"/>
          <w:highlight w:val="none"/>
        </w:rPr>
      </w:pPr>
      <w:r>
        <w:rPr>
          <w:rFonts w:hint="eastAsia" w:hAnsi="宋体"/>
          <w:sz w:val="24"/>
          <w:szCs w:val="24"/>
          <w:highlight w:val="none"/>
        </w:rPr>
        <w:t>3.本合同一式XX份，自双方签章之日起起效。甲方XX份，乙方XX份，政府采购代理机构XX份，同级财政部门备案XX份，具有同等法律效力。</w:t>
      </w:r>
    </w:p>
    <w:p>
      <w:pPr>
        <w:numPr>
          <w:ilvl w:val="0"/>
          <w:numId w:val="33"/>
        </w:numPr>
        <w:wordWrap w:val="0"/>
        <w:topLinePunct/>
        <w:spacing w:line="440" w:lineRule="exact"/>
        <w:ind w:left="0" w:firstLine="482" w:firstLineChars="200"/>
        <w:rPr>
          <w:rFonts w:hAnsi="宋体"/>
          <w:b/>
          <w:sz w:val="24"/>
          <w:szCs w:val="24"/>
          <w:highlight w:val="none"/>
        </w:rPr>
      </w:pPr>
      <w:r>
        <w:rPr>
          <w:rFonts w:hint="eastAsia" w:hAnsi="宋体"/>
          <w:b/>
          <w:sz w:val="24"/>
          <w:szCs w:val="24"/>
          <w:highlight w:val="none"/>
        </w:rPr>
        <w:t>附件</w:t>
      </w:r>
    </w:p>
    <w:p>
      <w:pPr>
        <w:pStyle w:val="41"/>
        <w:wordWrap w:val="0"/>
        <w:topLinePunct/>
        <w:spacing w:line="440" w:lineRule="exact"/>
        <w:ind w:firstLine="480"/>
        <w:rPr>
          <w:rFonts w:hAnsi="宋体"/>
          <w:sz w:val="24"/>
          <w:szCs w:val="24"/>
          <w:highlight w:val="none"/>
        </w:rPr>
      </w:pPr>
      <w:r>
        <w:rPr>
          <w:rFonts w:hint="eastAsia" w:hAnsi="宋体"/>
          <w:sz w:val="24"/>
          <w:szCs w:val="24"/>
          <w:highlight w:val="none"/>
        </w:rPr>
        <w:t>1.单一来源采购文件</w:t>
      </w:r>
    </w:p>
    <w:p>
      <w:pPr>
        <w:pStyle w:val="41"/>
        <w:wordWrap w:val="0"/>
        <w:topLinePunct/>
        <w:spacing w:line="440" w:lineRule="exact"/>
        <w:ind w:firstLine="480"/>
        <w:rPr>
          <w:rFonts w:hAnsi="宋体"/>
          <w:sz w:val="24"/>
          <w:szCs w:val="24"/>
          <w:highlight w:val="none"/>
        </w:rPr>
      </w:pPr>
      <w:r>
        <w:rPr>
          <w:rFonts w:hint="eastAsia" w:hAnsi="宋体"/>
          <w:sz w:val="24"/>
          <w:szCs w:val="24"/>
          <w:highlight w:val="none"/>
        </w:rPr>
        <w:t>2.项目修改澄清文件</w:t>
      </w:r>
    </w:p>
    <w:p>
      <w:pPr>
        <w:pStyle w:val="41"/>
        <w:wordWrap w:val="0"/>
        <w:topLinePunct/>
        <w:spacing w:line="440" w:lineRule="exact"/>
        <w:ind w:firstLine="480"/>
        <w:rPr>
          <w:rFonts w:hAnsi="宋体"/>
          <w:sz w:val="24"/>
          <w:szCs w:val="24"/>
          <w:highlight w:val="none"/>
        </w:rPr>
      </w:pPr>
      <w:r>
        <w:rPr>
          <w:rFonts w:hint="eastAsia" w:hAnsi="宋体"/>
          <w:sz w:val="24"/>
          <w:szCs w:val="24"/>
          <w:highlight w:val="none"/>
        </w:rPr>
        <w:t>3.项目响应文件</w:t>
      </w:r>
    </w:p>
    <w:p>
      <w:pPr>
        <w:wordWrap w:val="0"/>
        <w:topLinePunct/>
        <w:spacing w:line="440" w:lineRule="exact"/>
        <w:ind w:firstLine="480" w:firstLineChars="200"/>
        <w:rPr>
          <w:rFonts w:hAnsi="宋体"/>
          <w:sz w:val="24"/>
          <w:szCs w:val="24"/>
          <w:highlight w:val="none"/>
        </w:rPr>
      </w:pPr>
      <w:r>
        <w:rPr>
          <w:rFonts w:hint="eastAsia" w:hAnsi="宋体"/>
          <w:sz w:val="24"/>
          <w:szCs w:val="24"/>
          <w:highlight w:val="none"/>
        </w:rPr>
        <w:t>4.成交通知书</w:t>
      </w:r>
    </w:p>
    <w:p>
      <w:pPr>
        <w:wordWrap w:val="0"/>
        <w:topLinePunct/>
        <w:spacing w:line="400" w:lineRule="exact"/>
        <w:ind w:firstLine="480" w:firstLineChars="200"/>
        <w:rPr>
          <w:rFonts w:hAnsi="宋体"/>
          <w:highlight w:val="none"/>
        </w:rPr>
      </w:pPr>
      <w:r>
        <w:rPr>
          <w:rFonts w:hint="eastAsia" w:hAnsi="宋体"/>
          <w:sz w:val="24"/>
          <w:szCs w:val="24"/>
          <w:highlight w:val="none"/>
        </w:rPr>
        <w:t>5.其他</w:t>
      </w:r>
    </w:p>
    <w:tbl>
      <w:tblPr>
        <w:tblStyle w:val="22"/>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甲方：   (盖章)</w:t>
            </w:r>
          </w:p>
        </w:tc>
        <w:tc>
          <w:tcPr>
            <w:tcW w:w="4981" w:type="dxa"/>
            <w:vAlign w:val="center"/>
          </w:tcPr>
          <w:p>
            <w:pPr>
              <w:wordWrap w:val="0"/>
              <w:topLinePunct/>
              <w:spacing w:line="380" w:lineRule="exact"/>
              <w:rPr>
                <w:rFonts w:hAnsi="宋体"/>
                <w:highlight w:val="none"/>
              </w:rPr>
            </w:pPr>
            <w:r>
              <w:rPr>
                <w:rFonts w:hint="eastAsia" w:hAnsi="宋体"/>
                <w:sz w:val="24"/>
                <w:szCs w:val="24"/>
                <w:highlight w:val="none"/>
              </w:rPr>
              <w:t>乙方：   (盖章)</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法定代表人(授权代表)：</w:t>
            </w:r>
          </w:p>
        </w:tc>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法定代表人(授权代表)：</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地址(住所)：</w:t>
            </w:r>
          </w:p>
        </w:tc>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地址(住所)：</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开户银行：</w:t>
            </w:r>
          </w:p>
        </w:tc>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开户银行：</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账号：</w:t>
            </w:r>
          </w:p>
        </w:tc>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账号：</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 xml:space="preserve">电话： </w:t>
            </w:r>
          </w:p>
        </w:tc>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 xml:space="preserve">电话： </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传真：</w:t>
            </w:r>
          </w:p>
        </w:tc>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传真：</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签约日期：XX年XX月XX日</w:t>
            </w:r>
          </w:p>
        </w:tc>
        <w:tc>
          <w:tcPr>
            <w:tcW w:w="4981" w:type="dxa"/>
            <w:vAlign w:val="center"/>
          </w:tcPr>
          <w:p>
            <w:pPr>
              <w:pStyle w:val="2"/>
              <w:keepNext w:val="0"/>
              <w:keepLines w:val="0"/>
              <w:numPr>
                <w:ilvl w:val="4"/>
                <w:numId w:val="0"/>
              </w:numPr>
              <w:wordWrap w:val="0"/>
              <w:topLinePunct/>
              <w:spacing w:before="0" w:after="0" w:line="380" w:lineRule="exact"/>
              <w:jc w:val="both"/>
              <w:rPr>
                <w:rFonts w:ascii="宋体" w:hAnsi="宋体" w:eastAsia="宋体" w:cs="宋体"/>
                <w:b w:val="0"/>
                <w:bCs w:val="0"/>
                <w:highlight w:val="none"/>
              </w:rPr>
            </w:pPr>
            <w:r>
              <w:rPr>
                <w:rFonts w:hint="eastAsia" w:ascii="宋体" w:hAnsi="宋体" w:eastAsia="宋体" w:cs="宋体"/>
                <w:b w:val="0"/>
                <w:bCs w:val="0"/>
                <w:highlight w:val="none"/>
              </w:rPr>
              <w:t>签约日期：XX年XX月XX日</w:t>
            </w:r>
          </w:p>
        </w:tc>
      </w:tr>
    </w:tbl>
    <w:p>
      <w:pPr>
        <w:pStyle w:val="4"/>
        <w:keepNext w:val="0"/>
        <w:keepLines w:val="0"/>
        <w:pageBreakBefore/>
        <w:numPr>
          <w:ilvl w:val="0"/>
          <w:numId w:val="35"/>
        </w:numPr>
        <w:wordWrap w:val="0"/>
        <w:topLinePunct/>
        <w:spacing w:before="156" w:after="156"/>
        <w:rPr>
          <w:szCs w:val="36"/>
          <w:highlight w:val="none"/>
        </w:rPr>
      </w:pPr>
      <w:bookmarkStart w:id="412" w:name="_Toc30223"/>
      <w:r>
        <w:rPr>
          <w:rFonts w:hint="eastAsia"/>
          <w:szCs w:val="36"/>
          <w:highlight w:val="none"/>
          <w:lang w:val="en-US" w:eastAsia="zh-CN"/>
        </w:rPr>
        <w:t xml:space="preserve"> </w:t>
      </w:r>
      <w:bookmarkStart w:id="413" w:name="_Toc23613"/>
      <w:r>
        <w:rPr>
          <w:rFonts w:hint="eastAsia"/>
          <w:szCs w:val="36"/>
          <w:highlight w:val="none"/>
          <w:lang w:val="en-US" w:eastAsia="zh-CN"/>
        </w:rPr>
        <w:t>附件</w:t>
      </w:r>
      <w:bookmarkEnd w:id="413"/>
    </w:p>
    <w:p>
      <w:pPr>
        <w:pStyle w:val="48"/>
        <w:keepNext w:val="0"/>
        <w:keepLines w:val="0"/>
        <w:pageBreakBefore w:val="0"/>
        <w:widowControl w:val="0"/>
        <w:kinsoku/>
        <w:wordWrap w:val="0"/>
        <w:overflowPunct/>
        <w:topLinePunct/>
        <w:autoSpaceDE/>
        <w:autoSpaceDN/>
        <w:bidi w:val="0"/>
        <w:adjustRightInd/>
        <w:snapToGrid/>
        <w:spacing w:line="480" w:lineRule="exact"/>
        <w:jc w:val="both"/>
        <w:textAlignment w:val="auto"/>
        <w:outlineLvl w:val="1"/>
        <w:rPr>
          <w:rFonts w:hint="eastAsia"/>
          <w:b/>
          <w:bCs/>
          <w:sz w:val="24"/>
          <w:szCs w:val="24"/>
          <w:highlight w:val="none"/>
        </w:rPr>
      </w:pPr>
      <w:bookmarkStart w:id="414" w:name="_Toc19946"/>
      <w:r>
        <w:rPr>
          <w:rFonts w:hint="eastAsia"/>
          <w:b/>
          <w:bCs/>
          <w:sz w:val="24"/>
          <w:szCs w:val="24"/>
          <w:highlight w:val="none"/>
          <w:lang w:val="en-US" w:eastAsia="zh-CN"/>
        </w:rPr>
        <w:t>附件一：</w:t>
      </w:r>
      <w:r>
        <w:rPr>
          <w:rFonts w:hint="eastAsia"/>
          <w:b/>
          <w:bCs/>
          <w:sz w:val="24"/>
          <w:szCs w:val="24"/>
          <w:highlight w:val="none"/>
        </w:rPr>
        <w:t>2021年度信用评价服务效果调查表(供应商)</w:t>
      </w:r>
      <w:bookmarkEnd w:id="414"/>
    </w:p>
    <w:p>
      <w:pPr>
        <w:pStyle w:val="48"/>
        <w:spacing w:line="480" w:lineRule="exact"/>
        <w:rPr>
          <w:sz w:val="24"/>
          <w:szCs w:val="24"/>
          <w:highlight w:val="none"/>
          <w:u w:val="single"/>
        </w:rPr>
      </w:pPr>
      <w:r>
        <w:rPr>
          <w:rFonts w:hint="eastAsia"/>
          <w:sz w:val="24"/>
          <w:szCs w:val="24"/>
          <w:highlight w:val="none"/>
        </w:rPr>
        <w:t>项目名称：</w:t>
      </w:r>
      <w:r>
        <w:rPr>
          <w:rFonts w:hint="eastAsia"/>
          <w:sz w:val="24"/>
          <w:szCs w:val="24"/>
          <w:highlight w:val="none"/>
          <w:u w:val="single"/>
        </w:rPr>
        <w:t xml:space="preserve">                               </w:t>
      </w:r>
    </w:p>
    <w:p>
      <w:pPr>
        <w:pStyle w:val="48"/>
        <w:spacing w:line="480" w:lineRule="exact"/>
        <w:rPr>
          <w:sz w:val="24"/>
          <w:szCs w:val="24"/>
          <w:highlight w:val="none"/>
          <w:u w:val="single"/>
        </w:rPr>
      </w:pPr>
      <w:r>
        <w:rPr>
          <w:rFonts w:hint="eastAsia"/>
          <w:sz w:val="24"/>
          <w:szCs w:val="24"/>
          <w:highlight w:val="none"/>
        </w:rPr>
        <w:t>项目编号：</w:t>
      </w:r>
      <w:r>
        <w:rPr>
          <w:rFonts w:hint="eastAsia"/>
          <w:sz w:val="24"/>
          <w:szCs w:val="24"/>
          <w:highlight w:val="none"/>
          <w:u w:val="single"/>
        </w:rPr>
        <w:t xml:space="preserve">                               </w:t>
      </w:r>
    </w:p>
    <w:p>
      <w:pPr>
        <w:pStyle w:val="48"/>
        <w:spacing w:line="480" w:lineRule="exact"/>
        <w:rPr>
          <w:sz w:val="24"/>
          <w:szCs w:val="24"/>
          <w:highlight w:val="none"/>
        </w:rPr>
      </w:pPr>
      <w:r>
        <w:rPr>
          <w:rFonts w:hint="eastAsia"/>
          <w:sz w:val="24"/>
          <w:szCs w:val="24"/>
          <w:highlight w:val="none"/>
        </w:rPr>
        <w:t>被评价代理机构名称：四川乾新招投标代理有限公司</w:t>
      </w:r>
    </w:p>
    <w:tbl>
      <w:tblPr>
        <w:tblStyle w:val="22"/>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满意</w:t>
            </w:r>
          </w:p>
          <w:p>
            <w:pPr>
              <w:pStyle w:val="43"/>
              <w:rPr>
                <w:b/>
                <w:bCs/>
                <w:highlight w:val="none"/>
              </w:rPr>
            </w:pPr>
            <w:r>
              <w:rPr>
                <w:rFonts w:hint="eastAsia"/>
                <w:b/>
                <w:bCs/>
                <w:highlight w:val="none"/>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 xml:space="preserve">基本满意 </w:t>
            </w:r>
          </w:p>
          <w:p>
            <w:pPr>
              <w:pStyle w:val="43"/>
              <w:rPr>
                <w:b/>
                <w:bCs/>
                <w:highlight w:val="none"/>
              </w:rPr>
            </w:pPr>
            <w:r>
              <w:rPr>
                <w:rFonts w:hint="eastAsia"/>
                <w:b/>
                <w:bCs/>
                <w:highlight w:val="none"/>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 xml:space="preserve">一般 </w:t>
            </w:r>
          </w:p>
          <w:p>
            <w:pPr>
              <w:pStyle w:val="43"/>
              <w:rPr>
                <w:b/>
                <w:bCs/>
                <w:highlight w:val="none"/>
              </w:rPr>
            </w:pPr>
            <w:r>
              <w:rPr>
                <w:rFonts w:hint="eastAsia"/>
                <w:b/>
                <w:bCs/>
                <w:highlight w:val="none"/>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不满意</w:t>
            </w:r>
          </w:p>
          <w:p>
            <w:pPr>
              <w:pStyle w:val="43"/>
              <w:rPr>
                <w:b/>
                <w:bCs/>
                <w:highlight w:val="none"/>
              </w:rPr>
            </w:pPr>
            <w:r>
              <w:rPr>
                <w:rFonts w:hint="eastAsia"/>
                <w:b/>
                <w:bCs/>
                <w:highlight w:val="none"/>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r>
              <w:rPr>
                <w:rFonts w:hint="eastAsia"/>
                <w:b/>
                <w:bCs/>
                <w:highlight w:val="none"/>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rPr>
                <w:b/>
                <w:bCs/>
                <w:highlight w:val="none"/>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ind w:left="68"/>
              <w:rPr>
                <w:b/>
                <w:bCs/>
                <w:highlight w:val="none"/>
              </w:rPr>
            </w:pPr>
            <w:r>
              <w:rPr>
                <w:rFonts w:hint="eastAsia"/>
                <w:b/>
                <w:bCs/>
                <w:highlight w:val="none"/>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ind w:left="68"/>
              <w:rPr>
                <w:b/>
                <w:bCs/>
                <w:highlight w:val="none"/>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ind w:left="68"/>
              <w:rPr>
                <w:b/>
                <w:bCs/>
                <w:highlight w:val="none"/>
              </w:rPr>
            </w:pPr>
            <w:r>
              <w:rPr>
                <w:rFonts w:hint="eastAsia"/>
                <w:b/>
                <w:bCs/>
                <w:highlight w:val="none"/>
              </w:rPr>
              <w:t>供应商名称：</w:t>
            </w:r>
            <w:r>
              <w:rPr>
                <w:rFonts w:hint="eastAsia"/>
                <w:b/>
                <w:bCs/>
                <w:highlight w:val="none"/>
                <w:u w:val="single"/>
              </w:rPr>
              <w:t xml:space="preserve">                     </w:t>
            </w:r>
            <w:r>
              <w:rPr>
                <w:rFonts w:hint="eastAsia"/>
                <w:b/>
                <w:bCs/>
                <w:highlight w:val="none"/>
              </w:rPr>
              <w:t>(加盖鲜章)</w:t>
            </w:r>
          </w:p>
        </w:tc>
      </w:tr>
    </w:tbl>
    <w:p>
      <w:pPr>
        <w:pageBreakBefore w:val="0"/>
        <w:numPr>
          <w:ilvl w:val="0"/>
          <w:numId w:val="0"/>
        </w:numPr>
        <w:kinsoku/>
        <w:wordWrap/>
        <w:overflowPunct/>
        <w:topLinePunct w:val="0"/>
        <w:autoSpaceDE/>
        <w:autoSpaceDN/>
        <w:bidi w:val="0"/>
        <w:adjustRightInd/>
        <w:snapToGrid/>
        <w:spacing w:line="440" w:lineRule="exact"/>
        <w:textAlignment w:val="auto"/>
        <w:rPr>
          <w:rFonts w:hint="eastAsia"/>
          <w:highlight w:val="none"/>
          <w:lang w:val="en-US" w:eastAsia="zh-CN"/>
        </w:rPr>
      </w:pPr>
      <w:r>
        <w:rPr>
          <w:rFonts w:hint="eastAsia"/>
          <w:b/>
          <w:bCs/>
          <w:sz w:val="24"/>
          <w:szCs w:val="24"/>
          <w:highlight w:val="none"/>
        </w:rPr>
        <w:t>说明：请贵公司根据政府采购代理机构2021年度政府采购项目的实际情况，在“满意”、“基本满意”、“一般”、“不满意”四个评价档次栏中选取一栏打“√”，并加盖鲜章。</w:t>
      </w:r>
    </w:p>
    <w:p>
      <w:pPr>
        <w:rPr>
          <w:rFonts w:hint="eastAsia"/>
          <w:highlight w:val="none"/>
        </w:rPr>
      </w:pPr>
    </w:p>
    <w:bookmarkEnd w:id="412"/>
    <w:p>
      <w:pPr>
        <w:wordWrap w:val="0"/>
        <w:topLinePunct/>
        <w:spacing w:line="440" w:lineRule="exact"/>
        <w:ind w:firstLine="482" w:firstLineChars="200"/>
        <w:rPr>
          <w:b/>
          <w:bCs/>
          <w:sz w:val="24"/>
          <w:szCs w:val="24"/>
          <w:highlight w:val="none"/>
        </w:rPr>
        <w:sectPr>
          <w:pgSz w:w="11906" w:h="16838"/>
          <w:pgMar w:top="1440" w:right="1083" w:bottom="1440" w:left="1083" w:header="851" w:footer="992" w:gutter="0"/>
          <w:cols w:space="425" w:num="1"/>
          <w:docGrid w:type="lines" w:linePitch="312" w:charSpace="0"/>
        </w:sectPr>
      </w:pPr>
    </w:p>
    <w:p>
      <w:pPr>
        <w:pStyle w:val="48"/>
        <w:keepNext w:val="0"/>
        <w:keepLines w:val="0"/>
        <w:pageBreakBefore w:val="0"/>
        <w:widowControl w:val="0"/>
        <w:kinsoku/>
        <w:wordWrap w:val="0"/>
        <w:overflowPunct/>
        <w:topLinePunct/>
        <w:autoSpaceDE/>
        <w:autoSpaceDN/>
        <w:bidi w:val="0"/>
        <w:adjustRightInd/>
        <w:snapToGrid/>
        <w:spacing w:line="480" w:lineRule="exact"/>
        <w:jc w:val="both"/>
        <w:textAlignment w:val="auto"/>
        <w:outlineLvl w:val="1"/>
        <w:rPr>
          <w:rFonts w:hint="eastAsia" w:ascii="宋体" w:hAnsi="宋体" w:eastAsia="宋体" w:cs="宋体"/>
          <w:b/>
          <w:bCs/>
          <w:sz w:val="24"/>
          <w:szCs w:val="24"/>
          <w:highlight w:val="none"/>
          <w:lang w:val="en-US" w:eastAsia="zh-CN"/>
        </w:rPr>
      </w:pPr>
      <w:bookmarkStart w:id="415" w:name="_Toc2048"/>
      <w:r>
        <w:rPr>
          <w:rFonts w:hint="eastAsia" w:ascii="宋体" w:hAnsi="宋体" w:eastAsia="宋体" w:cs="宋体"/>
          <w:b/>
          <w:bCs/>
          <w:sz w:val="24"/>
          <w:szCs w:val="24"/>
          <w:highlight w:val="none"/>
          <w:lang w:val="en-US" w:eastAsia="zh-CN"/>
        </w:rPr>
        <w:t>附件二：《四川省财政厅关于推进四川省政府采购供应商信用融资工作的通知》(川财采〔2018〕123号文)</w:t>
      </w:r>
      <w:bookmarkEnd w:id="415"/>
    </w:p>
    <w:p>
      <w:pPr>
        <w:pStyle w:val="21"/>
        <w:tabs>
          <w:tab w:val="left" w:pos="0"/>
        </w:tabs>
        <w:wordWrap w:val="0"/>
        <w:spacing w:before="0" w:beforeAutospacing="0" w:after="0" w:afterAutospacing="0" w:line="440" w:lineRule="exact"/>
        <w:rPr>
          <w:b/>
          <w:bCs/>
          <w:sz w:val="24"/>
          <w:szCs w:val="24"/>
          <w:highlight w:val="none"/>
        </w:rPr>
      </w:pPr>
      <w:r>
        <w:rPr>
          <w:rFonts w:hint="eastAsia"/>
          <w:b/>
          <w:bCs/>
          <w:highlight w:val="none"/>
        </w:rPr>
        <w:t>查询链接：</w:t>
      </w:r>
      <w:r>
        <w:rPr>
          <w:rFonts w:hint="eastAsia"/>
          <w:b/>
          <w:bCs/>
          <w:sz w:val="24"/>
          <w:szCs w:val="24"/>
          <w:highlight w:val="none"/>
        </w:rPr>
        <w:t>http：//www.ccgp-sichuan.gov.cn/view/staticpags/sjzcfg/40288687657ff75501672fd954532414.html</w:t>
      </w:r>
    </w:p>
    <w:p>
      <w:pPr>
        <w:widowControl/>
        <w:tabs>
          <w:tab w:val="left" w:pos="0"/>
        </w:tabs>
        <w:spacing w:line="440" w:lineRule="exact"/>
        <w:rPr>
          <w:highlight w:val="none"/>
        </w:rPr>
      </w:pPr>
    </w:p>
    <w:p>
      <w:pPr>
        <w:widowControl/>
        <w:tabs>
          <w:tab w:val="left" w:pos="0"/>
        </w:tabs>
        <w:jc w:val="center"/>
        <w:rPr>
          <w:rFonts w:hAnsi="宋体"/>
          <w:sz w:val="24"/>
          <w:szCs w:val="24"/>
          <w:highlight w:val="none"/>
        </w:rPr>
      </w:pPr>
      <w:r>
        <w:rPr>
          <w:rFonts w:hint="eastAsia" w:hAnsi="宋体"/>
          <w:sz w:val="24"/>
          <w:szCs w:val="24"/>
          <w:highlight w:val="none"/>
        </w:rPr>
        <w:drawing>
          <wp:inline distT="0" distB="0" distL="114300" distR="114300">
            <wp:extent cx="5302250" cy="1859915"/>
            <wp:effectExtent l="0" t="0" r="6350" b="698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5"/>
                    <a:stretch>
                      <a:fillRect/>
                    </a:stretch>
                  </pic:blipFill>
                  <pic:spPr>
                    <a:xfrm>
                      <a:off x="0" y="0"/>
                      <a:ext cx="5302250" cy="1859915"/>
                    </a:xfrm>
                    <a:prstGeom prst="rect">
                      <a:avLst/>
                    </a:prstGeom>
                    <a:noFill/>
                    <a:ln w="9525">
                      <a:noFill/>
                    </a:ln>
                  </pic:spPr>
                </pic:pic>
              </a:graphicData>
            </a:graphic>
          </wp:inline>
        </w:drawing>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各市(州)、扩权县(市)财政局，各省直机关、事业单位、团体组织，各金融机构，各采购代理机构，各政府采购供应商：</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一、融资概念</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二、基本原则</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(一)财政引导，市场运行</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(二)建立机制，服务银企</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(三)优质优惠，加强扶持</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三、基本条件</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(一)银行暨“政采贷”金融产品</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1、征集。</w:t>
      </w:r>
      <w:r>
        <w:rPr>
          <w:rFonts w:hint="eastAsia"/>
          <w:sz w:val="24"/>
          <w:szCs w:val="24"/>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银行提供的“政采贷”产品应当满足“无抵押担保、程序简便、利率优惠、放款及时”的基本条件以及本通知其他相关规定。</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银行申请材料中应当载明其自愿提供“政采贷”产品，自担风险，不得要求或者变相要求财政部门和采购人为其提供风险担保、承诺。</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2、公示。</w:t>
      </w:r>
      <w:r>
        <w:rPr>
          <w:rFonts w:hint="eastAsia"/>
          <w:sz w:val="24"/>
          <w:szCs w:val="24"/>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(二)供应商</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政府采购供应商向银行申请“政采贷”，应当满足下列基本条件：</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1、</w:t>
      </w:r>
      <w:r>
        <w:rPr>
          <w:rFonts w:hint="eastAsia"/>
          <w:sz w:val="24"/>
          <w:szCs w:val="24"/>
          <w:highlight w:val="none"/>
        </w:rPr>
        <w:t>具有依法承担民事责任的能力；</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2、</w:t>
      </w:r>
      <w:r>
        <w:rPr>
          <w:rFonts w:hint="eastAsia"/>
          <w:sz w:val="24"/>
          <w:szCs w:val="24"/>
          <w:highlight w:val="none"/>
        </w:rPr>
        <w:t>具有依法履行政府采购合同的能力；</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3、</w:t>
      </w:r>
      <w:r>
        <w:rPr>
          <w:rFonts w:hint="eastAsia"/>
          <w:sz w:val="24"/>
          <w:szCs w:val="24"/>
          <w:highlight w:val="none"/>
        </w:rPr>
        <w:t>参加的政府采购活动未被财政部门依法暂停、责令重新开展或者认定中标、成交无效；</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4、</w:t>
      </w:r>
      <w:r>
        <w:rPr>
          <w:rFonts w:hint="eastAsia"/>
          <w:sz w:val="24"/>
          <w:szCs w:val="24"/>
          <w:highlight w:val="none"/>
        </w:rPr>
        <w:t>无《政府采购法》第二十二条第一款第(五)项所称的重大违法记录；</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5、</w:t>
      </w:r>
      <w:r>
        <w:rPr>
          <w:rFonts w:hint="eastAsia"/>
          <w:sz w:val="24"/>
          <w:szCs w:val="24"/>
          <w:highlight w:val="none"/>
        </w:rPr>
        <w:t>未被法院、市场监管、税务、银行等部门单位纳入失信名单且在有效期内；</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6、</w:t>
      </w:r>
      <w:r>
        <w:rPr>
          <w:rFonts w:hint="eastAsia"/>
          <w:sz w:val="24"/>
          <w:szCs w:val="24"/>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7、</w:t>
      </w:r>
      <w:r>
        <w:rPr>
          <w:rFonts w:hint="eastAsia"/>
          <w:sz w:val="24"/>
          <w:szCs w:val="24"/>
          <w:highlight w:val="none"/>
        </w:rPr>
        <w:t>其他银行要求的不属于提供财产抵押或第三方担保的条件。</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四、构建平台</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四川省财政厅将在“四川政府采购网”统一构建四川省“政采贷”信息化服务平台，推进四川省“政采贷”工作信息化建设。</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五、财金互动</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六、基本流程</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(一)意向申请</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21"/>
        <w:tabs>
          <w:tab w:val="left" w:pos="0"/>
        </w:tabs>
        <w:spacing w:before="0" w:beforeAutospacing="0" w:after="0" w:afterAutospacing="0" w:line="440" w:lineRule="exact"/>
        <w:ind w:firstLine="482" w:firstLineChars="200"/>
        <w:rPr>
          <w:b/>
          <w:sz w:val="24"/>
          <w:szCs w:val="24"/>
          <w:highlight w:val="none"/>
        </w:rPr>
      </w:pPr>
      <w:r>
        <w:rPr>
          <w:rFonts w:hint="eastAsia"/>
          <w:b/>
          <w:sz w:val="24"/>
          <w:szCs w:val="24"/>
          <w:highlight w:val="none"/>
        </w:rPr>
        <w:t>(二)正式申请</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(三)贷款审查</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(四)信息报送</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(五)资金支付</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政府采购资金支付过程中，银行需要查询采购资金支付进程有关信息的，财政部门和采购人应当支持。</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七、职责要求</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(一)</w:t>
      </w:r>
      <w:r>
        <w:rPr>
          <w:rFonts w:hint="eastAsia"/>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(二)</w:t>
      </w:r>
      <w:r>
        <w:rPr>
          <w:rFonts w:hint="eastAsia"/>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(三)</w:t>
      </w:r>
      <w:r>
        <w:rPr>
          <w:rFonts w:hint="eastAsia"/>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(四)</w:t>
      </w:r>
      <w:r>
        <w:rPr>
          <w:rFonts w:hint="eastAsia"/>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(五)</w:t>
      </w:r>
      <w:r>
        <w:rPr>
          <w:rFonts w:hint="eastAsia"/>
          <w:sz w:val="24"/>
          <w:szCs w:val="24"/>
          <w:highlight w:val="none"/>
        </w:rPr>
        <w:t>供应商应当依法参加政府采购活动，公平竞争，诚实守信，严格按照政府采购合同履约，严格按照借款合同偿还债务。</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(六)</w:t>
      </w:r>
      <w:r>
        <w:rPr>
          <w:rFonts w:hint="eastAsia"/>
          <w:sz w:val="24"/>
          <w:szCs w:val="24"/>
          <w:highlight w:val="none"/>
        </w:rPr>
        <w:t>财政部门、采购人、采购代理机构及其他有关单位和个人不得违规干预供应商选择“政采贷”银行及其产品，也不得违规干预银行向供应商进行贷款。</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(七)</w:t>
      </w:r>
      <w:r>
        <w:rPr>
          <w:rFonts w:hint="eastAsia"/>
          <w:sz w:val="24"/>
          <w:szCs w:val="24"/>
          <w:highlight w:val="none"/>
        </w:rPr>
        <w:t>相关单位和个人在开展“政采贷”工作过程中，发现新问题、新情况或者有意见建议的，请及时向四川省财政厅反馈。</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八、违规处理</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(一)银行违规处理</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(二)供应商违规处理</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21"/>
        <w:tabs>
          <w:tab w:val="left" w:pos="0"/>
        </w:tabs>
        <w:spacing w:before="0" w:beforeAutospacing="0" w:after="0" w:afterAutospacing="0" w:line="440" w:lineRule="exact"/>
        <w:ind w:firstLine="482" w:firstLineChars="200"/>
        <w:rPr>
          <w:sz w:val="24"/>
          <w:szCs w:val="24"/>
          <w:highlight w:val="none"/>
        </w:rPr>
      </w:pPr>
      <w:r>
        <w:rPr>
          <w:rFonts w:hint="eastAsia"/>
          <w:b/>
          <w:sz w:val="24"/>
          <w:szCs w:val="24"/>
          <w:highlight w:val="none"/>
        </w:rPr>
        <w:t>(三)其他违规处理</w:t>
      </w:r>
    </w:p>
    <w:p>
      <w:pPr>
        <w:pStyle w:val="21"/>
        <w:tabs>
          <w:tab w:val="left" w:pos="0"/>
        </w:tabs>
        <w:spacing w:before="0" w:beforeAutospacing="0" w:after="0" w:afterAutospacing="0" w:line="440" w:lineRule="exact"/>
        <w:ind w:firstLine="480" w:firstLineChars="200"/>
        <w:rPr>
          <w:sz w:val="24"/>
          <w:szCs w:val="24"/>
          <w:highlight w:val="none"/>
        </w:rPr>
      </w:pPr>
      <w:r>
        <w:rPr>
          <w:rFonts w:hint="eastAsia"/>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1"/>
        <w:tabs>
          <w:tab w:val="left" w:pos="0"/>
        </w:tabs>
        <w:spacing w:before="0" w:beforeAutospacing="0" w:after="0" w:afterAutospacing="0" w:line="440" w:lineRule="exact"/>
        <w:ind w:firstLine="480" w:firstLineChars="200"/>
        <w:rPr>
          <w:sz w:val="24"/>
          <w:szCs w:val="24"/>
          <w:highlight w:val="none"/>
        </w:rPr>
      </w:pPr>
    </w:p>
    <w:p>
      <w:pPr>
        <w:tabs>
          <w:tab w:val="left" w:pos="0"/>
        </w:tabs>
        <w:rPr>
          <w:rFonts w:hAnsi="宋体"/>
          <w:sz w:val="24"/>
          <w:szCs w:val="24"/>
          <w:highlight w:val="none"/>
        </w:rPr>
      </w:pPr>
      <w:r>
        <w:rPr>
          <w:rFonts w:hint="eastAsia" w:hAnsi="宋体"/>
          <w:sz w:val="24"/>
          <w:szCs w:val="24"/>
          <w:highlight w:val="none"/>
        </w:rPr>
        <w:drawing>
          <wp:anchor distT="0" distB="0" distL="114300" distR="114300" simplePos="0" relativeHeight="251663360"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6"/>
                    <a:stretch>
                      <a:fillRect/>
                    </a:stretch>
                  </pic:blipFill>
                  <pic:spPr>
                    <a:xfrm>
                      <a:off x="0" y="0"/>
                      <a:ext cx="1771650" cy="1781175"/>
                    </a:xfrm>
                    <a:prstGeom prst="rect">
                      <a:avLst/>
                    </a:prstGeom>
                    <a:noFill/>
                    <a:ln w="9525">
                      <a:noFill/>
                    </a:ln>
                  </pic:spPr>
                </pic:pic>
              </a:graphicData>
            </a:graphic>
          </wp:anchor>
        </w:drawing>
      </w:r>
      <w:r>
        <w:rPr>
          <w:rFonts w:hint="eastAsia" w:hAnsi="宋体"/>
          <w:sz w:val="24"/>
          <w:szCs w:val="24"/>
          <w:highlight w:val="none"/>
        </w:rPr>
        <w:br w:type="page"/>
      </w:r>
    </w:p>
    <w:p>
      <w:pPr>
        <w:pStyle w:val="48"/>
        <w:keepNext w:val="0"/>
        <w:keepLines w:val="0"/>
        <w:pageBreakBefore w:val="0"/>
        <w:widowControl w:val="0"/>
        <w:kinsoku/>
        <w:wordWrap w:val="0"/>
        <w:overflowPunct/>
        <w:topLinePunct/>
        <w:autoSpaceDE/>
        <w:autoSpaceDN/>
        <w:bidi w:val="0"/>
        <w:adjustRightInd/>
        <w:snapToGrid/>
        <w:spacing w:line="480" w:lineRule="exact"/>
        <w:jc w:val="both"/>
        <w:textAlignment w:val="auto"/>
        <w:outlineLvl w:val="1"/>
        <w:rPr>
          <w:rFonts w:hint="eastAsia" w:ascii="宋体" w:hAnsi="宋体" w:eastAsia="宋体" w:cs="宋体"/>
          <w:b/>
          <w:bCs/>
          <w:sz w:val="24"/>
          <w:szCs w:val="24"/>
          <w:highlight w:val="none"/>
          <w:lang w:val="en-US" w:eastAsia="zh-CN"/>
        </w:rPr>
      </w:pPr>
      <w:bookmarkStart w:id="416" w:name="_Toc11291"/>
      <w:r>
        <w:rPr>
          <w:rFonts w:hint="eastAsia" w:ascii="宋体" w:hAnsi="宋体" w:eastAsia="宋体" w:cs="宋体"/>
          <w:b/>
          <w:bCs/>
          <w:sz w:val="24"/>
          <w:szCs w:val="24"/>
          <w:highlight w:val="none"/>
          <w:lang w:val="en-US" w:eastAsia="zh-CN"/>
        </w:rPr>
        <w:t>附件三：成都市财政局  中国人民银行成都分行营业管理部关于印发《成都市中小企业政府采购信用融资暂行办法》和《成都市级支持中小企业政府采购信用融资实施方案》的通知(成财采〔2019〕17号)</w:t>
      </w:r>
      <w:bookmarkEnd w:id="416"/>
    </w:p>
    <w:p>
      <w:pPr>
        <w:widowControl/>
        <w:tabs>
          <w:tab w:val="left" w:pos="0"/>
        </w:tabs>
        <w:wordWrap w:val="0"/>
        <w:spacing w:line="440" w:lineRule="exact"/>
        <w:rPr>
          <w:rFonts w:hAnsi="宋体"/>
          <w:b/>
          <w:bCs/>
          <w:sz w:val="24"/>
          <w:szCs w:val="24"/>
          <w:highlight w:val="none"/>
        </w:rPr>
      </w:pPr>
      <w:r>
        <w:rPr>
          <w:rFonts w:hint="eastAsia" w:hAnsi="宋体"/>
          <w:b/>
          <w:bCs/>
          <w:sz w:val="24"/>
          <w:szCs w:val="24"/>
          <w:highlight w:val="none"/>
        </w:rPr>
        <w:t>查询链接：</w:t>
      </w:r>
      <w:r>
        <w:rPr>
          <w:highlight w:val="none"/>
        </w:rPr>
        <w:fldChar w:fldCharType="begin"/>
      </w:r>
      <w:r>
        <w:rPr>
          <w:highlight w:val="none"/>
        </w:rPr>
        <w:instrText xml:space="preserve"> HYPERLINK "http://cdcz.chengdu.gov.cn/cdsczj/c116726/2019-03/13/content_7d81ae9c2a1e48968c7839a9c5b88ccd.shtml" </w:instrText>
      </w:r>
      <w:r>
        <w:rPr>
          <w:highlight w:val="none"/>
        </w:rPr>
        <w:fldChar w:fldCharType="separate"/>
      </w:r>
      <w:r>
        <w:rPr>
          <w:rStyle w:val="25"/>
          <w:rFonts w:hint="eastAsia" w:hAnsi="宋体"/>
          <w:b/>
          <w:bCs/>
          <w:color w:val="auto"/>
          <w:sz w:val="24"/>
          <w:szCs w:val="24"/>
          <w:highlight w:val="none"/>
        </w:rPr>
        <w:t>http：//cdcz.chengdu.gov.cn/cdsczj/c116726/2019-03/13/content_7d81ae9c2a1e48968c7839a9c5b88ccd.shtml</w:t>
      </w:r>
      <w:r>
        <w:rPr>
          <w:rStyle w:val="25"/>
          <w:rFonts w:hint="eastAsia" w:hAnsi="宋体"/>
          <w:b/>
          <w:bCs/>
          <w:color w:val="auto"/>
          <w:sz w:val="24"/>
          <w:szCs w:val="24"/>
          <w:highlight w:val="none"/>
        </w:rPr>
        <w:fldChar w:fldCharType="end"/>
      </w:r>
    </w:p>
    <w:p>
      <w:pPr>
        <w:widowControl/>
        <w:tabs>
          <w:tab w:val="left" w:pos="0"/>
        </w:tabs>
        <w:wordWrap w:val="0"/>
        <w:spacing w:line="440" w:lineRule="exact"/>
        <w:rPr>
          <w:rFonts w:hAnsi="宋体"/>
          <w:b/>
          <w:bCs/>
          <w:sz w:val="24"/>
          <w:szCs w:val="24"/>
          <w:highlight w:val="none"/>
        </w:rPr>
      </w:pPr>
    </w:p>
    <w:tbl>
      <w:tblPr>
        <w:tblStyle w:val="22"/>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tabs>
                <w:tab w:val="left" w:pos="0"/>
              </w:tabs>
              <w:adjustRightInd w:val="0"/>
              <w:snapToGrid w:val="0"/>
              <w:jc w:val="distribute"/>
              <w:rPr>
                <w:rFonts w:eastAsia="方正小标宋简体"/>
                <w:sz w:val="66"/>
                <w:szCs w:val="66"/>
                <w:highlight w:val="none"/>
              </w:rPr>
            </w:pPr>
            <w:r>
              <w:rPr>
                <w:rFonts w:hint="eastAsia" w:eastAsia="方正小标宋简体"/>
                <w:sz w:val="66"/>
                <w:szCs w:val="66"/>
                <w:highlight w:val="none"/>
              </w:rPr>
              <w:t>成都市财政局</w:t>
            </w:r>
          </w:p>
        </w:tc>
        <w:tc>
          <w:tcPr>
            <w:tcW w:w="1580" w:type="dxa"/>
            <w:vMerge w:val="restart"/>
            <w:vAlign w:val="center"/>
          </w:tcPr>
          <w:p>
            <w:pPr>
              <w:tabs>
                <w:tab w:val="left" w:pos="0"/>
              </w:tabs>
              <w:adjustRightInd w:val="0"/>
              <w:snapToGrid w:val="0"/>
              <w:jc w:val="center"/>
              <w:rPr>
                <w:rFonts w:eastAsia="方正小标宋简体"/>
                <w:sz w:val="66"/>
                <w:szCs w:val="66"/>
                <w:highlight w:val="none"/>
              </w:rPr>
            </w:pPr>
            <w:r>
              <w:rPr>
                <w:rFonts w:hint="eastAsia" w:eastAsia="方正小标宋简体"/>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tabs>
                <w:tab w:val="left" w:pos="0"/>
              </w:tabs>
              <w:adjustRightInd w:val="0"/>
              <w:snapToGrid w:val="0"/>
              <w:jc w:val="distribute"/>
              <w:rPr>
                <w:rFonts w:eastAsia="方正小标宋简体"/>
                <w:spacing w:val="-20"/>
                <w:w w:val="82"/>
                <w:sz w:val="62"/>
                <w:szCs w:val="62"/>
                <w:highlight w:val="none"/>
              </w:rPr>
            </w:pPr>
            <w:r>
              <w:rPr>
                <w:rFonts w:hint="eastAsia" w:eastAsia="方正小标宋简体"/>
                <w:spacing w:val="-20"/>
                <w:w w:val="82"/>
                <w:sz w:val="62"/>
                <w:szCs w:val="62"/>
                <w:highlight w:val="none"/>
              </w:rPr>
              <w:t>中国人民银行成都分行营业管理部</w:t>
            </w:r>
          </w:p>
        </w:tc>
        <w:tc>
          <w:tcPr>
            <w:tcW w:w="1580" w:type="dxa"/>
            <w:vMerge w:val="continue"/>
            <w:vAlign w:val="center"/>
          </w:tcPr>
          <w:p>
            <w:pPr>
              <w:tabs>
                <w:tab w:val="left" w:pos="0"/>
              </w:tabs>
              <w:adjustRightInd w:val="0"/>
              <w:snapToGrid w:val="0"/>
              <w:jc w:val="center"/>
              <w:rPr>
                <w:rFonts w:eastAsia="方正小标宋简体"/>
                <w:sz w:val="66"/>
                <w:szCs w:val="66"/>
                <w:highlight w:val="none"/>
              </w:rPr>
            </w:pPr>
          </w:p>
        </w:tc>
      </w:tr>
    </w:tbl>
    <w:p>
      <w:pPr>
        <w:tabs>
          <w:tab w:val="left" w:pos="0"/>
        </w:tabs>
        <w:snapToGrid w:val="0"/>
        <w:jc w:val="center"/>
        <w:rPr>
          <w:rFonts w:eastAsia="方正仿宋_GBK"/>
          <w:highlight w:val="none"/>
        </w:rPr>
      </w:pPr>
    </w:p>
    <w:p>
      <w:pPr>
        <w:tabs>
          <w:tab w:val="left" w:pos="0"/>
        </w:tabs>
        <w:jc w:val="center"/>
        <w:rPr>
          <w:rFonts w:eastAsia="方正仿宋_GBK"/>
          <w:highlight w:val="none"/>
        </w:rPr>
      </w:pPr>
      <w:r>
        <w:rPr>
          <w:rFonts w:eastAsia="方正仿宋_GBK"/>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11" name="直接连接符 11"/>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4384;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Cz/Kyb7wEAANsDAAAOAAAAAAAAAAEAIAAAACUBAABkcnMvZTJvRG9jLnhtbFBLBQYAAAAA&#10;BgAGAFkBAACGBQAAAAA=&#10;">
                <v:fill on="f" focussize="0,0"/>
                <v:stroke weight="1.5pt" color="#FF0000" joinstyle="round"/>
                <v:imagedata o:title=""/>
                <o:lock v:ext="edit" aspectratio="f"/>
              </v:line>
            </w:pict>
          </mc:Fallback>
        </mc:AlternateContent>
      </w:r>
      <w:r>
        <w:rPr>
          <w:rFonts w:eastAsia="方正仿宋_GBK"/>
          <w:highlight w:val="none"/>
        </w:rPr>
        <w:t>成财</w:t>
      </w:r>
      <w:r>
        <w:rPr>
          <w:rFonts w:hint="eastAsia" w:eastAsia="方正仿宋_GBK"/>
          <w:highlight w:val="none"/>
        </w:rPr>
        <w:t>采</w:t>
      </w:r>
      <w:r>
        <w:rPr>
          <w:rFonts w:eastAsia="方正仿宋_GBK"/>
          <w:highlight w:val="none"/>
        </w:rPr>
        <w:t>〔201</w:t>
      </w:r>
      <w:r>
        <w:rPr>
          <w:rFonts w:hint="eastAsia" w:eastAsia="方正仿宋_GBK"/>
          <w:highlight w:val="none"/>
        </w:rPr>
        <w:t>9</w:t>
      </w:r>
      <w:r>
        <w:rPr>
          <w:rFonts w:eastAsia="方正仿宋_GBK"/>
          <w:highlight w:val="none"/>
        </w:rPr>
        <w:t>〕</w:t>
      </w:r>
      <w:r>
        <w:rPr>
          <w:rFonts w:hint="eastAsia" w:eastAsia="方正仿宋_GBK"/>
          <w:highlight w:val="none"/>
        </w:rPr>
        <w:t>17</w:t>
      </w:r>
      <w:r>
        <w:rPr>
          <w:rFonts w:eastAsia="方正仿宋_GBK"/>
          <w:highlight w:val="none"/>
        </w:rPr>
        <w:t>号</w:t>
      </w:r>
    </w:p>
    <w:p>
      <w:pPr>
        <w:tabs>
          <w:tab w:val="left" w:pos="0"/>
        </w:tabs>
        <w:topLinePunct/>
        <w:jc w:val="center"/>
        <w:rPr>
          <w:rFonts w:ascii="方正小标宋_GBK" w:hAnsi="方正小标宋_GBK" w:eastAsia="方正小标宋_GBK"/>
          <w:highlight w:val="none"/>
        </w:rPr>
      </w:pPr>
    </w:p>
    <w:p>
      <w:pPr>
        <w:tabs>
          <w:tab w:val="left" w:pos="0"/>
        </w:tabs>
        <w:topLinePunct/>
        <w:snapToGrid w:val="0"/>
        <w:jc w:val="center"/>
        <w:rPr>
          <w:rFonts w:ascii="方正小标宋_GBK" w:hAnsi="方正小标宋_GBK" w:eastAsia="方正小标宋_GBK"/>
          <w:spacing w:val="-18"/>
          <w:sz w:val="44"/>
          <w:szCs w:val="44"/>
          <w:highlight w:val="none"/>
        </w:rPr>
      </w:pPr>
      <w:r>
        <w:rPr>
          <w:rFonts w:hint="eastAsia" w:ascii="方正小标宋_GBK" w:hAnsi="方正小标宋_GBK" w:eastAsia="方正小标宋_GBK"/>
          <w:spacing w:val="-18"/>
          <w:sz w:val="44"/>
          <w:szCs w:val="44"/>
          <w:highlight w:val="none"/>
        </w:rPr>
        <w:t>成都市财政局  中国人民银行成都分行营业管理部</w:t>
      </w:r>
    </w:p>
    <w:p>
      <w:pPr>
        <w:tabs>
          <w:tab w:val="left" w:pos="0"/>
        </w:tabs>
        <w:topLinePunct/>
        <w:snapToGrid w:val="0"/>
        <w:jc w:val="center"/>
        <w:rPr>
          <w:rFonts w:ascii="方正小标宋_GBK" w:hAnsi="方正小标宋_GBK" w:eastAsia="方正小标宋_GBK"/>
          <w:sz w:val="44"/>
          <w:szCs w:val="44"/>
          <w:highlight w:val="none"/>
        </w:rPr>
      </w:pPr>
      <w:r>
        <w:rPr>
          <w:rFonts w:hint="eastAsia" w:ascii="方正小标宋_GBK" w:hAnsi="方正小标宋_GBK" w:eastAsia="方正小标宋_GBK"/>
          <w:sz w:val="44"/>
          <w:szCs w:val="44"/>
          <w:highlight w:val="none"/>
        </w:rPr>
        <w:t>关于印发《成都市中小企业政府采购信用融资</w:t>
      </w:r>
    </w:p>
    <w:p>
      <w:pPr>
        <w:tabs>
          <w:tab w:val="left" w:pos="0"/>
        </w:tabs>
        <w:topLinePunct/>
        <w:snapToGrid w:val="0"/>
        <w:jc w:val="center"/>
        <w:rPr>
          <w:rFonts w:ascii="方正小标宋_GBK" w:hAnsi="方正小标宋_GBK" w:eastAsia="方正小标宋_GBK"/>
          <w:sz w:val="44"/>
          <w:szCs w:val="44"/>
          <w:highlight w:val="none"/>
        </w:rPr>
      </w:pPr>
      <w:r>
        <w:rPr>
          <w:rFonts w:hint="eastAsia" w:ascii="方正小标宋_GBK" w:hAnsi="方正小标宋_GBK" w:eastAsia="方正小标宋_GBK"/>
          <w:sz w:val="44"/>
          <w:szCs w:val="44"/>
          <w:highlight w:val="none"/>
        </w:rPr>
        <w:t>暂行办法》和《成都市级支持中小企业</w:t>
      </w:r>
    </w:p>
    <w:p>
      <w:pPr>
        <w:tabs>
          <w:tab w:val="left" w:pos="0"/>
        </w:tabs>
        <w:topLinePunct/>
        <w:snapToGrid w:val="0"/>
        <w:jc w:val="center"/>
        <w:rPr>
          <w:rFonts w:ascii="方正小标宋_GBK" w:hAnsi="方正小标宋_GBK" w:eastAsia="方正小标宋_GBK"/>
          <w:sz w:val="44"/>
          <w:szCs w:val="44"/>
          <w:highlight w:val="none"/>
        </w:rPr>
      </w:pPr>
      <w:r>
        <w:rPr>
          <w:rFonts w:hint="eastAsia" w:ascii="方正小标宋_GBK" w:hAnsi="方正小标宋_GBK" w:eastAsia="方正小标宋_GBK"/>
          <w:sz w:val="44"/>
          <w:szCs w:val="44"/>
          <w:highlight w:val="none"/>
        </w:rPr>
        <w:t>政府采购信用融资实施方案》的通知</w:t>
      </w:r>
    </w:p>
    <w:p>
      <w:pPr>
        <w:tabs>
          <w:tab w:val="left" w:pos="0"/>
        </w:tabs>
        <w:jc w:val="center"/>
        <w:rPr>
          <w:rFonts w:eastAsia="方正仿宋_GBK"/>
          <w:highlight w:val="none"/>
        </w:rPr>
      </w:pP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成都天府新区、高新区财政金融局，各区(市)县财政局，市级各部门、单位，各银行业金融机构：</w:t>
      </w: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一、高度重视、迅速行动</w:t>
      </w: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二、明确责任、压茬推进</w:t>
      </w: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三、优化服务、营造氛围</w:t>
      </w: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tabs>
          <w:tab w:val="left" w:pos="0"/>
        </w:tabs>
        <w:spacing w:line="440" w:lineRule="exact"/>
        <w:ind w:firstLine="480" w:firstLineChars="200"/>
        <w:rPr>
          <w:rFonts w:hAnsi="宋体"/>
          <w:sz w:val="24"/>
          <w:szCs w:val="24"/>
          <w:highlight w:val="none"/>
        </w:rPr>
      </w:pP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 xml:space="preserve">附件：1．成都市中小企业政府采购信用融资暂行办法 </w:t>
      </w:r>
    </w:p>
    <w:p>
      <w:pPr>
        <w:widowControl/>
        <w:tabs>
          <w:tab w:val="left" w:pos="0"/>
        </w:tabs>
        <w:spacing w:line="440" w:lineRule="exact"/>
        <w:ind w:firstLine="480" w:firstLineChars="200"/>
        <w:rPr>
          <w:rFonts w:hAnsi="宋体"/>
          <w:sz w:val="24"/>
          <w:szCs w:val="24"/>
          <w:highlight w:val="none"/>
        </w:rPr>
      </w:pPr>
      <w:r>
        <w:rPr>
          <w:rFonts w:hint="eastAsia" w:hAnsi="宋体"/>
          <w:sz w:val="24"/>
          <w:szCs w:val="24"/>
          <w:highlight w:val="none"/>
        </w:rPr>
        <w:t>2．成都市级支持中小企业政府采购信用融资实施方案</w:t>
      </w:r>
    </w:p>
    <w:p>
      <w:pPr>
        <w:pStyle w:val="11"/>
        <w:widowControl/>
        <w:tabs>
          <w:tab w:val="left" w:pos="0"/>
        </w:tabs>
        <w:topLinePunct/>
        <w:spacing w:line="440" w:lineRule="exact"/>
        <w:ind w:firstLine="480" w:firstLineChars="200"/>
        <w:rPr>
          <w:rFonts w:hAnsi="宋体"/>
          <w:sz w:val="24"/>
          <w:szCs w:val="24"/>
          <w:highlight w:val="none"/>
        </w:rPr>
      </w:pPr>
    </w:p>
    <w:p>
      <w:pPr>
        <w:pStyle w:val="11"/>
        <w:widowControl/>
        <w:tabs>
          <w:tab w:val="left" w:pos="0"/>
        </w:tabs>
        <w:topLinePunct/>
        <w:spacing w:line="440" w:lineRule="exact"/>
        <w:ind w:firstLine="480" w:firstLineChars="200"/>
        <w:rPr>
          <w:rFonts w:hAnsi="宋体"/>
          <w:sz w:val="24"/>
          <w:szCs w:val="24"/>
          <w:highlight w:val="none"/>
        </w:rPr>
      </w:pPr>
    </w:p>
    <w:p>
      <w:pPr>
        <w:pStyle w:val="11"/>
        <w:widowControl/>
        <w:tabs>
          <w:tab w:val="left" w:pos="0"/>
        </w:tabs>
        <w:topLinePunct/>
        <w:spacing w:line="440" w:lineRule="exact"/>
        <w:ind w:firstLine="480" w:firstLineChars="200"/>
        <w:rPr>
          <w:rFonts w:hAnsi="宋体"/>
          <w:sz w:val="24"/>
          <w:szCs w:val="24"/>
          <w:highlight w:val="none"/>
        </w:rPr>
      </w:pPr>
    </w:p>
    <w:p>
      <w:pPr>
        <w:widowControl/>
        <w:tabs>
          <w:tab w:val="left" w:pos="7584"/>
        </w:tabs>
        <w:topLinePunct/>
        <w:spacing w:line="440" w:lineRule="exact"/>
        <w:ind w:firstLine="480" w:firstLineChars="200"/>
        <w:jc w:val="right"/>
        <w:rPr>
          <w:rFonts w:hAnsi="宋体"/>
          <w:sz w:val="24"/>
          <w:szCs w:val="24"/>
          <w:highlight w:val="none"/>
        </w:rPr>
      </w:pPr>
      <w:r>
        <w:rPr>
          <w:rFonts w:hint="eastAsia" w:hAnsi="宋体"/>
          <w:sz w:val="24"/>
          <w:szCs w:val="24"/>
          <w:highlight w:val="none"/>
        </w:rPr>
        <w:t>成都市财政局         中国人民银行成都分行营业管理部</w:t>
      </w:r>
    </w:p>
    <w:p>
      <w:pPr>
        <w:widowControl/>
        <w:tabs>
          <w:tab w:val="left" w:pos="7584"/>
        </w:tabs>
        <w:topLinePunct/>
        <w:spacing w:line="440" w:lineRule="exact"/>
        <w:ind w:firstLine="480" w:firstLineChars="200"/>
        <w:jc w:val="right"/>
        <w:rPr>
          <w:rFonts w:hAnsi="宋体"/>
          <w:sz w:val="24"/>
          <w:szCs w:val="24"/>
          <w:highlight w:val="none"/>
        </w:rPr>
      </w:pPr>
      <w:r>
        <w:rPr>
          <w:rFonts w:hint="eastAsia" w:hAnsi="宋体"/>
          <w:sz w:val="24"/>
          <w:szCs w:val="24"/>
          <w:highlight w:val="none"/>
        </w:rPr>
        <w:t>2019年2月26日</w:t>
      </w:r>
    </w:p>
    <w:p>
      <w:pPr>
        <w:tabs>
          <w:tab w:val="left" w:pos="0"/>
        </w:tabs>
        <w:rPr>
          <w:rFonts w:hAnsi="宋体"/>
          <w:sz w:val="24"/>
          <w:szCs w:val="24"/>
          <w:highlight w:val="none"/>
        </w:rPr>
      </w:pPr>
      <w:r>
        <w:rPr>
          <w:rFonts w:hint="eastAsia" w:hAnsi="宋体"/>
          <w:sz w:val="24"/>
          <w:szCs w:val="24"/>
          <w:highlight w:val="none"/>
        </w:rPr>
        <w:br w:type="page"/>
      </w:r>
    </w:p>
    <w:p>
      <w:pPr>
        <w:tabs>
          <w:tab w:val="left" w:pos="0"/>
        </w:tabs>
        <w:topLinePunct/>
        <w:spacing w:line="440" w:lineRule="exact"/>
        <w:rPr>
          <w:rFonts w:hAnsi="宋体"/>
          <w:sz w:val="24"/>
          <w:szCs w:val="24"/>
          <w:highlight w:val="none"/>
        </w:rPr>
      </w:pPr>
      <w:r>
        <w:rPr>
          <w:rFonts w:hint="eastAsia" w:hAnsi="宋体"/>
          <w:sz w:val="24"/>
          <w:szCs w:val="24"/>
          <w:highlight w:val="none"/>
        </w:rPr>
        <w:t>附件1</w:t>
      </w:r>
    </w:p>
    <w:p>
      <w:pPr>
        <w:tabs>
          <w:tab w:val="left" w:pos="0"/>
        </w:tabs>
        <w:topLinePunct/>
        <w:spacing w:line="440" w:lineRule="exact"/>
        <w:rPr>
          <w:rFonts w:hAnsi="宋体"/>
          <w:sz w:val="24"/>
          <w:szCs w:val="24"/>
          <w:highlight w:val="none"/>
        </w:rPr>
      </w:pPr>
    </w:p>
    <w:p>
      <w:pPr>
        <w:tabs>
          <w:tab w:val="left" w:pos="0"/>
        </w:tabs>
        <w:topLinePunct/>
        <w:snapToGrid w:val="0"/>
        <w:spacing w:line="440" w:lineRule="exact"/>
        <w:jc w:val="center"/>
        <w:rPr>
          <w:rFonts w:hAnsi="宋体"/>
          <w:sz w:val="24"/>
          <w:szCs w:val="24"/>
          <w:highlight w:val="none"/>
        </w:rPr>
      </w:pPr>
      <w:r>
        <w:rPr>
          <w:rFonts w:hint="eastAsia" w:hAnsi="宋体"/>
          <w:sz w:val="24"/>
          <w:szCs w:val="24"/>
          <w:highlight w:val="none"/>
        </w:rPr>
        <w:t>成都市中小企业政府采购信用融资暂行办法</w:t>
      </w:r>
    </w:p>
    <w:p>
      <w:pPr>
        <w:tabs>
          <w:tab w:val="left" w:pos="0"/>
        </w:tabs>
        <w:topLinePunct/>
        <w:spacing w:line="440" w:lineRule="exact"/>
        <w:jc w:val="center"/>
        <w:rPr>
          <w:rFonts w:hAnsi="宋体"/>
          <w:sz w:val="24"/>
          <w:szCs w:val="24"/>
          <w:highlight w:val="none"/>
        </w:rPr>
      </w:pPr>
      <w:r>
        <w:rPr>
          <w:rFonts w:hint="eastAsia" w:hAnsi="宋体"/>
          <w:sz w:val="24"/>
          <w:szCs w:val="24"/>
          <w:highlight w:val="none"/>
        </w:rPr>
        <w:t>第一章  总  则</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第一条(政策依据)</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第二条(适用范围)</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成都市行政区域内政府采购信用融资适用本办法。</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第三条(术语定义)</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本办法所称政府采购信用融资，是指融资机构以信用审查为基础，依据政府采购合同，按相应的优惠政策向申请融资的中小企业(以下简称供应商)提供资金支持的融资模式。</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本办法所称融资机构，是指在成都市属地注册或设立分支机构，有意向按照本办法开展政府采购信用融资业务，经同级财政部门确定的银行机构。</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本办法所称中小企业，包括中型、小型及微型企业，其划型标准按照国家相关规定执行。</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第四条(基本原则)</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政府采购信用融资工作坚持政府引导、市场主导，自愿选择、自担风险，诚实信用、互惠共赢的原则，切实发挥市场在资源配置中的决定性作用。</w:t>
      </w:r>
    </w:p>
    <w:p>
      <w:pPr>
        <w:tabs>
          <w:tab w:val="left" w:pos="0"/>
        </w:tabs>
        <w:topLinePunct/>
        <w:spacing w:line="440" w:lineRule="exact"/>
        <w:ind w:firstLine="480" w:firstLineChars="200"/>
        <w:jc w:val="center"/>
        <w:rPr>
          <w:rFonts w:hAnsi="宋体"/>
          <w:sz w:val="24"/>
          <w:szCs w:val="24"/>
          <w:highlight w:val="none"/>
        </w:rPr>
      </w:pPr>
      <w:r>
        <w:rPr>
          <w:rFonts w:hint="eastAsia" w:hAnsi="宋体"/>
          <w:sz w:val="24"/>
          <w:szCs w:val="24"/>
          <w:highlight w:val="none"/>
        </w:rPr>
        <w:t>第二章  融资优惠</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第五条(融资方式)</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供应商无需提供财产抵押或第三方担保，凭借政府采购合同向融资机构申请融资，融资机构根据其授信政策为供应商提供信用贷款。</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第六条(融资额度)</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融资额度原则上不超过政府采购合同金额。</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第七条(融资利率)</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融资机构向供应商提供融资的利率应低于同期一般中小企业的贷款利率。融资利率上浮比例原则上不超过中国人民银行公布的同期贷款基准利率的30%。</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第八条(融资期限)</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融资期限原则上与政府采购合同履行期限一致。</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第九条(融资效率)</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第十条(融资业务升级)</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对履约记录良好、诚信资质高的供应商，融资机构应当在授信额度、融资审查、融资利率等方面给予更大支持，促进供应商依法诚信经营。</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第十一条(贷款风险补贴)</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abs>
          <w:tab w:val="left" w:pos="0"/>
        </w:tabs>
        <w:topLinePunct/>
        <w:spacing w:line="440" w:lineRule="exact"/>
        <w:ind w:firstLine="480" w:firstLineChars="200"/>
        <w:jc w:val="center"/>
        <w:rPr>
          <w:rFonts w:hAnsi="宋体"/>
          <w:sz w:val="24"/>
          <w:szCs w:val="24"/>
          <w:highlight w:val="none"/>
        </w:rPr>
      </w:pPr>
      <w:r>
        <w:rPr>
          <w:rFonts w:hint="eastAsia" w:hAnsi="宋体"/>
          <w:sz w:val="24"/>
          <w:szCs w:val="24"/>
          <w:highlight w:val="none"/>
        </w:rPr>
        <w:t>第三章  融资流程</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第十二条(融资流程)</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(一)信息发布。采购人应当在发布的采购公告和采购文件中载明采购项目可提供信用融资的信息。</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(二)融资申请。有融资需求的供应商自主选择提供政府采购信用融资服务的融资机构及产品，并按要求提供申请资料。</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(三)融资审查。融资机构对供应商的融资申请进行审查，并向供应商反馈审查及融资额度等情况。</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(四)账户确认。供应商须在合作融资机构开立结算账户，并与采购人在政府采购合同中或通过签订补充协议的方式约定唯一收款账户，融资机构对唯一收款账户进行确认和锁定。</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(五)放款。融资机构对政府采购合同及融资相关信息进行确认，并向供应商提供相应的融资产品。</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(六)贷款归还。采购人按相关规定和合同约定将合同资金支付至约定的唯一收款账户。</w:t>
      </w:r>
    </w:p>
    <w:p>
      <w:pPr>
        <w:tabs>
          <w:tab w:val="left" w:pos="0"/>
        </w:tabs>
        <w:topLinePunct/>
        <w:spacing w:line="440" w:lineRule="exact"/>
        <w:ind w:firstLine="480" w:firstLineChars="200"/>
        <w:jc w:val="center"/>
        <w:rPr>
          <w:rFonts w:hAnsi="宋体"/>
          <w:sz w:val="24"/>
          <w:szCs w:val="24"/>
          <w:highlight w:val="none"/>
        </w:rPr>
      </w:pPr>
      <w:r>
        <w:rPr>
          <w:rFonts w:hint="eastAsia" w:hAnsi="宋体"/>
          <w:sz w:val="24"/>
          <w:szCs w:val="24"/>
          <w:highlight w:val="none"/>
        </w:rPr>
        <w:t>第四章  职责分工</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第十三条(财政部门职责)</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第十四条(融资机构主管部门职责)</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第十五条(采购人职责)</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第十六条(融资机构职责)</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第十七条(供应商职责)</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abs>
          <w:tab w:val="left" w:pos="0"/>
        </w:tabs>
        <w:topLinePunct/>
        <w:spacing w:line="440" w:lineRule="exact"/>
        <w:ind w:firstLine="480" w:firstLineChars="200"/>
        <w:jc w:val="center"/>
        <w:rPr>
          <w:rFonts w:hAnsi="宋体"/>
          <w:sz w:val="24"/>
          <w:szCs w:val="24"/>
          <w:highlight w:val="none"/>
        </w:rPr>
      </w:pPr>
      <w:r>
        <w:rPr>
          <w:rFonts w:hint="eastAsia" w:hAnsi="宋体"/>
          <w:sz w:val="24"/>
          <w:szCs w:val="24"/>
          <w:highlight w:val="none"/>
        </w:rPr>
        <w:t>第五章 监督管理</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第十八条(采购人监管)</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采购人不执行政府采购信用融资政策，或不正当干预供应商选择合作融资机构，或无故拖延和拒付采购资金的，财政部门视情节进行约谈、通报直至暂停拨付财政资金。</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第十九条(融资机构监管)</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融资机构违反规定开展政府采购信用融资业务，对政府采购造成负面影响的，财政部门视情节取消其参与政府采购信用融资的业务权限。</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第二十条(供应商监管)</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第二十一条</w:t>
      </w:r>
      <w:bookmarkStart w:id="417" w:name="BM24558847_25425864_3"/>
      <w:bookmarkEnd w:id="417"/>
      <w:r>
        <w:rPr>
          <w:rFonts w:hint="eastAsia" w:hAnsi="宋体"/>
          <w:sz w:val="24"/>
          <w:szCs w:val="24"/>
          <w:highlight w:val="none"/>
        </w:rPr>
        <w:t>(相关单位及工作人员监管)</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各相关单位及其工作人员在履行职责中存在滥用职权、玩忽职守、徇私舞弊等违法违纪行为的，依照有关规定处理，涉嫌犯罪的，移送司法机关处理。</w:t>
      </w:r>
    </w:p>
    <w:p>
      <w:pPr>
        <w:tabs>
          <w:tab w:val="left" w:pos="0"/>
        </w:tabs>
        <w:topLinePunct/>
        <w:spacing w:line="440" w:lineRule="exact"/>
        <w:ind w:firstLine="480" w:firstLineChars="200"/>
        <w:jc w:val="center"/>
        <w:rPr>
          <w:rFonts w:hAnsi="宋体"/>
          <w:sz w:val="24"/>
          <w:szCs w:val="24"/>
          <w:highlight w:val="none"/>
        </w:rPr>
      </w:pPr>
      <w:r>
        <w:rPr>
          <w:rFonts w:hint="eastAsia" w:hAnsi="宋体"/>
          <w:sz w:val="24"/>
          <w:szCs w:val="24"/>
          <w:highlight w:val="none"/>
        </w:rPr>
        <w:t>第六章  附  则</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第二十二条(解释相关)</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本办法由市财政局会同中国人民银行成都分行营业管理部负责解释。</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第二十三条(施行相关)</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本办法自印发之日起施行。市财政局、市金融办2013年12月9日印发的《关于开展中小企业政府采购信用担保及融资试点工作的通知》(成财采〔2013〕200号)同时废止。</w:t>
      </w:r>
    </w:p>
    <w:p>
      <w:pPr>
        <w:tabs>
          <w:tab w:val="left" w:pos="0"/>
        </w:tabs>
        <w:rPr>
          <w:rFonts w:hAnsi="宋体"/>
          <w:sz w:val="24"/>
          <w:szCs w:val="24"/>
          <w:highlight w:val="none"/>
        </w:rPr>
      </w:pPr>
      <w:r>
        <w:rPr>
          <w:rFonts w:hint="eastAsia" w:hAnsi="宋体"/>
          <w:sz w:val="24"/>
          <w:szCs w:val="24"/>
          <w:highlight w:val="none"/>
        </w:rPr>
        <w:br w:type="page"/>
      </w:r>
    </w:p>
    <w:p>
      <w:pPr>
        <w:tabs>
          <w:tab w:val="left" w:pos="0"/>
        </w:tabs>
        <w:topLinePunct/>
        <w:spacing w:line="440" w:lineRule="exact"/>
        <w:rPr>
          <w:rFonts w:hAnsi="宋体"/>
          <w:sz w:val="24"/>
          <w:szCs w:val="24"/>
          <w:highlight w:val="none"/>
        </w:rPr>
      </w:pPr>
      <w:r>
        <w:rPr>
          <w:rFonts w:hint="eastAsia" w:hAnsi="宋体"/>
          <w:sz w:val="24"/>
          <w:szCs w:val="24"/>
          <w:highlight w:val="none"/>
        </w:rPr>
        <w:t>附件2</w:t>
      </w:r>
    </w:p>
    <w:p>
      <w:pPr>
        <w:tabs>
          <w:tab w:val="left" w:pos="0"/>
        </w:tabs>
        <w:topLinePunct/>
        <w:spacing w:line="440" w:lineRule="exact"/>
        <w:ind w:firstLine="480" w:firstLineChars="200"/>
        <w:rPr>
          <w:rFonts w:hAnsi="宋体"/>
          <w:sz w:val="24"/>
          <w:szCs w:val="24"/>
          <w:highlight w:val="none"/>
        </w:rPr>
      </w:pPr>
    </w:p>
    <w:p>
      <w:pPr>
        <w:tabs>
          <w:tab w:val="left" w:pos="0"/>
        </w:tabs>
        <w:topLinePunct/>
        <w:snapToGrid w:val="0"/>
        <w:spacing w:line="440" w:lineRule="exact"/>
        <w:jc w:val="center"/>
        <w:rPr>
          <w:rFonts w:hAnsi="宋体"/>
          <w:sz w:val="24"/>
          <w:szCs w:val="24"/>
          <w:highlight w:val="none"/>
        </w:rPr>
      </w:pPr>
      <w:r>
        <w:rPr>
          <w:rFonts w:hint="eastAsia" w:hAnsi="宋体"/>
          <w:sz w:val="24"/>
          <w:szCs w:val="24"/>
          <w:highlight w:val="none"/>
        </w:rPr>
        <w:t>成都市级支持中小企业政府采购</w:t>
      </w:r>
    </w:p>
    <w:p>
      <w:pPr>
        <w:tabs>
          <w:tab w:val="left" w:pos="0"/>
        </w:tabs>
        <w:topLinePunct/>
        <w:snapToGrid w:val="0"/>
        <w:spacing w:line="440" w:lineRule="exact"/>
        <w:jc w:val="center"/>
        <w:rPr>
          <w:rFonts w:hAnsi="宋体"/>
          <w:sz w:val="24"/>
          <w:szCs w:val="24"/>
          <w:highlight w:val="none"/>
        </w:rPr>
      </w:pPr>
      <w:r>
        <w:rPr>
          <w:rFonts w:hint="eastAsia" w:hAnsi="宋体"/>
          <w:sz w:val="24"/>
          <w:szCs w:val="24"/>
          <w:highlight w:val="none"/>
        </w:rPr>
        <w:t>信用融资实施方案</w:t>
      </w:r>
    </w:p>
    <w:p>
      <w:pPr>
        <w:tabs>
          <w:tab w:val="left" w:pos="0"/>
        </w:tabs>
        <w:topLinePunct/>
        <w:spacing w:line="440" w:lineRule="exact"/>
        <w:ind w:firstLine="480" w:firstLineChars="200"/>
        <w:rPr>
          <w:rFonts w:hAnsi="宋体"/>
          <w:sz w:val="24"/>
          <w:szCs w:val="24"/>
          <w:highlight w:val="none"/>
        </w:rPr>
      </w:pP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一、目标任务</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二、适用范围</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本《实施方案》适用于成都市本级政府采购信用融资工作。</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 xml:space="preserve">三、基本原则 </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四、组织实施</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(一)宣传动员</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(二)融资机构选择</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(1)融资机构基本情况；</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(2)政府采购信用融资实施方案(包括授信政策、融资产品、贷款利率及其它优惠措施、业务流程及各环节办结时间、联系方式等)；</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(3)关于遵照《暂行办法》和《实施方案》开展政府采购信用融资业务的承诺；</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(4)关于政府采购信用融资业务风险及系统对接研发费用自行承担的承诺。</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2．系统对接。融资机构成功报名后，须按要求完成政府采购信用融资业务与成都市政府采购监督管理系统的技术对接。</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(三)其他事项</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五、相关要求</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tabs>
          <w:tab w:val="left" w:pos="0"/>
        </w:tabs>
        <w:topLinePunct/>
        <w:spacing w:line="440" w:lineRule="exact"/>
        <w:ind w:firstLine="480" w:firstLineChars="200"/>
        <w:rPr>
          <w:rFonts w:hAnsi="宋体"/>
          <w:sz w:val="24"/>
          <w:szCs w:val="24"/>
          <w:highlight w:val="none"/>
        </w:rPr>
      </w:pPr>
      <w:r>
        <w:rPr>
          <w:rFonts w:hint="eastAsia" w:hAnsi="宋体"/>
          <w:sz w:val="24"/>
          <w:szCs w:val="24"/>
          <w:highlight w:val="none"/>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pStyle w:val="47"/>
        <w:spacing w:line="440" w:lineRule="exact"/>
        <w:ind w:firstLine="482"/>
        <w:rPr>
          <w:highlight w:val="none"/>
        </w:rPr>
      </w:pPr>
      <w:r>
        <w:rPr>
          <w:rFonts w:hint="eastAsia"/>
          <w:sz w:val="24"/>
          <w:szCs w:val="24"/>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2"/>
        <w:outlineLvl w:val="9"/>
        <w:rPr>
          <w:highlight w:val="none"/>
        </w:rPr>
      </w:pPr>
    </w:p>
    <w:sectPr>
      <w:pgSz w:w="11906" w:h="16838"/>
      <w:pgMar w:top="1440" w:right="1080" w:bottom="1440" w:left="1080"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sz w:val="15"/>
        <w:szCs w:val="15"/>
      </w:rPr>
    </w:pPr>
    <w:r>
      <mc:AlternateContent>
        <mc:Choice Requires="wps">
          <w:drawing>
            <wp:anchor distT="0" distB="0" distL="114300" distR="114300" simplePos="0" relativeHeight="251660288"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2" name="矩形 1026"/>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cs="Times New Roman"/>
                              <w:sz w:val="18"/>
                              <w:szCs w:val="18"/>
                            </w:rPr>
                          </w:pPr>
                        </w:p>
                      </w:txbxContent>
                    </wps:txbx>
                    <wps:bodyPr wrap="none" lIns="0" tIns="0" rIns="0" bIns="0" upright="1">
                      <a:spAutoFit/>
                    </wps:bodyPr>
                  </wps:wsp>
                </a:graphicData>
              </a:graphic>
            </wp:anchor>
          </w:drawing>
        </mc:Choice>
        <mc:Fallback>
          <w:pict>
            <v:rect id="矩形 1026" o:spid="_x0000_s1026" o:spt="1" style="position:absolute;left:0pt;margin-left:238.95pt;margin-top:0pt;height:11.65pt;width:9.05pt;mso-position-horizontal-relative:margin;mso-wrap-style:none;z-index:251660288;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z9519YAAAAHAQAADwAAAAAAAAABACAAAAAiAAAAZHJzL2Rvd25y&#10;ZXYueG1sUEsBAhQAFAAAAAgAh07iQN+CtBPHAQAAjQMAAA4AAAAAAAAAAQAgAAAAJQEAAGRycy9l&#10;Mm9Eb2MueG1sUEsFBgAAAAAGAAYAWQEAAF4FAAAAAA==&#10;">
              <v:fill on="f" focussize="0,0"/>
              <v:stroke on="f"/>
              <v:imagedata o:title=""/>
              <o:lock v:ext="edit" aspectratio="f"/>
              <v:textbox inset="0mm,0mm,0mm,0mm" style="mso-fit-shape-to-text:t;">
                <w:txbxContent>
                  <w:p>
                    <w:pPr>
                      <w:snapToGrid w:val="0"/>
                      <w:rPr>
                        <w:rFonts w:cs="Times New Roman"/>
                        <w:sz w:val="18"/>
                        <w:szCs w:val="18"/>
                      </w:rPr>
                    </w:pPr>
                  </w:p>
                </w:txbxContent>
              </v:textbox>
            </v:rect>
          </w:pict>
        </mc:Fallback>
      </mc:AlternateContent>
    </w:r>
    <w:r>
      <w:rPr>
        <w:rFonts w:hint="eastAsia"/>
        <w:sz w:val="15"/>
        <w:szCs w:val="15"/>
      </w:rPr>
      <w:t>地址：德阳市蓥华山北路188号龙湾上城商业3楼8号</w:t>
    </w:r>
    <w:r>
      <w:rPr>
        <w:sz w:val="15"/>
        <w:szCs w:val="15"/>
      </w:rPr>
      <w:t xml:space="preserve">                                         </w:t>
    </w:r>
    <w:r>
      <w:rPr>
        <w:rFonts w:hint="eastAsia"/>
        <w:sz w:val="15"/>
        <w:szCs w:val="15"/>
      </w:rPr>
      <w:t xml:space="preserve">             邮政编码：618000</w:t>
    </w:r>
  </w:p>
  <w:p>
    <w:pPr>
      <w:pStyle w:val="17"/>
      <w:ind w:right="360"/>
      <w:rPr>
        <w:rFonts w:cs="Times New Roman"/>
      </w:rPr>
    </w:pPr>
    <w:r>
      <w:rPr>
        <w:rFonts w:hint="eastAsia"/>
        <w:sz w:val="15"/>
        <w:szCs w:val="15"/>
      </w:rPr>
      <w:t>电话</w:t>
    </w:r>
    <w:r>
      <w:rPr>
        <w:sz w:val="15"/>
        <w:szCs w:val="15"/>
      </w:rPr>
      <w:t>(TEL)</w:t>
    </w:r>
    <w:r>
      <w:rPr>
        <w:rFonts w:hint="eastAsia"/>
        <w:sz w:val="15"/>
        <w:szCs w:val="15"/>
      </w:rPr>
      <w:t>：0838-2905009</w:t>
    </w:r>
    <w:r>
      <w:rPr>
        <w:sz w:val="15"/>
        <w:szCs w:val="15"/>
      </w:rPr>
      <w:t xml:space="preserve">                                                          </w:t>
    </w:r>
    <w:r>
      <w:rPr>
        <w:rFonts w:hint="eastAsia"/>
        <w:sz w:val="15"/>
        <w:szCs w:val="15"/>
      </w:rPr>
      <w:t xml:space="preserve">                     传真</w:t>
    </w:r>
    <w:r>
      <w:rPr>
        <w:sz w:val="15"/>
        <w:szCs w:val="15"/>
      </w:rPr>
      <w:t>(FAX)</w:t>
    </w:r>
    <w:r>
      <w:rPr>
        <w:rFonts w:hint="eastAsia"/>
        <w:sz w:val="15"/>
        <w:szCs w:val="15"/>
      </w:rPr>
      <w:t>：</w:t>
    </w:r>
    <w:r>
      <w:rPr>
        <w:sz w:val="15"/>
        <w:szCs w:val="15"/>
      </w:rPr>
      <w:t>028-83381268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cs="Times New Roman"/>
      </w:rPr>
    </w:pPr>
  </w:p>
  <w:p>
    <w:pPr>
      <w:pStyle w:val="17"/>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vert="horz" wrap="none" lIns="0" tIns="0" rIns="0" bIns="0" anchor="t">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4hLiAtwBAACwAwAADgAAAAAAAAAB&#10;ACAAAAAeAQAAZHJzL2Uyb0RvYy54bWxQSwUGAAAAAAYABgBZAQAAbA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vert="horz" wrap="none" lIns="0" tIns="0" rIns="0" bIns="0" anchor="t">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DU6wVx2wEAALADAAAOAAAAAAAAAAEA&#10;IAAAAB4BAABkcnMvZTJvRG9jLnhtbFBLBQYAAAAABgAGAFkBAABrBQ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rPr>
        <w:b/>
        <w:bCs/>
      </w:rPr>
    </w:pPr>
    <w:r>
      <w:drawing>
        <wp:anchor distT="0" distB="0" distL="114300" distR="114300" simplePos="0" relativeHeight="251659264" behindDoc="0" locked="0" layoutInCell="1" allowOverlap="1">
          <wp:simplePos x="0" y="0"/>
          <wp:positionH relativeFrom="column">
            <wp:posOffset>73660</wp:posOffset>
          </wp:positionH>
          <wp:positionV relativeFrom="paragraph">
            <wp:posOffset>104140</wp:posOffset>
          </wp:positionV>
          <wp:extent cx="317500" cy="336550"/>
          <wp:effectExtent l="0" t="0" r="0" b="635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
                  <a:srcRect l="25160" r="25117"/>
                  <a:stretch>
                    <a:fillRect/>
                  </a:stretch>
                </pic:blipFill>
                <pic:spPr>
                  <a:xfrm>
                    <a:off x="0" y="0"/>
                    <a:ext cx="317500" cy="336550"/>
                  </a:xfrm>
                  <a:prstGeom prst="rect">
                    <a:avLst/>
                  </a:prstGeom>
                  <a:noFill/>
                  <a:ln>
                    <a:noFill/>
                  </a:ln>
                </pic:spPr>
              </pic:pic>
            </a:graphicData>
          </a:graphic>
        </wp:anchor>
      </w:drawing>
    </w:r>
    <w:r>
      <w:rPr>
        <w:b/>
        <w:bCs/>
      </w:rPr>
      <w:t xml:space="preserve"> </w:t>
    </w:r>
  </w:p>
  <w:p>
    <w:pPr>
      <w:pStyle w:val="18"/>
      <w:pBdr>
        <w:bottom w:val="none" w:color="auto" w:sz="0" w:space="0"/>
      </w:pBdr>
      <w:jc w:val="left"/>
      <w:rPr>
        <w:rFonts w:cs="Times New Roman"/>
        <w:b/>
        <w:bCs/>
      </w:rPr>
    </w:pPr>
    <w:r>
      <w:rPr>
        <w:b/>
        <w:bCs/>
      </w:rPr>
      <w:t xml:space="preserve">       </w:t>
    </w:r>
    <w:r>
      <w:rPr>
        <w:rFonts w:hint="eastAsia"/>
        <w:b/>
        <w:bCs/>
      </w:rPr>
      <w:t>四川乾新招投标代理有限公司</w:t>
    </w:r>
  </w:p>
  <w:p>
    <w:pPr>
      <w:pStyle w:val="18"/>
      <w:pBdr>
        <w:bottom w:val="single" w:color="auto" w:sz="4" w:space="1"/>
      </w:pBdr>
      <w:jc w:val="left"/>
      <w:rPr>
        <w:rFonts w:cs="Times New Roman"/>
        <w:b/>
        <w:bCs/>
      </w:rPr>
    </w:pPr>
    <w:r>
      <w:rPr>
        <w:b/>
        <w:bCs/>
      </w:rPr>
      <w:t xml:space="preserve">       Si Chuan Qian Xin Tendering and Bidding Agency Co.Ltd                             </w:t>
    </w:r>
    <w:r>
      <w:rPr>
        <w:rFonts w:hint="eastAsia"/>
        <w:b/>
        <w:bCs/>
      </w:rPr>
      <w:t>不止专注</w:t>
    </w:r>
    <w:r>
      <w:rPr>
        <w:b/>
        <w:bCs/>
      </w:rPr>
      <w:t xml:space="preserve">  </w:t>
    </w:r>
    <w:r>
      <w:rPr>
        <w:rFonts w:hint="eastAsia"/>
        <w:b/>
        <w:bCs/>
      </w:rPr>
      <w:t>更懂托付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rPr>
        <w:rFonts w:cs="Times New Roman"/>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rFonts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462D2"/>
    <w:multiLevelType w:val="singleLevel"/>
    <w:tmpl w:val="822462D2"/>
    <w:lvl w:ilvl="0" w:tentative="0">
      <w:start w:val="1"/>
      <w:numFmt w:val="chineseCounting"/>
      <w:suff w:val="nothing"/>
      <w:lvlText w:val="(%1)"/>
      <w:lvlJc w:val="left"/>
      <w:pPr>
        <w:ind w:left="0" w:firstLine="0"/>
      </w:pPr>
      <w:rPr>
        <w:rFonts w:hint="eastAsia"/>
      </w:rPr>
    </w:lvl>
  </w:abstractNum>
  <w:abstractNum w:abstractNumId="1">
    <w:nsid w:val="85647402"/>
    <w:multiLevelType w:val="singleLevel"/>
    <w:tmpl w:val="85647402"/>
    <w:lvl w:ilvl="0" w:tentative="0">
      <w:start w:val="1"/>
      <w:numFmt w:val="chineseCounting"/>
      <w:suff w:val="nothing"/>
      <w:lvlText w:val="(%1)"/>
      <w:lvlJc w:val="left"/>
      <w:pPr>
        <w:ind w:left="0" w:firstLine="0"/>
      </w:pPr>
      <w:rPr>
        <w:rFonts w:hint="eastAsia"/>
      </w:rPr>
    </w:lvl>
  </w:abstractNum>
  <w:abstractNum w:abstractNumId="2">
    <w:nsid w:val="87B0CCB8"/>
    <w:multiLevelType w:val="singleLevel"/>
    <w:tmpl w:val="87B0CCB8"/>
    <w:lvl w:ilvl="0" w:tentative="0">
      <w:start w:val="1"/>
      <w:numFmt w:val="chineseCounting"/>
      <w:suff w:val="nothing"/>
      <w:lvlText w:val="(%1)"/>
      <w:lvlJc w:val="left"/>
      <w:pPr>
        <w:ind w:left="0" w:firstLine="0"/>
      </w:pPr>
      <w:rPr>
        <w:rFonts w:hint="eastAsia"/>
      </w:rPr>
    </w:lvl>
  </w:abstractNum>
  <w:abstractNum w:abstractNumId="3">
    <w:nsid w:val="8D4E43C3"/>
    <w:multiLevelType w:val="singleLevel"/>
    <w:tmpl w:val="8D4E43C3"/>
    <w:lvl w:ilvl="0" w:tentative="0">
      <w:start w:val="1"/>
      <w:numFmt w:val="chineseCounting"/>
      <w:suff w:val="nothing"/>
      <w:lvlText w:val="（%1）"/>
      <w:lvlJc w:val="left"/>
      <w:pPr>
        <w:ind w:left="0" w:firstLine="420"/>
      </w:pPr>
      <w:rPr>
        <w:rFonts w:hint="eastAsia"/>
      </w:rPr>
    </w:lvl>
  </w:abstractNum>
  <w:abstractNum w:abstractNumId="4">
    <w:nsid w:val="8FCFD952"/>
    <w:multiLevelType w:val="singleLevel"/>
    <w:tmpl w:val="8FCFD952"/>
    <w:lvl w:ilvl="0" w:tentative="0">
      <w:start w:val="1"/>
      <w:numFmt w:val="chineseCounting"/>
      <w:lvlText w:val="(%1)"/>
      <w:lvlJc w:val="left"/>
      <w:pPr>
        <w:tabs>
          <w:tab w:val="left" w:pos="312"/>
        </w:tabs>
      </w:pPr>
      <w:rPr>
        <w:rFonts w:hint="eastAsia"/>
      </w:rPr>
    </w:lvl>
  </w:abstractNum>
  <w:abstractNum w:abstractNumId="5">
    <w:nsid w:val="A4EB0A41"/>
    <w:multiLevelType w:val="singleLevel"/>
    <w:tmpl w:val="A4EB0A41"/>
    <w:lvl w:ilvl="0" w:tentative="0">
      <w:start w:val="1"/>
      <w:numFmt w:val="decimal"/>
      <w:suff w:val="nothing"/>
      <w:lvlText w:val="%1."/>
      <w:lvlJc w:val="left"/>
      <w:pPr>
        <w:ind w:left="0" w:firstLine="403"/>
      </w:pPr>
      <w:rPr>
        <w:rFonts w:hint="default"/>
      </w:rPr>
    </w:lvl>
  </w:abstractNum>
  <w:abstractNum w:abstractNumId="6">
    <w:nsid w:val="ADE89E36"/>
    <w:multiLevelType w:val="singleLevel"/>
    <w:tmpl w:val="ADE89E36"/>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7">
    <w:nsid w:val="B0401D58"/>
    <w:multiLevelType w:val="singleLevel"/>
    <w:tmpl w:val="B0401D58"/>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8">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49"/>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BF8CC346"/>
    <w:multiLevelType w:val="singleLevel"/>
    <w:tmpl w:val="BF8CC346"/>
    <w:lvl w:ilvl="0" w:tentative="0">
      <w:start w:val="1"/>
      <w:numFmt w:val="chineseCounting"/>
      <w:suff w:val="nothing"/>
      <w:lvlText w:val="(%1)"/>
      <w:lvlJc w:val="left"/>
      <w:pPr>
        <w:ind w:left="0" w:firstLine="0"/>
      </w:pPr>
      <w:rPr>
        <w:rFonts w:hint="eastAsia"/>
      </w:rPr>
    </w:lvl>
  </w:abstractNum>
  <w:abstractNum w:abstractNumId="10">
    <w:nsid w:val="C0A36ED1"/>
    <w:multiLevelType w:val="singleLevel"/>
    <w:tmpl w:val="C0A36ED1"/>
    <w:lvl w:ilvl="0" w:tentative="0">
      <w:start w:val="5"/>
      <w:numFmt w:val="chineseCounting"/>
      <w:suff w:val="nothing"/>
      <w:lvlText w:val="%1、"/>
      <w:lvlJc w:val="left"/>
      <w:rPr>
        <w:rFonts w:hint="eastAsia"/>
      </w:rPr>
    </w:lvl>
  </w:abstractNum>
  <w:abstractNum w:abstractNumId="11">
    <w:nsid w:val="C4704EFC"/>
    <w:multiLevelType w:val="singleLevel"/>
    <w:tmpl w:val="C4704EFC"/>
    <w:lvl w:ilvl="0" w:tentative="0">
      <w:start w:val="1"/>
      <w:numFmt w:val="chineseCounting"/>
      <w:suff w:val="nothing"/>
      <w:lvlText w:val="(%1)"/>
      <w:lvlJc w:val="left"/>
      <w:pPr>
        <w:ind w:left="0" w:firstLine="0"/>
      </w:pPr>
      <w:rPr>
        <w:rFonts w:hint="eastAsia"/>
      </w:rPr>
    </w:lvl>
  </w:abstractNum>
  <w:abstractNum w:abstractNumId="12">
    <w:nsid w:val="CA240A61"/>
    <w:multiLevelType w:val="singleLevel"/>
    <w:tmpl w:val="CA240A61"/>
    <w:lvl w:ilvl="0" w:tentative="0">
      <w:start w:val="1"/>
      <w:numFmt w:val="chineseCounting"/>
      <w:pStyle w:val="54"/>
      <w:suff w:val="nothing"/>
      <w:lvlText w:val="(%1)"/>
      <w:lvlJc w:val="left"/>
      <w:pPr>
        <w:ind w:left="0" w:firstLine="0"/>
      </w:pPr>
      <w:rPr>
        <w:rFonts w:hint="eastAsia"/>
      </w:rPr>
    </w:lvl>
  </w:abstractNum>
  <w:abstractNum w:abstractNumId="13">
    <w:nsid w:val="DC973BD1"/>
    <w:multiLevelType w:val="singleLevel"/>
    <w:tmpl w:val="DC973BD1"/>
    <w:lvl w:ilvl="0" w:tentative="0">
      <w:start w:val="1"/>
      <w:numFmt w:val="chineseCounting"/>
      <w:suff w:val="nothing"/>
      <w:lvlText w:val="（%1）"/>
      <w:lvlJc w:val="left"/>
      <w:pPr>
        <w:ind w:left="0" w:firstLine="420"/>
      </w:pPr>
      <w:rPr>
        <w:rFonts w:hint="eastAsia"/>
      </w:rPr>
    </w:lvl>
  </w:abstractNum>
  <w:abstractNum w:abstractNumId="14">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57"/>
      <w:suff w:val="nothing"/>
      <w:lvlText w:val="(%2)"/>
      <w:lvlJc w:val="left"/>
      <w:pPr>
        <w:ind w:left="0" w:firstLine="0"/>
      </w:pPr>
      <w:rPr>
        <w:rFonts w:hint="eastAsia" w:ascii="宋体" w:hAnsi="宋体" w:eastAsia="宋体" w:cs="宋体"/>
      </w:rPr>
    </w:lvl>
    <w:lvl w:ilvl="2" w:tentative="0">
      <w:start w:val="1"/>
      <w:numFmt w:val="decimal"/>
      <w:pStyle w:val="56"/>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5">
    <w:nsid w:val="F33ECC70"/>
    <w:multiLevelType w:val="singleLevel"/>
    <w:tmpl w:val="F33ECC70"/>
    <w:lvl w:ilvl="0" w:tentative="0">
      <w:start w:val="1"/>
      <w:numFmt w:val="chineseCounting"/>
      <w:suff w:val="nothing"/>
      <w:lvlText w:val="%1、"/>
      <w:lvlJc w:val="left"/>
      <w:pPr>
        <w:ind w:left="0" w:firstLine="420"/>
      </w:pPr>
      <w:rPr>
        <w:rFonts w:hint="eastAsia"/>
      </w:rPr>
    </w:lvl>
  </w:abstractNum>
  <w:abstractNum w:abstractNumId="16">
    <w:nsid w:val="FC95D7B3"/>
    <w:multiLevelType w:val="singleLevel"/>
    <w:tmpl w:val="FC95D7B3"/>
    <w:lvl w:ilvl="0" w:tentative="0">
      <w:start w:val="1"/>
      <w:numFmt w:val="decimal"/>
      <w:lvlText w:val="%1"/>
      <w:lvlJc w:val="left"/>
      <w:pPr>
        <w:tabs>
          <w:tab w:val="left" w:pos="0"/>
        </w:tabs>
        <w:ind w:left="0" w:firstLine="0"/>
      </w:pPr>
      <w:rPr>
        <w:rFonts w:hint="default"/>
      </w:rPr>
    </w:lvl>
  </w:abstractNum>
  <w:abstractNum w:abstractNumId="17">
    <w:nsid w:val="17217197"/>
    <w:multiLevelType w:val="singleLevel"/>
    <w:tmpl w:val="17217197"/>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18">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1089A01"/>
    <w:multiLevelType w:val="singleLevel"/>
    <w:tmpl w:val="21089A01"/>
    <w:lvl w:ilvl="0" w:tentative="0">
      <w:start w:val="1"/>
      <w:numFmt w:val="chineseCounting"/>
      <w:suff w:val="nothing"/>
      <w:lvlText w:val="(%1)"/>
      <w:lvlJc w:val="left"/>
      <w:pPr>
        <w:ind w:left="0" w:firstLine="0"/>
      </w:pPr>
      <w:rPr>
        <w:rFonts w:hint="eastAsia"/>
      </w:rPr>
    </w:lvl>
  </w:abstractNum>
  <w:abstractNum w:abstractNumId="20">
    <w:nsid w:val="212A0A95"/>
    <w:multiLevelType w:val="multilevel"/>
    <w:tmpl w:val="212A0A95"/>
    <w:lvl w:ilvl="0" w:tentative="0">
      <w:start w:val="1"/>
      <w:numFmt w:val="decimal"/>
      <w:lvlText w:val="%1"/>
      <w:lvlJc w:val="left"/>
      <w:pPr>
        <w:ind w:left="432" w:hanging="432"/>
      </w:pPr>
      <w:rPr>
        <w:rFonts w:hint="default"/>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1">
    <w:nsid w:val="282F2B72"/>
    <w:multiLevelType w:val="singleLevel"/>
    <w:tmpl w:val="282F2B72"/>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2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3">
    <w:nsid w:val="2D09F44F"/>
    <w:multiLevelType w:val="singleLevel"/>
    <w:tmpl w:val="2D09F44F"/>
    <w:lvl w:ilvl="0" w:tentative="0">
      <w:start w:val="1"/>
      <w:numFmt w:val="decimal"/>
      <w:lvlText w:val="%1."/>
      <w:lvlJc w:val="left"/>
      <w:pPr>
        <w:tabs>
          <w:tab w:val="left" w:pos="312"/>
        </w:tabs>
      </w:pPr>
    </w:lvl>
  </w:abstractNum>
  <w:abstractNum w:abstractNumId="24">
    <w:nsid w:val="34076BDA"/>
    <w:multiLevelType w:val="singleLevel"/>
    <w:tmpl w:val="34076BDA"/>
    <w:lvl w:ilvl="0" w:tentative="0">
      <w:start w:val="1"/>
      <w:numFmt w:val="chineseCounting"/>
      <w:suff w:val="nothing"/>
      <w:lvlText w:val="(%1)"/>
      <w:lvlJc w:val="left"/>
      <w:pPr>
        <w:ind w:left="0" w:firstLine="0"/>
      </w:pPr>
      <w:rPr>
        <w:rFonts w:hint="eastAsia"/>
      </w:rPr>
    </w:lvl>
  </w:abstractNum>
  <w:abstractNum w:abstractNumId="25">
    <w:nsid w:val="3670871F"/>
    <w:multiLevelType w:val="singleLevel"/>
    <w:tmpl w:val="3670871F"/>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2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437370A9"/>
    <w:multiLevelType w:val="singleLevel"/>
    <w:tmpl w:val="437370A9"/>
    <w:lvl w:ilvl="0" w:tentative="0">
      <w:start w:val="1"/>
      <w:numFmt w:val="chineseCounting"/>
      <w:suff w:val="nothing"/>
      <w:lvlText w:val="(%1)"/>
      <w:lvlJc w:val="left"/>
      <w:pPr>
        <w:ind w:left="0" w:firstLine="0"/>
      </w:pPr>
      <w:rPr>
        <w:rFonts w:hint="eastAsia"/>
      </w:rPr>
    </w:lvl>
  </w:abstractNum>
  <w:abstractNum w:abstractNumId="28">
    <w:nsid w:val="45C010AE"/>
    <w:multiLevelType w:val="singleLevel"/>
    <w:tmpl w:val="45C010AE"/>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29">
    <w:nsid w:val="5728E236"/>
    <w:multiLevelType w:val="singleLevel"/>
    <w:tmpl w:val="5728E236"/>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30">
    <w:nsid w:val="57B735E7"/>
    <w:multiLevelType w:val="singleLevel"/>
    <w:tmpl w:val="57B735E7"/>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31">
    <w:nsid w:val="5B043F90"/>
    <w:multiLevelType w:val="singleLevel"/>
    <w:tmpl w:val="5B043F90"/>
    <w:lvl w:ilvl="0" w:tentative="0">
      <w:start w:val="1"/>
      <w:numFmt w:val="decimal"/>
      <w:suff w:val="nothing"/>
      <w:lvlText w:val="%1."/>
      <w:lvlJc w:val="left"/>
      <w:pPr>
        <w:ind w:left="0" w:firstLine="403"/>
      </w:pPr>
      <w:rPr>
        <w:rFonts w:hint="default"/>
      </w:rPr>
    </w:lvl>
  </w:abstractNum>
  <w:abstractNum w:abstractNumId="32">
    <w:nsid w:val="6CBACBB2"/>
    <w:multiLevelType w:val="singleLevel"/>
    <w:tmpl w:val="6CBACBB2"/>
    <w:lvl w:ilvl="0" w:tentative="0">
      <w:start w:val="7"/>
      <w:numFmt w:val="chineseCounting"/>
      <w:suff w:val="space"/>
      <w:lvlText w:val="第%1章"/>
      <w:lvlJc w:val="left"/>
      <w:rPr>
        <w:rFonts w:hint="eastAsia"/>
      </w:rPr>
    </w:lvl>
  </w:abstractNum>
  <w:abstractNum w:abstractNumId="33">
    <w:nsid w:val="70B4C342"/>
    <w:multiLevelType w:val="singleLevel"/>
    <w:tmpl w:val="70B4C342"/>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34">
    <w:nsid w:val="712DE894"/>
    <w:multiLevelType w:val="singleLevel"/>
    <w:tmpl w:val="712DE894"/>
    <w:lvl w:ilvl="0" w:tentative="0">
      <w:start w:val="1"/>
      <w:numFmt w:val="chineseCounting"/>
      <w:suff w:val="nothing"/>
      <w:lvlText w:val="(%1)"/>
      <w:lvlJc w:val="left"/>
      <w:pPr>
        <w:ind w:left="0" w:firstLine="0"/>
      </w:pPr>
      <w:rPr>
        <w:rFonts w:hint="eastAsia"/>
      </w:rPr>
    </w:lvl>
  </w:abstractNum>
  <w:num w:numId="1">
    <w:abstractNumId w:val="20"/>
  </w:num>
  <w:num w:numId="2">
    <w:abstractNumId w:val="26"/>
  </w:num>
  <w:num w:numId="3">
    <w:abstractNumId w:val="8"/>
  </w:num>
  <w:num w:numId="4">
    <w:abstractNumId w:val="12"/>
  </w:num>
  <w:num w:numId="5">
    <w:abstractNumId w:val="14"/>
  </w:num>
  <w:num w:numId="6">
    <w:abstractNumId w:val="34"/>
  </w:num>
  <w:num w:numId="7">
    <w:abstractNumId w:val="27"/>
  </w:num>
  <w:num w:numId="8">
    <w:abstractNumId w:val="9"/>
  </w:num>
  <w:num w:numId="9">
    <w:abstractNumId w:val="10"/>
  </w:num>
  <w:num w:numId="10">
    <w:abstractNumId w:val="4"/>
  </w:num>
  <w:num w:numId="11">
    <w:abstractNumId w:val="16"/>
  </w:num>
  <w:num w:numId="12">
    <w:abstractNumId w:val="19"/>
  </w:num>
  <w:num w:numId="13">
    <w:abstractNumId w:val="7"/>
  </w:num>
  <w:num w:numId="14">
    <w:abstractNumId w:val="28"/>
  </w:num>
  <w:num w:numId="15">
    <w:abstractNumId w:val="1"/>
  </w:num>
  <w:num w:numId="16">
    <w:abstractNumId w:val="29"/>
  </w:num>
  <w:num w:numId="17">
    <w:abstractNumId w:val="24"/>
  </w:num>
  <w:num w:numId="18">
    <w:abstractNumId w:val="25"/>
  </w:num>
  <w:num w:numId="19">
    <w:abstractNumId w:val="33"/>
  </w:num>
  <w:num w:numId="20">
    <w:abstractNumId w:val="0"/>
  </w:num>
  <w:num w:numId="21">
    <w:abstractNumId w:val="21"/>
  </w:num>
  <w:num w:numId="22">
    <w:abstractNumId w:val="6"/>
  </w:num>
  <w:num w:numId="23">
    <w:abstractNumId w:val="15"/>
  </w:num>
  <w:num w:numId="24">
    <w:abstractNumId w:val="3"/>
  </w:num>
  <w:num w:numId="25">
    <w:abstractNumId w:val="13"/>
  </w:num>
  <w:num w:numId="26">
    <w:abstractNumId w:val="23"/>
  </w:num>
  <w:num w:numId="27">
    <w:abstractNumId w:val="31"/>
  </w:num>
  <w:num w:numId="28">
    <w:abstractNumId w:val="5"/>
  </w:num>
  <w:num w:numId="29">
    <w:abstractNumId w:val="11"/>
  </w:num>
  <w:num w:numId="30">
    <w:abstractNumId w:val="17"/>
  </w:num>
  <w:num w:numId="31">
    <w:abstractNumId w:val="30"/>
  </w:num>
  <w:num w:numId="32">
    <w:abstractNumId w:val="2"/>
  </w:num>
  <w:num w:numId="33">
    <w:abstractNumId w:val="22"/>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6E4"/>
    <w:rsid w:val="000656C0"/>
    <w:rsid w:val="000B4CE4"/>
    <w:rsid w:val="000D0306"/>
    <w:rsid w:val="000D2B68"/>
    <w:rsid w:val="00156913"/>
    <w:rsid w:val="00172A27"/>
    <w:rsid w:val="00180BF0"/>
    <w:rsid w:val="001B604A"/>
    <w:rsid w:val="0028509E"/>
    <w:rsid w:val="002A602F"/>
    <w:rsid w:val="002E389B"/>
    <w:rsid w:val="003017F4"/>
    <w:rsid w:val="00342424"/>
    <w:rsid w:val="003D4AEE"/>
    <w:rsid w:val="004C2267"/>
    <w:rsid w:val="00521A3B"/>
    <w:rsid w:val="00595E45"/>
    <w:rsid w:val="00596687"/>
    <w:rsid w:val="00601809"/>
    <w:rsid w:val="00614E9E"/>
    <w:rsid w:val="006C3907"/>
    <w:rsid w:val="006E64D0"/>
    <w:rsid w:val="007052E3"/>
    <w:rsid w:val="007348AF"/>
    <w:rsid w:val="0074511E"/>
    <w:rsid w:val="00781536"/>
    <w:rsid w:val="007A03D4"/>
    <w:rsid w:val="007D3D7B"/>
    <w:rsid w:val="00857C18"/>
    <w:rsid w:val="00875891"/>
    <w:rsid w:val="00890AA9"/>
    <w:rsid w:val="008A4F1E"/>
    <w:rsid w:val="008C7921"/>
    <w:rsid w:val="008D18FB"/>
    <w:rsid w:val="009067AD"/>
    <w:rsid w:val="009115DC"/>
    <w:rsid w:val="00950A62"/>
    <w:rsid w:val="0096748E"/>
    <w:rsid w:val="00973F58"/>
    <w:rsid w:val="009D3154"/>
    <w:rsid w:val="009D4804"/>
    <w:rsid w:val="00A01050"/>
    <w:rsid w:val="00A913D9"/>
    <w:rsid w:val="00B305AA"/>
    <w:rsid w:val="00B6199B"/>
    <w:rsid w:val="00B61C76"/>
    <w:rsid w:val="00BD4CB9"/>
    <w:rsid w:val="00BE42E2"/>
    <w:rsid w:val="00C3025F"/>
    <w:rsid w:val="00C77492"/>
    <w:rsid w:val="00CB4B12"/>
    <w:rsid w:val="00D63771"/>
    <w:rsid w:val="00D942C5"/>
    <w:rsid w:val="00DC14A4"/>
    <w:rsid w:val="00DD6FA9"/>
    <w:rsid w:val="00E574E5"/>
    <w:rsid w:val="00E70CC2"/>
    <w:rsid w:val="00EC30C2"/>
    <w:rsid w:val="00EF0C91"/>
    <w:rsid w:val="00F25373"/>
    <w:rsid w:val="00F55EED"/>
    <w:rsid w:val="00F91517"/>
    <w:rsid w:val="00FC0127"/>
    <w:rsid w:val="00FE274D"/>
    <w:rsid w:val="00FE7336"/>
    <w:rsid w:val="01187DEC"/>
    <w:rsid w:val="011E2EAA"/>
    <w:rsid w:val="012C0B31"/>
    <w:rsid w:val="013C2C85"/>
    <w:rsid w:val="014E6871"/>
    <w:rsid w:val="016363BE"/>
    <w:rsid w:val="01820D84"/>
    <w:rsid w:val="01F3763C"/>
    <w:rsid w:val="01FA1D23"/>
    <w:rsid w:val="02002480"/>
    <w:rsid w:val="025A7208"/>
    <w:rsid w:val="02AE122B"/>
    <w:rsid w:val="02B2463A"/>
    <w:rsid w:val="02CC4757"/>
    <w:rsid w:val="02E91ABF"/>
    <w:rsid w:val="02EC2718"/>
    <w:rsid w:val="02FA4C57"/>
    <w:rsid w:val="02FC6321"/>
    <w:rsid w:val="031A2189"/>
    <w:rsid w:val="03280AD1"/>
    <w:rsid w:val="037135C0"/>
    <w:rsid w:val="03861642"/>
    <w:rsid w:val="03890261"/>
    <w:rsid w:val="03A47D2B"/>
    <w:rsid w:val="03C6250C"/>
    <w:rsid w:val="03CB1F9F"/>
    <w:rsid w:val="03D6230E"/>
    <w:rsid w:val="03EF4A98"/>
    <w:rsid w:val="04300FBE"/>
    <w:rsid w:val="044F1D16"/>
    <w:rsid w:val="047E67D7"/>
    <w:rsid w:val="04D170C9"/>
    <w:rsid w:val="04FB16AA"/>
    <w:rsid w:val="050B08AE"/>
    <w:rsid w:val="051C1AB3"/>
    <w:rsid w:val="052B10A7"/>
    <w:rsid w:val="05352EEA"/>
    <w:rsid w:val="05472A2B"/>
    <w:rsid w:val="054A2093"/>
    <w:rsid w:val="05526BF2"/>
    <w:rsid w:val="05DD1E3B"/>
    <w:rsid w:val="05E629CB"/>
    <w:rsid w:val="06107A00"/>
    <w:rsid w:val="06241B70"/>
    <w:rsid w:val="06806EBF"/>
    <w:rsid w:val="06A82FC0"/>
    <w:rsid w:val="06BD61FE"/>
    <w:rsid w:val="0703768B"/>
    <w:rsid w:val="07123F37"/>
    <w:rsid w:val="07517538"/>
    <w:rsid w:val="077975D4"/>
    <w:rsid w:val="077C3BBE"/>
    <w:rsid w:val="07E133AB"/>
    <w:rsid w:val="080A1D5B"/>
    <w:rsid w:val="08147F9A"/>
    <w:rsid w:val="082137CC"/>
    <w:rsid w:val="08483D1F"/>
    <w:rsid w:val="085E3232"/>
    <w:rsid w:val="0884179D"/>
    <w:rsid w:val="089717F1"/>
    <w:rsid w:val="0899582B"/>
    <w:rsid w:val="08FA325A"/>
    <w:rsid w:val="09511AC4"/>
    <w:rsid w:val="0964308F"/>
    <w:rsid w:val="096812D4"/>
    <w:rsid w:val="0A147F32"/>
    <w:rsid w:val="0A150489"/>
    <w:rsid w:val="0A453E9B"/>
    <w:rsid w:val="0A5452F2"/>
    <w:rsid w:val="0A665396"/>
    <w:rsid w:val="0A8C1829"/>
    <w:rsid w:val="0A905B65"/>
    <w:rsid w:val="0A984C3B"/>
    <w:rsid w:val="0AA5434F"/>
    <w:rsid w:val="0B13093D"/>
    <w:rsid w:val="0B1C54FF"/>
    <w:rsid w:val="0B1F4CBA"/>
    <w:rsid w:val="0B2D56A2"/>
    <w:rsid w:val="0B3754D6"/>
    <w:rsid w:val="0B5E1A0F"/>
    <w:rsid w:val="0B641502"/>
    <w:rsid w:val="0BA7067F"/>
    <w:rsid w:val="0BC20F26"/>
    <w:rsid w:val="0BFE76F0"/>
    <w:rsid w:val="0C140AFB"/>
    <w:rsid w:val="0C3C77D0"/>
    <w:rsid w:val="0C557A01"/>
    <w:rsid w:val="0C6F2744"/>
    <w:rsid w:val="0C7B0B28"/>
    <w:rsid w:val="0C7B28A9"/>
    <w:rsid w:val="0C7B5EA8"/>
    <w:rsid w:val="0C887CF0"/>
    <w:rsid w:val="0CCB2423"/>
    <w:rsid w:val="0D157BA2"/>
    <w:rsid w:val="0D1A6DBC"/>
    <w:rsid w:val="0D282CE5"/>
    <w:rsid w:val="0D2F5BCA"/>
    <w:rsid w:val="0D67700C"/>
    <w:rsid w:val="0D910D92"/>
    <w:rsid w:val="0DAD5031"/>
    <w:rsid w:val="0DD45316"/>
    <w:rsid w:val="0DD60678"/>
    <w:rsid w:val="0E81689C"/>
    <w:rsid w:val="0E903B3E"/>
    <w:rsid w:val="0E913817"/>
    <w:rsid w:val="0E9410F7"/>
    <w:rsid w:val="0EBA439E"/>
    <w:rsid w:val="0EBE7E6F"/>
    <w:rsid w:val="0EED25A5"/>
    <w:rsid w:val="0F145285"/>
    <w:rsid w:val="0F181644"/>
    <w:rsid w:val="0F201BBC"/>
    <w:rsid w:val="0F782AF8"/>
    <w:rsid w:val="0F8220DB"/>
    <w:rsid w:val="0F923A8C"/>
    <w:rsid w:val="0FAC6AB3"/>
    <w:rsid w:val="0FDE4D16"/>
    <w:rsid w:val="0FE94A96"/>
    <w:rsid w:val="104469B2"/>
    <w:rsid w:val="105D4C07"/>
    <w:rsid w:val="108D7871"/>
    <w:rsid w:val="109B6570"/>
    <w:rsid w:val="10A13BD6"/>
    <w:rsid w:val="10FF2E9A"/>
    <w:rsid w:val="1100063F"/>
    <w:rsid w:val="11F4029D"/>
    <w:rsid w:val="11FF1FC5"/>
    <w:rsid w:val="1208210C"/>
    <w:rsid w:val="1217661D"/>
    <w:rsid w:val="1257284B"/>
    <w:rsid w:val="12617AA8"/>
    <w:rsid w:val="127B7C2B"/>
    <w:rsid w:val="127C6EB8"/>
    <w:rsid w:val="129D5829"/>
    <w:rsid w:val="12E15FE2"/>
    <w:rsid w:val="12F33997"/>
    <w:rsid w:val="130E1AF8"/>
    <w:rsid w:val="131E29AB"/>
    <w:rsid w:val="13554DE7"/>
    <w:rsid w:val="139420AC"/>
    <w:rsid w:val="139546A4"/>
    <w:rsid w:val="13B65BBF"/>
    <w:rsid w:val="13BC44F5"/>
    <w:rsid w:val="14355082"/>
    <w:rsid w:val="14371575"/>
    <w:rsid w:val="143B222B"/>
    <w:rsid w:val="14416580"/>
    <w:rsid w:val="1451177F"/>
    <w:rsid w:val="14A806C7"/>
    <w:rsid w:val="14D837B4"/>
    <w:rsid w:val="14ED078F"/>
    <w:rsid w:val="14F23F30"/>
    <w:rsid w:val="14FA2AA2"/>
    <w:rsid w:val="150B213F"/>
    <w:rsid w:val="155B0ED2"/>
    <w:rsid w:val="15C374DB"/>
    <w:rsid w:val="160E4A05"/>
    <w:rsid w:val="16236EB6"/>
    <w:rsid w:val="16365310"/>
    <w:rsid w:val="1690579D"/>
    <w:rsid w:val="16985169"/>
    <w:rsid w:val="169E7D38"/>
    <w:rsid w:val="16B12CCF"/>
    <w:rsid w:val="16B56327"/>
    <w:rsid w:val="16BE7227"/>
    <w:rsid w:val="16E94E51"/>
    <w:rsid w:val="171813B5"/>
    <w:rsid w:val="175A7254"/>
    <w:rsid w:val="17786B13"/>
    <w:rsid w:val="1779104A"/>
    <w:rsid w:val="177A5E3F"/>
    <w:rsid w:val="178C6B9C"/>
    <w:rsid w:val="179642B7"/>
    <w:rsid w:val="17AF358D"/>
    <w:rsid w:val="17F17365"/>
    <w:rsid w:val="17F85629"/>
    <w:rsid w:val="18436F32"/>
    <w:rsid w:val="185E1E9B"/>
    <w:rsid w:val="187824F9"/>
    <w:rsid w:val="18811E8B"/>
    <w:rsid w:val="18946C67"/>
    <w:rsid w:val="18BD6BE9"/>
    <w:rsid w:val="191C785A"/>
    <w:rsid w:val="195A0955"/>
    <w:rsid w:val="197819B0"/>
    <w:rsid w:val="197E614E"/>
    <w:rsid w:val="19871FAD"/>
    <w:rsid w:val="199841D0"/>
    <w:rsid w:val="19A45FBA"/>
    <w:rsid w:val="19A73899"/>
    <w:rsid w:val="19B57C28"/>
    <w:rsid w:val="19CD0047"/>
    <w:rsid w:val="19F7465A"/>
    <w:rsid w:val="1A045736"/>
    <w:rsid w:val="1A2A016B"/>
    <w:rsid w:val="1A605658"/>
    <w:rsid w:val="1A722879"/>
    <w:rsid w:val="1A8D0231"/>
    <w:rsid w:val="1A9071CE"/>
    <w:rsid w:val="1AA74943"/>
    <w:rsid w:val="1ACD0F03"/>
    <w:rsid w:val="1ACE0E54"/>
    <w:rsid w:val="1B1D1A28"/>
    <w:rsid w:val="1B6852B4"/>
    <w:rsid w:val="1B71612B"/>
    <w:rsid w:val="1B7626D3"/>
    <w:rsid w:val="1B7E19D6"/>
    <w:rsid w:val="1B993B1E"/>
    <w:rsid w:val="1BD3719F"/>
    <w:rsid w:val="1BD8037F"/>
    <w:rsid w:val="1C606882"/>
    <w:rsid w:val="1C644CE6"/>
    <w:rsid w:val="1C6A421D"/>
    <w:rsid w:val="1CBF51E7"/>
    <w:rsid w:val="1D0A79BA"/>
    <w:rsid w:val="1D154649"/>
    <w:rsid w:val="1D1B0514"/>
    <w:rsid w:val="1D570072"/>
    <w:rsid w:val="1D5C3788"/>
    <w:rsid w:val="1D5F74D4"/>
    <w:rsid w:val="1D616C59"/>
    <w:rsid w:val="1D742A81"/>
    <w:rsid w:val="1D87464E"/>
    <w:rsid w:val="1DD0272A"/>
    <w:rsid w:val="1DE80BE7"/>
    <w:rsid w:val="1DE92F46"/>
    <w:rsid w:val="1DFC3495"/>
    <w:rsid w:val="1E062F80"/>
    <w:rsid w:val="1E4275DD"/>
    <w:rsid w:val="1E751C03"/>
    <w:rsid w:val="1E837997"/>
    <w:rsid w:val="1E8E471C"/>
    <w:rsid w:val="1EA07C44"/>
    <w:rsid w:val="1EB04276"/>
    <w:rsid w:val="1EB65E0D"/>
    <w:rsid w:val="1EC61A54"/>
    <w:rsid w:val="1ECF4898"/>
    <w:rsid w:val="1EF56439"/>
    <w:rsid w:val="1F4E0BE4"/>
    <w:rsid w:val="1F4F5621"/>
    <w:rsid w:val="1F54036B"/>
    <w:rsid w:val="1F5D1391"/>
    <w:rsid w:val="200B23C2"/>
    <w:rsid w:val="203904D2"/>
    <w:rsid w:val="20473857"/>
    <w:rsid w:val="205879B9"/>
    <w:rsid w:val="205C0F2F"/>
    <w:rsid w:val="20753A3F"/>
    <w:rsid w:val="209869AF"/>
    <w:rsid w:val="20B14641"/>
    <w:rsid w:val="21167F1E"/>
    <w:rsid w:val="21281260"/>
    <w:rsid w:val="212A3780"/>
    <w:rsid w:val="21324B5F"/>
    <w:rsid w:val="215C0639"/>
    <w:rsid w:val="216C71E1"/>
    <w:rsid w:val="217314BE"/>
    <w:rsid w:val="21865B62"/>
    <w:rsid w:val="2206736F"/>
    <w:rsid w:val="22166B08"/>
    <w:rsid w:val="22237792"/>
    <w:rsid w:val="225F269E"/>
    <w:rsid w:val="226147C7"/>
    <w:rsid w:val="22883C61"/>
    <w:rsid w:val="233E1488"/>
    <w:rsid w:val="23407678"/>
    <w:rsid w:val="23417279"/>
    <w:rsid w:val="23521B03"/>
    <w:rsid w:val="235B2621"/>
    <w:rsid w:val="23652131"/>
    <w:rsid w:val="23745726"/>
    <w:rsid w:val="2386200B"/>
    <w:rsid w:val="23971668"/>
    <w:rsid w:val="23E02DCC"/>
    <w:rsid w:val="24111E23"/>
    <w:rsid w:val="24116AAA"/>
    <w:rsid w:val="243A3B88"/>
    <w:rsid w:val="243B367F"/>
    <w:rsid w:val="24453675"/>
    <w:rsid w:val="2464630A"/>
    <w:rsid w:val="246C51B7"/>
    <w:rsid w:val="247D1BAA"/>
    <w:rsid w:val="248D4AB6"/>
    <w:rsid w:val="24AE3430"/>
    <w:rsid w:val="24B42AFC"/>
    <w:rsid w:val="24BA1450"/>
    <w:rsid w:val="24F14702"/>
    <w:rsid w:val="25527CF1"/>
    <w:rsid w:val="25554EE2"/>
    <w:rsid w:val="25644EE3"/>
    <w:rsid w:val="259523C9"/>
    <w:rsid w:val="25A92492"/>
    <w:rsid w:val="25DD1679"/>
    <w:rsid w:val="26396611"/>
    <w:rsid w:val="263A4C91"/>
    <w:rsid w:val="26A24A80"/>
    <w:rsid w:val="26AB68D8"/>
    <w:rsid w:val="26EF075C"/>
    <w:rsid w:val="26FC5F6E"/>
    <w:rsid w:val="27107FE7"/>
    <w:rsid w:val="271A23FD"/>
    <w:rsid w:val="2756045D"/>
    <w:rsid w:val="27595AD1"/>
    <w:rsid w:val="2768469B"/>
    <w:rsid w:val="27BF31C3"/>
    <w:rsid w:val="27C52A84"/>
    <w:rsid w:val="27C67AAE"/>
    <w:rsid w:val="27D604D7"/>
    <w:rsid w:val="27EF72DC"/>
    <w:rsid w:val="27F33E02"/>
    <w:rsid w:val="27F96A08"/>
    <w:rsid w:val="280B0F03"/>
    <w:rsid w:val="28131881"/>
    <w:rsid w:val="28280BEA"/>
    <w:rsid w:val="282D0249"/>
    <w:rsid w:val="2845344D"/>
    <w:rsid w:val="286A00CB"/>
    <w:rsid w:val="286E1B8E"/>
    <w:rsid w:val="289756CF"/>
    <w:rsid w:val="28C41DBD"/>
    <w:rsid w:val="28D65B23"/>
    <w:rsid w:val="28DA325B"/>
    <w:rsid w:val="28E27FB7"/>
    <w:rsid w:val="28E76D96"/>
    <w:rsid w:val="2926478E"/>
    <w:rsid w:val="298315C1"/>
    <w:rsid w:val="29AB2DF6"/>
    <w:rsid w:val="29AD746B"/>
    <w:rsid w:val="29B92CEE"/>
    <w:rsid w:val="29D458ED"/>
    <w:rsid w:val="29ED5382"/>
    <w:rsid w:val="29FC0EB9"/>
    <w:rsid w:val="2A0559E2"/>
    <w:rsid w:val="2A15090B"/>
    <w:rsid w:val="2A2E42A3"/>
    <w:rsid w:val="2A3C4D81"/>
    <w:rsid w:val="2A4044B9"/>
    <w:rsid w:val="2AA60AB9"/>
    <w:rsid w:val="2AB714E3"/>
    <w:rsid w:val="2AD95A2C"/>
    <w:rsid w:val="2AEE7180"/>
    <w:rsid w:val="2B041ED9"/>
    <w:rsid w:val="2B053667"/>
    <w:rsid w:val="2B4E487C"/>
    <w:rsid w:val="2B897780"/>
    <w:rsid w:val="2B9847C2"/>
    <w:rsid w:val="2B9C1AF5"/>
    <w:rsid w:val="2BB05330"/>
    <w:rsid w:val="2BF828CD"/>
    <w:rsid w:val="2C1078E3"/>
    <w:rsid w:val="2C6F40C9"/>
    <w:rsid w:val="2C751A47"/>
    <w:rsid w:val="2C7B291D"/>
    <w:rsid w:val="2C91116B"/>
    <w:rsid w:val="2CF171A3"/>
    <w:rsid w:val="2D060C1C"/>
    <w:rsid w:val="2D0867EA"/>
    <w:rsid w:val="2D5F2E1E"/>
    <w:rsid w:val="2D6F2B8E"/>
    <w:rsid w:val="2D897571"/>
    <w:rsid w:val="2D8B174B"/>
    <w:rsid w:val="2DA678CC"/>
    <w:rsid w:val="2DE7392E"/>
    <w:rsid w:val="2E1B0C04"/>
    <w:rsid w:val="2E1F0A51"/>
    <w:rsid w:val="2E484365"/>
    <w:rsid w:val="2E5F3A36"/>
    <w:rsid w:val="2E957514"/>
    <w:rsid w:val="2EC00F71"/>
    <w:rsid w:val="2F030C7B"/>
    <w:rsid w:val="2F2C557D"/>
    <w:rsid w:val="2F4D22DE"/>
    <w:rsid w:val="2F7942F3"/>
    <w:rsid w:val="2F965D98"/>
    <w:rsid w:val="2FE565B2"/>
    <w:rsid w:val="2FFF19ED"/>
    <w:rsid w:val="304D5B45"/>
    <w:rsid w:val="308B0325"/>
    <w:rsid w:val="30FF4DC7"/>
    <w:rsid w:val="31051D55"/>
    <w:rsid w:val="310E6F78"/>
    <w:rsid w:val="31253603"/>
    <w:rsid w:val="313016D2"/>
    <w:rsid w:val="313B69A0"/>
    <w:rsid w:val="315C1C98"/>
    <w:rsid w:val="31BB3ABD"/>
    <w:rsid w:val="31C120E7"/>
    <w:rsid w:val="31C15892"/>
    <w:rsid w:val="31D54EBD"/>
    <w:rsid w:val="31F46F12"/>
    <w:rsid w:val="32066425"/>
    <w:rsid w:val="321A79D4"/>
    <w:rsid w:val="32673DDB"/>
    <w:rsid w:val="327B4F4E"/>
    <w:rsid w:val="329D2C15"/>
    <w:rsid w:val="32A45979"/>
    <w:rsid w:val="32AD3B02"/>
    <w:rsid w:val="32AE57DE"/>
    <w:rsid w:val="32BF0894"/>
    <w:rsid w:val="32E41A49"/>
    <w:rsid w:val="32E66684"/>
    <w:rsid w:val="331818A0"/>
    <w:rsid w:val="33252AFE"/>
    <w:rsid w:val="332D049E"/>
    <w:rsid w:val="33352156"/>
    <w:rsid w:val="33A268BF"/>
    <w:rsid w:val="33D1736C"/>
    <w:rsid w:val="33DE16FA"/>
    <w:rsid w:val="340D028F"/>
    <w:rsid w:val="344C44EA"/>
    <w:rsid w:val="34596B61"/>
    <w:rsid w:val="34743628"/>
    <w:rsid w:val="348B60CD"/>
    <w:rsid w:val="34986D4D"/>
    <w:rsid w:val="34AF7FA1"/>
    <w:rsid w:val="34B439BF"/>
    <w:rsid w:val="34B943FA"/>
    <w:rsid w:val="34CD1AF9"/>
    <w:rsid w:val="35005106"/>
    <w:rsid w:val="351E4D9E"/>
    <w:rsid w:val="35216605"/>
    <w:rsid w:val="35521D6B"/>
    <w:rsid w:val="35C3041B"/>
    <w:rsid w:val="35DA0732"/>
    <w:rsid w:val="35EE28BE"/>
    <w:rsid w:val="35F1221C"/>
    <w:rsid w:val="361F5123"/>
    <w:rsid w:val="36734F30"/>
    <w:rsid w:val="36762EEF"/>
    <w:rsid w:val="36B3108F"/>
    <w:rsid w:val="36B47A67"/>
    <w:rsid w:val="36D6584C"/>
    <w:rsid w:val="3710617A"/>
    <w:rsid w:val="372D2B10"/>
    <w:rsid w:val="37373229"/>
    <w:rsid w:val="377F7C35"/>
    <w:rsid w:val="37AD7EE7"/>
    <w:rsid w:val="37C9313F"/>
    <w:rsid w:val="37E72BA3"/>
    <w:rsid w:val="38144E93"/>
    <w:rsid w:val="382160F4"/>
    <w:rsid w:val="384001E0"/>
    <w:rsid w:val="384E7C14"/>
    <w:rsid w:val="384F42B0"/>
    <w:rsid w:val="387637DB"/>
    <w:rsid w:val="38A3002C"/>
    <w:rsid w:val="38BE366E"/>
    <w:rsid w:val="38C75BF4"/>
    <w:rsid w:val="38D5434E"/>
    <w:rsid w:val="38DB6159"/>
    <w:rsid w:val="3908414E"/>
    <w:rsid w:val="393C54C7"/>
    <w:rsid w:val="394F39A0"/>
    <w:rsid w:val="39616B52"/>
    <w:rsid w:val="39721586"/>
    <w:rsid w:val="399449AA"/>
    <w:rsid w:val="39B00473"/>
    <w:rsid w:val="39B64462"/>
    <w:rsid w:val="39BE3FE4"/>
    <w:rsid w:val="39E27625"/>
    <w:rsid w:val="39FD2ADB"/>
    <w:rsid w:val="3A2B20C2"/>
    <w:rsid w:val="3A4A4AB2"/>
    <w:rsid w:val="3A590659"/>
    <w:rsid w:val="3A6A66A0"/>
    <w:rsid w:val="3A7E5CA4"/>
    <w:rsid w:val="3A8E64AE"/>
    <w:rsid w:val="3A950506"/>
    <w:rsid w:val="3A9D454C"/>
    <w:rsid w:val="3AFD0824"/>
    <w:rsid w:val="3B094D22"/>
    <w:rsid w:val="3B7B6150"/>
    <w:rsid w:val="3B9C1864"/>
    <w:rsid w:val="3BC271FC"/>
    <w:rsid w:val="3BCC0D17"/>
    <w:rsid w:val="3C2A5636"/>
    <w:rsid w:val="3C672123"/>
    <w:rsid w:val="3C953B39"/>
    <w:rsid w:val="3CB267A9"/>
    <w:rsid w:val="3CBF2528"/>
    <w:rsid w:val="3CC32025"/>
    <w:rsid w:val="3D0751BC"/>
    <w:rsid w:val="3D265AE4"/>
    <w:rsid w:val="3D5B2B0C"/>
    <w:rsid w:val="3D5C7B98"/>
    <w:rsid w:val="3D6D5DBA"/>
    <w:rsid w:val="3D9C598C"/>
    <w:rsid w:val="3DAE35DE"/>
    <w:rsid w:val="3DB74DC8"/>
    <w:rsid w:val="3DB93D18"/>
    <w:rsid w:val="3DE42B41"/>
    <w:rsid w:val="3E1B13AF"/>
    <w:rsid w:val="3E222C2B"/>
    <w:rsid w:val="3E305EF4"/>
    <w:rsid w:val="3E381275"/>
    <w:rsid w:val="3E4F5D3C"/>
    <w:rsid w:val="3E6768E4"/>
    <w:rsid w:val="3E8A5F24"/>
    <w:rsid w:val="3E987F73"/>
    <w:rsid w:val="3EA42B9C"/>
    <w:rsid w:val="3EB91768"/>
    <w:rsid w:val="3EC162B2"/>
    <w:rsid w:val="3EF612FE"/>
    <w:rsid w:val="3F123C63"/>
    <w:rsid w:val="3F2C4A9A"/>
    <w:rsid w:val="3F505BD2"/>
    <w:rsid w:val="3F5A2B37"/>
    <w:rsid w:val="3F61497D"/>
    <w:rsid w:val="3F9710FD"/>
    <w:rsid w:val="3FD5747B"/>
    <w:rsid w:val="3FEF2F6C"/>
    <w:rsid w:val="3FF04609"/>
    <w:rsid w:val="401A4EA8"/>
    <w:rsid w:val="402F1B18"/>
    <w:rsid w:val="40566C76"/>
    <w:rsid w:val="405B49CB"/>
    <w:rsid w:val="40660ACB"/>
    <w:rsid w:val="40BD052A"/>
    <w:rsid w:val="40C34BA3"/>
    <w:rsid w:val="410473FD"/>
    <w:rsid w:val="41525CBC"/>
    <w:rsid w:val="41697C72"/>
    <w:rsid w:val="41E215EA"/>
    <w:rsid w:val="421E11FD"/>
    <w:rsid w:val="42432C29"/>
    <w:rsid w:val="42635898"/>
    <w:rsid w:val="42754549"/>
    <w:rsid w:val="428A2F18"/>
    <w:rsid w:val="42925C1D"/>
    <w:rsid w:val="42A578A3"/>
    <w:rsid w:val="42A8704D"/>
    <w:rsid w:val="42CB00BB"/>
    <w:rsid w:val="42DC7E86"/>
    <w:rsid w:val="42E7573C"/>
    <w:rsid w:val="42EC2417"/>
    <w:rsid w:val="436F0E86"/>
    <w:rsid w:val="43A061B6"/>
    <w:rsid w:val="43B46EDD"/>
    <w:rsid w:val="43C34C6B"/>
    <w:rsid w:val="43F917B9"/>
    <w:rsid w:val="441E58CB"/>
    <w:rsid w:val="442A06D3"/>
    <w:rsid w:val="443E101B"/>
    <w:rsid w:val="44E64584"/>
    <w:rsid w:val="44EC04C2"/>
    <w:rsid w:val="44F9069C"/>
    <w:rsid w:val="450E1338"/>
    <w:rsid w:val="450F5B51"/>
    <w:rsid w:val="45291467"/>
    <w:rsid w:val="454B42AF"/>
    <w:rsid w:val="45522F5A"/>
    <w:rsid w:val="45781DFA"/>
    <w:rsid w:val="457F0C31"/>
    <w:rsid w:val="45A70261"/>
    <w:rsid w:val="45D06ECF"/>
    <w:rsid w:val="460A7787"/>
    <w:rsid w:val="460C2E6E"/>
    <w:rsid w:val="462E4177"/>
    <w:rsid w:val="46417926"/>
    <w:rsid w:val="46641C1F"/>
    <w:rsid w:val="46D8206F"/>
    <w:rsid w:val="46DB7877"/>
    <w:rsid w:val="46DE163A"/>
    <w:rsid w:val="46E16C8C"/>
    <w:rsid w:val="47094050"/>
    <w:rsid w:val="470C206B"/>
    <w:rsid w:val="47156909"/>
    <w:rsid w:val="47617024"/>
    <w:rsid w:val="479E07DB"/>
    <w:rsid w:val="479F6D29"/>
    <w:rsid w:val="47A052DF"/>
    <w:rsid w:val="48325B45"/>
    <w:rsid w:val="488332B9"/>
    <w:rsid w:val="488D7B02"/>
    <w:rsid w:val="48A832C8"/>
    <w:rsid w:val="48CC5E56"/>
    <w:rsid w:val="48D374CE"/>
    <w:rsid w:val="48D4647A"/>
    <w:rsid w:val="48E47300"/>
    <w:rsid w:val="48F1750D"/>
    <w:rsid w:val="48F95758"/>
    <w:rsid w:val="49035FDF"/>
    <w:rsid w:val="491C0FBA"/>
    <w:rsid w:val="49255444"/>
    <w:rsid w:val="49496B9E"/>
    <w:rsid w:val="496A7675"/>
    <w:rsid w:val="497D5688"/>
    <w:rsid w:val="497E5E3E"/>
    <w:rsid w:val="49903D36"/>
    <w:rsid w:val="49A26B72"/>
    <w:rsid w:val="49B6027C"/>
    <w:rsid w:val="49CF4571"/>
    <w:rsid w:val="49E4439F"/>
    <w:rsid w:val="49EB2F49"/>
    <w:rsid w:val="49EC406D"/>
    <w:rsid w:val="49F4290A"/>
    <w:rsid w:val="4A0F0CC5"/>
    <w:rsid w:val="4A2250E9"/>
    <w:rsid w:val="4A432FFC"/>
    <w:rsid w:val="4A9329A4"/>
    <w:rsid w:val="4ABE686F"/>
    <w:rsid w:val="4ADA73C9"/>
    <w:rsid w:val="4AF2007F"/>
    <w:rsid w:val="4B0C3137"/>
    <w:rsid w:val="4B5E5DA0"/>
    <w:rsid w:val="4B701A8E"/>
    <w:rsid w:val="4B7F00E3"/>
    <w:rsid w:val="4BA36C77"/>
    <w:rsid w:val="4BD1407E"/>
    <w:rsid w:val="4BDA06D2"/>
    <w:rsid w:val="4C503549"/>
    <w:rsid w:val="4C855A0A"/>
    <w:rsid w:val="4C9A5E6D"/>
    <w:rsid w:val="4CAA5B48"/>
    <w:rsid w:val="4CB21347"/>
    <w:rsid w:val="4CC55B15"/>
    <w:rsid w:val="4CC94912"/>
    <w:rsid w:val="4CE50A11"/>
    <w:rsid w:val="4CEA32B2"/>
    <w:rsid w:val="4CF3218E"/>
    <w:rsid w:val="4CF45ED5"/>
    <w:rsid w:val="4D040754"/>
    <w:rsid w:val="4D12225F"/>
    <w:rsid w:val="4D214FA3"/>
    <w:rsid w:val="4D446F23"/>
    <w:rsid w:val="4D693CBE"/>
    <w:rsid w:val="4D7D7F68"/>
    <w:rsid w:val="4D8F6FD7"/>
    <w:rsid w:val="4D930E50"/>
    <w:rsid w:val="4D9323F1"/>
    <w:rsid w:val="4DA5294F"/>
    <w:rsid w:val="4DDC2CB1"/>
    <w:rsid w:val="4DE37BA4"/>
    <w:rsid w:val="4DF4467E"/>
    <w:rsid w:val="4E0D70ED"/>
    <w:rsid w:val="4E220469"/>
    <w:rsid w:val="4E312DDD"/>
    <w:rsid w:val="4E4E6326"/>
    <w:rsid w:val="4E626E4B"/>
    <w:rsid w:val="4E733DEB"/>
    <w:rsid w:val="4E761665"/>
    <w:rsid w:val="4E84027A"/>
    <w:rsid w:val="4E8847DD"/>
    <w:rsid w:val="4E885F68"/>
    <w:rsid w:val="4E8F66EA"/>
    <w:rsid w:val="4E936A14"/>
    <w:rsid w:val="4EA55F27"/>
    <w:rsid w:val="4F3B06E9"/>
    <w:rsid w:val="4F567DD9"/>
    <w:rsid w:val="4F6F2FC9"/>
    <w:rsid w:val="4F7F713A"/>
    <w:rsid w:val="4FD35C93"/>
    <w:rsid w:val="4FE433EC"/>
    <w:rsid w:val="4FFD2FD4"/>
    <w:rsid w:val="502A1752"/>
    <w:rsid w:val="504502E7"/>
    <w:rsid w:val="5046254B"/>
    <w:rsid w:val="505A477E"/>
    <w:rsid w:val="506C4043"/>
    <w:rsid w:val="507142BA"/>
    <w:rsid w:val="50C26D33"/>
    <w:rsid w:val="50F05D05"/>
    <w:rsid w:val="51480503"/>
    <w:rsid w:val="514B4503"/>
    <w:rsid w:val="517D229E"/>
    <w:rsid w:val="51DB543F"/>
    <w:rsid w:val="51DD1178"/>
    <w:rsid w:val="51E51A09"/>
    <w:rsid w:val="520A56FD"/>
    <w:rsid w:val="52183EF7"/>
    <w:rsid w:val="52191804"/>
    <w:rsid w:val="52383E87"/>
    <w:rsid w:val="52832E3D"/>
    <w:rsid w:val="529C1CD4"/>
    <w:rsid w:val="52BD3152"/>
    <w:rsid w:val="52C0625D"/>
    <w:rsid w:val="52F14D9E"/>
    <w:rsid w:val="53227756"/>
    <w:rsid w:val="533214ED"/>
    <w:rsid w:val="53400599"/>
    <w:rsid w:val="53427DE2"/>
    <w:rsid w:val="53512F3C"/>
    <w:rsid w:val="539441F4"/>
    <w:rsid w:val="53CC14DE"/>
    <w:rsid w:val="541A76FB"/>
    <w:rsid w:val="54237926"/>
    <w:rsid w:val="5433049F"/>
    <w:rsid w:val="54422592"/>
    <w:rsid w:val="544C3D33"/>
    <w:rsid w:val="547022CA"/>
    <w:rsid w:val="547A2094"/>
    <w:rsid w:val="549168BB"/>
    <w:rsid w:val="54B42515"/>
    <w:rsid w:val="54CF6336"/>
    <w:rsid w:val="54D238C1"/>
    <w:rsid w:val="54E60EBC"/>
    <w:rsid w:val="54F44CBE"/>
    <w:rsid w:val="54F73B1D"/>
    <w:rsid w:val="54F81987"/>
    <w:rsid w:val="54FA0C62"/>
    <w:rsid w:val="5504115B"/>
    <w:rsid w:val="55055DC4"/>
    <w:rsid w:val="5556166A"/>
    <w:rsid w:val="557774CA"/>
    <w:rsid w:val="55A10014"/>
    <w:rsid w:val="55C239AF"/>
    <w:rsid w:val="55D0323C"/>
    <w:rsid w:val="55E80694"/>
    <w:rsid w:val="55E963B3"/>
    <w:rsid w:val="55F57708"/>
    <w:rsid w:val="564F1389"/>
    <w:rsid w:val="56A81BCF"/>
    <w:rsid w:val="56E2764A"/>
    <w:rsid w:val="56E45218"/>
    <w:rsid w:val="571C5FCA"/>
    <w:rsid w:val="57424682"/>
    <w:rsid w:val="574C3DBD"/>
    <w:rsid w:val="575D7A54"/>
    <w:rsid w:val="578B3C41"/>
    <w:rsid w:val="57967BAC"/>
    <w:rsid w:val="57C230EC"/>
    <w:rsid w:val="57DB1BA3"/>
    <w:rsid w:val="57F662E9"/>
    <w:rsid w:val="58070320"/>
    <w:rsid w:val="581311AA"/>
    <w:rsid w:val="58291245"/>
    <w:rsid w:val="584D4C17"/>
    <w:rsid w:val="58881000"/>
    <w:rsid w:val="58D16EE9"/>
    <w:rsid w:val="59057376"/>
    <w:rsid w:val="59335A01"/>
    <w:rsid w:val="59345603"/>
    <w:rsid w:val="593456A4"/>
    <w:rsid w:val="59734E19"/>
    <w:rsid w:val="59B2321E"/>
    <w:rsid w:val="59EF571C"/>
    <w:rsid w:val="5A0B3FE1"/>
    <w:rsid w:val="5A0B54A7"/>
    <w:rsid w:val="5A4222FB"/>
    <w:rsid w:val="5A423875"/>
    <w:rsid w:val="5A4300BC"/>
    <w:rsid w:val="5A462BFF"/>
    <w:rsid w:val="5A4675C7"/>
    <w:rsid w:val="5A810A4D"/>
    <w:rsid w:val="5A94412B"/>
    <w:rsid w:val="5A976F39"/>
    <w:rsid w:val="5AF01F98"/>
    <w:rsid w:val="5B030595"/>
    <w:rsid w:val="5B491621"/>
    <w:rsid w:val="5BAF2891"/>
    <w:rsid w:val="5BB234FD"/>
    <w:rsid w:val="5BCC195B"/>
    <w:rsid w:val="5BD9391B"/>
    <w:rsid w:val="5BEE041A"/>
    <w:rsid w:val="5C2165E2"/>
    <w:rsid w:val="5C7E3F76"/>
    <w:rsid w:val="5CED6CF8"/>
    <w:rsid w:val="5D105684"/>
    <w:rsid w:val="5D6D2188"/>
    <w:rsid w:val="5D82293C"/>
    <w:rsid w:val="5D89640A"/>
    <w:rsid w:val="5D8C5123"/>
    <w:rsid w:val="5DA52D11"/>
    <w:rsid w:val="5DA733F0"/>
    <w:rsid w:val="5DAF69AC"/>
    <w:rsid w:val="5E3B26D3"/>
    <w:rsid w:val="5E672408"/>
    <w:rsid w:val="5E8B697A"/>
    <w:rsid w:val="5E9F2D52"/>
    <w:rsid w:val="5EA77332"/>
    <w:rsid w:val="5EE72247"/>
    <w:rsid w:val="5EEA0AC5"/>
    <w:rsid w:val="5EFE073D"/>
    <w:rsid w:val="5F51648A"/>
    <w:rsid w:val="5F53099F"/>
    <w:rsid w:val="5F9209C7"/>
    <w:rsid w:val="5FD833DF"/>
    <w:rsid w:val="5FFE5D20"/>
    <w:rsid w:val="600A2076"/>
    <w:rsid w:val="60500E96"/>
    <w:rsid w:val="60690AA8"/>
    <w:rsid w:val="6074779B"/>
    <w:rsid w:val="60964075"/>
    <w:rsid w:val="60CC1E4F"/>
    <w:rsid w:val="60D039F7"/>
    <w:rsid w:val="60D13E04"/>
    <w:rsid w:val="60EA7D1E"/>
    <w:rsid w:val="61141948"/>
    <w:rsid w:val="61333853"/>
    <w:rsid w:val="613F4031"/>
    <w:rsid w:val="61C001C9"/>
    <w:rsid w:val="61CE65BF"/>
    <w:rsid w:val="61D52B6F"/>
    <w:rsid w:val="61DA4B54"/>
    <w:rsid w:val="61E06CCA"/>
    <w:rsid w:val="61EA7704"/>
    <w:rsid w:val="61F461AD"/>
    <w:rsid w:val="61F46ECE"/>
    <w:rsid w:val="61FC5F20"/>
    <w:rsid w:val="620308C6"/>
    <w:rsid w:val="622577C9"/>
    <w:rsid w:val="62352FF1"/>
    <w:rsid w:val="62390BC5"/>
    <w:rsid w:val="62510694"/>
    <w:rsid w:val="627651A2"/>
    <w:rsid w:val="628B7D7C"/>
    <w:rsid w:val="628F4880"/>
    <w:rsid w:val="62980CAB"/>
    <w:rsid w:val="62DF5EC0"/>
    <w:rsid w:val="62FE4CA9"/>
    <w:rsid w:val="63225898"/>
    <w:rsid w:val="633936B9"/>
    <w:rsid w:val="634C2628"/>
    <w:rsid w:val="639B5CC7"/>
    <w:rsid w:val="639C45A8"/>
    <w:rsid w:val="63B05D06"/>
    <w:rsid w:val="63C7635E"/>
    <w:rsid w:val="640F6967"/>
    <w:rsid w:val="641A22DF"/>
    <w:rsid w:val="642F523A"/>
    <w:rsid w:val="64565CC8"/>
    <w:rsid w:val="6482091A"/>
    <w:rsid w:val="649437C0"/>
    <w:rsid w:val="649D04A3"/>
    <w:rsid w:val="649D34D3"/>
    <w:rsid w:val="64AC01CE"/>
    <w:rsid w:val="6515408F"/>
    <w:rsid w:val="65240045"/>
    <w:rsid w:val="655842EB"/>
    <w:rsid w:val="657351EC"/>
    <w:rsid w:val="65CC6D3C"/>
    <w:rsid w:val="65D4160E"/>
    <w:rsid w:val="66366B06"/>
    <w:rsid w:val="6638084A"/>
    <w:rsid w:val="666A3693"/>
    <w:rsid w:val="666C2B0C"/>
    <w:rsid w:val="667754FB"/>
    <w:rsid w:val="66812E87"/>
    <w:rsid w:val="66AA7641"/>
    <w:rsid w:val="67000C2F"/>
    <w:rsid w:val="67203B91"/>
    <w:rsid w:val="67285D60"/>
    <w:rsid w:val="672D0FD8"/>
    <w:rsid w:val="6755702F"/>
    <w:rsid w:val="67560455"/>
    <w:rsid w:val="676228AD"/>
    <w:rsid w:val="67655691"/>
    <w:rsid w:val="67AF46E3"/>
    <w:rsid w:val="67B03ADA"/>
    <w:rsid w:val="67B633EE"/>
    <w:rsid w:val="67C55E5A"/>
    <w:rsid w:val="67D02141"/>
    <w:rsid w:val="67ED45B3"/>
    <w:rsid w:val="67EF3377"/>
    <w:rsid w:val="680B1B7F"/>
    <w:rsid w:val="6819415A"/>
    <w:rsid w:val="68374C71"/>
    <w:rsid w:val="683B4AAD"/>
    <w:rsid w:val="684C4C54"/>
    <w:rsid w:val="685D31E5"/>
    <w:rsid w:val="685D4237"/>
    <w:rsid w:val="687356F7"/>
    <w:rsid w:val="6880640A"/>
    <w:rsid w:val="689F522A"/>
    <w:rsid w:val="68A85578"/>
    <w:rsid w:val="68E370F8"/>
    <w:rsid w:val="68F32FD7"/>
    <w:rsid w:val="68F41B27"/>
    <w:rsid w:val="693B366B"/>
    <w:rsid w:val="694D319A"/>
    <w:rsid w:val="6959422E"/>
    <w:rsid w:val="695A08E8"/>
    <w:rsid w:val="6968203B"/>
    <w:rsid w:val="69735C73"/>
    <w:rsid w:val="69A02CFC"/>
    <w:rsid w:val="69BF7C36"/>
    <w:rsid w:val="69C10FA2"/>
    <w:rsid w:val="69C765D5"/>
    <w:rsid w:val="69FE7823"/>
    <w:rsid w:val="6A0273D6"/>
    <w:rsid w:val="6A400323"/>
    <w:rsid w:val="6A5B6090"/>
    <w:rsid w:val="6AD015E8"/>
    <w:rsid w:val="6ADC7427"/>
    <w:rsid w:val="6AFF7329"/>
    <w:rsid w:val="6B3F00FC"/>
    <w:rsid w:val="6B433E7D"/>
    <w:rsid w:val="6B536D57"/>
    <w:rsid w:val="6B657625"/>
    <w:rsid w:val="6B7A53AE"/>
    <w:rsid w:val="6B7F1B1A"/>
    <w:rsid w:val="6BB8436A"/>
    <w:rsid w:val="6BBC5965"/>
    <w:rsid w:val="6BDF069B"/>
    <w:rsid w:val="6BF10FBA"/>
    <w:rsid w:val="6C1669D8"/>
    <w:rsid w:val="6C291A19"/>
    <w:rsid w:val="6C420223"/>
    <w:rsid w:val="6C694799"/>
    <w:rsid w:val="6C7E6C04"/>
    <w:rsid w:val="6C9F524C"/>
    <w:rsid w:val="6CF918DD"/>
    <w:rsid w:val="6D032701"/>
    <w:rsid w:val="6D145A86"/>
    <w:rsid w:val="6D2A7E3A"/>
    <w:rsid w:val="6D2B6212"/>
    <w:rsid w:val="6D2D7A1B"/>
    <w:rsid w:val="6D38439D"/>
    <w:rsid w:val="6D4757E9"/>
    <w:rsid w:val="6D535020"/>
    <w:rsid w:val="6D683E58"/>
    <w:rsid w:val="6E382087"/>
    <w:rsid w:val="6E4F5536"/>
    <w:rsid w:val="6E5A7E0A"/>
    <w:rsid w:val="6E5E4477"/>
    <w:rsid w:val="6E7425DE"/>
    <w:rsid w:val="6E8035EA"/>
    <w:rsid w:val="6E976E18"/>
    <w:rsid w:val="6EC70924"/>
    <w:rsid w:val="6ECC3D0B"/>
    <w:rsid w:val="6EFB54AF"/>
    <w:rsid w:val="6F0F4545"/>
    <w:rsid w:val="6F27204B"/>
    <w:rsid w:val="6F4D7E3B"/>
    <w:rsid w:val="6F5600BB"/>
    <w:rsid w:val="6F64035D"/>
    <w:rsid w:val="6F8548F2"/>
    <w:rsid w:val="6F8F17BB"/>
    <w:rsid w:val="6FAC1460"/>
    <w:rsid w:val="6FBC7690"/>
    <w:rsid w:val="6FD54C7C"/>
    <w:rsid w:val="6FE631AF"/>
    <w:rsid w:val="6FF52BCE"/>
    <w:rsid w:val="6FF9000E"/>
    <w:rsid w:val="6FFE48CC"/>
    <w:rsid w:val="70005B4D"/>
    <w:rsid w:val="701A4F3B"/>
    <w:rsid w:val="702D4165"/>
    <w:rsid w:val="70714694"/>
    <w:rsid w:val="70883329"/>
    <w:rsid w:val="708D0FD1"/>
    <w:rsid w:val="70C3183F"/>
    <w:rsid w:val="70CE0E97"/>
    <w:rsid w:val="71264FD8"/>
    <w:rsid w:val="714A27C8"/>
    <w:rsid w:val="715D0874"/>
    <w:rsid w:val="715D7489"/>
    <w:rsid w:val="71680029"/>
    <w:rsid w:val="716979AB"/>
    <w:rsid w:val="717F3C76"/>
    <w:rsid w:val="71D13E70"/>
    <w:rsid w:val="71D92667"/>
    <w:rsid w:val="722F0DFA"/>
    <w:rsid w:val="72420BCC"/>
    <w:rsid w:val="72585AD0"/>
    <w:rsid w:val="726431DA"/>
    <w:rsid w:val="72846300"/>
    <w:rsid w:val="72921002"/>
    <w:rsid w:val="72E50D05"/>
    <w:rsid w:val="733F77F9"/>
    <w:rsid w:val="73411B49"/>
    <w:rsid w:val="73427E1B"/>
    <w:rsid w:val="737D7927"/>
    <w:rsid w:val="737E74EE"/>
    <w:rsid w:val="739A6B55"/>
    <w:rsid w:val="73A91113"/>
    <w:rsid w:val="73C20BB6"/>
    <w:rsid w:val="73EF6B8D"/>
    <w:rsid w:val="740A50CB"/>
    <w:rsid w:val="740D2869"/>
    <w:rsid w:val="744414BC"/>
    <w:rsid w:val="744F3B35"/>
    <w:rsid w:val="746A5A43"/>
    <w:rsid w:val="746D62D8"/>
    <w:rsid w:val="74887637"/>
    <w:rsid w:val="749219A3"/>
    <w:rsid w:val="74A02FE5"/>
    <w:rsid w:val="74CC4CA7"/>
    <w:rsid w:val="74D15681"/>
    <w:rsid w:val="74EE4F77"/>
    <w:rsid w:val="75157CDD"/>
    <w:rsid w:val="75667F41"/>
    <w:rsid w:val="756F313D"/>
    <w:rsid w:val="756F3563"/>
    <w:rsid w:val="75A62EF1"/>
    <w:rsid w:val="75D7091F"/>
    <w:rsid w:val="75F67ABF"/>
    <w:rsid w:val="760E2EC2"/>
    <w:rsid w:val="762C7C9D"/>
    <w:rsid w:val="763037D5"/>
    <w:rsid w:val="76413570"/>
    <w:rsid w:val="76626A4D"/>
    <w:rsid w:val="76630C86"/>
    <w:rsid w:val="76CE15B6"/>
    <w:rsid w:val="76D34261"/>
    <w:rsid w:val="76E01468"/>
    <w:rsid w:val="770674C7"/>
    <w:rsid w:val="773C1573"/>
    <w:rsid w:val="777B401E"/>
    <w:rsid w:val="77D74331"/>
    <w:rsid w:val="77E14EAE"/>
    <w:rsid w:val="77F56981"/>
    <w:rsid w:val="78090416"/>
    <w:rsid w:val="78176A60"/>
    <w:rsid w:val="781E769E"/>
    <w:rsid w:val="78500C4E"/>
    <w:rsid w:val="785B3E63"/>
    <w:rsid w:val="78642D17"/>
    <w:rsid w:val="788670E8"/>
    <w:rsid w:val="78E647EF"/>
    <w:rsid w:val="792A5365"/>
    <w:rsid w:val="799052DB"/>
    <w:rsid w:val="79B338F1"/>
    <w:rsid w:val="79F65B40"/>
    <w:rsid w:val="7A4B0A39"/>
    <w:rsid w:val="7A7D7EBF"/>
    <w:rsid w:val="7A950C4D"/>
    <w:rsid w:val="7AA877CF"/>
    <w:rsid w:val="7AB37CE0"/>
    <w:rsid w:val="7ABF75A8"/>
    <w:rsid w:val="7ACA19CB"/>
    <w:rsid w:val="7AE812E5"/>
    <w:rsid w:val="7B1D63E5"/>
    <w:rsid w:val="7B297687"/>
    <w:rsid w:val="7B4542FB"/>
    <w:rsid w:val="7B622B8E"/>
    <w:rsid w:val="7B891266"/>
    <w:rsid w:val="7BB136F1"/>
    <w:rsid w:val="7BB31EBA"/>
    <w:rsid w:val="7BBC7201"/>
    <w:rsid w:val="7BC4217A"/>
    <w:rsid w:val="7BF66C9B"/>
    <w:rsid w:val="7C0532E0"/>
    <w:rsid w:val="7C487E07"/>
    <w:rsid w:val="7C490C75"/>
    <w:rsid w:val="7C651C7A"/>
    <w:rsid w:val="7C8D49D3"/>
    <w:rsid w:val="7CAE78A8"/>
    <w:rsid w:val="7CB025A9"/>
    <w:rsid w:val="7CF42FC5"/>
    <w:rsid w:val="7CFA5E44"/>
    <w:rsid w:val="7D213CEC"/>
    <w:rsid w:val="7D31257C"/>
    <w:rsid w:val="7D45651F"/>
    <w:rsid w:val="7D637163"/>
    <w:rsid w:val="7DA17810"/>
    <w:rsid w:val="7DD221C8"/>
    <w:rsid w:val="7DD5480D"/>
    <w:rsid w:val="7DFC0BC9"/>
    <w:rsid w:val="7E044EF4"/>
    <w:rsid w:val="7E7B4419"/>
    <w:rsid w:val="7E883526"/>
    <w:rsid w:val="7EBF6C46"/>
    <w:rsid w:val="7EC87A6B"/>
    <w:rsid w:val="7F094F7D"/>
    <w:rsid w:val="7F312315"/>
    <w:rsid w:val="7F3F22AA"/>
    <w:rsid w:val="7F536153"/>
    <w:rsid w:val="7F707E0A"/>
    <w:rsid w:val="7F801782"/>
    <w:rsid w:val="7F8976C7"/>
    <w:rsid w:val="7F956166"/>
    <w:rsid w:val="7F9F6483"/>
    <w:rsid w:val="7FB650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9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name="Balloon Text"/>
    <w:lsdException w:qFormat="1" w:unhideWhenUsed="0" w:uiPriority="99" w:semiHidden="0" w:name="Table Grid"/>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paragraph" w:styleId="4">
    <w:name w:val="heading 1"/>
    <w:basedOn w:val="1"/>
    <w:next w:val="1"/>
    <w:link w:val="26"/>
    <w:qFormat/>
    <w:uiPriority w:val="99"/>
    <w:pPr>
      <w:keepNext/>
      <w:keepLines/>
      <w:adjustRightInd w:val="0"/>
      <w:snapToGrid w:val="0"/>
      <w:spacing w:before="50" w:beforeLines="50" w:after="50" w:afterLines="50"/>
      <w:jc w:val="center"/>
      <w:outlineLvl w:val="0"/>
    </w:pPr>
    <w:rPr>
      <w:rFonts w:hAnsi="宋体"/>
      <w:b/>
      <w:bCs/>
      <w:kern w:val="44"/>
      <w:sz w:val="36"/>
      <w:szCs w:val="44"/>
    </w:rPr>
  </w:style>
  <w:style w:type="paragraph" w:styleId="5">
    <w:name w:val="heading 2"/>
    <w:basedOn w:val="1"/>
    <w:next w:val="1"/>
    <w:link w:val="27"/>
    <w:qFormat/>
    <w:uiPriority w:val="99"/>
    <w:pPr>
      <w:spacing w:before="260" w:after="260" w:line="412" w:lineRule="auto"/>
      <w:outlineLvl w:val="1"/>
    </w:pPr>
    <w:rPr>
      <w:rFonts w:ascii="Arial" w:hAnsi="Arial" w:eastAsia="黑体" w:cs="Arial"/>
      <w:sz w:val="32"/>
      <w:szCs w:val="32"/>
    </w:rPr>
  </w:style>
  <w:style w:type="paragraph" w:styleId="6">
    <w:name w:val="heading 3"/>
    <w:basedOn w:val="1"/>
    <w:next w:val="1"/>
    <w:link w:val="28"/>
    <w:qFormat/>
    <w:uiPriority w:val="99"/>
    <w:pPr>
      <w:outlineLvl w:val="2"/>
    </w:pPr>
  </w:style>
  <w:style w:type="paragraph" w:styleId="7">
    <w:name w:val="heading 4"/>
    <w:basedOn w:val="1"/>
    <w:next w:val="1"/>
    <w:qFormat/>
    <w:locked/>
    <w:uiPriority w:val="0"/>
    <w:pPr>
      <w:keepNext/>
      <w:keepLines/>
      <w:numPr>
        <w:ilvl w:val="3"/>
        <w:numId w:val="1"/>
      </w:numPr>
      <w:spacing w:before="280" w:after="290"/>
      <w:ind w:firstLine="0"/>
      <w:outlineLvl w:val="3"/>
    </w:pPr>
    <w:rPr>
      <w:rFonts w:ascii="Cambria" w:hAnsi="Cambria"/>
      <w:b/>
      <w:bCs/>
      <w:sz w:val="28"/>
      <w:szCs w:val="28"/>
    </w:rPr>
  </w:style>
  <w:style w:type="paragraph" w:styleId="8">
    <w:name w:val="heading 5"/>
    <w:basedOn w:val="1"/>
    <w:next w:val="1"/>
    <w:qFormat/>
    <w:locked/>
    <w:uiPriority w:val="0"/>
    <w:pPr>
      <w:keepNext/>
      <w:keepLines/>
      <w:numPr>
        <w:ilvl w:val="4"/>
        <w:numId w:val="1"/>
      </w:numPr>
      <w:ind w:left="0" w:firstLine="0"/>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numPr>
        <w:ilvl w:val="4"/>
        <w:numId w:val="2"/>
      </w:numPr>
      <w:spacing w:before="280" w:after="156" w:line="377" w:lineRule="auto"/>
      <w:jc w:val="left"/>
      <w:outlineLvl w:val="4"/>
    </w:pPr>
    <w:rPr>
      <w:rFonts w:ascii="Arial" w:hAnsi="Arial" w:eastAsia="黑体" w:cs="Arial"/>
      <w:b/>
      <w:bCs/>
      <w:sz w:val="24"/>
      <w:szCs w:val="24"/>
    </w:rPr>
  </w:style>
  <w:style w:type="paragraph" w:customStyle="1" w:styleId="3">
    <w:name w:val="正文（绿盟科技）"/>
    <w:qFormat/>
    <w:uiPriority w:val="99"/>
    <w:pPr>
      <w:spacing w:line="300" w:lineRule="auto"/>
    </w:pPr>
    <w:rPr>
      <w:rFonts w:ascii="Arial" w:hAnsi="Arial" w:eastAsia="宋体" w:cs="Arial"/>
      <w:sz w:val="21"/>
      <w:szCs w:val="21"/>
      <w:lang w:val="en-US" w:eastAsia="zh-CN" w:bidi="ar-SA"/>
    </w:rPr>
  </w:style>
  <w:style w:type="paragraph" w:styleId="9">
    <w:name w:val="Normal Indent"/>
    <w:basedOn w:val="1"/>
    <w:qFormat/>
    <w:uiPriority w:val="99"/>
    <w:pPr>
      <w:ind w:firstLine="420" w:firstLineChars="200"/>
    </w:pPr>
    <w:rPr>
      <w:rFonts w:hAnsi="宋体"/>
    </w:rPr>
  </w:style>
  <w:style w:type="paragraph" w:styleId="10">
    <w:name w:val="Body Text"/>
    <w:basedOn w:val="1"/>
    <w:next w:val="1"/>
    <w:link w:val="29"/>
    <w:qFormat/>
    <w:uiPriority w:val="99"/>
    <w:pPr>
      <w:spacing w:after="120"/>
    </w:pPr>
  </w:style>
  <w:style w:type="paragraph" w:styleId="11">
    <w:name w:val="Body Text Indent"/>
    <w:basedOn w:val="1"/>
    <w:link w:val="30"/>
    <w:qFormat/>
    <w:uiPriority w:val="99"/>
    <w:pPr>
      <w:ind w:firstLine="630"/>
    </w:pPr>
    <w:rPr>
      <w:sz w:val="32"/>
      <w:szCs w:val="32"/>
    </w:rPr>
  </w:style>
  <w:style w:type="paragraph" w:styleId="12">
    <w:name w:val="List 2"/>
    <w:basedOn w:val="1"/>
    <w:qFormat/>
    <w:uiPriority w:val="99"/>
    <w:pPr>
      <w:ind w:left="100" w:leftChars="200" w:hanging="200" w:hangingChars="200"/>
    </w:pPr>
  </w:style>
  <w:style w:type="paragraph" w:styleId="13">
    <w:name w:val="toc 3"/>
    <w:basedOn w:val="1"/>
    <w:next w:val="1"/>
    <w:semiHidden/>
    <w:unhideWhenUsed/>
    <w:qFormat/>
    <w:uiPriority w:val="39"/>
    <w:pPr>
      <w:wordWrap w:val="0"/>
      <w:topLinePunct/>
      <w:adjustRightInd w:val="0"/>
      <w:snapToGrid w:val="0"/>
      <w:spacing w:line="360" w:lineRule="exact"/>
      <w:ind w:left="840" w:leftChars="400"/>
    </w:pPr>
    <w:rPr>
      <w:rFonts w:hAnsi="宋体"/>
      <w:sz w:val="21"/>
    </w:rPr>
  </w:style>
  <w:style w:type="paragraph" w:styleId="14">
    <w:name w:val="Plain Text"/>
    <w:basedOn w:val="1"/>
    <w:qFormat/>
    <w:uiPriority w:val="0"/>
    <w:rPr>
      <w:rFonts w:hAnsi="Courier New"/>
    </w:rPr>
  </w:style>
  <w:style w:type="paragraph" w:styleId="15">
    <w:name w:val="Body Text Indent 2"/>
    <w:basedOn w:val="1"/>
    <w:link w:val="31"/>
    <w:qFormat/>
    <w:uiPriority w:val="99"/>
    <w:pPr>
      <w:spacing w:after="120" w:line="480" w:lineRule="auto"/>
      <w:ind w:left="200" w:leftChars="200"/>
    </w:pPr>
  </w:style>
  <w:style w:type="paragraph" w:styleId="16">
    <w:name w:val="Balloon Text"/>
    <w:basedOn w:val="1"/>
    <w:link w:val="58"/>
    <w:semiHidden/>
    <w:unhideWhenUsed/>
    <w:qFormat/>
    <w:uiPriority w:val="99"/>
    <w:rPr>
      <w:sz w:val="18"/>
      <w:szCs w:val="18"/>
    </w:rPr>
  </w:style>
  <w:style w:type="paragraph" w:styleId="17">
    <w:name w:val="footer"/>
    <w:basedOn w:val="1"/>
    <w:link w:val="32"/>
    <w:qFormat/>
    <w:uiPriority w:val="99"/>
    <w:pPr>
      <w:tabs>
        <w:tab w:val="center" w:pos="4153"/>
        <w:tab w:val="right" w:pos="8306"/>
      </w:tabs>
      <w:snapToGrid w:val="0"/>
      <w:jc w:val="left"/>
    </w:pPr>
    <w:rPr>
      <w:sz w:val="18"/>
      <w:szCs w:val="18"/>
    </w:rPr>
  </w:style>
  <w:style w:type="paragraph" w:styleId="18">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unhideWhenUsed/>
    <w:qFormat/>
    <w:uiPriority w:val="39"/>
    <w:pPr>
      <w:wordWrap w:val="0"/>
      <w:topLinePunct/>
      <w:adjustRightInd w:val="0"/>
      <w:snapToGrid w:val="0"/>
      <w:spacing w:line="360" w:lineRule="exact"/>
      <w:jc w:val="left"/>
    </w:pPr>
    <w:rPr>
      <w:rFonts w:hAnsi="宋体"/>
      <w:sz w:val="21"/>
    </w:rPr>
  </w:style>
  <w:style w:type="paragraph" w:styleId="20">
    <w:name w:val="toc 2"/>
    <w:basedOn w:val="1"/>
    <w:next w:val="1"/>
    <w:semiHidden/>
    <w:qFormat/>
    <w:uiPriority w:val="99"/>
    <w:pPr>
      <w:wordWrap w:val="0"/>
      <w:topLinePunct/>
      <w:adjustRightInd w:val="0"/>
      <w:snapToGrid w:val="0"/>
      <w:spacing w:line="360" w:lineRule="exact"/>
      <w:ind w:left="420" w:leftChars="200"/>
    </w:pPr>
    <w:rPr>
      <w:rFonts w:hAnsi="宋体"/>
      <w:sz w:val="21"/>
    </w:rPr>
  </w:style>
  <w:style w:type="paragraph" w:styleId="21">
    <w:name w:val="Normal (Web)"/>
    <w:basedOn w:val="1"/>
    <w:qFormat/>
    <w:uiPriority w:val="99"/>
    <w:pPr>
      <w:widowControl/>
      <w:spacing w:before="100" w:beforeAutospacing="1" w:after="100" w:afterAutospacing="1"/>
      <w:jc w:val="left"/>
    </w:pPr>
    <w:rPr>
      <w:rFonts w:hAnsi="宋体"/>
      <w:sz w:val="18"/>
      <w:szCs w:val="18"/>
    </w:rPr>
  </w:style>
  <w:style w:type="table" w:styleId="23">
    <w:name w:val="Table Grid"/>
    <w:basedOn w:val="2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qFormat/>
    <w:uiPriority w:val="0"/>
    <w:rPr>
      <w:color w:val="0000FF"/>
      <w:u w:val="single"/>
    </w:rPr>
  </w:style>
  <w:style w:type="character" w:customStyle="1" w:styleId="26">
    <w:name w:val="标题 1 Char"/>
    <w:basedOn w:val="24"/>
    <w:link w:val="4"/>
    <w:qFormat/>
    <w:uiPriority w:val="9"/>
    <w:rPr>
      <w:rFonts w:ascii="宋体" w:hAnsi="宋体" w:eastAsia="宋体" w:cs="宋体"/>
      <w:b/>
      <w:bCs/>
      <w:kern w:val="44"/>
      <w:sz w:val="36"/>
      <w:szCs w:val="44"/>
    </w:rPr>
  </w:style>
  <w:style w:type="character" w:customStyle="1" w:styleId="27">
    <w:name w:val="标题 2 Char"/>
    <w:basedOn w:val="24"/>
    <w:link w:val="5"/>
    <w:semiHidden/>
    <w:qFormat/>
    <w:uiPriority w:val="9"/>
    <w:rPr>
      <w:rFonts w:asciiTheme="majorHAnsi" w:hAnsiTheme="majorHAnsi" w:eastAsiaTheme="majorEastAsia" w:cstheme="majorBidi"/>
      <w:b/>
      <w:bCs/>
      <w:kern w:val="0"/>
      <w:sz w:val="32"/>
      <w:szCs w:val="32"/>
    </w:rPr>
  </w:style>
  <w:style w:type="character" w:customStyle="1" w:styleId="28">
    <w:name w:val="标题 3 Char"/>
    <w:basedOn w:val="24"/>
    <w:link w:val="6"/>
    <w:semiHidden/>
    <w:qFormat/>
    <w:uiPriority w:val="9"/>
    <w:rPr>
      <w:rFonts w:ascii="宋体" w:cs="宋体"/>
      <w:b/>
      <w:bCs/>
      <w:kern w:val="0"/>
      <w:sz w:val="32"/>
      <w:szCs w:val="32"/>
    </w:rPr>
  </w:style>
  <w:style w:type="character" w:customStyle="1" w:styleId="29">
    <w:name w:val="正文文本 Char"/>
    <w:basedOn w:val="24"/>
    <w:link w:val="10"/>
    <w:semiHidden/>
    <w:qFormat/>
    <w:uiPriority w:val="99"/>
    <w:rPr>
      <w:rFonts w:ascii="宋体" w:cs="宋体"/>
      <w:kern w:val="0"/>
      <w:sz w:val="34"/>
      <w:szCs w:val="34"/>
    </w:rPr>
  </w:style>
  <w:style w:type="character" w:customStyle="1" w:styleId="30">
    <w:name w:val="正文文本缩进 Char"/>
    <w:basedOn w:val="24"/>
    <w:link w:val="11"/>
    <w:semiHidden/>
    <w:qFormat/>
    <w:uiPriority w:val="99"/>
    <w:rPr>
      <w:rFonts w:ascii="宋体" w:cs="宋体"/>
      <w:kern w:val="0"/>
      <w:sz w:val="34"/>
      <w:szCs w:val="34"/>
    </w:rPr>
  </w:style>
  <w:style w:type="character" w:customStyle="1" w:styleId="31">
    <w:name w:val="正文文本缩进 2 Char"/>
    <w:basedOn w:val="24"/>
    <w:link w:val="15"/>
    <w:semiHidden/>
    <w:qFormat/>
    <w:uiPriority w:val="99"/>
    <w:rPr>
      <w:rFonts w:ascii="宋体" w:cs="宋体"/>
      <w:kern w:val="0"/>
      <w:sz w:val="34"/>
      <w:szCs w:val="34"/>
    </w:rPr>
  </w:style>
  <w:style w:type="character" w:customStyle="1" w:styleId="32">
    <w:name w:val="页脚 Char"/>
    <w:basedOn w:val="24"/>
    <w:link w:val="17"/>
    <w:semiHidden/>
    <w:qFormat/>
    <w:uiPriority w:val="99"/>
    <w:rPr>
      <w:rFonts w:ascii="宋体" w:cs="宋体"/>
      <w:kern w:val="0"/>
      <w:sz w:val="18"/>
      <w:szCs w:val="18"/>
    </w:rPr>
  </w:style>
  <w:style w:type="character" w:customStyle="1" w:styleId="33">
    <w:name w:val="页眉 Char"/>
    <w:basedOn w:val="24"/>
    <w:link w:val="18"/>
    <w:semiHidden/>
    <w:qFormat/>
    <w:uiPriority w:val="99"/>
    <w:rPr>
      <w:rFonts w:ascii="宋体" w:cs="宋体"/>
      <w:kern w:val="0"/>
      <w:sz w:val="18"/>
      <w:szCs w:val="18"/>
    </w:rPr>
  </w:style>
  <w:style w:type="paragraph" w:customStyle="1" w:styleId="34">
    <w:name w:val="正文首行缩进两字符"/>
    <w:basedOn w:val="1"/>
    <w:qFormat/>
    <w:uiPriority w:val="99"/>
    <w:pPr>
      <w:spacing w:line="360" w:lineRule="auto"/>
      <w:ind w:firstLine="200" w:firstLineChars="200"/>
    </w:pPr>
  </w:style>
  <w:style w:type="paragraph" w:customStyle="1" w:styleId="3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样式 首行缩进:  2 字符"/>
    <w:basedOn w:val="1"/>
    <w:qFormat/>
    <w:uiPriority w:val="99"/>
    <w:pPr>
      <w:spacing w:line="400" w:lineRule="exact"/>
      <w:ind w:firstLine="200" w:firstLineChars="200"/>
    </w:pPr>
    <w:rPr>
      <w:sz w:val="24"/>
      <w:szCs w:val="24"/>
    </w:rPr>
  </w:style>
  <w:style w:type="paragraph" w:styleId="37">
    <w:name w:val="List Paragraph"/>
    <w:basedOn w:val="1"/>
    <w:qFormat/>
    <w:uiPriority w:val="99"/>
    <w:pPr>
      <w:ind w:firstLine="420"/>
    </w:pPr>
  </w:style>
  <w:style w:type="paragraph" w:customStyle="1" w:styleId="38">
    <w:name w:val="列出段落21"/>
    <w:basedOn w:val="1"/>
    <w:qFormat/>
    <w:uiPriority w:val="99"/>
    <w:pPr>
      <w:ind w:firstLine="420" w:firstLineChars="200"/>
    </w:pPr>
    <w:rPr>
      <w:rFonts w:ascii="Calibri" w:hAnsi="Calibri" w:cs="Calibri"/>
    </w:rPr>
  </w:style>
  <w:style w:type="character" w:customStyle="1" w:styleId="39">
    <w:name w:val="222 Char"/>
    <w:basedOn w:val="24"/>
    <w:link w:val="40"/>
    <w:qFormat/>
    <w:locked/>
    <w:uiPriority w:val="99"/>
    <w:rPr>
      <w:rFonts w:ascii="仿宋_GB2312" w:hAnsi="Calibri" w:cs="仿宋_GB2312"/>
      <w:kern w:val="28"/>
      <w:sz w:val="28"/>
      <w:szCs w:val="28"/>
    </w:rPr>
  </w:style>
  <w:style w:type="paragraph" w:customStyle="1" w:styleId="40">
    <w:name w:val="222"/>
    <w:basedOn w:val="1"/>
    <w:link w:val="39"/>
    <w:qFormat/>
    <w:uiPriority w:val="99"/>
    <w:pPr>
      <w:spacing w:line="360" w:lineRule="auto"/>
      <w:ind w:firstLine="560" w:firstLineChars="200"/>
    </w:pPr>
    <w:rPr>
      <w:rFonts w:ascii="仿宋_GB2312" w:hAnsi="Calibri" w:cs="仿宋_GB2312"/>
      <w:kern w:val="28"/>
      <w:sz w:val="28"/>
      <w:szCs w:val="28"/>
    </w:rPr>
  </w:style>
  <w:style w:type="paragraph" w:customStyle="1" w:styleId="41">
    <w:name w:val="_Style 1"/>
    <w:basedOn w:val="1"/>
    <w:qFormat/>
    <w:uiPriority w:val="99"/>
    <w:pPr>
      <w:ind w:firstLine="420" w:firstLineChars="200"/>
    </w:pPr>
    <w:rPr>
      <w:sz w:val="18"/>
      <w:szCs w:val="18"/>
    </w:rPr>
  </w:style>
  <w:style w:type="paragraph" w:customStyle="1" w:styleId="42">
    <w:name w:val="样式JMG-5"/>
    <w:basedOn w:val="1"/>
    <w:qFormat/>
    <w:uiPriority w:val="0"/>
    <w:pPr>
      <w:spacing w:line="360" w:lineRule="auto"/>
      <w:ind w:firstLine="200"/>
    </w:pPr>
    <w:rPr>
      <w:color w:val="FF00FF"/>
      <w:kern w:val="1"/>
    </w:rPr>
  </w:style>
  <w:style w:type="paragraph" w:customStyle="1" w:styleId="43">
    <w:name w:val="13、表格内居中正文"/>
    <w:basedOn w:val="1"/>
    <w:qFormat/>
    <w:uiPriority w:val="0"/>
    <w:pPr>
      <w:tabs>
        <w:tab w:val="left" w:pos="0"/>
      </w:tabs>
      <w:wordWrap w:val="0"/>
      <w:topLinePunct/>
      <w:spacing w:line="360" w:lineRule="exact"/>
      <w:jc w:val="center"/>
    </w:pPr>
    <w:rPr>
      <w:rFonts w:hAnsi="宋体"/>
      <w:sz w:val="21"/>
    </w:rPr>
  </w:style>
  <w:style w:type="paragraph" w:customStyle="1" w:styleId="44">
    <w:name w:val="12、表格内左对齐正文"/>
    <w:basedOn w:val="1"/>
    <w:qFormat/>
    <w:uiPriority w:val="0"/>
    <w:pPr>
      <w:tabs>
        <w:tab w:val="left" w:pos="0"/>
      </w:tabs>
      <w:wordWrap w:val="0"/>
      <w:topLinePunct/>
      <w:spacing w:line="360" w:lineRule="exact"/>
      <w:ind w:left="48" w:leftChars="20"/>
    </w:pPr>
    <w:rPr>
      <w:rFonts w:hAnsi="宋体"/>
      <w:snapToGrid w:val="0"/>
      <w:sz w:val="21"/>
    </w:rPr>
  </w:style>
  <w:style w:type="paragraph" w:customStyle="1" w:styleId="45">
    <w:name w:val="“一、”二级标题"/>
    <w:basedOn w:val="1"/>
    <w:qFormat/>
    <w:uiPriority w:val="0"/>
    <w:pPr>
      <w:wordWrap w:val="0"/>
      <w:topLinePunct/>
      <w:adjustRightInd w:val="0"/>
      <w:snapToGrid w:val="0"/>
      <w:spacing w:line="440" w:lineRule="exact"/>
      <w:ind w:firstLine="723" w:firstLineChars="200"/>
      <w:jc w:val="left"/>
      <w:outlineLvl w:val="1"/>
    </w:pPr>
    <w:rPr>
      <w:rFonts w:hAnsi="宋体"/>
      <w:b/>
      <w:sz w:val="24"/>
    </w:rPr>
  </w:style>
  <w:style w:type="paragraph" w:customStyle="1" w:styleId="46">
    <w:name w:val="02、首行缩进2字符正文"/>
    <w:basedOn w:val="1"/>
    <w:qFormat/>
    <w:uiPriority w:val="0"/>
    <w:pPr>
      <w:tabs>
        <w:tab w:val="left" w:pos="0"/>
      </w:tabs>
      <w:wordWrap w:val="0"/>
      <w:topLinePunct/>
      <w:ind w:firstLine="480" w:firstLineChars="200"/>
    </w:pPr>
    <w:rPr>
      <w:rFonts w:hAnsi="宋体"/>
    </w:rPr>
  </w:style>
  <w:style w:type="paragraph" w:customStyle="1" w:styleId="47">
    <w:name w:val="03、“注：”正文(加粗，首行缩进2字符)"/>
    <w:basedOn w:val="48"/>
    <w:qFormat/>
    <w:uiPriority w:val="0"/>
    <w:pPr>
      <w:tabs>
        <w:tab w:val="left" w:pos="0"/>
      </w:tabs>
      <w:ind w:firstLine="480" w:firstLineChars="200"/>
    </w:pPr>
    <w:rPr>
      <w:b/>
    </w:rPr>
  </w:style>
  <w:style w:type="paragraph" w:customStyle="1" w:styleId="48">
    <w:name w:val="01、普通正文"/>
    <w:basedOn w:val="1"/>
    <w:qFormat/>
    <w:uiPriority w:val="0"/>
    <w:pPr>
      <w:tabs>
        <w:tab w:val="left" w:pos="0"/>
      </w:tabs>
      <w:wordWrap w:val="0"/>
      <w:topLinePunct/>
    </w:pPr>
    <w:rPr>
      <w:rFonts w:hAnsi="宋体"/>
      <w:snapToGrid w:val="0"/>
    </w:rPr>
  </w:style>
  <w:style w:type="paragraph" w:customStyle="1" w:styleId="49">
    <w:name w:val="17“1.”四级标题"/>
    <w:basedOn w:val="46"/>
    <w:qFormat/>
    <w:uiPriority w:val="0"/>
    <w:pPr>
      <w:numPr>
        <w:ilvl w:val="3"/>
        <w:numId w:val="3"/>
      </w:numPr>
      <w:ind w:firstLine="803"/>
    </w:pPr>
  </w:style>
  <w:style w:type="character" w:customStyle="1" w:styleId="50">
    <w:name w:val="font11"/>
    <w:qFormat/>
    <w:uiPriority w:val="0"/>
    <w:rPr>
      <w:rFonts w:hint="eastAsia" w:ascii="宋体" w:hAnsi="宋体" w:eastAsia="宋体" w:cs="宋体"/>
      <w:color w:val="000000"/>
      <w:sz w:val="24"/>
      <w:szCs w:val="24"/>
      <w:u w:val="none"/>
    </w:rPr>
  </w:style>
  <w:style w:type="paragraph" w:customStyle="1" w:styleId="51">
    <w:name w:val="20、第五章“(一)”三级标题"/>
    <w:basedOn w:val="48"/>
    <w:qFormat/>
    <w:uiPriority w:val="0"/>
    <w:pPr>
      <w:pageBreakBefore/>
      <w:spacing w:before="50" w:beforeLines="50" w:after="50" w:afterLines="50"/>
      <w:jc w:val="center"/>
      <w:outlineLvl w:val="2"/>
    </w:pPr>
    <w:rPr>
      <w:b/>
      <w:sz w:val="28"/>
    </w:rPr>
  </w:style>
  <w:style w:type="paragraph" w:customStyle="1" w:styleId="52">
    <w:name w:val="正文-无缩进"/>
    <w:basedOn w:val="1"/>
    <w:qFormat/>
    <w:uiPriority w:val="0"/>
    <w:pPr>
      <w:jc w:val="left"/>
    </w:pPr>
    <w:rPr>
      <w:rFonts w:ascii="黑体"/>
    </w:rPr>
  </w:style>
  <w:style w:type="paragraph" w:styleId="53">
    <w:name w:val="No Spacing"/>
    <w:qFormat/>
    <w:uiPriority w:val="1"/>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54">
    <w:name w:val="21、第三章“(一)”三级标题"/>
    <w:basedOn w:val="48"/>
    <w:qFormat/>
    <w:uiPriority w:val="0"/>
    <w:pPr>
      <w:pageBreakBefore/>
      <w:numPr>
        <w:ilvl w:val="0"/>
        <w:numId w:val="4"/>
      </w:numPr>
      <w:spacing w:before="50" w:beforeLines="50" w:after="50" w:afterLines="50"/>
      <w:jc w:val="center"/>
      <w:outlineLvl w:val="2"/>
    </w:pPr>
    <w:rPr>
      <w:b/>
      <w:sz w:val="28"/>
    </w:rPr>
  </w:style>
  <w:style w:type="paragraph" w:customStyle="1" w:styleId="55">
    <w:name w:val="00、封面正文(与其他内容无关的格式)"/>
    <w:basedOn w:val="1"/>
    <w:qFormat/>
    <w:uiPriority w:val="0"/>
    <w:pPr>
      <w:tabs>
        <w:tab w:val="left" w:pos="0"/>
      </w:tabs>
    </w:pPr>
    <w:rPr>
      <w:rFonts w:hAnsi="宋体"/>
    </w:rPr>
  </w:style>
  <w:style w:type="paragraph" w:customStyle="1" w:styleId="56">
    <w:name w:val="06、“1.”正文四级标题"/>
    <w:basedOn w:val="1"/>
    <w:qFormat/>
    <w:uiPriority w:val="0"/>
    <w:pPr>
      <w:numPr>
        <w:ilvl w:val="2"/>
        <w:numId w:val="5"/>
      </w:numPr>
      <w:tabs>
        <w:tab w:val="left" w:pos="0"/>
      </w:tabs>
      <w:wordWrap w:val="0"/>
      <w:topLinePunct/>
      <w:ind w:firstLine="803" w:firstLineChars="200"/>
    </w:pPr>
    <w:rPr>
      <w:rFonts w:hAnsi="宋体"/>
      <w:snapToGrid w:val="0"/>
    </w:rPr>
  </w:style>
  <w:style w:type="paragraph" w:customStyle="1" w:styleId="57">
    <w:name w:val="05、“(一)”正文三级标题"/>
    <w:basedOn w:val="1"/>
    <w:qFormat/>
    <w:uiPriority w:val="0"/>
    <w:pPr>
      <w:numPr>
        <w:ilvl w:val="1"/>
        <w:numId w:val="5"/>
      </w:numPr>
      <w:tabs>
        <w:tab w:val="left" w:pos="0"/>
      </w:tabs>
      <w:wordWrap w:val="0"/>
      <w:topLinePunct/>
      <w:ind w:firstLine="803" w:firstLineChars="200"/>
    </w:pPr>
    <w:rPr>
      <w:rFonts w:hAnsi="宋体"/>
    </w:rPr>
  </w:style>
  <w:style w:type="character" w:customStyle="1" w:styleId="58">
    <w:name w:val="批注框文本 Char"/>
    <w:basedOn w:val="24"/>
    <w:link w:val="16"/>
    <w:semiHidden/>
    <w:qFormat/>
    <w:uiPriority w:val="99"/>
    <w:rPr>
      <w:rFonts w:ascii="宋体" w:cs="宋体"/>
      <w:sz w:val="18"/>
      <w:szCs w:val="18"/>
    </w:rPr>
  </w:style>
  <w:style w:type="paragraph" w:customStyle="1" w:styleId="59">
    <w:name w:val="Revision"/>
    <w:hidden/>
    <w:semiHidden/>
    <w:qFormat/>
    <w:uiPriority w:val="99"/>
    <w:rPr>
      <w:rFonts w:ascii="宋体" w:hAnsi="Times New Roman" w:eastAsia="宋体" w:cs="宋体"/>
      <w:sz w:val="34"/>
      <w:szCs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GIF"/><Relationship Id="rId15" Type="http://schemas.openxmlformats.org/officeDocument/2006/relationships/image" Target="media/image2.GIF"/><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Scu</Company>
  <Pages>55</Pages>
  <Words>5010</Words>
  <Characters>28560</Characters>
  <Lines>238</Lines>
  <Paragraphs>67</Paragraphs>
  <TotalTime>129</TotalTime>
  <ScaleCrop>false</ScaleCrop>
  <LinksUpToDate>false</LinksUpToDate>
  <CharactersWithSpaces>33503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2018-05-09T05:02:00Z</dcterms:created>
  <dc:creator>Administrator</dc:creator>
  <cp:lastModifiedBy>Y</cp:lastModifiedBy>
  <cp:lastPrinted>2019-06-10T01:57:00Z</cp:lastPrinted>
  <dcterms:modified xsi:type="dcterms:W3CDTF">2021-05-17T03:58:39Z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434ED8E257384069A902CE4C02EE8123</vt:lpwstr>
  </property>
</Properties>
</file>