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52"/>
          <w:szCs w:val="52"/>
        </w:rPr>
      </w:pPr>
      <w:bookmarkStart w:id="0" w:name="_Hlk65763152"/>
      <w:bookmarkStart w:id="1" w:name="_Toc148505181"/>
      <w:bookmarkStart w:id="2" w:name="_Toc101328520"/>
      <w:bookmarkStart w:id="3" w:name="_Toc101234248"/>
      <w:bookmarkStart w:id="4" w:name="_Toc101247312"/>
      <w:r>
        <w:rPr>
          <w:rFonts w:hint="eastAsia" w:ascii="宋体" w:hAnsi="宋体"/>
          <w:b/>
          <w:sz w:val="52"/>
          <w:szCs w:val="52"/>
        </w:rPr>
        <w:t>成都市龙泉驿区审计局审计服务采购（第三次）</w:t>
      </w:r>
    </w:p>
    <w:p>
      <w:pPr>
        <w:pStyle w:val="18"/>
        <w:rPr>
          <w:rFonts w:ascii="宋体" w:hAnsi="宋体"/>
          <w:sz w:val="72"/>
          <w:szCs w:val="72"/>
        </w:rPr>
      </w:pPr>
    </w:p>
    <w:p>
      <w:pPr>
        <w:jc w:val="center"/>
        <w:rPr>
          <w:rFonts w:ascii="宋体" w:hAnsi="宋体"/>
          <w:b/>
          <w:sz w:val="72"/>
          <w:szCs w:val="72"/>
        </w:rPr>
      </w:pPr>
      <w:r>
        <w:rPr>
          <w:rFonts w:hint="eastAsia" w:ascii="宋体" w:hAnsi="宋体"/>
          <w:b/>
          <w:sz w:val="72"/>
          <w:szCs w:val="72"/>
        </w:rPr>
        <w:t>招</w:t>
      </w:r>
    </w:p>
    <w:p>
      <w:pPr>
        <w:jc w:val="center"/>
        <w:rPr>
          <w:rFonts w:ascii="宋体" w:hAnsi="宋体"/>
          <w:b/>
          <w:sz w:val="72"/>
          <w:szCs w:val="72"/>
        </w:rPr>
      </w:pPr>
    </w:p>
    <w:p>
      <w:pPr>
        <w:jc w:val="center"/>
        <w:rPr>
          <w:rFonts w:ascii="宋体" w:hAnsi="宋体"/>
          <w:b/>
          <w:sz w:val="72"/>
          <w:szCs w:val="72"/>
        </w:rPr>
      </w:pPr>
      <w:r>
        <w:rPr>
          <w:rFonts w:hint="eastAsia" w:ascii="宋体" w:hAnsi="宋体"/>
          <w:b/>
          <w:sz w:val="72"/>
          <w:szCs w:val="72"/>
        </w:rPr>
        <w:t>标</w:t>
      </w:r>
    </w:p>
    <w:p>
      <w:pPr>
        <w:jc w:val="center"/>
        <w:rPr>
          <w:rFonts w:ascii="宋体" w:hAnsi="宋体"/>
          <w:b/>
          <w:sz w:val="72"/>
          <w:szCs w:val="72"/>
        </w:rPr>
      </w:pPr>
    </w:p>
    <w:p>
      <w:pPr>
        <w:jc w:val="center"/>
        <w:rPr>
          <w:rFonts w:ascii="宋体" w:hAnsi="宋体"/>
          <w:b/>
          <w:sz w:val="72"/>
          <w:szCs w:val="72"/>
        </w:rPr>
      </w:pPr>
      <w:r>
        <w:rPr>
          <w:rFonts w:hint="eastAsia" w:ascii="宋体" w:hAnsi="宋体"/>
          <w:b/>
          <w:sz w:val="72"/>
          <w:szCs w:val="72"/>
        </w:rPr>
        <w:t>文</w:t>
      </w:r>
    </w:p>
    <w:p>
      <w:pPr>
        <w:jc w:val="center"/>
        <w:rPr>
          <w:rFonts w:ascii="宋体" w:hAnsi="宋体"/>
          <w:b/>
          <w:sz w:val="72"/>
          <w:szCs w:val="72"/>
        </w:rPr>
      </w:pPr>
    </w:p>
    <w:p>
      <w:pPr>
        <w:jc w:val="center"/>
        <w:rPr>
          <w:rFonts w:ascii="宋体" w:hAnsi="宋体"/>
          <w:b/>
          <w:sz w:val="72"/>
          <w:szCs w:val="72"/>
        </w:rPr>
      </w:pPr>
      <w:r>
        <w:rPr>
          <w:rFonts w:hint="eastAsia" w:ascii="宋体" w:hAnsi="宋体"/>
          <w:b/>
          <w:sz w:val="72"/>
          <w:szCs w:val="72"/>
        </w:rPr>
        <w:t>件</w:t>
      </w:r>
    </w:p>
    <w:p>
      <w:pPr>
        <w:spacing w:line="360" w:lineRule="auto"/>
        <w:jc w:val="center"/>
        <w:rPr>
          <w:rFonts w:ascii="宋体" w:hAnsi="宋体"/>
          <w:bCs/>
          <w:sz w:val="32"/>
          <w:szCs w:val="32"/>
        </w:rPr>
      </w:pPr>
    </w:p>
    <w:p>
      <w:pPr>
        <w:pStyle w:val="18"/>
        <w:rPr>
          <w:rFonts w:ascii="宋体" w:hAnsi="宋体"/>
          <w:bCs/>
          <w:sz w:val="32"/>
          <w:szCs w:val="32"/>
        </w:rPr>
      </w:pPr>
    </w:p>
    <w:p>
      <w:pPr>
        <w:spacing w:line="360" w:lineRule="auto"/>
        <w:ind w:firstLine="640" w:firstLineChars="200"/>
        <w:rPr>
          <w:rFonts w:ascii="宋体" w:hAnsi="宋体" w:cs="仿宋"/>
          <w:bCs/>
          <w:sz w:val="32"/>
          <w:szCs w:val="32"/>
          <w:u w:val="single"/>
        </w:rPr>
      </w:pPr>
      <w:r>
        <w:rPr>
          <w:rFonts w:hint="eastAsia" w:ascii="宋体" w:hAnsi="宋体" w:cs="仿宋"/>
          <w:bCs/>
          <w:sz w:val="32"/>
          <w:szCs w:val="32"/>
        </w:rPr>
        <w:t>采    购人：</w:t>
      </w:r>
      <w:r>
        <w:rPr>
          <w:rFonts w:hint="eastAsia" w:ascii="宋体" w:hAnsi="宋体" w:cs="仿宋"/>
          <w:b/>
          <w:sz w:val="32"/>
          <w:szCs w:val="32"/>
          <w:u w:val="single"/>
        </w:rPr>
        <w:t xml:space="preserve">成都市龙泉驿区审计局  </w:t>
      </w:r>
    </w:p>
    <w:p>
      <w:pPr>
        <w:spacing w:line="360" w:lineRule="auto"/>
        <w:jc w:val="center"/>
        <w:rPr>
          <w:rFonts w:ascii="宋体" w:hAnsi="宋体" w:cs="仿宋"/>
          <w:bCs/>
          <w:sz w:val="32"/>
          <w:szCs w:val="32"/>
        </w:rPr>
      </w:pPr>
    </w:p>
    <w:p>
      <w:pPr>
        <w:spacing w:line="360" w:lineRule="auto"/>
        <w:ind w:firstLine="640" w:firstLineChars="200"/>
        <w:rPr>
          <w:rFonts w:ascii="宋体" w:hAnsi="宋体" w:cs="仿宋"/>
          <w:bCs/>
          <w:sz w:val="32"/>
          <w:szCs w:val="32"/>
        </w:rPr>
      </w:pPr>
      <w:r>
        <w:rPr>
          <w:rFonts w:hint="eastAsia" w:ascii="宋体" w:hAnsi="宋体" w:cs="仿宋"/>
          <w:bCs/>
          <w:sz w:val="32"/>
          <w:szCs w:val="32"/>
        </w:rPr>
        <w:t>招标代理机构：</w:t>
      </w:r>
      <w:r>
        <w:rPr>
          <w:rFonts w:hint="eastAsia" w:ascii="宋体" w:hAnsi="宋体" w:cs="仿宋"/>
          <w:b/>
          <w:sz w:val="32"/>
          <w:szCs w:val="32"/>
          <w:u w:val="single"/>
        </w:rPr>
        <w:t>成都青青工程造价咨询有限责任公司</w:t>
      </w:r>
    </w:p>
    <w:p>
      <w:pPr>
        <w:spacing w:line="360" w:lineRule="auto"/>
        <w:ind w:firstLine="3360" w:firstLineChars="1050"/>
        <w:rPr>
          <w:rFonts w:ascii="宋体" w:hAnsi="宋体" w:cs="仿宋"/>
          <w:bCs/>
          <w:sz w:val="32"/>
          <w:szCs w:val="32"/>
        </w:rPr>
      </w:pPr>
    </w:p>
    <w:bookmarkEnd w:id="0"/>
    <w:p>
      <w:pPr>
        <w:spacing w:line="360" w:lineRule="auto"/>
        <w:ind w:firstLine="3360" w:firstLineChars="1050"/>
        <w:rPr>
          <w:rFonts w:ascii="宋体" w:hAnsi="宋体" w:cs="仿宋"/>
          <w:bCs/>
          <w:sz w:val="32"/>
          <w:szCs w:val="32"/>
        </w:rPr>
      </w:pPr>
      <w:r>
        <w:rPr>
          <w:rFonts w:ascii="宋体" w:hAnsi="宋体" w:cs="仿宋"/>
          <w:bCs/>
          <w:sz w:val="32"/>
          <w:szCs w:val="32"/>
        </w:rPr>
        <w:t>2021</w:t>
      </w:r>
      <w:r>
        <w:rPr>
          <w:rFonts w:hint="eastAsia" w:ascii="宋体" w:hAnsi="宋体" w:cs="仿宋"/>
          <w:bCs/>
          <w:sz w:val="32"/>
          <w:szCs w:val="32"/>
          <w:lang w:val="zh-CN"/>
        </w:rPr>
        <w:t>年</w:t>
      </w:r>
      <w:r>
        <w:rPr>
          <w:rFonts w:hint="eastAsia" w:ascii="宋体" w:hAnsi="宋体" w:cs="仿宋"/>
          <w:bCs/>
          <w:sz w:val="32"/>
          <w:szCs w:val="32"/>
        </w:rPr>
        <w:t>7月</w:t>
      </w:r>
    </w:p>
    <w:p>
      <w:pPr>
        <w:spacing w:line="360" w:lineRule="auto"/>
        <w:ind w:firstLine="3360" w:firstLineChars="1050"/>
        <w:rPr>
          <w:rFonts w:ascii="宋体" w:hAnsi="宋体" w:cs="仿宋"/>
          <w:bCs/>
          <w:sz w:val="32"/>
          <w:szCs w:val="32"/>
        </w:rPr>
        <w:sectPr>
          <w:footerReference r:id="rId3" w:type="default"/>
          <w:pgSz w:w="12240" w:h="15840"/>
          <w:pgMar w:top="1327" w:right="1800" w:bottom="1327" w:left="1800" w:header="720" w:footer="720" w:gutter="0"/>
          <w:pgNumType w:start="1"/>
          <w:cols w:space="720" w:num="1"/>
        </w:sectPr>
      </w:pPr>
    </w:p>
    <w:p>
      <w:pPr>
        <w:adjustRightInd w:val="0"/>
        <w:snapToGrid w:val="0"/>
        <w:spacing w:line="360" w:lineRule="auto"/>
        <w:jc w:val="center"/>
        <w:rPr>
          <w:rFonts w:ascii="宋体" w:hAnsi="宋体"/>
          <w:b/>
          <w:sz w:val="32"/>
        </w:rPr>
      </w:pPr>
      <w:r>
        <w:rPr>
          <w:rFonts w:hint="eastAsia" w:ascii="宋体" w:hAnsi="宋体"/>
          <w:b/>
          <w:sz w:val="36"/>
        </w:rPr>
        <w:tab/>
      </w:r>
      <w:r>
        <w:rPr>
          <w:rFonts w:hint="eastAsia" w:ascii="宋体" w:hAnsi="宋体"/>
          <w:b/>
          <w:sz w:val="24"/>
          <w:szCs w:val="32"/>
        </w:rPr>
        <w:t>目 录</w:t>
      </w:r>
    </w:p>
    <w:p>
      <w:pPr>
        <w:pStyle w:val="31"/>
        <w:tabs>
          <w:tab w:val="right" w:leader="dot" w:pos="9960"/>
          <w:tab w:val="clear" w:pos="709"/>
          <w:tab w:val="clear" w:pos="8364"/>
        </w:tabs>
      </w:pPr>
      <w:r>
        <w:rPr>
          <w:rFonts w:hint="eastAsia" w:ascii="宋体" w:hAnsi="宋体" w:eastAsia="宋体"/>
          <w:b/>
          <w:bCs w:val="0"/>
          <w:caps w:val="0"/>
          <w:smallCaps/>
          <w:sz w:val="18"/>
        </w:rPr>
        <w:fldChar w:fldCharType="begin"/>
      </w:r>
      <w:r>
        <w:rPr>
          <w:rFonts w:hint="eastAsia" w:ascii="宋体" w:hAnsi="宋体" w:eastAsia="宋体"/>
          <w:b/>
          <w:bCs w:val="0"/>
          <w:caps w:val="0"/>
          <w:smallCaps/>
          <w:sz w:val="18"/>
        </w:rPr>
        <w:instrText xml:space="preserve"> TOC \o "1-2" \h \z \u </w:instrText>
      </w:r>
      <w:r>
        <w:rPr>
          <w:rFonts w:hint="eastAsia" w:ascii="宋体" w:hAnsi="宋体" w:eastAsia="宋体"/>
          <w:b/>
          <w:bCs w:val="0"/>
          <w:caps w:val="0"/>
          <w:smallCaps/>
          <w:sz w:val="18"/>
        </w:rPr>
        <w:fldChar w:fldCharType="separate"/>
      </w:r>
      <w:r>
        <w:rPr>
          <w:rFonts w:hint="eastAsia" w:ascii="宋体" w:hAnsi="宋体" w:eastAsia="宋体"/>
          <w:bCs w:val="0"/>
          <w:caps w:val="0"/>
          <w:smallCaps/>
        </w:rPr>
        <w:fldChar w:fldCharType="begin"/>
      </w:r>
      <w:r>
        <w:rPr>
          <w:rFonts w:hint="eastAsia" w:ascii="宋体" w:hAnsi="宋体" w:eastAsia="宋体"/>
          <w:bCs w:val="0"/>
          <w:caps w:val="0"/>
          <w:smallCaps/>
        </w:rPr>
        <w:instrText xml:space="preserve"> HYPERLINK \l _Toc11360 </w:instrText>
      </w:r>
      <w:r>
        <w:rPr>
          <w:rFonts w:hint="eastAsia" w:ascii="宋体" w:hAnsi="宋体" w:eastAsia="宋体"/>
          <w:bCs w:val="0"/>
          <w:caps w:val="0"/>
          <w:smallCaps/>
        </w:rPr>
        <w:fldChar w:fldCharType="separate"/>
      </w:r>
      <w:r>
        <w:rPr>
          <w:rFonts w:hint="default" w:ascii="Times New Roman" w:hAnsi="Times New Roman" w:eastAsia="宋体"/>
          <w:i w:val="0"/>
          <w:spacing w:val="0"/>
          <w:szCs w:val="32"/>
          <w:lang w:val="en-US"/>
        </w:rPr>
        <w:t xml:space="preserve">第1章 </w:t>
      </w:r>
      <w:r>
        <w:t>投标邀请</w:t>
      </w:r>
      <w:r>
        <w:tab/>
      </w:r>
      <w:r>
        <w:fldChar w:fldCharType="begin"/>
      </w:r>
      <w:r>
        <w:instrText xml:space="preserve"> PAGEREF _Toc11360 \h </w:instrText>
      </w:r>
      <w:r>
        <w:fldChar w:fldCharType="separate"/>
      </w:r>
      <w:r>
        <w:t>2</w:t>
      </w:r>
      <w:r>
        <w:fldChar w:fldCharType="end"/>
      </w:r>
      <w:r>
        <w:rPr>
          <w:rFonts w:hint="eastAsia" w:ascii="宋体" w:hAnsi="宋体" w:eastAsia="宋体"/>
          <w:bCs w:val="0"/>
          <w:caps w:val="0"/>
          <w:smallCaps/>
        </w:rPr>
        <w:fldChar w:fldCharType="end"/>
      </w:r>
    </w:p>
    <w:p>
      <w:pPr>
        <w:pStyle w:val="31"/>
        <w:tabs>
          <w:tab w:val="right" w:leader="dot" w:pos="9960"/>
          <w:tab w:val="clear" w:pos="709"/>
          <w:tab w:val="clear" w:pos="8364"/>
        </w:tabs>
      </w:pPr>
      <w:r>
        <w:rPr>
          <w:rFonts w:hint="eastAsia"/>
        </w:rPr>
        <w:fldChar w:fldCharType="begin"/>
      </w:r>
      <w:r>
        <w:rPr>
          <w:rFonts w:hint="eastAsia"/>
        </w:rPr>
        <w:instrText xml:space="preserve"> HYPERLINK \l _Toc2712 </w:instrText>
      </w:r>
      <w:r>
        <w:rPr>
          <w:rFonts w:hint="eastAsia"/>
        </w:rPr>
        <w:fldChar w:fldCharType="separate"/>
      </w:r>
      <w:r>
        <w:rPr>
          <w:rFonts w:hint="default" w:ascii="Times New Roman" w:hAnsi="Times New Roman" w:eastAsia="宋体"/>
          <w:i w:val="0"/>
          <w:spacing w:val="0"/>
          <w:szCs w:val="32"/>
          <w:lang w:val="en-US"/>
        </w:rPr>
        <w:t xml:space="preserve">第2章 </w:t>
      </w:r>
      <w:r>
        <w:rPr>
          <w:rFonts w:hint="eastAsia"/>
          <w:spacing w:val="0"/>
        </w:rPr>
        <w:t>投标人须知</w:t>
      </w:r>
      <w:r>
        <w:tab/>
      </w:r>
      <w:r>
        <w:fldChar w:fldCharType="begin"/>
      </w:r>
      <w:r>
        <w:instrText xml:space="preserve"> PAGEREF _Toc2712 \h </w:instrText>
      </w:r>
      <w:r>
        <w:fldChar w:fldCharType="separate"/>
      </w:r>
      <w:r>
        <w:t>5</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_Toc5513 </w:instrText>
      </w:r>
      <w:r>
        <w:rPr>
          <w:rFonts w:hint="eastAsia"/>
        </w:rPr>
        <w:fldChar w:fldCharType="separate"/>
      </w:r>
      <w:r>
        <w:rPr>
          <w:rFonts w:hint="default" w:cs="Times New Roman" w:asciiTheme="minorEastAsia" w:hAnsiTheme="minorEastAsia" w:eastAsiaTheme="minorEastAsia"/>
          <w:i w:val="0"/>
          <w:szCs w:val="28"/>
          <w:lang w:val="en-US"/>
        </w:rPr>
        <w:t xml:space="preserve">2.1 </w:t>
      </w:r>
      <w:r>
        <w:rPr>
          <w:rFonts w:hint="eastAsia"/>
        </w:rPr>
        <w:t>投标人须知前附表</w:t>
      </w:r>
      <w:r>
        <w:tab/>
      </w:r>
      <w:r>
        <w:fldChar w:fldCharType="begin"/>
      </w:r>
      <w:r>
        <w:instrText xml:space="preserve"> PAGEREF _Toc5513 \h </w:instrText>
      </w:r>
      <w:r>
        <w:fldChar w:fldCharType="separate"/>
      </w:r>
      <w:r>
        <w:t>5</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_Toc6232 </w:instrText>
      </w:r>
      <w:r>
        <w:rPr>
          <w:rFonts w:hint="eastAsia"/>
        </w:rPr>
        <w:fldChar w:fldCharType="separate"/>
      </w:r>
      <w:r>
        <w:rPr>
          <w:rFonts w:hint="default" w:cs="Times New Roman" w:asciiTheme="minorEastAsia" w:hAnsiTheme="minorEastAsia" w:eastAsiaTheme="minorEastAsia"/>
          <w:i w:val="0"/>
          <w:szCs w:val="28"/>
          <w:lang w:val="en-US"/>
        </w:rPr>
        <w:t xml:space="preserve">2.2 </w:t>
      </w:r>
      <w:r>
        <w:rPr>
          <w:rFonts w:hint="eastAsia"/>
        </w:rPr>
        <w:t>总则</w:t>
      </w:r>
      <w:r>
        <w:tab/>
      </w:r>
      <w:r>
        <w:fldChar w:fldCharType="begin"/>
      </w:r>
      <w:r>
        <w:instrText xml:space="preserve"> PAGEREF _Toc6232 \h </w:instrText>
      </w:r>
      <w:r>
        <w:fldChar w:fldCharType="separate"/>
      </w:r>
      <w:r>
        <w:t>7</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_Toc10169 </w:instrText>
      </w:r>
      <w:r>
        <w:rPr>
          <w:rFonts w:hint="eastAsia"/>
        </w:rPr>
        <w:fldChar w:fldCharType="separate"/>
      </w:r>
      <w:r>
        <w:rPr>
          <w:rFonts w:hint="default" w:cs="Times New Roman" w:asciiTheme="minorEastAsia" w:hAnsiTheme="minorEastAsia" w:eastAsiaTheme="minorEastAsia"/>
          <w:i w:val="0"/>
          <w:szCs w:val="28"/>
          <w:lang w:val="en-US"/>
        </w:rPr>
        <w:t xml:space="preserve">2.3 </w:t>
      </w:r>
      <w:r>
        <w:rPr>
          <w:rFonts w:hint="eastAsia"/>
        </w:rPr>
        <w:t>招标文件</w:t>
      </w:r>
      <w:r>
        <w:tab/>
      </w:r>
      <w:r>
        <w:fldChar w:fldCharType="begin"/>
      </w:r>
      <w:r>
        <w:instrText xml:space="preserve"> PAGEREF _Toc10169 \h </w:instrText>
      </w:r>
      <w:r>
        <w:fldChar w:fldCharType="separate"/>
      </w:r>
      <w:r>
        <w:t>8</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_Toc27166 </w:instrText>
      </w:r>
      <w:r>
        <w:rPr>
          <w:rFonts w:hint="eastAsia"/>
        </w:rPr>
        <w:fldChar w:fldCharType="separate"/>
      </w:r>
      <w:r>
        <w:rPr>
          <w:rFonts w:hint="default" w:cs="Times New Roman" w:asciiTheme="minorEastAsia" w:hAnsiTheme="minorEastAsia" w:eastAsiaTheme="minorEastAsia"/>
          <w:i w:val="0"/>
          <w:szCs w:val="28"/>
          <w:lang w:val="en-US"/>
        </w:rPr>
        <w:t xml:space="preserve">2.4 </w:t>
      </w:r>
      <w:r>
        <w:rPr>
          <w:rFonts w:hint="eastAsia"/>
        </w:rPr>
        <w:t>投标文件</w:t>
      </w:r>
      <w:r>
        <w:tab/>
      </w:r>
      <w:r>
        <w:fldChar w:fldCharType="begin"/>
      </w:r>
      <w:r>
        <w:instrText xml:space="preserve"> PAGEREF _Toc27166 \h </w:instrText>
      </w:r>
      <w:r>
        <w:fldChar w:fldCharType="separate"/>
      </w:r>
      <w:r>
        <w:t>9</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_Toc27014 </w:instrText>
      </w:r>
      <w:r>
        <w:rPr>
          <w:rFonts w:hint="eastAsia"/>
        </w:rPr>
        <w:fldChar w:fldCharType="separate"/>
      </w:r>
      <w:r>
        <w:rPr>
          <w:rFonts w:hint="default" w:cs="Times New Roman" w:asciiTheme="minorEastAsia" w:hAnsiTheme="minorEastAsia" w:eastAsiaTheme="minorEastAsia"/>
          <w:i w:val="0"/>
          <w:szCs w:val="28"/>
          <w:lang w:val="en-US"/>
        </w:rPr>
        <w:t xml:space="preserve">2.5 </w:t>
      </w:r>
      <w:r>
        <w:rPr>
          <w:rFonts w:hint="eastAsia"/>
        </w:rPr>
        <w:t>开标、评标和中标</w:t>
      </w:r>
      <w:r>
        <w:tab/>
      </w:r>
      <w:r>
        <w:fldChar w:fldCharType="begin"/>
      </w:r>
      <w:r>
        <w:instrText xml:space="preserve"> PAGEREF _Toc27014 \h </w:instrText>
      </w:r>
      <w:r>
        <w:fldChar w:fldCharType="separate"/>
      </w:r>
      <w:r>
        <w:t>14</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_Toc3833 </w:instrText>
      </w:r>
      <w:r>
        <w:rPr>
          <w:rFonts w:hint="eastAsia"/>
        </w:rPr>
        <w:fldChar w:fldCharType="separate"/>
      </w:r>
      <w:r>
        <w:rPr>
          <w:rFonts w:hint="default" w:cs="Times New Roman" w:asciiTheme="minorEastAsia" w:hAnsiTheme="minorEastAsia" w:eastAsiaTheme="minorEastAsia"/>
          <w:i w:val="0"/>
          <w:szCs w:val="28"/>
          <w:lang w:val="en-US"/>
        </w:rPr>
        <w:t xml:space="preserve">2.6 </w:t>
      </w:r>
      <w:r>
        <w:rPr>
          <w:rFonts w:hint="eastAsia"/>
        </w:rPr>
        <w:t>签订及履行合同和验收</w:t>
      </w:r>
      <w:r>
        <w:tab/>
      </w:r>
      <w:r>
        <w:fldChar w:fldCharType="begin"/>
      </w:r>
      <w:r>
        <w:instrText xml:space="preserve"> PAGEREF _Toc3833 \h </w:instrText>
      </w:r>
      <w:r>
        <w:fldChar w:fldCharType="separate"/>
      </w:r>
      <w:r>
        <w:t>17</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_Toc3406 </w:instrText>
      </w:r>
      <w:r>
        <w:rPr>
          <w:rFonts w:hint="eastAsia"/>
        </w:rPr>
        <w:fldChar w:fldCharType="separate"/>
      </w:r>
      <w:r>
        <w:rPr>
          <w:rFonts w:hint="default" w:cs="Times New Roman" w:asciiTheme="minorEastAsia" w:hAnsiTheme="minorEastAsia" w:eastAsiaTheme="minorEastAsia"/>
          <w:i w:val="0"/>
          <w:szCs w:val="28"/>
          <w:lang w:val="en-US"/>
        </w:rPr>
        <w:t xml:space="preserve">2.7 </w:t>
      </w:r>
      <w:r>
        <w:rPr>
          <w:rFonts w:hint="eastAsia"/>
        </w:rPr>
        <w:t>投标纪律要求</w:t>
      </w:r>
      <w:r>
        <w:tab/>
      </w:r>
      <w:r>
        <w:fldChar w:fldCharType="begin"/>
      </w:r>
      <w:r>
        <w:instrText xml:space="preserve"> PAGEREF _Toc3406 \h </w:instrText>
      </w:r>
      <w:r>
        <w:fldChar w:fldCharType="separate"/>
      </w:r>
      <w:r>
        <w:t>18</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_Toc31023 </w:instrText>
      </w:r>
      <w:r>
        <w:rPr>
          <w:rFonts w:hint="eastAsia"/>
        </w:rPr>
        <w:fldChar w:fldCharType="separate"/>
      </w:r>
      <w:r>
        <w:rPr>
          <w:rFonts w:hint="default" w:cs="Times New Roman" w:asciiTheme="minorEastAsia" w:hAnsiTheme="minorEastAsia" w:eastAsiaTheme="minorEastAsia"/>
          <w:i w:val="0"/>
          <w:szCs w:val="28"/>
          <w:lang w:val="en-US"/>
        </w:rPr>
        <w:t xml:space="preserve">2.8 </w:t>
      </w:r>
      <w:r>
        <w:rPr>
          <w:rFonts w:hint="eastAsia"/>
        </w:rPr>
        <w:t>询问、质疑和投诉</w:t>
      </w:r>
      <w:r>
        <w:tab/>
      </w:r>
      <w:r>
        <w:fldChar w:fldCharType="begin"/>
      </w:r>
      <w:r>
        <w:instrText xml:space="preserve"> PAGEREF _Toc31023 \h </w:instrText>
      </w:r>
      <w:r>
        <w:fldChar w:fldCharType="separate"/>
      </w:r>
      <w:r>
        <w:t>20</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_Toc10270 </w:instrText>
      </w:r>
      <w:r>
        <w:rPr>
          <w:rFonts w:hint="eastAsia"/>
        </w:rPr>
        <w:fldChar w:fldCharType="separate"/>
      </w:r>
      <w:r>
        <w:rPr>
          <w:rFonts w:hint="default" w:cs="Times New Roman" w:asciiTheme="minorEastAsia" w:hAnsiTheme="minorEastAsia" w:eastAsiaTheme="minorEastAsia"/>
          <w:i w:val="0"/>
          <w:szCs w:val="28"/>
          <w:lang w:val="en-US"/>
        </w:rPr>
        <w:t xml:space="preserve">2.9 </w:t>
      </w:r>
      <w:r>
        <w:rPr>
          <w:rFonts w:hint="eastAsia"/>
        </w:rPr>
        <w:t>其他</w:t>
      </w:r>
      <w:r>
        <w:tab/>
      </w:r>
      <w:r>
        <w:fldChar w:fldCharType="begin"/>
      </w:r>
      <w:r>
        <w:instrText xml:space="preserve"> PAGEREF _Toc10270 \h </w:instrText>
      </w:r>
      <w:r>
        <w:fldChar w:fldCharType="separate"/>
      </w:r>
      <w:r>
        <w:t>20</w:t>
      </w:r>
      <w:r>
        <w:fldChar w:fldCharType="end"/>
      </w:r>
      <w:r>
        <w:rPr>
          <w:rFonts w:hint="eastAsia"/>
        </w:rPr>
        <w:fldChar w:fldCharType="end"/>
      </w:r>
    </w:p>
    <w:p>
      <w:pPr>
        <w:pStyle w:val="31"/>
        <w:tabs>
          <w:tab w:val="right" w:leader="dot" w:pos="9960"/>
          <w:tab w:val="clear" w:pos="709"/>
          <w:tab w:val="clear" w:pos="8364"/>
        </w:tabs>
      </w:pPr>
      <w:r>
        <w:rPr>
          <w:rFonts w:hint="eastAsia"/>
        </w:rPr>
        <w:fldChar w:fldCharType="begin"/>
      </w:r>
      <w:r>
        <w:rPr>
          <w:rFonts w:hint="eastAsia"/>
        </w:rPr>
        <w:instrText xml:space="preserve"> HYPERLINK \l _Toc3601 </w:instrText>
      </w:r>
      <w:r>
        <w:rPr>
          <w:rFonts w:hint="eastAsia"/>
        </w:rPr>
        <w:fldChar w:fldCharType="separate"/>
      </w:r>
      <w:r>
        <w:rPr>
          <w:rFonts w:hint="default" w:ascii="Times New Roman" w:hAnsi="Times New Roman" w:eastAsia="宋体"/>
          <w:i w:val="0"/>
          <w:szCs w:val="32"/>
          <w:lang w:val="en-US"/>
        </w:rPr>
        <w:t xml:space="preserve">第3章 </w:t>
      </w:r>
      <w:r>
        <w:rPr>
          <w:rFonts w:hint="eastAsia"/>
        </w:rPr>
        <w:t>投标文件格式</w:t>
      </w:r>
      <w:r>
        <w:tab/>
      </w:r>
      <w:r>
        <w:fldChar w:fldCharType="begin"/>
      </w:r>
      <w:r>
        <w:instrText xml:space="preserve"> PAGEREF _Toc3601 \h </w:instrText>
      </w:r>
      <w:r>
        <w:fldChar w:fldCharType="separate"/>
      </w:r>
      <w:r>
        <w:t>21</w:t>
      </w:r>
      <w:r>
        <w:fldChar w:fldCharType="end"/>
      </w:r>
      <w:r>
        <w:rPr>
          <w:rFonts w:hint="eastAsia"/>
        </w:rPr>
        <w:fldChar w:fldCharType="end"/>
      </w:r>
    </w:p>
    <w:p>
      <w:pPr>
        <w:pStyle w:val="31"/>
        <w:tabs>
          <w:tab w:val="right" w:leader="dot" w:pos="9960"/>
          <w:tab w:val="clear" w:pos="709"/>
          <w:tab w:val="clear" w:pos="8364"/>
        </w:tabs>
      </w:pPr>
      <w:r>
        <w:rPr>
          <w:rFonts w:hint="eastAsia"/>
        </w:rPr>
        <w:fldChar w:fldCharType="begin"/>
      </w:r>
      <w:r>
        <w:rPr>
          <w:rFonts w:hint="eastAsia"/>
        </w:rPr>
        <w:instrText xml:space="preserve"> HYPERLINK \l _Toc25765 </w:instrText>
      </w:r>
      <w:r>
        <w:rPr>
          <w:rFonts w:hint="eastAsia"/>
        </w:rPr>
        <w:fldChar w:fldCharType="separate"/>
      </w:r>
      <w:r>
        <w:rPr>
          <w:rFonts w:hint="default" w:ascii="Times New Roman" w:hAnsi="Times New Roman" w:eastAsia="宋体"/>
          <w:i w:val="0"/>
          <w:szCs w:val="32"/>
          <w:lang w:val="en-US"/>
        </w:rPr>
        <w:t xml:space="preserve">第4章 </w:t>
      </w:r>
      <w:r>
        <w:t>投标人的资格、资质性及其他类似效力要求</w:t>
      </w:r>
      <w:r>
        <w:tab/>
      </w:r>
      <w:r>
        <w:fldChar w:fldCharType="begin"/>
      </w:r>
      <w:r>
        <w:instrText xml:space="preserve"> PAGEREF _Toc25765 \h </w:instrText>
      </w:r>
      <w:r>
        <w:fldChar w:fldCharType="separate"/>
      </w:r>
      <w:r>
        <w:t>44</w:t>
      </w:r>
      <w:r>
        <w:fldChar w:fldCharType="end"/>
      </w:r>
      <w:r>
        <w:rPr>
          <w:rFonts w:hint="eastAsia"/>
        </w:rPr>
        <w:fldChar w:fldCharType="end"/>
      </w:r>
    </w:p>
    <w:p>
      <w:pPr>
        <w:pStyle w:val="31"/>
        <w:tabs>
          <w:tab w:val="right" w:leader="dot" w:pos="9960"/>
          <w:tab w:val="clear" w:pos="709"/>
          <w:tab w:val="clear" w:pos="8364"/>
        </w:tabs>
      </w:pPr>
      <w:r>
        <w:rPr>
          <w:rFonts w:hint="eastAsia"/>
        </w:rPr>
        <w:fldChar w:fldCharType="begin"/>
      </w:r>
      <w:r>
        <w:rPr>
          <w:rFonts w:hint="eastAsia"/>
        </w:rPr>
        <w:instrText xml:space="preserve"> HYPERLINK \l _Toc25996 </w:instrText>
      </w:r>
      <w:r>
        <w:rPr>
          <w:rFonts w:hint="eastAsia"/>
        </w:rPr>
        <w:fldChar w:fldCharType="separate"/>
      </w:r>
      <w:r>
        <w:rPr>
          <w:rFonts w:hint="default" w:ascii="Times New Roman" w:hAnsi="Times New Roman" w:eastAsia="宋体"/>
          <w:i w:val="0"/>
          <w:szCs w:val="32"/>
          <w:lang w:val="en-US"/>
        </w:rPr>
        <w:t xml:space="preserve">第5章 </w:t>
      </w:r>
      <w:r>
        <w:t>投标人应当提供的资格、资质性及其他类似效力要求的相关证明材料</w:t>
      </w:r>
      <w:r>
        <w:tab/>
      </w:r>
      <w:r>
        <w:fldChar w:fldCharType="begin"/>
      </w:r>
      <w:r>
        <w:instrText xml:space="preserve"> PAGEREF _Toc25996 \h </w:instrText>
      </w:r>
      <w:r>
        <w:fldChar w:fldCharType="separate"/>
      </w:r>
      <w:r>
        <w:t>45</w:t>
      </w:r>
      <w:r>
        <w:fldChar w:fldCharType="end"/>
      </w:r>
      <w:r>
        <w:rPr>
          <w:rFonts w:hint="eastAsia"/>
        </w:rPr>
        <w:fldChar w:fldCharType="end"/>
      </w:r>
    </w:p>
    <w:p>
      <w:pPr>
        <w:pStyle w:val="31"/>
        <w:tabs>
          <w:tab w:val="right" w:leader="dot" w:pos="9960"/>
          <w:tab w:val="clear" w:pos="709"/>
          <w:tab w:val="clear" w:pos="8364"/>
        </w:tabs>
      </w:pPr>
      <w:r>
        <w:rPr>
          <w:rFonts w:hint="eastAsia"/>
        </w:rPr>
        <w:fldChar w:fldCharType="begin"/>
      </w:r>
      <w:r>
        <w:rPr>
          <w:rFonts w:hint="eastAsia"/>
        </w:rPr>
        <w:instrText xml:space="preserve"> HYPERLINK \l _Toc15133 </w:instrText>
      </w:r>
      <w:r>
        <w:rPr>
          <w:rFonts w:hint="eastAsia"/>
        </w:rPr>
        <w:fldChar w:fldCharType="separate"/>
      </w:r>
      <w:r>
        <w:rPr>
          <w:rFonts w:hint="default" w:ascii="Times New Roman" w:hAnsi="Times New Roman" w:eastAsia="宋体"/>
          <w:i w:val="0"/>
          <w:spacing w:val="0"/>
          <w:szCs w:val="32"/>
          <w:lang w:val="en-US"/>
        </w:rPr>
        <w:t xml:space="preserve">第6章 </w:t>
      </w:r>
      <w:r>
        <w:rPr>
          <w:rFonts w:hint="eastAsia"/>
          <w:spacing w:val="0"/>
        </w:rPr>
        <w:t>招标项目服务、商务及其他要求</w:t>
      </w:r>
      <w:r>
        <w:tab/>
      </w:r>
      <w:r>
        <w:fldChar w:fldCharType="begin"/>
      </w:r>
      <w:r>
        <w:instrText xml:space="preserve"> PAGEREF _Toc15133 \h </w:instrText>
      </w:r>
      <w:r>
        <w:fldChar w:fldCharType="separate"/>
      </w:r>
      <w:r>
        <w:t>47</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_Toc16141 </w:instrText>
      </w:r>
      <w:r>
        <w:rPr>
          <w:rFonts w:hint="eastAsia"/>
        </w:rPr>
        <w:fldChar w:fldCharType="separate"/>
      </w:r>
      <w:r>
        <w:rPr>
          <w:rFonts w:hint="default" w:cs="Times New Roman" w:asciiTheme="minorEastAsia" w:hAnsiTheme="minorEastAsia" w:eastAsiaTheme="minorEastAsia"/>
          <w:i w:val="0"/>
          <w:szCs w:val="28"/>
          <w:lang w:val="en-US"/>
        </w:rPr>
        <w:t xml:space="preserve">6.1 </w:t>
      </w:r>
      <w:r>
        <w:rPr>
          <w:rFonts w:hint="eastAsia"/>
        </w:rPr>
        <w:t>项目名称</w:t>
      </w:r>
      <w:r>
        <w:tab/>
      </w:r>
      <w:r>
        <w:fldChar w:fldCharType="begin"/>
      </w:r>
      <w:r>
        <w:instrText xml:space="preserve"> PAGEREF _Toc16141 \h </w:instrText>
      </w:r>
      <w:r>
        <w:fldChar w:fldCharType="separate"/>
      </w:r>
      <w:r>
        <w:t>47</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_Toc7857 </w:instrText>
      </w:r>
      <w:r>
        <w:rPr>
          <w:rFonts w:hint="eastAsia"/>
        </w:rPr>
        <w:fldChar w:fldCharType="separate"/>
      </w:r>
      <w:r>
        <w:rPr>
          <w:rFonts w:hint="default" w:cs="Times New Roman" w:asciiTheme="minorEastAsia" w:hAnsiTheme="minorEastAsia" w:eastAsiaTheme="minorEastAsia"/>
          <w:i w:val="0"/>
          <w:szCs w:val="28"/>
          <w:lang w:val="en-US"/>
        </w:rPr>
        <w:t xml:space="preserve">6.2 </w:t>
      </w:r>
      <w:r>
        <w:rPr>
          <w:rFonts w:hint="eastAsia"/>
        </w:rPr>
        <w:t>项目服务内容</w:t>
      </w:r>
      <w:r>
        <w:tab/>
      </w:r>
      <w:r>
        <w:fldChar w:fldCharType="begin"/>
      </w:r>
      <w:r>
        <w:instrText xml:space="preserve"> PAGEREF _Toc7857 \h </w:instrText>
      </w:r>
      <w:r>
        <w:fldChar w:fldCharType="separate"/>
      </w:r>
      <w:r>
        <w:t>47</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_Toc15394 </w:instrText>
      </w:r>
      <w:r>
        <w:rPr>
          <w:rFonts w:hint="eastAsia"/>
        </w:rPr>
        <w:fldChar w:fldCharType="separate"/>
      </w:r>
      <w:r>
        <w:rPr>
          <w:rFonts w:hint="default" w:cs="Times New Roman" w:asciiTheme="minorEastAsia" w:hAnsiTheme="minorEastAsia" w:eastAsiaTheme="minorEastAsia"/>
          <w:i w:val="0"/>
          <w:szCs w:val="28"/>
          <w:lang w:val="en-US"/>
        </w:rPr>
        <w:t xml:space="preserve">6.3 </w:t>
      </w:r>
      <w:r>
        <w:rPr>
          <w:rFonts w:hint="eastAsia"/>
        </w:rPr>
        <w:t>服务要求</w:t>
      </w:r>
      <w:r>
        <w:tab/>
      </w:r>
      <w:r>
        <w:fldChar w:fldCharType="begin"/>
      </w:r>
      <w:r>
        <w:instrText xml:space="preserve"> PAGEREF _Toc15394 \h </w:instrText>
      </w:r>
      <w:r>
        <w:fldChar w:fldCharType="separate"/>
      </w:r>
      <w:r>
        <w:t>47</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_Toc23774 </w:instrText>
      </w:r>
      <w:r>
        <w:rPr>
          <w:rFonts w:hint="eastAsia"/>
        </w:rPr>
        <w:fldChar w:fldCharType="separate"/>
      </w:r>
      <w:r>
        <w:rPr>
          <w:rFonts w:hint="default" w:cs="Times New Roman" w:asciiTheme="minorEastAsia" w:hAnsiTheme="minorEastAsia" w:eastAsiaTheme="minorEastAsia"/>
          <w:i w:val="0"/>
          <w:szCs w:val="28"/>
          <w:lang w:val="en-US"/>
        </w:rPr>
        <w:t xml:space="preserve">6.4 </w:t>
      </w:r>
      <w:r>
        <w:rPr>
          <w:rFonts w:hint="eastAsia" w:cs="宋体"/>
        </w:rPr>
        <w:t>★</w:t>
      </w:r>
      <w:r>
        <w:rPr>
          <w:rFonts w:hint="eastAsia"/>
        </w:rPr>
        <w:t>商务要求</w:t>
      </w:r>
      <w:r>
        <w:tab/>
      </w:r>
      <w:r>
        <w:fldChar w:fldCharType="begin"/>
      </w:r>
      <w:r>
        <w:instrText xml:space="preserve"> PAGEREF _Toc23774 \h </w:instrText>
      </w:r>
      <w:r>
        <w:fldChar w:fldCharType="separate"/>
      </w:r>
      <w:r>
        <w:t>48</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_Toc3627 </w:instrText>
      </w:r>
      <w:r>
        <w:rPr>
          <w:rFonts w:hint="eastAsia"/>
        </w:rPr>
        <w:fldChar w:fldCharType="separate"/>
      </w:r>
      <w:r>
        <w:rPr>
          <w:rFonts w:hint="default" w:cs="Times New Roman" w:asciiTheme="minorEastAsia" w:hAnsiTheme="minorEastAsia" w:eastAsiaTheme="minorEastAsia"/>
          <w:i w:val="0"/>
          <w:szCs w:val="28"/>
          <w:lang w:val="en-US"/>
        </w:rPr>
        <w:t xml:space="preserve">6.5 </w:t>
      </w:r>
      <w:r>
        <w:rPr>
          <w:rFonts w:hint="eastAsia"/>
        </w:rPr>
        <w:t>最高限价</w:t>
      </w:r>
      <w:r>
        <w:tab/>
      </w:r>
      <w:r>
        <w:fldChar w:fldCharType="begin"/>
      </w:r>
      <w:r>
        <w:instrText xml:space="preserve"> PAGEREF _Toc3627 \h </w:instrText>
      </w:r>
      <w:r>
        <w:fldChar w:fldCharType="separate"/>
      </w:r>
      <w:r>
        <w:t>48</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_Toc950 </w:instrText>
      </w:r>
      <w:r>
        <w:rPr>
          <w:rFonts w:hint="eastAsia"/>
        </w:rPr>
        <w:fldChar w:fldCharType="separate"/>
      </w:r>
      <w:r>
        <w:rPr>
          <w:rFonts w:hint="default" w:cs="Times New Roman" w:asciiTheme="minorEastAsia" w:hAnsiTheme="minorEastAsia" w:eastAsiaTheme="minorEastAsia"/>
          <w:i w:val="0"/>
          <w:szCs w:val="28"/>
          <w:lang w:val="en-US"/>
        </w:rPr>
        <w:t xml:space="preserve">6.6 </w:t>
      </w:r>
      <w:r>
        <w:rPr>
          <w:rFonts w:hint="eastAsia"/>
        </w:rPr>
        <w:t>其他要求</w:t>
      </w:r>
      <w:r>
        <w:tab/>
      </w:r>
      <w:r>
        <w:fldChar w:fldCharType="begin"/>
      </w:r>
      <w:r>
        <w:instrText xml:space="preserve"> PAGEREF _Toc950 \h </w:instrText>
      </w:r>
      <w:r>
        <w:fldChar w:fldCharType="separate"/>
      </w:r>
      <w:r>
        <w:t>49</w:t>
      </w:r>
      <w:r>
        <w:fldChar w:fldCharType="end"/>
      </w:r>
      <w:r>
        <w:rPr>
          <w:rFonts w:hint="eastAsia"/>
        </w:rPr>
        <w:fldChar w:fldCharType="end"/>
      </w:r>
    </w:p>
    <w:p>
      <w:pPr>
        <w:pStyle w:val="31"/>
        <w:tabs>
          <w:tab w:val="right" w:leader="dot" w:pos="9960"/>
          <w:tab w:val="clear" w:pos="709"/>
          <w:tab w:val="clear" w:pos="8364"/>
        </w:tabs>
      </w:pPr>
      <w:r>
        <w:rPr>
          <w:rFonts w:hint="eastAsia"/>
        </w:rPr>
        <w:fldChar w:fldCharType="begin"/>
      </w:r>
      <w:r>
        <w:rPr>
          <w:rFonts w:hint="eastAsia"/>
        </w:rPr>
        <w:instrText xml:space="preserve"> HYPERLINK \l _Toc31479 </w:instrText>
      </w:r>
      <w:r>
        <w:rPr>
          <w:rFonts w:hint="eastAsia"/>
        </w:rPr>
        <w:fldChar w:fldCharType="separate"/>
      </w:r>
      <w:r>
        <w:rPr>
          <w:rFonts w:hint="default" w:ascii="Times New Roman" w:hAnsi="Times New Roman" w:eastAsia="宋体"/>
          <w:i w:val="0"/>
          <w:spacing w:val="0"/>
          <w:szCs w:val="32"/>
          <w:lang w:val="en-US"/>
        </w:rPr>
        <w:t xml:space="preserve">第7章 </w:t>
      </w:r>
      <w:r>
        <w:rPr>
          <w:rFonts w:hint="eastAsia"/>
          <w:spacing w:val="0"/>
        </w:rPr>
        <w:t>评标办法</w:t>
      </w:r>
      <w:r>
        <w:tab/>
      </w:r>
      <w:r>
        <w:fldChar w:fldCharType="begin"/>
      </w:r>
      <w:r>
        <w:instrText xml:space="preserve"> PAGEREF _Toc31479 \h </w:instrText>
      </w:r>
      <w:r>
        <w:fldChar w:fldCharType="separate"/>
      </w:r>
      <w:r>
        <w:t>50</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_Toc28925 </w:instrText>
      </w:r>
      <w:r>
        <w:rPr>
          <w:rFonts w:hint="eastAsia"/>
        </w:rPr>
        <w:fldChar w:fldCharType="separate"/>
      </w:r>
      <w:r>
        <w:rPr>
          <w:rFonts w:hint="eastAsia"/>
        </w:rPr>
        <w:t>1.总则</w:t>
      </w:r>
      <w:r>
        <w:tab/>
      </w:r>
      <w:r>
        <w:fldChar w:fldCharType="begin"/>
      </w:r>
      <w:r>
        <w:instrText xml:space="preserve"> PAGEREF _Toc28925 \h </w:instrText>
      </w:r>
      <w:r>
        <w:fldChar w:fldCharType="separate"/>
      </w:r>
      <w:r>
        <w:t>50</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_Toc4413 </w:instrText>
      </w:r>
      <w:r>
        <w:rPr>
          <w:rFonts w:hint="eastAsia"/>
        </w:rPr>
        <w:fldChar w:fldCharType="separate"/>
      </w:r>
      <w:r>
        <w:rPr>
          <w:rFonts w:hint="eastAsia"/>
        </w:rPr>
        <w:t>2.评标方法</w:t>
      </w:r>
      <w:r>
        <w:tab/>
      </w:r>
      <w:r>
        <w:fldChar w:fldCharType="begin"/>
      </w:r>
      <w:r>
        <w:instrText xml:space="preserve"> PAGEREF _Toc4413 \h </w:instrText>
      </w:r>
      <w:r>
        <w:fldChar w:fldCharType="separate"/>
      </w:r>
      <w:r>
        <w:t>50</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_Toc10355 </w:instrText>
      </w:r>
      <w:r>
        <w:rPr>
          <w:rFonts w:hint="eastAsia"/>
        </w:rPr>
        <w:fldChar w:fldCharType="separate"/>
      </w:r>
      <w:r>
        <w:rPr>
          <w:rFonts w:hint="eastAsia"/>
        </w:rPr>
        <w:t>3.评标程序</w:t>
      </w:r>
      <w:r>
        <w:tab/>
      </w:r>
      <w:r>
        <w:fldChar w:fldCharType="begin"/>
      </w:r>
      <w:r>
        <w:instrText xml:space="preserve"> PAGEREF _Toc10355 \h </w:instrText>
      </w:r>
      <w:r>
        <w:fldChar w:fldCharType="separate"/>
      </w:r>
      <w:r>
        <w:t>51</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_Toc15902 </w:instrText>
      </w:r>
      <w:r>
        <w:rPr>
          <w:rFonts w:hint="eastAsia"/>
        </w:rPr>
        <w:fldChar w:fldCharType="separate"/>
      </w:r>
      <w:r>
        <w:rPr>
          <w:rFonts w:hint="eastAsia"/>
        </w:rPr>
        <w:t>4、评标细则及标准</w:t>
      </w:r>
      <w:r>
        <w:tab/>
      </w:r>
      <w:r>
        <w:fldChar w:fldCharType="begin"/>
      </w:r>
      <w:r>
        <w:instrText xml:space="preserve"> PAGEREF _Toc15902 \h </w:instrText>
      </w:r>
      <w:r>
        <w:fldChar w:fldCharType="separate"/>
      </w:r>
      <w:r>
        <w:t>57</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_Toc25004 </w:instrText>
      </w:r>
      <w:r>
        <w:rPr>
          <w:rFonts w:hint="eastAsia"/>
        </w:rPr>
        <w:fldChar w:fldCharType="separate"/>
      </w:r>
      <w:r>
        <w:rPr>
          <w:rFonts w:hint="eastAsia"/>
        </w:rPr>
        <w:t>5、废标</w:t>
      </w:r>
      <w:r>
        <w:tab/>
      </w:r>
      <w:r>
        <w:fldChar w:fldCharType="begin"/>
      </w:r>
      <w:r>
        <w:instrText xml:space="preserve"> PAGEREF _Toc25004 \h </w:instrText>
      </w:r>
      <w:r>
        <w:fldChar w:fldCharType="separate"/>
      </w:r>
      <w:r>
        <w:t>59</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_Toc9732 </w:instrText>
      </w:r>
      <w:r>
        <w:rPr>
          <w:rFonts w:hint="eastAsia"/>
        </w:rPr>
        <w:fldChar w:fldCharType="separate"/>
      </w:r>
      <w:r>
        <w:rPr>
          <w:rFonts w:hint="eastAsia"/>
        </w:rPr>
        <w:t>6、定标</w:t>
      </w:r>
      <w:r>
        <w:tab/>
      </w:r>
      <w:r>
        <w:fldChar w:fldCharType="begin"/>
      </w:r>
      <w:r>
        <w:instrText xml:space="preserve"> PAGEREF _Toc9732 \h </w:instrText>
      </w:r>
      <w:r>
        <w:fldChar w:fldCharType="separate"/>
      </w:r>
      <w:r>
        <w:t>59</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_Toc30183 </w:instrText>
      </w:r>
      <w:r>
        <w:rPr>
          <w:rFonts w:hint="eastAsia"/>
        </w:rPr>
        <w:fldChar w:fldCharType="separate"/>
      </w:r>
      <w:r>
        <w:rPr>
          <w:rFonts w:hint="eastAsia"/>
        </w:rPr>
        <w:t>7、评标专家在政府采购活动中承担以下义务</w:t>
      </w:r>
      <w:r>
        <w:tab/>
      </w:r>
      <w:r>
        <w:fldChar w:fldCharType="begin"/>
      </w:r>
      <w:r>
        <w:instrText xml:space="preserve"> PAGEREF _Toc30183 \h </w:instrText>
      </w:r>
      <w:r>
        <w:fldChar w:fldCharType="separate"/>
      </w:r>
      <w:r>
        <w:t>60</w:t>
      </w:r>
      <w:r>
        <w:fldChar w:fldCharType="end"/>
      </w:r>
      <w:r>
        <w:rPr>
          <w:rFonts w:hint="eastAsia"/>
        </w:rPr>
        <w:fldChar w:fldCharType="end"/>
      </w:r>
    </w:p>
    <w:p>
      <w:pPr>
        <w:pStyle w:val="37"/>
        <w:tabs>
          <w:tab w:val="right" w:leader="dot" w:pos="9960"/>
          <w:tab w:val="clear" w:pos="620"/>
          <w:tab w:val="clear" w:pos="8364"/>
        </w:tabs>
      </w:pPr>
      <w:r>
        <w:rPr>
          <w:rFonts w:hint="eastAsia"/>
        </w:rPr>
        <w:fldChar w:fldCharType="begin"/>
      </w:r>
      <w:r>
        <w:rPr>
          <w:rFonts w:hint="eastAsia"/>
        </w:rPr>
        <w:instrText xml:space="preserve"> HYPERLINK \l _Toc29100 </w:instrText>
      </w:r>
      <w:r>
        <w:rPr>
          <w:rFonts w:hint="eastAsia"/>
        </w:rPr>
        <w:fldChar w:fldCharType="separate"/>
      </w:r>
      <w:r>
        <w:t xml:space="preserve">8、 </w:t>
      </w:r>
      <w:r>
        <w:rPr>
          <w:rFonts w:hint="eastAsia"/>
        </w:rPr>
        <w:t>评审专家在政府采购活动中应当遵守以下工作纪律</w:t>
      </w:r>
      <w:r>
        <w:tab/>
      </w:r>
      <w:r>
        <w:fldChar w:fldCharType="begin"/>
      </w:r>
      <w:r>
        <w:instrText xml:space="preserve"> PAGEREF _Toc29100 \h </w:instrText>
      </w:r>
      <w:r>
        <w:fldChar w:fldCharType="separate"/>
      </w:r>
      <w:r>
        <w:t>60</w:t>
      </w:r>
      <w:r>
        <w:fldChar w:fldCharType="end"/>
      </w:r>
      <w:r>
        <w:rPr>
          <w:rFonts w:hint="eastAsia"/>
        </w:rPr>
        <w:fldChar w:fldCharType="end"/>
      </w:r>
    </w:p>
    <w:p>
      <w:pPr>
        <w:pStyle w:val="31"/>
        <w:tabs>
          <w:tab w:val="right" w:leader="dot" w:pos="9960"/>
          <w:tab w:val="clear" w:pos="709"/>
          <w:tab w:val="clear" w:pos="8364"/>
        </w:tabs>
      </w:pPr>
      <w:r>
        <w:rPr>
          <w:rFonts w:hint="eastAsia"/>
        </w:rPr>
        <w:fldChar w:fldCharType="begin"/>
      </w:r>
      <w:r>
        <w:rPr>
          <w:rFonts w:hint="eastAsia"/>
        </w:rPr>
        <w:instrText xml:space="preserve"> HYPERLINK \l _Toc13694 </w:instrText>
      </w:r>
      <w:r>
        <w:rPr>
          <w:rFonts w:hint="eastAsia"/>
        </w:rPr>
        <w:fldChar w:fldCharType="separate"/>
      </w:r>
      <w:r>
        <w:rPr>
          <w:rFonts w:hint="default" w:ascii="Times New Roman" w:hAnsi="Times New Roman" w:eastAsia="宋体"/>
          <w:i w:val="0"/>
          <w:szCs w:val="32"/>
          <w:lang w:val="en-US"/>
        </w:rPr>
        <w:t xml:space="preserve">第8章 </w:t>
      </w:r>
      <w:r>
        <w:rPr>
          <w:rFonts w:hint="eastAsia"/>
        </w:rPr>
        <w:t>拟签订合同主要条款</w:t>
      </w:r>
      <w:r>
        <w:tab/>
      </w:r>
      <w:r>
        <w:fldChar w:fldCharType="begin"/>
      </w:r>
      <w:r>
        <w:instrText xml:space="preserve"> PAGEREF _Toc13694 \h </w:instrText>
      </w:r>
      <w:r>
        <w:fldChar w:fldCharType="separate"/>
      </w:r>
      <w:r>
        <w:t>62</w:t>
      </w:r>
      <w:r>
        <w:fldChar w:fldCharType="end"/>
      </w:r>
      <w:r>
        <w:rPr>
          <w:rFonts w:hint="eastAsia"/>
        </w:rPr>
        <w:fldChar w:fldCharType="end"/>
      </w:r>
    </w:p>
    <w:p>
      <w:pPr>
        <w:pStyle w:val="3"/>
        <w:pageBreakBefore/>
        <w:adjustRightInd w:val="0"/>
        <w:snapToGrid w:val="0"/>
        <w:spacing w:line="240" w:lineRule="auto"/>
        <w:ind w:left="665" w:firstLine="0"/>
        <w:rPr>
          <w:spacing w:val="0"/>
        </w:rPr>
      </w:pPr>
      <w:r>
        <w:rPr>
          <w:rFonts w:hint="eastAsia"/>
        </w:rPr>
        <w:fldChar w:fldCharType="end"/>
      </w:r>
      <w:bookmarkStart w:id="5" w:name="_Toc11360"/>
      <w:r>
        <w:t>投标邀请</w:t>
      </w:r>
      <w:bookmarkEnd w:id="5"/>
    </w:p>
    <w:p>
      <w:pPr>
        <w:adjustRightInd w:val="0"/>
        <w:snapToGrid w:val="0"/>
        <w:spacing w:line="360" w:lineRule="auto"/>
        <w:ind w:left="-143" w:leftChars="-68" w:firstLine="723" w:firstLineChars="300"/>
        <w:jc w:val="left"/>
        <w:rPr>
          <w:rFonts w:ascii="宋体" w:hAnsi="宋体"/>
          <w:sz w:val="24"/>
          <w:szCs w:val="24"/>
        </w:rPr>
      </w:pPr>
      <w:r>
        <w:rPr>
          <w:rFonts w:hint="eastAsia" w:ascii="宋体" w:hAnsi="宋体"/>
          <w:b/>
          <w:bCs/>
          <w:sz w:val="24"/>
          <w:szCs w:val="24"/>
          <w:u w:val="single"/>
        </w:rPr>
        <w:t>成都青青工程造价咨询有限责任公司</w:t>
      </w:r>
      <w:r>
        <w:rPr>
          <w:rFonts w:hint="eastAsia" w:ascii="宋体" w:hAnsi="宋体"/>
          <w:sz w:val="24"/>
          <w:szCs w:val="24"/>
        </w:rPr>
        <w:t>受</w:t>
      </w:r>
      <w:r>
        <w:rPr>
          <w:rFonts w:hint="eastAsia" w:ascii="宋体" w:hAnsi="宋体"/>
          <w:b/>
          <w:sz w:val="24"/>
          <w:szCs w:val="24"/>
          <w:u w:val="single"/>
        </w:rPr>
        <w:t>成都市龙泉驿区审计局</w:t>
      </w:r>
      <w:r>
        <w:rPr>
          <w:rFonts w:hint="eastAsia" w:ascii="宋体" w:hAnsi="宋体"/>
          <w:sz w:val="24"/>
          <w:szCs w:val="24"/>
        </w:rPr>
        <w:t>委托，拟对</w:t>
      </w:r>
      <w:r>
        <w:rPr>
          <w:rFonts w:hint="eastAsia" w:ascii="宋体" w:hAnsi="宋体"/>
          <w:sz w:val="24"/>
          <w:szCs w:val="24"/>
          <w:u w:val="single"/>
        </w:rPr>
        <w:t>成都市龙泉驿区审计局审计服务采购项目（第三次）</w:t>
      </w:r>
      <w:r>
        <w:rPr>
          <w:rFonts w:hint="eastAsia" w:ascii="宋体" w:hAnsi="宋体"/>
          <w:sz w:val="24"/>
          <w:szCs w:val="24"/>
        </w:rPr>
        <w:t>进行国内</w:t>
      </w:r>
      <w:r>
        <w:rPr>
          <w:rFonts w:hint="eastAsia" w:ascii="宋体" w:hAnsi="宋体"/>
          <w:sz w:val="24"/>
          <w:szCs w:val="24"/>
          <w:u w:val="single"/>
        </w:rPr>
        <w:t>公开招标</w:t>
      </w:r>
      <w:r>
        <w:rPr>
          <w:rFonts w:hint="eastAsia" w:ascii="宋体" w:hAnsi="宋体"/>
          <w:sz w:val="24"/>
          <w:szCs w:val="24"/>
        </w:rPr>
        <w:t>，兹邀请符合本次招标要求的投标人参加投标。</w:t>
      </w:r>
    </w:p>
    <w:p>
      <w:pPr>
        <w:numPr>
          <w:ilvl w:val="0"/>
          <w:numId w:val="4"/>
        </w:numPr>
        <w:adjustRightInd w:val="0"/>
        <w:snapToGrid w:val="0"/>
        <w:spacing w:line="360" w:lineRule="auto"/>
        <w:ind w:left="0" w:firstLine="567"/>
        <w:rPr>
          <w:rFonts w:ascii="宋体" w:hAnsi="宋体"/>
          <w:sz w:val="24"/>
          <w:szCs w:val="24"/>
        </w:rPr>
      </w:pPr>
      <w:r>
        <w:rPr>
          <w:rFonts w:hint="eastAsia" w:ascii="宋体" w:hAnsi="宋体"/>
          <w:b/>
          <w:sz w:val="24"/>
          <w:szCs w:val="24"/>
        </w:rPr>
        <w:t>项目编号：</w:t>
      </w:r>
      <w:r>
        <w:rPr>
          <w:rFonts w:hint="eastAsia" w:ascii="宋体" w:hAnsi="宋体"/>
          <w:sz w:val="24"/>
          <w:szCs w:val="24"/>
        </w:rPr>
        <w:t xml:space="preserve">510112202100064 </w:t>
      </w:r>
    </w:p>
    <w:p>
      <w:pPr>
        <w:numPr>
          <w:ilvl w:val="0"/>
          <w:numId w:val="4"/>
        </w:numPr>
        <w:adjustRightInd w:val="0"/>
        <w:snapToGrid w:val="0"/>
        <w:spacing w:line="360" w:lineRule="auto"/>
        <w:ind w:left="0" w:firstLine="567"/>
        <w:rPr>
          <w:rFonts w:ascii="宋体" w:hAnsi="宋体"/>
          <w:b/>
          <w:sz w:val="24"/>
          <w:szCs w:val="24"/>
          <w:u w:val="single"/>
        </w:rPr>
      </w:pPr>
      <w:r>
        <w:rPr>
          <w:rFonts w:hint="eastAsia" w:ascii="宋体" w:hAnsi="宋体"/>
          <w:b/>
          <w:sz w:val="24"/>
          <w:szCs w:val="24"/>
        </w:rPr>
        <w:t>采购项目名称：成都市龙泉驿区审计局审计服务采购项目（第三次）</w:t>
      </w:r>
    </w:p>
    <w:p>
      <w:pPr>
        <w:numPr>
          <w:ilvl w:val="0"/>
          <w:numId w:val="4"/>
        </w:numPr>
        <w:adjustRightInd w:val="0"/>
        <w:snapToGrid w:val="0"/>
        <w:spacing w:line="360" w:lineRule="auto"/>
        <w:ind w:left="0" w:firstLine="567"/>
        <w:rPr>
          <w:rFonts w:ascii="宋体" w:hAnsi="宋体"/>
          <w:b/>
          <w:sz w:val="24"/>
          <w:szCs w:val="24"/>
          <w:u w:val="single"/>
        </w:rPr>
      </w:pPr>
      <w:r>
        <w:rPr>
          <w:rFonts w:hint="eastAsia" w:ascii="宋体" w:hAnsi="宋体"/>
          <w:b/>
          <w:sz w:val="24"/>
          <w:szCs w:val="24"/>
        </w:rPr>
        <w:t>资金来源及预算金额：</w:t>
      </w:r>
      <w:r>
        <w:rPr>
          <w:rFonts w:hint="eastAsia" w:ascii="宋体" w:hAnsi="宋体"/>
          <w:sz w:val="24"/>
          <w:szCs w:val="24"/>
        </w:rPr>
        <w:t>财政</w:t>
      </w:r>
      <w:r>
        <w:rPr>
          <w:rFonts w:ascii="宋体" w:hAnsi="宋体"/>
          <w:sz w:val="24"/>
          <w:szCs w:val="24"/>
        </w:rPr>
        <w:t>资金，</w:t>
      </w:r>
      <w:r>
        <w:rPr>
          <w:rFonts w:hint="eastAsia" w:ascii="宋体" w:hAnsi="宋体"/>
          <w:sz w:val="24"/>
          <w:szCs w:val="24"/>
        </w:rPr>
        <w:t>政府采购实施计划备案表号：</w:t>
      </w:r>
      <w:bookmarkStart w:id="6" w:name="采购计划号"/>
      <w:r>
        <w:rPr>
          <w:rFonts w:hint="eastAsia" w:ascii="宋体" w:hAnsi="宋体"/>
          <w:sz w:val="24"/>
          <w:szCs w:val="24"/>
        </w:rPr>
        <w:t>(20</w:t>
      </w:r>
      <w:r>
        <w:rPr>
          <w:rFonts w:ascii="宋体" w:hAnsi="宋体"/>
          <w:sz w:val="24"/>
          <w:szCs w:val="24"/>
        </w:rPr>
        <w:t>21</w:t>
      </w:r>
      <w:r>
        <w:rPr>
          <w:rFonts w:hint="eastAsia" w:ascii="宋体" w:hAnsi="宋体"/>
          <w:sz w:val="24"/>
          <w:szCs w:val="24"/>
        </w:rPr>
        <w:t>)0</w:t>
      </w:r>
      <w:r>
        <w:rPr>
          <w:rFonts w:ascii="宋体" w:hAnsi="宋体"/>
          <w:sz w:val="24"/>
          <w:szCs w:val="24"/>
        </w:rPr>
        <w:t>261</w:t>
      </w:r>
      <w:r>
        <w:rPr>
          <w:rFonts w:hint="eastAsia" w:ascii="宋体" w:hAnsi="宋体"/>
          <w:sz w:val="24"/>
          <w:szCs w:val="24"/>
        </w:rPr>
        <w:t>号</w:t>
      </w:r>
      <w:bookmarkEnd w:id="6"/>
      <w:r>
        <w:rPr>
          <w:rFonts w:hint="eastAsia" w:ascii="宋体" w:hAnsi="宋体"/>
          <w:sz w:val="24"/>
          <w:szCs w:val="24"/>
        </w:rPr>
        <w:t>，采购品目：审计服务；预算金额：</w:t>
      </w:r>
      <w:r>
        <w:rPr>
          <w:rFonts w:ascii="宋体" w:hAnsi="宋体"/>
          <w:sz w:val="24"/>
          <w:szCs w:val="24"/>
        </w:rPr>
        <w:t>150</w:t>
      </w:r>
      <w:r>
        <w:rPr>
          <w:rFonts w:hint="eastAsia" w:ascii="宋体" w:hAnsi="宋体"/>
          <w:sz w:val="24"/>
          <w:szCs w:val="24"/>
        </w:rPr>
        <w:t>万元/年。</w:t>
      </w:r>
    </w:p>
    <w:p>
      <w:pPr>
        <w:numPr>
          <w:ilvl w:val="0"/>
          <w:numId w:val="4"/>
        </w:numPr>
        <w:adjustRightInd w:val="0"/>
        <w:snapToGrid w:val="0"/>
        <w:spacing w:line="360" w:lineRule="auto"/>
        <w:ind w:left="0" w:firstLine="567"/>
        <w:rPr>
          <w:rFonts w:ascii="宋体" w:hAnsi="宋体"/>
          <w:b/>
          <w:sz w:val="24"/>
          <w:szCs w:val="24"/>
        </w:rPr>
      </w:pPr>
      <w:r>
        <w:rPr>
          <w:rFonts w:hint="eastAsia" w:ascii="宋体" w:hAnsi="宋体"/>
          <w:b/>
          <w:sz w:val="24"/>
          <w:szCs w:val="24"/>
        </w:rPr>
        <w:t>招标项目简介</w:t>
      </w:r>
    </w:p>
    <w:p>
      <w:pPr>
        <w:adjustRightInd w:val="0"/>
        <w:snapToGrid w:val="0"/>
        <w:spacing w:line="360" w:lineRule="auto"/>
        <w:ind w:firstLine="484" w:firstLineChars="202"/>
        <w:rPr>
          <w:rFonts w:ascii="宋体" w:hAnsi="宋体"/>
          <w:sz w:val="24"/>
          <w:szCs w:val="24"/>
        </w:rPr>
      </w:pPr>
      <w:r>
        <w:rPr>
          <w:rFonts w:hint="eastAsia" w:ascii="宋体" w:hAnsi="宋体"/>
          <w:sz w:val="24"/>
          <w:szCs w:val="24"/>
        </w:rPr>
        <w:t>本次招标原则上确定1名定点投标人，为成都市龙泉驿区审计局20</w:t>
      </w:r>
      <w:r>
        <w:rPr>
          <w:rFonts w:ascii="宋体" w:hAnsi="宋体"/>
          <w:sz w:val="24"/>
          <w:szCs w:val="24"/>
        </w:rPr>
        <w:t>21</w:t>
      </w:r>
      <w:r>
        <w:rPr>
          <w:rFonts w:hint="eastAsia" w:ascii="宋体" w:hAnsi="宋体"/>
          <w:sz w:val="24"/>
          <w:szCs w:val="24"/>
        </w:rPr>
        <w:t>年度-</w:t>
      </w:r>
      <w:r>
        <w:rPr>
          <w:rFonts w:ascii="宋体" w:hAnsi="宋体"/>
          <w:sz w:val="24"/>
          <w:szCs w:val="24"/>
        </w:rPr>
        <w:t>2023</w:t>
      </w:r>
      <w:r>
        <w:rPr>
          <w:rFonts w:hint="eastAsia" w:ascii="宋体" w:hAnsi="宋体"/>
          <w:sz w:val="24"/>
          <w:szCs w:val="24"/>
        </w:rPr>
        <w:t>年度提供审计服务。</w:t>
      </w:r>
    </w:p>
    <w:p>
      <w:pPr>
        <w:adjustRightInd w:val="0"/>
        <w:snapToGrid w:val="0"/>
        <w:spacing w:line="360" w:lineRule="auto"/>
        <w:ind w:firstLine="484" w:firstLineChars="202"/>
        <w:rPr>
          <w:rFonts w:ascii="宋体" w:hAnsi="宋体"/>
          <w:sz w:val="24"/>
          <w:szCs w:val="24"/>
        </w:rPr>
      </w:pPr>
      <w:r>
        <w:rPr>
          <w:rFonts w:hint="eastAsia" w:ascii="宋体" w:hAnsi="宋体"/>
          <w:sz w:val="24"/>
          <w:szCs w:val="24"/>
        </w:rPr>
        <w:t>具体内容详见第6章。</w:t>
      </w:r>
    </w:p>
    <w:p>
      <w:pPr>
        <w:numPr>
          <w:ilvl w:val="0"/>
          <w:numId w:val="4"/>
        </w:numPr>
        <w:adjustRightInd w:val="0"/>
        <w:snapToGrid w:val="0"/>
        <w:spacing w:line="360" w:lineRule="auto"/>
        <w:ind w:left="0" w:firstLine="567"/>
        <w:rPr>
          <w:rFonts w:ascii="宋体" w:hAnsi="宋体"/>
          <w:b/>
          <w:sz w:val="24"/>
          <w:szCs w:val="24"/>
        </w:rPr>
      </w:pPr>
      <w:r>
        <w:rPr>
          <w:rFonts w:hint="eastAsia" w:ascii="宋体" w:hAnsi="宋体"/>
          <w:b/>
          <w:sz w:val="24"/>
          <w:szCs w:val="24"/>
        </w:rPr>
        <w:t>投标人参加本次政府采购活动，应当在提交投标文件前具备下列条件：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（一）满足《中华人民共和国政府采购法》第二十二条规定：</w:t>
      </w:r>
    </w:p>
    <w:p>
      <w:pPr>
        <w:adjustRightInd w:val="0"/>
        <w:snapToGrid w:val="0"/>
        <w:spacing w:line="360" w:lineRule="auto"/>
        <w:ind w:firstLine="960" w:firstLineChars="400"/>
        <w:rPr>
          <w:rFonts w:ascii="宋体" w:hAnsi="宋体"/>
          <w:sz w:val="24"/>
          <w:szCs w:val="24"/>
        </w:rPr>
      </w:pPr>
      <w:r>
        <w:rPr>
          <w:rFonts w:hint="eastAsia" w:ascii="宋体" w:hAnsi="宋体"/>
          <w:sz w:val="24"/>
          <w:szCs w:val="24"/>
        </w:rPr>
        <w:t>1、具有独立承担民事责任的能力；</w:t>
      </w:r>
    </w:p>
    <w:p>
      <w:pPr>
        <w:adjustRightInd w:val="0"/>
        <w:snapToGrid w:val="0"/>
        <w:spacing w:line="360" w:lineRule="auto"/>
        <w:ind w:firstLine="960" w:firstLineChars="400"/>
        <w:rPr>
          <w:rFonts w:ascii="宋体" w:hAnsi="宋体"/>
          <w:sz w:val="24"/>
          <w:szCs w:val="24"/>
        </w:rPr>
      </w:pPr>
      <w:r>
        <w:rPr>
          <w:rFonts w:ascii="宋体" w:hAnsi="宋体"/>
          <w:sz w:val="24"/>
          <w:szCs w:val="24"/>
        </w:rPr>
        <w:t>2</w:t>
      </w:r>
      <w:r>
        <w:rPr>
          <w:rFonts w:hint="eastAsia" w:ascii="宋体" w:hAnsi="宋体"/>
          <w:sz w:val="24"/>
          <w:szCs w:val="24"/>
        </w:rPr>
        <w:t>、具有良好的商业信誉和健全的财务会计制度；</w:t>
      </w:r>
    </w:p>
    <w:p>
      <w:pPr>
        <w:adjustRightInd w:val="0"/>
        <w:snapToGrid w:val="0"/>
        <w:spacing w:line="360" w:lineRule="auto"/>
        <w:ind w:firstLine="960" w:firstLineChars="400"/>
        <w:rPr>
          <w:rFonts w:ascii="宋体" w:hAnsi="宋体"/>
          <w:sz w:val="24"/>
          <w:szCs w:val="24"/>
        </w:rPr>
      </w:pPr>
      <w:r>
        <w:rPr>
          <w:rFonts w:hint="eastAsia" w:ascii="宋体" w:hAnsi="宋体"/>
          <w:sz w:val="24"/>
          <w:szCs w:val="24"/>
        </w:rPr>
        <w:t>3、具有履行合同所必需的设备和专业技术能力；</w:t>
      </w:r>
    </w:p>
    <w:p>
      <w:pPr>
        <w:adjustRightInd w:val="0"/>
        <w:snapToGrid w:val="0"/>
        <w:spacing w:line="360" w:lineRule="auto"/>
        <w:ind w:firstLine="960" w:firstLineChars="400"/>
        <w:rPr>
          <w:rFonts w:ascii="宋体" w:hAnsi="宋体"/>
          <w:sz w:val="24"/>
          <w:szCs w:val="24"/>
        </w:rPr>
      </w:pPr>
      <w:r>
        <w:rPr>
          <w:rFonts w:ascii="宋体" w:hAnsi="宋体"/>
          <w:sz w:val="24"/>
          <w:szCs w:val="24"/>
        </w:rPr>
        <w:t>4</w:t>
      </w:r>
      <w:r>
        <w:rPr>
          <w:rFonts w:hint="eastAsia" w:ascii="宋体" w:hAnsi="宋体"/>
          <w:sz w:val="24"/>
          <w:szCs w:val="24"/>
        </w:rPr>
        <w:t>、具有依法缴纳税收和社会保障资金的良好记录；</w:t>
      </w:r>
    </w:p>
    <w:p>
      <w:pPr>
        <w:adjustRightInd w:val="0"/>
        <w:snapToGrid w:val="0"/>
        <w:spacing w:line="360" w:lineRule="auto"/>
        <w:ind w:firstLine="960" w:firstLineChars="400"/>
        <w:rPr>
          <w:rFonts w:ascii="宋体" w:hAnsi="宋体"/>
          <w:sz w:val="24"/>
          <w:szCs w:val="24"/>
        </w:rPr>
      </w:pPr>
      <w:r>
        <w:rPr>
          <w:rFonts w:hint="eastAsia" w:ascii="宋体" w:hAnsi="宋体"/>
          <w:sz w:val="24"/>
          <w:szCs w:val="24"/>
        </w:rPr>
        <w:t>5、参加本次政府采购活动前三年内，在经营活动中没有重大违法记录；</w:t>
      </w:r>
    </w:p>
    <w:p>
      <w:pPr>
        <w:adjustRightInd w:val="0"/>
        <w:snapToGrid w:val="0"/>
        <w:spacing w:line="360" w:lineRule="auto"/>
        <w:ind w:firstLine="960" w:firstLineChars="400"/>
        <w:rPr>
          <w:rFonts w:ascii="宋体" w:hAnsi="宋体"/>
          <w:sz w:val="24"/>
          <w:szCs w:val="24"/>
        </w:rPr>
      </w:pPr>
      <w:r>
        <w:rPr>
          <w:rFonts w:ascii="宋体" w:hAnsi="宋体"/>
          <w:sz w:val="24"/>
          <w:szCs w:val="24"/>
        </w:rPr>
        <w:t>6</w:t>
      </w:r>
      <w:r>
        <w:rPr>
          <w:rFonts w:hint="eastAsia" w:ascii="宋体" w:hAnsi="宋体"/>
          <w:sz w:val="24"/>
          <w:szCs w:val="24"/>
        </w:rPr>
        <w:t>、法律、行政法规规定的其他条件。</w:t>
      </w:r>
    </w:p>
    <w:p>
      <w:pPr>
        <w:pStyle w:val="2"/>
        <w:spacing w:line="360" w:lineRule="auto"/>
        <w:ind w:firstLine="480" w:firstLineChars="200"/>
        <w:rPr>
          <w:rFonts w:ascii="宋体" w:hAnsi="宋体" w:eastAsia="宋体"/>
          <w:color w:val="auto"/>
          <w:kern w:val="2"/>
        </w:rPr>
      </w:pPr>
      <w:r>
        <w:rPr>
          <w:rFonts w:hint="eastAsia" w:ascii="宋体" w:hAnsi="宋体" w:eastAsia="宋体"/>
          <w:color w:val="auto"/>
          <w:kern w:val="2"/>
        </w:rPr>
        <w:t xml:space="preserve">本项目参加政府采购活动的投标人、法定代表人/主要负责人在前 3 年内不得具有行贿犯罪记录（采取承诺制，提供虚假承诺按无效投标/中标处理）；   </w:t>
      </w:r>
    </w:p>
    <w:p>
      <w:pPr>
        <w:pStyle w:val="2"/>
        <w:numPr>
          <w:ilvl w:val="0"/>
          <w:numId w:val="5"/>
        </w:numPr>
        <w:spacing w:line="360" w:lineRule="auto"/>
        <w:ind w:left="204" w:leftChars="0" w:firstLine="638" w:firstLineChars="0"/>
        <w:rPr>
          <w:rFonts w:ascii="宋体" w:hAnsi="宋体" w:eastAsia="宋体"/>
        </w:rPr>
      </w:pPr>
      <w:r>
        <w:rPr>
          <w:rFonts w:hint="eastAsia" w:ascii="宋体" w:hAnsi="宋体" w:eastAsia="宋体"/>
        </w:rPr>
        <w:t>落实政府采购政策需满足的资格要求：</w:t>
      </w:r>
      <w:r>
        <w:rPr>
          <w:rFonts w:hint="eastAsia" w:ascii="宋体" w:hAnsi="宋体"/>
        </w:rPr>
        <w:t>本项目专门面向中小企业采购（投标人为监狱企业、残疾人福利性单位的视同小型、微型企业）；</w:t>
      </w:r>
    </w:p>
    <w:p>
      <w:pPr>
        <w:pStyle w:val="2"/>
        <w:numPr>
          <w:ilvl w:val="0"/>
          <w:numId w:val="5"/>
        </w:numPr>
        <w:spacing w:line="360" w:lineRule="auto"/>
        <w:ind w:left="401" w:leftChars="0" w:firstLine="439" w:firstLineChars="0"/>
      </w:pPr>
      <w:r>
        <w:t>按照本投标邀请的规定获取了招标文件。</w:t>
      </w:r>
    </w:p>
    <w:p>
      <w:pPr>
        <w:pStyle w:val="2"/>
        <w:numPr>
          <w:ilvl w:val="0"/>
          <w:numId w:val="5"/>
        </w:numPr>
        <w:spacing w:line="360" w:lineRule="auto"/>
        <w:ind w:left="401" w:leftChars="0" w:firstLine="440" w:firstLineChars="0"/>
        <w:rPr>
          <w:rFonts w:ascii="宋体" w:hAnsi="宋体" w:eastAsia="宋体"/>
          <w:color w:val="FF0000"/>
        </w:rPr>
      </w:pPr>
      <w:r>
        <w:rPr>
          <w:spacing w:val="3"/>
        </w:rPr>
        <w:t>根据项目特殊要求设置的特定条件：</w:t>
      </w:r>
      <w:r>
        <w:rPr>
          <w:rFonts w:hint="eastAsia" w:ascii="宋体" w:hAnsi="宋体"/>
          <w:highlight w:val="none"/>
        </w:rPr>
        <w:t>投标人具有会计师事务所营业执照证书或工程造价咨询企业营业执照证书且证书在有效期内。</w:t>
      </w:r>
    </w:p>
    <w:p>
      <w:pPr>
        <w:numPr>
          <w:ilvl w:val="0"/>
          <w:numId w:val="5"/>
        </w:numPr>
        <w:adjustRightInd w:val="0"/>
        <w:snapToGrid w:val="0"/>
        <w:spacing w:after="50" w:line="360" w:lineRule="auto"/>
        <w:ind w:left="401" w:leftChars="0" w:firstLine="430" w:firstLineChars="0"/>
        <w:rPr>
          <w:rFonts w:ascii="宋体" w:hAnsi="宋体"/>
          <w:sz w:val="24"/>
        </w:rPr>
      </w:pPr>
      <w:r>
        <w:rPr>
          <w:rFonts w:hint="eastAsia" w:ascii="宋体" w:hAnsi="宋体"/>
          <w:sz w:val="24"/>
        </w:rPr>
        <w:t>本项目不接受联合体投标；</w:t>
      </w:r>
    </w:p>
    <w:p>
      <w:pPr>
        <w:numPr>
          <w:ilvl w:val="0"/>
          <w:numId w:val="4"/>
        </w:numPr>
        <w:adjustRightInd w:val="0"/>
        <w:snapToGrid w:val="0"/>
        <w:spacing w:line="360" w:lineRule="auto"/>
        <w:ind w:left="0" w:firstLine="567"/>
        <w:rPr>
          <w:rFonts w:ascii="宋体" w:hAnsi="宋体"/>
          <w:b/>
          <w:sz w:val="24"/>
          <w:szCs w:val="24"/>
        </w:rPr>
      </w:pPr>
      <w:r>
        <w:rPr>
          <w:rFonts w:hint="eastAsia" w:ascii="宋体" w:hAnsi="宋体"/>
          <w:b/>
          <w:sz w:val="24"/>
          <w:szCs w:val="24"/>
        </w:rPr>
        <w:t>禁止参加本次采购活动的投标人</w:t>
      </w:r>
    </w:p>
    <w:p>
      <w:pPr>
        <w:tabs>
          <w:tab w:val="left" w:pos="1276"/>
        </w:tabs>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根据《关于在政府采购活动中查询及使用信用记录有关问题的通知》（库〔2016〕125 号）、《四川省公共资源交易领域严重失信联合惩戒实施办法》(川发改信用规[2019] 405 号)、《关于对政府采购领域严重违法失信主体开展联合惩戒的合作备忘录》(发改财金[2018] 1614 号)的要求，采购人或采购代理机构将通过“信用中国 ” 网 站 （ </w:t>
      </w:r>
      <w:r>
        <w:fldChar w:fldCharType="begin"/>
      </w:r>
      <w:r>
        <w:instrText xml:space="preserve"> HYPERLINK "http://www.creditchina.gov.cn/" \h </w:instrText>
      </w:r>
      <w:r>
        <w:fldChar w:fldCharType="separate"/>
      </w:r>
      <w:r>
        <w:rPr>
          <w:rFonts w:hint="eastAsia" w:ascii="宋体" w:hAnsi="宋体"/>
          <w:sz w:val="24"/>
          <w:szCs w:val="24"/>
        </w:rPr>
        <w:t xml:space="preserve">www.creditchina.gov.cn </w:t>
      </w:r>
      <w:r>
        <w:rPr>
          <w:rFonts w:hint="eastAsia" w:ascii="宋体" w:hAnsi="宋体"/>
          <w:sz w:val="24"/>
          <w:szCs w:val="24"/>
        </w:rPr>
        <w:fldChar w:fldCharType="end"/>
      </w:r>
      <w:r>
        <w:rPr>
          <w:rFonts w:hint="eastAsia" w:ascii="宋体" w:hAnsi="宋体"/>
          <w:sz w:val="24"/>
          <w:szCs w:val="24"/>
        </w:rPr>
        <w:t>） 、 “ 中 国 政 府 采 购 网 ” 网 站（</w:t>
      </w:r>
      <w:r>
        <w:fldChar w:fldCharType="begin"/>
      </w:r>
      <w:r>
        <w:instrText xml:space="preserve"> HYPERLINK "http://www.ccgp.gov.cn/" \h </w:instrText>
      </w:r>
      <w:r>
        <w:fldChar w:fldCharType="separate"/>
      </w:r>
      <w:r>
        <w:rPr>
          <w:rFonts w:hint="eastAsia" w:ascii="宋体" w:hAnsi="宋体"/>
          <w:sz w:val="24"/>
          <w:szCs w:val="24"/>
        </w:rPr>
        <w:t>www.ccgp.gov.cn</w:t>
      </w:r>
      <w:r>
        <w:rPr>
          <w:rFonts w:hint="eastAsia" w:ascii="宋体" w:hAnsi="宋体"/>
          <w:sz w:val="24"/>
          <w:szCs w:val="24"/>
        </w:rPr>
        <w:fldChar w:fldCharType="end"/>
      </w:r>
      <w:r>
        <w:rPr>
          <w:rFonts w:hint="eastAsia" w:ascii="宋体" w:hAnsi="宋体"/>
          <w:sz w:val="24"/>
          <w:szCs w:val="24"/>
        </w:rPr>
        <w:t>）等渠道查询投标人在采购公告发布之日前的信用记录并保存信用记录结果网页截图。拒绝列入失信被执行人名单、重大税收违法案件当事人名单、政府采购严重违法失信行为记录名单中，及其他不符合《中华人民共和国政府采购法》第二十二条规定的投标人报名参加本项目的采购活动。</w:t>
      </w:r>
    </w:p>
    <w:p>
      <w:pPr>
        <w:numPr>
          <w:ilvl w:val="0"/>
          <w:numId w:val="4"/>
        </w:numPr>
        <w:adjustRightInd w:val="0"/>
        <w:snapToGrid w:val="0"/>
        <w:spacing w:line="360" w:lineRule="auto"/>
        <w:ind w:left="0" w:firstLine="567"/>
        <w:rPr>
          <w:rFonts w:ascii="宋体" w:hAnsi="宋体"/>
          <w:b/>
          <w:sz w:val="24"/>
          <w:szCs w:val="24"/>
        </w:rPr>
      </w:pPr>
      <w:r>
        <w:rPr>
          <w:rFonts w:hint="eastAsia" w:ascii="宋体" w:hAnsi="宋体"/>
          <w:b/>
          <w:sz w:val="24"/>
          <w:szCs w:val="24"/>
        </w:rPr>
        <w:t>招标文件获取方式、时间、地点：</w:t>
      </w:r>
    </w:p>
    <w:p>
      <w:pPr>
        <w:tabs>
          <w:tab w:val="left" w:pos="1276"/>
        </w:tabs>
        <w:adjustRightInd w:val="0"/>
        <w:snapToGrid w:val="0"/>
        <w:spacing w:line="360" w:lineRule="auto"/>
        <w:ind w:firstLine="480" w:firstLineChars="200"/>
        <w:rPr>
          <w:rFonts w:ascii="宋体" w:hAnsi="宋体" w:cs="仿宋"/>
          <w:b/>
          <w:bCs/>
          <w:sz w:val="24"/>
        </w:rPr>
      </w:pPr>
      <w:r>
        <w:rPr>
          <w:rFonts w:ascii="宋体" w:hAnsi="宋体"/>
          <w:sz w:val="24"/>
          <w:szCs w:val="24"/>
        </w:rPr>
        <w:t>招标文件自2021年</w:t>
      </w:r>
      <w:r>
        <w:rPr>
          <w:rFonts w:hint="eastAsia" w:ascii="宋体" w:hAnsi="宋体"/>
          <w:sz w:val="24"/>
          <w:szCs w:val="24"/>
        </w:rPr>
        <w:t>7</w:t>
      </w:r>
      <w:r>
        <w:rPr>
          <w:rFonts w:ascii="宋体" w:hAnsi="宋体"/>
          <w:sz w:val="24"/>
          <w:szCs w:val="24"/>
        </w:rPr>
        <w:t>月</w:t>
      </w:r>
      <w:r>
        <w:rPr>
          <w:rFonts w:hint="eastAsia" w:ascii="宋体" w:hAnsi="宋体"/>
          <w:sz w:val="24"/>
          <w:szCs w:val="24"/>
        </w:rPr>
        <w:t>2</w:t>
      </w:r>
      <w:r>
        <w:rPr>
          <w:rFonts w:hint="eastAsia" w:ascii="宋体" w:hAnsi="宋体"/>
          <w:sz w:val="24"/>
          <w:szCs w:val="24"/>
          <w:lang w:val="en-US" w:eastAsia="zh-CN"/>
        </w:rPr>
        <w:t>6</w:t>
      </w:r>
      <w:r>
        <w:rPr>
          <w:rFonts w:ascii="宋体" w:hAnsi="宋体"/>
          <w:sz w:val="24"/>
          <w:szCs w:val="24"/>
        </w:rPr>
        <w:t>日至2021年</w:t>
      </w:r>
      <w:r>
        <w:rPr>
          <w:rFonts w:hint="eastAsia" w:ascii="宋体" w:hAnsi="宋体"/>
          <w:sz w:val="24"/>
          <w:szCs w:val="24"/>
          <w:lang w:val="en-US" w:eastAsia="zh-CN"/>
        </w:rPr>
        <w:t>8</w:t>
      </w:r>
      <w:r>
        <w:rPr>
          <w:rFonts w:ascii="宋体" w:hAnsi="宋体"/>
          <w:sz w:val="24"/>
          <w:szCs w:val="24"/>
        </w:rPr>
        <w:t>月</w:t>
      </w:r>
      <w:r>
        <w:rPr>
          <w:rFonts w:hint="eastAsia" w:ascii="宋体" w:hAnsi="宋体"/>
          <w:sz w:val="24"/>
          <w:szCs w:val="24"/>
          <w:lang w:val="en-US" w:eastAsia="zh-CN"/>
        </w:rPr>
        <w:t>4</w:t>
      </w:r>
      <w:r>
        <w:rPr>
          <w:rFonts w:ascii="宋体" w:hAnsi="宋体"/>
          <w:sz w:val="24"/>
          <w:szCs w:val="24"/>
        </w:rPr>
        <w:t>日9:00-17:00（北京时间，法定节假日除外），</w:t>
      </w:r>
      <w:r>
        <w:rPr>
          <w:rFonts w:hint="eastAsia" w:ascii="宋体" w:hAnsi="宋体"/>
          <w:sz w:val="24"/>
          <w:szCs w:val="24"/>
        </w:rPr>
        <w:t>在</w:t>
      </w:r>
      <w:r>
        <w:rPr>
          <w:rFonts w:hint="eastAsia" w:ascii="宋体" w:hAnsi="宋体" w:cs="仿宋"/>
          <w:b/>
          <w:bCs/>
          <w:sz w:val="24"/>
        </w:rPr>
        <w:t>成都青青工程造价咨询有限责任公司</w:t>
      </w:r>
      <w:r>
        <w:rPr>
          <w:rFonts w:hint="eastAsia" w:ascii="宋体" w:hAnsi="宋体" w:cs="仿宋"/>
          <w:b/>
          <w:bCs/>
          <w:sz w:val="24"/>
          <w:u w:val="single"/>
        </w:rPr>
        <w:t>（</w:t>
      </w:r>
      <w:r>
        <w:rPr>
          <w:rFonts w:hint="eastAsia" w:ascii="宋体" w:hAnsi="宋体"/>
          <w:sz w:val="24"/>
          <w:szCs w:val="24"/>
          <w:u w:val="single"/>
        </w:rPr>
        <w:t>四川省成都市龙泉驿区蒲草路1800号洪河城市花园17栋附310号</w:t>
      </w:r>
      <w:r>
        <w:rPr>
          <w:rFonts w:hint="eastAsia" w:ascii="宋体" w:hAnsi="宋体" w:cs="仿宋"/>
          <w:b/>
          <w:bCs/>
          <w:sz w:val="24"/>
          <w:u w:val="single"/>
        </w:rPr>
        <w:t>）获取。</w:t>
      </w:r>
      <w:r>
        <w:rPr>
          <w:rFonts w:hint="eastAsia" w:ascii="宋体" w:hAnsi="宋体" w:cs="仿宋"/>
          <w:b/>
          <w:bCs/>
          <w:sz w:val="24"/>
        </w:rPr>
        <w:t>疫情防控期间投标人可以现场报名，也可以邮件报名获取。</w:t>
      </w:r>
    </w:p>
    <w:p>
      <w:pPr>
        <w:tabs>
          <w:tab w:val="left" w:pos="1276"/>
        </w:tabs>
        <w:adjustRightInd w:val="0"/>
        <w:snapToGrid w:val="0"/>
        <w:spacing w:line="360" w:lineRule="auto"/>
        <w:ind w:firstLine="480" w:firstLineChars="200"/>
        <w:rPr>
          <w:rFonts w:ascii="宋体" w:hAnsi="宋体" w:cs="仿宋"/>
          <w:sz w:val="24"/>
        </w:rPr>
      </w:pPr>
      <w:r>
        <w:rPr>
          <w:rFonts w:hint="eastAsia" w:ascii="宋体" w:hAnsi="宋体" w:cs="仿宋"/>
          <w:sz w:val="24"/>
        </w:rPr>
        <w:t>本项目招标文件无偿获取。</w:t>
      </w:r>
    </w:p>
    <w:p>
      <w:pPr>
        <w:pStyle w:val="199"/>
        <w:spacing w:line="360" w:lineRule="auto"/>
        <w:ind w:firstLine="480"/>
        <w:rPr>
          <w:rFonts w:ascii="宋体" w:hAnsi="宋体" w:cs="仿宋"/>
          <w:b/>
          <w:bCs/>
          <w:sz w:val="24"/>
        </w:rPr>
      </w:pPr>
      <w:r>
        <w:rPr>
          <w:rFonts w:hint="eastAsia" w:ascii="宋体" w:hAnsi="宋体" w:cs="仿宋"/>
          <w:sz w:val="24"/>
        </w:rPr>
        <w:t>1、现场获取：获取招标文件时，经办人员当场提交以下资料：投标人为法人或者其他组织的，需提供单位营业执照（三证合一营业执照）、单位介绍信、经办人身份证明，并加盖单位公章；投标人为自然人的，只需提供本人身份证明。</w:t>
      </w:r>
    </w:p>
    <w:p>
      <w:pPr>
        <w:pStyle w:val="199"/>
        <w:spacing w:line="360" w:lineRule="auto"/>
        <w:ind w:firstLine="480"/>
        <w:rPr>
          <w:rFonts w:ascii="宋体" w:hAnsi="宋体" w:cs="仿宋"/>
          <w:sz w:val="24"/>
        </w:rPr>
      </w:pPr>
      <w:r>
        <w:rPr>
          <w:rFonts w:hint="eastAsia" w:ascii="宋体" w:hAnsi="宋体" w:cs="仿宋"/>
          <w:sz w:val="24"/>
        </w:rPr>
        <w:t>2、邮箱获取：投标人通过电子邮箱方式获取招标文件的，请将加盖公章的单位营业执照（三证合一营业执照）、加盖单位公章的单位介绍信（介绍信须注明项目名称、项目编号、联系人、联系电话、邮箱）、加盖公章的经办人身份证复印件、投标报名登记表（详见附表1）发送至采购代理机构邮箱：</w:t>
      </w:r>
      <w:r>
        <w:fldChar w:fldCharType="begin"/>
      </w:r>
      <w:r>
        <w:instrText xml:space="preserve"> HYPERLINK "mailto:1244984297@qq.com；投标人为自然人的，只需提供本人身份证明。（投标应保证投标人名称、通讯地址、联系方式等基本信息准确无误，评标过程中因联系方式有误导致的一切后果由投标人自行承担），经我公司工作人员确认后报名方为有效。" </w:instrText>
      </w:r>
      <w:r>
        <w:fldChar w:fldCharType="separate"/>
      </w:r>
      <w:r>
        <w:rPr>
          <w:rStyle w:val="50"/>
          <w:rFonts w:ascii="宋体" w:hAnsi="宋体" w:cs="仿宋"/>
          <w:color w:val="auto"/>
          <w:sz w:val="24"/>
        </w:rPr>
        <w:t>1244984297@qq.com</w:t>
      </w:r>
      <w:r>
        <w:rPr>
          <w:rStyle w:val="50"/>
          <w:rFonts w:hint="eastAsia" w:ascii="宋体" w:hAnsi="宋体" w:cs="仿宋"/>
          <w:color w:val="auto"/>
          <w:sz w:val="24"/>
        </w:rPr>
        <w:t>；投标人为自然人的，只需提供本人身份证明。（投标应保证投标人名称、通讯地址、联系方式等基本信息准确无误，评标过程中因联系方式有误导致的一切后果由投标人自行承担）经我公司工作人员确认后报名方为有效。</w:t>
      </w:r>
      <w:r>
        <w:rPr>
          <w:rStyle w:val="50"/>
          <w:rFonts w:hint="eastAsia" w:ascii="宋体" w:hAnsi="宋体" w:cs="仿宋"/>
          <w:color w:val="auto"/>
          <w:sz w:val="24"/>
        </w:rPr>
        <w:fldChar w:fldCharType="end"/>
      </w:r>
    </w:p>
    <w:p>
      <w:pPr>
        <w:pStyle w:val="199"/>
        <w:spacing w:line="360" w:lineRule="auto"/>
        <w:ind w:firstLine="480"/>
        <w:rPr>
          <w:rFonts w:ascii="宋体" w:hAnsi="宋体" w:cs="仿宋"/>
          <w:sz w:val="24"/>
        </w:rPr>
      </w:pPr>
      <w:r>
        <w:rPr>
          <w:rFonts w:hint="eastAsia" w:ascii="宋体" w:hAnsi="宋体" w:cs="仿宋"/>
          <w:sz w:val="24"/>
        </w:rPr>
        <w:t>投标人购买采购文件时须如实认真填写项目信息及投标人信息；若因投标人提供的错误信息，对其参与项目事宜造成影响的，由投标人自行承担所有责任。</w:t>
      </w:r>
    </w:p>
    <w:p>
      <w:pPr>
        <w:pStyle w:val="199"/>
        <w:spacing w:line="360" w:lineRule="auto"/>
        <w:ind w:firstLine="480"/>
        <w:rPr>
          <w:rFonts w:ascii="宋体" w:hAnsi="宋体"/>
          <w:color w:val="000000" w:themeColor="text1"/>
          <w:sz w:val="24"/>
        </w:rPr>
      </w:pPr>
      <w:r>
        <w:rPr>
          <w:rFonts w:hint="eastAsia" w:ascii="宋体" w:hAnsi="宋体" w:cs="仿宋"/>
          <w:sz w:val="24"/>
        </w:rPr>
        <w:t>附表1：填写以下格式的投标报名登记表（WORD版本电子版）。</w:t>
      </w:r>
    </w:p>
    <w:p>
      <w:pPr>
        <w:spacing w:line="360" w:lineRule="auto"/>
        <w:jc w:val="center"/>
        <w:rPr>
          <w:rFonts w:ascii="宋体" w:hAnsi="宋体"/>
          <w:b/>
          <w:color w:val="000000" w:themeColor="text1"/>
          <w:sz w:val="24"/>
        </w:rPr>
      </w:pPr>
      <w:r>
        <w:rPr>
          <w:rFonts w:hint="eastAsia" w:ascii="宋体" w:hAnsi="宋体" w:cs="宋体"/>
          <w:b/>
          <w:color w:val="000000" w:themeColor="text1"/>
          <w:sz w:val="24"/>
        </w:rPr>
        <w:t>投标报名登记表</w:t>
      </w:r>
    </w:p>
    <w:tbl>
      <w:tblPr>
        <w:tblStyle w:val="44"/>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722"/>
        <w:gridCol w:w="2835"/>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28" w:type="dxa"/>
            <w:vAlign w:val="center"/>
          </w:tcPr>
          <w:p>
            <w:pPr>
              <w:rPr>
                <w:rFonts w:ascii="宋体" w:hAnsi="宋体"/>
                <w:color w:val="000000" w:themeColor="text1"/>
                <w:sz w:val="24"/>
              </w:rPr>
            </w:pPr>
            <w:r>
              <w:rPr>
                <w:rFonts w:hint="eastAsia" w:ascii="宋体" w:hAnsi="宋体" w:cs="宋体"/>
                <w:color w:val="000000" w:themeColor="text1"/>
                <w:sz w:val="24"/>
              </w:rPr>
              <w:t>项目名称</w:t>
            </w:r>
          </w:p>
        </w:tc>
        <w:tc>
          <w:tcPr>
            <w:tcW w:w="7374" w:type="dxa"/>
            <w:gridSpan w:val="3"/>
            <w:vAlign w:val="center"/>
          </w:tcPr>
          <w:p>
            <w:pPr>
              <w:rPr>
                <w:rFonts w:ascii="宋体" w:hAnsi="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28" w:type="dxa"/>
            <w:vAlign w:val="center"/>
          </w:tcPr>
          <w:p>
            <w:pPr>
              <w:rPr>
                <w:rFonts w:ascii="宋体" w:hAnsi="宋体" w:cs="宋体"/>
                <w:color w:val="000000" w:themeColor="text1"/>
                <w:sz w:val="24"/>
              </w:rPr>
            </w:pPr>
            <w:r>
              <w:rPr>
                <w:rFonts w:hint="eastAsia" w:ascii="宋体" w:hAnsi="宋体" w:cs="宋体"/>
                <w:color w:val="000000" w:themeColor="text1"/>
                <w:sz w:val="24"/>
              </w:rPr>
              <w:t>招标人名称</w:t>
            </w:r>
          </w:p>
        </w:tc>
        <w:tc>
          <w:tcPr>
            <w:tcW w:w="7374" w:type="dxa"/>
            <w:gridSpan w:val="3"/>
            <w:vAlign w:val="center"/>
          </w:tcPr>
          <w:p>
            <w:pPr>
              <w:rPr>
                <w:rFonts w:ascii="宋体" w:hAnsi="宋体" w:cs="宋体"/>
                <w:b/>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28" w:type="dxa"/>
            <w:vAlign w:val="center"/>
          </w:tcPr>
          <w:p>
            <w:pPr>
              <w:rPr>
                <w:rFonts w:ascii="宋体" w:hAnsi="宋体"/>
                <w:color w:val="000000" w:themeColor="text1"/>
                <w:sz w:val="24"/>
              </w:rPr>
            </w:pPr>
            <w:r>
              <w:rPr>
                <w:rFonts w:hint="eastAsia" w:ascii="宋体" w:hAnsi="宋体" w:cs="宋体"/>
                <w:color w:val="000000" w:themeColor="text1"/>
                <w:sz w:val="24"/>
              </w:rPr>
              <w:t>投标人名称</w:t>
            </w:r>
          </w:p>
        </w:tc>
        <w:tc>
          <w:tcPr>
            <w:tcW w:w="7374" w:type="dxa"/>
            <w:gridSpan w:val="3"/>
            <w:vAlign w:val="center"/>
          </w:tcPr>
          <w:p>
            <w:pP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28" w:type="dxa"/>
            <w:vAlign w:val="center"/>
          </w:tcPr>
          <w:p>
            <w:pPr>
              <w:rPr>
                <w:rFonts w:ascii="宋体" w:hAnsi="宋体" w:cs="宋体"/>
                <w:color w:val="000000" w:themeColor="text1"/>
                <w:sz w:val="24"/>
              </w:rPr>
            </w:pPr>
            <w:r>
              <w:rPr>
                <w:rFonts w:hint="eastAsia" w:ascii="宋体" w:hAnsi="宋体" w:cs="宋体"/>
                <w:color w:val="000000" w:themeColor="text1"/>
                <w:sz w:val="24"/>
              </w:rPr>
              <w:t>联 系 人</w:t>
            </w:r>
          </w:p>
        </w:tc>
        <w:tc>
          <w:tcPr>
            <w:tcW w:w="1722" w:type="dxa"/>
            <w:vAlign w:val="center"/>
          </w:tcPr>
          <w:p>
            <w:pPr>
              <w:rPr>
                <w:rFonts w:ascii="宋体" w:hAnsi="宋体" w:cs="宋体"/>
                <w:color w:val="000000" w:themeColor="text1"/>
                <w:sz w:val="24"/>
              </w:rPr>
            </w:pPr>
          </w:p>
        </w:tc>
        <w:tc>
          <w:tcPr>
            <w:tcW w:w="2835" w:type="dxa"/>
            <w:vAlign w:val="center"/>
          </w:tcPr>
          <w:p>
            <w:pPr>
              <w:rPr>
                <w:rFonts w:ascii="宋体" w:hAnsi="宋体" w:cs="宋体"/>
                <w:color w:val="000000" w:themeColor="text1"/>
                <w:sz w:val="24"/>
              </w:rPr>
            </w:pPr>
            <w:r>
              <w:rPr>
                <w:rFonts w:hint="eastAsia" w:ascii="宋体" w:hAnsi="宋体" w:cs="宋体"/>
                <w:color w:val="000000" w:themeColor="text1"/>
                <w:sz w:val="24"/>
              </w:rPr>
              <w:t>手机：</w:t>
            </w:r>
          </w:p>
        </w:tc>
        <w:tc>
          <w:tcPr>
            <w:tcW w:w="2817" w:type="dxa"/>
            <w:vAlign w:val="center"/>
          </w:tcPr>
          <w:p>
            <w:pPr>
              <w:rPr>
                <w:rFonts w:ascii="宋体" w:hAnsi="宋体" w:cs="宋体"/>
                <w:color w:val="000000" w:themeColor="text1"/>
                <w:sz w:val="24"/>
              </w:rPr>
            </w:pPr>
            <w:r>
              <w:rPr>
                <w:rFonts w:hint="eastAsia" w:ascii="宋体" w:hAnsi="宋体" w:cs="宋体"/>
                <w:color w:val="000000" w:themeColor="text1"/>
                <w:sz w:val="24"/>
              </w:rPr>
              <w:t>电子邮箱：</w:t>
            </w:r>
          </w:p>
        </w:tc>
      </w:tr>
    </w:tbl>
    <w:p>
      <w:pPr>
        <w:numPr>
          <w:ilvl w:val="0"/>
          <w:numId w:val="4"/>
        </w:numPr>
        <w:adjustRightInd w:val="0"/>
        <w:snapToGrid w:val="0"/>
        <w:spacing w:line="360" w:lineRule="auto"/>
        <w:ind w:left="0" w:firstLine="567"/>
        <w:rPr>
          <w:rFonts w:ascii="宋体" w:hAnsi="宋体"/>
          <w:b/>
          <w:sz w:val="24"/>
          <w:szCs w:val="24"/>
        </w:rPr>
      </w:pPr>
      <w:bookmarkStart w:id="7" w:name="_Toc180051012"/>
      <w:bookmarkStart w:id="8" w:name="_Toc184023104"/>
      <w:bookmarkStart w:id="9" w:name="_Toc174185149"/>
      <w:bookmarkStart w:id="10" w:name="_Toc184013605"/>
      <w:bookmarkStart w:id="11" w:name="_Toc186274101"/>
      <w:r>
        <w:rPr>
          <w:rFonts w:hint="eastAsia" w:ascii="宋体" w:hAnsi="宋体"/>
          <w:b/>
          <w:sz w:val="24"/>
          <w:szCs w:val="24"/>
        </w:rPr>
        <w:t>投标文件递交时间、投标截止时间及开标时间</w:t>
      </w:r>
      <w:bookmarkEnd w:id="7"/>
      <w:bookmarkEnd w:id="8"/>
      <w:bookmarkEnd w:id="9"/>
      <w:bookmarkEnd w:id="10"/>
      <w:bookmarkEnd w:id="11"/>
      <w:r>
        <w:rPr>
          <w:rFonts w:hint="eastAsia" w:ascii="宋体" w:hAnsi="宋体"/>
          <w:b/>
          <w:sz w:val="24"/>
          <w:szCs w:val="24"/>
        </w:rPr>
        <w:t>(北京时间)</w:t>
      </w:r>
    </w:p>
    <w:p>
      <w:pPr>
        <w:numPr>
          <w:ilvl w:val="0"/>
          <w:numId w:val="6"/>
        </w:numPr>
        <w:adjustRightInd w:val="0"/>
        <w:snapToGrid w:val="0"/>
        <w:spacing w:line="360" w:lineRule="auto"/>
        <w:ind w:left="-64" w:firstLine="484"/>
        <w:rPr>
          <w:rFonts w:ascii="宋体" w:hAnsi="宋体"/>
          <w:b/>
          <w:sz w:val="24"/>
          <w:szCs w:val="24"/>
        </w:rPr>
      </w:pPr>
      <w:r>
        <w:rPr>
          <w:rFonts w:hint="eastAsia" w:ascii="宋体" w:hAnsi="宋体"/>
          <w:sz w:val="24"/>
          <w:szCs w:val="24"/>
        </w:rPr>
        <w:t>投标文件递交时间：</w:t>
      </w:r>
      <w:r>
        <w:rPr>
          <w:rFonts w:hint="eastAsia" w:ascii="宋体" w:hAnsi="宋体"/>
          <w:sz w:val="24"/>
          <w:szCs w:val="24"/>
          <w:u w:val="single"/>
        </w:rPr>
        <w:t>20</w:t>
      </w:r>
      <w:r>
        <w:rPr>
          <w:rFonts w:ascii="宋体" w:hAnsi="宋体"/>
          <w:sz w:val="24"/>
          <w:szCs w:val="24"/>
          <w:u w:val="single"/>
        </w:rPr>
        <w:t>21</w:t>
      </w:r>
      <w:r>
        <w:rPr>
          <w:rFonts w:hint="eastAsia" w:ascii="宋体" w:hAnsi="宋体"/>
          <w:sz w:val="24"/>
          <w:szCs w:val="24"/>
          <w:u w:val="single"/>
        </w:rPr>
        <w:t>年8</w:t>
      </w:r>
      <w:r>
        <w:rPr>
          <w:rFonts w:ascii="宋体" w:hAnsi="宋体"/>
          <w:sz w:val="24"/>
          <w:szCs w:val="24"/>
          <w:u w:val="single"/>
        </w:rPr>
        <w:t>月</w:t>
      </w:r>
      <w:r>
        <w:rPr>
          <w:rFonts w:hint="eastAsia" w:ascii="宋体" w:hAnsi="宋体"/>
          <w:sz w:val="24"/>
          <w:szCs w:val="24"/>
          <w:u w:val="single"/>
          <w:lang w:val="en-US" w:eastAsia="zh-CN"/>
        </w:rPr>
        <w:t>18</w:t>
      </w:r>
      <w:r>
        <w:rPr>
          <w:rFonts w:ascii="宋体" w:hAnsi="宋体"/>
          <w:sz w:val="24"/>
          <w:szCs w:val="24"/>
          <w:u w:val="single"/>
        </w:rPr>
        <w:t>日</w:t>
      </w:r>
      <w:r>
        <w:rPr>
          <w:rFonts w:hint="eastAsia" w:ascii="宋体" w:hAnsi="宋体"/>
          <w:sz w:val="24"/>
          <w:szCs w:val="24"/>
          <w:u w:val="single"/>
        </w:rPr>
        <w:t>上午9:30至10:30。</w:t>
      </w:r>
    </w:p>
    <w:p>
      <w:pPr>
        <w:numPr>
          <w:ilvl w:val="0"/>
          <w:numId w:val="6"/>
        </w:numPr>
        <w:adjustRightInd w:val="0"/>
        <w:snapToGrid w:val="0"/>
        <w:spacing w:line="360" w:lineRule="auto"/>
        <w:ind w:left="-64" w:firstLine="484"/>
        <w:rPr>
          <w:rFonts w:ascii="宋体" w:hAnsi="宋体"/>
          <w:b/>
          <w:sz w:val="24"/>
          <w:szCs w:val="24"/>
        </w:rPr>
      </w:pPr>
      <w:r>
        <w:rPr>
          <w:rFonts w:hint="eastAsia" w:ascii="宋体" w:hAnsi="宋体"/>
          <w:sz w:val="24"/>
          <w:szCs w:val="24"/>
        </w:rPr>
        <w:t>投标截止时间及开标时间：</w:t>
      </w:r>
      <w:bookmarkStart w:id="12" w:name="开标时间"/>
      <w:bookmarkEnd w:id="12"/>
      <w:r>
        <w:rPr>
          <w:rFonts w:hint="eastAsia" w:ascii="宋体" w:hAnsi="宋体"/>
          <w:sz w:val="24"/>
          <w:szCs w:val="24"/>
          <w:u w:val="single"/>
        </w:rPr>
        <w:t>20</w:t>
      </w:r>
      <w:r>
        <w:rPr>
          <w:rFonts w:ascii="宋体" w:hAnsi="宋体"/>
          <w:sz w:val="24"/>
          <w:szCs w:val="24"/>
          <w:u w:val="single"/>
        </w:rPr>
        <w:t>21</w:t>
      </w:r>
      <w:r>
        <w:rPr>
          <w:rFonts w:hint="eastAsia" w:ascii="宋体" w:hAnsi="宋体"/>
          <w:sz w:val="24"/>
          <w:szCs w:val="24"/>
          <w:u w:val="single"/>
        </w:rPr>
        <w:t>年8月</w:t>
      </w:r>
      <w:r>
        <w:rPr>
          <w:rFonts w:hint="eastAsia" w:ascii="宋体" w:hAnsi="宋体"/>
          <w:sz w:val="24"/>
          <w:szCs w:val="24"/>
          <w:u w:val="single"/>
          <w:lang w:val="en-US" w:eastAsia="zh-CN"/>
        </w:rPr>
        <w:t>18</w:t>
      </w:r>
      <w:r>
        <w:rPr>
          <w:rFonts w:hint="eastAsia" w:ascii="宋体" w:hAnsi="宋体"/>
          <w:sz w:val="24"/>
          <w:szCs w:val="24"/>
          <w:u w:val="single"/>
        </w:rPr>
        <w:t>日10时30分（北京时间）。</w:t>
      </w:r>
    </w:p>
    <w:p>
      <w:pPr>
        <w:numPr>
          <w:ilvl w:val="0"/>
          <w:numId w:val="6"/>
        </w:numPr>
        <w:adjustRightInd w:val="0"/>
        <w:snapToGrid w:val="0"/>
        <w:spacing w:line="360" w:lineRule="auto"/>
        <w:ind w:left="-64" w:firstLine="484"/>
        <w:rPr>
          <w:rFonts w:ascii="宋体" w:hAnsi="宋体"/>
          <w:sz w:val="24"/>
          <w:szCs w:val="24"/>
        </w:rPr>
      </w:pPr>
      <w:r>
        <w:rPr>
          <w:rFonts w:hint="eastAsia" w:ascii="宋体" w:hAnsi="宋体"/>
          <w:sz w:val="24"/>
          <w:szCs w:val="24"/>
        </w:rPr>
        <w:t>投标文件必须在投标截止时间前送达开标地点。逾期送达的投标文件恕不接受。本次招标不接受邮寄的投标文件。</w:t>
      </w:r>
    </w:p>
    <w:p>
      <w:pPr>
        <w:numPr>
          <w:ilvl w:val="0"/>
          <w:numId w:val="4"/>
        </w:numPr>
        <w:adjustRightInd w:val="0"/>
        <w:snapToGrid w:val="0"/>
        <w:spacing w:line="360" w:lineRule="auto"/>
        <w:ind w:left="0" w:firstLine="567"/>
        <w:rPr>
          <w:rFonts w:ascii="宋体" w:hAnsi="宋体"/>
          <w:b/>
          <w:sz w:val="24"/>
          <w:szCs w:val="24"/>
        </w:rPr>
      </w:pPr>
      <w:r>
        <w:rPr>
          <w:rFonts w:hint="eastAsia" w:ascii="宋体" w:hAnsi="宋体"/>
          <w:b/>
          <w:sz w:val="24"/>
          <w:szCs w:val="24"/>
        </w:rPr>
        <w:t>投标文件递交地点及开标地点</w:t>
      </w:r>
    </w:p>
    <w:p>
      <w:pPr>
        <w:tabs>
          <w:tab w:val="left" w:pos="1276"/>
        </w:tabs>
        <w:adjustRightInd w:val="0"/>
        <w:snapToGrid w:val="0"/>
        <w:spacing w:line="360" w:lineRule="auto"/>
        <w:ind w:firstLine="480" w:firstLineChars="200"/>
        <w:rPr>
          <w:rFonts w:hint="eastAsia" w:ascii="宋体" w:hAnsi="宋体" w:eastAsia="宋体"/>
          <w:color w:val="FF0000"/>
          <w:sz w:val="24"/>
          <w:szCs w:val="24"/>
          <w:u w:val="single"/>
          <w:lang w:eastAsia="zh-CN"/>
        </w:rPr>
      </w:pPr>
      <w:r>
        <w:rPr>
          <w:rFonts w:hint="eastAsia" w:ascii="宋体" w:hAnsi="宋体"/>
          <w:sz w:val="24"/>
          <w:szCs w:val="24"/>
          <w:u w:val="single"/>
        </w:rPr>
        <w:t>四川省成都市龙泉驿区蒲草路1800号洪河城市花园17栋附310号</w:t>
      </w:r>
      <w:r>
        <w:rPr>
          <w:rFonts w:hint="eastAsia" w:ascii="宋体" w:hAnsi="宋体"/>
          <w:sz w:val="24"/>
          <w:szCs w:val="24"/>
          <w:u w:val="single"/>
          <w:lang w:eastAsia="zh-CN"/>
        </w:rPr>
        <w:t>。</w:t>
      </w:r>
    </w:p>
    <w:p>
      <w:pPr>
        <w:adjustRightInd w:val="0"/>
        <w:snapToGrid w:val="0"/>
        <w:spacing w:line="360" w:lineRule="auto"/>
        <w:ind w:left="567"/>
        <w:rPr>
          <w:rFonts w:ascii="宋体" w:hAnsi="宋体"/>
          <w:b/>
          <w:sz w:val="24"/>
          <w:szCs w:val="24"/>
        </w:rPr>
      </w:pPr>
      <w:r>
        <w:rPr>
          <w:rFonts w:hint="eastAsia" w:ascii="宋体" w:hAnsi="宋体"/>
          <w:b/>
          <w:sz w:val="24"/>
          <w:szCs w:val="24"/>
        </w:rPr>
        <w:t>九、本招标公告在《四川政府采购网》上以公告形式发布</w:t>
      </w:r>
    </w:p>
    <w:p>
      <w:pPr>
        <w:adjustRightInd w:val="0"/>
        <w:snapToGrid w:val="0"/>
        <w:spacing w:line="360" w:lineRule="auto"/>
        <w:ind w:left="567"/>
        <w:rPr>
          <w:rFonts w:ascii="宋体" w:hAnsi="宋体"/>
          <w:b/>
          <w:sz w:val="24"/>
          <w:szCs w:val="24"/>
        </w:rPr>
      </w:pPr>
      <w:r>
        <w:rPr>
          <w:rFonts w:hint="eastAsia" w:ascii="宋体" w:hAnsi="宋体"/>
          <w:b/>
          <w:sz w:val="24"/>
          <w:szCs w:val="24"/>
        </w:rPr>
        <w:t>十、联系方式</w:t>
      </w:r>
    </w:p>
    <w:p>
      <w:pPr>
        <w:pStyle w:val="186"/>
        <w:spacing w:line="460" w:lineRule="exact"/>
        <w:ind w:firstLine="602" w:firstLineChars="250"/>
        <w:rPr>
          <w:rFonts w:ascii="宋体" w:hAnsi="宋体" w:cs="仿宋"/>
          <w:b/>
          <w:bCs/>
          <w:sz w:val="24"/>
        </w:rPr>
      </w:pPr>
      <w:r>
        <w:rPr>
          <w:rFonts w:hint="eastAsia" w:ascii="宋体" w:hAnsi="宋体" w:cs="仿宋"/>
          <w:b/>
          <w:bCs/>
          <w:sz w:val="24"/>
        </w:rPr>
        <w:t>采购人：成都市龙泉驿区审计局</w:t>
      </w:r>
    </w:p>
    <w:p>
      <w:pPr>
        <w:pStyle w:val="186"/>
        <w:spacing w:line="460" w:lineRule="exact"/>
        <w:ind w:firstLine="600" w:firstLineChars="250"/>
        <w:rPr>
          <w:rFonts w:ascii="宋体" w:hAnsi="宋体" w:cs="仿宋"/>
          <w:sz w:val="24"/>
        </w:rPr>
      </w:pPr>
      <w:r>
        <w:rPr>
          <w:rFonts w:hint="eastAsia" w:ascii="宋体" w:hAnsi="宋体" w:cs="仿宋"/>
          <w:sz w:val="24"/>
        </w:rPr>
        <w:t>地址：成都市龙泉驿区审计局</w:t>
      </w:r>
    </w:p>
    <w:p>
      <w:pPr>
        <w:pStyle w:val="186"/>
        <w:spacing w:line="460" w:lineRule="exact"/>
        <w:ind w:firstLine="600" w:firstLineChars="250"/>
        <w:rPr>
          <w:rFonts w:ascii="宋体" w:hAnsi="宋体" w:cs="仿宋"/>
          <w:sz w:val="24"/>
        </w:rPr>
      </w:pPr>
      <w:r>
        <w:rPr>
          <w:rFonts w:hint="eastAsia" w:ascii="宋体" w:hAnsi="宋体" w:cs="仿宋"/>
          <w:sz w:val="24"/>
        </w:rPr>
        <w:t>联系人：杨女士</w:t>
      </w:r>
    </w:p>
    <w:p>
      <w:pPr>
        <w:pStyle w:val="186"/>
        <w:spacing w:line="460" w:lineRule="exact"/>
        <w:ind w:firstLine="600" w:firstLineChars="250"/>
        <w:rPr>
          <w:rFonts w:ascii="宋体" w:hAnsi="宋体" w:cs="仿宋"/>
          <w:sz w:val="24"/>
        </w:rPr>
      </w:pPr>
      <w:r>
        <w:rPr>
          <w:rFonts w:hint="eastAsia" w:ascii="宋体" w:hAnsi="宋体" w:cs="仿宋"/>
          <w:sz w:val="24"/>
        </w:rPr>
        <w:t>联系电话：</w:t>
      </w:r>
      <w:r>
        <w:rPr>
          <w:rFonts w:ascii="宋体" w:hAnsi="宋体" w:cs="仿宋"/>
          <w:sz w:val="24"/>
        </w:rPr>
        <w:t>028-</w:t>
      </w:r>
      <w:r>
        <w:rPr>
          <w:rFonts w:hint="eastAsia" w:ascii="宋体" w:hAnsi="宋体" w:cs="仿宋"/>
          <w:sz w:val="24"/>
        </w:rPr>
        <w:t>84853062</w:t>
      </w:r>
    </w:p>
    <w:p>
      <w:pPr>
        <w:pStyle w:val="186"/>
        <w:spacing w:line="460" w:lineRule="exact"/>
        <w:ind w:firstLine="602" w:firstLineChars="250"/>
        <w:rPr>
          <w:rFonts w:ascii="宋体" w:hAnsi="宋体" w:cs="仿宋"/>
          <w:b/>
          <w:bCs/>
          <w:sz w:val="24"/>
        </w:rPr>
      </w:pPr>
      <w:r>
        <w:rPr>
          <w:rFonts w:hint="eastAsia" w:ascii="宋体" w:hAnsi="宋体" w:cs="仿宋"/>
          <w:b/>
          <w:bCs/>
          <w:sz w:val="24"/>
        </w:rPr>
        <w:t>采购代理机构：成都青青工程造价咨询有限责任公司</w:t>
      </w:r>
    </w:p>
    <w:p>
      <w:pPr>
        <w:pStyle w:val="186"/>
        <w:spacing w:line="460" w:lineRule="exact"/>
        <w:ind w:firstLine="600" w:firstLineChars="250"/>
        <w:rPr>
          <w:rFonts w:ascii="宋体" w:hAnsi="宋体" w:cs="仿宋"/>
          <w:sz w:val="24"/>
        </w:rPr>
      </w:pPr>
      <w:r>
        <w:rPr>
          <w:rFonts w:hint="eastAsia" w:ascii="宋体" w:hAnsi="宋体" w:cs="仿宋"/>
          <w:sz w:val="24"/>
        </w:rPr>
        <w:t>地址：成都市龙泉驿区蒲草路1800号洪河城市花园17栋附310-312号</w:t>
      </w:r>
    </w:p>
    <w:p>
      <w:pPr>
        <w:pStyle w:val="186"/>
        <w:spacing w:line="460" w:lineRule="exact"/>
        <w:ind w:firstLine="600" w:firstLineChars="250"/>
        <w:rPr>
          <w:rFonts w:ascii="宋体" w:hAnsi="宋体" w:cs="仿宋"/>
          <w:sz w:val="24"/>
        </w:rPr>
      </w:pPr>
      <w:r>
        <w:rPr>
          <w:rFonts w:hint="eastAsia" w:ascii="宋体" w:hAnsi="宋体" w:cs="仿宋"/>
          <w:sz w:val="24"/>
        </w:rPr>
        <w:t>联系人：申女士</w:t>
      </w:r>
    </w:p>
    <w:p>
      <w:pPr>
        <w:pStyle w:val="186"/>
        <w:spacing w:line="460" w:lineRule="exact"/>
        <w:ind w:firstLine="600" w:firstLineChars="250"/>
        <w:rPr>
          <w:rFonts w:ascii="宋体" w:hAnsi="宋体" w:cs="仿宋"/>
          <w:sz w:val="24"/>
        </w:rPr>
      </w:pPr>
      <w:r>
        <w:rPr>
          <w:rFonts w:hint="eastAsia" w:ascii="宋体" w:hAnsi="宋体" w:cs="仿宋"/>
          <w:sz w:val="24"/>
        </w:rPr>
        <w:t>联系电话：</w:t>
      </w:r>
      <w:r>
        <w:rPr>
          <w:rFonts w:ascii="宋体" w:hAnsi="宋体" w:cs="仿宋"/>
          <w:sz w:val="24"/>
        </w:rPr>
        <w:t>028-67846996</w:t>
      </w:r>
    </w:p>
    <w:p>
      <w:pPr>
        <w:pStyle w:val="202"/>
        <w:adjustRightInd w:val="0"/>
        <w:snapToGrid w:val="0"/>
        <w:spacing w:line="360" w:lineRule="auto"/>
        <w:ind w:firstLine="0" w:firstLineChars="0"/>
        <w:rPr>
          <w:rFonts w:ascii="宋体" w:hAnsi="宋体"/>
          <w:sz w:val="28"/>
          <w:szCs w:val="28"/>
        </w:rPr>
      </w:pPr>
    </w:p>
    <w:p>
      <w:pPr>
        <w:pStyle w:val="202"/>
        <w:adjustRightInd w:val="0"/>
        <w:snapToGrid w:val="0"/>
        <w:spacing w:line="360" w:lineRule="auto"/>
        <w:ind w:firstLine="0" w:firstLineChars="0"/>
        <w:rPr>
          <w:rFonts w:ascii="宋体" w:hAnsi="宋体"/>
          <w:sz w:val="28"/>
          <w:szCs w:val="28"/>
        </w:rPr>
      </w:pPr>
    </w:p>
    <w:p>
      <w:pPr>
        <w:pStyle w:val="202"/>
        <w:adjustRightInd w:val="0"/>
        <w:snapToGrid w:val="0"/>
        <w:spacing w:line="360" w:lineRule="auto"/>
        <w:ind w:firstLine="0" w:firstLineChars="0"/>
        <w:rPr>
          <w:rFonts w:ascii="宋体" w:hAnsi="宋体"/>
          <w:sz w:val="28"/>
          <w:szCs w:val="28"/>
        </w:rPr>
      </w:pPr>
    </w:p>
    <w:p>
      <w:pPr>
        <w:pStyle w:val="202"/>
        <w:adjustRightInd w:val="0"/>
        <w:snapToGrid w:val="0"/>
        <w:spacing w:line="360" w:lineRule="auto"/>
        <w:ind w:firstLine="0" w:firstLineChars="0"/>
        <w:rPr>
          <w:rFonts w:ascii="宋体" w:hAnsi="宋体"/>
          <w:sz w:val="28"/>
          <w:szCs w:val="28"/>
        </w:rPr>
      </w:pPr>
    </w:p>
    <w:p>
      <w:pPr>
        <w:pStyle w:val="202"/>
        <w:adjustRightInd w:val="0"/>
        <w:snapToGrid w:val="0"/>
        <w:spacing w:line="360" w:lineRule="auto"/>
        <w:ind w:firstLine="0" w:firstLineChars="0"/>
        <w:rPr>
          <w:rFonts w:ascii="宋体" w:hAnsi="宋体"/>
          <w:sz w:val="28"/>
          <w:szCs w:val="28"/>
        </w:rPr>
      </w:pPr>
    </w:p>
    <w:p>
      <w:pPr>
        <w:pStyle w:val="202"/>
        <w:adjustRightInd w:val="0"/>
        <w:snapToGrid w:val="0"/>
        <w:spacing w:line="360" w:lineRule="auto"/>
        <w:ind w:firstLine="0" w:firstLineChars="0"/>
        <w:rPr>
          <w:rFonts w:ascii="宋体" w:hAnsi="宋体"/>
          <w:sz w:val="28"/>
          <w:szCs w:val="28"/>
        </w:rPr>
      </w:pPr>
    </w:p>
    <w:p>
      <w:pPr>
        <w:pStyle w:val="202"/>
        <w:adjustRightInd w:val="0"/>
        <w:snapToGrid w:val="0"/>
        <w:spacing w:line="360" w:lineRule="auto"/>
        <w:ind w:firstLine="0" w:firstLineChars="0"/>
        <w:rPr>
          <w:rFonts w:ascii="宋体" w:hAnsi="宋体"/>
          <w:sz w:val="28"/>
          <w:szCs w:val="28"/>
        </w:rPr>
      </w:pPr>
    </w:p>
    <w:p>
      <w:pPr>
        <w:pStyle w:val="3"/>
        <w:adjustRightInd w:val="0"/>
        <w:snapToGrid w:val="0"/>
        <w:spacing w:line="360" w:lineRule="auto"/>
        <w:ind w:left="4420" w:hanging="420"/>
        <w:jc w:val="both"/>
        <w:rPr>
          <w:spacing w:val="0"/>
        </w:rPr>
      </w:pPr>
      <w:bookmarkStart w:id="13" w:name="_Toc32046"/>
      <w:bookmarkStart w:id="14" w:name="_Toc1814"/>
      <w:bookmarkStart w:id="15" w:name="_Toc66192146"/>
      <w:bookmarkStart w:id="16" w:name="_Toc1772"/>
      <w:bookmarkStart w:id="17" w:name="_Toc2712"/>
      <w:bookmarkStart w:id="18" w:name="_Toc11474"/>
      <w:r>
        <w:rPr>
          <w:rFonts w:hint="eastAsia"/>
          <w:spacing w:val="0"/>
        </w:rPr>
        <w:t>投标人须知</w:t>
      </w:r>
      <w:bookmarkEnd w:id="13"/>
      <w:bookmarkEnd w:id="14"/>
      <w:bookmarkEnd w:id="15"/>
      <w:bookmarkEnd w:id="16"/>
      <w:bookmarkEnd w:id="17"/>
      <w:bookmarkEnd w:id="18"/>
    </w:p>
    <w:p>
      <w:pPr>
        <w:pStyle w:val="4"/>
        <w:adjustRightInd w:val="0"/>
        <w:snapToGrid w:val="0"/>
        <w:spacing w:before="0" w:after="0"/>
        <w:ind w:left="2100" w:leftChars="0" w:hanging="1260" w:firstLineChars="0"/>
        <w:jc w:val="center"/>
      </w:pPr>
      <w:bookmarkStart w:id="19" w:name="_Toc213396760"/>
      <w:bookmarkStart w:id="20" w:name="_Toc5513"/>
      <w:bookmarkStart w:id="21" w:name="_Toc217446032"/>
      <w:bookmarkStart w:id="22" w:name="_Toc23801"/>
      <w:bookmarkStart w:id="23" w:name="_Toc213397010"/>
      <w:bookmarkStart w:id="24" w:name="_Toc213496268"/>
      <w:bookmarkStart w:id="25" w:name="_Toc32569"/>
      <w:bookmarkStart w:id="26" w:name="_Toc13959"/>
      <w:bookmarkStart w:id="27" w:name="_Toc19325"/>
      <w:bookmarkStart w:id="28" w:name="_Toc213396946"/>
      <w:bookmarkStart w:id="29" w:name="_Toc189727030"/>
      <w:bookmarkStart w:id="30" w:name="_Toc66192147"/>
      <w:bookmarkStart w:id="31" w:name="_Toc316462344"/>
      <w:r>
        <w:rPr>
          <w:rFonts w:hint="eastAsia"/>
        </w:rPr>
        <w:t>投标人须知前附表</w:t>
      </w:r>
      <w:bookmarkEnd w:id="19"/>
      <w:bookmarkEnd w:id="20"/>
      <w:bookmarkEnd w:id="21"/>
      <w:bookmarkEnd w:id="22"/>
      <w:bookmarkEnd w:id="23"/>
      <w:bookmarkEnd w:id="24"/>
      <w:bookmarkEnd w:id="25"/>
      <w:bookmarkEnd w:id="26"/>
      <w:bookmarkEnd w:id="27"/>
      <w:bookmarkEnd w:id="28"/>
      <w:bookmarkEnd w:id="29"/>
      <w:bookmarkEnd w:id="30"/>
      <w:bookmarkEnd w:id="31"/>
    </w:p>
    <w:tbl>
      <w:tblPr>
        <w:tblStyle w:val="44"/>
        <w:tblW w:w="931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9"/>
        <w:gridCol w:w="1942"/>
        <w:gridCol w:w="66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689" w:type="dxa"/>
            <w:vAlign w:val="center"/>
          </w:tcPr>
          <w:p>
            <w:pPr>
              <w:adjustRightInd w:val="0"/>
              <w:snapToGrid w:val="0"/>
              <w:spacing w:line="360" w:lineRule="auto"/>
              <w:jc w:val="center"/>
              <w:rPr>
                <w:rFonts w:ascii="宋体" w:hAnsi="宋体"/>
                <w:b/>
                <w:szCs w:val="21"/>
              </w:rPr>
            </w:pPr>
            <w:r>
              <w:rPr>
                <w:rFonts w:hint="eastAsia" w:ascii="宋体" w:hAnsi="宋体"/>
                <w:b/>
                <w:szCs w:val="21"/>
                <w:lang w:val="zh-CN"/>
              </w:rPr>
              <w:t>序号</w:t>
            </w:r>
          </w:p>
        </w:tc>
        <w:tc>
          <w:tcPr>
            <w:tcW w:w="1942" w:type="dxa"/>
            <w:vAlign w:val="center"/>
          </w:tcPr>
          <w:p>
            <w:pPr>
              <w:pStyle w:val="157"/>
              <w:snapToGrid w:val="0"/>
              <w:spacing w:line="360" w:lineRule="auto"/>
              <w:ind w:left="38"/>
              <w:jc w:val="center"/>
              <w:rPr>
                <w:b/>
                <w:sz w:val="21"/>
                <w:szCs w:val="21"/>
                <w:lang w:val="zh-CN"/>
              </w:rPr>
            </w:pPr>
            <w:r>
              <w:rPr>
                <w:rFonts w:hint="eastAsia"/>
                <w:b/>
                <w:sz w:val="21"/>
                <w:szCs w:val="21"/>
                <w:lang w:val="zh-CN"/>
              </w:rPr>
              <w:t>应知事项</w:t>
            </w:r>
          </w:p>
        </w:tc>
        <w:tc>
          <w:tcPr>
            <w:tcW w:w="6680" w:type="dxa"/>
            <w:vAlign w:val="center"/>
          </w:tcPr>
          <w:p>
            <w:pPr>
              <w:pStyle w:val="157"/>
              <w:snapToGrid w:val="0"/>
              <w:spacing w:line="360" w:lineRule="auto"/>
              <w:jc w:val="center"/>
              <w:rPr>
                <w:b/>
                <w:sz w:val="21"/>
                <w:szCs w:val="21"/>
                <w:lang w:val="zh-CN"/>
              </w:rPr>
            </w:pPr>
            <w:r>
              <w:rPr>
                <w:rFonts w:hint="eastAsia"/>
                <w:b/>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0" w:hRule="exact"/>
          <w:jc w:val="center"/>
        </w:trPr>
        <w:tc>
          <w:tcPr>
            <w:tcW w:w="689" w:type="dxa"/>
            <w:vAlign w:val="center"/>
          </w:tcPr>
          <w:p>
            <w:pPr>
              <w:numPr>
                <w:ilvl w:val="0"/>
                <w:numId w:val="7"/>
              </w:numPr>
              <w:adjustRightInd w:val="0"/>
              <w:snapToGrid w:val="0"/>
              <w:spacing w:line="360" w:lineRule="auto"/>
              <w:jc w:val="center"/>
              <w:rPr>
                <w:rFonts w:ascii="宋体" w:hAnsi="宋体"/>
                <w:b/>
                <w:szCs w:val="21"/>
                <w:lang w:val="zh-CN"/>
              </w:rPr>
            </w:pPr>
          </w:p>
        </w:tc>
        <w:tc>
          <w:tcPr>
            <w:tcW w:w="1942" w:type="dxa"/>
            <w:vAlign w:val="center"/>
          </w:tcPr>
          <w:p>
            <w:pPr>
              <w:pStyle w:val="157"/>
              <w:snapToGrid w:val="0"/>
              <w:spacing w:line="360" w:lineRule="auto"/>
              <w:ind w:left="38"/>
              <w:jc w:val="center"/>
              <w:rPr>
                <w:sz w:val="21"/>
                <w:szCs w:val="21"/>
                <w:lang w:val="zh-CN"/>
              </w:rPr>
            </w:pPr>
            <w:r>
              <w:rPr>
                <w:rFonts w:hint="eastAsia"/>
                <w:sz w:val="21"/>
                <w:szCs w:val="21"/>
                <w:lang w:val="zh-CN"/>
              </w:rPr>
              <w:t>采购预算</w:t>
            </w:r>
          </w:p>
        </w:tc>
        <w:tc>
          <w:tcPr>
            <w:tcW w:w="6680" w:type="dxa"/>
            <w:vAlign w:val="center"/>
          </w:tcPr>
          <w:p>
            <w:pPr>
              <w:pStyle w:val="157"/>
              <w:snapToGrid w:val="0"/>
              <w:spacing w:line="360" w:lineRule="auto"/>
              <w:ind w:left="38"/>
              <w:rPr>
                <w:sz w:val="21"/>
                <w:szCs w:val="21"/>
                <w:lang w:val="zh-CN"/>
              </w:rPr>
            </w:pPr>
            <w:r>
              <w:rPr>
                <w:rFonts w:hint="eastAsia"/>
                <w:sz w:val="21"/>
                <w:szCs w:val="21"/>
                <w:lang w:val="zh-CN"/>
              </w:rPr>
              <w:t>人民币150万元（中标人根据所完成的工作任务，据实结算）。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1" w:hRule="exact"/>
          <w:jc w:val="center"/>
        </w:trPr>
        <w:tc>
          <w:tcPr>
            <w:tcW w:w="689" w:type="dxa"/>
            <w:vAlign w:val="center"/>
          </w:tcPr>
          <w:p>
            <w:pPr>
              <w:numPr>
                <w:ilvl w:val="0"/>
                <w:numId w:val="7"/>
              </w:numPr>
              <w:adjustRightInd w:val="0"/>
              <w:snapToGrid w:val="0"/>
              <w:spacing w:line="360" w:lineRule="auto"/>
              <w:jc w:val="center"/>
              <w:rPr>
                <w:rFonts w:ascii="宋体" w:hAnsi="宋体"/>
                <w:b/>
                <w:szCs w:val="21"/>
                <w:lang w:val="zh-CN"/>
              </w:rPr>
            </w:pPr>
          </w:p>
        </w:tc>
        <w:tc>
          <w:tcPr>
            <w:tcW w:w="1942" w:type="dxa"/>
            <w:vAlign w:val="center"/>
          </w:tcPr>
          <w:p>
            <w:pPr>
              <w:pStyle w:val="157"/>
              <w:snapToGrid w:val="0"/>
              <w:spacing w:line="360" w:lineRule="auto"/>
              <w:ind w:left="38"/>
              <w:jc w:val="center"/>
              <w:rPr>
                <w:sz w:val="21"/>
                <w:szCs w:val="21"/>
              </w:rPr>
            </w:pPr>
            <w:r>
              <w:rPr>
                <w:rFonts w:hint="eastAsia"/>
                <w:sz w:val="21"/>
                <w:szCs w:val="21"/>
              </w:rPr>
              <w:t>最高限价</w:t>
            </w:r>
          </w:p>
        </w:tc>
        <w:tc>
          <w:tcPr>
            <w:tcW w:w="6680" w:type="dxa"/>
            <w:vAlign w:val="center"/>
          </w:tcPr>
          <w:p>
            <w:pPr>
              <w:pStyle w:val="157"/>
              <w:snapToGrid w:val="0"/>
              <w:spacing w:line="360" w:lineRule="auto"/>
              <w:ind w:left="38"/>
              <w:rPr>
                <w:bCs/>
                <w:sz w:val="21"/>
                <w:szCs w:val="21"/>
                <w:lang w:val="zh-CN"/>
              </w:rPr>
            </w:pPr>
            <w:r>
              <w:rPr>
                <w:rFonts w:hint="eastAsia"/>
                <w:bCs/>
                <w:sz w:val="21"/>
                <w:szCs w:val="21"/>
                <w:lang w:val="zh-CN"/>
              </w:rPr>
              <w:t>本项目最高限价为人民币150万元，投标人最后报价高于最高限价的则其投标文件将按无效投标文件处理。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689" w:type="dxa"/>
            <w:vAlign w:val="center"/>
          </w:tcPr>
          <w:p>
            <w:pPr>
              <w:numPr>
                <w:ilvl w:val="0"/>
                <w:numId w:val="7"/>
              </w:numPr>
              <w:adjustRightInd w:val="0"/>
              <w:snapToGrid w:val="0"/>
              <w:spacing w:line="360" w:lineRule="auto"/>
              <w:jc w:val="center"/>
              <w:rPr>
                <w:rFonts w:ascii="宋体" w:hAnsi="宋体"/>
                <w:szCs w:val="21"/>
              </w:rPr>
            </w:pPr>
          </w:p>
        </w:tc>
        <w:tc>
          <w:tcPr>
            <w:tcW w:w="1942" w:type="dxa"/>
            <w:vAlign w:val="center"/>
          </w:tcPr>
          <w:p>
            <w:pPr>
              <w:pStyle w:val="157"/>
              <w:snapToGrid w:val="0"/>
              <w:spacing w:line="360" w:lineRule="auto"/>
              <w:ind w:left="38"/>
              <w:jc w:val="center"/>
              <w:rPr>
                <w:sz w:val="21"/>
                <w:szCs w:val="21"/>
                <w:lang w:val="zh-CN"/>
              </w:rPr>
            </w:pPr>
            <w:r>
              <w:rPr>
                <w:rFonts w:hint="eastAsia"/>
                <w:sz w:val="21"/>
                <w:szCs w:val="21"/>
                <w:lang w:val="zh-CN"/>
              </w:rPr>
              <w:t>采购方式</w:t>
            </w:r>
          </w:p>
        </w:tc>
        <w:tc>
          <w:tcPr>
            <w:tcW w:w="6680" w:type="dxa"/>
            <w:vAlign w:val="center"/>
          </w:tcPr>
          <w:p>
            <w:pPr>
              <w:pStyle w:val="157"/>
              <w:snapToGrid w:val="0"/>
              <w:spacing w:line="360" w:lineRule="auto"/>
              <w:jc w:val="both"/>
              <w:rPr>
                <w:sz w:val="21"/>
                <w:szCs w:val="21"/>
                <w:lang w:val="zh-CN"/>
              </w:rPr>
            </w:pPr>
            <w:r>
              <w:rPr>
                <w:rFonts w:hint="eastAsia"/>
                <w:sz w:val="21"/>
                <w:szCs w:val="21"/>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4" w:hRule="atLeast"/>
          <w:jc w:val="center"/>
        </w:trPr>
        <w:tc>
          <w:tcPr>
            <w:tcW w:w="689" w:type="dxa"/>
            <w:vAlign w:val="center"/>
          </w:tcPr>
          <w:p>
            <w:pPr>
              <w:numPr>
                <w:ilvl w:val="0"/>
                <w:numId w:val="7"/>
              </w:numPr>
              <w:adjustRightInd w:val="0"/>
              <w:snapToGrid w:val="0"/>
              <w:spacing w:line="360" w:lineRule="auto"/>
              <w:jc w:val="center"/>
              <w:rPr>
                <w:rFonts w:ascii="宋体" w:hAnsi="宋体"/>
                <w:szCs w:val="21"/>
              </w:rPr>
            </w:pPr>
          </w:p>
        </w:tc>
        <w:tc>
          <w:tcPr>
            <w:tcW w:w="1942" w:type="dxa"/>
            <w:vAlign w:val="center"/>
          </w:tcPr>
          <w:p>
            <w:pPr>
              <w:pStyle w:val="157"/>
              <w:snapToGrid w:val="0"/>
              <w:spacing w:line="360" w:lineRule="auto"/>
              <w:ind w:left="96"/>
              <w:jc w:val="center"/>
              <w:rPr>
                <w:sz w:val="21"/>
                <w:szCs w:val="21"/>
                <w:lang w:val="zh-CN"/>
              </w:rPr>
            </w:pPr>
            <w:r>
              <w:rPr>
                <w:rFonts w:hint="eastAsia"/>
                <w:sz w:val="21"/>
                <w:szCs w:val="21"/>
                <w:lang w:val="zh-CN"/>
              </w:rPr>
              <w:t>评标方法</w:t>
            </w:r>
          </w:p>
        </w:tc>
        <w:tc>
          <w:tcPr>
            <w:tcW w:w="6680" w:type="dxa"/>
            <w:vAlign w:val="center"/>
          </w:tcPr>
          <w:p>
            <w:pPr>
              <w:pStyle w:val="157"/>
              <w:snapToGrid w:val="0"/>
              <w:spacing w:line="360" w:lineRule="auto"/>
              <w:rPr>
                <w:sz w:val="21"/>
                <w:szCs w:val="21"/>
                <w:lang w:val="zh-CN"/>
              </w:rPr>
            </w:pPr>
            <w:r>
              <w:rPr>
                <w:rFonts w:hint="eastAsia"/>
                <w:sz w:val="21"/>
                <w:szCs w:val="21"/>
                <w:lang w:val="zh-CN"/>
              </w:rPr>
              <w:t>综合评分法(详见第</w:t>
            </w:r>
            <w:r>
              <w:rPr>
                <w:rFonts w:hint="eastAsia"/>
                <w:sz w:val="21"/>
                <w:szCs w:val="21"/>
              </w:rPr>
              <w:t>7</w:t>
            </w:r>
            <w:r>
              <w:rPr>
                <w:rFonts w:hint="eastAsia"/>
                <w:sz w:val="21"/>
                <w:szCs w:val="21"/>
                <w:lang w:val="zh-CN"/>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adjustRightInd w:val="0"/>
              <w:snapToGrid w:val="0"/>
              <w:spacing w:line="360" w:lineRule="auto"/>
              <w:jc w:val="center"/>
              <w:rPr>
                <w:rFonts w:ascii="宋体" w:hAnsi="宋体"/>
                <w:szCs w:val="21"/>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57"/>
              <w:snapToGrid w:val="0"/>
              <w:spacing w:line="360" w:lineRule="auto"/>
              <w:ind w:left="96"/>
              <w:rPr>
                <w:sz w:val="21"/>
                <w:szCs w:val="21"/>
                <w:lang w:val="zh-CN"/>
              </w:rPr>
            </w:pPr>
            <w:r>
              <w:rPr>
                <w:rFonts w:hint="eastAsia"/>
                <w:sz w:val="21"/>
                <w:szCs w:val="21"/>
                <w:lang w:val="zh-CN"/>
              </w:rPr>
              <w:t>低于成本价不正当竞争预防措施</w:t>
            </w:r>
          </w:p>
        </w:tc>
        <w:tc>
          <w:tcPr>
            <w:tcW w:w="6680" w:type="dxa"/>
            <w:tcBorders>
              <w:top w:val="single" w:color="auto" w:sz="8" w:space="0"/>
              <w:left w:val="single" w:color="auto" w:sz="8" w:space="0"/>
              <w:bottom w:val="single" w:color="auto" w:sz="8" w:space="0"/>
              <w:right w:val="single" w:color="auto" w:sz="18" w:space="0"/>
            </w:tcBorders>
            <w:vAlign w:val="center"/>
          </w:tcPr>
          <w:p>
            <w:pPr>
              <w:pStyle w:val="157"/>
              <w:snapToGrid w:val="0"/>
              <w:spacing w:line="360" w:lineRule="auto"/>
              <w:ind w:firstLine="420" w:firstLineChars="200"/>
              <w:jc w:val="both"/>
              <w:rPr>
                <w:sz w:val="21"/>
                <w:szCs w:val="21"/>
                <w:lang w:val="zh-CN"/>
              </w:rPr>
            </w:pPr>
            <w:r>
              <w:rPr>
                <w:rFonts w:hint="eastAsia"/>
                <w:sz w:val="21"/>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7"/>
              <w:snapToGrid w:val="0"/>
              <w:spacing w:line="360" w:lineRule="auto"/>
              <w:ind w:firstLine="420" w:firstLineChars="200"/>
              <w:jc w:val="both"/>
              <w:rPr>
                <w:sz w:val="21"/>
                <w:szCs w:val="21"/>
                <w:lang w:val="zh-CN"/>
              </w:rPr>
            </w:pPr>
            <w:r>
              <w:rPr>
                <w:rFonts w:hint="eastAsia"/>
                <w:sz w:val="21"/>
                <w:szCs w:val="21"/>
                <w:lang w:val="zh-CN"/>
              </w:rPr>
              <w:t>投标人书面说明应当</w:t>
            </w:r>
            <w:r>
              <w:rPr>
                <w:rFonts w:hint="eastAsia"/>
                <w:sz w:val="21"/>
                <w:szCs w:val="21"/>
              </w:rPr>
              <w:t>由法定代表人或授权代表签字或加盖公章，</w:t>
            </w:r>
            <w:r>
              <w:rPr>
                <w:rFonts w:hint="eastAsia"/>
                <w:sz w:val="21"/>
                <w:szCs w:val="21"/>
                <w:lang w:val="zh-CN"/>
              </w:rPr>
              <w:t>否则无效。</w:t>
            </w:r>
          </w:p>
          <w:p>
            <w:pPr>
              <w:adjustRightInd w:val="0"/>
              <w:snapToGrid w:val="0"/>
              <w:spacing w:line="360" w:lineRule="auto"/>
              <w:ind w:right="94" w:rightChars="45" w:firstLine="420" w:firstLineChars="200"/>
              <w:rPr>
                <w:rFonts w:ascii="宋体" w:hAnsi="宋体"/>
                <w:b/>
                <w:szCs w:val="21"/>
              </w:rPr>
            </w:pPr>
            <w:r>
              <w:rPr>
                <w:rFonts w:hint="eastAsia" w:ascii="宋体" w:hAnsi="宋体" w:cs="宋体"/>
                <w:kern w:val="0"/>
                <w:szCs w:val="21"/>
                <w:lang w:val="zh-CN"/>
              </w:rPr>
              <w:t>投标人提供书面说明后，评标委员会应当结合采购项目采购需求、专业实际情况、投标人</w:t>
            </w:r>
            <w:r>
              <w:rPr>
                <w:rFonts w:hint="eastAsia" w:ascii="宋体" w:hAnsi="宋体" w:cs="宋体"/>
                <w:kern w:val="0"/>
                <w:szCs w:val="21"/>
              </w:rPr>
              <w:t>财务状况报告</w:t>
            </w:r>
            <w:r>
              <w:rPr>
                <w:rFonts w:hint="eastAsia" w:ascii="宋体" w:hAnsi="宋体" w:cs="宋体"/>
                <w:kern w:val="0"/>
                <w:szCs w:val="21"/>
                <w:lang w:val="zh-CN"/>
              </w:rPr>
              <w:t>、与其他投标人比较情况等就投标人书面说明进行审查评价。投标人拒绝或者变相拒绝提供有效书面说明和相关证明材料，或者书面说明和相关证明材料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adjustRightInd w:val="0"/>
              <w:snapToGrid w:val="0"/>
              <w:spacing w:line="360" w:lineRule="auto"/>
              <w:jc w:val="center"/>
              <w:rPr>
                <w:rFonts w:ascii="宋体" w:hAnsi="宋体"/>
                <w:szCs w:val="21"/>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57"/>
              <w:snapToGrid w:val="0"/>
              <w:spacing w:line="360" w:lineRule="auto"/>
              <w:ind w:left="96"/>
              <w:rPr>
                <w:sz w:val="21"/>
                <w:szCs w:val="21"/>
                <w:lang w:val="zh-CN"/>
              </w:rPr>
            </w:pPr>
            <w:r>
              <w:rPr>
                <w:rFonts w:hint="eastAsia"/>
                <w:sz w:val="21"/>
                <w:szCs w:val="21"/>
                <w:lang w:val="zh-CN"/>
              </w:rPr>
              <w:t>采购项目需要落实的</w:t>
            </w:r>
            <w:r>
              <w:rPr>
                <w:rFonts w:hint="eastAsia"/>
                <w:sz w:val="21"/>
                <w:szCs w:val="21"/>
              </w:rPr>
              <w:t>政府</w:t>
            </w:r>
            <w:r>
              <w:rPr>
                <w:rFonts w:hint="eastAsia"/>
                <w:sz w:val="21"/>
                <w:szCs w:val="21"/>
                <w:lang w:val="zh-CN"/>
              </w:rPr>
              <w:t>采购政策</w:t>
            </w:r>
          </w:p>
        </w:tc>
        <w:tc>
          <w:tcPr>
            <w:tcW w:w="668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360" w:lineRule="auto"/>
              <w:ind w:right="94" w:rightChars="45" w:firstLine="420" w:firstLineChars="200"/>
              <w:rPr>
                <w:rFonts w:ascii="宋体" w:hAnsi="宋体" w:cs="宋体"/>
                <w:kern w:val="0"/>
                <w:szCs w:val="21"/>
                <w:lang w:val="zh-CN"/>
              </w:rPr>
            </w:pPr>
            <w:r>
              <w:rPr>
                <w:rFonts w:hint="eastAsia" w:ascii="宋体" w:hAnsi="宋体" w:cs="宋体"/>
                <w:kern w:val="0"/>
                <w:szCs w:val="21"/>
              </w:rPr>
              <w:t>项目执行信息</w:t>
            </w:r>
            <w:r>
              <w:rPr>
                <w:rFonts w:hint="eastAsia" w:ascii="宋体" w:hAnsi="宋体" w:cs="宋体"/>
                <w:kern w:val="0"/>
                <w:szCs w:val="21"/>
                <w:lang w:val="zh-CN"/>
              </w:rPr>
              <w:t>：专门面向中小企业</w:t>
            </w:r>
          </w:p>
          <w:p>
            <w:pPr>
              <w:adjustRightInd w:val="0"/>
              <w:snapToGrid w:val="0"/>
              <w:spacing w:line="360" w:lineRule="auto"/>
              <w:ind w:right="94" w:rightChars="45" w:firstLine="420" w:firstLineChars="200"/>
              <w:rPr>
                <w:rFonts w:ascii="宋体" w:hAnsi="宋体" w:cs="宋体"/>
                <w:kern w:val="0"/>
                <w:szCs w:val="21"/>
                <w:lang w:val="zh-CN"/>
              </w:rPr>
            </w:pPr>
            <w:r>
              <w:rPr>
                <w:rFonts w:hint="eastAsia" w:ascii="宋体" w:hAnsi="宋体" w:cs="宋体"/>
                <w:kern w:val="0"/>
                <w:szCs w:val="21"/>
                <w:lang w:val="zh-CN"/>
              </w:rPr>
              <w:t>供应商信用融资：四川省正在推进政府采购供应商信用融资工作，相关要求详见《四川省财政厅关于推进四川省政府采购供应商信用融资工作的通知》（川财采【2018】123号）、《成都市中小企业政府采购信用融资暂行办法》（成财采【2019】17号）和《成都市财政局关于增补“蓉采贷”政策合作银行及做好相关工作的通知》（成财采发【2020】20号）等有关规定，上述文件请在四川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adjustRightInd w:val="0"/>
              <w:snapToGrid w:val="0"/>
              <w:spacing w:line="360" w:lineRule="auto"/>
              <w:jc w:val="center"/>
              <w:rPr>
                <w:rFonts w:ascii="宋体" w:hAnsi="宋体"/>
                <w:szCs w:val="21"/>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157"/>
              <w:snapToGrid w:val="0"/>
              <w:spacing w:line="360" w:lineRule="auto"/>
              <w:ind w:left="96"/>
              <w:jc w:val="center"/>
              <w:rPr>
                <w:sz w:val="21"/>
                <w:szCs w:val="21"/>
                <w:lang w:val="zh-CN"/>
              </w:rPr>
            </w:pPr>
            <w:r>
              <w:rPr>
                <w:rFonts w:hint="eastAsia"/>
                <w:sz w:val="21"/>
                <w:szCs w:val="21"/>
                <w:lang w:val="zh-CN"/>
              </w:rPr>
              <w:t>投标保证金</w:t>
            </w:r>
          </w:p>
        </w:tc>
        <w:tc>
          <w:tcPr>
            <w:tcW w:w="6680" w:type="dxa"/>
            <w:tcBorders>
              <w:top w:val="single" w:color="auto" w:sz="8" w:space="0"/>
              <w:left w:val="single" w:color="auto" w:sz="8" w:space="0"/>
              <w:bottom w:val="single" w:color="auto" w:sz="8" w:space="0"/>
              <w:right w:val="single" w:color="auto" w:sz="18" w:space="0"/>
            </w:tcBorders>
            <w:vAlign w:val="center"/>
          </w:tcPr>
          <w:p>
            <w:pPr>
              <w:tabs>
                <w:tab w:val="left" w:pos="7665"/>
              </w:tabs>
              <w:spacing w:line="360" w:lineRule="exact"/>
              <w:ind w:firstLine="420" w:firstLineChars="200"/>
              <w:rPr>
                <w:rFonts w:hAnsi="宋体" w:cs="宋体"/>
                <w:szCs w:val="21"/>
                <w:lang w:val="zh-CN"/>
              </w:rPr>
            </w:pPr>
            <w:r>
              <w:rPr>
                <w:rFonts w:hint="eastAsia" w:hAnsi="宋体" w:cs="宋体"/>
                <w:szCs w:val="21"/>
                <w:lang w:val="zh-CN"/>
              </w:rPr>
              <w:t>根据《四川省</w:t>
            </w:r>
            <w:r>
              <w:rPr>
                <w:rFonts w:hint="eastAsia" w:hAnsi="宋体" w:cs="宋体"/>
                <w:szCs w:val="21"/>
              </w:rPr>
              <w:t>政府采购营商环境指标提升专项行动工作方案</w:t>
            </w:r>
            <w:r>
              <w:rPr>
                <w:rFonts w:hint="eastAsia" w:hAnsi="宋体" w:cs="宋体"/>
                <w:szCs w:val="21"/>
                <w:lang w:val="zh-CN"/>
              </w:rPr>
              <w:t>》</w:t>
            </w:r>
            <w:r>
              <w:rPr>
                <w:rFonts w:hint="eastAsia" w:hAnsi="宋体" w:cs="宋体"/>
                <w:szCs w:val="21"/>
              </w:rPr>
              <w:t>的通知</w:t>
            </w:r>
            <w:r>
              <w:rPr>
                <w:rFonts w:hint="eastAsia" w:hAnsi="宋体" w:cs="宋体"/>
                <w:szCs w:val="21"/>
                <w:lang w:val="zh-CN"/>
              </w:rPr>
              <w:t>，对</w:t>
            </w:r>
            <w:r>
              <w:rPr>
                <w:rFonts w:hint="eastAsia" w:hAnsi="宋体" w:cs="宋体"/>
                <w:szCs w:val="21"/>
              </w:rPr>
              <w:t>规范保证金的管理</w:t>
            </w:r>
            <w:r>
              <w:rPr>
                <w:rFonts w:hint="eastAsia" w:hAnsi="宋体" w:cs="宋体"/>
                <w:szCs w:val="21"/>
                <w:lang w:val="zh-CN"/>
              </w:rPr>
              <w:t>，</w:t>
            </w:r>
            <w:r>
              <w:rPr>
                <w:rFonts w:hint="eastAsia" w:hAnsi="宋体" w:cs="宋体"/>
                <w:szCs w:val="21"/>
              </w:rPr>
              <w:t>取消</w:t>
            </w:r>
            <w:r>
              <w:rPr>
                <w:rFonts w:hint="eastAsia" w:hAnsi="宋体" w:cs="宋体"/>
                <w:szCs w:val="21"/>
                <w:lang w:val="zh-CN"/>
              </w:rPr>
              <w:t>收取投标（响应）保证金。</w:t>
            </w:r>
          </w:p>
          <w:p>
            <w:pPr>
              <w:spacing w:line="360" w:lineRule="auto"/>
              <w:rPr>
                <w:rFonts w:ascii="宋体" w:hAnsi="宋体"/>
                <w:szCs w:val="21"/>
              </w:rPr>
            </w:pPr>
            <w:r>
              <w:rPr>
                <w:rFonts w:hint="eastAsia" w:hAnsi="宋体" w:cs="宋体"/>
                <w:szCs w:val="21"/>
                <w:lang w:val="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adjustRightInd w:val="0"/>
              <w:snapToGrid w:val="0"/>
              <w:spacing w:line="360" w:lineRule="auto"/>
              <w:jc w:val="center"/>
              <w:rPr>
                <w:rFonts w:ascii="宋体" w:hAnsi="宋体"/>
                <w:szCs w:val="21"/>
              </w:rPr>
            </w:pPr>
          </w:p>
        </w:tc>
        <w:tc>
          <w:tcPr>
            <w:tcW w:w="1942" w:type="dxa"/>
            <w:tcBorders>
              <w:top w:val="single" w:color="auto" w:sz="8" w:space="0"/>
              <w:left w:val="single" w:color="auto" w:sz="8" w:space="0"/>
              <w:bottom w:val="single" w:color="auto" w:sz="4" w:space="0"/>
              <w:right w:val="single" w:color="auto" w:sz="8" w:space="0"/>
            </w:tcBorders>
            <w:vAlign w:val="center"/>
          </w:tcPr>
          <w:p>
            <w:pPr>
              <w:adjustRightInd w:val="0"/>
              <w:snapToGrid w:val="0"/>
              <w:spacing w:line="360" w:lineRule="auto"/>
              <w:jc w:val="center"/>
              <w:rPr>
                <w:rFonts w:ascii="宋体" w:hAnsi="宋体"/>
                <w:szCs w:val="21"/>
              </w:rPr>
            </w:pPr>
            <w:r>
              <w:rPr>
                <w:rFonts w:hint="eastAsia" w:ascii="宋体" w:hAnsi="宋体" w:cs="宋体"/>
                <w:kern w:val="0"/>
                <w:szCs w:val="21"/>
                <w:lang w:val="zh-CN"/>
              </w:rPr>
              <w:t>履约保证金</w:t>
            </w:r>
          </w:p>
        </w:tc>
        <w:tc>
          <w:tcPr>
            <w:tcW w:w="6680" w:type="dxa"/>
            <w:tcBorders>
              <w:top w:val="single" w:color="auto" w:sz="8" w:space="0"/>
              <w:left w:val="single" w:color="auto" w:sz="8" w:space="0"/>
              <w:bottom w:val="single" w:color="auto" w:sz="4" w:space="0"/>
              <w:right w:val="single" w:color="auto" w:sz="18" w:space="0"/>
            </w:tcBorders>
            <w:vAlign w:val="center"/>
          </w:tcPr>
          <w:p>
            <w:pPr>
              <w:tabs>
                <w:tab w:val="left" w:pos="7665"/>
              </w:tabs>
              <w:adjustRightInd w:val="0"/>
              <w:snapToGrid w:val="0"/>
              <w:spacing w:line="360" w:lineRule="auto"/>
              <w:rPr>
                <w:rFonts w:ascii="宋体" w:hAnsi="宋体" w:cs="宋体"/>
                <w:kern w:val="0"/>
                <w:szCs w:val="21"/>
                <w:lang w:val="zh-CN"/>
              </w:rPr>
            </w:pPr>
            <w:r>
              <w:rPr>
                <w:rFonts w:hint="eastAsia"/>
                <w:lang w:val="zh-CN"/>
              </w:rPr>
              <w:t>详见投标人须知2.6.</w:t>
            </w:r>
            <w:r>
              <w:rPr>
                <w:rFonts w:hint="eastAsia"/>
              </w:rPr>
              <w:t>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jc w:val="center"/>
        </w:trPr>
        <w:tc>
          <w:tcPr>
            <w:tcW w:w="689" w:type="dxa"/>
            <w:tcBorders>
              <w:top w:val="single" w:color="auto" w:sz="4" w:space="0"/>
              <w:left w:val="single" w:color="auto" w:sz="18" w:space="0"/>
              <w:bottom w:val="single" w:color="auto" w:sz="8" w:space="0"/>
              <w:right w:val="single" w:color="auto" w:sz="8" w:space="0"/>
            </w:tcBorders>
            <w:vAlign w:val="center"/>
          </w:tcPr>
          <w:p>
            <w:pPr>
              <w:numPr>
                <w:ilvl w:val="0"/>
                <w:numId w:val="7"/>
              </w:numPr>
              <w:adjustRightInd w:val="0"/>
              <w:snapToGrid w:val="0"/>
              <w:spacing w:line="360" w:lineRule="auto"/>
              <w:jc w:val="center"/>
              <w:rPr>
                <w:rFonts w:ascii="宋体" w:hAnsi="宋体"/>
                <w:szCs w:val="21"/>
              </w:rPr>
            </w:pPr>
          </w:p>
        </w:tc>
        <w:tc>
          <w:tcPr>
            <w:tcW w:w="1942" w:type="dxa"/>
            <w:tcBorders>
              <w:top w:val="single" w:color="auto" w:sz="4" w:space="0"/>
              <w:left w:val="single" w:color="auto" w:sz="8" w:space="0"/>
              <w:bottom w:val="single" w:color="auto" w:sz="8" w:space="0"/>
              <w:right w:val="single" w:color="auto" w:sz="8" w:space="0"/>
            </w:tcBorders>
            <w:vAlign w:val="center"/>
          </w:tcPr>
          <w:p>
            <w:pPr>
              <w:tabs>
                <w:tab w:val="left" w:pos="7665"/>
              </w:tabs>
              <w:adjustRightInd w:val="0"/>
              <w:snapToGrid w:val="0"/>
              <w:spacing w:line="360" w:lineRule="auto"/>
            </w:pPr>
            <w:r>
              <w:rPr>
                <w:rFonts w:hint="eastAsia"/>
              </w:rPr>
              <w:t>投标文件组成</w:t>
            </w:r>
          </w:p>
        </w:tc>
        <w:tc>
          <w:tcPr>
            <w:tcW w:w="6680" w:type="dxa"/>
            <w:tcBorders>
              <w:top w:val="single" w:color="auto" w:sz="4" w:space="0"/>
              <w:left w:val="single" w:color="auto" w:sz="8" w:space="0"/>
              <w:bottom w:val="single" w:color="auto" w:sz="8" w:space="0"/>
              <w:right w:val="single" w:color="auto" w:sz="18" w:space="0"/>
            </w:tcBorders>
            <w:vAlign w:val="center"/>
          </w:tcPr>
          <w:p>
            <w:pPr>
              <w:tabs>
                <w:tab w:val="left" w:pos="7665"/>
              </w:tabs>
              <w:adjustRightInd w:val="0"/>
              <w:snapToGrid w:val="0"/>
              <w:spacing w:line="360" w:lineRule="auto"/>
            </w:pPr>
            <w:r>
              <w:rPr>
                <w:rFonts w:hint="eastAsia"/>
              </w:rPr>
              <w:t>第一部分“资格性投标文件”</w:t>
            </w:r>
          </w:p>
          <w:p>
            <w:pPr>
              <w:tabs>
                <w:tab w:val="left" w:pos="7665"/>
              </w:tabs>
              <w:adjustRightInd w:val="0"/>
              <w:snapToGrid w:val="0"/>
              <w:spacing w:line="360" w:lineRule="auto"/>
            </w:pPr>
            <w:r>
              <w:rPr>
                <w:rFonts w:hint="eastAsia"/>
              </w:rPr>
              <w:t>第二部分“其他响应性投标文件”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adjustRightInd w:val="0"/>
              <w:snapToGrid w:val="0"/>
              <w:spacing w:line="360" w:lineRule="auto"/>
              <w:jc w:val="center"/>
              <w:rPr>
                <w:rFonts w:ascii="宋体" w:hAnsi="宋体"/>
                <w:szCs w:val="21"/>
              </w:rPr>
            </w:pPr>
          </w:p>
        </w:tc>
        <w:tc>
          <w:tcPr>
            <w:tcW w:w="1942"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center"/>
              <w:rPr>
                <w:rFonts w:ascii="宋体" w:hAnsi="宋体"/>
                <w:szCs w:val="21"/>
              </w:rPr>
            </w:pPr>
            <w:r>
              <w:rPr>
                <w:rFonts w:hint="eastAsia" w:ascii="宋体" w:hAnsi="宋体"/>
                <w:szCs w:val="21"/>
              </w:rPr>
              <w:t>投标文件份数</w:t>
            </w:r>
          </w:p>
        </w:tc>
        <w:tc>
          <w:tcPr>
            <w:tcW w:w="6680" w:type="dxa"/>
            <w:tcBorders>
              <w:top w:val="single" w:color="auto" w:sz="8" w:space="0"/>
              <w:left w:val="single" w:color="auto" w:sz="8" w:space="0"/>
              <w:bottom w:val="single" w:color="auto" w:sz="8" w:space="0"/>
              <w:right w:val="single" w:color="auto" w:sz="18" w:space="0"/>
            </w:tcBorders>
            <w:vAlign w:val="center"/>
          </w:tcPr>
          <w:p>
            <w:pPr>
              <w:numPr>
                <w:ilvl w:val="0"/>
                <w:numId w:val="8"/>
              </w:numPr>
              <w:tabs>
                <w:tab w:val="left" w:pos="7665"/>
              </w:tabs>
              <w:adjustRightInd w:val="0"/>
              <w:snapToGrid w:val="0"/>
              <w:spacing w:line="360" w:lineRule="auto"/>
              <w:rPr>
                <w:rFonts w:ascii="宋体" w:hAnsi="宋体"/>
                <w:kern w:val="0"/>
                <w:szCs w:val="21"/>
              </w:rPr>
            </w:pPr>
            <w:r>
              <w:rPr>
                <w:rFonts w:hint="eastAsia" w:ascii="宋体" w:hAnsi="宋体"/>
                <w:kern w:val="0"/>
                <w:szCs w:val="21"/>
              </w:rPr>
              <w:t>第一部分：含正本1份、副本4份</w:t>
            </w:r>
          </w:p>
          <w:p>
            <w:pPr>
              <w:numPr>
                <w:ilvl w:val="0"/>
                <w:numId w:val="8"/>
              </w:numPr>
              <w:tabs>
                <w:tab w:val="left" w:pos="7665"/>
              </w:tabs>
              <w:adjustRightInd w:val="0"/>
              <w:snapToGrid w:val="0"/>
              <w:spacing w:line="360" w:lineRule="auto"/>
              <w:rPr>
                <w:rFonts w:ascii="宋体" w:hAnsi="宋体"/>
                <w:kern w:val="0"/>
                <w:szCs w:val="21"/>
              </w:rPr>
            </w:pPr>
            <w:r>
              <w:rPr>
                <w:rFonts w:hint="eastAsia" w:ascii="宋体" w:hAnsi="宋体"/>
                <w:kern w:val="0"/>
                <w:szCs w:val="21"/>
              </w:rPr>
              <w:t>第二部分：含正本1份、副本4份</w:t>
            </w:r>
          </w:p>
          <w:p>
            <w:pPr>
              <w:numPr>
                <w:ilvl w:val="0"/>
                <w:numId w:val="8"/>
              </w:numPr>
              <w:tabs>
                <w:tab w:val="left" w:pos="7665"/>
              </w:tabs>
              <w:adjustRightInd w:val="0"/>
              <w:snapToGrid w:val="0"/>
              <w:spacing w:line="360" w:lineRule="auto"/>
              <w:rPr>
                <w:rFonts w:ascii="宋体" w:hAnsi="宋体"/>
                <w:szCs w:val="21"/>
              </w:rPr>
            </w:pPr>
            <w:r>
              <w:rPr>
                <w:rFonts w:hint="eastAsia" w:ascii="宋体" w:hAnsi="宋体"/>
                <w:szCs w:val="21"/>
              </w:rPr>
              <w:t>用于开标唱标单独密封提交的“开标一览表”（1份）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adjustRightInd w:val="0"/>
              <w:snapToGrid w:val="0"/>
              <w:spacing w:line="360" w:lineRule="auto"/>
              <w:jc w:val="center"/>
              <w:rPr>
                <w:rFonts w:ascii="宋体" w:hAnsi="宋体"/>
                <w:szCs w:val="21"/>
              </w:rPr>
            </w:pPr>
          </w:p>
        </w:tc>
        <w:tc>
          <w:tcPr>
            <w:tcW w:w="1942" w:type="dxa"/>
            <w:tcBorders>
              <w:top w:val="single" w:color="auto" w:sz="8" w:space="0"/>
              <w:left w:val="single" w:color="auto" w:sz="8" w:space="0"/>
              <w:bottom w:val="single" w:color="auto" w:sz="8" w:space="0"/>
              <w:right w:val="single" w:color="auto" w:sz="8" w:space="0"/>
            </w:tcBorders>
            <w:vAlign w:val="center"/>
          </w:tcPr>
          <w:p>
            <w:pPr>
              <w:tabs>
                <w:tab w:val="left" w:pos="7665"/>
              </w:tabs>
              <w:adjustRightInd w:val="0"/>
              <w:snapToGrid w:val="0"/>
              <w:spacing w:line="360" w:lineRule="auto"/>
              <w:jc w:val="center"/>
              <w:rPr>
                <w:rFonts w:ascii="宋体" w:hAnsi="宋体"/>
                <w:szCs w:val="21"/>
              </w:rPr>
            </w:pPr>
            <w:r>
              <w:rPr>
                <w:rFonts w:hint="eastAsia" w:ascii="宋体" w:hAnsi="宋体"/>
                <w:szCs w:val="21"/>
              </w:rPr>
              <w:t>投标有效期</w:t>
            </w:r>
          </w:p>
        </w:tc>
        <w:tc>
          <w:tcPr>
            <w:tcW w:w="6680" w:type="dxa"/>
            <w:tcBorders>
              <w:top w:val="single" w:color="auto" w:sz="8" w:space="0"/>
              <w:left w:val="single" w:color="auto" w:sz="8" w:space="0"/>
              <w:bottom w:val="single" w:color="auto" w:sz="8" w:space="0"/>
              <w:right w:val="single" w:color="auto" w:sz="18" w:space="0"/>
            </w:tcBorders>
            <w:vAlign w:val="center"/>
          </w:tcPr>
          <w:p>
            <w:pPr>
              <w:tabs>
                <w:tab w:val="left" w:pos="7665"/>
              </w:tabs>
              <w:adjustRightInd w:val="0"/>
              <w:snapToGrid w:val="0"/>
              <w:spacing w:line="360" w:lineRule="auto"/>
              <w:rPr>
                <w:rFonts w:ascii="宋体" w:hAnsi="宋体"/>
                <w:szCs w:val="21"/>
              </w:rPr>
            </w:pPr>
            <w:r>
              <w:rPr>
                <w:rFonts w:hint="eastAsia" w:ascii="宋体" w:hAnsi="宋体"/>
                <w:szCs w:val="21"/>
              </w:rPr>
              <w:t>开标后</w:t>
            </w:r>
            <w:r>
              <w:rPr>
                <w:rFonts w:hint="eastAsia" w:ascii="宋体" w:hAnsi="宋体"/>
                <w:szCs w:val="21"/>
                <w:u w:val="single"/>
              </w:rPr>
              <w:t xml:space="preserve"> 120</w:t>
            </w:r>
            <w:r>
              <w:rPr>
                <w:rFonts w:hint="eastAsia" w:ascii="宋体" w:hAnsi="宋体"/>
                <w:szCs w:val="21"/>
              </w:rPr>
              <w:t>天，从投标截止之日起计算。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9"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adjustRightInd w:val="0"/>
              <w:snapToGrid w:val="0"/>
              <w:spacing w:line="360" w:lineRule="auto"/>
              <w:jc w:val="center"/>
              <w:rPr>
                <w:rFonts w:ascii="宋体" w:hAnsi="宋体"/>
                <w:szCs w:val="21"/>
              </w:rPr>
            </w:pPr>
          </w:p>
        </w:tc>
        <w:tc>
          <w:tcPr>
            <w:tcW w:w="1942" w:type="dxa"/>
            <w:tcBorders>
              <w:top w:val="single" w:color="auto" w:sz="8" w:space="0"/>
              <w:left w:val="single" w:color="auto" w:sz="8" w:space="0"/>
              <w:bottom w:val="single" w:color="auto" w:sz="8" w:space="0"/>
              <w:right w:val="single" w:color="auto" w:sz="8" w:space="0"/>
            </w:tcBorders>
            <w:vAlign w:val="center"/>
          </w:tcPr>
          <w:p>
            <w:pPr>
              <w:tabs>
                <w:tab w:val="left" w:pos="7665"/>
              </w:tabs>
              <w:adjustRightInd w:val="0"/>
              <w:snapToGrid w:val="0"/>
              <w:spacing w:line="360" w:lineRule="auto"/>
              <w:jc w:val="left"/>
              <w:rPr>
                <w:rFonts w:ascii="宋体" w:hAnsi="宋体"/>
                <w:szCs w:val="21"/>
              </w:rPr>
            </w:pPr>
            <w:r>
              <w:rPr>
                <w:rFonts w:hint="eastAsia" w:ascii="宋体" w:hAnsi="宋体"/>
                <w:szCs w:val="21"/>
              </w:rPr>
              <w:t>投标文件的印制和签署</w:t>
            </w:r>
          </w:p>
        </w:tc>
        <w:tc>
          <w:tcPr>
            <w:tcW w:w="6680" w:type="dxa"/>
            <w:tcBorders>
              <w:top w:val="single" w:color="auto" w:sz="8" w:space="0"/>
              <w:left w:val="single" w:color="auto" w:sz="8" w:space="0"/>
              <w:bottom w:val="single" w:color="auto" w:sz="8" w:space="0"/>
              <w:right w:val="single" w:color="auto" w:sz="18" w:space="0"/>
            </w:tcBorders>
            <w:vAlign w:val="center"/>
          </w:tcPr>
          <w:p>
            <w:pPr>
              <w:tabs>
                <w:tab w:val="left" w:pos="7665"/>
              </w:tabs>
              <w:adjustRightInd w:val="0"/>
              <w:snapToGrid w:val="0"/>
              <w:spacing w:line="360" w:lineRule="auto"/>
              <w:jc w:val="left"/>
              <w:rPr>
                <w:rFonts w:ascii="宋体" w:hAnsi="宋体"/>
                <w:szCs w:val="21"/>
              </w:rPr>
            </w:pPr>
            <w:r>
              <w:rPr>
                <w:rFonts w:hint="eastAsia" w:ascii="宋体" w:hAnsi="宋体"/>
                <w:szCs w:val="21"/>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adjustRightInd w:val="0"/>
              <w:snapToGrid w:val="0"/>
              <w:spacing w:line="360" w:lineRule="auto"/>
              <w:jc w:val="center"/>
              <w:rPr>
                <w:rFonts w:ascii="宋体" w:hAnsi="宋体"/>
                <w:szCs w:val="21"/>
              </w:rPr>
            </w:pPr>
          </w:p>
        </w:tc>
        <w:tc>
          <w:tcPr>
            <w:tcW w:w="1942" w:type="dxa"/>
            <w:tcBorders>
              <w:top w:val="single" w:color="auto" w:sz="8" w:space="0"/>
              <w:left w:val="single" w:color="auto" w:sz="8" w:space="0"/>
              <w:bottom w:val="single" w:color="auto" w:sz="8" w:space="0"/>
              <w:right w:val="single" w:color="auto" w:sz="8" w:space="0"/>
            </w:tcBorders>
            <w:vAlign w:val="center"/>
          </w:tcPr>
          <w:p>
            <w:pPr>
              <w:tabs>
                <w:tab w:val="left" w:pos="7665"/>
              </w:tabs>
              <w:adjustRightInd w:val="0"/>
              <w:snapToGrid w:val="0"/>
              <w:spacing w:line="360" w:lineRule="auto"/>
              <w:jc w:val="left"/>
              <w:rPr>
                <w:rFonts w:ascii="宋体" w:hAnsi="宋体"/>
                <w:szCs w:val="21"/>
              </w:rPr>
            </w:pPr>
            <w:r>
              <w:rPr>
                <w:rFonts w:hint="eastAsia" w:ascii="宋体" w:hAnsi="宋体"/>
                <w:szCs w:val="21"/>
              </w:rPr>
              <w:t>投标文件的包装、密封、标注</w:t>
            </w:r>
          </w:p>
        </w:tc>
        <w:tc>
          <w:tcPr>
            <w:tcW w:w="6680" w:type="dxa"/>
            <w:tcBorders>
              <w:top w:val="single" w:color="auto" w:sz="8" w:space="0"/>
              <w:left w:val="single" w:color="auto" w:sz="8" w:space="0"/>
              <w:bottom w:val="single" w:color="auto" w:sz="8" w:space="0"/>
              <w:right w:val="single" w:color="auto" w:sz="18" w:space="0"/>
            </w:tcBorders>
            <w:vAlign w:val="center"/>
          </w:tcPr>
          <w:p>
            <w:pPr>
              <w:tabs>
                <w:tab w:val="left" w:pos="7665"/>
              </w:tabs>
              <w:adjustRightInd w:val="0"/>
              <w:snapToGrid w:val="0"/>
              <w:spacing w:line="360" w:lineRule="auto"/>
              <w:jc w:val="left"/>
              <w:rPr>
                <w:rFonts w:ascii="宋体" w:hAnsi="宋体"/>
                <w:szCs w:val="21"/>
              </w:rPr>
            </w:pPr>
            <w:r>
              <w:rPr>
                <w:rFonts w:hint="eastAsia" w:ascii="宋体" w:hAnsi="宋体"/>
                <w:szCs w:val="21"/>
              </w:rPr>
              <w:t>详见投标人须知2.4.12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adjustRightInd w:val="0"/>
              <w:snapToGrid w:val="0"/>
              <w:spacing w:line="360" w:lineRule="auto"/>
              <w:jc w:val="center"/>
              <w:rPr>
                <w:rFonts w:ascii="宋体" w:hAnsi="宋体"/>
                <w:szCs w:val="21"/>
              </w:rPr>
            </w:pPr>
          </w:p>
        </w:tc>
        <w:tc>
          <w:tcPr>
            <w:tcW w:w="1942" w:type="dxa"/>
            <w:tcBorders>
              <w:top w:val="single" w:color="auto" w:sz="8" w:space="0"/>
              <w:left w:val="single" w:color="auto" w:sz="8" w:space="0"/>
              <w:bottom w:val="single" w:color="auto" w:sz="8" w:space="0"/>
              <w:right w:val="single" w:color="auto" w:sz="8" w:space="0"/>
            </w:tcBorders>
            <w:vAlign w:val="center"/>
          </w:tcPr>
          <w:p>
            <w:pPr>
              <w:tabs>
                <w:tab w:val="left" w:pos="7665"/>
              </w:tabs>
              <w:adjustRightInd w:val="0"/>
              <w:snapToGrid w:val="0"/>
              <w:spacing w:line="360" w:lineRule="auto"/>
              <w:jc w:val="left"/>
              <w:rPr>
                <w:rFonts w:ascii="宋体" w:hAnsi="宋体"/>
                <w:szCs w:val="21"/>
              </w:rPr>
            </w:pPr>
            <w:r>
              <w:rPr>
                <w:rFonts w:hint="eastAsia" w:ascii="宋体" w:hAnsi="宋体"/>
                <w:szCs w:val="21"/>
              </w:rPr>
              <w:t>本项目所属行业</w:t>
            </w:r>
          </w:p>
        </w:tc>
        <w:tc>
          <w:tcPr>
            <w:tcW w:w="6680" w:type="dxa"/>
            <w:tcBorders>
              <w:top w:val="single" w:color="auto" w:sz="8" w:space="0"/>
              <w:left w:val="single" w:color="auto" w:sz="8" w:space="0"/>
              <w:bottom w:val="single" w:color="auto" w:sz="8" w:space="0"/>
              <w:right w:val="single" w:color="auto" w:sz="18" w:space="0"/>
            </w:tcBorders>
            <w:vAlign w:val="center"/>
          </w:tcPr>
          <w:p>
            <w:pPr>
              <w:tabs>
                <w:tab w:val="left" w:pos="7665"/>
              </w:tabs>
              <w:adjustRightInd w:val="0"/>
              <w:snapToGrid w:val="0"/>
              <w:spacing w:line="360" w:lineRule="auto"/>
              <w:jc w:val="left"/>
              <w:rPr>
                <w:rFonts w:ascii="宋体" w:hAnsi="宋体"/>
                <w:szCs w:val="21"/>
              </w:rPr>
            </w:pPr>
            <w:r>
              <w:rPr>
                <w:rFonts w:hint="eastAsia" w:ascii="宋体" w:hAnsi="宋体"/>
                <w:szCs w:val="21"/>
              </w:rPr>
              <w:t>其他未列明行业。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7"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adjustRightInd w:val="0"/>
              <w:snapToGrid w:val="0"/>
              <w:spacing w:line="360" w:lineRule="auto"/>
              <w:jc w:val="center"/>
              <w:rPr>
                <w:rFonts w:ascii="宋体" w:hAnsi="宋体"/>
                <w:szCs w:val="21"/>
              </w:rPr>
            </w:pPr>
          </w:p>
        </w:tc>
        <w:tc>
          <w:tcPr>
            <w:tcW w:w="1942"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left"/>
              <w:rPr>
                <w:rFonts w:ascii="宋体" w:hAnsi="宋体"/>
                <w:szCs w:val="21"/>
              </w:rPr>
            </w:pPr>
            <w:r>
              <w:rPr>
                <w:rFonts w:hint="eastAsia" w:ascii="宋体" w:hAnsi="宋体"/>
                <w:szCs w:val="21"/>
              </w:rPr>
              <w:t>对招标文件中投标人参加本次政府采购活动应当具备的条件、招标项目服务、商务及其他要求以及评标细则及标准的询问、质疑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tabs>
                <w:tab w:val="left" w:pos="7665"/>
              </w:tabs>
              <w:adjustRightInd w:val="0"/>
              <w:snapToGrid w:val="0"/>
              <w:spacing w:line="360" w:lineRule="auto"/>
              <w:rPr>
                <w:rFonts w:hint="eastAsia" w:ascii="宋体" w:hAnsi="宋体" w:eastAsia="宋体"/>
                <w:kern w:val="0"/>
                <w:szCs w:val="21"/>
                <w:lang w:val="en-US" w:eastAsia="zh-CN"/>
              </w:rPr>
            </w:pPr>
            <w:r>
              <w:rPr>
                <w:rFonts w:hint="eastAsia" w:ascii="宋体" w:hAnsi="宋体"/>
                <w:szCs w:val="21"/>
              </w:rPr>
              <w:t>向</w:t>
            </w:r>
            <w:r>
              <w:rPr>
                <w:rFonts w:hint="eastAsia" w:ascii="宋体" w:hAnsi="宋体"/>
                <w:szCs w:val="21"/>
                <w:lang w:val="en-US" w:eastAsia="zh-CN"/>
              </w:rPr>
              <w:t>采购人或</w:t>
            </w:r>
            <w:r>
              <w:rPr>
                <w:rFonts w:hint="eastAsia" w:ascii="宋体" w:hAnsi="宋体"/>
                <w:szCs w:val="21"/>
              </w:rPr>
              <w:t>采购</w:t>
            </w:r>
            <w:r>
              <w:rPr>
                <w:rFonts w:hint="eastAsia" w:ascii="宋体" w:hAnsi="宋体"/>
                <w:szCs w:val="21"/>
                <w:lang w:val="en-US" w:eastAsia="zh-CN"/>
              </w:rPr>
              <w:t>代理机构</w:t>
            </w:r>
            <w:r>
              <w:rPr>
                <w:rFonts w:hint="eastAsia" w:ascii="宋体" w:hAnsi="宋体"/>
                <w:szCs w:val="21"/>
              </w:rPr>
              <w:t>提出，并由</w:t>
            </w:r>
            <w:r>
              <w:rPr>
                <w:rFonts w:hint="eastAsia" w:ascii="宋体" w:hAnsi="宋体"/>
                <w:szCs w:val="21"/>
                <w:lang w:val="en-US" w:eastAsia="zh-CN"/>
              </w:rPr>
              <w:t>采购人或</w:t>
            </w:r>
            <w:r>
              <w:rPr>
                <w:rFonts w:hint="eastAsia" w:ascii="宋体" w:hAnsi="宋体"/>
                <w:szCs w:val="21"/>
                <w:highlight w:val="none"/>
              </w:rPr>
              <w:t>采购</w:t>
            </w:r>
            <w:r>
              <w:rPr>
                <w:rFonts w:hint="eastAsia" w:ascii="宋体" w:hAnsi="宋体"/>
                <w:szCs w:val="21"/>
                <w:highlight w:val="none"/>
                <w:lang w:val="en-US" w:eastAsia="zh-CN"/>
              </w:rPr>
              <w:t>代理机构</w:t>
            </w:r>
            <w:r>
              <w:rPr>
                <w:rFonts w:hint="eastAsia" w:ascii="宋体" w:hAnsi="宋体"/>
                <w:szCs w:val="21"/>
                <w:highlight w:val="none"/>
              </w:rPr>
              <w:t>按相</w:t>
            </w:r>
            <w:r>
              <w:rPr>
                <w:rFonts w:hint="eastAsia" w:ascii="宋体" w:hAnsi="宋体"/>
                <w:szCs w:val="21"/>
              </w:rPr>
              <w:t>关规定作出答复（详见投标人须知2.8）</w:t>
            </w:r>
            <w:r>
              <w:rPr>
                <w:rFonts w:hint="eastAsia" w:ascii="宋体" w:hAnsi="宋体"/>
                <w:szCs w:val="21"/>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7" w:hRule="atLeast"/>
          <w:jc w:val="center"/>
        </w:trPr>
        <w:tc>
          <w:tcPr>
            <w:tcW w:w="689" w:type="dxa"/>
            <w:tcBorders>
              <w:top w:val="single" w:color="auto" w:sz="8" w:space="0"/>
              <w:left w:val="single" w:color="auto" w:sz="18" w:space="0"/>
              <w:bottom w:val="single" w:color="auto" w:sz="8" w:space="0"/>
              <w:right w:val="single" w:color="auto" w:sz="8" w:space="0"/>
            </w:tcBorders>
            <w:vAlign w:val="center"/>
          </w:tcPr>
          <w:p>
            <w:pPr>
              <w:numPr>
                <w:ilvl w:val="0"/>
                <w:numId w:val="7"/>
              </w:numPr>
              <w:adjustRightInd w:val="0"/>
              <w:snapToGrid w:val="0"/>
              <w:spacing w:line="360" w:lineRule="auto"/>
              <w:jc w:val="center"/>
              <w:rPr>
                <w:rFonts w:ascii="宋体" w:hAnsi="宋体"/>
                <w:szCs w:val="21"/>
              </w:rPr>
            </w:pPr>
          </w:p>
        </w:tc>
        <w:tc>
          <w:tcPr>
            <w:tcW w:w="1942"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jc w:val="left"/>
              <w:rPr>
                <w:rFonts w:ascii="宋体" w:hAnsi="宋体"/>
                <w:szCs w:val="21"/>
              </w:rPr>
            </w:pPr>
            <w:r>
              <w:rPr>
                <w:rFonts w:hint="eastAsia" w:ascii="宋体" w:hAnsi="宋体"/>
                <w:szCs w:val="21"/>
              </w:rPr>
              <w:t>对招标文件中的其他内容、采购过程及中标结果的询问、质疑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tabs>
                <w:tab w:val="left" w:pos="7665"/>
              </w:tabs>
              <w:adjustRightInd w:val="0"/>
              <w:snapToGrid w:val="0"/>
              <w:spacing w:line="360" w:lineRule="auto"/>
              <w:rPr>
                <w:rFonts w:ascii="宋体" w:hAnsi="宋体"/>
                <w:kern w:val="0"/>
                <w:szCs w:val="21"/>
              </w:rPr>
            </w:pPr>
            <w:r>
              <w:rPr>
                <w:rFonts w:hint="eastAsia" w:ascii="宋体" w:hAnsi="宋体"/>
                <w:kern w:val="0"/>
                <w:szCs w:val="21"/>
              </w:rPr>
              <w:t>向采购代理机构提出，</w:t>
            </w:r>
            <w:r>
              <w:rPr>
                <w:rFonts w:hint="eastAsia" w:ascii="宋体" w:hAnsi="宋体"/>
                <w:szCs w:val="21"/>
              </w:rPr>
              <w:t>并由采购代理机构按相关规定作出答复（详见投标人须知2.8）。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adjustRightInd w:val="0"/>
              <w:snapToGrid w:val="0"/>
              <w:spacing w:line="360" w:lineRule="auto"/>
              <w:ind w:left="0" w:firstLine="0"/>
              <w:jc w:val="center"/>
              <w:rPr>
                <w:rFonts w:ascii="宋体" w:hAnsi="宋体"/>
                <w:szCs w:val="21"/>
              </w:rPr>
            </w:pPr>
          </w:p>
        </w:tc>
        <w:tc>
          <w:tcPr>
            <w:tcW w:w="1942" w:type="dxa"/>
            <w:tcBorders>
              <w:top w:val="single" w:color="auto" w:sz="8" w:space="0"/>
              <w:left w:val="single" w:color="auto" w:sz="8" w:space="0"/>
              <w:bottom w:val="single" w:color="auto" w:sz="4" w:space="0"/>
              <w:right w:val="single" w:color="auto" w:sz="8" w:space="0"/>
            </w:tcBorders>
            <w:vAlign w:val="center"/>
          </w:tcPr>
          <w:p>
            <w:pPr>
              <w:adjustRightInd w:val="0"/>
              <w:snapToGrid w:val="0"/>
              <w:spacing w:line="360" w:lineRule="auto"/>
              <w:jc w:val="center"/>
              <w:rPr>
                <w:rFonts w:ascii="宋体" w:hAnsi="宋体" w:cs="宋体"/>
                <w:kern w:val="0"/>
                <w:szCs w:val="21"/>
                <w:lang w:val="zh-CN"/>
              </w:rPr>
            </w:pPr>
            <w:r>
              <w:rPr>
                <w:rFonts w:hint="eastAsia" w:ascii="宋体" w:hAnsi="宋体" w:cs="宋体"/>
                <w:kern w:val="0"/>
                <w:szCs w:val="21"/>
                <w:lang w:val="zh-CN"/>
              </w:rPr>
              <w:t>评标情况公告</w:t>
            </w:r>
          </w:p>
        </w:tc>
        <w:tc>
          <w:tcPr>
            <w:tcW w:w="6680" w:type="dxa"/>
            <w:tcBorders>
              <w:top w:val="single" w:color="auto" w:sz="8" w:space="0"/>
              <w:left w:val="single" w:color="auto" w:sz="8" w:space="0"/>
              <w:bottom w:val="single" w:color="auto" w:sz="4" w:space="0"/>
              <w:right w:val="single" w:color="auto" w:sz="18" w:space="0"/>
            </w:tcBorders>
            <w:vAlign w:val="center"/>
          </w:tcPr>
          <w:p>
            <w:pPr>
              <w:widowControl/>
              <w:tabs>
                <w:tab w:val="left" w:pos="7665"/>
              </w:tabs>
              <w:adjustRightInd w:val="0"/>
              <w:snapToGrid w:val="0"/>
              <w:spacing w:line="360" w:lineRule="auto"/>
              <w:jc w:val="left"/>
              <w:rPr>
                <w:rFonts w:ascii="宋体" w:hAnsi="宋体" w:cs="宋体"/>
                <w:kern w:val="0"/>
                <w:szCs w:val="21"/>
                <w:lang w:val="zh-CN"/>
              </w:rPr>
            </w:pPr>
            <w:r>
              <w:rPr>
                <w:rFonts w:hint="eastAsia" w:ascii="宋体" w:hAnsi="宋体" w:cs="宋体"/>
                <w:kern w:val="0"/>
                <w:szCs w:val="21"/>
                <w:lang w:val="zh-CN"/>
              </w:rPr>
              <w:t>所有</w:t>
            </w:r>
            <w:r>
              <w:rPr>
                <w:rFonts w:hint="eastAsia" w:ascii="宋体" w:hAnsi="宋体"/>
                <w:szCs w:val="21"/>
              </w:rPr>
              <w:t>投标人</w:t>
            </w:r>
            <w:r>
              <w:rPr>
                <w:rFonts w:hint="eastAsia" w:ascii="宋体" w:hAnsi="宋体" w:cs="宋体"/>
                <w:kern w:val="0"/>
                <w:szCs w:val="21"/>
                <w:lang w:val="zh-CN"/>
              </w:rPr>
              <w:t>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adjustRightInd w:val="0"/>
              <w:snapToGrid w:val="0"/>
              <w:spacing w:line="360" w:lineRule="auto"/>
              <w:ind w:left="0" w:firstLine="0"/>
              <w:jc w:val="center"/>
              <w:rPr>
                <w:rFonts w:ascii="宋体" w:hAnsi="宋体"/>
                <w:szCs w:val="21"/>
              </w:rPr>
            </w:pPr>
          </w:p>
        </w:tc>
        <w:tc>
          <w:tcPr>
            <w:tcW w:w="1942" w:type="dxa"/>
            <w:tcBorders>
              <w:top w:val="single" w:color="auto" w:sz="8" w:space="0"/>
              <w:left w:val="single" w:color="auto" w:sz="8" w:space="0"/>
              <w:bottom w:val="single" w:color="auto" w:sz="4" w:space="0"/>
              <w:right w:val="single" w:color="auto" w:sz="8" w:space="0"/>
            </w:tcBorders>
            <w:vAlign w:val="center"/>
          </w:tcPr>
          <w:p>
            <w:pPr>
              <w:adjustRightInd w:val="0"/>
              <w:snapToGrid w:val="0"/>
              <w:spacing w:line="360" w:lineRule="auto"/>
              <w:jc w:val="center"/>
              <w:rPr>
                <w:rFonts w:ascii="宋体" w:hAnsi="宋体"/>
                <w:szCs w:val="21"/>
              </w:rPr>
            </w:pPr>
            <w:r>
              <w:rPr>
                <w:rFonts w:hint="eastAsia" w:ascii="宋体" w:hAnsi="宋体" w:cs="宋体"/>
                <w:kern w:val="0"/>
                <w:szCs w:val="21"/>
                <w:lang w:val="zh-CN"/>
              </w:rPr>
              <w:t>中标通知书领取</w:t>
            </w:r>
          </w:p>
        </w:tc>
        <w:tc>
          <w:tcPr>
            <w:tcW w:w="6680" w:type="dxa"/>
            <w:tcBorders>
              <w:top w:val="single" w:color="auto" w:sz="8" w:space="0"/>
              <w:left w:val="single" w:color="auto" w:sz="8" w:space="0"/>
              <w:bottom w:val="single" w:color="auto" w:sz="4" w:space="0"/>
              <w:right w:val="single" w:color="auto" w:sz="18" w:space="0"/>
            </w:tcBorders>
            <w:vAlign w:val="center"/>
          </w:tcPr>
          <w:p>
            <w:pPr>
              <w:widowControl/>
              <w:adjustRightInd w:val="0"/>
              <w:snapToGrid w:val="0"/>
              <w:spacing w:line="360" w:lineRule="auto"/>
              <w:jc w:val="left"/>
              <w:rPr>
                <w:rFonts w:ascii="宋体" w:hAnsi="宋体"/>
                <w:kern w:val="0"/>
                <w:szCs w:val="21"/>
              </w:rPr>
            </w:pPr>
            <w:r>
              <w:rPr>
                <w:rFonts w:hint="eastAsia" w:ascii="宋体" w:hAnsi="宋体"/>
                <w:kern w:val="0"/>
                <w:szCs w:val="21"/>
              </w:rPr>
              <w:t>中标公告在四川政府采购网上公告后，请中标人凭介绍信及身份证复印件到成都青青工程造价咨询有限责任公司领取中标通知书。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689" w:type="dxa"/>
            <w:tcBorders>
              <w:top w:val="single" w:color="auto" w:sz="8" w:space="0"/>
              <w:left w:val="single" w:color="auto" w:sz="18" w:space="0"/>
              <w:bottom w:val="single" w:color="auto" w:sz="4" w:space="0"/>
              <w:right w:val="single" w:color="auto" w:sz="8" w:space="0"/>
            </w:tcBorders>
            <w:vAlign w:val="center"/>
          </w:tcPr>
          <w:p>
            <w:pPr>
              <w:numPr>
                <w:ilvl w:val="0"/>
                <w:numId w:val="7"/>
              </w:numPr>
              <w:adjustRightInd w:val="0"/>
              <w:snapToGrid w:val="0"/>
              <w:spacing w:line="360" w:lineRule="auto"/>
              <w:ind w:left="0" w:firstLine="0"/>
              <w:jc w:val="center"/>
              <w:rPr>
                <w:rFonts w:ascii="宋体" w:hAnsi="宋体"/>
                <w:szCs w:val="21"/>
              </w:rPr>
            </w:pPr>
          </w:p>
        </w:tc>
        <w:tc>
          <w:tcPr>
            <w:tcW w:w="1942" w:type="dxa"/>
            <w:tcBorders>
              <w:top w:val="single" w:color="auto" w:sz="8" w:space="0"/>
              <w:left w:val="single" w:color="auto" w:sz="8" w:space="0"/>
              <w:bottom w:val="single" w:color="auto" w:sz="4" w:space="0"/>
              <w:right w:val="single" w:color="auto" w:sz="8" w:space="0"/>
            </w:tcBorders>
            <w:vAlign w:val="center"/>
          </w:tcPr>
          <w:p>
            <w:pPr>
              <w:adjustRightInd w:val="0"/>
              <w:snapToGrid w:val="0"/>
              <w:spacing w:line="360" w:lineRule="auto"/>
              <w:jc w:val="center"/>
              <w:rPr>
                <w:rFonts w:ascii="宋体" w:hAnsi="宋体"/>
                <w:szCs w:val="21"/>
              </w:rPr>
            </w:pPr>
            <w:r>
              <w:rPr>
                <w:rFonts w:hint="eastAsia" w:ascii="宋体" w:hAnsi="宋体"/>
                <w:szCs w:val="21"/>
              </w:rPr>
              <w:t>合同签订地点</w:t>
            </w:r>
          </w:p>
        </w:tc>
        <w:tc>
          <w:tcPr>
            <w:tcW w:w="6680" w:type="dxa"/>
            <w:tcBorders>
              <w:top w:val="single" w:color="auto" w:sz="8" w:space="0"/>
              <w:left w:val="single" w:color="auto" w:sz="8" w:space="0"/>
              <w:bottom w:val="single" w:color="auto" w:sz="4" w:space="0"/>
              <w:right w:val="single" w:color="auto" w:sz="18" w:space="0"/>
            </w:tcBorders>
            <w:vAlign w:val="center"/>
          </w:tcPr>
          <w:p>
            <w:pPr>
              <w:tabs>
                <w:tab w:val="left" w:pos="7665"/>
              </w:tabs>
              <w:adjustRightInd w:val="0"/>
              <w:snapToGrid w:val="0"/>
              <w:spacing w:line="360" w:lineRule="auto"/>
              <w:rPr>
                <w:rFonts w:ascii="宋体" w:hAnsi="宋体"/>
                <w:kern w:val="0"/>
                <w:szCs w:val="21"/>
              </w:rPr>
            </w:pPr>
            <w:r>
              <w:rPr>
                <w:rFonts w:hint="eastAsia" w:ascii="宋体" w:hAnsi="宋体"/>
                <w:kern w:val="0"/>
                <w:szCs w:val="21"/>
              </w:rPr>
              <w:t>成都市龙泉驿区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9"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adjustRightInd w:val="0"/>
              <w:snapToGrid w:val="0"/>
              <w:spacing w:line="360" w:lineRule="auto"/>
              <w:ind w:left="0" w:firstLine="0"/>
              <w:jc w:val="center"/>
              <w:rPr>
                <w:rFonts w:ascii="宋体" w:hAnsi="宋体"/>
                <w:szCs w:val="21"/>
              </w:rPr>
            </w:pPr>
          </w:p>
        </w:tc>
        <w:tc>
          <w:tcPr>
            <w:tcW w:w="1942" w:type="dxa"/>
            <w:tcBorders>
              <w:top w:val="single" w:color="auto" w:sz="4" w:space="0"/>
              <w:left w:val="single" w:color="auto" w:sz="8" w:space="0"/>
              <w:bottom w:val="single" w:color="auto" w:sz="4" w:space="0"/>
              <w:right w:val="single" w:color="auto" w:sz="8" w:space="0"/>
            </w:tcBorders>
            <w:vAlign w:val="center"/>
          </w:tcPr>
          <w:p>
            <w:pPr>
              <w:adjustRightInd w:val="0"/>
              <w:snapToGrid w:val="0"/>
              <w:spacing w:line="360" w:lineRule="auto"/>
              <w:ind w:left="210" w:leftChars="100" w:right="210" w:rightChars="100"/>
              <w:jc w:val="left"/>
              <w:rPr>
                <w:rFonts w:ascii="宋体" w:hAnsi="宋体"/>
                <w:szCs w:val="21"/>
              </w:rPr>
            </w:pPr>
            <w:r>
              <w:rPr>
                <w:rFonts w:hint="eastAsia" w:ascii="宋体" w:hAnsi="宋体"/>
                <w:szCs w:val="21"/>
              </w:rPr>
              <w:t>政府采购合同公告、备案</w:t>
            </w:r>
          </w:p>
        </w:tc>
        <w:tc>
          <w:tcPr>
            <w:tcW w:w="6680" w:type="dxa"/>
            <w:tcBorders>
              <w:top w:val="single" w:color="auto" w:sz="4" w:space="0"/>
              <w:left w:val="single" w:color="auto" w:sz="8" w:space="0"/>
              <w:bottom w:val="single" w:color="auto" w:sz="4" w:space="0"/>
              <w:right w:val="single" w:color="auto" w:sz="18" w:space="0"/>
            </w:tcBorders>
            <w:vAlign w:val="center"/>
          </w:tcPr>
          <w:p>
            <w:pPr>
              <w:tabs>
                <w:tab w:val="left" w:pos="7665"/>
              </w:tabs>
              <w:adjustRightInd w:val="0"/>
              <w:snapToGrid w:val="0"/>
              <w:spacing w:line="360" w:lineRule="auto"/>
              <w:ind w:left="-4" w:leftChars="-2" w:right="210" w:firstLine="12" w:firstLineChars="6"/>
              <w:rPr>
                <w:rFonts w:ascii="宋体" w:hAnsi="宋体"/>
                <w:szCs w:val="21"/>
              </w:rPr>
            </w:pPr>
            <w:r>
              <w:rPr>
                <w:rFonts w:hint="eastAsia" w:ascii="宋体" w:hAnsi="宋体"/>
                <w:szCs w:val="21"/>
              </w:rPr>
              <w:t>政府采购合同签订之日，采购人将在四川政府采购网公告政府采购合同；政府采购合同签订之日起</w:t>
            </w:r>
            <w:r>
              <w:rPr>
                <w:rFonts w:hint="eastAsia" w:ascii="宋体" w:hAnsi="宋体"/>
                <w:szCs w:val="21"/>
                <w:highlight w:val="none"/>
              </w:rPr>
              <w:t>七个工作日内</w:t>
            </w:r>
            <w:r>
              <w:rPr>
                <w:rFonts w:hint="eastAsia" w:ascii="宋体" w:hAnsi="宋体"/>
                <w:szCs w:val="21"/>
              </w:rPr>
              <w:t>，采购人将向本采购项目同级财政部门，即</w:t>
            </w:r>
            <w:r>
              <w:rPr>
                <w:rFonts w:hint="eastAsia" w:ascii="宋体" w:hAnsi="宋体"/>
                <w:szCs w:val="21"/>
                <w:lang w:val="zh-CN"/>
              </w:rPr>
              <w:t>成都市龙泉驿区财政局备案</w:t>
            </w:r>
            <w:r>
              <w:rPr>
                <w:rFonts w:hint="eastAsia" w:ascii="宋体" w:hAnsi="宋体"/>
                <w:szCs w:val="21"/>
              </w:rPr>
              <w:t>政府采购</w:t>
            </w:r>
            <w:bookmarkStart w:id="435" w:name="_GoBack"/>
            <w:bookmarkEnd w:id="435"/>
            <w:r>
              <w:rPr>
                <w:rFonts w:hint="eastAsia" w:ascii="宋体" w:hAnsi="宋体"/>
                <w:szCs w:val="21"/>
              </w:rPr>
              <w:t>合同</w:t>
            </w:r>
            <w:r>
              <w:rPr>
                <w:rFonts w:hint="eastAsia" w:ascii="宋体" w:hAnsi="宋体"/>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99" w:hRule="atLeast"/>
          <w:jc w:val="center"/>
        </w:trPr>
        <w:tc>
          <w:tcPr>
            <w:tcW w:w="689" w:type="dxa"/>
            <w:tcBorders>
              <w:top w:val="single" w:color="auto" w:sz="4" w:space="0"/>
              <w:left w:val="single" w:color="auto" w:sz="18" w:space="0"/>
              <w:bottom w:val="single" w:color="auto" w:sz="4" w:space="0"/>
              <w:right w:val="single" w:color="auto" w:sz="8" w:space="0"/>
            </w:tcBorders>
            <w:vAlign w:val="center"/>
          </w:tcPr>
          <w:p>
            <w:pPr>
              <w:numPr>
                <w:ilvl w:val="0"/>
                <w:numId w:val="7"/>
              </w:numPr>
              <w:adjustRightInd w:val="0"/>
              <w:snapToGrid w:val="0"/>
              <w:spacing w:line="360" w:lineRule="auto"/>
              <w:ind w:left="0" w:firstLine="0"/>
              <w:jc w:val="center"/>
              <w:rPr>
                <w:rFonts w:ascii="宋体" w:hAnsi="宋体"/>
                <w:szCs w:val="21"/>
              </w:rPr>
            </w:pPr>
          </w:p>
        </w:tc>
        <w:tc>
          <w:tcPr>
            <w:tcW w:w="1942" w:type="dxa"/>
            <w:tcBorders>
              <w:top w:val="single" w:color="auto" w:sz="4" w:space="0"/>
              <w:left w:val="single" w:color="auto" w:sz="8" w:space="0"/>
              <w:bottom w:val="single" w:color="auto" w:sz="4" w:space="0"/>
              <w:right w:val="single" w:color="auto" w:sz="8" w:space="0"/>
            </w:tcBorders>
            <w:vAlign w:val="center"/>
          </w:tcPr>
          <w:p>
            <w:pPr>
              <w:adjustRightInd w:val="0"/>
              <w:snapToGrid w:val="0"/>
              <w:spacing w:line="360" w:lineRule="auto"/>
              <w:jc w:val="left"/>
              <w:rPr>
                <w:rFonts w:ascii="宋体" w:hAnsi="宋体"/>
                <w:szCs w:val="21"/>
              </w:rPr>
            </w:pPr>
            <w:r>
              <w:rPr>
                <w:rFonts w:hint="eastAsia" w:ascii="宋体" w:hAnsi="宋体"/>
                <w:szCs w:val="21"/>
              </w:rPr>
              <w:t>进口产品（如采购内容中涉及货物采购的）</w:t>
            </w:r>
          </w:p>
        </w:tc>
        <w:tc>
          <w:tcPr>
            <w:tcW w:w="6680" w:type="dxa"/>
            <w:tcBorders>
              <w:top w:val="single" w:color="auto" w:sz="4" w:space="0"/>
              <w:left w:val="single" w:color="auto" w:sz="8" w:space="0"/>
              <w:bottom w:val="single" w:color="auto" w:sz="4" w:space="0"/>
              <w:right w:val="single" w:color="auto" w:sz="18" w:space="0"/>
            </w:tcBorders>
            <w:vAlign w:val="center"/>
          </w:tcPr>
          <w:p>
            <w:pPr>
              <w:tabs>
                <w:tab w:val="left" w:pos="7665"/>
              </w:tabs>
              <w:adjustRightInd w:val="0"/>
              <w:snapToGrid w:val="0"/>
              <w:spacing w:line="360" w:lineRule="auto"/>
              <w:rPr>
                <w:rFonts w:ascii="宋体" w:hAnsi="宋体"/>
                <w:szCs w:val="21"/>
              </w:rPr>
            </w:pPr>
            <w:r>
              <w:rPr>
                <w:rFonts w:hint="eastAsia" w:ascii="宋体" w:hAnsi="宋体"/>
                <w:szCs w:val="21"/>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689" w:type="dxa"/>
            <w:tcBorders>
              <w:top w:val="single" w:color="auto" w:sz="4" w:space="0"/>
              <w:left w:val="single" w:color="auto" w:sz="18" w:space="0"/>
              <w:bottom w:val="single" w:color="auto" w:sz="18" w:space="0"/>
              <w:right w:val="single" w:color="auto" w:sz="8" w:space="0"/>
            </w:tcBorders>
            <w:vAlign w:val="center"/>
          </w:tcPr>
          <w:p>
            <w:pPr>
              <w:numPr>
                <w:ilvl w:val="0"/>
                <w:numId w:val="7"/>
              </w:numPr>
              <w:adjustRightInd w:val="0"/>
              <w:snapToGrid w:val="0"/>
              <w:spacing w:line="360" w:lineRule="auto"/>
              <w:ind w:left="0" w:firstLine="0"/>
              <w:jc w:val="center"/>
              <w:rPr>
                <w:rFonts w:ascii="宋体" w:hAnsi="宋体"/>
                <w:szCs w:val="21"/>
              </w:rPr>
            </w:pPr>
          </w:p>
        </w:tc>
        <w:tc>
          <w:tcPr>
            <w:tcW w:w="8622" w:type="dxa"/>
            <w:gridSpan w:val="2"/>
            <w:tcBorders>
              <w:top w:val="single" w:color="auto" w:sz="4" w:space="0"/>
              <w:left w:val="single" w:color="auto" w:sz="8" w:space="0"/>
              <w:bottom w:val="single" w:color="auto" w:sz="18" w:space="0"/>
              <w:right w:val="single" w:color="auto" w:sz="18" w:space="0"/>
            </w:tcBorders>
            <w:vAlign w:val="center"/>
          </w:tcPr>
          <w:p>
            <w:pPr>
              <w:tabs>
                <w:tab w:val="left" w:pos="7665"/>
              </w:tabs>
              <w:adjustRightInd w:val="0"/>
              <w:snapToGrid w:val="0"/>
              <w:spacing w:line="360" w:lineRule="auto"/>
              <w:ind w:firstLine="420" w:firstLineChars="200"/>
              <w:rPr>
                <w:rFonts w:ascii="宋体" w:hAnsi="宋体"/>
                <w:szCs w:val="21"/>
              </w:rPr>
            </w:pPr>
            <w:r>
              <w:rPr>
                <w:rFonts w:hint="eastAsia" w:ascii="宋体" w:hAnsi="宋体"/>
                <w:szCs w:val="21"/>
              </w:rPr>
              <w:t>采购人</w:t>
            </w:r>
            <w:r>
              <w:rPr>
                <w:rFonts w:hint="eastAsia" w:ascii="宋体" w:hAnsi="宋体"/>
                <w:szCs w:val="21"/>
                <w:highlight w:val="none"/>
              </w:rPr>
              <w:t>和采购代理机构</w:t>
            </w:r>
            <w:r>
              <w:rPr>
                <w:rFonts w:hint="eastAsia" w:ascii="宋体" w:hAnsi="宋体"/>
                <w:szCs w:val="21"/>
              </w:rPr>
              <w:t>可以要求参加政府采购的投标人提供有关资质证明文件和业绩情况，并根据《中华人民共和国政府采购法》规定的投标人条件和采购项目对投标人的特定要求，对投标人的资格进行审查。</w:t>
            </w:r>
          </w:p>
        </w:tc>
      </w:tr>
    </w:tbl>
    <w:p>
      <w:pPr>
        <w:pStyle w:val="4"/>
        <w:adjustRightInd w:val="0"/>
        <w:snapToGrid w:val="0"/>
        <w:spacing w:before="0" w:after="0"/>
        <w:ind w:hanging="1418"/>
      </w:pPr>
      <w:bookmarkStart w:id="32" w:name="_Toc66192148"/>
      <w:bookmarkStart w:id="33" w:name="_Toc6255"/>
      <w:bookmarkStart w:id="34" w:name="_Toc6232"/>
      <w:bookmarkStart w:id="35" w:name="_Toc23134"/>
      <w:bookmarkStart w:id="36" w:name="_Toc13700"/>
      <w:bookmarkStart w:id="37" w:name="_Toc6023"/>
      <w:r>
        <w:rPr>
          <w:rFonts w:hint="eastAsia"/>
        </w:rPr>
        <w:t>总则</w:t>
      </w:r>
      <w:bookmarkEnd w:id="32"/>
      <w:bookmarkEnd w:id="33"/>
      <w:bookmarkEnd w:id="34"/>
      <w:bookmarkEnd w:id="35"/>
      <w:bookmarkEnd w:id="36"/>
      <w:bookmarkEnd w:id="37"/>
    </w:p>
    <w:p>
      <w:pPr>
        <w:pStyle w:val="5"/>
        <w:ind w:left="1050"/>
      </w:pPr>
      <w:r>
        <w:rPr>
          <w:rFonts w:hint="eastAsia"/>
        </w:rPr>
        <w:t>适用范围</w:t>
      </w:r>
    </w:p>
    <w:p>
      <w:pPr>
        <w:numPr>
          <w:ilvl w:val="0"/>
          <w:numId w:val="9"/>
        </w:numPr>
        <w:tabs>
          <w:tab w:val="left" w:pos="1134"/>
        </w:tabs>
        <w:adjustRightInd w:val="0"/>
        <w:snapToGrid w:val="0"/>
        <w:spacing w:line="360" w:lineRule="auto"/>
        <w:ind w:left="0" w:firstLine="484" w:firstLineChars="202"/>
        <w:rPr>
          <w:rFonts w:ascii="宋体" w:hAnsi="宋体"/>
          <w:sz w:val="24"/>
          <w:szCs w:val="24"/>
        </w:rPr>
      </w:pPr>
      <w:r>
        <w:rPr>
          <w:rFonts w:hint="eastAsia" w:ascii="宋体" w:hAnsi="宋体"/>
          <w:sz w:val="24"/>
          <w:szCs w:val="24"/>
        </w:rPr>
        <w:t>本招标文件仅适用于本次公开招标采购项目。</w:t>
      </w:r>
    </w:p>
    <w:p>
      <w:pPr>
        <w:pStyle w:val="5"/>
        <w:ind w:left="1050"/>
      </w:pPr>
      <w:r>
        <w:rPr>
          <w:rFonts w:hint="eastAsia"/>
        </w:rPr>
        <w:t>有关定义</w:t>
      </w:r>
    </w:p>
    <w:p>
      <w:pPr>
        <w:numPr>
          <w:ilvl w:val="0"/>
          <w:numId w:val="10"/>
        </w:numPr>
        <w:tabs>
          <w:tab w:val="left" w:pos="1134"/>
        </w:tabs>
        <w:adjustRightInd w:val="0"/>
        <w:snapToGrid w:val="0"/>
        <w:spacing w:line="360" w:lineRule="auto"/>
        <w:ind w:left="0" w:firstLine="567"/>
        <w:jc w:val="left"/>
        <w:rPr>
          <w:rFonts w:ascii="宋体" w:hAnsi="宋体"/>
          <w:sz w:val="24"/>
          <w:szCs w:val="24"/>
        </w:rPr>
      </w:pPr>
      <w:r>
        <w:rPr>
          <w:rFonts w:hint="eastAsia" w:ascii="宋体" w:hAnsi="宋体"/>
          <w:sz w:val="24"/>
          <w:szCs w:val="24"/>
        </w:rPr>
        <w:t>“采购人”系指依法进行政府采购的龙泉驿区级机关、事业单位、团体组织。本次招标的采购人是：</w:t>
      </w:r>
      <w:r>
        <w:rPr>
          <w:rFonts w:hint="eastAsia" w:ascii="宋体" w:hAnsi="宋体"/>
          <w:b/>
          <w:sz w:val="24"/>
          <w:szCs w:val="24"/>
        </w:rPr>
        <w:t>成都市龙泉驿区审计局。</w:t>
      </w:r>
    </w:p>
    <w:p>
      <w:pPr>
        <w:numPr>
          <w:ilvl w:val="0"/>
          <w:numId w:val="10"/>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“采购代理机构”系指根据采购人的委托依法办理招标事宜的</w:t>
      </w:r>
      <w:r>
        <w:rPr>
          <w:rStyle w:val="57"/>
          <w:rFonts w:hint="eastAsia"/>
          <w:b w:val="0"/>
          <w:sz w:val="24"/>
          <w:szCs w:val="24"/>
        </w:rPr>
        <w:t>采购机构</w:t>
      </w:r>
      <w:r>
        <w:rPr>
          <w:rFonts w:hint="eastAsia" w:ascii="宋体" w:hAnsi="宋体"/>
          <w:sz w:val="24"/>
          <w:szCs w:val="24"/>
        </w:rPr>
        <w:t>。本次招标的采购代理机构是</w:t>
      </w:r>
      <w:r>
        <w:rPr>
          <w:rFonts w:hint="eastAsia" w:ascii="宋体" w:hAnsi="宋体"/>
          <w:b/>
          <w:sz w:val="24"/>
          <w:szCs w:val="24"/>
        </w:rPr>
        <w:t>成都青青工程造价咨询有限责任公司</w:t>
      </w:r>
      <w:r>
        <w:rPr>
          <w:rFonts w:hint="eastAsia" w:ascii="宋体" w:hAnsi="宋体"/>
          <w:sz w:val="24"/>
          <w:szCs w:val="24"/>
        </w:rPr>
        <w:t>，为本次招标采购项目活动的组织方。</w:t>
      </w:r>
    </w:p>
    <w:p>
      <w:pPr>
        <w:numPr>
          <w:ilvl w:val="0"/>
          <w:numId w:val="10"/>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“招标采购单位”系指“采购人”和“采购代理机构”的统称。</w:t>
      </w:r>
    </w:p>
    <w:p>
      <w:pPr>
        <w:numPr>
          <w:ilvl w:val="0"/>
          <w:numId w:val="10"/>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“投标人”系指</w:t>
      </w:r>
      <w:r>
        <w:rPr>
          <w:sz w:val="24"/>
        </w:rPr>
        <w:t>系指响应招标、参加投标竞争的法人、其他组织或者自然人</w:t>
      </w:r>
      <w:r>
        <w:rPr>
          <w:rFonts w:hint="eastAsia"/>
          <w:sz w:val="24"/>
        </w:rPr>
        <w:t>。</w:t>
      </w:r>
    </w:p>
    <w:p>
      <w:pPr>
        <w:pStyle w:val="5"/>
        <w:ind w:left="1050"/>
      </w:pPr>
      <w:bookmarkStart w:id="38" w:name="_Toc183682344"/>
      <w:bookmarkStart w:id="39" w:name="_Toc217446036"/>
      <w:bookmarkStart w:id="40" w:name="_Toc217390843"/>
      <w:bookmarkStart w:id="41" w:name="_Toc183582207"/>
      <w:r>
        <w:rPr>
          <w:rFonts w:hint="eastAsia"/>
        </w:rPr>
        <w:t>合格的投标人</w:t>
      </w:r>
      <w:bookmarkEnd w:id="38"/>
      <w:bookmarkEnd w:id="39"/>
      <w:bookmarkEnd w:id="40"/>
      <w:bookmarkEnd w:id="41"/>
      <w:r>
        <w:rPr>
          <w:rFonts w:hint="eastAsia"/>
        </w:rPr>
        <w:t>（实质性要求）</w:t>
      </w:r>
    </w:p>
    <w:p>
      <w:pPr>
        <w:tabs>
          <w:tab w:val="left" w:pos="7665"/>
        </w:tabs>
        <w:adjustRightInd w:val="0"/>
        <w:snapToGrid w:val="0"/>
        <w:spacing w:line="360" w:lineRule="auto"/>
        <w:ind w:firstLine="484" w:firstLineChars="202"/>
        <w:rPr>
          <w:rFonts w:ascii="宋体" w:hAnsi="宋体"/>
          <w:sz w:val="24"/>
          <w:szCs w:val="24"/>
        </w:rPr>
      </w:pPr>
      <w:r>
        <w:rPr>
          <w:rFonts w:hint="eastAsia" w:ascii="宋体" w:hAnsi="宋体"/>
          <w:sz w:val="24"/>
          <w:szCs w:val="24"/>
        </w:rPr>
        <w:t>合格的投标人应具备以下条件：</w:t>
      </w:r>
    </w:p>
    <w:p>
      <w:pPr>
        <w:pStyle w:val="199"/>
        <w:tabs>
          <w:tab w:val="left" w:pos="1454"/>
        </w:tabs>
        <w:spacing w:before="91" w:line="360" w:lineRule="auto"/>
        <w:ind w:left="880" w:firstLine="0" w:firstLineChars="0"/>
        <w:jc w:val="left"/>
        <w:rPr>
          <w:sz w:val="24"/>
        </w:rPr>
      </w:pPr>
      <w:r>
        <w:rPr>
          <w:rFonts w:hint="eastAsia"/>
          <w:sz w:val="24"/>
        </w:rPr>
        <w:t>一、</w:t>
      </w:r>
      <w:r>
        <w:rPr>
          <w:sz w:val="24"/>
        </w:rPr>
        <w:t>本招标文件规定的投标人资格条件；</w:t>
      </w:r>
    </w:p>
    <w:p>
      <w:pPr>
        <w:pStyle w:val="199"/>
        <w:tabs>
          <w:tab w:val="left" w:pos="1454"/>
        </w:tabs>
        <w:spacing w:before="93" w:line="360" w:lineRule="auto"/>
        <w:ind w:left="880" w:firstLine="0" w:firstLineChars="0"/>
        <w:jc w:val="left"/>
        <w:rPr>
          <w:sz w:val="24"/>
        </w:rPr>
      </w:pPr>
      <w:r>
        <w:rPr>
          <w:rFonts w:hint="eastAsia"/>
          <w:sz w:val="24"/>
        </w:rPr>
        <w:t>二、</w:t>
      </w:r>
      <w:r>
        <w:rPr>
          <w:sz w:val="24"/>
        </w:rPr>
        <w:t>遵守国家有关的法律、法规、规章和其他政策制度；</w:t>
      </w:r>
    </w:p>
    <w:p>
      <w:pPr>
        <w:pStyle w:val="199"/>
        <w:tabs>
          <w:tab w:val="left" w:pos="1454"/>
        </w:tabs>
        <w:spacing w:before="93" w:line="360" w:lineRule="auto"/>
        <w:ind w:firstLine="840" w:firstLineChars="350"/>
        <w:jc w:val="left"/>
        <w:rPr>
          <w:sz w:val="24"/>
        </w:rPr>
      </w:pPr>
      <w:r>
        <w:rPr>
          <w:rFonts w:hint="eastAsia"/>
          <w:sz w:val="24"/>
        </w:rPr>
        <w:t>三、</w:t>
      </w:r>
      <w:r>
        <w:rPr>
          <w:sz w:val="24"/>
        </w:rPr>
        <w:t>向采购代理机构购买了招标文件。</w:t>
      </w:r>
    </w:p>
    <w:p>
      <w:pPr>
        <w:pStyle w:val="5"/>
        <w:ind w:left="1050"/>
      </w:pPr>
      <w:r>
        <w:rPr>
          <w:rFonts w:hint="eastAsia"/>
        </w:rPr>
        <w:t>投标费用（实质性要求）</w:t>
      </w:r>
    </w:p>
    <w:p>
      <w:pPr>
        <w:adjustRightInd w:val="0"/>
        <w:snapToGrid w:val="0"/>
        <w:spacing w:line="360" w:lineRule="auto"/>
        <w:ind w:firstLine="566" w:firstLineChars="236"/>
        <w:rPr>
          <w:rFonts w:ascii="宋体" w:hAnsi="宋体"/>
          <w:sz w:val="24"/>
          <w:szCs w:val="24"/>
        </w:rPr>
      </w:pPr>
      <w:r>
        <w:rPr>
          <w:sz w:val="24"/>
        </w:rPr>
        <w:t>投标人参加投标的有关费用由投标人自行承担。</w:t>
      </w:r>
    </w:p>
    <w:p>
      <w:pPr>
        <w:pStyle w:val="5"/>
        <w:ind w:left="1050"/>
      </w:pPr>
      <w:r>
        <w:rPr>
          <w:rFonts w:hint="eastAsia"/>
        </w:rPr>
        <w:t>充分、公平竞争保障措施（实质性要求）</w:t>
      </w:r>
    </w:p>
    <w:p>
      <w:pPr>
        <w:pStyle w:val="199"/>
        <w:tabs>
          <w:tab w:val="left" w:pos="1280"/>
        </w:tabs>
        <w:spacing w:before="45" w:line="357" w:lineRule="auto"/>
        <w:ind w:right="390" w:firstLine="494"/>
        <w:rPr>
          <w:sz w:val="24"/>
        </w:rPr>
      </w:pPr>
      <w:r>
        <w:rPr>
          <w:rFonts w:hint="eastAsia"/>
          <w:b/>
          <w:spacing w:val="3"/>
          <w:sz w:val="24"/>
        </w:rPr>
        <w:t>一、</w:t>
      </w:r>
      <w:r>
        <w:rPr>
          <w:b/>
          <w:spacing w:val="3"/>
          <w:sz w:val="24"/>
        </w:rPr>
        <w:t>利害关系供应商处理。</w:t>
      </w:r>
      <w:r>
        <w:rPr>
          <w:sz w:val="24"/>
        </w:rPr>
        <w:t>单位负责人为同一人或者存在控股、管理关系的不同供应商不得参加同一合同项下的政府采购活动。如采购项目实行资格预审的，单位负责人为同一人或者存在控股、管理关系的不同供应商可以参加资格预审，但只能由供应商确定其中一家符合条件的供应商参加后续的政府采购活动。违反上述规定的，相关投标文件作为无效处理。</w:t>
      </w:r>
    </w:p>
    <w:p>
      <w:pPr>
        <w:adjustRightInd w:val="0"/>
        <w:snapToGrid w:val="0"/>
        <w:spacing w:line="360" w:lineRule="auto"/>
        <w:ind w:firstLine="566" w:firstLineChars="236"/>
        <w:rPr>
          <w:rFonts w:ascii="宋体" w:hAnsi="宋体"/>
          <w:sz w:val="24"/>
          <w:szCs w:val="24"/>
        </w:rPr>
      </w:pPr>
      <w:r>
        <w:rPr>
          <w:rFonts w:hint="eastAsia" w:ascii="宋体" w:hAnsi="宋体"/>
          <w:sz w:val="24"/>
          <w:szCs w:val="24"/>
        </w:rPr>
        <w:t>二、</w:t>
      </w:r>
      <w:r>
        <w:rPr>
          <w:b/>
          <w:spacing w:val="3"/>
          <w:sz w:val="24"/>
        </w:rPr>
        <w:t>前期参与供应商处理</w:t>
      </w:r>
      <w:r>
        <w:rPr>
          <w:rFonts w:hint="eastAsia"/>
          <w:b/>
          <w:spacing w:val="3"/>
          <w:sz w:val="24"/>
        </w:rPr>
        <w:t>。</w:t>
      </w:r>
      <w:r>
        <w:rPr>
          <w:rFonts w:hint="eastAsia" w:ascii="宋体" w:hAnsi="宋体"/>
          <w:sz w:val="24"/>
          <w:szCs w:val="24"/>
        </w:rPr>
        <w:t>为采购项目提供整体设计、规范编制或者项目管理、监理、检测等服务的供应商，不得再参加该采购项目的其他采购活动。</w:t>
      </w:r>
      <w:r>
        <w:rPr>
          <w:rFonts w:ascii="宋体" w:hAnsi="宋体"/>
          <w:sz w:val="24"/>
          <w:szCs w:val="24"/>
        </w:rPr>
        <w:t>供应商为采购人、采购代理机构在确定采购需求、编制采购文件过程中提供咨询论证，其提供的咨询论证意见成为采购文件中规定的</w:t>
      </w:r>
      <w:r>
        <w:rPr>
          <w:rFonts w:hint="eastAsia" w:ascii="宋体" w:hAnsi="宋体"/>
          <w:sz w:val="24"/>
          <w:szCs w:val="24"/>
        </w:rPr>
        <w:t>投标人</w:t>
      </w:r>
      <w:r>
        <w:rPr>
          <w:rFonts w:ascii="宋体" w:hAnsi="宋体"/>
          <w:sz w:val="24"/>
          <w:szCs w:val="24"/>
        </w:rPr>
        <w:t>资格条件、技术服务商务要求、评审因素和标准、政府采购合同等实质性内容条款的，视同为采购项目提供规范编制。</w:t>
      </w:r>
    </w:p>
    <w:p>
      <w:pPr>
        <w:pStyle w:val="199"/>
        <w:tabs>
          <w:tab w:val="left" w:pos="1283"/>
        </w:tabs>
        <w:spacing w:before="43" w:line="357" w:lineRule="auto"/>
        <w:ind w:right="393" w:firstLine="747" w:firstLineChars="300"/>
        <w:rPr>
          <w:sz w:val="24"/>
        </w:rPr>
      </w:pPr>
      <w:r>
        <w:rPr>
          <w:rFonts w:hint="eastAsia"/>
          <w:b/>
          <w:spacing w:val="4"/>
          <w:sz w:val="24"/>
        </w:rPr>
        <w:t>三、</w:t>
      </w:r>
      <w:r>
        <w:rPr>
          <w:b/>
          <w:spacing w:val="4"/>
          <w:sz w:val="24"/>
        </w:rPr>
        <w:t>利害关系代理人处理。</w:t>
      </w:r>
      <w:r>
        <w:rPr>
          <w:sz w:val="24"/>
        </w:rPr>
        <w:t>2</w:t>
      </w:r>
      <w:r>
        <w:rPr>
          <w:spacing w:val="-5"/>
          <w:sz w:val="24"/>
        </w:rPr>
        <w:t>家以上的供应商不得在同一合同项下的采购项目中， 同时委托同一个自然人、同一家庭的人员、同一单位的人员作为其代理人，否则，其投标文件作为无效处理。</w:t>
      </w:r>
    </w:p>
    <w:p>
      <w:pPr>
        <w:pStyle w:val="2"/>
      </w:pPr>
    </w:p>
    <w:p>
      <w:pPr>
        <w:pStyle w:val="4"/>
        <w:adjustRightInd w:val="0"/>
        <w:snapToGrid w:val="0"/>
        <w:spacing w:before="0" w:after="0"/>
        <w:ind w:hanging="2878"/>
        <w:jc w:val="both"/>
      </w:pPr>
      <w:bookmarkStart w:id="42" w:name="_Toc66192149"/>
      <w:bookmarkStart w:id="43" w:name="_Toc27507"/>
      <w:bookmarkStart w:id="44" w:name="_Toc5040"/>
      <w:bookmarkStart w:id="45" w:name="_Toc10169"/>
      <w:bookmarkStart w:id="46" w:name="_Toc22556"/>
      <w:bookmarkStart w:id="47" w:name="_Toc27512"/>
      <w:r>
        <w:rPr>
          <w:rFonts w:hint="eastAsia"/>
        </w:rPr>
        <w:t>招标文件</w:t>
      </w:r>
      <w:bookmarkEnd w:id="42"/>
      <w:bookmarkEnd w:id="43"/>
      <w:bookmarkEnd w:id="44"/>
      <w:bookmarkEnd w:id="45"/>
      <w:bookmarkEnd w:id="46"/>
      <w:bookmarkEnd w:id="47"/>
    </w:p>
    <w:p>
      <w:pPr>
        <w:pStyle w:val="5"/>
        <w:ind w:left="1050"/>
      </w:pPr>
      <w:bookmarkStart w:id="48" w:name="_Toc183582210"/>
      <w:bookmarkStart w:id="49" w:name="_Toc183682347"/>
      <w:bookmarkStart w:id="50" w:name="_Toc217446039"/>
      <w:r>
        <w:rPr>
          <w:rFonts w:hint="eastAsia"/>
        </w:rPr>
        <w:t>招标文件的构成</w:t>
      </w:r>
      <w:bookmarkEnd w:id="48"/>
      <w:bookmarkEnd w:id="49"/>
      <w:bookmarkEnd w:id="50"/>
    </w:p>
    <w:p>
      <w:pPr>
        <w:numPr>
          <w:ilvl w:val="0"/>
          <w:numId w:val="11"/>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招标文件是投标人准备投标文件和参加投标的依据，同时也是评标的重要依据，</w:t>
      </w:r>
      <w:r>
        <w:t>具有准法律文件性质</w:t>
      </w:r>
      <w:r>
        <w:rPr>
          <w:rFonts w:hint="eastAsia" w:ascii="宋体" w:hAnsi="宋体"/>
          <w:sz w:val="24"/>
          <w:szCs w:val="24"/>
        </w:rPr>
        <w:t>。招标文件用以阐明招标项目所需的资质、技术、服务及报价等所有实质性要求、招标投标程序、有关规定和注意事项以及合同主要条款等。本招标文件包括以下内容：</w:t>
      </w:r>
    </w:p>
    <w:p>
      <w:pPr>
        <w:numPr>
          <w:ilvl w:val="1"/>
          <w:numId w:val="12"/>
        </w:numPr>
        <w:tabs>
          <w:tab w:val="left" w:pos="1134"/>
        </w:tabs>
        <w:adjustRightInd w:val="0"/>
        <w:snapToGrid w:val="0"/>
        <w:spacing w:line="360" w:lineRule="auto"/>
        <w:ind w:left="63" w:firstLine="567"/>
        <w:rPr>
          <w:rFonts w:ascii="宋体" w:hAnsi="宋体"/>
          <w:sz w:val="24"/>
          <w:szCs w:val="24"/>
        </w:rPr>
      </w:pPr>
      <w:r>
        <w:rPr>
          <w:rFonts w:hint="eastAsia" w:ascii="宋体" w:hAnsi="宋体"/>
          <w:sz w:val="24"/>
          <w:szCs w:val="24"/>
        </w:rPr>
        <w:t>招标公告；</w:t>
      </w:r>
    </w:p>
    <w:p>
      <w:pPr>
        <w:numPr>
          <w:ilvl w:val="1"/>
          <w:numId w:val="12"/>
        </w:numPr>
        <w:tabs>
          <w:tab w:val="left" w:pos="1134"/>
        </w:tabs>
        <w:adjustRightInd w:val="0"/>
        <w:snapToGrid w:val="0"/>
        <w:spacing w:line="360" w:lineRule="auto"/>
        <w:ind w:left="63" w:firstLine="567"/>
        <w:rPr>
          <w:rFonts w:ascii="宋体" w:hAnsi="宋体"/>
          <w:sz w:val="24"/>
          <w:szCs w:val="24"/>
        </w:rPr>
      </w:pPr>
      <w:r>
        <w:rPr>
          <w:rFonts w:hint="eastAsia" w:ascii="宋体" w:hAnsi="宋体"/>
          <w:sz w:val="24"/>
          <w:szCs w:val="24"/>
        </w:rPr>
        <w:t>投标人须知（包括投标文件的密封、签署、盖章要求等）；</w:t>
      </w:r>
    </w:p>
    <w:p>
      <w:pPr>
        <w:numPr>
          <w:ilvl w:val="1"/>
          <w:numId w:val="12"/>
        </w:numPr>
        <w:tabs>
          <w:tab w:val="left" w:pos="1134"/>
        </w:tabs>
        <w:adjustRightInd w:val="0"/>
        <w:snapToGrid w:val="0"/>
        <w:spacing w:line="360" w:lineRule="auto"/>
        <w:ind w:left="63" w:firstLine="567"/>
        <w:rPr>
          <w:rFonts w:ascii="宋体" w:hAnsi="宋体"/>
          <w:sz w:val="24"/>
          <w:szCs w:val="24"/>
        </w:rPr>
      </w:pPr>
      <w:r>
        <w:rPr>
          <w:rFonts w:hint="eastAsia" w:ascii="宋体" w:hAnsi="宋体"/>
          <w:sz w:val="24"/>
          <w:szCs w:val="24"/>
        </w:rPr>
        <w:t>投标文件格式；</w:t>
      </w:r>
    </w:p>
    <w:p>
      <w:pPr>
        <w:numPr>
          <w:ilvl w:val="1"/>
          <w:numId w:val="12"/>
        </w:numPr>
        <w:tabs>
          <w:tab w:val="left" w:pos="1134"/>
        </w:tabs>
        <w:adjustRightInd w:val="0"/>
        <w:snapToGrid w:val="0"/>
        <w:spacing w:line="360" w:lineRule="auto"/>
        <w:ind w:left="63" w:firstLine="567"/>
        <w:rPr>
          <w:rFonts w:ascii="宋体" w:hAnsi="宋体"/>
          <w:sz w:val="24"/>
          <w:szCs w:val="24"/>
        </w:rPr>
      </w:pPr>
      <w:r>
        <w:rPr>
          <w:rFonts w:hint="eastAsia" w:ascii="宋体" w:hAnsi="宋体"/>
          <w:sz w:val="24"/>
          <w:szCs w:val="24"/>
        </w:rPr>
        <w:t>投标人的资格、资质性及其他类似效力要求</w:t>
      </w:r>
    </w:p>
    <w:p>
      <w:pPr>
        <w:numPr>
          <w:ilvl w:val="1"/>
          <w:numId w:val="12"/>
        </w:numPr>
        <w:tabs>
          <w:tab w:val="left" w:pos="1134"/>
        </w:tabs>
        <w:adjustRightInd w:val="0"/>
        <w:snapToGrid w:val="0"/>
        <w:spacing w:line="360" w:lineRule="auto"/>
        <w:ind w:left="63" w:firstLine="567"/>
        <w:rPr>
          <w:rFonts w:ascii="宋体" w:hAnsi="宋体"/>
          <w:sz w:val="24"/>
          <w:szCs w:val="24"/>
        </w:rPr>
      </w:pPr>
      <w:r>
        <w:rPr>
          <w:rFonts w:hint="eastAsia" w:ascii="宋体" w:hAnsi="宋体"/>
          <w:sz w:val="24"/>
          <w:szCs w:val="24"/>
        </w:rPr>
        <w:t>投标人应当提供的资格、资质性及其他类似效力要求的相关证明材料</w:t>
      </w:r>
    </w:p>
    <w:p>
      <w:pPr>
        <w:numPr>
          <w:ilvl w:val="1"/>
          <w:numId w:val="12"/>
        </w:numPr>
        <w:tabs>
          <w:tab w:val="left" w:pos="1134"/>
        </w:tabs>
        <w:adjustRightInd w:val="0"/>
        <w:snapToGrid w:val="0"/>
        <w:spacing w:line="360" w:lineRule="auto"/>
        <w:ind w:left="63" w:firstLine="567"/>
        <w:rPr>
          <w:rFonts w:ascii="宋体" w:hAnsi="宋体"/>
          <w:sz w:val="24"/>
          <w:szCs w:val="24"/>
        </w:rPr>
      </w:pPr>
      <w:r>
        <w:rPr>
          <w:rFonts w:hint="eastAsia" w:ascii="宋体" w:hAnsi="宋体"/>
          <w:sz w:val="24"/>
          <w:szCs w:val="24"/>
        </w:rPr>
        <w:t>招标项目服务、商务及其他要求；</w:t>
      </w:r>
    </w:p>
    <w:p>
      <w:pPr>
        <w:numPr>
          <w:ilvl w:val="1"/>
          <w:numId w:val="12"/>
        </w:numPr>
        <w:tabs>
          <w:tab w:val="left" w:pos="1134"/>
        </w:tabs>
        <w:adjustRightInd w:val="0"/>
        <w:snapToGrid w:val="0"/>
        <w:spacing w:line="360" w:lineRule="auto"/>
        <w:ind w:left="63" w:firstLine="567"/>
        <w:rPr>
          <w:rFonts w:ascii="宋体" w:hAnsi="宋体"/>
          <w:sz w:val="24"/>
          <w:szCs w:val="24"/>
        </w:rPr>
      </w:pPr>
      <w:r>
        <w:rPr>
          <w:rFonts w:hint="eastAsia" w:ascii="宋体" w:hAnsi="宋体"/>
          <w:sz w:val="24"/>
          <w:szCs w:val="24"/>
        </w:rPr>
        <w:t>评标办法；</w:t>
      </w:r>
    </w:p>
    <w:p>
      <w:pPr>
        <w:numPr>
          <w:ilvl w:val="1"/>
          <w:numId w:val="12"/>
        </w:numPr>
        <w:tabs>
          <w:tab w:val="left" w:pos="1134"/>
        </w:tabs>
        <w:adjustRightInd w:val="0"/>
        <w:snapToGrid w:val="0"/>
        <w:spacing w:line="360" w:lineRule="auto"/>
        <w:ind w:left="630" w:firstLine="0"/>
        <w:rPr>
          <w:rFonts w:ascii="宋体" w:hAnsi="宋体"/>
          <w:sz w:val="24"/>
          <w:szCs w:val="24"/>
        </w:rPr>
      </w:pPr>
      <w:r>
        <w:rPr>
          <w:rFonts w:hint="eastAsia" w:ascii="宋体" w:hAnsi="宋体"/>
          <w:sz w:val="24"/>
          <w:szCs w:val="24"/>
        </w:rPr>
        <w:t>拟签订合同条款。</w:t>
      </w:r>
    </w:p>
    <w:p>
      <w:pPr>
        <w:numPr>
          <w:ilvl w:val="0"/>
          <w:numId w:val="11"/>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投标人应认真阅读和充分理解招标文件中所有的事项、格式条款和规范要求。投标人没有对招标文件全面做出实质性响应所产生的风险由投标人承担。</w:t>
      </w:r>
    </w:p>
    <w:p>
      <w:pPr>
        <w:pStyle w:val="5"/>
        <w:ind w:left="1050"/>
      </w:pPr>
      <w:bookmarkStart w:id="51" w:name="_Toc183582211"/>
      <w:bookmarkStart w:id="52" w:name="_Toc183682348"/>
      <w:bookmarkStart w:id="53" w:name="_Toc217446040"/>
      <w:r>
        <w:rPr>
          <w:rFonts w:hint="eastAsia"/>
        </w:rPr>
        <w:t>招标文件的澄清</w:t>
      </w:r>
      <w:bookmarkEnd w:id="51"/>
      <w:bookmarkEnd w:id="52"/>
      <w:r>
        <w:rPr>
          <w:rFonts w:hint="eastAsia"/>
        </w:rPr>
        <w:t>和修改</w:t>
      </w:r>
      <w:bookmarkEnd w:id="53"/>
    </w:p>
    <w:p>
      <w:pPr>
        <w:numPr>
          <w:ilvl w:val="0"/>
          <w:numId w:val="13"/>
        </w:numPr>
        <w:tabs>
          <w:tab w:val="left" w:pos="142"/>
          <w:tab w:val="left" w:pos="1134"/>
        </w:tabs>
        <w:adjustRightInd w:val="0"/>
        <w:snapToGrid w:val="0"/>
        <w:spacing w:line="360" w:lineRule="auto"/>
        <w:ind w:left="0" w:firstLine="560"/>
        <w:rPr>
          <w:rFonts w:ascii="宋体" w:hAnsi="宋体"/>
          <w:sz w:val="24"/>
          <w:szCs w:val="24"/>
        </w:rPr>
      </w:pPr>
      <w:r>
        <w:rPr>
          <w:rFonts w:hint="eastAsia" w:ascii="宋体" w:hAnsi="宋体"/>
          <w:sz w:val="24"/>
          <w:szCs w:val="24"/>
        </w:rPr>
        <w:t>在投标截止时间前，招标采购单位无论出于何种原因，可以对招标文件进行澄清或者修改。</w:t>
      </w:r>
    </w:p>
    <w:p>
      <w:pPr>
        <w:numPr>
          <w:ilvl w:val="0"/>
          <w:numId w:val="13"/>
        </w:numPr>
        <w:tabs>
          <w:tab w:val="left" w:pos="142"/>
          <w:tab w:val="left" w:pos="1134"/>
        </w:tabs>
        <w:adjustRightInd w:val="0"/>
        <w:snapToGrid w:val="0"/>
        <w:spacing w:line="360" w:lineRule="auto"/>
        <w:ind w:left="0" w:firstLine="560"/>
        <w:rPr>
          <w:rFonts w:ascii="宋体" w:hAnsi="宋体"/>
          <w:sz w:val="24"/>
          <w:szCs w:val="24"/>
        </w:rPr>
      </w:pPr>
      <w:r>
        <w:rPr>
          <w:rFonts w:hint="eastAsia" w:ascii="宋体" w:hAnsi="宋体"/>
          <w:sz w:val="24"/>
          <w:szCs w:val="24"/>
        </w:rPr>
        <w:t>澄清或者修改的内容，招标采购单位应以书面形式通知潜在投标人，同时在“四川政府采购网</w:t>
      </w:r>
      <w:r>
        <w:rPr>
          <w:rFonts w:ascii="宋体" w:hAnsi="宋体"/>
          <w:sz w:val="24"/>
          <w:szCs w:val="24"/>
        </w:rPr>
        <w:t>”</w:t>
      </w:r>
      <w:r>
        <w:rPr>
          <w:rFonts w:hint="eastAsia" w:ascii="宋体" w:hAnsi="宋体"/>
          <w:sz w:val="24"/>
          <w:szCs w:val="24"/>
        </w:rPr>
        <w:t>上发布更正公告。该澄清或者修改的内容为招标文件的组成部分。</w:t>
      </w:r>
    </w:p>
    <w:p>
      <w:pPr>
        <w:numPr>
          <w:ilvl w:val="0"/>
          <w:numId w:val="13"/>
        </w:numPr>
        <w:tabs>
          <w:tab w:val="left" w:pos="142"/>
          <w:tab w:val="left" w:pos="1134"/>
        </w:tabs>
        <w:adjustRightInd w:val="0"/>
        <w:snapToGrid w:val="0"/>
        <w:spacing w:line="360" w:lineRule="auto"/>
        <w:ind w:left="0" w:firstLine="560"/>
        <w:rPr>
          <w:rFonts w:ascii="宋体" w:hAnsi="宋体"/>
          <w:sz w:val="24"/>
          <w:szCs w:val="24"/>
        </w:rPr>
      </w:pPr>
      <w:r>
        <w:rPr>
          <w:rFonts w:hint="eastAsia" w:ascii="宋体" w:hAnsi="宋体"/>
          <w:sz w:val="24"/>
          <w:szCs w:val="24"/>
        </w:rPr>
        <w:t>澄清或者修改的内容可能影响投标文件编制的，招标采购单位应当在投标截止时间至少15日前对已发出的招标文件进行澄清或者修改，不足15日的应当顺延提交投标文件的截止时间。</w:t>
      </w:r>
    </w:p>
    <w:p>
      <w:pPr>
        <w:numPr>
          <w:ilvl w:val="0"/>
          <w:numId w:val="13"/>
        </w:numPr>
        <w:tabs>
          <w:tab w:val="left" w:pos="142"/>
          <w:tab w:val="left" w:pos="1134"/>
        </w:tabs>
        <w:adjustRightInd w:val="0"/>
        <w:snapToGrid w:val="0"/>
        <w:spacing w:line="360" w:lineRule="auto"/>
        <w:ind w:left="0" w:firstLine="560"/>
        <w:rPr>
          <w:rFonts w:ascii="宋体" w:hAnsi="宋体"/>
          <w:sz w:val="24"/>
          <w:szCs w:val="24"/>
        </w:rPr>
      </w:pPr>
      <w:r>
        <w:rPr>
          <w:rFonts w:hint="eastAsia" w:ascii="宋体" w:hAnsi="宋体"/>
          <w:sz w:val="24"/>
          <w:szCs w:val="24"/>
        </w:rPr>
        <w:t>在投标截止时间前，招标采购单位可以视采购具体情况，延长投标截止时间和开标时间，并在招标文件要求提交投标文件的截止时间三日前，将变更时间以书面形式通知供应商，同时在“四川政府采购网”上发布变更公告。</w:t>
      </w:r>
    </w:p>
    <w:p>
      <w:pPr>
        <w:pStyle w:val="5"/>
        <w:ind w:left="1050"/>
      </w:pPr>
      <w:r>
        <w:rPr>
          <w:rFonts w:hint="eastAsia"/>
        </w:rPr>
        <w:t>答疑会和现场考察</w:t>
      </w:r>
    </w:p>
    <w:p>
      <w:pPr>
        <w:pStyle w:val="199"/>
        <w:tabs>
          <w:tab w:val="left" w:pos="1336"/>
        </w:tabs>
        <w:spacing w:line="360" w:lineRule="auto"/>
        <w:ind w:right="405" w:firstLine="480"/>
        <w:rPr>
          <w:rFonts w:ascii="宋体" w:hAnsi="宋体"/>
          <w:sz w:val="24"/>
          <w:szCs w:val="24"/>
        </w:rPr>
      </w:pPr>
      <w:r>
        <w:rPr>
          <w:rFonts w:hint="eastAsia" w:ascii="宋体" w:hAnsi="宋体"/>
          <w:sz w:val="24"/>
          <w:szCs w:val="24"/>
        </w:rPr>
        <w:t>一、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pStyle w:val="199"/>
        <w:tabs>
          <w:tab w:val="left" w:pos="1333"/>
        </w:tabs>
        <w:spacing w:before="1" w:line="360" w:lineRule="auto"/>
        <w:ind w:left="420" w:leftChars="200" w:firstLine="0" w:firstLineChars="0"/>
      </w:pPr>
      <w:r>
        <w:rPr>
          <w:rFonts w:hint="eastAsia" w:ascii="宋体" w:hAnsi="宋体"/>
          <w:sz w:val="24"/>
          <w:szCs w:val="24"/>
        </w:rPr>
        <w:t>二、供应商考察现场所发生的一切费用由供应商自己承担。</w:t>
      </w:r>
    </w:p>
    <w:p>
      <w:pPr>
        <w:pStyle w:val="4"/>
        <w:adjustRightInd w:val="0"/>
        <w:snapToGrid w:val="0"/>
        <w:spacing w:before="0" w:after="0"/>
        <w:ind w:left="2940" w:hanging="1460"/>
        <w:jc w:val="both"/>
      </w:pPr>
      <w:bookmarkStart w:id="54" w:name="_Toc77400780"/>
      <w:bookmarkStart w:id="55" w:name="_Toc18713"/>
      <w:bookmarkStart w:id="56" w:name="_Toc27166"/>
      <w:bookmarkStart w:id="57" w:name="_Toc89075876"/>
      <w:bookmarkStart w:id="58" w:name="_Toc4560"/>
      <w:bookmarkStart w:id="59" w:name="_Toc183582214"/>
      <w:bookmarkStart w:id="60" w:name="_Toc183682351"/>
      <w:bookmarkStart w:id="61" w:name="_Toc6677"/>
      <w:bookmarkStart w:id="62" w:name="_Toc66192150"/>
      <w:bookmarkStart w:id="63" w:name="_Toc24657"/>
      <w:bookmarkStart w:id="64" w:name="_Toc217446042"/>
      <w:r>
        <w:rPr>
          <w:rFonts w:hint="eastAsia"/>
        </w:rPr>
        <w:t>投标文件</w:t>
      </w:r>
      <w:bookmarkEnd w:id="54"/>
      <w:bookmarkEnd w:id="55"/>
      <w:bookmarkEnd w:id="56"/>
      <w:bookmarkEnd w:id="57"/>
      <w:bookmarkEnd w:id="58"/>
      <w:bookmarkEnd w:id="59"/>
      <w:bookmarkEnd w:id="60"/>
      <w:bookmarkEnd w:id="61"/>
      <w:bookmarkEnd w:id="62"/>
      <w:bookmarkEnd w:id="63"/>
      <w:bookmarkEnd w:id="64"/>
    </w:p>
    <w:p>
      <w:pPr>
        <w:pStyle w:val="5"/>
        <w:ind w:left="1050"/>
      </w:pPr>
      <w:bookmarkStart w:id="65" w:name="_Toc183582215"/>
      <w:bookmarkStart w:id="66" w:name="_Toc217446043"/>
      <w:bookmarkStart w:id="67" w:name="_Toc183682352"/>
      <w:r>
        <w:rPr>
          <w:rFonts w:hint="eastAsia"/>
        </w:rPr>
        <w:t>投标文件的语言</w:t>
      </w:r>
      <w:bookmarkEnd w:id="65"/>
      <w:bookmarkEnd w:id="66"/>
      <w:bookmarkEnd w:id="67"/>
      <w:r>
        <w:rPr>
          <w:rFonts w:hint="eastAsia"/>
        </w:rPr>
        <w:t>（实质性要求）</w:t>
      </w:r>
    </w:p>
    <w:p>
      <w:pPr>
        <w:numPr>
          <w:ilvl w:val="0"/>
          <w:numId w:val="14"/>
        </w:numPr>
        <w:tabs>
          <w:tab w:val="left" w:pos="1134"/>
        </w:tabs>
        <w:adjustRightInd w:val="0"/>
        <w:snapToGrid w:val="0"/>
        <w:spacing w:line="360" w:lineRule="auto"/>
        <w:ind w:left="0" w:firstLine="560"/>
        <w:rPr>
          <w:rFonts w:ascii="宋体" w:hAnsi="宋体"/>
          <w:sz w:val="24"/>
          <w:szCs w:val="24"/>
        </w:rPr>
      </w:pPr>
      <w:r>
        <w:rPr>
          <w:rFonts w:hint="eastAsia" w:ascii="宋体" w:hAnsi="宋体"/>
          <w:sz w:val="24"/>
          <w:szCs w:val="24"/>
        </w:rPr>
        <w:t>投标人提交的投标文件以及投标人与招标采购单位就有关投标的所有来往书面文件均须使用中文，投标文件中所附或引用的外文资料，</w:t>
      </w:r>
      <w:r>
        <w:rPr>
          <w:spacing w:val="-1"/>
          <w:sz w:val="24"/>
        </w:rPr>
        <w:t>必须逐一对</w:t>
      </w:r>
      <w:r>
        <w:rPr>
          <w:rFonts w:hint="eastAsia" w:ascii="宋体" w:hAnsi="宋体"/>
          <w:sz w:val="24"/>
          <w:szCs w:val="24"/>
        </w:rPr>
        <w:t>应翻译成中文并加盖投标人公章后，附在相关外文资料后面，</w:t>
      </w:r>
      <w:r>
        <w:rPr>
          <w:spacing w:val="-1"/>
          <w:sz w:val="24"/>
        </w:rPr>
        <w:t>否则，所提供的外文资料将可能被视为无效材料</w:t>
      </w:r>
      <w:r>
        <w:rPr>
          <w:rFonts w:hint="eastAsia" w:ascii="宋体" w:hAnsi="宋体"/>
          <w:sz w:val="24"/>
          <w:szCs w:val="24"/>
        </w:rPr>
        <w:t>。（说明：投标人的法定代表人为外籍人士的，则法定代表人的签字和护照除外）。</w:t>
      </w:r>
    </w:p>
    <w:p>
      <w:pPr>
        <w:pStyle w:val="199"/>
        <w:tabs>
          <w:tab w:val="left" w:pos="1333"/>
        </w:tabs>
        <w:spacing w:before="160" w:line="362" w:lineRule="auto"/>
        <w:ind w:right="465" w:firstLine="476"/>
        <w:jc w:val="left"/>
        <w:rPr>
          <w:sz w:val="24"/>
        </w:rPr>
      </w:pPr>
      <w:r>
        <w:rPr>
          <w:rFonts w:hint="eastAsia"/>
          <w:spacing w:val="-1"/>
          <w:sz w:val="24"/>
        </w:rPr>
        <w:t>二、</w:t>
      </w:r>
      <w:r>
        <w:rPr>
          <w:spacing w:val="-1"/>
          <w:sz w:val="24"/>
        </w:rPr>
        <w:t>翻译的中文资料与外文资料如果出现差异和矛盾时，以中文为准。涉嫌虚假响</w:t>
      </w:r>
      <w:r>
        <w:rPr>
          <w:sz w:val="24"/>
        </w:rPr>
        <w:t>应的按照《中华人民共和国政府采购法》第七十七条的规定处理。</w:t>
      </w:r>
    </w:p>
    <w:p>
      <w:pPr>
        <w:pStyle w:val="5"/>
        <w:ind w:left="1050"/>
      </w:pPr>
      <w:bookmarkStart w:id="68" w:name="_Toc217446044"/>
      <w:bookmarkStart w:id="69" w:name="_Toc183682353"/>
      <w:bookmarkStart w:id="70" w:name="_Toc183582216"/>
      <w:r>
        <w:rPr>
          <w:rFonts w:hint="eastAsia"/>
        </w:rPr>
        <w:t>计量单位</w:t>
      </w:r>
      <w:bookmarkEnd w:id="68"/>
      <w:bookmarkEnd w:id="69"/>
      <w:bookmarkEnd w:id="70"/>
      <w:r>
        <w:rPr>
          <w:rFonts w:hint="eastAsia"/>
        </w:rPr>
        <w:t>（实质性要求）</w:t>
      </w:r>
    </w:p>
    <w:p>
      <w:pPr>
        <w:tabs>
          <w:tab w:val="left" w:pos="7665"/>
        </w:tabs>
        <w:adjustRightInd w:val="0"/>
        <w:snapToGrid w:val="0"/>
        <w:spacing w:line="360" w:lineRule="auto"/>
        <w:ind w:left="13" w:firstLine="554"/>
        <w:rPr>
          <w:rFonts w:ascii="宋体" w:hAnsi="宋体"/>
          <w:sz w:val="24"/>
          <w:szCs w:val="24"/>
        </w:rPr>
      </w:pPr>
      <w:bookmarkStart w:id="71" w:name="_Toc217446045"/>
      <w:r>
        <w:rPr>
          <w:rFonts w:hint="eastAsia" w:ascii="宋体" w:hAnsi="宋体"/>
          <w:sz w:val="24"/>
          <w:szCs w:val="24"/>
        </w:rPr>
        <w:t>除招标文件中另有规定外，本次采购项目所有合同项下的投标均采用国家法定的计量单位。</w:t>
      </w:r>
    </w:p>
    <w:p>
      <w:pPr>
        <w:pStyle w:val="5"/>
        <w:ind w:left="1050"/>
      </w:pPr>
      <w:r>
        <w:rPr>
          <w:rFonts w:hint="eastAsia"/>
        </w:rPr>
        <w:t>投标货币</w:t>
      </w:r>
      <w:bookmarkEnd w:id="71"/>
      <w:r>
        <w:rPr>
          <w:rFonts w:hint="eastAsia"/>
        </w:rPr>
        <w:t>（实质性要求）</w:t>
      </w:r>
    </w:p>
    <w:p>
      <w:pPr>
        <w:tabs>
          <w:tab w:val="left" w:pos="7665"/>
        </w:tabs>
        <w:adjustRightInd w:val="0"/>
        <w:snapToGrid w:val="0"/>
        <w:spacing w:line="360" w:lineRule="auto"/>
        <w:ind w:left="13" w:firstLine="554"/>
        <w:rPr>
          <w:rFonts w:ascii="宋体" w:hAnsi="宋体"/>
          <w:sz w:val="24"/>
          <w:szCs w:val="24"/>
        </w:rPr>
      </w:pPr>
      <w:r>
        <w:rPr>
          <w:rFonts w:hint="eastAsia" w:ascii="宋体" w:hAnsi="宋体"/>
          <w:sz w:val="24"/>
          <w:szCs w:val="24"/>
        </w:rPr>
        <w:t>本次招标项目的投标均以人民币报价。</w:t>
      </w:r>
    </w:p>
    <w:p>
      <w:pPr>
        <w:pStyle w:val="5"/>
        <w:ind w:left="1050"/>
      </w:pPr>
      <w:bookmarkStart w:id="72" w:name="_Toc217446046"/>
      <w:r>
        <w:rPr>
          <w:rFonts w:hint="eastAsia"/>
        </w:rPr>
        <w:t>联合体投标</w:t>
      </w:r>
      <w:bookmarkEnd w:id="72"/>
      <w:r>
        <w:rPr>
          <w:rFonts w:hint="eastAsia"/>
        </w:rPr>
        <w:t>（实质性要求）</w:t>
      </w:r>
    </w:p>
    <w:p>
      <w:pPr>
        <w:tabs>
          <w:tab w:val="left" w:pos="1134"/>
        </w:tabs>
        <w:adjustRightInd w:val="0"/>
        <w:snapToGrid w:val="0"/>
        <w:spacing w:line="360" w:lineRule="auto"/>
        <w:ind w:left="546"/>
        <w:rPr>
          <w:rFonts w:ascii="宋体" w:hAnsi="宋体"/>
          <w:sz w:val="24"/>
          <w:szCs w:val="24"/>
        </w:rPr>
      </w:pPr>
      <w:bookmarkStart w:id="73" w:name="_Toc217446047"/>
      <w:r>
        <w:rPr>
          <w:rFonts w:hint="eastAsia" w:ascii="宋体" w:hAnsi="宋体"/>
          <w:sz w:val="24"/>
          <w:szCs w:val="24"/>
        </w:rPr>
        <w:t>本次政府采购活动</w:t>
      </w:r>
      <w:r>
        <w:rPr>
          <w:rFonts w:hint="eastAsia" w:ascii="宋体" w:hAnsi="宋体"/>
          <w:b/>
          <w:sz w:val="24"/>
          <w:szCs w:val="24"/>
        </w:rPr>
        <w:t>不接受</w:t>
      </w:r>
      <w:r>
        <w:rPr>
          <w:rFonts w:hint="eastAsia" w:ascii="宋体" w:hAnsi="宋体"/>
          <w:sz w:val="24"/>
          <w:szCs w:val="24"/>
        </w:rPr>
        <w:t>联合体投标。</w:t>
      </w:r>
    </w:p>
    <w:p>
      <w:pPr>
        <w:pStyle w:val="5"/>
        <w:ind w:left="1050"/>
      </w:pPr>
      <w:r>
        <w:rPr>
          <w:rFonts w:hint="eastAsia"/>
        </w:rPr>
        <w:t>知识产权</w:t>
      </w:r>
      <w:bookmarkEnd w:id="73"/>
      <w:r>
        <w:rPr>
          <w:rFonts w:hint="eastAsia"/>
        </w:rPr>
        <w:t>（实质性要求）</w:t>
      </w:r>
    </w:p>
    <w:p>
      <w:pPr>
        <w:pStyle w:val="193"/>
        <w:numPr>
          <w:ilvl w:val="0"/>
          <w:numId w:val="15"/>
        </w:numPr>
        <w:adjustRightInd w:val="0"/>
        <w:snapToGrid w:val="0"/>
        <w:spacing w:line="360" w:lineRule="auto"/>
        <w:ind w:left="0" w:firstLine="549" w:firstLineChars="0"/>
        <w:rPr>
          <w:rFonts w:ascii="宋体" w:hAnsi="宋体"/>
          <w:sz w:val="24"/>
          <w:szCs w:val="24"/>
        </w:rPr>
      </w:pPr>
      <w:bookmarkStart w:id="74" w:name="_Toc183582217"/>
      <w:bookmarkStart w:id="75" w:name="_Toc183682354"/>
      <w:bookmarkStart w:id="76" w:name="_Toc217446048"/>
      <w:r>
        <w:rPr>
          <w:rFonts w:hint="eastAsia" w:ascii="宋体" w:hAnsi="宋体"/>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93"/>
        <w:numPr>
          <w:ilvl w:val="0"/>
          <w:numId w:val="15"/>
        </w:numPr>
        <w:adjustRightInd w:val="0"/>
        <w:snapToGrid w:val="0"/>
        <w:spacing w:line="360" w:lineRule="auto"/>
        <w:ind w:left="0" w:firstLine="549" w:firstLineChars="0"/>
        <w:rPr>
          <w:rFonts w:ascii="宋体" w:hAnsi="宋体"/>
          <w:sz w:val="24"/>
          <w:szCs w:val="24"/>
        </w:rPr>
      </w:pPr>
      <w:r>
        <w:rPr>
          <w:rFonts w:hint="eastAsia" w:ascii="宋体" w:hAnsi="宋体"/>
          <w:sz w:val="24"/>
          <w:szCs w:val="24"/>
        </w:rPr>
        <w:t>采购人享有本项目实施过程中产生的知识成果及知识产权。</w:t>
      </w:r>
    </w:p>
    <w:p>
      <w:pPr>
        <w:pStyle w:val="193"/>
        <w:numPr>
          <w:ilvl w:val="0"/>
          <w:numId w:val="15"/>
        </w:numPr>
        <w:adjustRightInd w:val="0"/>
        <w:snapToGrid w:val="0"/>
        <w:spacing w:line="360" w:lineRule="auto"/>
        <w:ind w:left="0" w:firstLine="549" w:firstLineChars="0"/>
        <w:rPr>
          <w:rFonts w:ascii="宋体" w:hAnsi="宋体"/>
          <w:sz w:val="24"/>
          <w:szCs w:val="24"/>
        </w:rPr>
      </w:pPr>
      <w:r>
        <w:rPr>
          <w:rFonts w:hint="eastAsia" w:ascii="宋体" w:hAnsi="宋体"/>
          <w:sz w:val="24"/>
          <w:szCs w:val="24"/>
        </w:rPr>
        <w:t>投标人如拟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pStyle w:val="193"/>
        <w:numPr>
          <w:ilvl w:val="0"/>
          <w:numId w:val="15"/>
        </w:numPr>
        <w:adjustRightInd w:val="0"/>
        <w:snapToGrid w:val="0"/>
        <w:spacing w:line="360" w:lineRule="auto"/>
        <w:ind w:left="0" w:firstLine="549" w:firstLineChars="0"/>
        <w:rPr>
          <w:rFonts w:ascii="宋体" w:hAnsi="宋体"/>
          <w:sz w:val="24"/>
          <w:szCs w:val="24"/>
        </w:rPr>
      </w:pPr>
      <w:r>
        <w:rPr>
          <w:rFonts w:hint="eastAsia" w:ascii="宋体" w:hAnsi="宋体"/>
          <w:sz w:val="24"/>
          <w:szCs w:val="24"/>
        </w:rPr>
        <w:t>如采用投标人所不拥有的知识产权，则在投标报价中必须包括合法获取该知识产权的相关费用。</w:t>
      </w:r>
    </w:p>
    <w:p>
      <w:pPr>
        <w:pStyle w:val="5"/>
        <w:ind w:left="1050"/>
      </w:pPr>
      <w:r>
        <w:rPr>
          <w:rFonts w:hint="eastAsia"/>
        </w:rPr>
        <w:t>投标文件的组成</w:t>
      </w:r>
      <w:bookmarkEnd w:id="74"/>
      <w:bookmarkEnd w:id="75"/>
      <w:bookmarkEnd w:id="76"/>
    </w:p>
    <w:p>
      <w:pPr>
        <w:adjustRightInd w:val="0"/>
        <w:snapToGrid w:val="0"/>
        <w:spacing w:line="360" w:lineRule="auto"/>
        <w:ind w:firstLine="470" w:firstLineChars="196"/>
        <w:rPr>
          <w:rFonts w:ascii="宋体" w:hAnsi="宋体"/>
          <w:sz w:val="24"/>
          <w:szCs w:val="24"/>
        </w:rPr>
      </w:pPr>
      <w:r>
        <w:rPr>
          <w:rFonts w:hint="eastAsia" w:ascii="宋体" w:hAnsi="宋体"/>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pPr>
        <w:pStyle w:val="8"/>
        <w:numPr>
          <w:ilvl w:val="5"/>
          <w:numId w:val="0"/>
        </w:numPr>
        <w:spacing w:line="312" w:lineRule="auto"/>
        <w:ind w:right="371" w:firstLine="482" w:firstLineChars="200"/>
        <w:rPr>
          <w:sz w:val="24"/>
          <w:szCs w:val="24"/>
        </w:rPr>
      </w:pPr>
      <w:r>
        <w:rPr>
          <w:spacing w:val="6"/>
          <w:w w:val="95"/>
          <w:sz w:val="24"/>
          <w:szCs w:val="24"/>
        </w:rPr>
        <w:t>特别提示：投标文件应分为第一部分、第二部分两册，第一部分应包括投标文件</w:t>
      </w:r>
      <w:r>
        <w:rPr>
          <w:spacing w:val="2"/>
          <w:sz w:val="24"/>
          <w:szCs w:val="24"/>
        </w:rPr>
        <w:t>的所有资格条件响应材料</w:t>
      </w:r>
      <w:r>
        <w:rPr>
          <w:sz w:val="24"/>
          <w:szCs w:val="24"/>
        </w:rPr>
        <w:t>（详见招标文件第四、五章），第二部分应包括投标文件的其他组成部分。</w:t>
      </w:r>
    </w:p>
    <w:p>
      <w:pPr>
        <w:spacing w:line="319" w:lineRule="exact"/>
        <w:ind w:left="884"/>
        <w:jc w:val="left"/>
        <w:rPr>
          <w:b/>
          <w:sz w:val="24"/>
        </w:rPr>
      </w:pPr>
      <w:r>
        <w:rPr>
          <w:b/>
          <w:sz w:val="28"/>
        </w:rPr>
        <w:t>第一部分</w:t>
      </w:r>
      <w:r>
        <w:rPr>
          <w:b/>
          <w:sz w:val="24"/>
        </w:rPr>
        <w:t>：资格性投标文件（用于资格性审查）</w:t>
      </w:r>
    </w:p>
    <w:p>
      <w:pPr>
        <w:pStyle w:val="18"/>
        <w:spacing w:before="80"/>
        <w:ind w:left="420" w:firstLine="480" w:firstLineChars="200"/>
        <w:rPr>
          <w:sz w:val="24"/>
          <w:szCs w:val="24"/>
        </w:rPr>
      </w:pPr>
      <w:r>
        <w:rPr>
          <w:sz w:val="24"/>
          <w:szCs w:val="24"/>
        </w:rPr>
        <w:t>严格按照第四、五章要求提供相关资格、资质性及其他类似效力要求的相关证明材料。</w:t>
      </w:r>
    </w:p>
    <w:p>
      <w:pPr>
        <w:pStyle w:val="199"/>
        <w:tabs>
          <w:tab w:val="left" w:pos="1405"/>
        </w:tabs>
        <w:spacing w:line="360" w:lineRule="auto"/>
        <w:ind w:right="395" w:firstLine="446" w:firstLineChars="175"/>
        <w:jc w:val="left"/>
        <w:rPr>
          <w:b/>
          <w:spacing w:val="7"/>
          <w:sz w:val="24"/>
        </w:rPr>
      </w:pPr>
      <w:r>
        <w:rPr>
          <w:rFonts w:hint="eastAsia"/>
          <w:b/>
          <w:spacing w:val="7"/>
          <w:sz w:val="24"/>
        </w:rPr>
        <w:t>资格性投标文件封面；</w:t>
      </w:r>
    </w:p>
    <w:p>
      <w:pPr>
        <w:pStyle w:val="199"/>
        <w:numPr>
          <w:ilvl w:val="0"/>
          <w:numId w:val="16"/>
        </w:numPr>
        <w:tabs>
          <w:tab w:val="left" w:pos="1405"/>
        </w:tabs>
        <w:spacing w:line="360" w:lineRule="auto"/>
        <w:ind w:right="395" w:firstLine="446" w:firstLineChars="175"/>
        <w:jc w:val="left"/>
        <w:rPr>
          <w:b/>
          <w:spacing w:val="7"/>
          <w:sz w:val="24"/>
        </w:rPr>
      </w:pPr>
      <w:r>
        <w:rPr>
          <w:rFonts w:hint="eastAsia"/>
          <w:b/>
          <w:spacing w:val="7"/>
          <w:sz w:val="24"/>
        </w:rPr>
        <w:t>承诺函</w:t>
      </w:r>
    </w:p>
    <w:p>
      <w:pPr>
        <w:pStyle w:val="199"/>
        <w:numPr>
          <w:ilvl w:val="0"/>
          <w:numId w:val="16"/>
        </w:numPr>
        <w:tabs>
          <w:tab w:val="left" w:pos="1405"/>
        </w:tabs>
        <w:spacing w:line="360" w:lineRule="auto"/>
        <w:ind w:right="395" w:firstLine="446" w:firstLineChars="175"/>
        <w:jc w:val="left"/>
        <w:rPr>
          <w:b/>
          <w:spacing w:val="7"/>
          <w:sz w:val="24"/>
        </w:rPr>
      </w:pPr>
      <w:r>
        <w:rPr>
          <w:rFonts w:hint="eastAsia"/>
          <w:b/>
          <w:spacing w:val="7"/>
          <w:sz w:val="24"/>
        </w:rPr>
        <w:t>法定代表人授权委托书</w:t>
      </w:r>
    </w:p>
    <w:p>
      <w:pPr>
        <w:pStyle w:val="199"/>
        <w:numPr>
          <w:ilvl w:val="0"/>
          <w:numId w:val="16"/>
        </w:numPr>
        <w:tabs>
          <w:tab w:val="left" w:pos="1405"/>
        </w:tabs>
        <w:spacing w:line="360" w:lineRule="auto"/>
        <w:ind w:right="395" w:firstLine="446" w:firstLineChars="175"/>
        <w:jc w:val="left"/>
        <w:rPr>
          <w:b/>
          <w:spacing w:val="7"/>
          <w:sz w:val="24"/>
        </w:rPr>
      </w:pPr>
      <w:r>
        <w:rPr>
          <w:rFonts w:hint="eastAsia"/>
          <w:b/>
          <w:spacing w:val="7"/>
          <w:sz w:val="24"/>
        </w:rPr>
        <w:t>法定代表人身份证明书</w:t>
      </w:r>
    </w:p>
    <w:p>
      <w:pPr>
        <w:pStyle w:val="199"/>
        <w:numPr>
          <w:ilvl w:val="0"/>
          <w:numId w:val="16"/>
        </w:numPr>
        <w:tabs>
          <w:tab w:val="left" w:pos="1405"/>
        </w:tabs>
        <w:spacing w:line="360" w:lineRule="auto"/>
        <w:ind w:right="395" w:firstLine="446" w:firstLineChars="175"/>
        <w:jc w:val="left"/>
        <w:rPr>
          <w:b/>
          <w:spacing w:val="7"/>
          <w:sz w:val="24"/>
        </w:rPr>
      </w:pPr>
      <w:r>
        <w:rPr>
          <w:rFonts w:hint="eastAsia"/>
          <w:b/>
          <w:spacing w:val="7"/>
          <w:sz w:val="24"/>
          <w:lang w:val="en-US" w:eastAsia="zh-CN"/>
        </w:rPr>
        <w:t>中小企业声明函</w:t>
      </w:r>
    </w:p>
    <w:p>
      <w:pPr>
        <w:pStyle w:val="199"/>
        <w:tabs>
          <w:tab w:val="left" w:pos="1405"/>
        </w:tabs>
        <w:spacing w:line="360" w:lineRule="auto"/>
        <w:ind w:left="420" w:right="395" w:firstLine="0" w:firstLineChars="0"/>
        <w:jc w:val="left"/>
        <w:rPr>
          <w:b/>
          <w:spacing w:val="7"/>
          <w:sz w:val="24"/>
        </w:rPr>
      </w:pPr>
      <w:r>
        <w:rPr>
          <w:rFonts w:hint="eastAsia"/>
          <w:b/>
          <w:spacing w:val="7"/>
          <w:sz w:val="24"/>
          <w:lang w:val="en-US" w:eastAsia="zh-CN"/>
        </w:rPr>
        <w:t>五</w:t>
      </w:r>
      <w:r>
        <w:rPr>
          <w:rFonts w:hint="eastAsia"/>
          <w:b/>
          <w:spacing w:val="7"/>
          <w:sz w:val="24"/>
        </w:rPr>
        <w:t>、投标人的资格、资质性及其他类似效力要求</w:t>
      </w:r>
    </w:p>
    <w:p>
      <w:pPr>
        <w:spacing w:before="54" w:line="292" w:lineRule="auto"/>
        <w:ind w:left="884" w:right="20"/>
        <w:jc w:val="left"/>
        <w:rPr>
          <w:b/>
          <w:sz w:val="24"/>
        </w:rPr>
      </w:pPr>
      <w:r>
        <w:rPr>
          <w:b/>
          <w:sz w:val="28"/>
        </w:rPr>
        <w:t>第二部分</w:t>
      </w:r>
      <w:r>
        <w:rPr>
          <w:b/>
          <w:sz w:val="24"/>
        </w:rPr>
        <w:t>：其他响应性投标文件（用于资格性审查以外的评审）</w:t>
      </w:r>
    </w:p>
    <w:p>
      <w:pPr>
        <w:spacing w:before="54" w:line="292" w:lineRule="auto"/>
        <w:ind w:left="884" w:right="20"/>
        <w:jc w:val="left"/>
        <w:rPr>
          <w:sz w:val="24"/>
        </w:rPr>
      </w:pPr>
      <w:r>
        <w:rPr>
          <w:b/>
          <w:sz w:val="24"/>
        </w:rPr>
        <w:t xml:space="preserve"> </w:t>
      </w:r>
      <w:r>
        <w:rPr>
          <w:sz w:val="24"/>
        </w:rPr>
        <w:t>严格按照招标文件要求提供以下相关材料：</w:t>
      </w:r>
    </w:p>
    <w:p>
      <w:pPr>
        <w:pStyle w:val="199"/>
        <w:tabs>
          <w:tab w:val="left" w:pos="1453"/>
        </w:tabs>
        <w:spacing w:before="26" w:line="360" w:lineRule="auto"/>
        <w:ind w:left="420" w:leftChars="200" w:right="395" w:firstLine="0" w:firstLineChars="0"/>
        <w:jc w:val="left"/>
        <w:rPr>
          <w:sz w:val="24"/>
          <w:szCs w:val="24"/>
        </w:rPr>
      </w:pPr>
      <w:r>
        <w:rPr>
          <w:rFonts w:hint="eastAsia"/>
          <w:b/>
          <w:spacing w:val="6"/>
          <w:sz w:val="24"/>
        </w:rPr>
        <w:t>一、</w:t>
      </w:r>
      <w:r>
        <w:rPr>
          <w:b/>
          <w:spacing w:val="6"/>
          <w:sz w:val="24"/>
        </w:rPr>
        <w:t>报价部分。</w:t>
      </w:r>
      <w:r>
        <w:rPr>
          <w:spacing w:val="3"/>
          <w:sz w:val="24"/>
        </w:rPr>
        <w:t>包括投标人按照招标文件要求填写的“开标一览表”</w:t>
      </w:r>
      <w:r>
        <w:rPr>
          <w:spacing w:val="3"/>
          <w:sz w:val="24"/>
          <w:szCs w:val="24"/>
        </w:rPr>
        <w:t>（实质性要求）。</w:t>
      </w:r>
    </w:p>
    <w:p>
      <w:pPr>
        <w:pStyle w:val="18"/>
        <w:spacing w:line="360" w:lineRule="auto"/>
        <w:ind w:firstLine="480" w:firstLineChars="200"/>
        <w:rPr>
          <w:sz w:val="24"/>
          <w:szCs w:val="24"/>
        </w:rPr>
      </w:pPr>
      <w:r>
        <w:rPr>
          <w:sz w:val="24"/>
          <w:szCs w:val="24"/>
        </w:rPr>
        <w:t>本次招标报价要求：</w:t>
      </w:r>
    </w:p>
    <w:p>
      <w:pPr>
        <w:pStyle w:val="199"/>
        <w:numPr>
          <w:ilvl w:val="0"/>
          <w:numId w:val="17"/>
        </w:numPr>
        <w:tabs>
          <w:tab w:val="left" w:pos="1470"/>
        </w:tabs>
        <w:spacing w:before="93" w:line="312" w:lineRule="auto"/>
        <w:ind w:right="402" w:firstLine="492"/>
        <w:rPr>
          <w:sz w:val="24"/>
        </w:rPr>
      </w:pPr>
      <w:r>
        <w:rPr>
          <w:spacing w:val="3"/>
          <w:sz w:val="24"/>
        </w:rPr>
        <w:t>投标人的报价是投标人响应招标项目要求的全部工作内容的价格体现，包括投标人完成本项目所需的一切费用。</w:t>
      </w:r>
    </w:p>
    <w:p>
      <w:pPr>
        <w:pStyle w:val="199"/>
        <w:numPr>
          <w:ilvl w:val="0"/>
          <w:numId w:val="17"/>
        </w:numPr>
        <w:tabs>
          <w:tab w:val="left" w:pos="1465"/>
        </w:tabs>
        <w:spacing w:line="312" w:lineRule="auto"/>
        <w:ind w:left="375" w:right="402" w:firstLine="492"/>
        <w:rPr>
          <w:sz w:val="24"/>
        </w:rPr>
      </w:pPr>
      <w:r>
        <w:rPr>
          <w:spacing w:val="3"/>
          <w:sz w:val="24"/>
        </w:rPr>
        <w:t>投标人每项服务只允许有一个报价，并且在合同履行过程中是固定不变的， 任何有选择或可调整的报价将不予接受，并按无效投标处理（实质性要求）。</w:t>
      </w:r>
    </w:p>
    <w:p>
      <w:pPr>
        <w:pStyle w:val="199"/>
        <w:tabs>
          <w:tab w:val="left" w:pos="1463"/>
        </w:tabs>
        <w:spacing w:line="312" w:lineRule="auto"/>
        <w:ind w:left="420" w:leftChars="200" w:right="395" w:firstLine="0" w:firstLineChars="0"/>
        <w:jc w:val="left"/>
        <w:rPr>
          <w:sz w:val="24"/>
        </w:rPr>
      </w:pPr>
      <w:r>
        <w:rPr>
          <w:rFonts w:hint="eastAsia"/>
          <w:spacing w:val="3"/>
          <w:sz w:val="24"/>
        </w:rPr>
        <w:t>二、</w:t>
      </w:r>
      <w:r>
        <w:rPr>
          <w:b/>
          <w:spacing w:val="5"/>
          <w:sz w:val="24"/>
        </w:rPr>
        <w:t>服务部分。</w:t>
      </w:r>
      <w:r>
        <w:rPr>
          <w:spacing w:val="3"/>
          <w:sz w:val="24"/>
        </w:rPr>
        <w:t>投标人按照招标文件要求做出的服务应答，主要是针对招标项目的服务要求做出的实质性响应和满足。投标人的服务应答包括下列内容：</w:t>
      </w:r>
    </w:p>
    <w:p>
      <w:pPr>
        <w:pStyle w:val="199"/>
        <w:tabs>
          <w:tab w:val="left" w:pos="1463"/>
        </w:tabs>
        <w:spacing w:line="312" w:lineRule="auto"/>
        <w:ind w:left="420" w:leftChars="200" w:right="395" w:firstLine="0" w:firstLineChars="0"/>
        <w:jc w:val="left"/>
        <w:rPr>
          <w:spacing w:val="3"/>
          <w:sz w:val="24"/>
        </w:rPr>
      </w:pPr>
      <w:r>
        <w:rPr>
          <w:rFonts w:hint="eastAsia"/>
          <w:spacing w:val="3"/>
          <w:sz w:val="24"/>
        </w:rPr>
        <w:t>（1）第六章服务要求中的内容</w:t>
      </w:r>
    </w:p>
    <w:p>
      <w:pPr>
        <w:pStyle w:val="199"/>
        <w:tabs>
          <w:tab w:val="left" w:pos="1463"/>
        </w:tabs>
        <w:spacing w:line="312" w:lineRule="auto"/>
        <w:ind w:left="420" w:leftChars="200" w:right="395" w:firstLine="0" w:firstLineChars="0"/>
        <w:jc w:val="left"/>
        <w:rPr>
          <w:spacing w:val="3"/>
          <w:sz w:val="24"/>
        </w:rPr>
      </w:pPr>
      <w:r>
        <w:rPr>
          <w:rFonts w:hint="eastAsia"/>
          <w:spacing w:val="3"/>
          <w:sz w:val="24"/>
        </w:rPr>
        <w:t>（2）服务方案要求的内容</w:t>
      </w:r>
      <w:r>
        <w:rPr>
          <w:spacing w:val="3"/>
          <w:sz w:val="24"/>
        </w:rPr>
        <w:t>；</w:t>
      </w:r>
    </w:p>
    <w:p>
      <w:pPr>
        <w:pStyle w:val="199"/>
        <w:tabs>
          <w:tab w:val="left" w:pos="1463"/>
        </w:tabs>
        <w:spacing w:line="312" w:lineRule="auto"/>
        <w:ind w:left="420" w:leftChars="200" w:right="395" w:firstLine="0" w:firstLineChars="0"/>
        <w:jc w:val="left"/>
        <w:rPr>
          <w:sz w:val="20"/>
        </w:rPr>
      </w:pPr>
      <w:r>
        <w:rPr>
          <w:rFonts w:hint="eastAsia"/>
          <w:b/>
          <w:spacing w:val="5"/>
          <w:sz w:val="24"/>
        </w:rPr>
        <w:t>三、</w:t>
      </w:r>
      <w:r>
        <w:rPr>
          <w:b/>
          <w:spacing w:val="5"/>
          <w:sz w:val="24"/>
        </w:rPr>
        <w:t>商务部分。</w:t>
      </w:r>
      <w:r>
        <w:rPr>
          <w:spacing w:val="3"/>
          <w:sz w:val="24"/>
        </w:rPr>
        <w:t>投标人按照招标文件要求提供的有关文件及优惠承诺。包括以下内容：</w:t>
      </w:r>
    </w:p>
    <w:p>
      <w:pPr>
        <w:pStyle w:val="199"/>
        <w:numPr>
          <w:ilvl w:val="0"/>
          <w:numId w:val="18"/>
        </w:numPr>
        <w:ind w:left="0" w:firstLine="480"/>
        <w:rPr>
          <w:sz w:val="24"/>
        </w:rPr>
      </w:pPr>
      <w:r>
        <w:rPr>
          <w:sz w:val="24"/>
        </w:rPr>
        <w:t>投标函；</w:t>
      </w:r>
    </w:p>
    <w:p>
      <w:pPr>
        <w:pStyle w:val="199"/>
        <w:numPr>
          <w:ilvl w:val="0"/>
          <w:numId w:val="18"/>
        </w:numPr>
        <w:tabs>
          <w:tab w:val="left" w:pos="420"/>
          <w:tab w:val="left" w:pos="1260"/>
        </w:tabs>
        <w:spacing w:before="91" w:line="312" w:lineRule="auto"/>
        <w:ind w:left="0" w:right="402" w:firstLine="480"/>
        <w:rPr>
          <w:sz w:val="24"/>
        </w:rPr>
      </w:pPr>
      <w:r>
        <w:rPr>
          <w:sz w:val="24"/>
        </w:rPr>
        <w:t>投标人</w:t>
      </w:r>
      <w:r>
        <w:rPr>
          <w:spacing w:val="3"/>
          <w:sz w:val="24"/>
        </w:rPr>
        <w:t>承诺给予招标采购单位的各种优惠条件不能包括采购项目本身所包括涉及的采购事项。投标人不能以“赠送、赠予”等任何名义提供货物和服务以规避招标文件的约束。否则，投标人提供的投标文件将作为无效投标处理，即使中标也将取消中标资格（实质性要求）；</w:t>
      </w:r>
    </w:p>
    <w:p>
      <w:pPr>
        <w:pStyle w:val="199"/>
        <w:numPr>
          <w:ilvl w:val="0"/>
          <w:numId w:val="18"/>
        </w:numPr>
        <w:tabs>
          <w:tab w:val="left" w:pos="210"/>
        </w:tabs>
        <w:spacing w:before="2"/>
        <w:ind w:left="220" w:firstLine="216" w:firstLineChars="90"/>
        <w:rPr>
          <w:sz w:val="24"/>
        </w:rPr>
      </w:pPr>
      <w:r>
        <w:rPr>
          <w:sz w:val="24"/>
        </w:rPr>
        <w:t>证明投标人业绩和荣誉的有关材料复印件；</w:t>
      </w:r>
    </w:p>
    <w:p>
      <w:pPr>
        <w:pStyle w:val="199"/>
        <w:numPr>
          <w:ilvl w:val="0"/>
          <w:numId w:val="18"/>
        </w:numPr>
        <w:spacing w:before="93"/>
        <w:ind w:left="420" w:firstLine="0" w:firstLineChars="0"/>
        <w:rPr>
          <w:sz w:val="24"/>
        </w:rPr>
      </w:pPr>
      <w:r>
        <w:rPr>
          <w:sz w:val="24"/>
        </w:rPr>
        <w:t>商务应答表；</w:t>
      </w:r>
    </w:p>
    <w:p>
      <w:pPr>
        <w:pStyle w:val="199"/>
        <w:numPr>
          <w:ilvl w:val="0"/>
          <w:numId w:val="18"/>
        </w:numPr>
        <w:spacing w:before="93"/>
        <w:ind w:left="420" w:firstLine="0" w:firstLineChars="0"/>
        <w:rPr>
          <w:sz w:val="24"/>
        </w:rPr>
      </w:pPr>
      <w:r>
        <w:rPr>
          <w:rFonts w:hint="eastAsia"/>
          <w:sz w:val="24"/>
        </w:rPr>
        <w:t>其他投标人认为需要提供的文件和资料。</w:t>
      </w:r>
    </w:p>
    <w:p>
      <w:pPr>
        <w:pStyle w:val="199"/>
        <w:tabs>
          <w:tab w:val="left" w:pos="210"/>
        </w:tabs>
        <w:spacing w:before="2" w:line="360" w:lineRule="auto"/>
        <w:ind w:left="189" w:leftChars="90" w:firstLine="251" w:firstLineChars="100"/>
        <w:jc w:val="left"/>
        <w:rPr>
          <w:sz w:val="24"/>
        </w:rPr>
      </w:pPr>
      <w:r>
        <w:rPr>
          <w:rFonts w:hint="eastAsia"/>
          <w:b/>
          <w:spacing w:val="5"/>
          <w:sz w:val="24"/>
        </w:rPr>
        <w:t>四、其他部分。</w:t>
      </w:r>
      <w:r>
        <w:rPr>
          <w:rFonts w:hint="eastAsia"/>
          <w:sz w:val="24"/>
        </w:rPr>
        <w:t>投标人按照招标文件要求作出的其他应答和承诺。</w:t>
      </w:r>
    </w:p>
    <w:p>
      <w:pPr>
        <w:pStyle w:val="199"/>
        <w:tabs>
          <w:tab w:val="left" w:pos="1405"/>
        </w:tabs>
        <w:spacing w:line="360" w:lineRule="auto"/>
        <w:ind w:right="395" w:firstLine="446" w:firstLineChars="175"/>
        <w:jc w:val="left"/>
        <w:rPr>
          <w:sz w:val="24"/>
        </w:rPr>
      </w:pPr>
      <w:r>
        <w:rPr>
          <w:rFonts w:hint="eastAsia"/>
          <w:b/>
          <w:spacing w:val="7"/>
          <w:sz w:val="24"/>
        </w:rPr>
        <w:t>其他响应性投标文件封面</w:t>
      </w:r>
    </w:p>
    <w:p>
      <w:pPr>
        <w:pStyle w:val="199"/>
        <w:numPr>
          <w:ilvl w:val="0"/>
          <w:numId w:val="19"/>
        </w:numPr>
        <w:tabs>
          <w:tab w:val="left" w:pos="1405"/>
        </w:tabs>
        <w:spacing w:line="360" w:lineRule="auto"/>
        <w:ind w:right="395" w:firstLine="446" w:firstLineChars="0"/>
        <w:jc w:val="left"/>
        <w:rPr>
          <w:b/>
          <w:spacing w:val="7"/>
          <w:sz w:val="24"/>
        </w:rPr>
      </w:pPr>
      <w:r>
        <w:rPr>
          <w:rFonts w:hint="eastAsia"/>
          <w:b/>
          <w:spacing w:val="7"/>
          <w:sz w:val="24"/>
        </w:rPr>
        <w:t>投标函；</w:t>
      </w:r>
    </w:p>
    <w:p>
      <w:pPr>
        <w:pStyle w:val="199"/>
        <w:numPr>
          <w:ilvl w:val="0"/>
          <w:numId w:val="19"/>
        </w:numPr>
        <w:tabs>
          <w:tab w:val="left" w:pos="1405"/>
        </w:tabs>
        <w:spacing w:line="360" w:lineRule="auto"/>
        <w:ind w:right="395" w:firstLine="446" w:firstLineChars="0"/>
        <w:jc w:val="left"/>
        <w:rPr>
          <w:b/>
          <w:spacing w:val="7"/>
          <w:sz w:val="24"/>
        </w:rPr>
      </w:pPr>
      <w:r>
        <w:rPr>
          <w:rFonts w:hint="eastAsia"/>
          <w:b/>
          <w:spacing w:val="7"/>
          <w:sz w:val="24"/>
        </w:rPr>
        <w:t>开标一览表；</w:t>
      </w:r>
    </w:p>
    <w:p>
      <w:pPr>
        <w:pStyle w:val="199"/>
        <w:numPr>
          <w:ilvl w:val="0"/>
          <w:numId w:val="19"/>
        </w:numPr>
        <w:tabs>
          <w:tab w:val="left" w:pos="1405"/>
        </w:tabs>
        <w:spacing w:line="360" w:lineRule="auto"/>
        <w:ind w:right="395" w:firstLine="446" w:firstLineChars="0"/>
        <w:jc w:val="left"/>
        <w:rPr>
          <w:b/>
          <w:spacing w:val="7"/>
          <w:sz w:val="24"/>
        </w:rPr>
      </w:pPr>
      <w:r>
        <w:rPr>
          <w:rFonts w:hint="eastAsia"/>
          <w:b/>
          <w:spacing w:val="7"/>
          <w:sz w:val="24"/>
        </w:rPr>
        <w:t>法定代表人授权委托书；</w:t>
      </w:r>
    </w:p>
    <w:p>
      <w:pPr>
        <w:pStyle w:val="199"/>
        <w:numPr>
          <w:ilvl w:val="0"/>
          <w:numId w:val="19"/>
        </w:numPr>
        <w:tabs>
          <w:tab w:val="left" w:pos="1405"/>
        </w:tabs>
        <w:spacing w:line="360" w:lineRule="auto"/>
        <w:ind w:right="395" w:firstLine="446" w:firstLineChars="0"/>
        <w:jc w:val="left"/>
        <w:rPr>
          <w:b/>
          <w:spacing w:val="7"/>
          <w:sz w:val="24"/>
        </w:rPr>
      </w:pPr>
      <w:r>
        <w:rPr>
          <w:rFonts w:hint="eastAsia"/>
          <w:b/>
          <w:spacing w:val="7"/>
          <w:sz w:val="24"/>
        </w:rPr>
        <w:t>法定代表人身份证明书；</w:t>
      </w:r>
    </w:p>
    <w:p>
      <w:pPr>
        <w:pStyle w:val="199"/>
        <w:numPr>
          <w:ilvl w:val="0"/>
          <w:numId w:val="19"/>
        </w:numPr>
        <w:tabs>
          <w:tab w:val="left" w:pos="1405"/>
        </w:tabs>
        <w:spacing w:line="360" w:lineRule="auto"/>
        <w:ind w:right="395" w:firstLine="446" w:firstLineChars="0"/>
        <w:jc w:val="left"/>
        <w:rPr>
          <w:b/>
          <w:spacing w:val="7"/>
          <w:sz w:val="24"/>
        </w:rPr>
      </w:pPr>
      <w:r>
        <w:rPr>
          <w:rFonts w:hint="eastAsia"/>
          <w:b/>
          <w:spacing w:val="7"/>
          <w:sz w:val="24"/>
        </w:rPr>
        <w:t>商务应答表；</w:t>
      </w:r>
    </w:p>
    <w:p>
      <w:pPr>
        <w:pStyle w:val="199"/>
        <w:numPr>
          <w:ilvl w:val="0"/>
          <w:numId w:val="19"/>
        </w:numPr>
        <w:tabs>
          <w:tab w:val="left" w:pos="1405"/>
        </w:tabs>
        <w:spacing w:line="360" w:lineRule="auto"/>
        <w:ind w:right="395" w:firstLine="446" w:firstLineChars="0"/>
        <w:jc w:val="left"/>
        <w:rPr>
          <w:b/>
          <w:spacing w:val="7"/>
          <w:sz w:val="24"/>
        </w:rPr>
      </w:pPr>
      <w:r>
        <w:rPr>
          <w:rFonts w:hint="eastAsia"/>
          <w:b/>
          <w:spacing w:val="7"/>
          <w:sz w:val="24"/>
        </w:rPr>
        <w:t>投标人基本情况表；</w:t>
      </w:r>
    </w:p>
    <w:p>
      <w:pPr>
        <w:pStyle w:val="199"/>
        <w:numPr>
          <w:ilvl w:val="0"/>
          <w:numId w:val="19"/>
        </w:numPr>
        <w:tabs>
          <w:tab w:val="left" w:pos="1405"/>
        </w:tabs>
        <w:spacing w:line="360" w:lineRule="auto"/>
        <w:ind w:right="395" w:firstLine="446" w:firstLineChars="0"/>
        <w:jc w:val="left"/>
        <w:rPr>
          <w:b/>
          <w:spacing w:val="7"/>
          <w:sz w:val="24"/>
        </w:rPr>
      </w:pPr>
      <w:r>
        <w:rPr>
          <w:rFonts w:hint="eastAsia"/>
          <w:b/>
          <w:spacing w:val="7"/>
          <w:sz w:val="24"/>
        </w:rPr>
        <w:t>投标人类似项目业绩一览表；</w:t>
      </w:r>
    </w:p>
    <w:p>
      <w:pPr>
        <w:pStyle w:val="199"/>
        <w:numPr>
          <w:ilvl w:val="0"/>
          <w:numId w:val="19"/>
        </w:numPr>
        <w:tabs>
          <w:tab w:val="left" w:pos="1405"/>
        </w:tabs>
        <w:spacing w:line="360" w:lineRule="auto"/>
        <w:ind w:right="395" w:firstLine="446" w:firstLineChars="0"/>
        <w:jc w:val="left"/>
        <w:rPr>
          <w:b/>
          <w:spacing w:val="7"/>
          <w:sz w:val="24"/>
        </w:rPr>
      </w:pPr>
      <w:r>
        <w:rPr>
          <w:rFonts w:hint="eastAsia"/>
          <w:b/>
          <w:spacing w:val="7"/>
          <w:sz w:val="24"/>
        </w:rPr>
        <w:t>服务应答表；</w:t>
      </w:r>
    </w:p>
    <w:p>
      <w:pPr>
        <w:pStyle w:val="199"/>
        <w:numPr>
          <w:ilvl w:val="0"/>
          <w:numId w:val="19"/>
        </w:numPr>
        <w:tabs>
          <w:tab w:val="left" w:pos="1405"/>
        </w:tabs>
        <w:spacing w:line="360" w:lineRule="auto"/>
        <w:ind w:right="395" w:firstLine="446" w:firstLineChars="0"/>
        <w:jc w:val="left"/>
        <w:rPr>
          <w:b/>
          <w:spacing w:val="7"/>
          <w:sz w:val="24"/>
        </w:rPr>
      </w:pPr>
      <w:r>
        <w:rPr>
          <w:rFonts w:hint="eastAsia"/>
          <w:b/>
          <w:spacing w:val="7"/>
          <w:sz w:val="24"/>
        </w:rPr>
        <w:t>投标人拟派出参与审计人员情况表；</w:t>
      </w:r>
    </w:p>
    <w:p>
      <w:pPr>
        <w:pStyle w:val="199"/>
        <w:numPr>
          <w:ilvl w:val="0"/>
          <w:numId w:val="19"/>
        </w:numPr>
        <w:tabs>
          <w:tab w:val="left" w:pos="1405"/>
        </w:tabs>
        <w:spacing w:line="360" w:lineRule="auto"/>
        <w:ind w:right="395" w:firstLine="446" w:firstLineChars="0"/>
        <w:jc w:val="left"/>
        <w:rPr>
          <w:b/>
          <w:spacing w:val="7"/>
          <w:sz w:val="24"/>
        </w:rPr>
      </w:pPr>
      <w:r>
        <w:rPr>
          <w:rFonts w:hint="eastAsia"/>
          <w:b/>
          <w:spacing w:val="7"/>
          <w:sz w:val="24"/>
        </w:rPr>
        <w:t>供应商其他承诺函；</w:t>
      </w:r>
    </w:p>
    <w:p>
      <w:pPr>
        <w:pStyle w:val="199"/>
        <w:numPr>
          <w:ilvl w:val="0"/>
          <w:numId w:val="19"/>
        </w:numPr>
        <w:tabs>
          <w:tab w:val="left" w:pos="1405"/>
        </w:tabs>
        <w:spacing w:line="360" w:lineRule="auto"/>
        <w:ind w:right="395" w:firstLine="446" w:firstLineChars="0"/>
        <w:jc w:val="left"/>
        <w:rPr>
          <w:b/>
          <w:spacing w:val="7"/>
          <w:sz w:val="24"/>
        </w:rPr>
      </w:pPr>
      <w:r>
        <w:rPr>
          <w:rFonts w:hint="eastAsia"/>
          <w:b/>
          <w:spacing w:val="7"/>
          <w:sz w:val="24"/>
        </w:rPr>
        <w:t>中小企业声明函；</w:t>
      </w:r>
    </w:p>
    <w:p>
      <w:pPr>
        <w:pStyle w:val="199"/>
        <w:numPr>
          <w:ilvl w:val="0"/>
          <w:numId w:val="19"/>
        </w:numPr>
        <w:tabs>
          <w:tab w:val="left" w:pos="1405"/>
        </w:tabs>
        <w:spacing w:line="360" w:lineRule="auto"/>
        <w:ind w:right="395" w:firstLine="446" w:firstLineChars="0"/>
        <w:jc w:val="left"/>
        <w:rPr>
          <w:b/>
          <w:spacing w:val="7"/>
          <w:sz w:val="24"/>
        </w:rPr>
      </w:pPr>
      <w:r>
        <w:rPr>
          <w:rFonts w:hint="eastAsia"/>
          <w:b/>
          <w:spacing w:val="7"/>
          <w:sz w:val="24"/>
        </w:rPr>
        <w:t>残疾人福利性单位声明函；</w:t>
      </w:r>
    </w:p>
    <w:p>
      <w:pPr>
        <w:pStyle w:val="199"/>
        <w:numPr>
          <w:ilvl w:val="0"/>
          <w:numId w:val="19"/>
        </w:numPr>
        <w:tabs>
          <w:tab w:val="left" w:pos="1405"/>
        </w:tabs>
        <w:spacing w:line="360" w:lineRule="auto"/>
        <w:ind w:right="395" w:firstLine="446" w:firstLineChars="0"/>
        <w:jc w:val="left"/>
        <w:rPr>
          <w:b/>
          <w:spacing w:val="7"/>
          <w:sz w:val="24"/>
        </w:rPr>
      </w:pPr>
      <w:r>
        <w:rPr>
          <w:rFonts w:hint="eastAsia"/>
          <w:b/>
          <w:spacing w:val="7"/>
          <w:sz w:val="24"/>
        </w:rPr>
        <w:t>监狱企业证明；</w:t>
      </w:r>
    </w:p>
    <w:p>
      <w:pPr>
        <w:pStyle w:val="199"/>
        <w:numPr>
          <w:ilvl w:val="0"/>
          <w:numId w:val="19"/>
        </w:numPr>
        <w:tabs>
          <w:tab w:val="left" w:pos="1405"/>
        </w:tabs>
        <w:spacing w:line="360" w:lineRule="auto"/>
        <w:ind w:right="395" w:firstLine="446" w:firstLineChars="0"/>
        <w:jc w:val="left"/>
        <w:rPr>
          <w:b/>
          <w:spacing w:val="7"/>
          <w:sz w:val="24"/>
        </w:rPr>
      </w:pPr>
      <w:r>
        <w:rPr>
          <w:rFonts w:hint="eastAsia"/>
          <w:b/>
          <w:spacing w:val="7"/>
          <w:sz w:val="24"/>
        </w:rPr>
        <w:t>服务方案；</w:t>
      </w:r>
    </w:p>
    <w:p>
      <w:pPr>
        <w:pStyle w:val="199"/>
        <w:numPr>
          <w:ilvl w:val="0"/>
          <w:numId w:val="19"/>
        </w:numPr>
        <w:tabs>
          <w:tab w:val="left" w:pos="1405"/>
        </w:tabs>
        <w:spacing w:line="360" w:lineRule="auto"/>
        <w:ind w:right="395" w:firstLine="446" w:firstLineChars="0"/>
        <w:jc w:val="left"/>
        <w:rPr>
          <w:b/>
          <w:spacing w:val="7"/>
          <w:sz w:val="24"/>
        </w:rPr>
      </w:pPr>
      <w:r>
        <w:rPr>
          <w:rFonts w:hint="eastAsia"/>
          <w:b/>
          <w:spacing w:val="7"/>
          <w:sz w:val="24"/>
        </w:rPr>
        <w:t>其他投标人需要提供的证明材料</w:t>
      </w:r>
    </w:p>
    <w:p>
      <w:pPr>
        <w:pStyle w:val="5"/>
        <w:ind w:left="1050"/>
      </w:pPr>
      <w:bookmarkStart w:id="77" w:name="_Toc316291396"/>
      <w:bookmarkEnd w:id="77"/>
      <w:bookmarkStart w:id="78" w:name="_Toc316291395"/>
      <w:bookmarkEnd w:id="78"/>
      <w:bookmarkStart w:id="79" w:name="_Toc316292019"/>
      <w:bookmarkEnd w:id="79"/>
      <w:bookmarkStart w:id="80" w:name="_Toc316292020"/>
      <w:bookmarkEnd w:id="80"/>
      <w:bookmarkStart w:id="81" w:name="_Toc217446049"/>
      <w:bookmarkStart w:id="82" w:name="_Toc183682355"/>
      <w:bookmarkStart w:id="83" w:name="_Toc183582218"/>
      <w:r>
        <w:rPr>
          <w:rFonts w:hint="eastAsia"/>
        </w:rPr>
        <w:t>投标文件格式</w:t>
      </w:r>
      <w:bookmarkEnd w:id="81"/>
      <w:bookmarkEnd w:id="82"/>
      <w:bookmarkEnd w:id="83"/>
      <w:r>
        <w:rPr>
          <w:rFonts w:hint="eastAsia"/>
        </w:rPr>
        <w:tab/>
      </w:r>
    </w:p>
    <w:p>
      <w:pPr>
        <w:numPr>
          <w:ilvl w:val="0"/>
          <w:numId w:val="20"/>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投标人应按照招标文件第3章中提供的“投标文件格式”填写相关内容。</w:t>
      </w:r>
    </w:p>
    <w:p>
      <w:pPr>
        <w:numPr>
          <w:ilvl w:val="0"/>
          <w:numId w:val="20"/>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对于没有格式要求的投标文件由投标人自行编写。</w:t>
      </w:r>
    </w:p>
    <w:p>
      <w:pPr>
        <w:pStyle w:val="5"/>
        <w:ind w:left="1050"/>
      </w:pPr>
      <w:bookmarkStart w:id="84" w:name="_Toc183582223"/>
      <w:bookmarkStart w:id="85" w:name="_Toc183682360"/>
      <w:bookmarkStart w:id="86" w:name="_Toc217446050"/>
      <w:r>
        <w:rPr>
          <w:rFonts w:hint="eastAsia"/>
        </w:rPr>
        <w:t>投标报价</w:t>
      </w:r>
    </w:p>
    <w:p>
      <w:pPr>
        <w:numPr>
          <w:ilvl w:val="0"/>
          <w:numId w:val="21"/>
        </w:numPr>
        <w:tabs>
          <w:tab w:val="left" w:pos="1134"/>
        </w:tabs>
        <w:adjustRightInd w:val="0"/>
        <w:snapToGrid w:val="0"/>
        <w:spacing w:line="360" w:lineRule="auto"/>
        <w:ind w:left="0" w:firstLine="560"/>
        <w:rPr>
          <w:rFonts w:ascii="宋体" w:hAnsi="宋体"/>
          <w:sz w:val="24"/>
          <w:szCs w:val="24"/>
        </w:rPr>
      </w:pPr>
      <w:r>
        <w:rPr>
          <w:rFonts w:hint="eastAsia" w:ascii="宋体" w:hAnsi="宋体"/>
          <w:sz w:val="24"/>
          <w:szCs w:val="24"/>
        </w:rPr>
        <w:t>投标人的报价是投标人响应招标项目要求的全部工作内容的价格体现，包括投标人完成本项目所需的一切费用。</w:t>
      </w:r>
    </w:p>
    <w:p>
      <w:pPr>
        <w:numPr>
          <w:ilvl w:val="0"/>
          <w:numId w:val="21"/>
        </w:numPr>
        <w:tabs>
          <w:tab w:val="left" w:pos="1134"/>
        </w:tabs>
        <w:adjustRightInd w:val="0"/>
        <w:snapToGrid w:val="0"/>
        <w:spacing w:line="360" w:lineRule="auto"/>
        <w:ind w:left="0" w:firstLine="560"/>
        <w:rPr>
          <w:rFonts w:ascii="宋体" w:hAnsi="宋体"/>
          <w:sz w:val="24"/>
          <w:szCs w:val="24"/>
        </w:rPr>
      </w:pPr>
      <w:r>
        <w:rPr>
          <w:rFonts w:hint="eastAsia" w:ascii="宋体" w:hAnsi="宋体"/>
          <w:sz w:val="24"/>
          <w:szCs w:val="24"/>
        </w:rPr>
        <w:t>投标人每种货物及服务内容只允许有一个报价，并且在合同履行过程中是固定不变的，任何有选择或可调整的报价将不予接受，并按无效投标处理。</w:t>
      </w:r>
    </w:p>
    <w:p>
      <w:pPr>
        <w:numPr>
          <w:ilvl w:val="0"/>
          <w:numId w:val="21"/>
        </w:numPr>
        <w:tabs>
          <w:tab w:val="left" w:pos="1134"/>
        </w:tabs>
        <w:adjustRightInd w:val="0"/>
        <w:snapToGrid w:val="0"/>
        <w:spacing w:line="360" w:lineRule="auto"/>
        <w:ind w:left="0" w:firstLine="560"/>
        <w:rPr>
          <w:rFonts w:ascii="宋体" w:hAnsi="宋体"/>
          <w:sz w:val="28"/>
          <w:szCs w:val="28"/>
        </w:rPr>
      </w:pPr>
      <w:r>
        <w:rPr>
          <w:rFonts w:hint="eastAsia" w:ascii="宋体" w:hAnsi="宋体"/>
          <w:sz w:val="24"/>
          <w:szCs w:val="24"/>
        </w:rPr>
        <w:t>投标报价出现下列情况的，按以下原则处理，并以修正后的价格作为投标人的投标报价：（</w:t>
      </w:r>
      <w:r>
        <w:rPr>
          <w:rFonts w:ascii="宋体" w:hAnsi="宋体"/>
          <w:sz w:val="24"/>
          <w:szCs w:val="24"/>
        </w:rPr>
        <w:t>1）</w:t>
      </w:r>
      <w:r>
        <w:rPr>
          <w:rFonts w:hint="eastAsia" w:ascii="宋体" w:hAnsi="宋体"/>
          <w:sz w:val="24"/>
          <w:szCs w:val="24"/>
        </w:rPr>
        <w:t>投标文件中的大写金额和小写金额不一致的，以大写金额为准，但大写金额出现文字错误，导致金额无法判断的除外；（</w:t>
      </w:r>
      <w:r>
        <w:rPr>
          <w:rFonts w:ascii="宋体" w:hAnsi="宋体"/>
          <w:sz w:val="24"/>
          <w:szCs w:val="24"/>
        </w:rPr>
        <w:t>2）</w:t>
      </w:r>
      <w:r>
        <w:rPr>
          <w:rFonts w:hint="eastAsia" w:ascii="宋体" w:hAnsi="宋体"/>
          <w:sz w:val="24"/>
          <w:szCs w:val="24"/>
        </w:rPr>
        <w:t>总价金额与按单价汇总金额不一致的，以单价汇总金额计算结果为准；（3）单价金额小数点有明显错位的，应以总价为准，并修改单价。</w:t>
      </w:r>
    </w:p>
    <w:p>
      <w:pPr>
        <w:pStyle w:val="5"/>
        <w:spacing w:line="480" w:lineRule="exact"/>
        <w:ind w:left="1050"/>
      </w:pPr>
      <w:r>
        <w:rPr>
          <w:rFonts w:hint="eastAsia"/>
        </w:rPr>
        <w:t>投标保证金</w:t>
      </w:r>
      <w:bookmarkEnd w:id="84"/>
      <w:bookmarkEnd w:id="85"/>
      <w:bookmarkEnd w:id="86"/>
      <w:r>
        <w:rPr>
          <w:rFonts w:hint="eastAsia"/>
        </w:rPr>
        <w:t>（实质性要求，不收取投标保证金的除外）</w:t>
      </w:r>
    </w:p>
    <w:p>
      <w:pPr>
        <w:spacing w:line="480" w:lineRule="exact"/>
        <w:ind w:firstLine="480" w:firstLineChars="200"/>
        <w:rPr>
          <w:sz w:val="24"/>
        </w:rPr>
      </w:pPr>
      <w:r>
        <w:rPr>
          <w:rFonts w:hint="eastAsia"/>
          <w:sz w:val="24"/>
        </w:rPr>
        <w:t>（一）投标人投标时，必须以人民币提交招标文件规定数额的投标保证金，并作为其投标的一部分。</w:t>
      </w:r>
    </w:p>
    <w:p>
      <w:pPr>
        <w:tabs>
          <w:tab w:val="left" w:pos="1134"/>
        </w:tabs>
        <w:spacing w:line="480" w:lineRule="exact"/>
        <w:ind w:firstLine="424" w:firstLineChars="177"/>
      </w:pPr>
      <w:r>
        <w:rPr>
          <w:rFonts w:hint="eastAsia"/>
          <w:sz w:val="24"/>
        </w:rPr>
        <w:t>（二）投标保证金交款方式：</w:t>
      </w:r>
      <w:r>
        <w:rPr>
          <w:rFonts w:hint="eastAsia" w:cs="宋体"/>
          <w:sz w:val="24"/>
        </w:rPr>
        <w:t>详见投标人须知附表。</w:t>
      </w:r>
    </w:p>
    <w:p>
      <w:pPr>
        <w:pStyle w:val="199"/>
        <w:tabs>
          <w:tab w:val="left" w:pos="1340"/>
        </w:tabs>
        <w:spacing w:before="90" w:line="312" w:lineRule="auto"/>
        <w:ind w:right="405" w:firstLine="480"/>
        <w:jc w:val="left"/>
        <w:rPr>
          <w:sz w:val="24"/>
        </w:rPr>
      </w:pPr>
      <w:r>
        <w:rPr>
          <w:rFonts w:hint="eastAsia"/>
          <w:sz w:val="24"/>
        </w:rPr>
        <w:t>（三）</w:t>
      </w:r>
      <w:r>
        <w:rPr>
          <w:sz w:val="24"/>
        </w:rPr>
        <w:t>未按招标文件要求在规定时间前（以银行实际到账时间为准）交纳规定数额投标保证金的投标将被视为无效投标。</w:t>
      </w:r>
    </w:p>
    <w:p>
      <w:pPr>
        <w:pStyle w:val="199"/>
        <w:tabs>
          <w:tab w:val="left" w:pos="1340"/>
        </w:tabs>
        <w:spacing w:before="90" w:line="312" w:lineRule="auto"/>
        <w:ind w:right="405" w:firstLine="480"/>
        <w:jc w:val="left"/>
        <w:rPr>
          <w:sz w:val="24"/>
        </w:rPr>
      </w:pPr>
      <w:r>
        <w:rPr>
          <w:rFonts w:hint="eastAsia"/>
          <w:sz w:val="24"/>
        </w:rPr>
        <w:t>（四）</w:t>
      </w:r>
      <w:r>
        <w:rPr>
          <w:sz w:val="24"/>
        </w:rPr>
        <w:t>投标人所交纳的投标保证金不计利息，但存在《政府采购货物和服务招标投标管理办法（</w:t>
      </w:r>
      <w:r>
        <w:rPr>
          <w:spacing w:val="-12"/>
          <w:sz w:val="24"/>
        </w:rPr>
        <w:t xml:space="preserve">财政部第 </w:t>
      </w:r>
      <w:r>
        <w:rPr>
          <w:sz w:val="24"/>
        </w:rPr>
        <w:t>87</w:t>
      </w:r>
      <w:r>
        <w:rPr>
          <w:spacing w:val="-20"/>
          <w:sz w:val="24"/>
        </w:rPr>
        <w:t xml:space="preserve"> 号令</w:t>
      </w:r>
      <w:r>
        <w:rPr>
          <w:sz w:val="24"/>
        </w:rPr>
        <w:t>）第二十九条、第三十八条规定情形的除外。</w:t>
      </w:r>
    </w:p>
    <w:p>
      <w:pPr>
        <w:pStyle w:val="199"/>
        <w:tabs>
          <w:tab w:val="left" w:pos="1340"/>
        </w:tabs>
        <w:spacing w:before="90" w:line="312" w:lineRule="auto"/>
        <w:ind w:right="405" w:firstLine="480"/>
        <w:jc w:val="left"/>
        <w:rPr>
          <w:sz w:val="24"/>
        </w:rPr>
      </w:pPr>
      <w:r>
        <w:rPr>
          <w:rFonts w:hint="eastAsia"/>
          <w:sz w:val="24"/>
        </w:rPr>
        <w:t>（五）</w:t>
      </w:r>
      <w:r>
        <w:rPr>
          <w:sz w:val="24"/>
        </w:rPr>
        <w:t>投标人在投标截止时间前撤回已提交的投标文件的，其投标保证金将在书面撤</w:t>
      </w:r>
      <w:r>
        <w:t>回</w:t>
      </w:r>
      <w:r>
        <w:rPr>
          <w:sz w:val="24"/>
        </w:rPr>
        <w:t>通知递交至采购代理机构后 5 个工作日内全额退还。</w:t>
      </w:r>
      <w:r>
        <w:rPr>
          <w:rFonts w:hint="eastAsia"/>
          <w:sz w:val="24"/>
        </w:rPr>
        <w:t>未</w:t>
      </w:r>
      <w:r>
        <w:rPr>
          <w:rFonts w:hint="eastAsia" w:cs="宋体"/>
          <w:sz w:val="24"/>
        </w:rPr>
        <w:t>中标人的投标保证金，将在中标通知书发出后5个工作日内全额退还。中标人的投标保证金，在合同签订生效并递交至采购代理机构进行合同编号后5个工作日内全额退还</w:t>
      </w:r>
      <w:r>
        <w:rPr>
          <w:rFonts w:hint="eastAsia"/>
          <w:bCs/>
          <w:sz w:val="24"/>
        </w:rPr>
        <w:t>（注：</w:t>
      </w:r>
      <w:r>
        <w:rPr>
          <w:rFonts w:hint="eastAsia" w:cs="宋体"/>
          <w:bCs/>
          <w:sz w:val="24"/>
        </w:rPr>
        <w:fldChar w:fldCharType="begin"/>
      </w:r>
      <w:r>
        <w:rPr>
          <w:rFonts w:hint="eastAsia" w:cs="宋体"/>
          <w:bCs/>
          <w:sz w:val="24"/>
        </w:rPr>
        <w:instrText xml:space="preserve"> = 1 \* GB3 \* MERGEFORMAT </w:instrText>
      </w:r>
      <w:r>
        <w:rPr>
          <w:rFonts w:hint="eastAsia" w:cs="宋体"/>
          <w:bCs/>
          <w:sz w:val="24"/>
        </w:rPr>
        <w:fldChar w:fldCharType="separate"/>
      </w:r>
      <w:r>
        <w:rPr>
          <w:rFonts w:hint="eastAsia" w:cs="宋体"/>
          <w:bCs/>
          <w:sz w:val="24"/>
        </w:rPr>
        <w:t>①</w:t>
      </w:r>
      <w:r>
        <w:rPr>
          <w:rFonts w:hint="eastAsia" w:cs="宋体"/>
          <w:bCs/>
          <w:sz w:val="24"/>
        </w:rPr>
        <w:fldChar w:fldCharType="end"/>
      </w:r>
      <w:r>
        <w:rPr>
          <w:rFonts w:hint="eastAsia" w:cs="宋体"/>
          <w:bCs/>
          <w:sz w:val="24"/>
        </w:rPr>
        <w:t>因投标人自身原因造成的保证金延迟退还或者投标人和采购代理机构书面协商可以延迟退还的，采购代理机构不承担相应责任；</w:t>
      </w:r>
      <w:r>
        <w:rPr>
          <w:rFonts w:hint="eastAsia" w:cs="宋体"/>
          <w:bCs/>
          <w:sz w:val="24"/>
        </w:rPr>
        <w:fldChar w:fldCharType="begin"/>
      </w:r>
      <w:r>
        <w:rPr>
          <w:rFonts w:hint="eastAsia" w:cs="宋体"/>
          <w:bCs/>
          <w:sz w:val="24"/>
        </w:rPr>
        <w:instrText xml:space="preserve"> = 2 \* GB3 \* MERGEFORMAT </w:instrText>
      </w:r>
      <w:r>
        <w:rPr>
          <w:rFonts w:hint="eastAsia" w:cs="宋体"/>
          <w:bCs/>
          <w:sz w:val="24"/>
        </w:rPr>
        <w:fldChar w:fldCharType="separate"/>
      </w:r>
      <w:r>
        <w:rPr>
          <w:rFonts w:hint="eastAsia" w:cs="宋体"/>
          <w:bCs/>
          <w:sz w:val="24"/>
        </w:rPr>
        <w:t>②</w:t>
      </w:r>
      <w:r>
        <w:rPr>
          <w:rFonts w:hint="eastAsia" w:cs="宋体"/>
          <w:bCs/>
          <w:sz w:val="24"/>
        </w:rPr>
        <w:fldChar w:fldCharType="end"/>
      </w:r>
      <w:r>
        <w:rPr>
          <w:rFonts w:hint="eastAsia"/>
          <w:sz w:val="24"/>
        </w:rPr>
        <w:t>投标人</w:t>
      </w:r>
      <w:r>
        <w:rPr>
          <w:rFonts w:hint="eastAsia"/>
          <w:bCs/>
          <w:sz w:val="24"/>
        </w:rPr>
        <w:t>因涉嫌违法违规，按照规定应当不予退还保证金的，有关部门处理认定违法违规行为期间不计入退还保证金时限之内。）</w:t>
      </w:r>
      <w:r>
        <w:rPr>
          <w:rFonts w:hint="eastAsia"/>
          <w:sz w:val="24"/>
        </w:rPr>
        <w:t>；</w:t>
      </w:r>
    </w:p>
    <w:p>
      <w:pPr>
        <w:spacing w:line="480" w:lineRule="exact"/>
        <w:ind w:firstLine="480" w:firstLineChars="200"/>
        <w:rPr>
          <w:sz w:val="24"/>
        </w:rPr>
      </w:pPr>
      <w:r>
        <w:rPr>
          <w:rFonts w:hint="eastAsia"/>
          <w:sz w:val="24"/>
        </w:rPr>
        <w:t>（四）发生下列情形之一的，采购代理机构将不予退还投标保证金：</w:t>
      </w:r>
    </w:p>
    <w:p>
      <w:pPr>
        <w:spacing w:line="480" w:lineRule="exact"/>
        <w:ind w:firstLine="470" w:firstLineChars="196"/>
        <w:rPr>
          <w:sz w:val="24"/>
        </w:rPr>
      </w:pPr>
      <w:r>
        <w:rPr>
          <w:rFonts w:hint="eastAsia"/>
          <w:sz w:val="24"/>
        </w:rPr>
        <w:t>（</w:t>
      </w:r>
      <w:r>
        <w:rPr>
          <w:sz w:val="24"/>
        </w:rPr>
        <w:t>1</w:t>
      </w:r>
      <w:r>
        <w:rPr>
          <w:rFonts w:hint="eastAsia"/>
          <w:sz w:val="24"/>
        </w:rPr>
        <w:t>）在招标文件规定的投标截止时间后撤回投标的；</w:t>
      </w:r>
    </w:p>
    <w:p>
      <w:pPr>
        <w:spacing w:line="480" w:lineRule="exact"/>
        <w:ind w:firstLine="470" w:firstLineChars="196"/>
        <w:rPr>
          <w:sz w:val="24"/>
        </w:rPr>
      </w:pPr>
      <w:r>
        <w:rPr>
          <w:rFonts w:hint="eastAsia"/>
          <w:sz w:val="24"/>
        </w:rPr>
        <w:t>（2）在采购人确定中标人以前放弃中标候选资格的；</w:t>
      </w:r>
    </w:p>
    <w:p>
      <w:pPr>
        <w:spacing w:line="480" w:lineRule="exact"/>
        <w:ind w:firstLine="470" w:firstLineChars="196"/>
        <w:rPr>
          <w:sz w:val="24"/>
        </w:rPr>
      </w:pPr>
      <w:r>
        <w:rPr>
          <w:rFonts w:hint="eastAsia"/>
          <w:sz w:val="24"/>
        </w:rPr>
        <w:t>（3）中标后放弃中标、不领取或者不接收中标通知书的；</w:t>
      </w:r>
    </w:p>
    <w:p>
      <w:pPr>
        <w:spacing w:line="480" w:lineRule="exact"/>
        <w:ind w:firstLine="470" w:firstLineChars="196"/>
        <w:rPr>
          <w:sz w:val="24"/>
        </w:rPr>
      </w:pPr>
      <w:r>
        <w:rPr>
          <w:rFonts w:hint="eastAsia"/>
          <w:sz w:val="24"/>
        </w:rPr>
        <w:t>（4）由于中标人的原因未能按照招标文件的规定与采购人签订合同的；</w:t>
      </w:r>
    </w:p>
    <w:p>
      <w:pPr>
        <w:spacing w:line="480" w:lineRule="exact"/>
        <w:ind w:firstLine="470" w:firstLineChars="196"/>
        <w:rPr>
          <w:sz w:val="24"/>
        </w:rPr>
      </w:pPr>
      <w:r>
        <w:rPr>
          <w:rFonts w:hint="eastAsia"/>
          <w:sz w:val="24"/>
        </w:rPr>
        <w:t>（5）由于中标人的原因未能按照招标文件的规定交纳履约保证金的；</w:t>
      </w:r>
    </w:p>
    <w:p>
      <w:pPr>
        <w:spacing w:line="480" w:lineRule="exact"/>
        <w:ind w:firstLine="470" w:firstLineChars="196"/>
        <w:rPr>
          <w:sz w:val="24"/>
        </w:rPr>
      </w:pPr>
      <w:r>
        <w:rPr>
          <w:rFonts w:hint="eastAsia"/>
          <w:sz w:val="24"/>
        </w:rPr>
        <w:t>（6）投标人提供虚假资料的；</w:t>
      </w:r>
    </w:p>
    <w:p>
      <w:pPr>
        <w:spacing w:line="360" w:lineRule="auto"/>
        <w:ind w:firstLine="470" w:firstLineChars="196"/>
        <w:rPr>
          <w:sz w:val="24"/>
        </w:rPr>
      </w:pPr>
      <w:r>
        <w:rPr>
          <w:rFonts w:hint="eastAsia"/>
          <w:sz w:val="24"/>
        </w:rPr>
        <w:t>（7）投标有效期内，投标人在政府采购活动中有违法、违规、违纪行为。</w:t>
      </w:r>
    </w:p>
    <w:p>
      <w:pPr>
        <w:pStyle w:val="5"/>
        <w:ind w:left="1050"/>
      </w:pPr>
      <w:bookmarkStart w:id="87" w:name="_Toc316292024"/>
      <w:bookmarkEnd w:id="87"/>
      <w:bookmarkStart w:id="88" w:name="_Toc316291400"/>
      <w:bookmarkEnd w:id="88"/>
      <w:bookmarkStart w:id="89" w:name="_Toc183682361"/>
      <w:bookmarkStart w:id="90" w:name="_Toc183582224"/>
      <w:bookmarkStart w:id="91" w:name="_Toc217446051"/>
      <w:r>
        <w:rPr>
          <w:rFonts w:hint="eastAsia"/>
        </w:rPr>
        <w:t>投标有效期</w:t>
      </w:r>
      <w:bookmarkEnd w:id="89"/>
      <w:bookmarkEnd w:id="90"/>
      <w:bookmarkEnd w:id="91"/>
      <w:r>
        <w:rPr>
          <w:rFonts w:hint="eastAsia"/>
        </w:rPr>
        <w:t>（实质性要求）</w:t>
      </w:r>
    </w:p>
    <w:p>
      <w:pPr>
        <w:pStyle w:val="199"/>
        <w:tabs>
          <w:tab w:val="left" w:pos="1468"/>
          <w:tab w:val="left" w:pos="8620"/>
        </w:tabs>
        <w:spacing w:line="312" w:lineRule="auto"/>
        <w:ind w:right="402" w:firstLine="638" w:firstLineChars="266"/>
        <w:rPr>
          <w:rFonts w:ascii="宋体" w:hAnsi="宋体"/>
          <w:bCs/>
          <w:snapToGrid w:val="0"/>
          <w:color w:val="000000"/>
          <w:spacing w:val="2"/>
          <w:kern w:val="0"/>
          <w:sz w:val="24"/>
          <w:szCs w:val="21"/>
        </w:rPr>
      </w:pPr>
      <w:r>
        <w:rPr>
          <w:rFonts w:hint="eastAsia" w:ascii="宋体" w:hAnsi="宋体"/>
          <w:sz w:val="24"/>
          <w:szCs w:val="24"/>
        </w:rPr>
        <w:t>一、</w:t>
      </w:r>
      <w:r>
        <w:rPr>
          <w:rFonts w:hint="eastAsia" w:ascii="宋体" w:hAnsi="宋体"/>
          <w:bCs/>
          <w:snapToGrid w:val="0"/>
          <w:color w:val="000000"/>
          <w:spacing w:val="2"/>
          <w:kern w:val="0"/>
          <w:sz w:val="24"/>
          <w:szCs w:val="21"/>
        </w:rPr>
        <w:t>投标有效期为投标截止时间届满后120天。投标人投标文件中必须载明投标有效期，投标文件中载明的投标有效期可以长于招标文件规定的期限，但不得短于招标文件规定的期限。否则，其投标文件将作为无效投标处理。</w:t>
      </w:r>
    </w:p>
    <w:p>
      <w:pPr>
        <w:pStyle w:val="5"/>
        <w:numPr>
          <w:ilvl w:val="2"/>
          <w:numId w:val="0"/>
        </w:numPr>
        <w:ind w:firstLine="492" w:firstLineChars="200"/>
      </w:pPr>
      <w:bookmarkStart w:id="92" w:name="_Toc183582225"/>
      <w:bookmarkStart w:id="93" w:name="_Toc183682362"/>
      <w:bookmarkStart w:id="94" w:name="_Toc217446052"/>
      <w:r>
        <w:rPr>
          <w:rFonts w:hint="eastAsia"/>
          <w:spacing w:val="3"/>
        </w:rPr>
        <w:t>二、</w:t>
      </w:r>
      <w:r>
        <w:rPr>
          <w:spacing w:val="3"/>
        </w:rPr>
        <w:t>因不可抗力事件，采购人可于投标有效期届满之前与投标人协商延长投标有</w:t>
      </w:r>
      <w:r>
        <w:rPr>
          <w:spacing w:val="2"/>
        </w:rPr>
        <w:t>效期。投标人拒绝延长投标有效期的，其投标保证金不被没收但不得再参与该项目后续</w:t>
      </w:r>
      <w:r>
        <w:rPr>
          <w:spacing w:val="-1"/>
        </w:rPr>
        <w:t>采购活动，但由此给投标人造成的损失，采购人可以自主决定是否可以给予适当补偿。</w:t>
      </w:r>
      <w:r>
        <w:t>投标人同意延长投标有效期的，不能修改投标文件。</w:t>
      </w:r>
    </w:p>
    <w:p>
      <w:pPr>
        <w:pStyle w:val="199"/>
        <w:tabs>
          <w:tab w:val="left" w:pos="1348"/>
        </w:tabs>
        <w:spacing w:line="312" w:lineRule="auto"/>
        <w:ind w:right="404" w:firstLine="480"/>
        <w:rPr>
          <w:rFonts w:ascii="宋体" w:hAnsi="宋体"/>
          <w:bCs/>
          <w:snapToGrid w:val="0"/>
          <w:color w:val="000000"/>
          <w:spacing w:val="3"/>
          <w:kern w:val="0"/>
          <w:sz w:val="24"/>
          <w:szCs w:val="21"/>
        </w:rPr>
      </w:pPr>
      <w:r>
        <w:rPr>
          <w:rFonts w:hint="eastAsia"/>
          <w:sz w:val="24"/>
        </w:rPr>
        <w:t>三、</w:t>
      </w:r>
      <w:r>
        <w:rPr>
          <w:rFonts w:ascii="宋体" w:hAnsi="宋体"/>
          <w:bCs/>
          <w:snapToGrid w:val="0"/>
          <w:color w:val="000000"/>
          <w:spacing w:val="3"/>
          <w:kern w:val="0"/>
          <w:sz w:val="24"/>
          <w:szCs w:val="21"/>
        </w:rPr>
        <w:t>因采购人采购需求作出必要调整，采购人可于投标有效期届满之前与投标人协商延长投标有效期。投标人拒绝延长投标有效期的，不得再参与该项目后续采购活动， 但由此给投标人造成的损失，采购人应当予以赔偿或者合理补偿。投标人同意延长投标有效期的，不能修改投标文件，关于投标保证金的有关规定在延长的投标有效期内继续有效。</w:t>
      </w:r>
    </w:p>
    <w:p>
      <w:pPr>
        <w:pStyle w:val="5"/>
        <w:ind w:left="1050"/>
        <w:jc w:val="left"/>
      </w:pPr>
      <w:r>
        <w:rPr>
          <w:rFonts w:hint="eastAsia"/>
        </w:rPr>
        <w:t xml:space="preserve"> 投标文件的印制和签署</w:t>
      </w:r>
      <w:bookmarkEnd w:id="92"/>
      <w:bookmarkEnd w:id="93"/>
      <w:bookmarkEnd w:id="94"/>
    </w:p>
    <w:p>
      <w:pPr>
        <w:pStyle w:val="199"/>
        <w:tabs>
          <w:tab w:val="left" w:pos="1405"/>
        </w:tabs>
        <w:spacing w:line="360" w:lineRule="auto"/>
        <w:ind w:right="369" w:firstLine="479"/>
        <w:rPr>
          <w:rFonts w:ascii="宋体" w:hAnsi="宋体"/>
          <w:sz w:val="24"/>
          <w:szCs w:val="24"/>
        </w:rPr>
      </w:pPr>
      <w:r>
        <w:rPr>
          <w:rFonts w:hint="eastAsia"/>
          <w:b/>
          <w:spacing w:val="5"/>
          <w:w w:val="95"/>
          <w:sz w:val="24"/>
        </w:rPr>
        <w:t>一、</w:t>
      </w:r>
      <w:r>
        <w:rPr>
          <w:rFonts w:hint="eastAsia" w:ascii="宋体" w:hAnsi="宋体"/>
          <w:sz w:val="24"/>
          <w:szCs w:val="24"/>
        </w:rPr>
        <w:t>投标文件分为第一部分“资格性投标文件”和第二部分“其他响应性投标文件”两册，且第一部分、第二部分两册应分册装订。“资格性投标文件”用于采购人或采购代理机构对本项目的资格审查，“其他响应性投标文件”用于评标委员会针对本项目资格性审查以外的评审。</w:t>
      </w:r>
    </w:p>
    <w:p>
      <w:pPr>
        <w:pStyle w:val="18"/>
        <w:spacing w:before="55" w:line="312" w:lineRule="auto"/>
        <w:ind w:right="393" w:firstLine="480" w:firstLineChars="200"/>
        <w:rPr>
          <w:rFonts w:ascii="宋体" w:hAnsi="宋体"/>
          <w:sz w:val="24"/>
          <w:szCs w:val="24"/>
        </w:rPr>
      </w:pPr>
      <w:r>
        <w:rPr>
          <w:rFonts w:hint="eastAsia" w:ascii="宋体" w:hAnsi="宋体"/>
          <w:sz w:val="24"/>
          <w:szCs w:val="24"/>
        </w:rPr>
        <w:t>二、投标人应按 “资格性投标文件”和“其他响应性投标文件”准备第一部分、第二部分两册投标文件，每册含正本 1 份、副本 4 份，以及用于开标唱标单独密封提交的“开标一览表”（1 份）。投标文件的正本和副本应在其封面右上角清楚地标明“正本”或“副本”字样。若正本和副本有不一致的内容，以正本书面投标文件为准。</w:t>
      </w:r>
    </w:p>
    <w:p>
      <w:pPr>
        <w:pStyle w:val="18"/>
        <w:spacing w:before="55" w:line="312" w:lineRule="auto"/>
        <w:ind w:right="393" w:firstLine="480" w:firstLineChars="200"/>
        <w:rPr>
          <w:rFonts w:ascii="宋体" w:hAnsi="宋体"/>
          <w:sz w:val="24"/>
          <w:szCs w:val="24"/>
        </w:rPr>
      </w:pPr>
      <w:r>
        <w:rPr>
          <w:rFonts w:hint="eastAsia" w:ascii="宋体" w:hAnsi="宋体"/>
          <w:sz w:val="24"/>
          <w:szCs w:val="24"/>
        </w:rPr>
        <w:t>三、“开标一览表”除单独密封提交外，还应编制于其他响应性投标文件正副本内，如有遗漏，将视为无效投标（实质性要求）.</w:t>
      </w:r>
    </w:p>
    <w:p>
      <w:pPr>
        <w:pStyle w:val="199"/>
        <w:tabs>
          <w:tab w:val="left" w:pos="1376"/>
        </w:tabs>
        <w:spacing w:before="193" w:line="312" w:lineRule="auto"/>
        <w:ind w:right="240" w:firstLineChars="175"/>
        <w:rPr>
          <w:rFonts w:ascii="宋体" w:hAnsi="宋体"/>
          <w:sz w:val="24"/>
          <w:szCs w:val="24"/>
        </w:rPr>
      </w:pPr>
      <w:r>
        <w:rPr>
          <w:rFonts w:hint="eastAsia" w:ascii="宋体" w:hAnsi="宋体"/>
          <w:sz w:val="24"/>
          <w:szCs w:val="24"/>
        </w:rPr>
        <w:t>四、</w:t>
      </w:r>
      <w:r>
        <w:rPr>
          <w:spacing w:val="-1"/>
          <w:sz w:val="24"/>
        </w:rPr>
        <w:t>投</w:t>
      </w:r>
      <w:r>
        <w:rPr>
          <w:rFonts w:hint="eastAsia" w:ascii="宋体" w:hAnsi="宋体"/>
          <w:sz w:val="24"/>
          <w:szCs w:val="24"/>
        </w:rPr>
        <w:t>标文件的正本和副本均需打印或用不褪色、不变质的墨水书写并加盖投标人法人公章，需要投标人的法定代表人或其授权代表在规定签章处签章的需逐一签署或用法人签章替代。投标文件格式或招标文件其它部分对签署有专门规定的，从其规定。投标文件副本可采用正本的复印件，用于开标唱标单独提交的“开标一览表”应为原件。</w:t>
      </w:r>
    </w:p>
    <w:p>
      <w:pPr>
        <w:pStyle w:val="199"/>
        <w:tabs>
          <w:tab w:val="left" w:pos="1376"/>
        </w:tabs>
        <w:spacing w:before="193" w:line="312" w:lineRule="auto"/>
        <w:ind w:right="240" w:firstLineChars="175"/>
        <w:rPr>
          <w:rFonts w:ascii="宋体" w:hAnsi="宋体"/>
          <w:sz w:val="24"/>
          <w:szCs w:val="24"/>
        </w:rPr>
      </w:pPr>
      <w:r>
        <w:rPr>
          <w:rFonts w:hint="eastAsia" w:ascii="宋体" w:hAnsi="宋体"/>
          <w:sz w:val="24"/>
          <w:szCs w:val="24"/>
        </w:rPr>
        <w:t>五、投标文件的打印和书写应清楚工整，任何行间插字、涂改或增删，必须由投标人的法定代表人或其授权代表签字或盖个人印鉴。</w:t>
      </w:r>
    </w:p>
    <w:p>
      <w:pPr>
        <w:pStyle w:val="199"/>
        <w:tabs>
          <w:tab w:val="left" w:pos="1376"/>
        </w:tabs>
        <w:spacing w:before="193" w:line="312" w:lineRule="auto"/>
        <w:ind w:right="240" w:firstLineChars="175"/>
        <w:rPr>
          <w:rFonts w:ascii="宋体" w:hAnsi="宋体"/>
          <w:sz w:val="24"/>
          <w:szCs w:val="24"/>
        </w:rPr>
      </w:pPr>
      <w:r>
        <w:rPr>
          <w:rFonts w:hint="eastAsia" w:ascii="宋体" w:hAnsi="宋体"/>
          <w:sz w:val="24"/>
          <w:szCs w:val="24"/>
        </w:rPr>
        <w:t>六、投标文件正本和副本应当采取胶装方式装订成册，不得散装或者合页装订。</w:t>
      </w:r>
    </w:p>
    <w:p>
      <w:pPr>
        <w:tabs>
          <w:tab w:val="left" w:pos="1134"/>
        </w:tabs>
        <w:adjustRightInd w:val="0"/>
        <w:snapToGrid w:val="0"/>
        <w:spacing w:line="360" w:lineRule="auto"/>
        <w:ind w:left="59" w:leftChars="28" w:firstLine="360" w:firstLineChars="150"/>
        <w:rPr>
          <w:rFonts w:ascii="宋体" w:hAnsi="宋体"/>
          <w:sz w:val="24"/>
          <w:szCs w:val="24"/>
        </w:rPr>
      </w:pPr>
      <w:r>
        <w:rPr>
          <w:rFonts w:hint="eastAsia" w:ascii="宋体" w:hAnsi="宋体"/>
          <w:sz w:val="24"/>
          <w:szCs w:val="24"/>
        </w:rPr>
        <w:t>七、投标文件应根据招标文件的要求制作，签署、盖章和内容应完整。（说明：1、招标文件中要求提供复印件证明材料的，包含原件的影印件或复印件。2、招标文件中要求提供复印件加盖公章的证明材料的，复印件所在页按要求加盖了公章或复印件为多页但至少有一页按要求加盖了公章的，视为满足复印件加盖公章的要求。）</w:t>
      </w:r>
    </w:p>
    <w:p>
      <w:pPr>
        <w:pStyle w:val="199"/>
        <w:tabs>
          <w:tab w:val="left" w:pos="1376"/>
        </w:tabs>
        <w:spacing w:before="193" w:line="312" w:lineRule="auto"/>
        <w:ind w:right="402" w:firstLineChars="175"/>
        <w:rPr>
          <w:rFonts w:ascii="宋体" w:hAnsi="宋体"/>
          <w:sz w:val="24"/>
          <w:szCs w:val="24"/>
        </w:rPr>
      </w:pPr>
      <w:r>
        <w:rPr>
          <w:rFonts w:hint="eastAsia" w:ascii="宋体" w:hAnsi="宋体"/>
          <w:sz w:val="24"/>
          <w:szCs w:val="24"/>
        </w:rPr>
        <w:t>八、</w:t>
      </w:r>
      <w:r>
        <w:rPr>
          <w:spacing w:val="-8"/>
          <w:sz w:val="24"/>
        </w:rPr>
        <w:t xml:space="preserve">投标文件统一用 </w:t>
      </w:r>
      <w:r>
        <w:rPr>
          <w:sz w:val="24"/>
        </w:rPr>
        <w:t>A4</w:t>
      </w:r>
      <w:r>
        <w:rPr>
          <w:spacing w:val="-9"/>
          <w:sz w:val="24"/>
        </w:rPr>
        <w:t xml:space="preserve"> 幅面纸印制，逐页编码。</w:t>
      </w:r>
    </w:p>
    <w:p>
      <w:pPr>
        <w:pStyle w:val="5"/>
        <w:ind w:left="1050"/>
        <w:jc w:val="left"/>
      </w:pPr>
      <w:bookmarkStart w:id="95" w:name="_Toc316475582"/>
      <w:bookmarkEnd w:id="95"/>
      <w:bookmarkStart w:id="96" w:name="_Toc316475578"/>
      <w:bookmarkEnd w:id="96"/>
      <w:bookmarkStart w:id="97" w:name="_Toc316475580"/>
      <w:bookmarkEnd w:id="97"/>
      <w:bookmarkStart w:id="98" w:name="_Toc316475579"/>
      <w:bookmarkEnd w:id="98"/>
      <w:bookmarkStart w:id="99" w:name="_Toc316475581"/>
      <w:bookmarkEnd w:id="99"/>
      <w:bookmarkStart w:id="100" w:name="_Toc316475577"/>
      <w:bookmarkEnd w:id="100"/>
      <w:bookmarkStart w:id="101" w:name="_Toc316475583"/>
      <w:bookmarkEnd w:id="101"/>
      <w:bookmarkStart w:id="102" w:name="_Toc89075877"/>
      <w:bookmarkStart w:id="103" w:name="_Toc183582226"/>
      <w:bookmarkStart w:id="104" w:name="_Toc217446053"/>
      <w:bookmarkStart w:id="105" w:name="_Toc183682363"/>
      <w:bookmarkStart w:id="106" w:name="_Toc77400781"/>
      <w:r>
        <w:rPr>
          <w:rFonts w:hint="eastAsia"/>
        </w:rPr>
        <w:t>投标文件的包装和密封、标注</w:t>
      </w:r>
      <w:bookmarkEnd w:id="102"/>
      <w:bookmarkEnd w:id="103"/>
      <w:bookmarkEnd w:id="104"/>
      <w:bookmarkEnd w:id="105"/>
      <w:bookmarkEnd w:id="106"/>
    </w:p>
    <w:p>
      <w:pPr>
        <w:pStyle w:val="199"/>
        <w:numPr>
          <w:ilvl w:val="0"/>
          <w:numId w:val="22"/>
        </w:numPr>
        <w:tabs>
          <w:tab w:val="left" w:pos="1340"/>
        </w:tabs>
        <w:spacing w:line="312" w:lineRule="auto"/>
        <w:ind w:right="402" w:firstLine="496"/>
        <w:rPr>
          <w:spacing w:val="2"/>
          <w:sz w:val="24"/>
        </w:rPr>
      </w:pPr>
      <w:r>
        <w:rPr>
          <w:spacing w:val="4"/>
          <w:sz w:val="24"/>
        </w:rPr>
        <w:t>投标人应在投标文件正本和所有副本的封面上注明：“资格性投标文件/</w:t>
      </w:r>
      <w:r>
        <w:rPr>
          <w:spacing w:val="2"/>
          <w:sz w:val="24"/>
        </w:rPr>
        <w:t>其他响应性投标文件、正本或副本、投标人名称、招标编号、项目名称及分包号”。</w:t>
      </w:r>
    </w:p>
    <w:p>
      <w:pPr>
        <w:numPr>
          <w:ilvl w:val="0"/>
          <w:numId w:val="22"/>
        </w:numPr>
        <w:tabs>
          <w:tab w:val="left" w:pos="1134"/>
        </w:tabs>
        <w:adjustRightInd w:val="0"/>
        <w:snapToGrid w:val="0"/>
        <w:spacing w:line="360" w:lineRule="auto"/>
        <w:ind w:firstLine="492" w:firstLineChars="200"/>
        <w:rPr>
          <w:rFonts w:ascii="宋体" w:hAnsi="宋体"/>
          <w:sz w:val="24"/>
          <w:szCs w:val="24"/>
        </w:rPr>
      </w:pPr>
      <w:r>
        <w:rPr>
          <w:spacing w:val="3"/>
          <w:sz w:val="24"/>
        </w:rPr>
        <w:t>投标文件包括正本、副本和用于开标唱标单独提交的“开标一览表”。投标文件应当密封，其中，“第一部分正本和第一部分副本”、“第二部分正本和第二部分副本”、“开标一览表”</w:t>
      </w:r>
      <w:r>
        <w:rPr>
          <w:spacing w:val="6"/>
          <w:sz w:val="24"/>
        </w:rPr>
        <w:t>均应分别单独密封。投标文件的密封袋上应当注明投标人名称、招标编号、项目名称</w:t>
      </w:r>
      <w:r>
        <w:rPr>
          <w:rFonts w:hint="eastAsia"/>
          <w:spacing w:val="6"/>
          <w:sz w:val="24"/>
        </w:rPr>
        <w:t>，</w:t>
      </w:r>
      <w:r>
        <w:rPr>
          <w:rFonts w:hint="eastAsia" w:ascii="宋体" w:hAnsi="宋体"/>
          <w:sz w:val="24"/>
          <w:szCs w:val="24"/>
        </w:rPr>
        <w:t>并加盖投标人公章。</w:t>
      </w:r>
    </w:p>
    <w:p>
      <w:pPr>
        <w:pStyle w:val="199"/>
        <w:tabs>
          <w:tab w:val="left" w:pos="1393"/>
        </w:tabs>
        <w:spacing w:line="360" w:lineRule="auto"/>
        <w:ind w:left="420" w:leftChars="200" w:firstLine="0" w:firstLineChars="0"/>
        <w:rPr>
          <w:spacing w:val="3"/>
          <w:sz w:val="24"/>
        </w:rPr>
      </w:pPr>
      <w:r>
        <w:rPr>
          <w:rFonts w:hint="eastAsia"/>
          <w:sz w:val="24"/>
        </w:rPr>
        <w:t>三、</w:t>
      </w:r>
      <w:r>
        <w:rPr>
          <w:spacing w:val="3"/>
          <w:sz w:val="24"/>
        </w:rPr>
        <w:t>所有外层密封袋的封口处应粘贴牢固，并加盖密封章或投标人公章。</w:t>
      </w:r>
    </w:p>
    <w:p>
      <w:pPr>
        <w:tabs>
          <w:tab w:val="left" w:pos="1134"/>
        </w:tabs>
        <w:adjustRightInd w:val="0"/>
        <w:snapToGrid w:val="0"/>
        <w:spacing w:line="360" w:lineRule="auto"/>
        <w:ind w:left="420" w:leftChars="200"/>
        <w:rPr>
          <w:spacing w:val="3"/>
          <w:sz w:val="24"/>
        </w:rPr>
      </w:pPr>
      <w:r>
        <w:rPr>
          <w:rFonts w:hint="eastAsia"/>
          <w:spacing w:val="3"/>
          <w:sz w:val="24"/>
        </w:rPr>
        <w:t>四、未按以上进行包装、密封、标注的</w:t>
      </w:r>
      <w:r>
        <w:rPr>
          <w:spacing w:val="3"/>
          <w:sz w:val="24"/>
        </w:rPr>
        <w:t>的投标文件将被拒绝接收</w:t>
      </w:r>
      <w:r>
        <w:rPr>
          <w:rFonts w:hint="eastAsia"/>
          <w:spacing w:val="3"/>
          <w:sz w:val="24"/>
        </w:rPr>
        <w:t>。</w:t>
      </w:r>
    </w:p>
    <w:p>
      <w:pPr>
        <w:pStyle w:val="5"/>
        <w:ind w:left="1050"/>
      </w:pPr>
      <w:bookmarkStart w:id="107" w:name="_Toc183682364"/>
      <w:bookmarkStart w:id="108" w:name="_Toc183582227"/>
      <w:bookmarkStart w:id="109" w:name="_Toc217446054"/>
      <w:r>
        <w:rPr>
          <w:rFonts w:hint="eastAsia"/>
        </w:rPr>
        <w:t>投标文件的</w:t>
      </w:r>
      <w:bookmarkEnd w:id="107"/>
      <w:bookmarkEnd w:id="108"/>
      <w:r>
        <w:rPr>
          <w:rFonts w:hint="eastAsia"/>
        </w:rPr>
        <w:t>递交</w:t>
      </w:r>
      <w:bookmarkEnd w:id="109"/>
    </w:p>
    <w:p>
      <w:pPr>
        <w:pStyle w:val="199"/>
        <w:numPr>
          <w:ilvl w:val="0"/>
          <w:numId w:val="23"/>
        </w:numPr>
        <w:tabs>
          <w:tab w:val="left" w:pos="1441"/>
        </w:tabs>
        <w:spacing w:before="1" w:line="312" w:lineRule="auto"/>
        <w:ind w:right="405" w:firstLine="639" w:firstLineChars="260"/>
        <w:rPr>
          <w:spacing w:val="3"/>
          <w:sz w:val="24"/>
        </w:rPr>
      </w:pPr>
      <w:r>
        <w:rPr>
          <w:spacing w:val="3"/>
          <w:sz w:val="24"/>
        </w:rPr>
        <w:t>投标人应在招标文件规定的投标截止时间前，将投标文件按招标文件的规定密封后送达开标地点。投标截止时间以后送达的投标文件或未按招标文件要求密封递交的投标文件将不予接收，招标采购单位将告知投标人不予接收的原因。</w:t>
      </w:r>
    </w:p>
    <w:p>
      <w:pPr>
        <w:pStyle w:val="199"/>
        <w:numPr>
          <w:ilvl w:val="0"/>
          <w:numId w:val="23"/>
        </w:numPr>
        <w:tabs>
          <w:tab w:val="left" w:pos="1441"/>
        </w:tabs>
        <w:spacing w:before="1" w:line="312" w:lineRule="auto"/>
        <w:ind w:right="405" w:firstLine="566" w:firstLineChars="238"/>
        <w:rPr>
          <w:spacing w:val="3"/>
          <w:sz w:val="24"/>
        </w:rPr>
      </w:pPr>
      <w:r>
        <w:rPr>
          <w:spacing w:val="-1"/>
          <w:sz w:val="24"/>
        </w:rPr>
        <w:t>投标人按要求递交了投标文件后，将由采购代理机构工作人员如实记载投标文</w:t>
      </w:r>
      <w:r>
        <w:rPr>
          <w:sz w:val="24"/>
        </w:rPr>
        <w:t>件的送达时间和密封情况，签收保存，并向其出具签收回执，作为递交凭证。本次招标不接收邮寄的投标文件。</w:t>
      </w:r>
    </w:p>
    <w:p>
      <w:pPr>
        <w:pStyle w:val="5"/>
        <w:ind w:left="1050"/>
      </w:pPr>
      <w:bookmarkStart w:id="110" w:name="_Toc316475586"/>
      <w:bookmarkEnd w:id="110"/>
      <w:bookmarkStart w:id="111" w:name="_Toc316475587"/>
      <w:bookmarkEnd w:id="111"/>
      <w:bookmarkStart w:id="112" w:name="_Toc183582228"/>
      <w:bookmarkStart w:id="113" w:name="_Toc183682365"/>
      <w:bookmarkStart w:id="114" w:name="_Toc217446055"/>
      <w:r>
        <w:rPr>
          <w:rFonts w:hint="eastAsia"/>
        </w:rPr>
        <w:t>投标文件的修改和撤</w:t>
      </w:r>
      <w:bookmarkEnd w:id="112"/>
      <w:bookmarkEnd w:id="113"/>
      <w:r>
        <w:rPr>
          <w:rFonts w:hint="eastAsia"/>
        </w:rPr>
        <w:t>回</w:t>
      </w:r>
      <w:bookmarkEnd w:id="114"/>
    </w:p>
    <w:p>
      <w:pPr>
        <w:numPr>
          <w:ilvl w:val="0"/>
          <w:numId w:val="24"/>
        </w:numPr>
        <w:tabs>
          <w:tab w:val="left" w:pos="1134"/>
        </w:tabs>
        <w:adjustRightInd w:val="0"/>
        <w:snapToGrid w:val="0"/>
        <w:spacing w:line="360" w:lineRule="auto"/>
        <w:ind w:left="0" w:firstLine="484" w:firstLineChars="202"/>
        <w:rPr>
          <w:rFonts w:ascii="宋体" w:hAnsi="宋体"/>
          <w:bCs/>
          <w:sz w:val="24"/>
          <w:szCs w:val="24"/>
        </w:rPr>
      </w:pPr>
      <w:r>
        <w:rPr>
          <w:rFonts w:hint="eastAsia" w:ascii="宋体" w:hAnsi="宋体"/>
          <w:bCs/>
          <w:sz w:val="24"/>
          <w:szCs w:val="24"/>
        </w:rPr>
        <w:t>投标人在提交投标文件后可对其投标文件进行修改或撤回，但该修改或撤回的书面通知须在投标截止时间之前送达开标地点。修改的内容为投标文件的组成部分。</w:t>
      </w:r>
    </w:p>
    <w:p>
      <w:pPr>
        <w:numPr>
          <w:ilvl w:val="0"/>
          <w:numId w:val="24"/>
        </w:numPr>
        <w:tabs>
          <w:tab w:val="left" w:pos="1134"/>
        </w:tabs>
        <w:adjustRightInd w:val="0"/>
        <w:snapToGrid w:val="0"/>
        <w:spacing w:line="360" w:lineRule="auto"/>
        <w:ind w:left="0" w:firstLine="484" w:firstLineChars="202"/>
        <w:rPr>
          <w:rFonts w:ascii="宋体" w:hAnsi="宋体"/>
          <w:bCs/>
          <w:sz w:val="24"/>
          <w:szCs w:val="24"/>
        </w:rPr>
      </w:pPr>
      <w:r>
        <w:rPr>
          <w:rFonts w:hint="eastAsia" w:ascii="宋体" w:hAnsi="宋体"/>
          <w:bCs/>
          <w:sz w:val="24"/>
          <w:szCs w:val="24"/>
        </w:rPr>
        <w:t>投标人修改或撤回的书面通知，应由其法定代表人或授权代理人签署并盖投标人公章。修改或撤回的书面通知应按投标人须知第</w:t>
      </w:r>
      <w:r>
        <w:rPr>
          <w:rFonts w:ascii="宋体" w:hAnsi="宋体"/>
          <w:bCs/>
          <w:sz w:val="24"/>
          <w:szCs w:val="24"/>
        </w:rPr>
        <w:t>2.4.1</w:t>
      </w:r>
      <w:r>
        <w:rPr>
          <w:rFonts w:hint="eastAsia" w:ascii="宋体" w:hAnsi="宋体"/>
          <w:bCs/>
          <w:sz w:val="24"/>
          <w:szCs w:val="24"/>
        </w:rPr>
        <w:t>1条、第2.4.12条规定进行编制、密封、标注，并在每个包装的最外层标明“修改投标文件”或“撤回投标”字样。</w:t>
      </w:r>
    </w:p>
    <w:p>
      <w:pPr>
        <w:numPr>
          <w:ilvl w:val="0"/>
          <w:numId w:val="24"/>
        </w:numPr>
        <w:tabs>
          <w:tab w:val="left" w:pos="1134"/>
        </w:tabs>
        <w:adjustRightInd w:val="0"/>
        <w:snapToGrid w:val="0"/>
        <w:spacing w:line="360" w:lineRule="auto"/>
        <w:ind w:left="0" w:firstLine="484" w:firstLineChars="202"/>
        <w:rPr>
          <w:rFonts w:ascii="宋体" w:hAnsi="宋体"/>
          <w:bCs/>
          <w:sz w:val="28"/>
          <w:szCs w:val="28"/>
        </w:rPr>
      </w:pPr>
      <w:r>
        <w:rPr>
          <w:rFonts w:hint="eastAsia" w:ascii="宋体" w:hAnsi="宋体"/>
          <w:bCs/>
          <w:sz w:val="24"/>
          <w:szCs w:val="24"/>
        </w:rPr>
        <w:t>在投标截止时间之后，投标人不得对其递交的投标文件做任何修改或撤回投标的，</w:t>
      </w:r>
      <w:r>
        <w:rPr>
          <w:spacing w:val="3"/>
          <w:sz w:val="24"/>
        </w:rPr>
        <w:t>将按照有关规定进行相应处理</w:t>
      </w:r>
      <w:r>
        <w:rPr>
          <w:rFonts w:hint="eastAsia" w:ascii="宋体" w:hAnsi="宋体"/>
          <w:bCs/>
          <w:sz w:val="24"/>
          <w:szCs w:val="24"/>
        </w:rPr>
        <w:t>。</w:t>
      </w:r>
    </w:p>
    <w:p>
      <w:pPr>
        <w:pStyle w:val="4"/>
        <w:adjustRightInd w:val="0"/>
        <w:snapToGrid w:val="0"/>
        <w:spacing w:before="0" w:after="0"/>
        <w:ind w:left="2247"/>
      </w:pPr>
      <w:bookmarkStart w:id="115" w:name="_Toc183582231"/>
      <w:bookmarkStart w:id="116" w:name="_Toc791"/>
      <w:bookmarkStart w:id="117" w:name="_Toc6684"/>
      <w:bookmarkStart w:id="118" w:name="_Toc89075878"/>
      <w:bookmarkStart w:id="119" w:name="_Toc217446056"/>
      <w:bookmarkStart w:id="120" w:name="_Toc66192151"/>
      <w:bookmarkStart w:id="121" w:name="_Toc27014"/>
      <w:bookmarkStart w:id="122" w:name="_Toc16328"/>
      <w:bookmarkStart w:id="123" w:name="_Toc77400782"/>
      <w:bookmarkStart w:id="124" w:name="_Toc183682368"/>
      <w:bookmarkStart w:id="125" w:name="_Toc14181"/>
      <w:r>
        <w:rPr>
          <w:rFonts w:hint="eastAsia"/>
        </w:rPr>
        <w:t>开标、评标和中标</w:t>
      </w:r>
      <w:bookmarkEnd w:id="115"/>
      <w:bookmarkEnd w:id="116"/>
      <w:bookmarkEnd w:id="117"/>
      <w:bookmarkEnd w:id="118"/>
      <w:bookmarkEnd w:id="119"/>
      <w:bookmarkEnd w:id="120"/>
      <w:bookmarkEnd w:id="121"/>
      <w:bookmarkEnd w:id="122"/>
      <w:bookmarkEnd w:id="123"/>
      <w:bookmarkEnd w:id="124"/>
      <w:bookmarkEnd w:id="125"/>
    </w:p>
    <w:p>
      <w:pPr>
        <w:pStyle w:val="5"/>
        <w:ind w:left="1050"/>
      </w:pPr>
      <w:bookmarkStart w:id="126" w:name="_Toc217446057"/>
      <w:bookmarkStart w:id="127" w:name="_Toc183682369"/>
      <w:bookmarkStart w:id="128" w:name="_Toc183582232"/>
      <w:r>
        <w:rPr>
          <w:rFonts w:hint="eastAsia"/>
        </w:rPr>
        <w:t>开标</w:t>
      </w:r>
      <w:bookmarkEnd w:id="126"/>
      <w:bookmarkEnd w:id="127"/>
      <w:bookmarkEnd w:id="128"/>
    </w:p>
    <w:p>
      <w:pPr>
        <w:numPr>
          <w:ilvl w:val="0"/>
          <w:numId w:val="25"/>
        </w:numPr>
        <w:tabs>
          <w:tab w:val="left" w:pos="1134"/>
        </w:tabs>
        <w:adjustRightInd w:val="0"/>
        <w:snapToGrid w:val="0"/>
        <w:spacing w:line="360" w:lineRule="auto"/>
        <w:ind w:left="13" w:firstLine="627"/>
        <w:rPr>
          <w:rFonts w:ascii="宋体" w:hAnsi="宋体"/>
          <w:sz w:val="24"/>
          <w:szCs w:val="24"/>
        </w:rPr>
      </w:pPr>
      <w:r>
        <w:rPr>
          <w:rFonts w:hint="eastAsia" w:ascii="宋体" w:hAnsi="宋体"/>
          <w:sz w:val="24"/>
          <w:szCs w:val="24"/>
        </w:rPr>
        <w:t>开标在招标文件规定的时间和地点公开进行，采购人、投标人可派代表参加出席并签到以证明其出席。开标由成都青青工程造价咨询有限责任公司主持，采购人、投标人代表参加。评标委员会成员不得参加开标活动。（采购代理机构将拒绝接收未购买招标文件和登记报名的供应商的投标文件）。</w:t>
      </w:r>
    </w:p>
    <w:p>
      <w:pPr>
        <w:pStyle w:val="199"/>
        <w:tabs>
          <w:tab w:val="left" w:pos="1468"/>
        </w:tabs>
        <w:spacing w:before="1" w:line="312" w:lineRule="auto"/>
        <w:ind w:right="402" w:firstLine="660" w:firstLineChars="275"/>
        <w:rPr>
          <w:rFonts w:ascii="宋体" w:hAnsi="宋体"/>
          <w:sz w:val="24"/>
          <w:szCs w:val="24"/>
        </w:rPr>
      </w:pPr>
      <w:r>
        <w:rPr>
          <w:rFonts w:hint="eastAsia" w:ascii="宋体" w:hAnsi="宋体"/>
          <w:sz w:val="24"/>
          <w:szCs w:val="24"/>
        </w:rPr>
        <w:t>二、开标时，</w:t>
      </w:r>
      <w:r>
        <w:rPr>
          <w:spacing w:val="11"/>
          <w:sz w:val="24"/>
        </w:rPr>
        <w:t>可能根据具体情况邀请有关监督管理部门对开标活动进行现场监</w:t>
      </w:r>
      <w:r>
        <w:rPr>
          <w:sz w:val="24"/>
        </w:rPr>
        <w:t>督。</w:t>
      </w:r>
    </w:p>
    <w:p>
      <w:pPr>
        <w:tabs>
          <w:tab w:val="left" w:pos="1134"/>
        </w:tabs>
        <w:adjustRightInd w:val="0"/>
        <w:snapToGrid w:val="0"/>
        <w:spacing w:before="120" w:line="360" w:lineRule="auto"/>
        <w:ind w:firstLine="720" w:firstLineChars="300"/>
        <w:rPr>
          <w:rFonts w:ascii="宋体" w:hAnsi="宋体"/>
          <w:sz w:val="24"/>
          <w:szCs w:val="24"/>
        </w:rPr>
      </w:pPr>
      <w:r>
        <w:rPr>
          <w:rFonts w:hint="eastAsia" w:ascii="宋体" w:hAnsi="宋体"/>
          <w:sz w:val="24"/>
          <w:szCs w:val="24"/>
        </w:rPr>
        <w:t>三、开标时，由投标人或者其推选的代表先检查其自己递交的投标文件的密封情况，经确认无误后，</w:t>
      </w:r>
      <w:r>
        <w:rPr>
          <w:spacing w:val="3"/>
          <w:sz w:val="24"/>
        </w:rPr>
        <w:t>由招标工作人员将投标人单独递交的“开标一览表”当众拆封，并由唱标人员按照招标文件规定的内容进行宣读。</w:t>
      </w:r>
    </w:p>
    <w:p>
      <w:pPr>
        <w:tabs>
          <w:tab w:val="left" w:pos="1134"/>
        </w:tabs>
        <w:adjustRightInd w:val="0"/>
        <w:snapToGrid w:val="0"/>
        <w:spacing w:before="120" w:line="360" w:lineRule="auto"/>
        <w:ind w:firstLine="484" w:firstLineChars="202"/>
        <w:rPr>
          <w:rFonts w:ascii="宋体" w:hAnsi="宋体"/>
          <w:sz w:val="24"/>
          <w:szCs w:val="24"/>
        </w:rPr>
      </w:pPr>
      <w:r>
        <w:rPr>
          <w:rFonts w:hint="eastAsia" w:ascii="宋体" w:hAnsi="宋体"/>
          <w:sz w:val="24"/>
          <w:szCs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pPr>
        <w:pStyle w:val="199"/>
        <w:tabs>
          <w:tab w:val="left" w:pos="1460"/>
          <w:tab w:val="left" w:pos="8400"/>
        </w:tabs>
        <w:spacing w:before="1" w:line="312" w:lineRule="auto"/>
        <w:ind w:right="20" w:firstLine="480"/>
        <w:rPr>
          <w:spacing w:val="3"/>
          <w:sz w:val="24"/>
        </w:rPr>
      </w:pPr>
      <w:r>
        <w:rPr>
          <w:rFonts w:hint="eastAsia" w:ascii="宋体" w:hAnsi="宋体"/>
          <w:sz w:val="24"/>
          <w:szCs w:val="24"/>
        </w:rPr>
        <w:t>四、开</w:t>
      </w:r>
      <w:r>
        <w:rPr>
          <w:spacing w:val="3"/>
          <w:sz w:val="24"/>
        </w:rPr>
        <w:t>标时，“开标一览表”中的大写金额与小写金额不一致的，以大写金额为准；总价金额与按单价计算的汇总金额不一致的，以单价计算的汇总金额为准；单价金额有明显小数点错误的，以总价为准，并修改单价。</w:t>
      </w:r>
    </w:p>
    <w:p>
      <w:pPr>
        <w:pStyle w:val="199"/>
        <w:tabs>
          <w:tab w:val="left" w:pos="1460"/>
        </w:tabs>
        <w:spacing w:before="1" w:line="312" w:lineRule="auto"/>
        <w:ind w:right="402" w:firstLine="492"/>
      </w:pPr>
      <w:r>
        <w:rPr>
          <w:rFonts w:hint="eastAsia"/>
          <w:spacing w:val="3"/>
          <w:sz w:val="24"/>
        </w:rPr>
        <w:t>五、</w:t>
      </w:r>
      <w:r>
        <w:rPr>
          <w:spacing w:val="3"/>
          <w:sz w:val="24"/>
        </w:rPr>
        <w:t>投标文件中相关内容与“开标一览表”不一致的，以“开标一览表”为准。对不同文字文本投标文件的解释发生异议的，以中文文本为准。</w:t>
      </w:r>
      <w:r>
        <w:rPr>
          <w:rFonts w:hint="eastAsia"/>
        </w:rPr>
        <w:t xml:space="preserve"> </w:t>
      </w:r>
    </w:p>
    <w:p>
      <w:pPr>
        <w:tabs>
          <w:tab w:val="left" w:pos="1134"/>
        </w:tabs>
        <w:adjustRightInd w:val="0"/>
        <w:snapToGrid w:val="0"/>
        <w:spacing w:line="360" w:lineRule="auto"/>
        <w:ind w:firstLine="660" w:firstLineChars="275"/>
        <w:rPr>
          <w:rFonts w:ascii="宋体" w:hAnsi="宋体"/>
          <w:sz w:val="24"/>
          <w:szCs w:val="24"/>
        </w:rPr>
      </w:pPr>
      <w:r>
        <w:rPr>
          <w:rFonts w:hint="eastAsia" w:ascii="宋体" w:hAnsi="宋体"/>
          <w:sz w:val="24"/>
          <w:szCs w:val="24"/>
        </w:rPr>
        <w:t>六、所有投标唱标完毕，如投标人代表对宣读的</w:t>
      </w:r>
      <w:r>
        <w:rPr>
          <w:spacing w:val="3"/>
          <w:sz w:val="24"/>
        </w:rPr>
        <w:t>“开标一览表”上的</w:t>
      </w:r>
      <w:r>
        <w:rPr>
          <w:rFonts w:hint="eastAsia" w:ascii="宋体" w:hAnsi="宋体"/>
          <w:sz w:val="24"/>
          <w:szCs w:val="24"/>
        </w:rPr>
        <w:t>内容有异议的，应在获得开标会主持人同意后当场提出。如确实属于唱标人员宣读错了的，经现场监督人员核实后，当场予以更正。</w:t>
      </w:r>
      <w:bookmarkStart w:id="129" w:name="_Toc217446058"/>
    </w:p>
    <w:p>
      <w:pPr>
        <w:tabs>
          <w:tab w:val="left" w:pos="1134"/>
        </w:tabs>
        <w:adjustRightInd w:val="0"/>
        <w:snapToGrid w:val="0"/>
        <w:spacing w:line="360" w:lineRule="auto"/>
        <w:ind w:firstLine="720" w:firstLineChars="300"/>
        <w:rPr>
          <w:rFonts w:ascii="宋体" w:hAnsi="宋体"/>
          <w:sz w:val="28"/>
          <w:szCs w:val="28"/>
        </w:rPr>
      </w:pPr>
      <w:r>
        <w:rPr>
          <w:rFonts w:hint="eastAsia" w:ascii="宋体" w:hAnsi="宋体"/>
          <w:sz w:val="24"/>
          <w:szCs w:val="24"/>
        </w:rPr>
        <w:t>七、无论何种原因，在开标时没有唱标的投标文件（包括按投标人须知第2.4.14条规定递交的修改、撤回）在评标时将不予考虑。成都青青工程造价咨询有限责任公司对此不承担任何责任。撤回的投标文件将原封退回投标人。</w:t>
      </w:r>
    </w:p>
    <w:bookmarkEnd w:id="129"/>
    <w:p>
      <w:pPr>
        <w:pStyle w:val="5"/>
        <w:ind w:left="1050"/>
      </w:pPr>
      <w:r>
        <w:rPr>
          <w:rFonts w:hint="eastAsia"/>
        </w:rPr>
        <w:t>开标程序</w:t>
      </w:r>
    </w:p>
    <w:p>
      <w:pPr>
        <w:adjustRightInd w:val="0"/>
        <w:snapToGrid w:val="0"/>
        <w:spacing w:line="360" w:lineRule="auto"/>
        <w:ind w:left="218" w:leftChars="104" w:firstLine="275"/>
        <w:rPr>
          <w:rFonts w:ascii="宋体" w:hAnsi="宋体"/>
          <w:sz w:val="24"/>
          <w:szCs w:val="24"/>
        </w:rPr>
      </w:pPr>
      <w:r>
        <w:rPr>
          <w:rFonts w:hint="eastAsia" w:ascii="宋体" w:hAnsi="宋体"/>
          <w:sz w:val="24"/>
          <w:szCs w:val="24"/>
        </w:rPr>
        <w:t>开标会主持人按照招标文件规定的开标时间宣布开标，按照规定要求主持开标会。开标将按以下程序进行：</w:t>
      </w:r>
    </w:p>
    <w:p>
      <w:pPr>
        <w:pStyle w:val="199"/>
        <w:numPr>
          <w:ilvl w:val="0"/>
          <w:numId w:val="26"/>
        </w:numPr>
        <w:spacing w:before="2" w:line="312" w:lineRule="auto"/>
        <w:ind w:left="0" w:right="402" w:firstLine="480"/>
        <w:rPr>
          <w:sz w:val="24"/>
        </w:rPr>
      </w:pPr>
      <w:r>
        <w:rPr>
          <w:rFonts w:hint="eastAsia" w:ascii="宋体" w:hAnsi="宋体"/>
          <w:sz w:val="24"/>
          <w:szCs w:val="24"/>
        </w:rPr>
        <w:t>宣布开标会议开始。</w:t>
      </w:r>
      <w:r>
        <w:rPr>
          <w:spacing w:val="3"/>
          <w:sz w:val="24"/>
        </w:rPr>
        <w:t>当众宣布参加开标会主持人、唱标人、会议记录人以及根据情况邀请的现场监督人等工作人员，根据“投标人签到表”宣布参加投标的投标人名单。</w:t>
      </w:r>
    </w:p>
    <w:p>
      <w:pPr>
        <w:pStyle w:val="199"/>
        <w:numPr>
          <w:ilvl w:val="0"/>
          <w:numId w:val="26"/>
        </w:numPr>
        <w:spacing w:line="312" w:lineRule="auto"/>
        <w:ind w:left="0" w:right="402" w:firstLine="492"/>
        <w:rPr>
          <w:sz w:val="24"/>
        </w:rPr>
      </w:pPr>
      <w:r>
        <w:rPr>
          <w:spacing w:val="3"/>
          <w:sz w:val="24"/>
        </w:rPr>
        <w:t>根据投标人或者其推选的代表对投标文件密封的检查结果，当众宣布投标文件的密封情况。</w:t>
      </w:r>
    </w:p>
    <w:p>
      <w:pPr>
        <w:pStyle w:val="199"/>
        <w:numPr>
          <w:ilvl w:val="0"/>
          <w:numId w:val="26"/>
        </w:numPr>
        <w:tabs>
          <w:tab w:val="left" w:pos="1260"/>
        </w:tabs>
        <w:spacing w:line="312" w:lineRule="auto"/>
        <w:ind w:left="0" w:right="404" w:firstLine="492"/>
        <w:rPr>
          <w:sz w:val="24"/>
        </w:rPr>
      </w:pPr>
      <w:r>
        <w:rPr>
          <w:spacing w:val="3"/>
          <w:sz w:val="24"/>
        </w:rPr>
        <w:t>开标唱标。主持人宣布开标后，由现场工作人员按任意顺序对投标人的“开标一览表”当众进行拆封，由唱标人员宣读投标人名称、投标价格（价格折扣）、或招标文件允许提供的备选投标方案和投标文件的其他主要内容。同时，做好开标记录。唱标人员在唱标过程中，如遇有字迹不清楚或有明显错误的，应即刻报告主持人，经现场核实后，主持人立即请投标人代表现场进行澄清或确认。唱标完毕后投标人或者其推选</w:t>
      </w:r>
      <w:r>
        <w:rPr>
          <w:spacing w:val="6"/>
          <w:sz w:val="24"/>
        </w:rPr>
        <w:t>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 标、评标工作。投标人代表对开标过程或开标记录有疑义，以及认为采购人、采购代理机构相关工作人员有需要回避的情形的，应当场提出询问及回避申请。采购人、采购代理机构将对投标人代表提出的询问或回避申请现场进行核实、处理。投标人未参加开标的，视同认可开标结果。</w:t>
      </w:r>
    </w:p>
    <w:p>
      <w:pPr>
        <w:pStyle w:val="199"/>
        <w:numPr>
          <w:ilvl w:val="0"/>
          <w:numId w:val="26"/>
        </w:numPr>
        <w:tabs>
          <w:tab w:val="left" w:pos="1260"/>
        </w:tabs>
        <w:spacing w:before="3" w:line="312" w:lineRule="auto"/>
        <w:ind w:left="0" w:right="402" w:firstLine="496"/>
        <w:rPr>
          <w:sz w:val="24"/>
        </w:rPr>
      </w:pPr>
      <w:r>
        <w:rPr>
          <w:spacing w:val="4"/>
          <w:sz w:val="24"/>
        </w:rPr>
        <w:t>宣布开标会结束。主持人宣布开标会结束。所有投标人代表应立即退场（</w:t>
      </w:r>
      <w:r>
        <w:rPr>
          <w:sz w:val="24"/>
        </w:rPr>
        <w:t>招标文件要求有演示、介绍等的除外）。同时所有投标人应保持通讯设备的畅通，以方便在评标过程中评标委员会要求投标人对投标文件的必要澄清、说明和纠正。中标结果投</w:t>
      </w:r>
      <w:r>
        <w:rPr>
          <w:rFonts w:hint="eastAsia"/>
          <w:sz w:val="24"/>
        </w:rPr>
        <w:t>标人在四川政府采购网上查询。</w:t>
      </w:r>
    </w:p>
    <w:p>
      <w:pPr>
        <w:pStyle w:val="199"/>
        <w:tabs>
          <w:tab w:val="left" w:pos="1260"/>
        </w:tabs>
        <w:spacing w:before="3" w:line="312" w:lineRule="auto"/>
        <w:ind w:right="402" w:firstLine="480"/>
        <w:rPr>
          <w:sz w:val="24"/>
        </w:rPr>
      </w:pPr>
      <w:r>
        <w:rPr>
          <w:rFonts w:hint="eastAsia"/>
          <w:sz w:val="24"/>
        </w:rPr>
        <w:t>2.5.3开评标过程存档</w:t>
      </w:r>
    </w:p>
    <w:p>
      <w:pPr>
        <w:pStyle w:val="199"/>
        <w:tabs>
          <w:tab w:val="left" w:pos="1260"/>
        </w:tabs>
        <w:spacing w:before="3" w:line="312" w:lineRule="auto"/>
        <w:ind w:right="402" w:firstLine="0" w:firstLineChars="0"/>
        <w:rPr>
          <w:sz w:val="24"/>
        </w:rPr>
      </w:pPr>
      <w:r>
        <w:rPr>
          <w:sz w:val="24"/>
        </w:rPr>
        <w:t>开标和评标过程进行全过程电子监控，并将电子监控资料存储介质留存归档。</w:t>
      </w:r>
    </w:p>
    <w:p>
      <w:pPr>
        <w:pStyle w:val="199"/>
        <w:tabs>
          <w:tab w:val="left" w:pos="1260"/>
        </w:tabs>
        <w:spacing w:before="3" w:line="312" w:lineRule="auto"/>
        <w:ind w:right="402" w:firstLine="480" w:firstLineChars="0"/>
        <w:rPr>
          <w:sz w:val="24"/>
        </w:rPr>
      </w:pPr>
      <w:r>
        <w:rPr>
          <w:rFonts w:hint="eastAsia"/>
          <w:sz w:val="24"/>
        </w:rPr>
        <w:t>2.5.4评标情况公告</w:t>
      </w:r>
    </w:p>
    <w:p>
      <w:pPr>
        <w:pStyle w:val="18"/>
        <w:spacing w:line="312" w:lineRule="auto"/>
        <w:ind w:left="372" w:right="405" w:firstLine="480"/>
        <w:rPr>
          <w:spacing w:val="3"/>
          <w:sz w:val="24"/>
        </w:rPr>
      </w:pPr>
      <w:r>
        <w:rPr>
          <w:rFonts w:hint="eastAsia"/>
          <w:spacing w:val="3"/>
          <w:sz w:val="24"/>
        </w:rPr>
        <w:t>所</w:t>
      </w:r>
      <w:r>
        <w:rPr>
          <w:spacing w:val="3"/>
          <w:sz w:val="24"/>
        </w:rPr>
        <w:t>有供应商投标文件资格性、符合性检查情况、采用综合评分法时的总得分和分项汇总得分情况、中标结果等将在四川政府采购网上采购结果公告栏中予以公告。</w:t>
      </w:r>
    </w:p>
    <w:p>
      <w:pPr>
        <w:pStyle w:val="18"/>
        <w:spacing w:line="312" w:lineRule="auto"/>
        <w:ind w:right="405" w:firstLine="480"/>
        <w:rPr>
          <w:sz w:val="24"/>
        </w:rPr>
      </w:pPr>
      <w:r>
        <w:rPr>
          <w:rFonts w:hint="eastAsia"/>
          <w:sz w:val="24"/>
        </w:rPr>
        <w:t>2.5.5中标通知书</w:t>
      </w:r>
    </w:p>
    <w:p>
      <w:pPr>
        <w:pStyle w:val="199"/>
        <w:tabs>
          <w:tab w:val="left" w:pos="1453"/>
        </w:tabs>
        <w:spacing w:before="1"/>
        <w:ind w:firstLine="480"/>
        <w:rPr>
          <w:sz w:val="24"/>
        </w:rPr>
      </w:pPr>
      <w:r>
        <w:rPr>
          <w:rFonts w:hint="eastAsia"/>
          <w:sz w:val="24"/>
        </w:rPr>
        <w:t>一、</w:t>
      </w:r>
      <w:r>
        <w:rPr>
          <w:sz w:val="24"/>
        </w:rPr>
        <w:t>中标通知书为签订政府采购合同的依据之一，是合同的有效组成部分。</w:t>
      </w:r>
    </w:p>
    <w:p>
      <w:pPr>
        <w:pStyle w:val="199"/>
        <w:tabs>
          <w:tab w:val="left" w:pos="1460"/>
        </w:tabs>
        <w:spacing w:before="93" w:line="312" w:lineRule="auto"/>
        <w:ind w:right="402" w:firstLine="418" w:firstLineChars="170"/>
        <w:rPr>
          <w:sz w:val="24"/>
        </w:rPr>
      </w:pPr>
      <w:r>
        <w:rPr>
          <w:rFonts w:hint="eastAsia"/>
          <w:spacing w:val="3"/>
          <w:sz w:val="24"/>
        </w:rPr>
        <w:t>二、</w:t>
      </w:r>
      <w:r>
        <w:rPr>
          <w:spacing w:val="3"/>
          <w:sz w:val="24"/>
        </w:rPr>
        <w:t>投标人中标后，拒绝领取中标通知书的，招标采购单位将于中标人确定之日起两个工作日内采取邮寄、快递方式按照投标人投标文件中的地址发出中标通知书。</w:t>
      </w:r>
    </w:p>
    <w:p>
      <w:pPr>
        <w:pStyle w:val="199"/>
        <w:tabs>
          <w:tab w:val="left" w:pos="1460"/>
        </w:tabs>
        <w:spacing w:line="312" w:lineRule="auto"/>
        <w:ind w:right="402" w:firstLine="492"/>
        <w:rPr>
          <w:sz w:val="24"/>
        </w:rPr>
      </w:pPr>
      <w:r>
        <w:rPr>
          <w:rFonts w:hint="eastAsia"/>
          <w:spacing w:val="3"/>
          <w:sz w:val="24"/>
        </w:rPr>
        <w:t>三、</w:t>
      </w:r>
      <w:r>
        <w:rPr>
          <w:spacing w:val="3"/>
          <w:sz w:val="24"/>
        </w:rPr>
        <w:t>中标通知书对采购人和中标人均具有法律效力。中标通知书发出后，采购人改变中标结果，或者中标人无正当理由放弃中标的，应当承担相应的法律责任。</w:t>
      </w:r>
    </w:p>
    <w:p>
      <w:pPr>
        <w:pStyle w:val="199"/>
        <w:tabs>
          <w:tab w:val="left" w:pos="1393"/>
        </w:tabs>
        <w:spacing w:before="2" w:line="312" w:lineRule="auto"/>
        <w:ind w:right="405" w:firstLine="476"/>
        <w:rPr>
          <w:sz w:val="24"/>
        </w:rPr>
      </w:pPr>
      <w:r>
        <w:rPr>
          <w:rFonts w:hint="eastAsia"/>
          <w:spacing w:val="-1"/>
          <w:sz w:val="24"/>
        </w:rPr>
        <w:t>四、</w:t>
      </w:r>
      <w:r>
        <w:rPr>
          <w:spacing w:val="-1"/>
          <w:sz w:val="24"/>
        </w:rPr>
        <w:t>中标人的投标文件本应作为无效投标处理或者有政府采购法律法规规章制度规</w:t>
      </w:r>
      <w:r>
        <w:rPr>
          <w:sz w:val="24"/>
        </w:rPr>
        <w:t>定的中标无效情形的，招标采购单位在取得有权主体的认定以后，将宣布发出的中标通知书无效，并收回发出的中标通知书（中标人也应当缴回），依法重新确定中标人或者重新开展采购活动。</w:t>
      </w:r>
    </w:p>
    <w:p>
      <w:pPr>
        <w:pStyle w:val="199"/>
        <w:tabs>
          <w:tab w:val="left" w:pos="1393"/>
        </w:tabs>
        <w:spacing w:before="2" w:line="312" w:lineRule="auto"/>
        <w:ind w:right="405" w:firstLine="476"/>
        <w:rPr>
          <w:rFonts w:ascii="宋体" w:hAnsi="宋体" w:cs="仿宋"/>
          <w:sz w:val="24"/>
        </w:rPr>
      </w:pPr>
      <w:r>
        <w:rPr>
          <w:rFonts w:hint="eastAsia"/>
          <w:spacing w:val="-1"/>
          <w:sz w:val="24"/>
        </w:rPr>
        <w:t>五、</w:t>
      </w:r>
      <w:r>
        <w:rPr>
          <w:spacing w:val="-1"/>
          <w:sz w:val="24"/>
        </w:rPr>
        <w:t>中标公告发出后，中标人自行领取中标通知书的，可凭有效身份证明证件到</w:t>
      </w:r>
      <w:r>
        <w:rPr>
          <w:rFonts w:hint="eastAsia"/>
          <w:spacing w:val="-1"/>
          <w:sz w:val="24"/>
        </w:rPr>
        <w:t>成都青青工程造价咨询有限责任公司</w:t>
      </w:r>
      <w:r>
        <w:rPr>
          <w:spacing w:val="13"/>
          <w:sz w:val="24"/>
        </w:rPr>
        <w:t>领取中标通知书。联系人：</w:t>
      </w:r>
      <w:r>
        <w:rPr>
          <w:rFonts w:hint="eastAsia"/>
          <w:spacing w:val="13"/>
          <w:sz w:val="24"/>
        </w:rPr>
        <w:t>申</w:t>
      </w:r>
      <w:r>
        <w:rPr>
          <w:spacing w:val="13"/>
          <w:sz w:val="24"/>
        </w:rPr>
        <w:t>女士，联系电话：</w:t>
      </w:r>
      <w:r>
        <w:rPr>
          <w:rFonts w:ascii="宋体" w:hAnsi="宋体" w:cs="仿宋"/>
          <w:sz w:val="24"/>
        </w:rPr>
        <w:t>028-67846996</w:t>
      </w:r>
      <w:r>
        <w:rPr>
          <w:rFonts w:hint="eastAsia" w:ascii="宋体" w:hAnsi="宋体" w:cs="仿宋"/>
          <w:sz w:val="24"/>
        </w:rPr>
        <w:t>。</w:t>
      </w:r>
    </w:p>
    <w:p>
      <w:pPr>
        <w:pStyle w:val="199"/>
        <w:tabs>
          <w:tab w:val="left" w:pos="1393"/>
        </w:tabs>
        <w:spacing w:line="312" w:lineRule="auto"/>
        <w:ind w:right="405" w:firstLine="525" w:firstLineChars="219"/>
        <w:rPr>
          <w:sz w:val="24"/>
        </w:rPr>
      </w:pPr>
    </w:p>
    <w:p>
      <w:pPr>
        <w:pStyle w:val="18"/>
        <w:spacing w:line="312" w:lineRule="auto"/>
        <w:ind w:right="405" w:firstLine="480"/>
        <w:rPr>
          <w:sz w:val="24"/>
        </w:rPr>
      </w:pPr>
    </w:p>
    <w:p>
      <w:pPr>
        <w:pStyle w:val="18"/>
        <w:spacing w:line="312" w:lineRule="auto"/>
        <w:ind w:right="405" w:firstLine="480"/>
        <w:rPr>
          <w:sz w:val="24"/>
        </w:rPr>
      </w:pPr>
    </w:p>
    <w:p>
      <w:pPr>
        <w:pStyle w:val="199"/>
        <w:tabs>
          <w:tab w:val="left" w:pos="1260"/>
        </w:tabs>
        <w:spacing w:before="3" w:line="312" w:lineRule="auto"/>
        <w:ind w:right="402" w:firstLine="480" w:firstLineChars="0"/>
        <w:rPr>
          <w:sz w:val="24"/>
        </w:rPr>
      </w:pPr>
    </w:p>
    <w:p>
      <w:pPr>
        <w:pStyle w:val="199"/>
        <w:tabs>
          <w:tab w:val="left" w:pos="1260"/>
        </w:tabs>
        <w:spacing w:before="3" w:line="312" w:lineRule="auto"/>
        <w:ind w:right="402" w:firstLine="480" w:firstLineChars="0"/>
        <w:rPr>
          <w:sz w:val="24"/>
        </w:rPr>
      </w:pPr>
    </w:p>
    <w:p>
      <w:pPr>
        <w:pStyle w:val="199"/>
        <w:tabs>
          <w:tab w:val="left" w:pos="1260"/>
        </w:tabs>
        <w:spacing w:before="3" w:line="312" w:lineRule="auto"/>
        <w:ind w:right="402" w:firstLine="0" w:firstLineChars="0"/>
        <w:rPr>
          <w:sz w:val="24"/>
        </w:rPr>
      </w:pPr>
    </w:p>
    <w:p>
      <w:pPr>
        <w:pStyle w:val="199"/>
        <w:tabs>
          <w:tab w:val="left" w:pos="1260"/>
        </w:tabs>
        <w:spacing w:before="3" w:line="312" w:lineRule="auto"/>
        <w:ind w:right="402" w:firstLine="0" w:firstLineChars="0"/>
        <w:rPr>
          <w:sz w:val="24"/>
        </w:rPr>
      </w:pPr>
    </w:p>
    <w:p>
      <w:pPr>
        <w:pStyle w:val="199"/>
        <w:tabs>
          <w:tab w:val="left" w:pos="1260"/>
        </w:tabs>
        <w:spacing w:before="3" w:line="312" w:lineRule="auto"/>
        <w:ind w:right="402" w:firstLine="0" w:firstLineChars="0"/>
        <w:rPr>
          <w:sz w:val="24"/>
        </w:rPr>
        <w:sectPr>
          <w:footerReference r:id="rId4" w:type="default"/>
          <w:pgSz w:w="11900" w:h="16840"/>
          <w:pgMar w:top="1160" w:right="1180" w:bottom="1160" w:left="760" w:header="0" w:footer="966" w:gutter="0"/>
          <w:pgNumType w:start="1"/>
          <w:cols w:space="720" w:num="1"/>
        </w:sectPr>
      </w:pPr>
    </w:p>
    <w:p>
      <w:pPr>
        <w:pStyle w:val="4"/>
        <w:adjustRightInd w:val="0"/>
        <w:snapToGrid w:val="0"/>
        <w:spacing w:before="0" w:after="0"/>
        <w:ind w:left="2247"/>
      </w:pPr>
      <w:bookmarkStart w:id="130" w:name="_Toc217446064"/>
      <w:bookmarkStart w:id="131" w:name="_Toc31833"/>
      <w:bookmarkStart w:id="132" w:name="_Toc30387"/>
      <w:bookmarkStart w:id="133" w:name="_Toc26869"/>
      <w:bookmarkStart w:id="134" w:name="_Toc15653"/>
      <w:bookmarkStart w:id="135" w:name="_Toc66192152"/>
      <w:bookmarkStart w:id="136" w:name="_Toc3833"/>
      <w:bookmarkStart w:id="137" w:name="_Toc183682377"/>
      <w:bookmarkStart w:id="138" w:name="_Toc183582240"/>
      <w:r>
        <w:rPr>
          <w:rFonts w:hint="eastAsia"/>
        </w:rPr>
        <w:t>签订及履行合同</w:t>
      </w:r>
      <w:bookmarkEnd w:id="130"/>
      <w:r>
        <w:rPr>
          <w:rFonts w:hint="eastAsia"/>
        </w:rPr>
        <w:t>和验收</w:t>
      </w:r>
      <w:bookmarkEnd w:id="131"/>
      <w:bookmarkEnd w:id="132"/>
      <w:bookmarkEnd w:id="133"/>
      <w:bookmarkEnd w:id="134"/>
      <w:bookmarkEnd w:id="135"/>
      <w:bookmarkEnd w:id="136"/>
    </w:p>
    <w:p>
      <w:pPr>
        <w:pStyle w:val="5"/>
        <w:ind w:left="1050"/>
      </w:pPr>
      <w:bookmarkStart w:id="139" w:name="_Toc217446065"/>
      <w:r>
        <w:rPr>
          <w:rFonts w:hint="eastAsia"/>
        </w:rPr>
        <w:t>签订合同</w:t>
      </w:r>
      <w:bookmarkEnd w:id="139"/>
    </w:p>
    <w:p>
      <w:pPr>
        <w:numPr>
          <w:ilvl w:val="0"/>
          <w:numId w:val="27"/>
        </w:numPr>
        <w:tabs>
          <w:tab w:val="left" w:pos="1134"/>
        </w:tabs>
        <w:adjustRightInd w:val="0"/>
        <w:snapToGrid w:val="0"/>
        <w:spacing w:line="360" w:lineRule="auto"/>
        <w:ind w:left="0" w:firstLine="484" w:firstLineChars="202"/>
        <w:rPr>
          <w:rFonts w:ascii="宋体" w:hAnsi="宋体"/>
          <w:sz w:val="24"/>
          <w:szCs w:val="24"/>
        </w:rPr>
      </w:pPr>
      <w:r>
        <w:rPr>
          <w:rFonts w:hint="eastAsia" w:ascii="宋体" w:hAnsi="宋体"/>
          <w:sz w:val="24"/>
          <w:szCs w:val="24"/>
        </w:rPr>
        <w:t>中标人应在中标通知书发出之日起30天内与采购人签订采购合同，因中标人的原因逾期未与采购人签订采购合同或者中标人拒绝与采购人签订合同的，将视为放弃中标，取消其中标资格并将按相关规定进行处理。</w:t>
      </w:r>
    </w:p>
    <w:p>
      <w:pPr>
        <w:numPr>
          <w:ilvl w:val="0"/>
          <w:numId w:val="27"/>
        </w:numPr>
        <w:tabs>
          <w:tab w:val="left" w:pos="1134"/>
        </w:tabs>
        <w:adjustRightInd w:val="0"/>
        <w:snapToGrid w:val="0"/>
        <w:spacing w:line="360" w:lineRule="auto"/>
        <w:ind w:left="0" w:firstLine="484" w:firstLineChars="202"/>
        <w:rPr>
          <w:rFonts w:ascii="宋体" w:hAnsi="宋体"/>
          <w:sz w:val="24"/>
          <w:szCs w:val="24"/>
        </w:rPr>
      </w:pPr>
      <w:r>
        <w:rPr>
          <w:rFonts w:hint="eastAsia" w:ascii="宋体" w:hAnsi="宋体"/>
          <w:sz w:val="24"/>
          <w:szCs w:val="24"/>
        </w:rPr>
        <w:t>采购人不得向中标人提出任何不合理的要求，作为签订合同的条件，不得与中标人私下订立背离合同实质性内容的任何协议，所签订的合同不得对招标文件和中标人投标文件作实质性修改。</w:t>
      </w:r>
    </w:p>
    <w:p>
      <w:pPr>
        <w:numPr>
          <w:ilvl w:val="0"/>
          <w:numId w:val="27"/>
        </w:numPr>
        <w:tabs>
          <w:tab w:val="left" w:pos="1134"/>
        </w:tabs>
        <w:adjustRightInd w:val="0"/>
        <w:snapToGrid w:val="0"/>
        <w:spacing w:line="360" w:lineRule="auto"/>
        <w:ind w:left="0" w:firstLine="496" w:firstLineChars="202"/>
        <w:rPr>
          <w:rFonts w:ascii="宋体" w:hAnsi="宋体"/>
          <w:sz w:val="24"/>
          <w:szCs w:val="24"/>
        </w:rPr>
      </w:pPr>
      <w:r>
        <w:rPr>
          <w:spacing w:val="3"/>
          <w:sz w:val="24"/>
        </w:rPr>
        <w:t>中标人因不可抗力原因不能履行采购合同或放弃中标的，采购人可以与排在中标人之后第一位的中标候选人签订采购合同，以此类推</w:t>
      </w:r>
      <w:r>
        <w:rPr>
          <w:rFonts w:hint="eastAsia"/>
          <w:spacing w:val="3"/>
          <w:sz w:val="24"/>
        </w:rPr>
        <w:t>。</w:t>
      </w:r>
    </w:p>
    <w:p>
      <w:pPr>
        <w:numPr>
          <w:ilvl w:val="0"/>
          <w:numId w:val="27"/>
        </w:numPr>
        <w:tabs>
          <w:tab w:val="left" w:pos="1134"/>
        </w:tabs>
        <w:adjustRightInd w:val="0"/>
        <w:snapToGrid w:val="0"/>
        <w:spacing w:line="360" w:lineRule="auto"/>
        <w:ind w:left="0" w:firstLine="484" w:firstLineChars="202"/>
        <w:rPr>
          <w:rFonts w:ascii="宋体" w:hAnsi="宋体"/>
          <w:sz w:val="24"/>
          <w:szCs w:val="24"/>
        </w:rPr>
      </w:pPr>
      <w:r>
        <w:rPr>
          <w:rFonts w:hint="eastAsia" w:ascii="宋体" w:hAnsi="宋体"/>
          <w:sz w:val="24"/>
          <w:szCs w:val="24"/>
        </w:rPr>
        <w:t>招标文件</w:t>
      </w:r>
      <w:r>
        <w:rPr>
          <w:rFonts w:ascii="宋体" w:hAnsi="宋体"/>
          <w:sz w:val="24"/>
          <w:szCs w:val="24"/>
        </w:rPr>
        <w:t>、</w:t>
      </w:r>
      <w:r>
        <w:rPr>
          <w:rFonts w:hint="eastAsia" w:ascii="宋体" w:hAnsi="宋体"/>
          <w:sz w:val="24"/>
          <w:szCs w:val="24"/>
        </w:rPr>
        <w:t>投标</w:t>
      </w:r>
      <w:r>
        <w:rPr>
          <w:rFonts w:ascii="宋体" w:hAnsi="宋体"/>
          <w:sz w:val="24"/>
          <w:szCs w:val="24"/>
        </w:rPr>
        <w:t>文件、</w:t>
      </w:r>
      <w:r>
        <w:rPr>
          <w:rFonts w:hint="eastAsia" w:ascii="宋体" w:hAnsi="宋体"/>
          <w:sz w:val="24"/>
          <w:szCs w:val="24"/>
        </w:rPr>
        <w:t>中标</w:t>
      </w:r>
      <w:r>
        <w:rPr>
          <w:rFonts w:ascii="宋体" w:hAnsi="宋体"/>
          <w:sz w:val="24"/>
          <w:szCs w:val="24"/>
        </w:rPr>
        <w:t>通知书</w:t>
      </w:r>
      <w:r>
        <w:rPr>
          <w:rFonts w:hint="eastAsia" w:ascii="宋体" w:hAnsi="宋体"/>
          <w:sz w:val="24"/>
          <w:szCs w:val="24"/>
        </w:rPr>
        <w:t>等一切与本项目评标结果有关且经责任主体确认的资料</w:t>
      </w:r>
      <w:r>
        <w:rPr>
          <w:rFonts w:ascii="宋体" w:hAnsi="宋体"/>
          <w:sz w:val="24"/>
          <w:szCs w:val="24"/>
        </w:rPr>
        <w:t>均为合同</w:t>
      </w:r>
      <w:r>
        <w:rPr>
          <w:rFonts w:hint="eastAsia" w:ascii="宋体" w:hAnsi="宋体"/>
          <w:sz w:val="24"/>
          <w:szCs w:val="24"/>
        </w:rPr>
        <w:t>的有效</w:t>
      </w:r>
      <w:r>
        <w:rPr>
          <w:rFonts w:ascii="宋体" w:hAnsi="宋体"/>
          <w:sz w:val="24"/>
          <w:szCs w:val="24"/>
        </w:rPr>
        <w:t>组成</w:t>
      </w:r>
      <w:r>
        <w:rPr>
          <w:rFonts w:hint="eastAsia" w:ascii="宋体" w:hAnsi="宋体"/>
          <w:sz w:val="24"/>
          <w:szCs w:val="24"/>
        </w:rPr>
        <w:t>部分。</w:t>
      </w:r>
    </w:p>
    <w:p>
      <w:pPr>
        <w:numPr>
          <w:ilvl w:val="0"/>
          <w:numId w:val="27"/>
        </w:numPr>
        <w:tabs>
          <w:tab w:val="left" w:pos="1134"/>
        </w:tabs>
        <w:adjustRightInd w:val="0"/>
        <w:snapToGrid w:val="0"/>
        <w:spacing w:line="360" w:lineRule="auto"/>
        <w:ind w:left="0" w:firstLine="484" w:firstLineChars="202"/>
        <w:rPr>
          <w:rFonts w:ascii="宋体" w:hAnsi="宋体"/>
          <w:sz w:val="24"/>
          <w:szCs w:val="24"/>
        </w:rPr>
      </w:pPr>
      <w:r>
        <w:rPr>
          <w:rFonts w:ascii="宋体" w:hAnsi="宋体"/>
          <w:kern w:val="0"/>
          <w:sz w:val="24"/>
          <w:szCs w:val="24"/>
        </w:rPr>
        <w:t>询问</w:t>
      </w:r>
      <w:r>
        <w:rPr>
          <w:rFonts w:ascii="宋体" w:hAnsi="宋体"/>
          <w:sz w:val="24"/>
          <w:szCs w:val="24"/>
        </w:rPr>
        <w:t>或者</w:t>
      </w:r>
      <w:r>
        <w:rPr>
          <w:rFonts w:ascii="宋体" w:hAnsi="宋体"/>
          <w:kern w:val="0"/>
          <w:sz w:val="24"/>
          <w:szCs w:val="24"/>
        </w:rPr>
        <w:t>质疑事项可能影响中标、成交结果的，采购人应当暂停签订合同，已经签订合同的，应当中止履行合同</w:t>
      </w:r>
      <w:r>
        <w:rPr>
          <w:rFonts w:ascii="宋体" w:hAnsi="宋体"/>
          <w:sz w:val="24"/>
          <w:szCs w:val="24"/>
        </w:rPr>
        <w:t>。</w:t>
      </w:r>
    </w:p>
    <w:p>
      <w:pPr>
        <w:pStyle w:val="2"/>
        <w:spacing w:line="360" w:lineRule="auto"/>
        <w:rPr>
          <w:rFonts w:ascii="宋体" w:hAnsi="宋体" w:eastAsia="宋体"/>
          <w:color w:val="auto"/>
        </w:rPr>
      </w:pPr>
      <w:r>
        <w:rPr>
          <w:rFonts w:hint="eastAsia" w:ascii="宋体" w:hAnsi="宋体" w:eastAsia="宋体"/>
        </w:rPr>
        <w:t xml:space="preserve">    六、中</w:t>
      </w:r>
      <w:r>
        <w:rPr>
          <w:rFonts w:hint="eastAsia" w:ascii="宋体" w:hAnsi="宋体" w:eastAsia="宋体"/>
          <w:color w:val="auto"/>
        </w:rPr>
        <w:t>标人在合同签订之后1个工作日内，将签订的合同（一式一份）送至成都青青工程造价有限责任公司进行合同编号。</w:t>
      </w:r>
    </w:p>
    <w:p>
      <w:pPr>
        <w:pStyle w:val="5"/>
        <w:ind w:left="1050"/>
        <w:rPr>
          <w:color w:val="auto"/>
        </w:rPr>
      </w:pPr>
      <w:bookmarkStart w:id="140" w:name="_Toc315871033"/>
      <w:bookmarkEnd w:id="140"/>
      <w:bookmarkStart w:id="141" w:name="_Toc217446067"/>
      <w:bookmarkStart w:id="142" w:name="_Toc217446069"/>
      <w:r>
        <w:rPr>
          <w:rFonts w:hint="eastAsia"/>
          <w:color w:val="auto"/>
        </w:rPr>
        <w:t>合同分包</w:t>
      </w:r>
    </w:p>
    <w:p>
      <w:pPr>
        <w:adjustRightInd w:val="0"/>
        <w:snapToGrid w:val="0"/>
        <w:spacing w:line="360" w:lineRule="auto"/>
        <w:rPr>
          <w:rFonts w:ascii="宋体" w:hAnsi="宋体"/>
          <w:sz w:val="24"/>
          <w:szCs w:val="24"/>
        </w:rPr>
      </w:pPr>
      <w:r>
        <w:rPr>
          <w:rFonts w:hint="eastAsia" w:ascii="宋体" w:hAnsi="宋体"/>
          <w:kern w:val="0"/>
          <w:sz w:val="24"/>
          <w:szCs w:val="24"/>
        </w:rPr>
        <w:t>本采购项目不允许合同分包</w:t>
      </w:r>
      <w:r>
        <w:rPr>
          <w:rFonts w:hint="eastAsia" w:ascii="宋体" w:hAnsi="宋体"/>
          <w:sz w:val="24"/>
          <w:szCs w:val="24"/>
        </w:rPr>
        <w:t>。</w:t>
      </w:r>
    </w:p>
    <w:p>
      <w:pPr>
        <w:pStyle w:val="5"/>
        <w:ind w:left="1050"/>
        <w:rPr>
          <w:color w:val="auto"/>
        </w:rPr>
      </w:pPr>
      <w:r>
        <w:rPr>
          <w:rFonts w:hint="eastAsia"/>
          <w:color w:val="auto"/>
        </w:rPr>
        <w:t>合同转包</w:t>
      </w:r>
    </w:p>
    <w:p>
      <w:pPr>
        <w:pStyle w:val="18"/>
        <w:tabs>
          <w:tab w:val="left" w:pos="0"/>
        </w:tabs>
        <w:spacing w:line="360" w:lineRule="auto"/>
        <w:ind w:right="405" w:firstLine="420"/>
        <w:rPr>
          <w:sz w:val="24"/>
          <w:szCs w:val="24"/>
        </w:rPr>
      </w:pPr>
      <w:r>
        <w:rPr>
          <w:sz w:val="24"/>
          <w:szCs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18"/>
        <w:spacing w:line="360" w:lineRule="auto"/>
        <w:ind w:firstLine="480" w:firstLineChars="200"/>
        <w:rPr>
          <w:rFonts w:ascii="宋体" w:hAnsi="宋体"/>
          <w:sz w:val="24"/>
          <w:szCs w:val="24"/>
        </w:rPr>
      </w:pPr>
      <w:r>
        <w:rPr>
          <w:sz w:val="24"/>
          <w:szCs w:val="24"/>
        </w:rPr>
        <w:t>中标人转包的，视同拒绝履行政府采购合同义务，将依法追究法律责任。</w:t>
      </w:r>
    </w:p>
    <w:bookmarkEnd w:id="141"/>
    <w:p>
      <w:pPr>
        <w:pStyle w:val="5"/>
        <w:ind w:left="1050"/>
      </w:pPr>
      <w:r>
        <w:rPr>
          <w:rFonts w:hint="eastAsia"/>
        </w:rPr>
        <w:t>补充合同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ind w:left="1050"/>
      </w:pPr>
      <w:bookmarkStart w:id="143" w:name="_Toc217446068"/>
      <w:r>
        <w:rPr>
          <w:rFonts w:hint="eastAsia"/>
        </w:rPr>
        <w:t>履约保证金</w:t>
      </w:r>
      <w:bookmarkEnd w:id="143"/>
      <w:r>
        <w:rPr>
          <w:rFonts w:hint="eastAsia"/>
        </w:rPr>
        <w:t>（本项目不要求）</w:t>
      </w:r>
    </w:p>
    <w:p>
      <w:pPr>
        <w:numPr>
          <w:ilvl w:val="0"/>
          <w:numId w:val="28"/>
        </w:numPr>
        <w:tabs>
          <w:tab w:val="left" w:pos="1134"/>
        </w:tabs>
        <w:adjustRightInd w:val="0"/>
        <w:snapToGrid w:val="0"/>
        <w:spacing w:line="360" w:lineRule="auto"/>
        <w:ind w:left="485"/>
        <w:rPr>
          <w:sz w:val="24"/>
        </w:rPr>
      </w:pPr>
      <w:r>
        <w:rPr>
          <w:sz w:val="24"/>
        </w:rPr>
        <w:t>中标人应在合同签订之前交纳招标文件规定数额的履约保证金。</w:t>
      </w:r>
    </w:p>
    <w:p>
      <w:pPr>
        <w:pStyle w:val="2"/>
        <w:tabs>
          <w:tab w:val="left" w:pos="0"/>
        </w:tabs>
        <w:spacing w:line="360" w:lineRule="auto"/>
        <w:ind w:firstLine="492" w:firstLineChars="200"/>
      </w:pPr>
      <w:r>
        <w:rPr>
          <w:rFonts w:hint="eastAsia" w:eastAsia="宋体"/>
          <w:spacing w:val="3"/>
        </w:rPr>
        <w:t>二、</w:t>
      </w:r>
      <w:r>
        <w:rPr>
          <w:spacing w:val="3"/>
        </w:rPr>
        <w:t>如果中标人在规定的合同签订时间内，没有按照招标文件的规定交纳履约保证金，且又无正当理由的，将视为放弃中标。</w:t>
      </w:r>
    </w:p>
    <w:p>
      <w:pPr>
        <w:pStyle w:val="5"/>
        <w:ind w:left="1050"/>
      </w:pPr>
      <w:r>
        <w:rPr>
          <w:rFonts w:hint="eastAsia"/>
        </w:rPr>
        <w:t>合同公告</w:t>
      </w:r>
    </w:p>
    <w:p>
      <w:pPr>
        <w:pStyle w:val="13"/>
        <w:adjustRightInd w:val="0"/>
        <w:snapToGrid w:val="0"/>
        <w:spacing w:line="360" w:lineRule="auto"/>
        <w:ind w:firstLine="480" w:firstLineChars="200"/>
        <w:rPr>
          <w:rFonts w:ascii="宋体" w:hAnsi="宋体"/>
          <w:sz w:val="24"/>
          <w:szCs w:val="24"/>
        </w:rPr>
      </w:pPr>
      <w:r>
        <w:rPr>
          <w:rFonts w:hint="eastAsia" w:ascii="宋体" w:hAnsi="宋体"/>
          <w:sz w:val="24"/>
          <w:szCs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5"/>
        <w:ind w:left="1050"/>
      </w:pPr>
      <w:r>
        <w:rPr>
          <w:rFonts w:hint="eastAsia"/>
        </w:rPr>
        <w:t>合同备案</w:t>
      </w:r>
    </w:p>
    <w:p>
      <w:pPr>
        <w:pStyle w:val="5"/>
        <w:numPr>
          <w:ilvl w:val="2"/>
          <w:numId w:val="0"/>
        </w:numPr>
        <w:ind w:left="420"/>
      </w:pPr>
      <w:r>
        <w:t>采购人应当将政府采购合同副本自签订（双方当事人均已签字盖章）之日起七个工作日内通过四川政府采购网报同级财政部门备案。</w:t>
      </w:r>
    </w:p>
    <w:p>
      <w:pPr>
        <w:pStyle w:val="5"/>
        <w:ind w:left="1050"/>
      </w:pPr>
      <w:r>
        <w:rPr>
          <w:rFonts w:hint="eastAsia"/>
        </w:rPr>
        <w:t>履行合同</w:t>
      </w:r>
      <w:bookmarkEnd w:id="142"/>
    </w:p>
    <w:p>
      <w:pPr>
        <w:pStyle w:val="199"/>
        <w:tabs>
          <w:tab w:val="left" w:pos="1460"/>
        </w:tabs>
        <w:spacing w:before="1" w:line="312" w:lineRule="auto"/>
        <w:ind w:right="20" w:firstLine="492"/>
        <w:jc w:val="left"/>
        <w:rPr>
          <w:sz w:val="24"/>
        </w:rPr>
      </w:pPr>
      <w:r>
        <w:rPr>
          <w:rFonts w:hint="eastAsia"/>
          <w:spacing w:val="3"/>
          <w:sz w:val="24"/>
        </w:rPr>
        <w:t>一、</w:t>
      </w:r>
      <w:r>
        <w:rPr>
          <w:spacing w:val="3"/>
          <w:sz w:val="24"/>
        </w:rPr>
        <w:t>中标人与采购人签订合同后，合同双方应严格执行合同条款，履行合同规定的义务，保证合同的顺利完成。</w:t>
      </w:r>
    </w:p>
    <w:p>
      <w:pPr>
        <w:tabs>
          <w:tab w:val="left" w:pos="1134"/>
        </w:tabs>
        <w:adjustRightInd w:val="0"/>
        <w:snapToGrid w:val="0"/>
        <w:spacing w:line="360" w:lineRule="auto"/>
        <w:ind w:firstLine="480" w:firstLineChars="200"/>
        <w:rPr>
          <w:rFonts w:ascii="宋体" w:hAnsi="宋体"/>
          <w:sz w:val="24"/>
          <w:szCs w:val="24"/>
        </w:rPr>
      </w:pPr>
      <w:r>
        <w:rPr>
          <w:rFonts w:hint="eastAsia" w:ascii="宋体" w:hAnsi="宋体"/>
          <w:sz w:val="24"/>
          <w:szCs w:val="24"/>
        </w:rPr>
        <w:t>二、在合同履行过程中，如发生合同纠纷，合同双方应按照《</w:t>
      </w:r>
      <w:r>
        <w:rPr>
          <w:rFonts w:hint="eastAsia" w:ascii="宋体" w:hAnsi="宋体"/>
          <w:sz w:val="24"/>
          <w:szCs w:val="24"/>
          <w:lang w:val="en-US" w:eastAsia="zh-CN"/>
        </w:rPr>
        <w:t>民法典</w:t>
      </w:r>
      <w:r>
        <w:rPr>
          <w:rFonts w:hint="eastAsia" w:ascii="宋体" w:hAnsi="宋体"/>
          <w:sz w:val="24"/>
          <w:szCs w:val="24"/>
        </w:rPr>
        <w:t>》及合同条款的有关规定进行处理。</w:t>
      </w:r>
    </w:p>
    <w:p>
      <w:pPr>
        <w:pStyle w:val="5"/>
        <w:ind w:left="1050"/>
      </w:pPr>
      <w:bookmarkStart w:id="144" w:name="_Toc217446070"/>
      <w:r>
        <w:rPr>
          <w:rFonts w:hint="eastAsia"/>
        </w:rPr>
        <w:t>验收</w:t>
      </w:r>
    </w:p>
    <w:p>
      <w:pPr>
        <w:pStyle w:val="199"/>
        <w:tabs>
          <w:tab w:val="left" w:pos="1460"/>
        </w:tabs>
        <w:spacing w:before="1" w:line="312" w:lineRule="auto"/>
        <w:ind w:right="20" w:firstLine="492"/>
        <w:jc w:val="left"/>
        <w:rPr>
          <w:rFonts w:ascii="宋体" w:hAnsi="宋体"/>
          <w:b/>
          <w:sz w:val="24"/>
          <w:szCs w:val="24"/>
        </w:rPr>
      </w:pPr>
      <w:r>
        <w:rPr>
          <w:spacing w:val="3"/>
          <w:sz w:val="24"/>
        </w:rPr>
        <w:t>中标人与采购人应严格按照《财政部关于进一步加强政府采购需求和履约验收管理的指导意见》(财库〔2016〕205 号)的要求进行验收。</w:t>
      </w:r>
    </w:p>
    <w:p>
      <w:pPr>
        <w:pStyle w:val="5"/>
        <w:ind w:left="1050"/>
      </w:pPr>
      <w:r>
        <w:rPr>
          <w:rFonts w:hint="eastAsia"/>
        </w:rPr>
        <w:t>资金支付</w:t>
      </w:r>
    </w:p>
    <w:p>
      <w:pPr>
        <w:tabs>
          <w:tab w:val="left" w:pos="1134"/>
        </w:tabs>
        <w:adjustRightInd w:val="0"/>
        <w:snapToGrid w:val="0"/>
        <w:spacing w:line="360" w:lineRule="auto"/>
        <w:ind w:firstLine="480" w:firstLineChars="200"/>
        <w:rPr>
          <w:rFonts w:ascii="宋体" w:hAnsi="宋体"/>
          <w:sz w:val="24"/>
          <w:szCs w:val="24"/>
        </w:rPr>
      </w:pPr>
      <w:r>
        <w:rPr>
          <w:rFonts w:hint="eastAsia" w:ascii="宋体" w:hAnsi="宋体"/>
          <w:sz w:val="24"/>
          <w:szCs w:val="24"/>
        </w:rPr>
        <w:t>采购人将按照政府采购合同规定，及时向中标人支付采购资金。本项目采购资金支付方式详见“第六章4.4”。</w:t>
      </w:r>
    </w:p>
    <w:bookmarkEnd w:id="137"/>
    <w:bookmarkEnd w:id="138"/>
    <w:bookmarkEnd w:id="144"/>
    <w:p>
      <w:pPr>
        <w:pStyle w:val="4"/>
        <w:adjustRightInd w:val="0"/>
        <w:snapToGrid w:val="0"/>
        <w:spacing w:before="0" w:after="0"/>
        <w:ind w:left="2247" w:leftChars="0" w:hanging="1187" w:firstLineChars="0"/>
      </w:pPr>
      <w:bookmarkStart w:id="145" w:name="_Toc11304"/>
      <w:bookmarkStart w:id="146" w:name="_Toc26715"/>
      <w:bookmarkStart w:id="147" w:name="_Toc66192153"/>
      <w:bookmarkStart w:id="148" w:name="_Toc217446074"/>
      <w:bookmarkStart w:id="149" w:name="_Toc22143"/>
      <w:bookmarkStart w:id="150" w:name="_Toc3406"/>
      <w:bookmarkStart w:id="151" w:name="_Toc26214"/>
      <w:bookmarkStart w:id="152" w:name="_Toc183582243"/>
      <w:bookmarkStart w:id="153" w:name="_Toc183682380"/>
      <w:r>
        <w:rPr>
          <w:rFonts w:hint="eastAsia"/>
        </w:rPr>
        <w:t>投标纪律要求</w:t>
      </w:r>
      <w:bookmarkEnd w:id="145"/>
      <w:bookmarkEnd w:id="146"/>
      <w:bookmarkEnd w:id="147"/>
      <w:bookmarkEnd w:id="148"/>
      <w:bookmarkEnd w:id="149"/>
      <w:bookmarkEnd w:id="150"/>
      <w:bookmarkEnd w:id="151"/>
    </w:p>
    <w:p>
      <w:pPr>
        <w:pStyle w:val="5"/>
        <w:ind w:left="1050"/>
      </w:pPr>
      <w:bookmarkStart w:id="154" w:name="_Toc217446075"/>
      <w:r>
        <w:rPr>
          <w:rFonts w:hint="eastAsia"/>
        </w:rPr>
        <w:t>投标人不得具有的情形</w:t>
      </w:r>
      <w:bookmarkEnd w:id="154"/>
    </w:p>
    <w:p>
      <w:pPr>
        <w:pStyle w:val="13"/>
        <w:adjustRightInd w:val="0"/>
        <w:snapToGrid w:val="0"/>
        <w:spacing w:after="0" w:line="360" w:lineRule="auto"/>
        <w:ind w:firstLine="480"/>
        <w:rPr>
          <w:rFonts w:ascii="宋体" w:hAnsi="宋体"/>
          <w:sz w:val="24"/>
          <w:szCs w:val="24"/>
        </w:rPr>
      </w:pPr>
      <w:r>
        <w:rPr>
          <w:rFonts w:hint="eastAsia" w:ascii="宋体" w:hAnsi="宋体"/>
          <w:sz w:val="24"/>
          <w:szCs w:val="24"/>
        </w:rPr>
        <w:t>投标人参加本项目投标不得有下列情形：</w:t>
      </w:r>
    </w:p>
    <w:p>
      <w:pPr>
        <w:numPr>
          <w:ilvl w:val="1"/>
          <w:numId w:val="29"/>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提供虚假材料谋取中标；</w:t>
      </w:r>
    </w:p>
    <w:p>
      <w:pPr>
        <w:numPr>
          <w:ilvl w:val="1"/>
          <w:numId w:val="29"/>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采取不正当手段诋毁、排挤其他投标人；</w:t>
      </w:r>
    </w:p>
    <w:p>
      <w:pPr>
        <w:numPr>
          <w:ilvl w:val="1"/>
          <w:numId w:val="29"/>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与招标采购单位、其他投标人恶意串通；</w:t>
      </w:r>
    </w:p>
    <w:p>
      <w:pPr>
        <w:numPr>
          <w:ilvl w:val="1"/>
          <w:numId w:val="29"/>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向招标采购单位、评标委员会成员行贿或者提供其他不正当利益；</w:t>
      </w:r>
    </w:p>
    <w:p>
      <w:pPr>
        <w:numPr>
          <w:ilvl w:val="1"/>
          <w:numId w:val="29"/>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在招标过程中与招标采购单位进行协商谈判；</w:t>
      </w:r>
    </w:p>
    <w:p>
      <w:pPr>
        <w:numPr>
          <w:ilvl w:val="1"/>
          <w:numId w:val="29"/>
        </w:numPr>
        <w:tabs>
          <w:tab w:val="left" w:pos="1134"/>
        </w:tabs>
        <w:adjustRightInd w:val="0"/>
        <w:snapToGrid w:val="0"/>
        <w:spacing w:line="360" w:lineRule="auto"/>
        <w:ind w:left="0" w:firstLine="567"/>
        <w:rPr>
          <w:rFonts w:ascii="宋体" w:hAnsi="宋体"/>
          <w:sz w:val="24"/>
          <w:szCs w:val="24"/>
        </w:rPr>
      </w:pPr>
      <w:bookmarkStart w:id="155" w:name="_Toc314574786"/>
      <w:r>
        <w:rPr>
          <w:rFonts w:hint="eastAsia" w:ascii="宋体" w:hAnsi="宋体"/>
          <w:sz w:val="24"/>
          <w:szCs w:val="24"/>
        </w:rPr>
        <w:t>中标后无正当理由拒不与采购人签订政府采购合同；</w:t>
      </w:r>
    </w:p>
    <w:p>
      <w:pPr>
        <w:numPr>
          <w:ilvl w:val="1"/>
          <w:numId w:val="29"/>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未按照采购文件确定的事项签订政府采购合同；</w:t>
      </w:r>
    </w:p>
    <w:p>
      <w:pPr>
        <w:numPr>
          <w:ilvl w:val="1"/>
          <w:numId w:val="29"/>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将政府采购合同转包或者违规分包；</w:t>
      </w:r>
    </w:p>
    <w:p>
      <w:pPr>
        <w:numPr>
          <w:ilvl w:val="1"/>
          <w:numId w:val="29"/>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提供假冒伪劣产品；</w:t>
      </w:r>
    </w:p>
    <w:p>
      <w:pPr>
        <w:numPr>
          <w:ilvl w:val="1"/>
          <w:numId w:val="29"/>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擅自变更、中止或者终止政府采购合同；</w:t>
      </w:r>
    </w:p>
    <w:p>
      <w:pPr>
        <w:tabs>
          <w:tab w:val="left" w:pos="1134"/>
        </w:tabs>
        <w:adjustRightInd w:val="0"/>
        <w:snapToGrid w:val="0"/>
        <w:spacing w:line="360" w:lineRule="auto"/>
        <w:ind w:firstLine="480" w:firstLineChars="200"/>
        <w:rPr>
          <w:rFonts w:ascii="宋体" w:hAnsi="宋体"/>
          <w:sz w:val="24"/>
          <w:szCs w:val="24"/>
        </w:rPr>
      </w:pPr>
      <w:r>
        <w:rPr>
          <w:rFonts w:hint="eastAsia" w:ascii="宋体" w:hAnsi="宋体"/>
          <w:sz w:val="24"/>
          <w:szCs w:val="24"/>
        </w:rPr>
        <w:t>十一、拒绝有关部门的监督检查或者向监督检查部门提供虚假情况；</w:t>
      </w:r>
    </w:p>
    <w:p>
      <w:pPr>
        <w:tabs>
          <w:tab w:val="left" w:pos="1134"/>
        </w:tabs>
        <w:adjustRightInd w:val="0"/>
        <w:snapToGrid w:val="0"/>
        <w:spacing w:line="360" w:lineRule="auto"/>
        <w:ind w:firstLine="484" w:firstLineChars="202"/>
        <w:rPr>
          <w:rFonts w:ascii="宋体" w:hAnsi="宋体"/>
          <w:sz w:val="24"/>
          <w:szCs w:val="24"/>
        </w:rPr>
      </w:pPr>
      <w:r>
        <w:rPr>
          <w:rFonts w:hint="eastAsia" w:ascii="宋体" w:hAnsi="宋体"/>
          <w:sz w:val="24"/>
          <w:szCs w:val="24"/>
        </w:rPr>
        <w:t>十二、法律法规规定的其他情形。</w:t>
      </w:r>
    </w:p>
    <w:p>
      <w:pPr>
        <w:pStyle w:val="13"/>
        <w:adjustRightInd w:val="0"/>
        <w:snapToGrid w:val="0"/>
        <w:spacing w:after="0" w:line="360" w:lineRule="auto"/>
        <w:ind w:firstLine="484" w:firstLineChars="202"/>
        <w:rPr>
          <w:rFonts w:ascii="宋体" w:hAnsi="宋体"/>
          <w:sz w:val="24"/>
          <w:szCs w:val="24"/>
        </w:rPr>
      </w:pPr>
      <w:r>
        <w:rPr>
          <w:rFonts w:hint="eastAsia" w:ascii="宋体" w:hAnsi="宋体"/>
          <w:sz w:val="24"/>
          <w:szCs w:val="24"/>
        </w:rPr>
        <w:t>投标人有上述情形的，按照规定追究法律责任，具备一至十二条情形之一的，同时将取消投标或中标资格或者认定中标无效。</w:t>
      </w:r>
    </w:p>
    <w:p>
      <w:pPr>
        <w:pStyle w:val="5"/>
        <w:ind w:left="1050"/>
      </w:pPr>
      <w:r>
        <w:t>投标人有下列情形之一的，视为投标人串通投标，其投标无效：</w:t>
      </w:r>
    </w:p>
    <w:p>
      <w:pPr>
        <w:pStyle w:val="199"/>
        <w:numPr>
          <w:ilvl w:val="0"/>
          <w:numId w:val="30"/>
        </w:numPr>
        <w:tabs>
          <w:tab w:val="left" w:pos="1454"/>
        </w:tabs>
        <w:spacing w:before="93"/>
        <w:ind w:left="0" w:firstLine="482" w:firstLineChars="0"/>
        <w:jc w:val="left"/>
        <w:rPr>
          <w:sz w:val="24"/>
        </w:rPr>
      </w:pPr>
      <w:r>
        <w:rPr>
          <w:sz w:val="24"/>
        </w:rPr>
        <w:t>不同投标人的投标文件由同一单位或者个人编制；</w:t>
      </w:r>
    </w:p>
    <w:p>
      <w:pPr>
        <w:pStyle w:val="199"/>
        <w:numPr>
          <w:ilvl w:val="0"/>
          <w:numId w:val="30"/>
        </w:numPr>
        <w:tabs>
          <w:tab w:val="left" w:pos="1454"/>
        </w:tabs>
        <w:spacing w:before="93"/>
        <w:ind w:left="0" w:firstLine="482" w:firstLineChars="0"/>
        <w:jc w:val="left"/>
        <w:rPr>
          <w:sz w:val="24"/>
        </w:rPr>
      </w:pPr>
      <w:r>
        <w:rPr>
          <w:sz w:val="24"/>
        </w:rPr>
        <w:t>不同投标人委托同一单位或者个人办理投标事宜；</w:t>
      </w:r>
    </w:p>
    <w:p>
      <w:pPr>
        <w:pStyle w:val="199"/>
        <w:numPr>
          <w:ilvl w:val="0"/>
          <w:numId w:val="30"/>
        </w:numPr>
        <w:tabs>
          <w:tab w:val="left" w:pos="1454"/>
        </w:tabs>
        <w:spacing w:before="93"/>
        <w:ind w:left="0" w:firstLine="482" w:firstLineChars="0"/>
        <w:jc w:val="left"/>
        <w:rPr>
          <w:sz w:val="24"/>
        </w:rPr>
      </w:pPr>
      <w:r>
        <w:rPr>
          <w:sz w:val="24"/>
        </w:rPr>
        <w:t>不同投标人的投标文件载明的项目管理成员或者联系人员为同一人；</w:t>
      </w:r>
    </w:p>
    <w:p>
      <w:pPr>
        <w:pStyle w:val="199"/>
        <w:numPr>
          <w:ilvl w:val="0"/>
          <w:numId w:val="30"/>
        </w:numPr>
        <w:tabs>
          <w:tab w:val="left" w:pos="1454"/>
        </w:tabs>
        <w:spacing w:before="93"/>
        <w:ind w:left="0" w:firstLine="482" w:firstLineChars="0"/>
        <w:jc w:val="left"/>
        <w:rPr>
          <w:sz w:val="24"/>
        </w:rPr>
      </w:pPr>
      <w:r>
        <w:rPr>
          <w:sz w:val="24"/>
        </w:rPr>
        <w:t>不同投标人的投标文件异常一致或者投标报价呈规律性差异；</w:t>
      </w:r>
    </w:p>
    <w:p>
      <w:pPr>
        <w:pStyle w:val="199"/>
        <w:numPr>
          <w:ilvl w:val="0"/>
          <w:numId w:val="30"/>
        </w:numPr>
        <w:tabs>
          <w:tab w:val="left" w:pos="1454"/>
        </w:tabs>
        <w:spacing w:before="93"/>
        <w:ind w:left="0" w:firstLine="482" w:firstLineChars="0"/>
        <w:jc w:val="left"/>
        <w:rPr>
          <w:rFonts w:ascii="宋体" w:hAnsi="宋体"/>
          <w:sz w:val="24"/>
          <w:szCs w:val="24"/>
        </w:rPr>
      </w:pPr>
      <w:r>
        <w:rPr>
          <w:sz w:val="24"/>
        </w:rPr>
        <w:t>不同投标人的投标文件相互混装；</w:t>
      </w:r>
    </w:p>
    <w:p>
      <w:pPr>
        <w:pStyle w:val="5"/>
        <w:ind w:left="1050"/>
      </w:pPr>
      <w:r>
        <w:rPr>
          <w:rFonts w:hint="eastAsia"/>
        </w:rPr>
        <w:t>保密</w:t>
      </w:r>
      <w:bookmarkEnd w:id="155"/>
    </w:p>
    <w:p>
      <w:pPr>
        <w:pStyle w:val="13"/>
        <w:numPr>
          <w:ilvl w:val="0"/>
          <w:numId w:val="31"/>
        </w:numPr>
        <w:tabs>
          <w:tab w:val="left" w:pos="1134"/>
        </w:tabs>
        <w:adjustRightInd w:val="0"/>
        <w:snapToGrid w:val="0"/>
        <w:spacing w:after="0" w:line="360" w:lineRule="auto"/>
        <w:ind w:left="0" w:firstLine="567"/>
        <w:rPr>
          <w:rFonts w:ascii="宋体" w:hAnsi="宋体"/>
          <w:sz w:val="24"/>
          <w:szCs w:val="24"/>
        </w:rPr>
      </w:pPr>
      <w:r>
        <w:rPr>
          <w:rFonts w:hint="eastAsia" w:ascii="宋体" w:hAnsi="宋体"/>
          <w:sz w:val="24"/>
          <w:szCs w:val="24"/>
        </w:rPr>
        <w:t>不得透露有关潜在投标人的任何情况。</w:t>
      </w:r>
    </w:p>
    <w:p>
      <w:pPr>
        <w:pStyle w:val="13"/>
        <w:numPr>
          <w:ilvl w:val="0"/>
          <w:numId w:val="31"/>
        </w:numPr>
        <w:tabs>
          <w:tab w:val="left" w:pos="1134"/>
        </w:tabs>
        <w:adjustRightInd w:val="0"/>
        <w:snapToGrid w:val="0"/>
        <w:spacing w:after="0" w:line="360" w:lineRule="auto"/>
        <w:ind w:left="0" w:firstLine="567"/>
        <w:rPr>
          <w:rFonts w:ascii="宋体" w:hAnsi="宋体"/>
          <w:sz w:val="24"/>
          <w:szCs w:val="24"/>
        </w:rPr>
      </w:pPr>
      <w:r>
        <w:rPr>
          <w:rFonts w:hint="eastAsia" w:ascii="宋体" w:hAnsi="宋体"/>
          <w:sz w:val="24"/>
          <w:szCs w:val="24"/>
        </w:rPr>
        <w:t>有关投标文件的审查、澄清、评估和比较以及合同授予意向等情况都不得对外透露。</w:t>
      </w:r>
    </w:p>
    <w:p>
      <w:pPr>
        <w:pStyle w:val="5"/>
        <w:ind w:left="1050"/>
      </w:pPr>
      <w:r>
        <w:rPr>
          <w:rFonts w:hint="eastAsia"/>
        </w:rPr>
        <w:t>回避</w:t>
      </w:r>
    </w:p>
    <w:p>
      <w:pPr>
        <w:spacing w:line="360" w:lineRule="auto"/>
        <w:ind w:firstLine="480" w:firstLineChars="200"/>
        <w:rPr>
          <w:rFonts w:ascii="宋体" w:hAnsi="宋体" w:cs="Helvetica"/>
          <w:sz w:val="24"/>
        </w:rPr>
      </w:pPr>
      <w:r>
        <w:rPr>
          <w:rFonts w:ascii="宋体" w:hAnsi="宋体" w:cs="Helvetica"/>
          <w:sz w:val="24"/>
        </w:rPr>
        <w:t>在政府采购活动中，采购人员</w:t>
      </w:r>
      <w:r>
        <w:rPr>
          <w:rFonts w:hint="eastAsia" w:ascii="宋体" w:hAnsi="宋体" w:cs="Helvetica"/>
          <w:sz w:val="24"/>
        </w:rPr>
        <w:t>（</w:t>
      </w:r>
      <w:r>
        <w:rPr>
          <w:rFonts w:ascii="宋体" w:hAnsi="宋体"/>
          <w:sz w:val="24"/>
        </w:rPr>
        <w:t>在政府采购活动中需要依法回避的采购人员包括采购人内部负责采购项目的具体经办工作人员和直接分管采购项目的负责人，以及采购代理机构负责采购</w:t>
      </w:r>
      <w:r>
        <w:rPr>
          <w:rFonts w:ascii="宋体" w:hAnsi="宋体" w:cs="Helvetica"/>
          <w:sz w:val="24"/>
        </w:rPr>
        <w:t>项目</w:t>
      </w:r>
      <w:r>
        <w:rPr>
          <w:rFonts w:ascii="宋体" w:hAnsi="宋体"/>
          <w:sz w:val="24"/>
        </w:rPr>
        <w:t>的具体经办工作人员和直接分管采购活动的负责人</w:t>
      </w:r>
      <w:r>
        <w:rPr>
          <w:rFonts w:hint="eastAsia" w:ascii="宋体" w:hAnsi="宋体" w:cs="Helvetica"/>
          <w:sz w:val="24"/>
        </w:rPr>
        <w:t>）</w:t>
      </w:r>
      <w:r>
        <w:rPr>
          <w:rFonts w:ascii="宋体" w:hAnsi="宋体" w:cs="Helvetica"/>
          <w:sz w:val="24"/>
        </w:rPr>
        <w:t>及相关人员与供应商有下列利害关系之一的，应当回避：</w:t>
      </w:r>
    </w:p>
    <w:p>
      <w:pPr>
        <w:spacing w:line="360" w:lineRule="auto"/>
        <w:ind w:firstLine="480" w:firstLineChars="200"/>
        <w:rPr>
          <w:rFonts w:ascii="宋体" w:hAnsi="宋体" w:cs="Helvetica"/>
          <w:sz w:val="24"/>
        </w:rPr>
      </w:pPr>
      <w:r>
        <w:rPr>
          <w:rFonts w:ascii="宋体" w:hAnsi="宋体" w:cs="Helvetica"/>
          <w:sz w:val="24"/>
        </w:rPr>
        <w:t>（一）参加采购活动前3年内与供应商存在劳动关系；</w:t>
      </w:r>
    </w:p>
    <w:p>
      <w:pPr>
        <w:spacing w:line="360" w:lineRule="auto"/>
        <w:ind w:firstLine="480" w:firstLineChars="200"/>
        <w:rPr>
          <w:rFonts w:ascii="宋体" w:hAnsi="宋体" w:cs="Helvetica"/>
          <w:sz w:val="24"/>
        </w:rPr>
      </w:pPr>
      <w:r>
        <w:rPr>
          <w:rFonts w:ascii="宋体" w:hAnsi="宋体" w:cs="Helvetica"/>
          <w:sz w:val="24"/>
        </w:rPr>
        <w:t>（二）参加采购活动前3年内担任供应商的董事、监事；</w:t>
      </w:r>
    </w:p>
    <w:p>
      <w:pPr>
        <w:spacing w:line="360" w:lineRule="auto"/>
        <w:ind w:firstLine="480" w:firstLineChars="200"/>
        <w:rPr>
          <w:rFonts w:ascii="宋体" w:hAnsi="宋体" w:cs="Helvetica"/>
          <w:sz w:val="24"/>
        </w:rPr>
      </w:pPr>
      <w:r>
        <w:rPr>
          <w:rFonts w:ascii="宋体" w:hAnsi="宋体" w:cs="Helvetica"/>
          <w:sz w:val="24"/>
        </w:rPr>
        <w:t>（三）参加采购活动前3年内是供应商的控股股东或者实际控制人；</w:t>
      </w:r>
    </w:p>
    <w:p>
      <w:pPr>
        <w:spacing w:line="360" w:lineRule="auto"/>
        <w:ind w:firstLine="480" w:firstLineChars="200"/>
        <w:rPr>
          <w:rFonts w:ascii="宋体" w:hAnsi="宋体" w:cs="Helvetica"/>
          <w:sz w:val="24"/>
        </w:rPr>
      </w:pPr>
      <w:r>
        <w:rPr>
          <w:rFonts w:ascii="宋体" w:hAnsi="宋体" w:cs="Helvetica"/>
          <w:sz w:val="24"/>
        </w:rPr>
        <w:t>（四）与供应商的法定代表人或者负责人有夫妻、直系血亲、三代以内旁系血亲或者近姻亲关系；</w:t>
      </w:r>
    </w:p>
    <w:p>
      <w:pPr>
        <w:spacing w:line="360" w:lineRule="auto"/>
        <w:ind w:firstLine="480" w:firstLineChars="200"/>
        <w:rPr>
          <w:rFonts w:ascii="宋体" w:hAnsi="宋体" w:cs="Helvetica"/>
          <w:sz w:val="24"/>
        </w:rPr>
      </w:pPr>
      <w:r>
        <w:rPr>
          <w:rFonts w:ascii="宋体" w:hAnsi="宋体" w:cs="Helvetica"/>
          <w:sz w:val="24"/>
        </w:rPr>
        <w:t>（五）与供应商有其他可能影响政府采购活动公平、公正进行的关系。</w:t>
      </w:r>
    </w:p>
    <w:p>
      <w:pPr>
        <w:spacing w:line="360" w:lineRule="auto"/>
        <w:ind w:firstLine="480" w:firstLineChars="200"/>
        <w:rPr>
          <w:rFonts w:ascii="宋体" w:hAnsi="宋体"/>
          <w:sz w:val="24"/>
        </w:rPr>
      </w:pPr>
      <w:r>
        <w:rPr>
          <w:rFonts w:ascii="宋体" w:hAnsi="宋体" w:cs="Helvetica"/>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bookmarkEnd w:id="152"/>
    <w:bookmarkEnd w:id="153"/>
    <w:p>
      <w:pPr>
        <w:pStyle w:val="4"/>
        <w:ind w:left="2320" w:hanging="1060"/>
      </w:pPr>
      <w:bookmarkStart w:id="156" w:name="_Toc26627"/>
      <w:bookmarkStart w:id="157" w:name="_Toc31023"/>
      <w:bookmarkStart w:id="158" w:name="_Toc29800"/>
      <w:bookmarkStart w:id="159" w:name="_Toc66192154"/>
      <w:bookmarkStart w:id="160" w:name="_Toc446402234"/>
      <w:bookmarkStart w:id="161" w:name="_Toc353"/>
      <w:bookmarkStart w:id="162" w:name="_Toc217446078"/>
      <w:bookmarkStart w:id="163" w:name="_Toc20890"/>
      <w:bookmarkStart w:id="164" w:name="_Toc379536619"/>
      <w:bookmarkStart w:id="165" w:name="_Toc374971122"/>
      <w:r>
        <w:rPr>
          <w:rFonts w:hint="eastAsia"/>
        </w:rPr>
        <w:t>询问、质疑和投诉</w:t>
      </w:r>
      <w:bookmarkEnd w:id="156"/>
      <w:bookmarkEnd w:id="157"/>
      <w:bookmarkEnd w:id="158"/>
      <w:bookmarkEnd w:id="159"/>
      <w:bookmarkEnd w:id="160"/>
      <w:bookmarkEnd w:id="161"/>
      <w:bookmarkEnd w:id="162"/>
      <w:bookmarkEnd w:id="163"/>
      <w:bookmarkStart w:id="166" w:name="_Toc217446079"/>
    </w:p>
    <w:bookmarkEnd w:id="166"/>
    <w:p>
      <w:pPr>
        <w:pStyle w:val="26"/>
        <w:numPr>
          <w:ilvl w:val="0"/>
          <w:numId w:val="32"/>
        </w:numPr>
        <w:tabs>
          <w:tab w:val="left" w:pos="1134"/>
        </w:tabs>
        <w:adjustRightInd w:val="0"/>
        <w:snapToGrid w:val="0"/>
        <w:spacing w:after="0" w:line="360" w:lineRule="auto"/>
        <w:ind w:left="273" w:leftChars="0" w:firstLine="567"/>
        <w:rPr>
          <w:rFonts w:ascii="宋体" w:hAnsi="宋体"/>
          <w:sz w:val="24"/>
          <w:szCs w:val="24"/>
        </w:rPr>
      </w:pPr>
      <w:r>
        <w:rPr>
          <w:rFonts w:hint="eastAsia" w:ascii="宋体" w:hAnsi="宋体"/>
          <w:sz w:val="24"/>
          <w:szCs w:val="24"/>
        </w:rPr>
        <w:t>询问、质疑、投诉的接收和处理严格按照《中华人共和国政府采购法》《中华人共和国政府采购法实施条例》《政府采购货物和服务招标投标管理办法》中华人民共和国财政部令（第 87 号）、《政府采购质疑和投诉办法》（财政部令第 94 号）的规定办理（详细规定请在中国政府采购网或四川政府采购网政策法规模块查询）。</w:t>
      </w:r>
    </w:p>
    <w:p>
      <w:pPr>
        <w:pStyle w:val="4"/>
        <w:ind w:hanging="1838"/>
      </w:pPr>
      <w:bookmarkStart w:id="167" w:name="_Toc10270"/>
      <w:r>
        <w:rPr>
          <w:rFonts w:hint="eastAsia"/>
        </w:rPr>
        <w:t>其他</w:t>
      </w:r>
      <w:bookmarkEnd w:id="167"/>
    </w:p>
    <w:p>
      <w:pPr>
        <w:spacing w:line="360" w:lineRule="auto"/>
        <w:ind w:firstLine="720" w:firstLineChars="300"/>
        <w:rPr>
          <w:sz w:val="24"/>
          <w:szCs w:val="24"/>
        </w:rPr>
      </w:pPr>
      <w:bookmarkStart w:id="168" w:name="_Toc28810"/>
      <w:r>
        <w:rPr>
          <w:rFonts w:hint="eastAsia"/>
          <w:sz w:val="24"/>
          <w:szCs w:val="24"/>
        </w:rPr>
        <w:t>一、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w:t>
      </w:r>
      <w:bookmarkEnd w:id="168"/>
    </w:p>
    <w:p/>
    <w:p>
      <w:pPr>
        <w:pStyle w:val="4"/>
        <w:numPr>
          <w:ilvl w:val="1"/>
          <w:numId w:val="0"/>
        </w:num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bookmarkEnd w:id="164"/>
    <w:bookmarkEnd w:id="165"/>
    <w:p>
      <w:pPr>
        <w:pStyle w:val="3"/>
        <w:ind w:left="1680" w:hanging="1900"/>
      </w:pPr>
      <w:bookmarkStart w:id="169" w:name="_Toc315871048"/>
      <w:bookmarkEnd w:id="169"/>
      <w:bookmarkStart w:id="170" w:name="_Toc316292048"/>
      <w:bookmarkEnd w:id="170"/>
      <w:bookmarkStart w:id="171" w:name="_Toc316292052"/>
      <w:bookmarkEnd w:id="171"/>
      <w:bookmarkStart w:id="172" w:name="_Toc316292051"/>
      <w:bookmarkEnd w:id="172"/>
      <w:bookmarkStart w:id="173" w:name="_Toc316292049"/>
      <w:bookmarkEnd w:id="173"/>
      <w:bookmarkStart w:id="174" w:name="_Toc316292050"/>
      <w:bookmarkEnd w:id="174"/>
      <w:bookmarkStart w:id="175" w:name="_Toc315871046"/>
      <w:bookmarkEnd w:id="175"/>
      <w:bookmarkStart w:id="176" w:name="_Toc315871045"/>
      <w:bookmarkEnd w:id="176"/>
      <w:bookmarkStart w:id="177" w:name="_Toc315871050"/>
      <w:bookmarkEnd w:id="177"/>
      <w:bookmarkStart w:id="178" w:name="_Toc315871049"/>
      <w:bookmarkEnd w:id="178"/>
      <w:bookmarkStart w:id="179" w:name="_Toc315871047"/>
      <w:bookmarkEnd w:id="179"/>
      <w:bookmarkStart w:id="180" w:name="_Toc13435"/>
      <w:bookmarkStart w:id="181" w:name="_Toc66192155"/>
      <w:bookmarkStart w:id="182" w:name="_Toc21558"/>
      <w:bookmarkStart w:id="183" w:name="_Toc15621"/>
      <w:bookmarkStart w:id="184" w:name="_Toc11248"/>
      <w:bookmarkStart w:id="185" w:name="_Toc3601"/>
      <w:r>
        <w:rPr>
          <w:rFonts w:hint="eastAsia"/>
        </w:rPr>
        <w:t>投标文件格式</w:t>
      </w:r>
      <w:bookmarkEnd w:id="180"/>
      <w:bookmarkEnd w:id="181"/>
      <w:bookmarkEnd w:id="182"/>
      <w:bookmarkEnd w:id="183"/>
      <w:bookmarkEnd w:id="184"/>
      <w:bookmarkEnd w:id="185"/>
    </w:p>
    <w:p>
      <w:pPr>
        <w:pStyle w:val="18"/>
        <w:spacing w:before="199" w:line="328" w:lineRule="auto"/>
        <w:ind w:left="372" w:right="405" w:firstLine="480"/>
      </w:pPr>
      <w:bookmarkStart w:id="186" w:name="一、本章所制投标文件格式，除格式中明确将该格式作为实质性要求的，一律不具有强制性"/>
      <w:bookmarkEnd w:id="186"/>
      <w:r>
        <w:t>一、本章所制投标文件格式，除格式中明确将该格式作为实质性要求的，一律不具有强制性，但是，投标人投标文件相关资料和本章所制格式不一致的，评标委员会将在评分时以投标文件不规范予以扣分处理。</w:t>
      </w:r>
    </w:p>
    <w:p>
      <w:pPr>
        <w:pStyle w:val="18"/>
        <w:spacing w:before="71" w:line="280" w:lineRule="auto"/>
        <w:ind w:left="372" w:right="405" w:firstLine="470"/>
      </w:pPr>
      <w:bookmarkStart w:id="187" w:name="二、本章所制投标文件格式有关表格中的备注栏，由投标人根据自身投标情况作解释性说明"/>
      <w:bookmarkEnd w:id="187"/>
      <w:r>
        <w:t>二、本章所制投标文件格式有关表格中的备注栏，由投标人根据自身投标情况作解释性说明，不作为必填项。</w:t>
      </w:r>
    </w:p>
    <w:p>
      <w:pPr>
        <w:pStyle w:val="18"/>
        <w:spacing w:line="280" w:lineRule="auto"/>
        <w:ind w:left="372" w:right="405" w:firstLine="470"/>
      </w:pPr>
      <w:bookmarkStart w:id="188" w:name="三、本章所制投标文件格式中需要填写的相关内容事项，可能会与本采购项目无关，在不改"/>
      <w:bookmarkEnd w:id="188"/>
      <w:r>
        <w:t>三、本章所制投标文件格式中需要填写的相关内容事项，可能会与本采购项目无关，在不改变投标文件原义、不影响本项目采购需求的情况下，投标人可以不予填写， 但应当注明。</w:t>
      </w:r>
    </w:p>
    <w:p>
      <w:pPr>
        <w:spacing w:line="280" w:lineRule="auto"/>
        <w:sectPr>
          <w:pgSz w:w="11900" w:h="16840"/>
          <w:pgMar w:top="1600" w:right="1180" w:bottom="1160" w:left="760" w:header="0" w:footer="966" w:gutter="0"/>
          <w:cols w:space="720" w:num="1"/>
        </w:sectPr>
      </w:pPr>
    </w:p>
    <w:p>
      <w:pPr>
        <w:rPr>
          <w:b/>
          <w:bCs/>
          <w:sz w:val="30"/>
          <w:szCs w:val="30"/>
        </w:rPr>
      </w:pPr>
      <w:r>
        <w:rPr>
          <w:rFonts w:hint="eastAsia"/>
          <w:b/>
          <w:bCs/>
          <w:sz w:val="30"/>
          <w:szCs w:val="30"/>
        </w:rPr>
        <w:t>第一部分“资格性投标文件”格式</w:t>
      </w:r>
    </w:p>
    <w:p>
      <w:pPr>
        <w:rPr>
          <w:rFonts w:ascii="宋体" w:hAnsi="宋体"/>
          <w:b/>
          <w:bCs/>
          <w:sz w:val="28"/>
          <w:szCs w:val="28"/>
        </w:rPr>
      </w:pPr>
    </w:p>
    <w:p>
      <w:pPr>
        <w:rPr>
          <w:rFonts w:ascii="宋体" w:hAnsi="宋体"/>
          <w:b/>
          <w:bCs/>
          <w:sz w:val="28"/>
          <w:szCs w:val="28"/>
        </w:rPr>
      </w:pPr>
      <w:r>
        <w:rPr>
          <w:rFonts w:ascii="宋体" w:hAnsi="宋体"/>
          <w:b/>
          <w:bCs/>
          <w:sz w:val="28"/>
          <w:szCs w:val="28"/>
        </w:rPr>
        <w:pict>
          <v:shape id="Text Box 2" o:spid="_x0000_s1026" o:spt="202" type="#_x0000_t202" style="position:absolute;left:0pt;margin-left:319.35pt;margin-top:13.35pt;height:26.1pt;width:89.55pt;z-index:251659264;mso-width-relative:page;mso-height-relative:page;" filled="f" coordsize="21600,21600" o:gfxdata="UEsDBAoAAAAAAIdO4kAAAAAAAAAAAAAAAAAEAAAAZHJzL1BLAwQUAAAACACHTuJA5dcNc9gAAAAJ&#10;AQAADwAAAGRycy9kb3ducmV2LnhtbE2PTU/DMAyG70j8h8hIXBBLP0TbdU13QAKOaIPdvSZrC41T&#10;Ndm6/nvMCU6W5Uevn7faXu0gLmbyvSMF8SoCYahxuqdWwefHy2MBwgckjYMjo2AxHrb17U2FpXYz&#10;7cxlH1rBIeRLVNCFMJZS+qYzFv3KjYb4dnKTxcDr1Eo94czhdpBJFGXSYk/8ocPRPHem+d6frYLW&#10;79Kv9CHF/GlJDm+Heb28vmul7u/iaAMimGv4g+FXn9WhZqejO5P2YlCQpUXOqIIk48lAEefc5agg&#10;L9Yg60r+b1D/AFBLAwQUAAAACACHTuJAhLuo0AACAAAmBAAADgAAAGRycy9lMm9Eb2MueG1srVNN&#10;j9MwEL0j8R8s32nalGWXqukKKMsFsUi7/ADXniSW/CWP26T/nrHTbWG59EAOycTz/Gbe83h9P1rD&#10;DhBRe9fwxWzOGTjplXZdw389P7y74wyTcEoY76DhR0B+v3n7Zj2EFdS+90ZBZETicDWEhvcphVVV&#10;oezBCpz5AI6SrY9WJPqNXaWiGIjdmqqezz9Ug48qRC8BkVa3U5KfGOM1hL5ttYStl3sLLk2sEYxI&#10;JAl7HZBvSrdtCzI9ti1CYqbhpDSVNxWheJff1WYtVl0Uodfy1IK4poVXmqzQjoqeqbYiCbaP+h8q&#10;q2X06Ns0k95Wk5DiCKlYzF9589SLAEULWY3hbDr+P1r54/AzMq0aXnPmhKUDf4Yxsc9+ZHV2Zwi4&#10;ItBTIFgaaZlm5mUdaTGLHtto85fkMMqTt8ezt5lM5k2L5W19d8OZpNxyuXh/W8yvLrtDxPQNvGU5&#10;aHiksyuWisN3TNQJQV8guZjzD9qYcn7GsaHhH2/qTC9oJluaBQptIF3oukKD3miVt+TNGLvdFxPZ&#10;QeS5KE8WRSX+guV6W4H9hCupaWKsThBL7R6E+uoUS8dA3jm6Mjw3Y0FxZoBuWI4KMgltrkFSE8ZR&#10;L9n5yeEcpXE3Ek0Od14d6TT2IequJ6cWk77waZ/Ik2LVBXYiovEp8k6jnufzz/+Culzv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1w1z2AAAAAkBAAAPAAAAAAAAAAEAIAAAACIAAABkcnMvZG93&#10;bnJldi54bWxQSwECFAAUAAAACACHTuJAhLuo0AACAAAmBAAADgAAAAAAAAABACAAAAAnAQAAZHJz&#10;L2Uyb0RvYy54bWxQSwUGAAAAAAYABgBZAQAAmQUAAAAA&#10;">
            <v:path/>
            <v:fill on="f" focussize="0,0"/>
            <v:stroke joinstyle="miter"/>
            <v:imagedata o:title=""/>
            <o:lock v:ext="edit"/>
            <v:textbox style="mso-fit-shape-to-text:t;">
              <w:txbxContent>
                <w:p>
                  <w:pPr>
                    <w:rPr>
                      <w:b/>
                      <w:bCs/>
                      <w:sz w:val="28"/>
                      <w:szCs w:val="28"/>
                    </w:rPr>
                  </w:pPr>
                  <w:r>
                    <w:rPr>
                      <w:rFonts w:hint="eastAsia"/>
                      <w:b/>
                      <w:bCs/>
                      <w:sz w:val="28"/>
                      <w:szCs w:val="28"/>
                    </w:rPr>
                    <w:t>正本</w:t>
                  </w:r>
                  <w:r>
                    <w:rPr>
                      <w:b/>
                      <w:bCs/>
                      <w:sz w:val="28"/>
                      <w:szCs w:val="28"/>
                    </w:rPr>
                    <w:t>或副本</w:t>
                  </w:r>
                </w:p>
              </w:txbxContent>
            </v:textbox>
          </v:shape>
        </w:pict>
      </w:r>
      <w:r>
        <w:rPr>
          <w:rFonts w:hint="eastAsia" w:ascii="宋体" w:hAnsi="宋体"/>
          <w:b/>
          <w:bCs/>
          <w:sz w:val="28"/>
          <w:szCs w:val="28"/>
        </w:rPr>
        <w:t>格式一：</w:t>
      </w:r>
    </w:p>
    <w:p>
      <w:pPr>
        <w:adjustRightInd w:val="0"/>
        <w:snapToGrid w:val="0"/>
        <w:spacing w:line="360" w:lineRule="auto"/>
        <w:rPr>
          <w:rFonts w:ascii="宋体" w:hAnsi="宋体"/>
          <w:bCs/>
          <w:szCs w:val="21"/>
        </w:rPr>
      </w:pPr>
      <w:r>
        <w:rPr>
          <w:rFonts w:hint="eastAsia" w:ascii="宋体" w:hAnsi="宋体"/>
          <w:bCs/>
          <w:szCs w:val="21"/>
        </w:rPr>
        <w:t xml:space="preserve">  </w:t>
      </w:r>
    </w:p>
    <w:p>
      <w:pPr>
        <w:adjustRightInd w:val="0"/>
        <w:snapToGrid w:val="0"/>
        <w:spacing w:line="360" w:lineRule="auto"/>
        <w:rPr>
          <w:rFonts w:ascii="宋体" w:hAnsi="宋体"/>
          <w:bCs/>
          <w:szCs w:val="21"/>
        </w:rPr>
      </w:pPr>
    </w:p>
    <w:p>
      <w:pPr>
        <w:adjustRightInd w:val="0"/>
        <w:snapToGrid w:val="0"/>
        <w:spacing w:line="360" w:lineRule="auto"/>
        <w:jc w:val="right"/>
        <w:rPr>
          <w:rFonts w:ascii="宋体" w:hAnsi="宋体"/>
          <w:sz w:val="24"/>
        </w:rPr>
      </w:pPr>
    </w:p>
    <w:p>
      <w:pPr>
        <w:adjustRightInd w:val="0"/>
        <w:snapToGrid w:val="0"/>
        <w:spacing w:line="360" w:lineRule="auto"/>
        <w:jc w:val="center"/>
        <w:rPr>
          <w:rFonts w:ascii="宋体" w:hAnsi="宋体"/>
          <w:spacing w:val="78"/>
          <w:sz w:val="72"/>
          <w:szCs w:val="72"/>
        </w:rPr>
      </w:pPr>
    </w:p>
    <w:p>
      <w:pPr>
        <w:adjustRightInd w:val="0"/>
        <w:snapToGrid w:val="0"/>
        <w:spacing w:line="360" w:lineRule="auto"/>
        <w:jc w:val="center"/>
        <w:rPr>
          <w:rFonts w:ascii="宋体" w:hAnsi="宋体"/>
          <w:spacing w:val="78"/>
          <w:sz w:val="72"/>
          <w:szCs w:val="72"/>
        </w:rPr>
      </w:pPr>
      <w:r>
        <w:rPr>
          <w:rFonts w:hint="eastAsia" w:ascii="宋体" w:hAnsi="宋体"/>
          <w:spacing w:val="78"/>
          <w:sz w:val="72"/>
          <w:szCs w:val="72"/>
        </w:rPr>
        <w:t>资格性投标文件</w:t>
      </w:r>
    </w:p>
    <w:p>
      <w:pPr>
        <w:adjustRightInd w:val="0"/>
        <w:snapToGrid w:val="0"/>
        <w:spacing w:line="360" w:lineRule="auto"/>
        <w:jc w:val="center"/>
        <w:rPr>
          <w:rFonts w:ascii="宋体" w:hAnsi="宋体"/>
          <w:bCs/>
          <w:sz w:val="36"/>
        </w:rPr>
      </w:pPr>
    </w:p>
    <w:p>
      <w:pPr>
        <w:adjustRightInd w:val="0"/>
        <w:snapToGrid w:val="0"/>
        <w:spacing w:line="360" w:lineRule="auto"/>
        <w:jc w:val="center"/>
        <w:rPr>
          <w:rFonts w:ascii="宋体" w:hAnsi="宋体"/>
          <w:bCs/>
          <w:sz w:val="36"/>
        </w:rPr>
      </w:pPr>
    </w:p>
    <w:p>
      <w:pPr>
        <w:tabs>
          <w:tab w:val="left" w:pos="665"/>
          <w:tab w:val="left" w:pos="3241"/>
          <w:tab w:val="left" w:pos="3525"/>
          <w:tab w:val="left" w:pos="3994"/>
          <w:tab w:val="left" w:pos="4234"/>
        </w:tabs>
        <w:adjustRightInd w:val="0"/>
        <w:snapToGrid w:val="0"/>
        <w:spacing w:line="360" w:lineRule="auto"/>
        <w:ind w:left="1697" w:leftChars="71" w:hanging="1548" w:hangingChars="482"/>
        <w:jc w:val="left"/>
        <w:rPr>
          <w:rFonts w:ascii="宋体" w:hAnsi="宋体"/>
          <w:b/>
          <w:bCs/>
          <w:sz w:val="32"/>
          <w:szCs w:val="32"/>
        </w:rPr>
      </w:pPr>
      <w:r>
        <w:rPr>
          <w:rFonts w:hint="eastAsia" w:ascii="宋体" w:hAnsi="宋体"/>
          <w:b/>
          <w:bCs/>
          <w:sz w:val="32"/>
          <w:szCs w:val="32"/>
        </w:rPr>
        <w:t>项目名称：成都市龙泉驿区审计局审计服务采购项目（第三次）</w:t>
      </w:r>
    </w:p>
    <w:p>
      <w:pPr>
        <w:tabs>
          <w:tab w:val="left" w:pos="665"/>
        </w:tabs>
        <w:adjustRightInd w:val="0"/>
        <w:snapToGrid w:val="0"/>
        <w:spacing w:line="360" w:lineRule="auto"/>
        <w:ind w:firstLine="157" w:firstLineChars="49"/>
        <w:rPr>
          <w:rFonts w:ascii="宋体" w:hAnsi="宋体"/>
          <w:b/>
          <w:bCs/>
          <w:sz w:val="32"/>
          <w:szCs w:val="32"/>
        </w:rPr>
      </w:pPr>
      <w:r>
        <w:rPr>
          <w:rFonts w:hint="eastAsia" w:ascii="宋体" w:hAnsi="宋体"/>
          <w:b/>
          <w:bCs/>
          <w:sz w:val="32"/>
          <w:szCs w:val="32"/>
        </w:rPr>
        <w:t xml:space="preserve">项目编号： </w:t>
      </w:r>
    </w:p>
    <w:p>
      <w:pPr>
        <w:adjustRightInd w:val="0"/>
        <w:snapToGrid w:val="0"/>
        <w:spacing w:line="360" w:lineRule="auto"/>
        <w:ind w:left="1890" w:leftChars="900"/>
        <w:jc w:val="left"/>
        <w:rPr>
          <w:rFonts w:ascii="宋体" w:hAnsi="宋体"/>
          <w:b/>
          <w:bCs/>
          <w:sz w:val="32"/>
          <w:szCs w:val="32"/>
        </w:rPr>
      </w:pPr>
    </w:p>
    <w:p>
      <w:pPr>
        <w:adjustRightInd w:val="0"/>
        <w:snapToGrid w:val="0"/>
        <w:spacing w:line="360" w:lineRule="auto"/>
        <w:ind w:left="1890" w:leftChars="900"/>
        <w:jc w:val="left"/>
        <w:rPr>
          <w:rFonts w:ascii="宋体" w:hAnsi="宋体"/>
          <w:b/>
          <w:bCs/>
          <w:sz w:val="36"/>
        </w:rPr>
      </w:pPr>
    </w:p>
    <w:p>
      <w:pPr>
        <w:adjustRightInd w:val="0"/>
        <w:snapToGrid w:val="0"/>
        <w:spacing w:line="360" w:lineRule="auto"/>
        <w:ind w:left="1890" w:leftChars="900"/>
        <w:jc w:val="left"/>
        <w:rPr>
          <w:rFonts w:ascii="宋体" w:hAnsi="宋体"/>
          <w:b/>
          <w:bCs/>
          <w:sz w:val="36"/>
        </w:rPr>
      </w:pPr>
    </w:p>
    <w:p>
      <w:pPr>
        <w:adjustRightInd w:val="0"/>
        <w:snapToGrid w:val="0"/>
        <w:spacing w:line="360" w:lineRule="auto"/>
        <w:ind w:firstLine="630" w:firstLineChars="196"/>
        <w:jc w:val="left"/>
        <w:rPr>
          <w:rFonts w:ascii="宋体" w:hAnsi="宋体"/>
          <w:b/>
          <w:bCs/>
          <w:sz w:val="32"/>
          <w:szCs w:val="32"/>
          <w:u w:val="single"/>
        </w:rPr>
      </w:pPr>
      <w:r>
        <w:rPr>
          <w:rFonts w:hint="eastAsia" w:ascii="宋体" w:hAnsi="宋体"/>
          <w:b/>
          <w:bCs/>
          <w:sz w:val="32"/>
          <w:szCs w:val="32"/>
        </w:rPr>
        <w:t>投标人名称：</w:t>
      </w:r>
    </w:p>
    <w:p>
      <w:pPr>
        <w:adjustRightInd w:val="0"/>
        <w:snapToGrid w:val="0"/>
        <w:spacing w:line="360" w:lineRule="auto"/>
        <w:ind w:firstLine="630" w:firstLineChars="196"/>
        <w:jc w:val="left"/>
        <w:rPr>
          <w:rFonts w:ascii="宋体" w:hAnsi="宋体"/>
          <w:b/>
          <w:bCs/>
          <w:sz w:val="32"/>
          <w:szCs w:val="32"/>
          <w:u w:val="single"/>
        </w:rPr>
      </w:pPr>
    </w:p>
    <w:p>
      <w:pPr>
        <w:adjustRightInd w:val="0"/>
        <w:snapToGrid w:val="0"/>
        <w:spacing w:line="360" w:lineRule="auto"/>
        <w:ind w:firstLine="630" w:firstLineChars="196"/>
        <w:rPr>
          <w:rFonts w:ascii="宋体" w:hAnsi="宋体"/>
          <w:b/>
          <w:bCs/>
          <w:sz w:val="32"/>
          <w:szCs w:val="32"/>
        </w:rPr>
      </w:pPr>
      <w:r>
        <w:rPr>
          <w:rFonts w:hint="eastAsia" w:ascii="宋体" w:hAnsi="宋体"/>
          <w:b/>
          <w:bCs/>
          <w:sz w:val="32"/>
          <w:szCs w:val="32"/>
        </w:rPr>
        <w:t>日       期：</w:t>
      </w:r>
      <w:r>
        <w:rPr>
          <w:rFonts w:ascii="宋体" w:hAnsi="宋体"/>
          <w:b/>
          <w:bCs/>
          <w:sz w:val="32"/>
          <w:szCs w:val="32"/>
        </w:rPr>
        <w:t>XXXX</w:t>
      </w:r>
      <w:r>
        <w:rPr>
          <w:rFonts w:hint="eastAsia" w:ascii="宋体" w:hAnsi="宋体"/>
          <w:b/>
          <w:bCs/>
          <w:sz w:val="32"/>
          <w:szCs w:val="32"/>
        </w:rPr>
        <w:t>年</w:t>
      </w:r>
      <w:r>
        <w:rPr>
          <w:rFonts w:ascii="宋体" w:hAnsi="宋体"/>
          <w:b/>
          <w:bCs/>
          <w:sz w:val="32"/>
          <w:szCs w:val="32"/>
        </w:rPr>
        <w:t>XX</w:t>
      </w:r>
      <w:r>
        <w:rPr>
          <w:rFonts w:hint="eastAsia" w:ascii="宋体" w:hAnsi="宋体"/>
          <w:b/>
          <w:bCs/>
          <w:sz w:val="32"/>
          <w:szCs w:val="32"/>
        </w:rPr>
        <w:t>月</w:t>
      </w:r>
      <w:r>
        <w:rPr>
          <w:rFonts w:ascii="宋体" w:hAnsi="宋体"/>
          <w:b/>
          <w:bCs/>
          <w:sz w:val="32"/>
          <w:szCs w:val="32"/>
        </w:rPr>
        <w:t>XX</w:t>
      </w:r>
      <w:r>
        <w:rPr>
          <w:rFonts w:hint="eastAsia" w:ascii="宋体" w:hAnsi="宋体"/>
          <w:b/>
          <w:bCs/>
          <w:sz w:val="32"/>
          <w:szCs w:val="32"/>
        </w:rPr>
        <w:t>日</w:t>
      </w:r>
    </w:p>
    <w:p>
      <w:pPr>
        <w:pStyle w:val="2"/>
        <w:rPr>
          <w:rFonts w:ascii="宋体" w:hAnsi="宋体"/>
          <w:b/>
          <w:bCs/>
          <w:sz w:val="32"/>
          <w:szCs w:val="32"/>
        </w:rPr>
      </w:pPr>
    </w:p>
    <w:p>
      <w:pPr>
        <w:pStyle w:val="2"/>
        <w:rPr>
          <w:rFonts w:ascii="宋体" w:hAnsi="宋体"/>
          <w:b/>
          <w:bCs/>
          <w:sz w:val="32"/>
          <w:szCs w:val="32"/>
        </w:rPr>
      </w:pPr>
    </w:p>
    <w:p>
      <w:pPr>
        <w:pStyle w:val="2"/>
        <w:rPr>
          <w:rFonts w:ascii="宋体" w:hAnsi="宋体"/>
          <w:b/>
          <w:bCs/>
          <w:sz w:val="32"/>
          <w:szCs w:val="32"/>
        </w:rPr>
      </w:pPr>
    </w:p>
    <w:p>
      <w:pPr>
        <w:pStyle w:val="2"/>
        <w:rPr>
          <w:rFonts w:ascii="宋体" w:hAnsi="宋体"/>
          <w:b/>
          <w:bCs/>
          <w:sz w:val="32"/>
          <w:szCs w:val="32"/>
        </w:rPr>
      </w:pPr>
    </w:p>
    <w:p>
      <w:pPr>
        <w:pStyle w:val="2"/>
        <w:rPr>
          <w:rFonts w:ascii="宋体" w:hAnsi="宋体"/>
          <w:b/>
          <w:bCs/>
          <w:sz w:val="32"/>
          <w:szCs w:val="32"/>
        </w:rPr>
      </w:pPr>
    </w:p>
    <w:p>
      <w:pPr>
        <w:rPr>
          <w:b/>
          <w:sz w:val="28"/>
          <w:szCs w:val="28"/>
        </w:rPr>
      </w:pPr>
      <w:r>
        <w:rPr>
          <w:rFonts w:hint="eastAsia"/>
          <w:b/>
          <w:bCs/>
          <w:sz w:val="28"/>
          <w:szCs w:val="28"/>
        </w:rPr>
        <w:t xml:space="preserve">格式二： </w:t>
      </w:r>
      <w:r>
        <w:rPr>
          <w:rFonts w:hint="eastAsia"/>
        </w:rPr>
        <w:t xml:space="preserve">            </w:t>
      </w:r>
      <w:r>
        <w:rPr>
          <w:rFonts w:hint="eastAsia"/>
          <w:b/>
          <w:sz w:val="32"/>
        </w:rPr>
        <w:t xml:space="preserve">  </w:t>
      </w:r>
      <w:r>
        <w:rPr>
          <w:rFonts w:hint="eastAsia"/>
          <w:b/>
          <w:sz w:val="28"/>
          <w:szCs w:val="28"/>
        </w:rPr>
        <w:t xml:space="preserve">  一、</w:t>
      </w:r>
      <w:r>
        <w:rPr>
          <w:b/>
          <w:sz w:val="28"/>
          <w:szCs w:val="28"/>
        </w:rPr>
        <w:t>承诺函（此格式为实质性要求）</w:t>
      </w:r>
    </w:p>
    <w:p>
      <w:pPr>
        <w:pStyle w:val="18"/>
        <w:spacing w:before="52"/>
        <w:ind w:left="372"/>
      </w:pPr>
      <w:bookmarkStart w:id="189" w:name="成都盈合工程项目管理有限公司："/>
      <w:bookmarkEnd w:id="189"/>
      <w:r>
        <w:rPr>
          <w:rFonts w:hint="eastAsia" w:ascii="宋体" w:hAnsi="宋体"/>
          <w:bCs/>
          <w:sz w:val="24"/>
          <w:szCs w:val="24"/>
        </w:rPr>
        <w:t>成都青青工程造价咨询有限责任公司</w:t>
      </w:r>
      <w:r>
        <w:t>：</w:t>
      </w:r>
    </w:p>
    <w:p>
      <w:pPr>
        <w:pStyle w:val="18"/>
        <w:spacing w:before="52"/>
        <w:ind w:left="372"/>
        <w:rPr>
          <w:rFonts w:ascii="宋体" w:hAnsi="宋体"/>
          <w:bCs/>
          <w:sz w:val="24"/>
          <w:szCs w:val="24"/>
        </w:rPr>
      </w:pPr>
      <w:bookmarkStart w:id="190" w:name="我公司作为本次采购项目的投标人，根据招标文件要求，现郑重承诺如下："/>
      <w:bookmarkEnd w:id="190"/>
      <w:r>
        <w:rPr>
          <w:rFonts w:hint="eastAsia" w:ascii="宋体" w:hAnsi="宋体"/>
          <w:bCs/>
          <w:sz w:val="24"/>
          <w:szCs w:val="24"/>
        </w:rPr>
        <w:t>我公司作为本次采购项目的投标人，根据招标文件要求，现郑重承诺如下：</w:t>
      </w:r>
    </w:p>
    <w:p>
      <w:pPr>
        <w:pStyle w:val="18"/>
        <w:spacing w:before="52"/>
        <w:ind w:left="372"/>
        <w:rPr>
          <w:rFonts w:ascii="宋体" w:hAnsi="宋体"/>
          <w:bCs/>
          <w:sz w:val="24"/>
          <w:szCs w:val="24"/>
        </w:rPr>
      </w:pPr>
      <w:bookmarkStart w:id="191" w:name="一、具备《中华人民共和国政府采购法》第二十二条第一款和本项目规定的条件：__（一"/>
      <w:bookmarkEnd w:id="191"/>
      <w:r>
        <w:rPr>
          <w:rFonts w:hint="eastAsia" w:ascii="宋体" w:hAnsi="宋体"/>
          <w:bCs/>
          <w:sz w:val="24"/>
          <w:szCs w:val="24"/>
        </w:rPr>
        <w:t>一、具备《中华人民共和国政府采购法》第二十二条第一款和本项目规定的条件：</w:t>
      </w:r>
    </w:p>
    <w:p>
      <w:pPr>
        <w:pStyle w:val="18"/>
        <w:spacing w:before="52"/>
        <w:ind w:left="372"/>
        <w:rPr>
          <w:rFonts w:ascii="宋体" w:hAnsi="宋体"/>
          <w:bCs/>
          <w:sz w:val="24"/>
          <w:szCs w:val="24"/>
        </w:rPr>
      </w:pPr>
      <w:r>
        <w:rPr>
          <w:rFonts w:hint="eastAsia" w:ascii="宋体" w:hAnsi="宋体"/>
          <w:bCs/>
          <w:sz w:val="24"/>
          <w:szCs w:val="24"/>
        </w:rPr>
        <w:t>（一）具有良好的商业信誉；</w:t>
      </w:r>
    </w:p>
    <w:p>
      <w:pPr>
        <w:pStyle w:val="18"/>
        <w:spacing w:before="52"/>
        <w:ind w:left="372"/>
        <w:rPr>
          <w:rFonts w:ascii="宋体" w:hAnsi="宋体"/>
          <w:bCs/>
          <w:sz w:val="24"/>
          <w:szCs w:val="24"/>
        </w:rPr>
      </w:pPr>
      <w:r>
        <w:rPr>
          <w:rFonts w:hint="eastAsia" w:ascii="宋体" w:hAnsi="宋体"/>
          <w:bCs/>
          <w:sz w:val="24"/>
          <w:szCs w:val="24"/>
        </w:rPr>
        <w:t>（二）具有履行合同所必需的设备和专业技术能力；</w:t>
      </w:r>
    </w:p>
    <w:p>
      <w:pPr>
        <w:pStyle w:val="18"/>
        <w:spacing w:before="52"/>
        <w:ind w:left="372"/>
        <w:rPr>
          <w:rFonts w:ascii="宋体" w:hAnsi="宋体"/>
          <w:bCs/>
          <w:sz w:val="24"/>
          <w:szCs w:val="24"/>
        </w:rPr>
      </w:pPr>
      <w:r>
        <w:rPr>
          <w:rFonts w:hint="eastAsia" w:ascii="宋体" w:hAnsi="宋体"/>
          <w:bCs/>
          <w:sz w:val="24"/>
          <w:szCs w:val="24"/>
        </w:rPr>
        <w:t>（三）有依法缴纳税收和社会保障资金的良好记录；</w:t>
      </w:r>
    </w:p>
    <w:p>
      <w:pPr>
        <w:pStyle w:val="18"/>
        <w:spacing w:before="52"/>
        <w:ind w:left="372"/>
        <w:rPr>
          <w:rFonts w:ascii="宋体" w:hAnsi="宋体"/>
          <w:bCs/>
          <w:sz w:val="24"/>
          <w:szCs w:val="24"/>
        </w:rPr>
      </w:pPr>
      <w:r>
        <w:rPr>
          <w:rFonts w:hint="eastAsia" w:ascii="宋体" w:hAnsi="宋体"/>
          <w:bCs/>
          <w:sz w:val="24"/>
          <w:szCs w:val="24"/>
        </w:rPr>
        <w:t>（四）参加政府采购活动前三年内，在经营活动中没有重大违法记录；</w:t>
      </w:r>
    </w:p>
    <w:p>
      <w:pPr>
        <w:pStyle w:val="18"/>
        <w:spacing w:before="52"/>
        <w:ind w:left="372"/>
        <w:rPr>
          <w:rFonts w:ascii="宋体" w:hAnsi="宋体"/>
          <w:bCs/>
          <w:sz w:val="24"/>
          <w:szCs w:val="24"/>
        </w:rPr>
      </w:pPr>
      <w:bookmarkStart w:id="192" w:name="（五）法律、行政法规规定的其他条件；"/>
      <w:bookmarkEnd w:id="192"/>
      <w:r>
        <w:rPr>
          <w:rFonts w:hint="eastAsia" w:ascii="宋体" w:hAnsi="宋体"/>
          <w:bCs/>
          <w:sz w:val="24"/>
          <w:szCs w:val="24"/>
        </w:rPr>
        <w:t>（五）法律、行政法规规定的其他条件；</w:t>
      </w:r>
    </w:p>
    <w:p>
      <w:pPr>
        <w:pStyle w:val="18"/>
        <w:spacing w:before="52"/>
        <w:ind w:left="372"/>
        <w:rPr>
          <w:rFonts w:ascii="宋体" w:hAnsi="宋体"/>
          <w:bCs/>
          <w:sz w:val="24"/>
          <w:szCs w:val="24"/>
        </w:rPr>
      </w:pPr>
      <w:bookmarkStart w:id="193" w:name="（六）根据采购项目提出的特殊条件。"/>
      <w:bookmarkEnd w:id="193"/>
      <w:r>
        <w:rPr>
          <w:rFonts w:hint="eastAsia" w:ascii="宋体" w:hAnsi="宋体"/>
          <w:bCs/>
          <w:sz w:val="24"/>
          <w:szCs w:val="24"/>
        </w:rPr>
        <w:t>（六）根据采购项目提出的特殊条件。</w:t>
      </w:r>
    </w:p>
    <w:p>
      <w:pPr>
        <w:pStyle w:val="18"/>
        <w:spacing w:before="52"/>
        <w:ind w:left="372"/>
        <w:rPr>
          <w:rFonts w:ascii="宋体" w:hAnsi="宋体"/>
          <w:bCs/>
          <w:sz w:val="24"/>
          <w:szCs w:val="24"/>
        </w:rPr>
      </w:pPr>
      <w:bookmarkStart w:id="194" w:name="二、完全接受和满足本项目招标文件中规定的实质性要求，如对招标文件有异议，已经在投"/>
      <w:bookmarkEnd w:id="194"/>
      <w:r>
        <w:rPr>
          <w:rFonts w:hint="eastAsia" w:ascii="宋体" w:hAnsi="宋体"/>
          <w:bCs/>
          <w:sz w:val="24"/>
          <w:szCs w:val="24"/>
        </w:rPr>
        <w:t>二、完全接受和满足本项目招标文件中规定的实质性要求，如对招标文件有异议， 已经在投标截止时间届满前依法进行维权救济，不存在对招标文件有异议的同时又参加投标以求侥幸中标或者为实现其他非法目的的行为。</w:t>
      </w:r>
    </w:p>
    <w:p>
      <w:pPr>
        <w:pStyle w:val="18"/>
        <w:spacing w:before="52"/>
        <w:ind w:left="372"/>
        <w:rPr>
          <w:rFonts w:ascii="宋体" w:hAnsi="宋体"/>
          <w:bCs/>
          <w:sz w:val="24"/>
          <w:szCs w:val="24"/>
        </w:rPr>
      </w:pPr>
      <w:bookmarkStart w:id="195" w:name="三、参加本次招标采购活动，不存在与单位负责人为同一人或者存在直接控股、管理关系的"/>
      <w:bookmarkEnd w:id="195"/>
      <w:r>
        <w:rPr>
          <w:rFonts w:hint="eastAsia" w:ascii="宋体" w:hAnsi="宋体"/>
          <w:bCs/>
          <w:sz w:val="24"/>
          <w:szCs w:val="24"/>
        </w:rPr>
        <w:t>三、参加本次招标采购活动，不存在与单位负责人为同一人或者存在直接控股、管理关系的其他供应商参与同一合同项下的政府采购活动的行为。</w:t>
      </w:r>
    </w:p>
    <w:p>
      <w:pPr>
        <w:pStyle w:val="18"/>
        <w:spacing w:before="52"/>
        <w:ind w:left="372"/>
        <w:rPr>
          <w:rFonts w:ascii="宋体" w:hAnsi="宋体"/>
          <w:bCs/>
          <w:sz w:val="24"/>
          <w:szCs w:val="24"/>
        </w:rPr>
      </w:pPr>
      <w:bookmarkStart w:id="196" w:name="四、参加本次招标采购活动，不存在和其他供应商在同一合同项下的采购项目中，同时委托"/>
      <w:bookmarkEnd w:id="196"/>
      <w:r>
        <w:rPr>
          <w:rFonts w:hint="eastAsia" w:ascii="宋体" w:hAnsi="宋体"/>
          <w:bCs/>
          <w:sz w:val="24"/>
          <w:szCs w:val="24"/>
        </w:rPr>
        <w:t>四、参加本次招标采购活动，不存在和其他供应商在同一合同项下的采购项目中， 同时委托同一个自然人、同一家庭的人员、同一单位的人员作为代理人的行为。</w:t>
      </w:r>
    </w:p>
    <w:p>
      <w:pPr>
        <w:pStyle w:val="18"/>
        <w:spacing w:before="52"/>
        <w:ind w:left="372"/>
        <w:rPr>
          <w:rFonts w:ascii="宋体" w:hAnsi="宋体"/>
          <w:bCs/>
          <w:sz w:val="24"/>
          <w:szCs w:val="24"/>
        </w:rPr>
      </w:pPr>
      <w:r>
        <w:rPr>
          <w:rFonts w:hint="eastAsia" w:ascii="宋体" w:hAnsi="宋体"/>
          <w:bCs/>
          <w:sz w:val="24"/>
          <w:szCs w:val="24"/>
        </w:rPr>
        <w:t>五、参加本次招标采购活动，不属于为采购项目提供整体设计、规范编制或者项目管理、监理、检测等服务的供应商。</w:t>
      </w:r>
    </w:p>
    <w:p>
      <w:pPr>
        <w:pStyle w:val="18"/>
        <w:spacing w:before="52"/>
        <w:ind w:left="372"/>
        <w:rPr>
          <w:rFonts w:ascii="宋体" w:hAnsi="宋体"/>
          <w:bCs/>
          <w:sz w:val="24"/>
          <w:szCs w:val="24"/>
        </w:rPr>
      </w:pPr>
      <w:bookmarkStart w:id="197" w:name="六、投标文件中提供的能够给予我公司带来优惠、好处的任何材料资料和技术、服务、商务"/>
      <w:bookmarkEnd w:id="197"/>
      <w:r>
        <w:rPr>
          <w:rFonts w:hint="eastAsia" w:ascii="宋体" w:hAnsi="宋体"/>
          <w:bCs/>
          <w:sz w:val="24"/>
          <w:szCs w:val="24"/>
        </w:rPr>
        <w:t>六、投标文件中提供的能够给予我公司带来优惠、好处的任何材料资料和技术、服务、商务等响应承诺情况都是真实的、有效的、合法的。</w:t>
      </w:r>
    </w:p>
    <w:p>
      <w:pPr>
        <w:pStyle w:val="18"/>
        <w:spacing w:before="52"/>
        <w:ind w:left="372"/>
        <w:rPr>
          <w:rFonts w:ascii="宋体" w:hAnsi="宋体"/>
          <w:bCs/>
          <w:sz w:val="24"/>
          <w:szCs w:val="24"/>
        </w:rPr>
      </w:pPr>
      <w:bookmarkStart w:id="198" w:name="七、我单位不为“信用中国”网站（www.creditchina.gov.cn）中"/>
      <w:bookmarkEnd w:id="198"/>
      <w:r>
        <w:rPr>
          <w:rFonts w:hint="eastAsia" w:ascii="宋体" w:hAnsi="宋体"/>
          <w:bCs/>
          <w:sz w:val="24"/>
          <w:szCs w:val="24"/>
        </w:rPr>
        <w:t xml:space="preserve">七、我单位不为“信用中国”网站（ </w:t>
      </w:r>
      <w:r>
        <w:rPr>
          <w:rFonts w:hint="eastAsia" w:ascii="宋体" w:hAnsi="宋体"/>
          <w:bCs/>
          <w:sz w:val="24"/>
          <w:szCs w:val="24"/>
        </w:rPr>
        <w:drawing>
          <wp:inline distT="0" distB="0" distL="114300" distR="114300">
            <wp:extent cx="142875" cy="13716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cstate="print"/>
                    <a:stretch>
                      <a:fillRect/>
                    </a:stretch>
                  </pic:blipFill>
                  <pic:spPr>
                    <a:xfrm>
                      <a:off x="0" y="0"/>
                      <a:ext cx="142875" cy="137160"/>
                    </a:xfrm>
                    <a:prstGeom prst="rect">
                      <a:avLst/>
                    </a:prstGeom>
                    <a:noFill/>
                    <a:ln>
                      <a:noFill/>
                    </a:ln>
                  </pic:spPr>
                </pic:pic>
              </a:graphicData>
            </a:graphic>
          </wp:inline>
        </w:drawing>
      </w:r>
      <w:r>
        <w:fldChar w:fldCharType="begin"/>
      </w:r>
      <w:r>
        <w:instrText xml:space="preserve"> HYPERLINK "http://www.creditchina.gov.cn/" \h </w:instrText>
      </w:r>
      <w:r>
        <w:fldChar w:fldCharType="separate"/>
      </w:r>
      <w:r>
        <w:rPr>
          <w:rFonts w:hint="eastAsia" w:ascii="宋体" w:hAnsi="宋体"/>
          <w:bCs/>
          <w:sz w:val="24"/>
          <w:szCs w:val="24"/>
        </w:rPr>
        <w:t>www.creditchina.gov.cn</w:t>
      </w:r>
      <w:r>
        <w:rPr>
          <w:rFonts w:hint="eastAsia" w:ascii="宋体" w:hAnsi="宋体"/>
          <w:bCs/>
          <w:sz w:val="24"/>
          <w:szCs w:val="24"/>
        </w:rPr>
        <w:fldChar w:fldCharType="end"/>
      </w:r>
      <w:r>
        <w:rPr>
          <w:rFonts w:hint="eastAsia" w:ascii="宋体" w:hAnsi="宋体"/>
          <w:bCs/>
          <w:sz w:val="24"/>
          <w:szCs w:val="24"/>
        </w:rPr>
        <w:t>）中列入失信被执行人和重大税收违法案件当事人名单的供应商，不为中国政府采购网</w:t>
      </w:r>
    </w:p>
    <w:p>
      <w:pPr>
        <w:pStyle w:val="18"/>
        <w:spacing w:before="52"/>
        <w:ind w:left="372"/>
        <w:rPr>
          <w:rFonts w:ascii="宋体" w:hAnsi="宋体"/>
          <w:bCs/>
          <w:sz w:val="24"/>
          <w:szCs w:val="24"/>
        </w:rPr>
      </w:pPr>
      <w:r>
        <w:rPr>
          <w:rFonts w:hint="eastAsia" w:ascii="宋体" w:hAnsi="宋体"/>
          <w:bCs/>
          <w:sz w:val="24"/>
          <w:szCs w:val="24"/>
        </w:rPr>
        <w:t xml:space="preserve">（ </w:t>
      </w:r>
      <w:r>
        <w:rPr>
          <w:rFonts w:hint="eastAsia" w:ascii="宋体" w:hAnsi="宋体"/>
          <w:bCs/>
          <w:sz w:val="24"/>
          <w:szCs w:val="24"/>
        </w:rPr>
        <w:drawing>
          <wp:inline distT="0" distB="0" distL="114300" distR="114300">
            <wp:extent cx="142875" cy="137160"/>
            <wp:effectExtent l="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cstate="print"/>
                    <a:stretch>
                      <a:fillRect/>
                    </a:stretch>
                  </pic:blipFill>
                  <pic:spPr>
                    <a:xfrm>
                      <a:off x="0" y="0"/>
                      <a:ext cx="142875" cy="137160"/>
                    </a:xfrm>
                    <a:prstGeom prst="rect">
                      <a:avLst/>
                    </a:prstGeom>
                    <a:noFill/>
                    <a:ln>
                      <a:noFill/>
                    </a:ln>
                  </pic:spPr>
                </pic:pic>
              </a:graphicData>
            </a:graphic>
          </wp:inline>
        </w:drawing>
      </w:r>
      <w:r>
        <w:fldChar w:fldCharType="begin"/>
      </w:r>
      <w:r>
        <w:instrText xml:space="preserve"> HYPERLINK "http://www.ccgp.gov.cn/" \h </w:instrText>
      </w:r>
      <w:r>
        <w:fldChar w:fldCharType="separate"/>
      </w:r>
      <w:r>
        <w:rPr>
          <w:rFonts w:hint="eastAsia" w:ascii="宋体" w:hAnsi="宋体"/>
          <w:bCs/>
          <w:sz w:val="24"/>
          <w:szCs w:val="24"/>
        </w:rPr>
        <w:t>www.ccgp.gov.cn</w:t>
      </w:r>
      <w:r>
        <w:rPr>
          <w:rFonts w:hint="eastAsia" w:ascii="宋体" w:hAnsi="宋体"/>
          <w:bCs/>
          <w:sz w:val="24"/>
          <w:szCs w:val="24"/>
        </w:rPr>
        <w:fldChar w:fldCharType="end"/>
      </w:r>
      <w:r>
        <w:rPr>
          <w:rFonts w:hint="eastAsia" w:ascii="宋体" w:hAnsi="宋体"/>
          <w:bCs/>
          <w:sz w:val="24"/>
          <w:szCs w:val="24"/>
        </w:rPr>
        <w:t>）政府采购严重违法失信行为记录名单中被财政部门禁止参加政府采购活动的供应商（处罚决定规定的时间和地域范围内）。</w:t>
      </w:r>
    </w:p>
    <w:p>
      <w:pPr>
        <w:pStyle w:val="18"/>
        <w:spacing w:before="52"/>
        <w:ind w:left="372"/>
        <w:rPr>
          <w:rFonts w:ascii="宋体" w:hAnsi="宋体"/>
          <w:bCs/>
          <w:sz w:val="24"/>
          <w:szCs w:val="24"/>
        </w:rPr>
      </w:pPr>
      <w:bookmarkStart w:id="199" w:name="八、我单位、我单位法定代表人/主要负责人在前3年内不具有行贿犯罪记录。"/>
      <w:bookmarkEnd w:id="199"/>
      <w:r>
        <w:rPr>
          <w:rFonts w:hint="eastAsia" w:ascii="宋体" w:hAnsi="宋体"/>
          <w:bCs/>
          <w:sz w:val="24"/>
          <w:szCs w:val="24"/>
        </w:rPr>
        <w:t>八、我单位、我单位法定代表人在前 3 年内不具有行贿犯罪记录。</w:t>
      </w:r>
    </w:p>
    <w:p>
      <w:pPr>
        <w:pStyle w:val="18"/>
        <w:spacing w:before="52"/>
        <w:ind w:left="372"/>
        <w:rPr>
          <w:rFonts w:ascii="宋体" w:hAnsi="宋体"/>
          <w:bCs/>
          <w:sz w:val="24"/>
          <w:szCs w:val="24"/>
        </w:rPr>
      </w:pPr>
      <w:r>
        <w:rPr>
          <w:rFonts w:hint="eastAsia" w:ascii="宋体" w:hAnsi="宋体"/>
          <w:bCs/>
          <w:sz w:val="24"/>
          <w:szCs w:val="24"/>
        </w:rPr>
        <w:t>九、我单位及我单位提供的投标产品均满足法律法规强制性要求的其他许可或认证资格。</w:t>
      </w:r>
    </w:p>
    <w:p>
      <w:pPr>
        <w:pStyle w:val="18"/>
        <w:spacing w:before="52"/>
        <w:ind w:left="372"/>
        <w:rPr>
          <w:rFonts w:ascii="宋体" w:hAnsi="宋体"/>
          <w:bCs/>
          <w:sz w:val="24"/>
          <w:szCs w:val="24"/>
        </w:rPr>
      </w:pPr>
      <w:bookmarkStart w:id="200" w:name="本公司对上述承诺的内容事项真实性负责。如经查实上述承诺的内容事项存在虚假，我公司"/>
      <w:bookmarkEnd w:id="200"/>
      <w:r>
        <w:rPr>
          <w:rFonts w:hint="eastAsia" w:ascii="宋体" w:hAnsi="宋体"/>
          <w:bCs/>
          <w:sz w:val="24"/>
          <w:szCs w:val="24"/>
        </w:rPr>
        <w:t>本公司对上述承诺的内容事项真实性负责。如经查实上述承诺的内容事项存在虚假，我公司愿意接受以提供虚假材料谋取中标追究法律责任。</w:t>
      </w:r>
    </w:p>
    <w:p>
      <w:pPr>
        <w:pStyle w:val="18"/>
        <w:spacing w:before="52"/>
        <w:ind w:left="372"/>
        <w:rPr>
          <w:rFonts w:ascii="宋体" w:hAnsi="宋体"/>
          <w:bCs/>
          <w:sz w:val="24"/>
          <w:szCs w:val="24"/>
        </w:rPr>
      </w:pPr>
      <w:bookmarkStart w:id="201" w:name="____投标人名称：_（单位公章）"/>
      <w:bookmarkEnd w:id="201"/>
      <w:r>
        <w:rPr>
          <w:rFonts w:hint="eastAsia" w:ascii="宋体" w:hAnsi="宋体"/>
          <w:bCs/>
          <w:sz w:val="24"/>
          <w:szCs w:val="24"/>
        </w:rPr>
        <w:t>投标人名称：      （单位公章）</w:t>
      </w:r>
    </w:p>
    <w:p>
      <w:pPr>
        <w:pStyle w:val="18"/>
        <w:spacing w:before="52"/>
        <w:ind w:left="372"/>
        <w:jc w:val="left"/>
        <w:rPr>
          <w:rFonts w:ascii="宋体" w:hAnsi="宋体"/>
          <w:bCs/>
          <w:sz w:val="24"/>
          <w:szCs w:val="24"/>
        </w:rPr>
      </w:pPr>
      <w:bookmarkStart w:id="202" w:name="法定代表人/单位负责人或授权代表（签字或加盖个人名章）：_"/>
      <w:bookmarkEnd w:id="202"/>
      <w:r>
        <w:rPr>
          <w:rFonts w:hint="eastAsia" w:ascii="宋体" w:hAnsi="宋体"/>
          <w:bCs/>
          <w:sz w:val="24"/>
          <w:szCs w:val="24"/>
        </w:rPr>
        <w:t xml:space="preserve">法定代表人或授权代表（签字或加盖个人名章）：                 </w:t>
      </w:r>
    </w:p>
    <w:p>
      <w:pPr>
        <w:pStyle w:val="18"/>
        <w:spacing w:before="52"/>
        <w:ind w:left="372"/>
        <w:jc w:val="left"/>
        <w:rPr>
          <w:rFonts w:ascii="宋体" w:hAnsi="宋体"/>
          <w:bCs/>
          <w:sz w:val="24"/>
          <w:szCs w:val="24"/>
        </w:rPr>
      </w:pPr>
      <w:bookmarkStart w:id="203" w:name="日____期：_"/>
      <w:bookmarkEnd w:id="203"/>
      <w:r>
        <w:rPr>
          <w:rFonts w:hint="eastAsia" w:ascii="宋体" w:hAnsi="宋体"/>
          <w:bCs/>
          <w:sz w:val="24"/>
          <w:szCs w:val="24"/>
        </w:rPr>
        <w:t>日</w:t>
      </w:r>
      <w:r>
        <w:rPr>
          <w:rFonts w:hint="eastAsia" w:ascii="宋体" w:hAnsi="宋体"/>
          <w:bCs/>
          <w:sz w:val="24"/>
          <w:szCs w:val="24"/>
        </w:rPr>
        <w:tab/>
      </w:r>
      <w:r>
        <w:rPr>
          <w:rFonts w:hint="eastAsia" w:ascii="宋体" w:hAnsi="宋体"/>
          <w:bCs/>
          <w:sz w:val="24"/>
          <w:szCs w:val="24"/>
        </w:rPr>
        <w:t>期：</w:t>
      </w:r>
    </w:p>
    <w:p>
      <w:pPr>
        <w:pStyle w:val="2"/>
      </w:pPr>
    </w:p>
    <w:p>
      <w:pPr>
        <w:rPr>
          <w:b/>
          <w:bCs/>
          <w:sz w:val="28"/>
          <w:szCs w:val="28"/>
        </w:rPr>
      </w:pPr>
      <w:r>
        <w:rPr>
          <w:b/>
          <w:bCs/>
          <w:sz w:val="28"/>
          <w:szCs w:val="28"/>
        </w:rPr>
        <w:t>格式三:</w:t>
      </w:r>
    </w:p>
    <w:p>
      <w:pPr>
        <w:pStyle w:val="18"/>
        <w:rPr>
          <w:sz w:val="20"/>
        </w:rPr>
      </w:pPr>
    </w:p>
    <w:p>
      <w:pPr>
        <w:spacing w:before="54"/>
        <w:ind w:right="27"/>
        <w:jc w:val="center"/>
        <w:rPr>
          <w:b/>
          <w:sz w:val="28"/>
          <w:szCs w:val="28"/>
        </w:rPr>
      </w:pPr>
      <w:bookmarkStart w:id="204" w:name="二、法定代表人/单位负责人授权书"/>
      <w:bookmarkEnd w:id="204"/>
      <w:r>
        <w:rPr>
          <w:b/>
          <w:sz w:val="28"/>
          <w:szCs w:val="28"/>
        </w:rPr>
        <w:t>二、法定代表人授权</w:t>
      </w:r>
      <w:r>
        <w:rPr>
          <w:rFonts w:hint="eastAsia"/>
          <w:b/>
          <w:sz w:val="28"/>
          <w:szCs w:val="28"/>
        </w:rPr>
        <w:t>委托</w:t>
      </w:r>
      <w:r>
        <w:rPr>
          <w:b/>
          <w:sz w:val="28"/>
          <w:szCs w:val="28"/>
        </w:rPr>
        <w:t>书</w:t>
      </w:r>
    </w:p>
    <w:p>
      <w:pPr>
        <w:pStyle w:val="18"/>
        <w:rPr>
          <w:b/>
          <w:sz w:val="32"/>
        </w:rPr>
      </w:pPr>
    </w:p>
    <w:p>
      <w:pPr>
        <w:pStyle w:val="18"/>
        <w:spacing w:before="6"/>
        <w:rPr>
          <w:b/>
          <w:sz w:val="35"/>
        </w:rPr>
      </w:pPr>
    </w:p>
    <w:p>
      <w:pPr>
        <w:pStyle w:val="18"/>
        <w:spacing w:before="1"/>
        <w:ind w:left="372"/>
      </w:pPr>
      <w:r>
        <w:rPr>
          <w:rFonts w:hint="eastAsia" w:ascii="宋体" w:hAnsi="宋体"/>
          <w:bCs/>
          <w:sz w:val="24"/>
          <w:szCs w:val="24"/>
        </w:rPr>
        <w:t>成都青青工程造价咨询有限责任公司</w:t>
      </w:r>
      <w:r>
        <w:t>：</w:t>
      </w:r>
    </w:p>
    <w:p>
      <w:pPr>
        <w:pStyle w:val="18"/>
        <w:tabs>
          <w:tab w:val="left" w:pos="4239"/>
          <w:tab w:val="left" w:pos="4534"/>
          <w:tab w:val="left" w:pos="7971"/>
          <w:tab w:val="left" w:pos="9040"/>
        </w:tabs>
        <w:spacing w:before="124" w:line="360" w:lineRule="auto"/>
        <w:ind w:left="374" w:right="402" w:firstLine="720"/>
        <w:rPr>
          <w:sz w:val="24"/>
          <w:szCs w:val="24"/>
        </w:rPr>
      </w:pPr>
      <w:r>
        <w:rPr>
          <w:spacing w:val="4"/>
          <w:sz w:val="24"/>
          <w:szCs w:val="24"/>
        </w:rPr>
        <w:t>本</w:t>
      </w:r>
      <w:r>
        <w:rPr>
          <w:sz w:val="24"/>
          <w:szCs w:val="24"/>
        </w:rPr>
        <w:t>授</w:t>
      </w:r>
      <w:r>
        <w:rPr>
          <w:spacing w:val="4"/>
          <w:sz w:val="24"/>
          <w:szCs w:val="24"/>
        </w:rPr>
        <w:t>权</w:t>
      </w:r>
      <w:r>
        <w:rPr>
          <w:sz w:val="24"/>
          <w:szCs w:val="24"/>
        </w:rPr>
        <w:t>声</w:t>
      </w:r>
      <w:r>
        <w:rPr>
          <w:spacing w:val="4"/>
          <w:sz w:val="24"/>
          <w:szCs w:val="24"/>
        </w:rPr>
        <w:t>明：</w:t>
      </w:r>
      <w:r>
        <w:rPr>
          <w:spacing w:val="4"/>
          <w:sz w:val="24"/>
          <w:szCs w:val="24"/>
          <w:u w:val="single"/>
        </w:rPr>
        <w:t xml:space="preserve"> </w:t>
      </w:r>
      <w:r>
        <w:rPr>
          <w:spacing w:val="4"/>
          <w:sz w:val="24"/>
          <w:szCs w:val="24"/>
          <w:u w:val="single"/>
        </w:rPr>
        <w:tab/>
      </w:r>
      <w:r>
        <w:rPr>
          <w:spacing w:val="4"/>
          <w:sz w:val="24"/>
          <w:szCs w:val="24"/>
          <w:u w:val="single"/>
        </w:rPr>
        <w:tab/>
      </w:r>
      <w:r>
        <w:rPr>
          <w:spacing w:val="4"/>
          <w:sz w:val="24"/>
          <w:szCs w:val="24"/>
        </w:rPr>
        <w:t>（</w:t>
      </w:r>
      <w:r>
        <w:rPr>
          <w:sz w:val="24"/>
          <w:szCs w:val="24"/>
        </w:rPr>
        <w:t>投</w:t>
      </w:r>
      <w:r>
        <w:rPr>
          <w:spacing w:val="4"/>
          <w:sz w:val="24"/>
          <w:szCs w:val="24"/>
        </w:rPr>
        <w:t>标</w:t>
      </w:r>
      <w:r>
        <w:rPr>
          <w:sz w:val="24"/>
          <w:szCs w:val="24"/>
        </w:rPr>
        <w:t>人</w:t>
      </w:r>
      <w:r>
        <w:rPr>
          <w:spacing w:val="4"/>
          <w:sz w:val="24"/>
          <w:szCs w:val="24"/>
        </w:rPr>
        <w:t>名</w:t>
      </w:r>
      <w:r>
        <w:rPr>
          <w:sz w:val="24"/>
          <w:szCs w:val="24"/>
        </w:rPr>
        <w:t>称</w:t>
      </w:r>
      <w:r>
        <w:rPr>
          <w:spacing w:val="4"/>
          <w:sz w:val="24"/>
          <w:szCs w:val="24"/>
        </w:rPr>
        <w:t>）</w:t>
      </w:r>
      <w:r>
        <w:rPr>
          <w:spacing w:val="4"/>
          <w:sz w:val="24"/>
          <w:szCs w:val="24"/>
          <w:u w:val="single"/>
        </w:rPr>
        <w:t xml:space="preserve"> </w:t>
      </w:r>
      <w:r>
        <w:rPr>
          <w:spacing w:val="4"/>
          <w:sz w:val="24"/>
          <w:szCs w:val="24"/>
          <w:u w:val="single"/>
        </w:rPr>
        <w:tab/>
      </w:r>
      <w:r>
        <w:rPr>
          <w:spacing w:val="4"/>
          <w:sz w:val="24"/>
          <w:szCs w:val="24"/>
        </w:rPr>
        <w:t>（法</w:t>
      </w:r>
      <w:r>
        <w:rPr>
          <w:sz w:val="24"/>
          <w:szCs w:val="24"/>
        </w:rPr>
        <w:t>定</w:t>
      </w:r>
      <w:r>
        <w:rPr>
          <w:spacing w:val="4"/>
          <w:sz w:val="24"/>
          <w:szCs w:val="24"/>
        </w:rPr>
        <w:t>代</w:t>
      </w:r>
      <w:r>
        <w:rPr>
          <w:sz w:val="24"/>
          <w:szCs w:val="24"/>
        </w:rPr>
        <w:t>表人姓名、职务）授权</w:t>
      </w:r>
      <w:r>
        <w:rPr>
          <w:sz w:val="24"/>
          <w:szCs w:val="24"/>
          <w:u w:val="single"/>
        </w:rPr>
        <w:t xml:space="preserve"> </w:t>
      </w:r>
      <w:r>
        <w:rPr>
          <w:sz w:val="24"/>
          <w:szCs w:val="24"/>
          <w:u w:val="single"/>
        </w:rPr>
        <w:tab/>
      </w:r>
      <w:r>
        <w:rPr>
          <w:sz w:val="24"/>
          <w:szCs w:val="24"/>
        </w:rPr>
        <w:t>（被授权人姓名、职务）为我方</w:t>
      </w:r>
      <w:r>
        <w:rPr>
          <w:spacing w:val="17"/>
          <w:sz w:val="24"/>
          <w:szCs w:val="24"/>
        </w:rPr>
        <w:t xml:space="preserve"> </w:t>
      </w:r>
      <w:r>
        <w:rPr>
          <w:sz w:val="24"/>
          <w:szCs w:val="24"/>
        </w:rPr>
        <w:t>“</w:t>
      </w:r>
      <w:r>
        <w:rPr>
          <w:sz w:val="24"/>
          <w:szCs w:val="24"/>
          <w:u w:val="single"/>
        </w:rPr>
        <w:t xml:space="preserve"> </w:t>
      </w:r>
      <w:r>
        <w:rPr>
          <w:sz w:val="24"/>
          <w:szCs w:val="24"/>
          <w:u w:val="single"/>
        </w:rPr>
        <w:tab/>
      </w:r>
      <w:r>
        <w:rPr>
          <w:sz w:val="24"/>
          <w:szCs w:val="24"/>
        </w:rPr>
        <w:t>”</w:t>
      </w:r>
      <w:r>
        <w:rPr>
          <w:spacing w:val="5"/>
          <w:sz w:val="24"/>
          <w:szCs w:val="24"/>
        </w:rPr>
        <w:t xml:space="preserve"> </w:t>
      </w:r>
      <w:r>
        <w:rPr>
          <w:sz w:val="24"/>
          <w:szCs w:val="24"/>
        </w:rPr>
        <w:t>项</w:t>
      </w:r>
      <w:r>
        <w:rPr>
          <w:spacing w:val="-15"/>
          <w:sz w:val="24"/>
          <w:szCs w:val="24"/>
        </w:rPr>
        <w:t>目</w:t>
      </w:r>
    </w:p>
    <w:p>
      <w:pPr>
        <w:pStyle w:val="18"/>
        <w:tabs>
          <w:tab w:val="left" w:pos="3120"/>
        </w:tabs>
        <w:spacing w:before="1" w:line="360" w:lineRule="auto"/>
        <w:ind w:left="374" w:right="405"/>
        <w:rPr>
          <w:sz w:val="24"/>
          <w:szCs w:val="24"/>
        </w:rPr>
      </w:pPr>
      <w:r>
        <w:rPr>
          <w:spacing w:val="7"/>
          <w:sz w:val="24"/>
          <w:szCs w:val="24"/>
        </w:rPr>
        <w:t>（采</w:t>
      </w:r>
      <w:r>
        <w:rPr>
          <w:spacing w:val="9"/>
          <w:sz w:val="24"/>
          <w:szCs w:val="24"/>
        </w:rPr>
        <w:t>购</w:t>
      </w:r>
      <w:r>
        <w:rPr>
          <w:spacing w:val="7"/>
          <w:sz w:val="24"/>
          <w:szCs w:val="24"/>
        </w:rPr>
        <w:t>项目编号</w:t>
      </w:r>
      <w:r>
        <w:rPr>
          <w:spacing w:val="9"/>
          <w:sz w:val="24"/>
          <w:szCs w:val="24"/>
        </w:rPr>
        <w:t>：</w:t>
      </w:r>
      <w:r>
        <w:rPr>
          <w:spacing w:val="9"/>
          <w:sz w:val="24"/>
          <w:szCs w:val="24"/>
          <w:u w:val="single"/>
        </w:rPr>
        <w:t xml:space="preserve"> </w:t>
      </w:r>
      <w:r>
        <w:rPr>
          <w:spacing w:val="9"/>
          <w:sz w:val="24"/>
          <w:szCs w:val="24"/>
          <w:u w:val="single"/>
        </w:rPr>
        <w:tab/>
      </w:r>
      <w:r>
        <w:rPr>
          <w:spacing w:val="7"/>
          <w:sz w:val="24"/>
          <w:szCs w:val="24"/>
        </w:rPr>
        <w:t>）投</w:t>
      </w:r>
      <w:r>
        <w:rPr>
          <w:spacing w:val="9"/>
          <w:sz w:val="24"/>
          <w:szCs w:val="24"/>
        </w:rPr>
        <w:t>标</w:t>
      </w:r>
      <w:r>
        <w:rPr>
          <w:spacing w:val="7"/>
          <w:sz w:val="24"/>
          <w:szCs w:val="24"/>
        </w:rPr>
        <w:t>活动的合</w:t>
      </w:r>
      <w:r>
        <w:rPr>
          <w:spacing w:val="9"/>
          <w:sz w:val="24"/>
          <w:szCs w:val="24"/>
        </w:rPr>
        <w:t>法</w:t>
      </w:r>
      <w:r>
        <w:rPr>
          <w:spacing w:val="7"/>
          <w:sz w:val="24"/>
          <w:szCs w:val="24"/>
        </w:rPr>
        <w:t>代表，以</w:t>
      </w:r>
      <w:r>
        <w:rPr>
          <w:spacing w:val="9"/>
          <w:sz w:val="24"/>
          <w:szCs w:val="24"/>
        </w:rPr>
        <w:t>我</w:t>
      </w:r>
      <w:r>
        <w:rPr>
          <w:spacing w:val="7"/>
          <w:sz w:val="24"/>
          <w:szCs w:val="24"/>
        </w:rPr>
        <w:t>方名义全</w:t>
      </w:r>
      <w:r>
        <w:rPr>
          <w:spacing w:val="9"/>
          <w:sz w:val="24"/>
          <w:szCs w:val="24"/>
        </w:rPr>
        <w:t>权</w:t>
      </w:r>
      <w:r>
        <w:rPr>
          <w:spacing w:val="7"/>
          <w:sz w:val="24"/>
          <w:szCs w:val="24"/>
        </w:rPr>
        <w:t>处理该</w:t>
      </w:r>
      <w:r>
        <w:rPr>
          <w:spacing w:val="9"/>
          <w:sz w:val="24"/>
          <w:szCs w:val="24"/>
        </w:rPr>
        <w:t>项</w:t>
      </w:r>
      <w:r>
        <w:rPr>
          <w:spacing w:val="7"/>
          <w:sz w:val="24"/>
          <w:szCs w:val="24"/>
        </w:rPr>
        <w:t>目有关</w:t>
      </w:r>
      <w:r>
        <w:rPr>
          <w:spacing w:val="-10"/>
          <w:sz w:val="24"/>
          <w:szCs w:val="24"/>
        </w:rPr>
        <w:t>投</w:t>
      </w:r>
      <w:r>
        <w:rPr>
          <w:sz w:val="24"/>
          <w:szCs w:val="24"/>
        </w:rPr>
        <w:t>标、签订合同以及执行合同等一切事宜。</w:t>
      </w:r>
    </w:p>
    <w:p>
      <w:pPr>
        <w:pStyle w:val="18"/>
        <w:spacing w:before="122" w:line="360" w:lineRule="auto"/>
        <w:ind w:left="374"/>
        <w:rPr>
          <w:sz w:val="24"/>
          <w:szCs w:val="24"/>
        </w:rPr>
      </w:pPr>
      <w:r>
        <w:rPr>
          <w:sz w:val="24"/>
          <w:szCs w:val="24"/>
        </w:rPr>
        <w:t>特此声明。</w:t>
      </w:r>
    </w:p>
    <w:p>
      <w:pPr>
        <w:pStyle w:val="18"/>
      </w:pPr>
    </w:p>
    <w:p>
      <w:pPr>
        <w:pStyle w:val="18"/>
      </w:pPr>
    </w:p>
    <w:p>
      <w:pPr>
        <w:pStyle w:val="18"/>
        <w:rPr>
          <w:sz w:val="29"/>
        </w:rPr>
      </w:pPr>
    </w:p>
    <w:p>
      <w:pPr>
        <w:pStyle w:val="18"/>
        <w:spacing w:line="360" w:lineRule="auto"/>
        <w:ind w:left="374" w:right="3225"/>
        <w:rPr>
          <w:rFonts w:ascii="宋体" w:hAnsi="宋体" w:cs="宋体"/>
          <w:sz w:val="24"/>
          <w:szCs w:val="24"/>
        </w:rPr>
      </w:pPr>
      <w:r>
        <w:rPr>
          <w:rFonts w:hint="eastAsia" w:ascii="宋体" w:hAnsi="宋体" w:cs="宋体"/>
          <w:sz w:val="24"/>
          <w:szCs w:val="24"/>
        </w:rPr>
        <w:t>法定代表人（委托人）签字或者加盖个人名章：</w:t>
      </w:r>
    </w:p>
    <w:p>
      <w:pPr>
        <w:pStyle w:val="18"/>
        <w:spacing w:line="360" w:lineRule="auto"/>
        <w:ind w:right="3225" w:firstLine="240" w:firstLineChars="100"/>
        <w:rPr>
          <w:rFonts w:ascii="宋体" w:hAnsi="宋体" w:cs="宋体"/>
          <w:sz w:val="24"/>
          <w:szCs w:val="24"/>
        </w:rPr>
      </w:pPr>
      <w:r>
        <w:rPr>
          <w:rFonts w:hint="eastAsia" w:ascii="宋体" w:hAnsi="宋体" w:cs="宋体"/>
          <w:sz w:val="24"/>
          <w:szCs w:val="24"/>
        </w:rPr>
        <w:t xml:space="preserve"> 授权代表（被授权人）签字：</w:t>
      </w:r>
    </w:p>
    <w:p>
      <w:pPr>
        <w:pStyle w:val="18"/>
        <w:tabs>
          <w:tab w:val="left" w:pos="1092"/>
          <w:tab w:val="left" w:pos="2532"/>
        </w:tabs>
        <w:spacing w:before="1" w:line="360" w:lineRule="auto"/>
        <w:ind w:left="374" w:right="3760"/>
        <w:rPr>
          <w:rFonts w:ascii="宋体" w:hAnsi="宋体" w:cs="宋体"/>
          <w:spacing w:val="-17"/>
          <w:sz w:val="24"/>
          <w:szCs w:val="24"/>
        </w:rPr>
      </w:pPr>
      <w:r>
        <w:rPr>
          <w:rFonts w:hint="eastAsia" w:ascii="宋体" w:hAnsi="宋体" w:cs="宋体"/>
          <w:sz w:val="24"/>
          <w:szCs w:val="24"/>
        </w:rPr>
        <w:t>投标人名称：</w:t>
      </w:r>
      <w:r>
        <w:rPr>
          <w:rFonts w:hint="eastAsia" w:ascii="宋体" w:hAnsi="宋体" w:cs="宋体"/>
          <w:sz w:val="24"/>
          <w:szCs w:val="24"/>
        </w:rPr>
        <w:tab/>
      </w:r>
      <w:r>
        <w:rPr>
          <w:rFonts w:hint="eastAsia" w:ascii="宋体" w:hAnsi="宋体" w:cs="宋体"/>
          <w:sz w:val="24"/>
          <w:szCs w:val="24"/>
        </w:rPr>
        <w:t xml:space="preserve">     （单位盖章）</w:t>
      </w:r>
      <w:r>
        <w:rPr>
          <w:rFonts w:hint="eastAsia" w:ascii="宋体" w:hAnsi="宋体" w:cs="宋体"/>
          <w:spacing w:val="-17"/>
          <w:sz w:val="24"/>
          <w:szCs w:val="24"/>
        </w:rPr>
        <w:t>。</w:t>
      </w:r>
    </w:p>
    <w:p>
      <w:pPr>
        <w:pStyle w:val="18"/>
        <w:tabs>
          <w:tab w:val="left" w:pos="1092"/>
          <w:tab w:val="left" w:pos="2532"/>
        </w:tabs>
        <w:spacing w:before="1" w:line="360" w:lineRule="auto"/>
        <w:ind w:left="374" w:right="5745"/>
      </w:pPr>
      <w:r>
        <w:rPr>
          <w:rFonts w:hint="eastAsia" w:ascii="宋体" w:hAnsi="宋体" w:cs="宋体"/>
          <w:sz w:val="24"/>
          <w:szCs w:val="24"/>
        </w:rPr>
        <w:t>日</w:t>
      </w:r>
      <w:r>
        <w:rPr>
          <w:rFonts w:hint="eastAsia" w:ascii="宋体" w:hAnsi="宋体" w:cs="宋体"/>
          <w:sz w:val="24"/>
          <w:szCs w:val="24"/>
        </w:rPr>
        <w:tab/>
      </w:r>
      <w:r>
        <w:rPr>
          <w:rFonts w:hint="eastAsia" w:ascii="宋体" w:hAnsi="宋体" w:cs="宋体"/>
          <w:sz w:val="24"/>
          <w:szCs w:val="24"/>
        </w:rPr>
        <w:t>期：</w:t>
      </w:r>
    </w:p>
    <w:p>
      <w:pPr>
        <w:pStyle w:val="18"/>
        <w:spacing w:before="6"/>
        <w:rPr>
          <w:sz w:val="19"/>
        </w:rPr>
      </w:pPr>
    </w:p>
    <w:p>
      <w:pPr>
        <w:pStyle w:val="8"/>
        <w:numPr>
          <w:ilvl w:val="5"/>
          <w:numId w:val="0"/>
        </w:numPr>
        <w:spacing w:line="242" w:lineRule="auto"/>
        <w:ind w:right="369"/>
      </w:pPr>
      <w:r>
        <w:rPr>
          <w:rFonts w:ascii="Calibri" w:hAnsi="Calibri"/>
          <w:bCs w:val="0"/>
          <w:kern w:val="2"/>
          <w:sz w:val="24"/>
          <w:szCs w:val="22"/>
        </w:rPr>
        <w:t>注：1、投标人为法人单位时提供“法定代表人授权书”，投标人为其他组织时提供  “单位负责人授权书”，投标人为自然人时提供“自然人身份证明材料”。</w:t>
      </w:r>
    </w:p>
    <w:p>
      <w:pPr>
        <w:spacing w:before="120" w:line="242" w:lineRule="auto"/>
        <w:ind w:left="615" w:right="371"/>
        <w:jc w:val="left"/>
        <w:rPr>
          <w:b/>
          <w:sz w:val="24"/>
        </w:rPr>
      </w:pPr>
      <w:r>
        <w:rPr>
          <w:b/>
          <w:sz w:val="24"/>
        </w:rPr>
        <w:t>2、应附法定代表人/单位负责人身份证或护照（提供在有效期内复印件或影印件，正反面齐全，加盖投标人鲜章）。</w:t>
      </w:r>
    </w:p>
    <w:p>
      <w:pPr>
        <w:spacing w:before="123" w:line="242" w:lineRule="auto"/>
        <w:ind w:left="615" w:right="371"/>
        <w:jc w:val="left"/>
        <w:rPr>
          <w:sz w:val="24"/>
        </w:rPr>
        <w:sectPr>
          <w:pgSz w:w="11900" w:h="16840"/>
          <w:pgMar w:top="1463" w:right="1440" w:bottom="1803" w:left="1440" w:header="0" w:footer="966" w:gutter="0"/>
          <w:cols w:space="720" w:num="1"/>
        </w:sectPr>
      </w:pPr>
      <w:r>
        <w:rPr>
          <w:b/>
          <w:w w:val="95"/>
          <w:sz w:val="24"/>
        </w:rPr>
        <w:t xml:space="preserve">3、应附授权代表身份证或护照（提供在有效期内复印件或影印件，正反面齐全，加  </w:t>
      </w:r>
      <w:r>
        <w:rPr>
          <w:b/>
          <w:sz w:val="24"/>
        </w:rPr>
        <w:t>盖投标人鲜章）</w:t>
      </w:r>
    </w:p>
    <w:p>
      <w:pPr>
        <w:rPr>
          <w:b/>
          <w:sz w:val="28"/>
          <w:szCs w:val="28"/>
        </w:rPr>
      </w:pPr>
      <w:r>
        <w:rPr>
          <w:b/>
          <w:bCs/>
          <w:sz w:val="28"/>
          <w:szCs w:val="28"/>
        </w:rPr>
        <w:t>格式四：</w:t>
      </w:r>
      <w:r>
        <w:rPr>
          <w:rFonts w:hint="eastAsia"/>
        </w:rPr>
        <w:t xml:space="preserve">         </w:t>
      </w:r>
      <w:r>
        <w:rPr>
          <w:rFonts w:hint="eastAsia"/>
          <w:b/>
          <w:sz w:val="32"/>
        </w:rPr>
        <w:t xml:space="preserve"> </w:t>
      </w:r>
      <w:r>
        <w:rPr>
          <w:rFonts w:hint="eastAsia"/>
          <w:b/>
          <w:sz w:val="28"/>
          <w:szCs w:val="28"/>
        </w:rPr>
        <w:t>三、</w:t>
      </w:r>
      <w:r>
        <w:rPr>
          <w:b/>
          <w:sz w:val="28"/>
          <w:szCs w:val="28"/>
        </w:rPr>
        <w:t>法定代表人</w:t>
      </w:r>
      <w:r>
        <w:rPr>
          <w:rFonts w:hint="eastAsia"/>
          <w:b/>
          <w:sz w:val="28"/>
          <w:szCs w:val="28"/>
        </w:rPr>
        <w:t>身份</w:t>
      </w:r>
      <w:r>
        <w:rPr>
          <w:b/>
          <w:sz w:val="28"/>
          <w:szCs w:val="28"/>
        </w:rPr>
        <w:t>证明书</w:t>
      </w:r>
    </w:p>
    <w:p>
      <w:pPr>
        <w:pStyle w:val="18"/>
        <w:rPr>
          <w:b/>
          <w:sz w:val="20"/>
        </w:rPr>
      </w:pPr>
    </w:p>
    <w:p>
      <w:pPr>
        <w:pStyle w:val="18"/>
        <w:rPr>
          <w:b/>
          <w:sz w:val="20"/>
        </w:rPr>
      </w:pPr>
    </w:p>
    <w:tbl>
      <w:tblPr>
        <w:tblStyle w:val="44"/>
        <w:tblW w:w="0" w:type="auto"/>
        <w:tblInd w:w="330" w:type="dxa"/>
        <w:tblLayout w:type="fixed"/>
        <w:tblCellMar>
          <w:top w:w="0" w:type="dxa"/>
          <w:left w:w="0" w:type="dxa"/>
          <w:bottom w:w="0" w:type="dxa"/>
          <w:right w:w="0" w:type="dxa"/>
        </w:tblCellMar>
      </w:tblPr>
      <w:tblGrid>
        <w:gridCol w:w="1730"/>
        <w:gridCol w:w="1440"/>
        <w:gridCol w:w="4850"/>
      </w:tblGrid>
      <w:tr>
        <w:tblPrEx>
          <w:tblCellMar>
            <w:top w:w="0" w:type="dxa"/>
            <w:left w:w="0" w:type="dxa"/>
            <w:bottom w:w="0" w:type="dxa"/>
            <w:right w:w="0" w:type="dxa"/>
          </w:tblCellMar>
        </w:tblPrEx>
        <w:trPr>
          <w:trHeight w:val="336" w:hRule="atLeast"/>
        </w:trPr>
        <w:tc>
          <w:tcPr>
            <w:tcW w:w="1730" w:type="dxa"/>
          </w:tcPr>
          <w:p>
            <w:pPr>
              <w:pStyle w:val="208"/>
              <w:spacing w:line="360" w:lineRule="auto"/>
              <w:ind w:left="50"/>
              <w:rPr>
                <w:sz w:val="24"/>
                <w:szCs w:val="24"/>
              </w:rPr>
            </w:pPr>
            <w:r>
              <w:rPr>
                <w:sz w:val="24"/>
                <w:szCs w:val="24"/>
              </w:rPr>
              <w:t>投标人名称：</w:t>
            </w:r>
          </w:p>
        </w:tc>
        <w:tc>
          <w:tcPr>
            <w:tcW w:w="6290" w:type="dxa"/>
            <w:gridSpan w:val="2"/>
          </w:tcPr>
          <w:p>
            <w:pPr>
              <w:pStyle w:val="208"/>
              <w:spacing w:line="360" w:lineRule="auto"/>
              <w:rPr>
                <w:rFonts w:ascii="Times New Roman"/>
                <w:sz w:val="24"/>
                <w:szCs w:val="24"/>
              </w:rPr>
            </w:pPr>
          </w:p>
        </w:tc>
      </w:tr>
      <w:tr>
        <w:tblPrEx>
          <w:tblCellMar>
            <w:top w:w="0" w:type="dxa"/>
            <w:left w:w="0" w:type="dxa"/>
            <w:bottom w:w="0" w:type="dxa"/>
            <w:right w:w="0" w:type="dxa"/>
          </w:tblCellMar>
        </w:tblPrEx>
        <w:trPr>
          <w:trHeight w:val="430" w:hRule="atLeast"/>
        </w:trPr>
        <w:tc>
          <w:tcPr>
            <w:tcW w:w="1730" w:type="dxa"/>
          </w:tcPr>
          <w:p>
            <w:pPr>
              <w:pStyle w:val="208"/>
              <w:spacing w:before="62" w:line="360" w:lineRule="auto"/>
              <w:ind w:left="50"/>
              <w:rPr>
                <w:sz w:val="24"/>
                <w:szCs w:val="24"/>
              </w:rPr>
            </w:pPr>
            <w:r>
              <w:rPr>
                <w:sz w:val="24"/>
                <w:szCs w:val="24"/>
              </w:rPr>
              <w:t>成立时间：</w:t>
            </w:r>
          </w:p>
        </w:tc>
        <w:tc>
          <w:tcPr>
            <w:tcW w:w="1440" w:type="dxa"/>
          </w:tcPr>
          <w:p>
            <w:pPr>
              <w:pStyle w:val="208"/>
              <w:tabs>
                <w:tab w:val="left" w:pos="719"/>
              </w:tabs>
              <w:spacing w:before="62" w:line="360" w:lineRule="auto"/>
              <w:ind w:right="239"/>
              <w:jc w:val="right"/>
              <w:rPr>
                <w:sz w:val="24"/>
                <w:szCs w:val="24"/>
              </w:rPr>
            </w:pPr>
            <w:r>
              <w:rPr>
                <w:sz w:val="24"/>
                <w:szCs w:val="24"/>
              </w:rPr>
              <w:t>年</w:t>
            </w:r>
            <w:r>
              <w:rPr>
                <w:sz w:val="24"/>
                <w:szCs w:val="24"/>
              </w:rPr>
              <w:tab/>
            </w:r>
            <w:r>
              <w:rPr>
                <w:sz w:val="24"/>
                <w:szCs w:val="24"/>
              </w:rPr>
              <w:t>月</w:t>
            </w:r>
          </w:p>
        </w:tc>
        <w:tc>
          <w:tcPr>
            <w:tcW w:w="4850" w:type="dxa"/>
          </w:tcPr>
          <w:p>
            <w:pPr>
              <w:pStyle w:val="208"/>
              <w:spacing w:before="62" w:line="360" w:lineRule="auto"/>
              <w:ind w:left="240"/>
              <w:rPr>
                <w:sz w:val="24"/>
                <w:szCs w:val="24"/>
              </w:rPr>
            </w:pPr>
            <w:r>
              <w:rPr>
                <w:sz w:val="24"/>
                <w:szCs w:val="24"/>
              </w:rPr>
              <w:t>日</w:t>
            </w:r>
          </w:p>
        </w:tc>
      </w:tr>
      <w:tr>
        <w:tblPrEx>
          <w:tblCellMar>
            <w:top w:w="0" w:type="dxa"/>
            <w:left w:w="0" w:type="dxa"/>
            <w:bottom w:w="0" w:type="dxa"/>
            <w:right w:w="0" w:type="dxa"/>
          </w:tblCellMar>
        </w:tblPrEx>
        <w:trPr>
          <w:trHeight w:val="430" w:hRule="atLeast"/>
        </w:trPr>
        <w:tc>
          <w:tcPr>
            <w:tcW w:w="1730" w:type="dxa"/>
          </w:tcPr>
          <w:p>
            <w:pPr>
              <w:pStyle w:val="208"/>
              <w:spacing w:before="61" w:line="360" w:lineRule="auto"/>
              <w:ind w:left="50"/>
              <w:rPr>
                <w:sz w:val="24"/>
                <w:szCs w:val="24"/>
              </w:rPr>
            </w:pPr>
            <w:r>
              <w:rPr>
                <w:sz w:val="24"/>
                <w:szCs w:val="24"/>
              </w:rPr>
              <w:t>经营期限：</w:t>
            </w:r>
          </w:p>
        </w:tc>
        <w:tc>
          <w:tcPr>
            <w:tcW w:w="1440" w:type="dxa"/>
          </w:tcPr>
          <w:p>
            <w:pPr>
              <w:pStyle w:val="208"/>
              <w:spacing w:line="360" w:lineRule="auto"/>
              <w:rPr>
                <w:rFonts w:ascii="Times New Roman"/>
                <w:sz w:val="24"/>
                <w:szCs w:val="24"/>
              </w:rPr>
            </w:pPr>
          </w:p>
        </w:tc>
        <w:tc>
          <w:tcPr>
            <w:tcW w:w="4850" w:type="dxa"/>
          </w:tcPr>
          <w:p>
            <w:pPr>
              <w:pStyle w:val="208"/>
              <w:spacing w:line="360" w:lineRule="auto"/>
              <w:rPr>
                <w:rFonts w:ascii="Times New Roman"/>
                <w:sz w:val="24"/>
                <w:szCs w:val="24"/>
              </w:rPr>
            </w:pPr>
          </w:p>
        </w:tc>
      </w:tr>
      <w:tr>
        <w:tblPrEx>
          <w:tblCellMar>
            <w:top w:w="0" w:type="dxa"/>
            <w:left w:w="0" w:type="dxa"/>
            <w:bottom w:w="0" w:type="dxa"/>
            <w:right w:w="0" w:type="dxa"/>
          </w:tblCellMar>
        </w:tblPrEx>
        <w:trPr>
          <w:trHeight w:val="431" w:hRule="atLeast"/>
        </w:trPr>
        <w:tc>
          <w:tcPr>
            <w:tcW w:w="1730" w:type="dxa"/>
          </w:tcPr>
          <w:p>
            <w:pPr>
              <w:pStyle w:val="208"/>
              <w:spacing w:before="62" w:line="360" w:lineRule="auto"/>
              <w:ind w:left="50"/>
              <w:rPr>
                <w:sz w:val="24"/>
                <w:szCs w:val="24"/>
              </w:rPr>
            </w:pPr>
            <w:r>
              <w:rPr>
                <w:sz w:val="24"/>
                <w:szCs w:val="24"/>
              </w:rPr>
              <w:t>姓名：</w:t>
            </w:r>
          </w:p>
        </w:tc>
        <w:tc>
          <w:tcPr>
            <w:tcW w:w="1440" w:type="dxa"/>
          </w:tcPr>
          <w:p>
            <w:pPr>
              <w:pStyle w:val="208"/>
              <w:spacing w:before="62" w:line="360" w:lineRule="auto"/>
              <w:ind w:right="239"/>
              <w:jc w:val="right"/>
              <w:rPr>
                <w:sz w:val="24"/>
                <w:szCs w:val="24"/>
              </w:rPr>
            </w:pPr>
            <w:r>
              <w:rPr>
                <w:sz w:val="24"/>
                <w:szCs w:val="24"/>
              </w:rPr>
              <w:t>性别：</w:t>
            </w:r>
          </w:p>
        </w:tc>
        <w:tc>
          <w:tcPr>
            <w:tcW w:w="4850" w:type="dxa"/>
          </w:tcPr>
          <w:p>
            <w:pPr>
              <w:pStyle w:val="208"/>
              <w:tabs>
                <w:tab w:val="left" w:pos="1439"/>
              </w:tabs>
              <w:spacing w:before="62" w:line="360" w:lineRule="auto"/>
              <w:ind w:left="360"/>
              <w:rPr>
                <w:sz w:val="24"/>
                <w:szCs w:val="24"/>
              </w:rPr>
            </w:pPr>
            <w:r>
              <w:rPr>
                <w:sz w:val="24"/>
                <w:szCs w:val="24"/>
              </w:rPr>
              <w:t>年龄：</w:t>
            </w:r>
            <w:r>
              <w:rPr>
                <w:sz w:val="24"/>
                <w:szCs w:val="24"/>
              </w:rPr>
              <w:tab/>
            </w:r>
            <w:r>
              <w:rPr>
                <w:sz w:val="24"/>
                <w:szCs w:val="24"/>
              </w:rPr>
              <w:t>职务：</w:t>
            </w:r>
          </w:p>
        </w:tc>
      </w:tr>
      <w:tr>
        <w:tblPrEx>
          <w:tblCellMar>
            <w:top w:w="0" w:type="dxa"/>
            <w:left w:w="0" w:type="dxa"/>
            <w:bottom w:w="0" w:type="dxa"/>
            <w:right w:w="0" w:type="dxa"/>
          </w:tblCellMar>
        </w:tblPrEx>
        <w:trPr>
          <w:trHeight w:val="430" w:hRule="atLeast"/>
        </w:trPr>
        <w:tc>
          <w:tcPr>
            <w:tcW w:w="1730" w:type="dxa"/>
          </w:tcPr>
          <w:p>
            <w:pPr>
              <w:pStyle w:val="208"/>
              <w:spacing w:before="62" w:line="360" w:lineRule="auto"/>
              <w:ind w:left="50"/>
              <w:rPr>
                <w:sz w:val="24"/>
                <w:szCs w:val="24"/>
              </w:rPr>
            </w:pPr>
            <w:r>
              <w:rPr>
                <w:sz w:val="24"/>
                <w:szCs w:val="24"/>
              </w:rPr>
              <w:t>系</w:t>
            </w:r>
          </w:p>
        </w:tc>
        <w:tc>
          <w:tcPr>
            <w:tcW w:w="1440" w:type="dxa"/>
          </w:tcPr>
          <w:p>
            <w:pPr>
              <w:pStyle w:val="208"/>
              <w:spacing w:line="360" w:lineRule="auto"/>
              <w:rPr>
                <w:rFonts w:ascii="Times New Roman"/>
                <w:sz w:val="24"/>
                <w:szCs w:val="24"/>
              </w:rPr>
            </w:pPr>
          </w:p>
        </w:tc>
        <w:tc>
          <w:tcPr>
            <w:tcW w:w="4850" w:type="dxa"/>
          </w:tcPr>
          <w:p>
            <w:pPr>
              <w:pStyle w:val="208"/>
              <w:spacing w:before="62" w:line="360" w:lineRule="auto"/>
              <w:ind w:left="360"/>
              <w:rPr>
                <w:sz w:val="24"/>
                <w:szCs w:val="24"/>
              </w:rPr>
            </w:pPr>
            <w:r>
              <w:rPr>
                <w:sz w:val="24"/>
                <w:szCs w:val="24"/>
              </w:rPr>
              <w:t>（投标人名称）的法定代表人</w:t>
            </w:r>
            <w:r>
              <w:rPr>
                <w:rFonts w:hint="eastAsia"/>
                <w:sz w:val="24"/>
                <w:szCs w:val="24"/>
              </w:rPr>
              <w:t>。</w:t>
            </w:r>
          </w:p>
        </w:tc>
      </w:tr>
      <w:tr>
        <w:tblPrEx>
          <w:tblCellMar>
            <w:top w:w="0" w:type="dxa"/>
            <w:left w:w="0" w:type="dxa"/>
            <w:bottom w:w="0" w:type="dxa"/>
            <w:right w:w="0" w:type="dxa"/>
          </w:tblCellMar>
        </w:tblPrEx>
        <w:trPr>
          <w:trHeight w:val="334" w:hRule="atLeast"/>
        </w:trPr>
        <w:tc>
          <w:tcPr>
            <w:tcW w:w="1730" w:type="dxa"/>
          </w:tcPr>
          <w:p>
            <w:pPr>
              <w:pStyle w:val="208"/>
              <w:spacing w:before="61" w:line="360" w:lineRule="auto"/>
              <w:ind w:left="50"/>
              <w:rPr>
                <w:sz w:val="24"/>
                <w:szCs w:val="24"/>
              </w:rPr>
            </w:pPr>
            <w:r>
              <w:rPr>
                <w:sz w:val="24"/>
                <w:szCs w:val="24"/>
              </w:rPr>
              <w:t>特此证明。</w:t>
            </w:r>
          </w:p>
        </w:tc>
        <w:tc>
          <w:tcPr>
            <w:tcW w:w="1440" w:type="dxa"/>
          </w:tcPr>
          <w:p>
            <w:pPr>
              <w:pStyle w:val="208"/>
              <w:spacing w:line="360" w:lineRule="auto"/>
              <w:rPr>
                <w:rFonts w:ascii="Times New Roman"/>
                <w:sz w:val="24"/>
                <w:szCs w:val="24"/>
              </w:rPr>
            </w:pPr>
          </w:p>
        </w:tc>
        <w:tc>
          <w:tcPr>
            <w:tcW w:w="4850" w:type="dxa"/>
          </w:tcPr>
          <w:p>
            <w:pPr>
              <w:pStyle w:val="208"/>
              <w:spacing w:line="360" w:lineRule="auto"/>
              <w:rPr>
                <w:rFonts w:ascii="Times New Roman"/>
                <w:sz w:val="24"/>
                <w:szCs w:val="24"/>
              </w:rPr>
            </w:pPr>
          </w:p>
        </w:tc>
      </w:tr>
    </w:tbl>
    <w:p>
      <w:pPr>
        <w:pStyle w:val="18"/>
        <w:spacing w:line="360" w:lineRule="auto"/>
        <w:rPr>
          <w:b/>
          <w:sz w:val="24"/>
          <w:szCs w:val="24"/>
        </w:rPr>
      </w:pPr>
    </w:p>
    <w:p>
      <w:pPr>
        <w:pStyle w:val="18"/>
        <w:spacing w:line="360" w:lineRule="auto"/>
        <w:rPr>
          <w:b/>
          <w:sz w:val="24"/>
          <w:szCs w:val="24"/>
        </w:rPr>
      </w:pPr>
    </w:p>
    <w:p>
      <w:pPr>
        <w:pStyle w:val="18"/>
        <w:spacing w:line="360" w:lineRule="auto"/>
        <w:rPr>
          <w:b/>
          <w:sz w:val="24"/>
          <w:szCs w:val="24"/>
        </w:rPr>
      </w:pPr>
    </w:p>
    <w:p>
      <w:pPr>
        <w:pStyle w:val="18"/>
        <w:spacing w:before="7" w:line="360" w:lineRule="auto"/>
        <w:rPr>
          <w:b/>
          <w:sz w:val="24"/>
          <w:szCs w:val="24"/>
        </w:rPr>
      </w:pPr>
    </w:p>
    <w:p>
      <w:pPr>
        <w:pStyle w:val="18"/>
        <w:spacing w:before="67" w:line="360" w:lineRule="auto"/>
        <w:ind w:left="372" w:right="6345"/>
        <w:rPr>
          <w:sz w:val="24"/>
          <w:szCs w:val="24"/>
        </w:rPr>
      </w:pPr>
      <w:r>
        <w:rPr>
          <w:sz w:val="24"/>
          <w:szCs w:val="24"/>
        </w:rPr>
        <w:t xml:space="preserve">投标人名称： </w:t>
      </w:r>
      <w:r>
        <w:rPr>
          <w:rFonts w:hint="eastAsia"/>
          <w:sz w:val="24"/>
          <w:szCs w:val="24"/>
        </w:rPr>
        <w:t xml:space="preserve">    </w:t>
      </w:r>
      <w:r>
        <w:rPr>
          <w:sz w:val="24"/>
          <w:szCs w:val="24"/>
        </w:rPr>
        <w:t>（单位公章）。</w:t>
      </w:r>
    </w:p>
    <w:p>
      <w:pPr>
        <w:pStyle w:val="18"/>
        <w:spacing w:before="67" w:line="360" w:lineRule="auto"/>
        <w:ind w:left="372" w:right="6345"/>
        <w:rPr>
          <w:sz w:val="24"/>
          <w:szCs w:val="24"/>
        </w:rPr>
      </w:pPr>
      <w:r>
        <w:rPr>
          <w:sz w:val="24"/>
          <w:szCs w:val="24"/>
        </w:rPr>
        <w:t>日 期：</w:t>
      </w:r>
    </w:p>
    <w:p>
      <w:pPr>
        <w:pStyle w:val="18"/>
        <w:spacing w:line="360" w:lineRule="auto"/>
        <w:rPr>
          <w:sz w:val="24"/>
          <w:szCs w:val="24"/>
        </w:rPr>
      </w:pPr>
    </w:p>
    <w:p>
      <w:pPr>
        <w:pStyle w:val="18"/>
      </w:pPr>
    </w:p>
    <w:p>
      <w:pPr>
        <w:pStyle w:val="18"/>
        <w:spacing w:before="3"/>
        <w:rPr>
          <w:sz w:val="19"/>
        </w:rPr>
      </w:pPr>
    </w:p>
    <w:p>
      <w:pPr>
        <w:pStyle w:val="18"/>
        <w:spacing w:before="1"/>
        <w:ind w:left="372"/>
      </w:pPr>
      <w:r>
        <w:t>注：</w:t>
      </w:r>
    </w:p>
    <w:p>
      <w:pPr>
        <w:pStyle w:val="8"/>
        <w:numPr>
          <w:ilvl w:val="5"/>
          <w:numId w:val="0"/>
        </w:numPr>
        <w:spacing w:before="124"/>
        <w:ind w:left="-762" w:firstLine="1145" w:firstLineChars="500"/>
        <w:rPr>
          <w:rFonts w:ascii="Calibri" w:hAnsi="Calibri"/>
          <w:bCs w:val="0"/>
          <w:w w:val="95"/>
          <w:kern w:val="2"/>
          <w:sz w:val="24"/>
          <w:szCs w:val="22"/>
        </w:rPr>
      </w:pPr>
      <w:r>
        <w:rPr>
          <w:rFonts w:ascii="Calibri" w:hAnsi="Calibri"/>
          <w:bCs w:val="0"/>
          <w:w w:val="95"/>
          <w:kern w:val="2"/>
          <w:sz w:val="24"/>
          <w:szCs w:val="22"/>
        </w:rPr>
        <w:t>1、法定代表人/单位负责人直接参与投标并签署投标文件时才须提供；</w:t>
      </w:r>
    </w:p>
    <w:p>
      <w:pPr>
        <w:spacing w:before="122" w:line="242" w:lineRule="auto"/>
        <w:ind w:left="372" w:right="369"/>
        <w:rPr>
          <w:b/>
          <w:sz w:val="24"/>
        </w:rPr>
      </w:pPr>
      <w:r>
        <w:rPr>
          <w:b/>
          <w:w w:val="95"/>
          <w:sz w:val="24"/>
        </w:rPr>
        <w:t xml:space="preserve">2、应附法定代表人/单位负责人身份证（提供在有效期内复印件或影印件，正反面齐  </w:t>
      </w:r>
      <w:r>
        <w:rPr>
          <w:b/>
          <w:sz w:val="24"/>
        </w:rPr>
        <w:t>全，加盖投标人鲜章）或护照（投标人的法定代表人为外籍人士的，则提供护照复印件或影印件）时才能生效。</w:t>
      </w:r>
    </w:p>
    <w:p>
      <w:pPr>
        <w:spacing w:line="242" w:lineRule="auto"/>
        <w:rPr>
          <w:sz w:val="24"/>
        </w:rPr>
        <w:sectPr>
          <w:pgSz w:w="11900" w:h="16840"/>
          <w:pgMar w:top="1600" w:right="1180" w:bottom="1160" w:left="760" w:header="0" w:footer="966" w:gutter="0"/>
          <w:cols w:space="720" w:num="1"/>
        </w:sectPr>
      </w:pPr>
    </w:p>
    <w:p>
      <w:pPr>
        <w:pStyle w:val="2"/>
        <w:jc w:val="left"/>
        <w:rPr>
          <w:rFonts w:ascii="宋体" w:hAnsi="宋体" w:eastAsia="宋体"/>
          <w:b/>
          <w:bCs/>
          <w:color w:val="auto"/>
          <w:kern w:val="2"/>
          <w:sz w:val="28"/>
          <w:szCs w:val="28"/>
        </w:rPr>
      </w:pPr>
      <w:r>
        <w:rPr>
          <w:rFonts w:hint="eastAsia" w:ascii="宋体" w:hAnsi="宋体"/>
          <w:b/>
          <w:bCs/>
          <w:sz w:val="28"/>
          <w:szCs w:val="28"/>
        </w:rPr>
        <w:t xml:space="preserve">格式五： </w:t>
      </w:r>
      <w:r>
        <w:rPr>
          <w:rFonts w:hint="eastAsia"/>
          <w:b/>
          <w:bCs/>
          <w:sz w:val="28"/>
          <w:szCs w:val="28"/>
        </w:rPr>
        <w:t xml:space="preserve">    </w:t>
      </w:r>
      <w:r>
        <w:rPr>
          <w:rFonts w:hint="eastAsia" w:eastAsia="宋体"/>
          <w:b/>
          <w:bCs/>
          <w:sz w:val="28"/>
          <w:szCs w:val="28"/>
          <w:lang w:val="en-US" w:eastAsia="zh-CN"/>
        </w:rPr>
        <w:t>四</w:t>
      </w:r>
      <w:r>
        <w:rPr>
          <w:rFonts w:hint="eastAsia" w:ascii="宋体" w:hAnsi="宋体" w:eastAsia="宋体"/>
          <w:b/>
          <w:bCs/>
          <w:color w:val="auto"/>
          <w:kern w:val="2"/>
          <w:sz w:val="28"/>
          <w:szCs w:val="28"/>
        </w:rPr>
        <w:t>、</w:t>
      </w:r>
      <w:r>
        <w:rPr>
          <w:rFonts w:ascii="宋体" w:hAnsi="宋体" w:eastAsia="宋体"/>
          <w:b/>
          <w:bCs/>
          <w:color w:val="auto"/>
          <w:kern w:val="2"/>
          <w:sz w:val="28"/>
          <w:szCs w:val="28"/>
        </w:rPr>
        <w:t>中小企业声明函</w:t>
      </w:r>
    </w:p>
    <w:p>
      <w:pPr>
        <w:pStyle w:val="18"/>
        <w:spacing w:before="10"/>
        <w:rPr>
          <w:b/>
          <w:sz w:val="23"/>
        </w:rPr>
      </w:pPr>
    </w:p>
    <w:p>
      <w:pPr>
        <w:pStyle w:val="18"/>
        <w:tabs>
          <w:tab w:val="left" w:pos="5488"/>
          <w:tab w:val="left" w:pos="8248"/>
        </w:tabs>
        <w:spacing w:before="67" w:line="360" w:lineRule="auto"/>
        <w:ind w:left="329" w:right="516" w:firstLine="958"/>
        <w:rPr>
          <w:sz w:val="24"/>
          <w:szCs w:val="24"/>
        </w:rPr>
      </w:pPr>
      <w:r>
        <w:rPr>
          <w:sz w:val="24"/>
          <w:szCs w:val="24"/>
        </w:rPr>
        <w:t>本公司郑重声明，根据《政府采购促进中小企业发展管理办法》（财库</w:t>
      </w:r>
      <w:r>
        <w:rPr>
          <w:spacing w:val="-17"/>
          <w:sz w:val="24"/>
          <w:szCs w:val="24"/>
        </w:rPr>
        <w:t xml:space="preserve">﹝ </w:t>
      </w:r>
      <w:r>
        <w:rPr>
          <w:sz w:val="24"/>
          <w:szCs w:val="24"/>
        </w:rPr>
        <w:t>2020﹞46</w:t>
      </w:r>
      <w:r>
        <w:rPr>
          <w:spacing w:val="-1"/>
          <w:sz w:val="24"/>
          <w:szCs w:val="24"/>
        </w:rPr>
        <w:t xml:space="preserve"> </w:t>
      </w:r>
      <w:r>
        <w:rPr>
          <w:sz w:val="24"/>
          <w:szCs w:val="24"/>
        </w:rPr>
        <w:t>号）的规定，本公司参加</w:t>
      </w:r>
      <w:r>
        <w:rPr>
          <w:sz w:val="24"/>
          <w:szCs w:val="24"/>
          <w:u w:val="single"/>
        </w:rPr>
        <w:t xml:space="preserve"> </w:t>
      </w:r>
      <w:r>
        <w:rPr>
          <w:sz w:val="24"/>
          <w:szCs w:val="24"/>
          <w:u w:val="single"/>
        </w:rPr>
        <w:tab/>
      </w:r>
      <w:r>
        <w:rPr>
          <w:sz w:val="24"/>
          <w:szCs w:val="24"/>
        </w:rPr>
        <w:t>（单位名称）的</w:t>
      </w:r>
      <w:r>
        <w:rPr>
          <w:sz w:val="24"/>
          <w:szCs w:val="24"/>
          <w:u w:val="single"/>
        </w:rPr>
        <w:t xml:space="preserve"> </w:t>
      </w:r>
      <w:r>
        <w:rPr>
          <w:sz w:val="24"/>
          <w:szCs w:val="24"/>
          <w:u w:val="single"/>
        </w:rPr>
        <w:tab/>
      </w:r>
      <w:r>
        <w:rPr>
          <w:sz w:val="24"/>
          <w:szCs w:val="24"/>
        </w:rPr>
        <w:t>（项</w:t>
      </w:r>
      <w:r>
        <w:rPr>
          <w:spacing w:val="-17"/>
          <w:sz w:val="24"/>
          <w:szCs w:val="24"/>
        </w:rPr>
        <w:t>目</w:t>
      </w:r>
      <w:r>
        <w:rPr>
          <w:sz w:val="24"/>
          <w:szCs w:val="24"/>
        </w:rPr>
        <w:t>名称）采购活动，服务全部由符合政策要求的中小企业承接。相关企业（含联合</w:t>
      </w:r>
      <w:r>
        <w:rPr>
          <w:spacing w:val="-17"/>
          <w:sz w:val="24"/>
          <w:szCs w:val="24"/>
        </w:rPr>
        <w:t>体</w:t>
      </w:r>
      <w:r>
        <w:rPr>
          <w:sz w:val="24"/>
          <w:szCs w:val="24"/>
        </w:rPr>
        <w:t>中的中小企业、签订分包意向协议的中小企业）的具体情况如下：</w:t>
      </w:r>
    </w:p>
    <w:p>
      <w:pPr>
        <w:pStyle w:val="199"/>
        <w:tabs>
          <w:tab w:val="left" w:pos="1288"/>
          <w:tab w:val="left" w:pos="4648"/>
        </w:tabs>
        <w:spacing w:line="304" w:lineRule="exact"/>
        <w:ind w:left="420" w:leftChars="200" w:firstLine="638" w:firstLineChars="266"/>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（标的名称）</w:t>
      </w:r>
      <w:r>
        <w:rPr>
          <w:rFonts w:hint="eastAsia" w:ascii="宋体" w:hAnsi="宋体" w:cs="宋体"/>
          <w:spacing w:val="-1"/>
          <w:sz w:val="24"/>
          <w:szCs w:val="24"/>
        </w:rPr>
        <w:t xml:space="preserve"> </w:t>
      </w:r>
      <w:r>
        <w:rPr>
          <w:rFonts w:hint="eastAsia" w:ascii="宋体" w:hAnsi="宋体" w:cs="宋体"/>
          <w:sz w:val="24"/>
          <w:szCs w:val="24"/>
        </w:rPr>
        <w:t>，属于</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（采购文件中明确的所属行业）</w:t>
      </w:r>
      <w:r>
        <w:rPr>
          <w:rFonts w:hint="eastAsia" w:ascii="宋体" w:hAnsi="宋体" w:cs="宋体"/>
          <w:sz w:val="24"/>
          <w:szCs w:val="24"/>
        </w:rPr>
        <w:t>； 承建</w:t>
      </w:r>
    </w:p>
    <w:p>
      <w:pPr>
        <w:pStyle w:val="18"/>
        <w:tabs>
          <w:tab w:val="left" w:pos="3328"/>
          <w:tab w:val="left" w:pos="6867"/>
          <w:tab w:val="left" w:pos="9231"/>
        </w:tabs>
        <w:spacing w:before="191"/>
        <w:ind w:firstLine="240" w:firstLineChars="100"/>
        <w:rPr>
          <w:rFonts w:ascii="宋体" w:hAnsi="宋体" w:cs="宋体"/>
          <w:sz w:val="24"/>
          <w:szCs w:val="24"/>
        </w:rPr>
      </w:pPr>
      <w:r>
        <w:rPr>
          <w:rFonts w:hint="eastAsia" w:ascii="宋体" w:hAnsi="宋体" w:cs="宋体"/>
          <w:sz w:val="24"/>
          <w:szCs w:val="24"/>
        </w:rPr>
        <w:t>（承接）企业为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人，营业收入为</w:t>
      </w:r>
      <w:r>
        <w:rPr>
          <w:rFonts w:hint="eastAsia" w:ascii="宋体" w:hAnsi="宋体" w:cs="宋体"/>
          <w:spacing w:val="-1"/>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u w:val="single"/>
        </w:rPr>
        <w:tab/>
      </w:r>
    </w:p>
    <w:p>
      <w:pPr>
        <w:pStyle w:val="18"/>
        <w:tabs>
          <w:tab w:val="left" w:pos="3688"/>
          <w:tab w:val="left" w:pos="5488"/>
        </w:tabs>
        <w:spacing w:before="74" w:line="391" w:lineRule="auto"/>
        <w:ind w:right="250" w:firstLine="480" w:firstLineChars="200"/>
        <w:rPr>
          <w:rFonts w:ascii="宋体" w:hAnsi="宋体" w:cs="宋体"/>
          <w:sz w:val="24"/>
          <w:szCs w:val="24"/>
        </w:rPr>
      </w:pP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万元，属于</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（中型企业、 小型企业、微型</w:t>
      </w:r>
      <w:r>
        <w:rPr>
          <w:rFonts w:hint="eastAsia" w:ascii="宋体" w:hAnsi="宋体" w:cs="宋体"/>
          <w:spacing w:val="-17"/>
          <w:sz w:val="24"/>
          <w:szCs w:val="24"/>
        </w:rPr>
        <w:t>企</w:t>
      </w:r>
      <w:r>
        <w:rPr>
          <w:rFonts w:hint="eastAsia" w:ascii="宋体" w:hAnsi="宋体" w:cs="宋体"/>
          <w:sz w:val="24"/>
          <w:szCs w:val="24"/>
        </w:rPr>
        <w:t>业）；</w:t>
      </w:r>
    </w:p>
    <w:p>
      <w:pPr>
        <w:pStyle w:val="199"/>
        <w:tabs>
          <w:tab w:val="left" w:pos="1288"/>
          <w:tab w:val="left" w:pos="1768"/>
          <w:tab w:val="left" w:pos="4768"/>
        </w:tabs>
        <w:spacing w:line="306" w:lineRule="exact"/>
        <w:ind w:left="420" w:leftChars="200" w:firstLine="720" w:firstLineChars="3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（标的名称）</w:t>
      </w:r>
      <w:r>
        <w:rPr>
          <w:rFonts w:hint="eastAsia" w:ascii="宋体" w:hAnsi="宋体" w:cs="宋体"/>
          <w:spacing w:val="-2"/>
          <w:sz w:val="24"/>
          <w:szCs w:val="24"/>
        </w:rPr>
        <w:t xml:space="preserve"> </w:t>
      </w:r>
      <w:r>
        <w:rPr>
          <w:rFonts w:hint="eastAsia" w:ascii="宋体" w:hAnsi="宋体" w:cs="宋体"/>
          <w:sz w:val="24"/>
          <w:szCs w:val="24"/>
        </w:rPr>
        <w:t>，属于</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（采购文件中明确的所属行业）</w:t>
      </w:r>
      <w:r>
        <w:rPr>
          <w:rFonts w:hint="eastAsia" w:ascii="宋体" w:hAnsi="宋体" w:cs="宋体"/>
          <w:sz w:val="24"/>
          <w:szCs w:val="24"/>
        </w:rPr>
        <w:t>； 承建</w:t>
      </w:r>
    </w:p>
    <w:p>
      <w:pPr>
        <w:pStyle w:val="18"/>
        <w:tabs>
          <w:tab w:val="left" w:pos="3208"/>
          <w:tab w:val="left" w:pos="3328"/>
          <w:tab w:val="left" w:pos="4888"/>
          <w:tab w:val="left" w:pos="6688"/>
          <w:tab w:val="left" w:pos="8728"/>
        </w:tabs>
        <w:spacing w:before="192" w:line="391" w:lineRule="auto"/>
        <w:ind w:left="420" w:right="395"/>
        <w:rPr>
          <w:rFonts w:ascii="宋体" w:hAnsi="宋体" w:cs="宋体"/>
          <w:sz w:val="24"/>
          <w:szCs w:val="24"/>
        </w:rPr>
      </w:pPr>
      <w:r>
        <w:rPr>
          <w:rFonts w:hint="eastAsia" w:ascii="宋体" w:hAnsi="宋体" w:cs="宋体"/>
          <w:sz w:val="24"/>
          <w:szCs w:val="24"/>
        </w:rPr>
        <w:t>（承接）企业为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万元，属于</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（中型企业、 小型企业、微型企业</w:t>
      </w:r>
      <w:r>
        <w:rPr>
          <w:rFonts w:hint="eastAsia" w:ascii="宋体" w:hAnsi="宋体" w:cs="宋体"/>
          <w:spacing w:val="-9"/>
          <w:sz w:val="24"/>
          <w:szCs w:val="24"/>
        </w:rPr>
        <w:t>）；</w:t>
      </w:r>
    </w:p>
    <w:p>
      <w:pPr>
        <w:pStyle w:val="18"/>
        <w:spacing w:line="306" w:lineRule="exact"/>
        <w:ind w:left="1288"/>
        <w:rPr>
          <w:rFonts w:ascii="宋体" w:hAnsi="宋体" w:cs="宋体"/>
          <w:sz w:val="24"/>
          <w:szCs w:val="24"/>
        </w:rPr>
      </w:pPr>
      <w:r>
        <w:rPr>
          <w:rFonts w:hint="eastAsia" w:ascii="宋体" w:hAnsi="宋体" w:cs="宋体"/>
          <w:sz w:val="24"/>
          <w:szCs w:val="24"/>
        </w:rPr>
        <w:t>……</w:t>
      </w:r>
    </w:p>
    <w:p>
      <w:pPr>
        <w:pStyle w:val="18"/>
        <w:spacing w:before="191" w:line="391" w:lineRule="auto"/>
        <w:ind w:left="328" w:right="515"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18"/>
        <w:spacing w:before="63" w:line="451" w:lineRule="auto"/>
        <w:ind w:left="928" w:right="875"/>
        <w:rPr>
          <w:rFonts w:ascii="宋体" w:hAnsi="宋体" w:cs="宋体"/>
          <w:sz w:val="24"/>
          <w:szCs w:val="24"/>
        </w:rPr>
      </w:pPr>
      <w:r>
        <w:rPr>
          <w:rFonts w:hint="eastAsia" w:ascii="宋体" w:hAnsi="宋体" w:cs="宋体"/>
          <w:sz w:val="24"/>
          <w:szCs w:val="24"/>
        </w:rPr>
        <w:t>本企业对上述声明内容的真实性负责。如有虚假，将依法承担相应责任。企业名称（盖章）：</w:t>
      </w:r>
    </w:p>
    <w:p>
      <w:pPr>
        <w:pStyle w:val="18"/>
        <w:spacing w:before="3"/>
        <w:ind w:left="928"/>
        <w:rPr>
          <w:rFonts w:ascii="宋体" w:hAnsi="宋体" w:cs="宋体"/>
          <w:sz w:val="24"/>
          <w:szCs w:val="24"/>
        </w:rPr>
      </w:pPr>
      <w:r>
        <w:rPr>
          <w:rFonts w:hint="eastAsia" w:ascii="宋体" w:hAnsi="宋体" w:cs="宋体"/>
          <w:sz w:val="24"/>
          <w:szCs w:val="24"/>
        </w:rPr>
        <w:t>日 期：</w:t>
      </w:r>
    </w:p>
    <w:p>
      <w:pPr>
        <w:pStyle w:val="18"/>
        <w:spacing w:before="1"/>
        <w:rPr>
          <w:sz w:val="28"/>
        </w:rPr>
      </w:pPr>
    </w:p>
    <w:p>
      <w:pPr>
        <w:pStyle w:val="8"/>
        <w:numPr>
          <w:ilvl w:val="5"/>
          <w:numId w:val="0"/>
        </w:numPr>
        <w:spacing w:line="242" w:lineRule="auto"/>
        <w:ind w:left="568" w:right="277"/>
        <w:rPr>
          <w:rFonts w:ascii="宋体" w:hAnsi="宋体" w:cs="宋体"/>
          <w:sz w:val="21"/>
          <w:szCs w:val="21"/>
        </w:rPr>
      </w:pPr>
      <w:r>
        <w:t>注：</w:t>
      </w:r>
      <w:r>
        <w:rPr>
          <w:rFonts w:hint="eastAsia" w:ascii="宋体" w:hAnsi="宋体" w:cs="宋体"/>
          <w:sz w:val="21"/>
          <w:szCs w:val="21"/>
        </w:rPr>
        <w:t>1、供应商符合《工业和信息化部、国家统计局、国家发展和改革委员会、财政部关于印发中小企业划型标准规定的通知》（工信部联企业〔2011〕300 号）规定的划分标准为中小型企业适用。</w:t>
      </w:r>
    </w:p>
    <w:p>
      <w:pPr>
        <w:spacing w:before="2" w:line="242" w:lineRule="auto"/>
        <w:ind w:left="328" w:right="280" w:firstLine="843" w:firstLineChars="400"/>
        <w:jc w:val="left"/>
        <w:rPr>
          <w:rFonts w:ascii="宋体" w:hAnsi="宋体" w:cs="宋体"/>
          <w:b/>
          <w:bCs/>
          <w:szCs w:val="21"/>
        </w:rPr>
      </w:pPr>
      <w:r>
        <w:rPr>
          <w:rFonts w:hint="eastAsia" w:ascii="宋体" w:hAnsi="宋体" w:cs="宋体"/>
          <w:b/>
          <w:bCs/>
          <w:szCs w:val="21"/>
        </w:rPr>
        <w:t>2、从业人员、营业收入、资产总额填报上一年度数据，无上一年度数据的新成立企业可不填报。</w:t>
      </w:r>
    </w:p>
    <w:p>
      <w:pPr>
        <w:spacing w:line="242" w:lineRule="auto"/>
        <w:jc w:val="left"/>
        <w:rPr>
          <w:rFonts w:ascii="宋体" w:hAnsi="宋体" w:cs="宋体"/>
          <w:b/>
          <w:bCs/>
          <w:szCs w:val="21"/>
        </w:rPr>
        <w:sectPr>
          <w:pgSz w:w="11910" w:h="16840"/>
          <w:pgMar w:top="1580" w:right="1160" w:bottom="1860" w:left="1260" w:header="0" w:footer="1667" w:gutter="0"/>
          <w:cols w:space="720" w:num="1"/>
        </w:sectPr>
      </w:pPr>
    </w:p>
    <w:p>
      <w:pPr>
        <w:pStyle w:val="2"/>
        <w:jc w:val="left"/>
        <w:rPr>
          <w:b/>
          <w:bCs/>
          <w:sz w:val="28"/>
          <w:szCs w:val="28"/>
        </w:rPr>
      </w:pPr>
      <w:r>
        <w:rPr>
          <w:rFonts w:hint="eastAsia"/>
          <w:b/>
          <w:bCs/>
          <w:sz w:val="28"/>
          <w:szCs w:val="28"/>
        </w:rPr>
        <w:t xml:space="preserve"> </w:t>
      </w:r>
      <w:r>
        <w:rPr>
          <w:rFonts w:hint="eastAsia" w:ascii="宋体" w:hAnsi="宋体"/>
          <w:b/>
          <w:bCs/>
          <w:sz w:val="28"/>
          <w:szCs w:val="28"/>
        </w:rPr>
        <w:t xml:space="preserve">格式五： </w:t>
      </w:r>
      <w:r>
        <w:rPr>
          <w:rFonts w:hint="eastAsia"/>
          <w:b/>
          <w:bCs/>
          <w:sz w:val="28"/>
          <w:szCs w:val="28"/>
        </w:rPr>
        <w:t xml:space="preserve"> </w:t>
      </w:r>
      <w:r>
        <w:rPr>
          <w:rFonts w:hint="eastAsia" w:eastAsia="宋体"/>
          <w:b/>
          <w:bCs/>
          <w:sz w:val="28"/>
          <w:szCs w:val="28"/>
          <w:lang w:val="en-US" w:eastAsia="zh-CN"/>
        </w:rPr>
        <w:t>五</w:t>
      </w:r>
      <w:r>
        <w:rPr>
          <w:rFonts w:hint="eastAsia"/>
          <w:b/>
          <w:bCs/>
          <w:sz w:val="28"/>
          <w:szCs w:val="28"/>
        </w:rPr>
        <w:t>、</w:t>
      </w:r>
      <w:r>
        <w:rPr>
          <w:b/>
          <w:bCs/>
          <w:sz w:val="28"/>
          <w:szCs w:val="28"/>
        </w:rPr>
        <w:t>投标人的资格、资质性及其他类似效力要求</w:t>
      </w:r>
    </w:p>
    <w:p>
      <w:pPr>
        <w:pStyle w:val="18"/>
        <w:rPr>
          <w:sz w:val="32"/>
        </w:rPr>
      </w:pPr>
    </w:p>
    <w:p>
      <w:pPr>
        <w:pStyle w:val="18"/>
        <w:spacing w:before="12"/>
        <w:rPr>
          <w:sz w:val="38"/>
        </w:rPr>
      </w:pPr>
    </w:p>
    <w:p>
      <w:pPr>
        <w:spacing w:line="362" w:lineRule="auto"/>
        <w:ind w:left="372" w:right="374" w:firstLine="480"/>
        <w:jc w:val="left"/>
        <w:rPr>
          <w:b/>
          <w:sz w:val="24"/>
        </w:rPr>
      </w:pPr>
      <w:r>
        <w:rPr>
          <w:b/>
          <w:spacing w:val="8"/>
          <w:w w:val="95"/>
          <w:sz w:val="24"/>
        </w:rPr>
        <w:t xml:space="preserve">备注：投标人应按招标文件第五章要求提供相关证明材料，有格式要求的按其要  </w:t>
      </w:r>
      <w:r>
        <w:rPr>
          <w:b/>
          <w:spacing w:val="8"/>
          <w:sz w:val="24"/>
        </w:rPr>
        <w:t>求，无格式要求的格式可自拟。</w:t>
      </w:r>
    </w:p>
    <w:p>
      <w:pPr>
        <w:spacing w:line="362" w:lineRule="auto"/>
        <w:jc w:val="left"/>
        <w:rPr>
          <w:sz w:val="24"/>
        </w:rPr>
        <w:sectPr>
          <w:pgSz w:w="11900" w:h="16840"/>
          <w:pgMar w:top="1600" w:right="1180" w:bottom="1160" w:left="760" w:header="0" w:footer="966" w:gutter="0"/>
          <w:cols w:space="720" w:num="1"/>
        </w:sectPr>
      </w:pPr>
    </w:p>
    <w:p>
      <w:pPr>
        <w:rPr>
          <w:b/>
          <w:bCs/>
          <w:sz w:val="30"/>
          <w:szCs w:val="30"/>
        </w:rPr>
      </w:pPr>
      <w:r>
        <w:rPr>
          <w:rFonts w:hint="eastAsia"/>
          <w:b/>
          <w:bCs/>
          <w:sz w:val="30"/>
          <w:szCs w:val="30"/>
        </w:rPr>
        <w:t>第二部分“其他响应性投标文件”格式</w:t>
      </w:r>
    </w:p>
    <w:p>
      <w:pPr>
        <w:pStyle w:val="2"/>
        <w:rPr>
          <w:b/>
          <w:bCs/>
          <w:sz w:val="30"/>
          <w:szCs w:val="30"/>
        </w:rPr>
      </w:pPr>
    </w:p>
    <w:p>
      <w:pPr>
        <w:pStyle w:val="2"/>
        <w:rPr>
          <w:b/>
          <w:bCs/>
          <w:sz w:val="30"/>
          <w:szCs w:val="30"/>
        </w:rPr>
      </w:pPr>
    </w:p>
    <w:p>
      <w:pPr>
        <w:rPr>
          <w:rFonts w:ascii="宋体" w:hAnsi="宋体"/>
          <w:b/>
          <w:bCs/>
          <w:sz w:val="28"/>
          <w:szCs w:val="28"/>
        </w:rPr>
      </w:pPr>
      <w:r>
        <w:rPr>
          <w:rFonts w:ascii="宋体" w:hAnsi="宋体"/>
          <w:b/>
          <w:bCs/>
          <w:sz w:val="28"/>
          <w:szCs w:val="28"/>
        </w:rPr>
        <w:pict>
          <v:shape id="_x0000_s1028" o:spid="_x0000_s1028" o:spt="202" type="#_x0000_t202" style="position:absolute;left:0pt;margin-left:319.35pt;margin-top:13.35pt;height:26.1pt;width:89.55pt;z-index:251660288;mso-width-relative:page;mso-height-relative:page;" filled="f" coordsize="21600,21600" o:gfxdata="UEsDBAoAAAAAAIdO4kAAAAAAAAAAAAAAAAAEAAAAZHJzL1BLAwQUAAAACACHTuJA5dcNc9gAAAAJ&#10;AQAADwAAAGRycy9kb3ducmV2LnhtbE2PTU/DMAyG70j8h8hIXBBLP0TbdU13QAKOaIPdvSZrC41T&#10;Ndm6/nvMCU6W5Uevn7faXu0gLmbyvSMF8SoCYahxuqdWwefHy2MBwgckjYMjo2AxHrb17U2FpXYz&#10;7cxlH1rBIeRLVNCFMJZS+qYzFv3KjYb4dnKTxcDr1Eo94czhdpBJFGXSYk/8ocPRPHem+d6frYLW&#10;79Kv9CHF/GlJDm+Heb28vmul7u/iaAMimGv4g+FXn9WhZqejO5P2YlCQpUXOqIIk48lAEefc5agg&#10;L9Yg60r+b1D/AFBLAwQUAAAACACHTuJABfRylgACAAAmBAAADgAAAGRycy9lMm9Eb2MueG1srVNN&#10;j9MwEL0j8R8s32n6scsuUdMVUJYLAqRdfoBrTxJL/pLHbdJ/z9jptrBceiCHZOJ5fjPvebx+GK1h&#10;B4iovWv4YjbnDJz0Sruu4b+eH9/dc4ZJOCWMd9DwIyB/2Lx9sx5CDUvfe6MgMiJxWA+h4X1Koa4q&#10;lD1YgTMfwFGy9dGKRL+xq1QUA7FbUy3n8/fV4KMK0UtApNXtlOQnxngNoW9bLWHr5d6CSxNrBCMS&#10;ScJeB+Sb0m3bgkw/2hYhMdNwUprKm4pQvMvvarMWdRdF6LU8tSCuaeGVJiu0o6Jnqq1Igu2j/ofK&#10;ahk9+jbNpLfVJKQ4QioW81fePPUiQNFCVmM4m47/j1Z+P/yMTKuG33DmhKUDf4YxsU9+ZMvszhCw&#10;JtBTIFgaaZlm5mUdaTGLHtto85fkMMqTt8ezt5lM5k2L1d3y/pYzSbnVanFzV8yvLrtDxPQVvGU5&#10;aHiksyuWisM3TNQJQV8guZjzj9qYcn7GsaHhH26XmV7QTLY0CxTaQLrQdYUGvdEqb8mbMXa7zyay&#10;g8hzUZ4sikr8Bcv1tgL7CVdS08RYnSCW2j0I9cUplo6BvHN0ZXhuxoLizADdsBwVZBLaXIOkJoyj&#10;XrLzk8M5SuNuJJoc7rw60mnsQ9RdT04tJn3h4z6RJ8WqC+xERONT5J1GPc/nn/8Fdbne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1w1z2AAAAAkBAAAPAAAAAAAAAAEAIAAAACIAAABkcnMvZG93&#10;bnJldi54bWxQSwECFAAUAAAACACHTuJABfRylgACAAAmBAAADgAAAAAAAAABACAAAAAnAQAAZHJz&#10;L2Uyb0RvYy54bWxQSwUGAAAAAAYABgBZAQAAmQUAAAAA&#10;">
            <v:path/>
            <v:fill on="f" focussize="0,0"/>
            <v:stroke joinstyle="miter"/>
            <v:imagedata o:title=""/>
            <o:lock v:ext="edit"/>
            <v:textbox style="mso-fit-shape-to-text:t;">
              <w:txbxContent>
                <w:p>
                  <w:pPr>
                    <w:rPr>
                      <w:b/>
                      <w:bCs/>
                      <w:sz w:val="28"/>
                      <w:szCs w:val="28"/>
                    </w:rPr>
                  </w:pPr>
                  <w:r>
                    <w:rPr>
                      <w:rFonts w:hint="eastAsia"/>
                      <w:b/>
                      <w:bCs/>
                      <w:sz w:val="28"/>
                      <w:szCs w:val="28"/>
                    </w:rPr>
                    <w:t>正本</w:t>
                  </w:r>
                  <w:r>
                    <w:rPr>
                      <w:b/>
                      <w:bCs/>
                      <w:sz w:val="28"/>
                      <w:szCs w:val="28"/>
                    </w:rPr>
                    <w:t>或副本</w:t>
                  </w:r>
                </w:p>
              </w:txbxContent>
            </v:textbox>
          </v:shape>
        </w:pict>
      </w:r>
      <w:r>
        <w:rPr>
          <w:rFonts w:hint="eastAsia" w:ascii="宋体" w:hAnsi="宋体"/>
          <w:b/>
          <w:bCs/>
          <w:sz w:val="28"/>
          <w:szCs w:val="28"/>
        </w:rPr>
        <w:t>格式一：</w:t>
      </w:r>
    </w:p>
    <w:p>
      <w:pPr>
        <w:pStyle w:val="2"/>
        <w:rPr>
          <w:rFonts w:ascii="宋体" w:hAnsi="宋体" w:eastAsia="宋体"/>
          <w:b/>
          <w:bCs/>
          <w:kern w:val="2"/>
          <w:sz w:val="28"/>
          <w:szCs w:val="28"/>
        </w:rPr>
      </w:pPr>
      <w:r>
        <w:rPr>
          <w:rFonts w:hint="eastAsia" w:ascii="宋体" w:hAnsi="宋体" w:eastAsia="宋体"/>
          <w:b/>
          <w:bCs/>
          <w:kern w:val="2"/>
          <w:sz w:val="28"/>
          <w:szCs w:val="28"/>
        </w:rPr>
        <w:t>封面</w:t>
      </w:r>
    </w:p>
    <w:p>
      <w:pPr>
        <w:adjustRightInd w:val="0"/>
        <w:snapToGrid w:val="0"/>
        <w:spacing w:line="360" w:lineRule="auto"/>
        <w:rPr>
          <w:rFonts w:ascii="宋体" w:hAnsi="宋体"/>
          <w:bCs/>
          <w:szCs w:val="21"/>
        </w:rPr>
      </w:pPr>
      <w:r>
        <w:rPr>
          <w:rFonts w:hint="eastAsia" w:ascii="宋体" w:hAnsi="宋体"/>
          <w:bCs/>
          <w:szCs w:val="21"/>
        </w:rPr>
        <w:t xml:space="preserve">  </w:t>
      </w:r>
    </w:p>
    <w:p>
      <w:pPr>
        <w:adjustRightInd w:val="0"/>
        <w:snapToGrid w:val="0"/>
        <w:spacing w:line="360" w:lineRule="auto"/>
        <w:rPr>
          <w:rFonts w:ascii="宋体" w:hAnsi="宋体"/>
          <w:bCs/>
          <w:szCs w:val="21"/>
        </w:rPr>
      </w:pPr>
    </w:p>
    <w:p>
      <w:pPr>
        <w:adjustRightInd w:val="0"/>
        <w:snapToGrid w:val="0"/>
        <w:spacing w:line="360" w:lineRule="auto"/>
        <w:jc w:val="right"/>
        <w:rPr>
          <w:rFonts w:ascii="宋体" w:hAnsi="宋体"/>
          <w:sz w:val="24"/>
        </w:rPr>
      </w:pPr>
    </w:p>
    <w:p>
      <w:pPr>
        <w:adjustRightInd w:val="0"/>
        <w:snapToGrid w:val="0"/>
        <w:spacing w:line="360" w:lineRule="auto"/>
        <w:jc w:val="center"/>
        <w:rPr>
          <w:rFonts w:ascii="宋体" w:hAnsi="宋体"/>
          <w:spacing w:val="78"/>
          <w:sz w:val="72"/>
          <w:szCs w:val="72"/>
        </w:rPr>
      </w:pPr>
    </w:p>
    <w:p>
      <w:pPr>
        <w:adjustRightInd w:val="0"/>
        <w:snapToGrid w:val="0"/>
        <w:spacing w:line="360" w:lineRule="auto"/>
        <w:jc w:val="center"/>
        <w:rPr>
          <w:rFonts w:ascii="宋体" w:hAnsi="宋体"/>
          <w:spacing w:val="78"/>
          <w:sz w:val="72"/>
          <w:szCs w:val="72"/>
        </w:rPr>
      </w:pPr>
      <w:r>
        <w:rPr>
          <w:rFonts w:hint="eastAsia" w:ascii="宋体" w:hAnsi="宋体"/>
          <w:spacing w:val="78"/>
          <w:sz w:val="72"/>
          <w:szCs w:val="72"/>
        </w:rPr>
        <w:t>其他响应性投标文件</w:t>
      </w:r>
    </w:p>
    <w:p>
      <w:pPr>
        <w:adjustRightInd w:val="0"/>
        <w:snapToGrid w:val="0"/>
        <w:spacing w:line="360" w:lineRule="auto"/>
        <w:jc w:val="center"/>
        <w:rPr>
          <w:rFonts w:ascii="宋体" w:hAnsi="宋体"/>
          <w:bCs/>
          <w:sz w:val="36"/>
        </w:rPr>
      </w:pPr>
    </w:p>
    <w:p>
      <w:pPr>
        <w:adjustRightInd w:val="0"/>
        <w:snapToGrid w:val="0"/>
        <w:spacing w:line="360" w:lineRule="auto"/>
        <w:jc w:val="center"/>
        <w:rPr>
          <w:rFonts w:ascii="宋体" w:hAnsi="宋体"/>
          <w:bCs/>
          <w:sz w:val="36"/>
        </w:rPr>
      </w:pPr>
    </w:p>
    <w:p>
      <w:pPr>
        <w:tabs>
          <w:tab w:val="left" w:pos="665"/>
          <w:tab w:val="left" w:pos="3241"/>
          <w:tab w:val="left" w:pos="3525"/>
          <w:tab w:val="left" w:pos="3994"/>
          <w:tab w:val="left" w:pos="4234"/>
        </w:tabs>
        <w:adjustRightInd w:val="0"/>
        <w:snapToGrid w:val="0"/>
        <w:spacing w:line="360" w:lineRule="auto"/>
        <w:ind w:left="1697" w:leftChars="71" w:hanging="1548" w:hangingChars="482"/>
        <w:jc w:val="left"/>
        <w:rPr>
          <w:rFonts w:ascii="宋体" w:hAnsi="宋体"/>
          <w:b/>
          <w:bCs/>
          <w:sz w:val="32"/>
          <w:szCs w:val="32"/>
        </w:rPr>
      </w:pPr>
      <w:r>
        <w:rPr>
          <w:rFonts w:hint="eastAsia" w:ascii="宋体" w:hAnsi="宋体"/>
          <w:b/>
          <w:bCs/>
          <w:sz w:val="32"/>
          <w:szCs w:val="32"/>
        </w:rPr>
        <w:t>项目名称：成都市龙泉驿区审计局审计服务采购项目（第三次）</w:t>
      </w:r>
    </w:p>
    <w:p>
      <w:pPr>
        <w:tabs>
          <w:tab w:val="left" w:pos="665"/>
        </w:tabs>
        <w:adjustRightInd w:val="0"/>
        <w:snapToGrid w:val="0"/>
        <w:spacing w:line="360" w:lineRule="auto"/>
        <w:ind w:firstLine="157" w:firstLineChars="49"/>
        <w:rPr>
          <w:rFonts w:ascii="宋体" w:hAnsi="宋体"/>
          <w:b/>
          <w:bCs/>
          <w:sz w:val="32"/>
          <w:szCs w:val="32"/>
        </w:rPr>
      </w:pPr>
      <w:r>
        <w:rPr>
          <w:rFonts w:hint="eastAsia" w:ascii="宋体" w:hAnsi="宋体"/>
          <w:b/>
          <w:bCs/>
          <w:sz w:val="32"/>
          <w:szCs w:val="32"/>
        </w:rPr>
        <w:t xml:space="preserve">项目编号： </w:t>
      </w:r>
    </w:p>
    <w:p>
      <w:pPr>
        <w:adjustRightInd w:val="0"/>
        <w:snapToGrid w:val="0"/>
        <w:spacing w:line="360" w:lineRule="auto"/>
        <w:ind w:left="1890" w:leftChars="900"/>
        <w:jc w:val="left"/>
        <w:rPr>
          <w:rFonts w:ascii="宋体" w:hAnsi="宋体"/>
          <w:b/>
          <w:bCs/>
          <w:sz w:val="32"/>
          <w:szCs w:val="32"/>
        </w:rPr>
      </w:pPr>
    </w:p>
    <w:p>
      <w:pPr>
        <w:adjustRightInd w:val="0"/>
        <w:snapToGrid w:val="0"/>
        <w:spacing w:line="360" w:lineRule="auto"/>
        <w:ind w:left="1890" w:leftChars="900"/>
        <w:jc w:val="left"/>
        <w:rPr>
          <w:rFonts w:ascii="宋体" w:hAnsi="宋体"/>
          <w:b/>
          <w:bCs/>
          <w:sz w:val="36"/>
        </w:rPr>
      </w:pPr>
    </w:p>
    <w:p>
      <w:pPr>
        <w:adjustRightInd w:val="0"/>
        <w:snapToGrid w:val="0"/>
        <w:spacing w:line="360" w:lineRule="auto"/>
        <w:ind w:left="1890" w:leftChars="900"/>
        <w:jc w:val="left"/>
        <w:rPr>
          <w:rFonts w:ascii="宋体" w:hAnsi="宋体"/>
          <w:b/>
          <w:bCs/>
          <w:sz w:val="36"/>
        </w:rPr>
      </w:pPr>
    </w:p>
    <w:p>
      <w:pPr>
        <w:adjustRightInd w:val="0"/>
        <w:snapToGrid w:val="0"/>
        <w:spacing w:line="360" w:lineRule="auto"/>
        <w:ind w:firstLine="630" w:firstLineChars="196"/>
        <w:jc w:val="left"/>
        <w:rPr>
          <w:rFonts w:ascii="宋体" w:hAnsi="宋体"/>
          <w:b/>
          <w:bCs/>
          <w:sz w:val="32"/>
          <w:szCs w:val="32"/>
          <w:u w:val="single"/>
        </w:rPr>
      </w:pPr>
      <w:r>
        <w:rPr>
          <w:rFonts w:hint="eastAsia" w:ascii="宋体" w:hAnsi="宋体"/>
          <w:b/>
          <w:bCs/>
          <w:sz w:val="32"/>
          <w:szCs w:val="32"/>
        </w:rPr>
        <w:t>投标人名称：</w:t>
      </w:r>
    </w:p>
    <w:p>
      <w:pPr>
        <w:adjustRightInd w:val="0"/>
        <w:snapToGrid w:val="0"/>
        <w:spacing w:line="360" w:lineRule="auto"/>
        <w:ind w:firstLine="630" w:firstLineChars="196"/>
        <w:jc w:val="left"/>
        <w:rPr>
          <w:rFonts w:ascii="宋体" w:hAnsi="宋体"/>
          <w:b/>
          <w:bCs/>
          <w:sz w:val="32"/>
          <w:szCs w:val="32"/>
          <w:u w:val="single"/>
        </w:rPr>
      </w:pPr>
    </w:p>
    <w:p>
      <w:pPr>
        <w:adjustRightInd w:val="0"/>
        <w:snapToGrid w:val="0"/>
        <w:spacing w:line="360" w:lineRule="auto"/>
        <w:ind w:firstLine="630" w:firstLineChars="196"/>
        <w:rPr>
          <w:rFonts w:ascii="宋体" w:hAnsi="宋体"/>
          <w:b/>
          <w:bCs/>
          <w:sz w:val="32"/>
          <w:szCs w:val="32"/>
        </w:rPr>
      </w:pPr>
      <w:r>
        <w:rPr>
          <w:rFonts w:hint="eastAsia" w:ascii="宋体" w:hAnsi="宋体"/>
          <w:b/>
          <w:bCs/>
          <w:sz w:val="32"/>
          <w:szCs w:val="32"/>
        </w:rPr>
        <w:t>日       期：</w:t>
      </w:r>
      <w:r>
        <w:rPr>
          <w:rFonts w:ascii="宋体" w:hAnsi="宋体"/>
          <w:b/>
          <w:bCs/>
          <w:sz w:val="32"/>
          <w:szCs w:val="32"/>
        </w:rPr>
        <w:t>XXXX</w:t>
      </w:r>
      <w:r>
        <w:rPr>
          <w:rFonts w:hint="eastAsia" w:ascii="宋体" w:hAnsi="宋体"/>
          <w:b/>
          <w:bCs/>
          <w:sz w:val="32"/>
          <w:szCs w:val="32"/>
        </w:rPr>
        <w:t>年</w:t>
      </w:r>
      <w:r>
        <w:rPr>
          <w:rFonts w:ascii="宋体" w:hAnsi="宋体"/>
          <w:b/>
          <w:bCs/>
          <w:sz w:val="32"/>
          <w:szCs w:val="32"/>
        </w:rPr>
        <w:t>XX</w:t>
      </w:r>
      <w:r>
        <w:rPr>
          <w:rFonts w:hint="eastAsia" w:ascii="宋体" w:hAnsi="宋体"/>
          <w:b/>
          <w:bCs/>
          <w:sz w:val="32"/>
          <w:szCs w:val="32"/>
        </w:rPr>
        <w:t>月</w:t>
      </w:r>
      <w:r>
        <w:rPr>
          <w:rFonts w:ascii="宋体" w:hAnsi="宋体"/>
          <w:b/>
          <w:bCs/>
          <w:sz w:val="32"/>
          <w:szCs w:val="32"/>
        </w:rPr>
        <w:t>XX</w:t>
      </w:r>
      <w:r>
        <w:rPr>
          <w:rFonts w:hint="eastAsia" w:ascii="宋体" w:hAnsi="宋体"/>
          <w:b/>
          <w:bCs/>
          <w:sz w:val="32"/>
          <w:szCs w:val="32"/>
        </w:rPr>
        <w:t>日</w:t>
      </w:r>
    </w:p>
    <w:p>
      <w:pPr>
        <w:pStyle w:val="2"/>
        <w:rPr>
          <w:rFonts w:ascii="宋体" w:hAnsi="宋体"/>
          <w:b/>
          <w:bCs/>
          <w:sz w:val="32"/>
          <w:szCs w:val="32"/>
        </w:rPr>
      </w:pPr>
    </w:p>
    <w:p>
      <w:pPr>
        <w:pStyle w:val="2"/>
        <w:rPr>
          <w:rFonts w:ascii="宋体" w:hAnsi="宋体"/>
          <w:b/>
          <w:bCs/>
          <w:sz w:val="32"/>
          <w:szCs w:val="32"/>
        </w:rPr>
      </w:pPr>
    </w:p>
    <w:p>
      <w:pPr>
        <w:rPr>
          <w:b/>
          <w:bCs/>
          <w:sz w:val="28"/>
          <w:szCs w:val="28"/>
        </w:rPr>
      </w:pPr>
      <w:bookmarkStart w:id="205" w:name="_Toc12046"/>
      <w:bookmarkStart w:id="206" w:name="_Toc22207"/>
      <w:bookmarkStart w:id="207" w:name="_Toc66192157"/>
      <w:bookmarkStart w:id="208" w:name="_Toc217446082"/>
      <w:bookmarkStart w:id="209" w:name="_Toc1932"/>
      <w:bookmarkStart w:id="210" w:name="_Toc25908"/>
      <w:r>
        <w:rPr>
          <w:rFonts w:hint="eastAsia"/>
          <w:b/>
          <w:bCs/>
          <w:sz w:val="28"/>
          <w:szCs w:val="28"/>
        </w:rPr>
        <w:t>格式二：         一、投标函</w:t>
      </w:r>
      <w:bookmarkEnd w:id="205"/>
      <w:bookmarkEnd w:id="206"/>
      <w:bookmarkEnd w:id="207"/>
      <w:bookmarkEnd w:id="208"/>
      <w:bookmarkEnd w:id="209"/>
      <w:bookmarkEnd w:id="210"/>
      <w:r>
        <w:rPr>
          <w:rFonts w:hint="eastAsia"/>
          <w:b/>
          <w:bCs/>
          <w:sz w:val="28"/>
          <w:szCs w:val="28"/>
        </w:rPr>
        <w:t>（此格式为实质性要求）</w:t>
      </w:r>
    </w:p>
    <w:p>
      <w:pPr>
        <w:pStyle w:val="26"/>
        <w:adjustRightInd w:val="0"/>
        <w:snapToGrid w:val="0"/>
        <w:spacing w:after="0" w:line="360" w:lineRule="auto"/>
        <w:ind w:left="0" w:leftChars="0"/>
        <w:rPr>
          <w:rFonts w:ascii="宋体" w:hAnsi="宋体"/>
          <w:bCs/>
          <w:sz w:val="24"/>
          <w:szCs w:val="24"/>
        </w:rPr>
      </w:pPr>
      <w:r>
        <w:rPr>
          <w:rFonts w:hint="eastAsia" w:ascii="宋体" w:hAnsi="宋体"/>
          <w:bCs/>
          <w:sz w:val="24"/>
          <w:szCs w:val="24"/>
        </w:rPr>
        <w:t>成都青青工程造价咨询有限责任公司：</w:t>
      </w:r>
    </w:p>
    <w:p>
      <w:pPr>
        <w:pStyle w:val="26"/>
        <w:adjustRightInd w:val="0"/>
        <w:snapToGrid w:val="0"/>
        <w:spacing w:after="0" w:line="360" w:lineRule="auto"/>
        <w:ind w:left="0" w:leftChars="0" w:firstLine="480" w:firstLineChars="200"/>
        <w:rPr>
          <w:rFonts w:ascii="宋体" w:hAnsi="宋体"/>
          <w:bCs/>
          <w:sz w:val="24"/>
          <w:szCs w:val="24"/>
        </w:rPr>
      </w:pPr>
      <w:r>
        <w:rPr>
          <w:rFonts w:hint="eastAsia" w:ascii="宋体" w:hAnsi="宋体"/>
          <w:bCs/>
          <w:sz w:val="24"/>
          <w:szCs w:val="24"/>
        </w:rPr>
        <w:t>我方全面研究了</w:t>
      </w:r>
      <w:r>
        <w:rPr>
          <w:rFonts w:hint="eastAsia" w:ascii="宋体" w:hAnsi="宋体"/>
          <w:bCs/>
          <w:sz w:val="24"/>
          <w:szCs w:val="24"/>
          <w:u w:val="single"/>
        </w:rPr>
        <w:t>“</w:t>
      </w:r>
      <w:r>
        <w:rPr>
          <w:rFonts w:hint="eastAsia" w:ascii="宋体" w:hAnsi="宋体"/>
          <w:b/>
          <w:bCs/>
          <w:sz w:val="24"/>
          <w:szCs w:val="24"/>
          <w:u w:val="single"/>
        </w:rPr>
        <w:t>成都市龙泉驿区审计局审计服务采购项目（第三次）”（项目编号：  ）</w:t>
      </w:r>
      <w:r>
        <w:rPr>
          <w:rFonts w:hint="eastAsia" w:ascii="宋体" w:hAnsi="宋体"/>
          <w:bCs/>
          <w:sz w:val="24"/>
          <w:szCs w:val="24"/>
        </w:rPr>
        <w:t>招标文件，决定参加贵单位组织的本项目的投标。我方授权</w:t>
      </w:r>
      <w:r>
        <w:rPr>
          <w:rFonts w:hint="eastAsia" w:ascii="宋体" w:hAnsi="宋体"/>
          <w:bCs/>
          <w:sz w:val="24"/>
          <w:szCs w:val="24"/>
          <w:u w:val="single"/>
        </w:rPr>
        <w:t xml:space="preserve">       （姓名、职务）   </w:t>
      </w:r>
      <w:r>
        <w:rPr>
          <w:rFonts w:hint="eastAsia" w:ascii="宋体" w:hAnsi="宋体"/>
          <w:bCs/>
          <w:sz w:val="24"/>
          <w:szCs w:val="24"/>
        </w:rPr>
        <w:t>代表我方</w:t>
      </w:r>
      <w:r>
        <w:rPr>
          <w:rFonts w:hint="eastAsia" w:ascii="宋体" w:hAnsi="宋体"/>
          <w:bCs/>
          <w:sz w:val="24"/>
          <w:szCs w:val="24"/>
          <w:u w:val="single"/>
        </w:rPr>
        <w:t xml:space="preserve">    （投标人名称）   </w:t>
      </w:r>
      <w:r>
        <w:rPr>
          <w:rFonts w:hint="eastAsia" w:ascii="宋体" w:hAnsi="宋体"/>
          <w:bCs/>
          <w:sz w:val="24"/>
          <w:szCs w:val="24"/>
        </w:rPr>
        <w:t>全权处理本项目投标的有关事宜。</w:t>
      </w:r>
    </w:p>
    <w:p>
      <w:pPr>
        <w:numPr>
          <w:ilvl w:val="1"/>
          <w:numId w:val="33"/>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我方自愿按照招标文件规定的各项要求向采购人提供所需服务，</w:t>
      </w:r>
      <w:r>
        <w:rPr>
          <w:rFonts w:hint="eastAsia" w:ascii="宋体" w:hAnsi="宋体"/>
          <w:b/>
          <w:sz w:val="24"/>
          <w:szCs w:val="24"/>
        </w:rPr>
        <w:t>投标报价以《开标一栏表》为准</w:t>
      </w:r>
      <w:r>
        <w:rPr>
          <w:rFonts w:hint="eastAsia" w:ascii="宋体" w:hAnsi="宋体"/>
          <w:sz w:val="24"/>
          <w:szCs w:val="24"/>
        </w:rPr>
        <w:t>。</w:t>
      </w:r>
    </w:p>
    <w:p>
      <w:pPr>
        <w:numPr>
          <w:ilvl w:val="1"/>
          <w:numId w:val="33"/>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一旦我方中标，我方将严格履行合同规定的责任和义务，否则将承担由此产生的一切责任。</w:t>
      </w:r>
    </w:p>
    <w:p>
      <w:pPr>
        <w:numPr>
          <w:ilvl w:val="1"/>
          <w:numId w:val="33"/>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我方为本项目提交的投标文件正本 1 份，副本 4 份，用于开标唱标的“开标一览表”1 份。</w:t>
      </w:r>
    </w:p>
    <w:p>
      <w:pPr>
        <w:numPr>
          <w:ilvl w:val="1"/>
          <w:numId w:val="33"/>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我方同意本次招标的投标有效期为投标截止时间届满后 120</w:t>
      </w:r>
      <w:r>
        <w:rPr>
          <w:rFonts w:hint="eastAsia" w:ascii="宋体" w:hAnsi="宋体"/>
          <w:sz w:val="24"/>
          <w:szCs w:val="24"/>
        </w:rPr>
        <w:tab/>
      </w:r>
      <w:r>
        <w:rPr>
          <w:rFonts w:hint="eastAsia" w:ascii="宋体" w:hAnsi="宋体"/>
          <w:sz w:val="24"/>
          <w:szCs w:val="24"/>
        </w:rPr>
        <w:t>天。</w:t>
      </w:r>
    </w:p>
    <w:p>
      <w:pPr>
        <w:numPr>
          <w:ilvl w:val="1"/>
          <w:numId w:val="33"/>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我方已知晓全部招标文件的内容，包括修改文件（如有）以及全部相关资料和有关附件，并对上述文件均无异议。</w:t>
      </w:r>
    </w:p>
    <w:p>
      <w:pPr>
        <w:numPr>
          <w:ilvl w:val="1"/>
          <w:numId w:val="33"/>
        </w:numPr>
        <w:tabs>
          <w:tab w:val="left" w:pos="1134"/>
        </w:tabs>
        <w:adjustRightInd w:val="0"/>
        <w:snapToGrid w:val="0"/>
        <w:spacing w:line="360" w:lineRule="auto"/>
        <w:ind w:left="0" w:firstLine="567"/>
        <w:rPr>
          <w:rFonts w:ascii="宋体" w:hAnsi="宋体"/>
          <w:sz w:val="24"/>
          <w:szCs w:val="24"/>
        </w:rPr>
      </w:pPr>
      <w:r>
        <w:rPr>
          <w:rFonts w:hint="eastAsia" w:ascii="宋体" w:hAnsi="宋体"/>
          <w:sz w:val="24"/>
          <w:szCs w:val="24"/>
        </w:rPr>
        <w:t>我方愿意提供贵单位可能另外要求的，与投标有关的文件资料，并保证我方已提供和将要提供的文件资料是真实、准确的，并对此承担一切法律后果。</w:t>
      </w:r>
    </w:p>
    <w:p>
      <w:pPr>
        <w:pStyle w:val="26"/>
        <w:adjustRightInd w:val="0"/>
        <w:snapToGrid w:val="0"/>
        <w:spacing w:after="0" w:line="360" w:lineRule="auto"/>
        <w:ind w:leftChars="0" w:firstLine="484" w:firstLineChars="202"/>
        <w:rPr>
          <w:rFonts w:ascii="宋体" w:hAnsi="宋体"/>
          <w:bCs/>
          <w:sz w:val="24"/>
          <w:szCs w:val="24"/>
        </w:rPr>
      </w:pPr>
      <w:r>
        <w:rPr>
          <w:rFonts w:hint="eastAsia" w:ascii="宋体" w:hAnsi="宋体"/>
          <w:bCs/>
          <w:sz w:val="24"/>
          <w:szCs w:val="24"/>
        </w:rPr>
        <w:t>投标人名称：（加盖公章）</w:t>
      </w:r>
    </w:p>
    <w:p>
      <w:pPr>
        <w:pStyle w:val="18"/>
        <w:spacing w:line="360" w:lineRule="auto"/>
        <w:ind w:right="620" w:rightChars="0" w:firstLine="960" w:firstLineChars="400"/>
        <w:rPr>
          <w:rFonts w:ascii="宋体" w:hAnsi="宋体" w:cs="宋体"/>
          <w:sz w:val="24"/>
          <w:szCs w:val="24"/>
        </w:rPr>
      </w:pPr>
      <w:r>
        <w:rPr>
          <w:rFonts w:hint="eastAsia" w:ascii="宋体" w:hAnsi="宋体"/>
          <w:bCs/>
          <w:sz w:val="24"/>
          <w:szCs w:val="24"/>
        </w:rPr>
        <w:t>法定代表人或</w:t>
      </w:r>
      <w:r>
        <w:rPr>
          <w:rFonts w:hint="eastAsia" w:ascii="宋体" w:hAnsi="宋体"/>
          <w:bCs/>
          <w:sz w:val="24"/>
          <w:szCs w:val="24"/>
          <w:lang w:val="en-US" w:eastAsia="zh-CN"/>
        </w:rPr>
        <w:t>授权代表</w:t>
      </w:r>
      <w:r>
        <w:rPr>
          <w:rFonts w:hint="eastAsia" w:ascii="宋体" w:hAnsi="宋体" w:cs="宋体"/>
          <w:sz w:val="24"/>
          <w:szCs w:val="24"/>
        </w:rPr>
        <w:t>（被授权人）</w:t>
      </w:r>
      <w:r>
        <w:rPr>
          <w:rFonts w:hint="eastAsia" w:ascii="宋体" w:hAnsi="宋体"/>
          <w:bCs/>
          <w:sz w:val="24"/>
          <w:szCs w:val="24"/>
        </w:rPr>
        <w:t>：     （签字或加盖个人名章）</w:t>
      </w:r>
      <w:r>
        <w:rPr>
          <w:rFonts w:hint="eastAsia" w:ascii="宋体" w:hAnsi="宋体" w:cs="宋体"/>
          <w:sz w:val="24"/>
          <w:szCs w:val="24"/>
        </w:rPr>
        <w:t xml:space="preserve"> </w:t>
      </w:r>
    </w:p>
    <w:p>
      <w:pPr>
        <w:pStyle w:val="26"/>
        <w:adjustRightInd w:val="0"/>
        <w:snapToGrid w:val="0"/>
        <w:spacing w:after="0" w:line="360" w:lineRule="auto"/>
        <w:ind w:leftChars="0" w:firstLine="484" w:firstLineChars="202"/>
        <w:rPr>
          <w:rFonts w:ascii="宋体" w:hAnsi="宋体"/>
          <w:sz w:val="24"/>
          <w:szCs w:val="24"/>
        </w:rPr>
      </w:pPr>
      <w:r>
        <w:rPr>
          <w:rFonts w:hint="eastAsia" w:ascii="宋体" w:hAnsi="宋体"/>
          <w:sz w:val="24"/>
          <w:szCs w:val="24"/>
        </w:rPr>
        <w:t>通讯地址：</w:t>
      </w:r>
    </w:p>
    <w:p>
      <w:pPr>
        <w:pStyle w:val="26"/>
        <w:adjustRightInd w:val="0"/>
        <w:snapToGrid w:val="0"/>
        <w:spacing w:after="0" w:line="360" w:lineRule="auto"/>
        <w:ind w:leftChars="0" w:firstLine="484" w:firstLineChars="202"/>
        <w:rPr>
          <w:rFonts w:ascii="宋体" w:hAnsi="宋体"/>
          <w:sz w:val="24"/>
          <w:szCs w:val="24"/>
          <w:u w:val="single"/>
        </w:rPr>
      </w:pPr>
      <w:r>
        <w:rPr>
          <w:rFonts w:hint="eastAsia" w:ascii="宋体" w:hAnsi="宋体"/>
          <w:sz w:val="24"/>
          <w:szCs w:val="24"/>
        </w:rPr>
        <w:t>邮政编码：</w:t>
      </w:r>
    </w:p>
    <w:p>
      <w:pPr>
        <w:pStyle w:val="26"/>
        <w:adjustRightInd w:val="0"/>
        <w:snapToGrid w:val="0"/>
        <w:spacing w:after="0" w:line="360" w:lineRule="auto"/>
        <w:ind w:leftChars="0" w:firstLine="484" w:firstLineChars="202"/>
        <w:rPr>
          <w:rFonts w:ascii="宋体" w:hAnsi="宋体"/>
          <w:sz w:val="24"/>
          <w:szCs w:val="24"/>
        </w:rPr>
      </w:pPr>
      <w:r>
        <w:rPr>
          <w:rFonts w:hint="eastAsia" w:ascii="宋体" w:hAnsi="宋体"/>
          <w:sz w:val="24"/>
          <w:szCs w:val="24"/>
        </w:rPr>
        <w:t>联系电话：</w:t>
      </w:r>
    </w:p>
    <w:p>
      <w:pPr>
        <w:pStyle w:val="26"/>
        <w:adjustRightInd w:val="0"/>
        <w:snapToGrid w:val="0"/>
        <w:spacing w:after="0" w:line="360" w:lineRule="auto"/>
        <w:ind w:leftChars="0" w:firstLine="484" w:firstLineChars="202"/>
        <w:rPr>
          <w:rFonts w:ascii="宋体" w:hAnsi="宋体"/>
          <w:sz w:val="24"/>
          <w:szCs w:val="24"/>
          <w:u w:val="single"/>
        </w:rPr>
      </w:pPr>
      <w:r>
        <w:rPr>
          <w:rFonts w:hint="eastAsia" w:ascii="宋体" w:hAnsi="宋体"/>
          <w:sz w:val="24"/>
          <w:szCs w:val="24"/>
        </w:rPr>
        <w:t>传    真：</w:t>
      </w:r>
    </w:p>
    <w:p>
      <w:pPr>
        <w:pStyle w:val="26"/>
        <w:adjustRightInd w:val="0"/>
        <w:snapToGrid w:val="0"/>
        <w:spacing w:after="0" w:line="360" w:lineRule="auto"/>
        <w:ind w:firstLine="480" w:firstLineChars="200"/>
        <w:rPr>
          <w:rFonts w:ascii="宋体" w:hAnsi="宋体"/>
          <w:bCs/>
          <w:sz w:val="24"/>
          <w:szCs w:val="24"/>
        </w:rPr>
      </w:pPr>
    </w:p>
    <w:p>
      <w:pPr>
        <w:pStyle w:val="26"/>
        <w:adjustRightInd w:val="0"/>
        <w:snapToGrid w:val="0"/>
        <w:spacing w:after="0" w:line="360" w:lineRule="auto"/>
        <w:ind w:firstLine="480" w:firstLineChars="200"/>
        <w:rPr>
          <w:rFonts w:ascii="宋体" w:hAnsi="宋体"/>
          <w:sz w:val="24"/>
          <w:szCs w:val="24"/>
        </w:rPr>
      </w:pPr>
      <w:r>
        <w:rPr>
          <w:rFonts w:ascii="宋体" w:hAnsi="宋体"/>
          <w:sz w:val="24"/>
          <w:szCs w:val="24"/>
        </w:rPr>
        <w:t>日期：</w:t>
      </w:r>
      <w:r>
        <w:rPr>
          <w:rFonts w:hint="eastAsia" w:ascii="宋体" w:hAnsi="宋体"/>
          <w:sz w:val="24"/>
          <w:szCs w:val="24"/>
        </w:rPr>
        <w:t>XXXX</w:t>
      </w:r>
      <w:r>
        <w:rPr>
          <w:rFonts w:ascii="宋体" w:hAnsi="宋体"/>
          <w:sz w:val="24"/>
          <w:szCs w:val="24"/>
        </w:rPr>
        <w:t>年</w:t>
      </w:r>
      <w:r>
        <w:rPr>
          <w:rFonts w:hint="eastAsia" w:ascii="宋体" w:hAnsi="宋体"/>
          <w:sz w:val="24"/>
          <w:szCs w:val="24"/>
        </w:rPr>
        <w:t>XX</w:t>
      </w:r>
      <w:r>
        <w:rPr>
          <w:rFonts w:ascii="宋体" w:hAnsi="宋体"/>
          <w:sz w:val="24"/>
          <w:szCs w:val="24"/>
        </w:rPr>
        <w:t>月</w:t>
      </w:r>
      <w:r>
        <w:rPr>
          <w:rFonts w:hint="eastAsia" w:ascii="宋体" w:hAnsi="宋体"/>
          <w:sz w:val="24"/>
          <w:szCs w:val="24"/>
        </w:rPr>
        <w:t>XX</w:t>
      </w:r>
      <w:r>
        <w:rPr>
          <w:rFonts w:ascii="宋体" w:hAnsi="宋体"/>
          <w:sz w:val="24"/>
          <w:szCs w:val="24"/>
        </w:rPr>
        <w:t>日</w:t>
      </w:r>
    </w:p>
    <w:p>
      <w:pPr>
        <w:pStyle w:val="26"/>
        <w:adjustRightInd w:val="0"/>
        <w:snapToGrid w:val="0"/>
        <w:spacing w:after="0" w:line="360" w:lineRule="auto"/>
        <w:ind w:firstLine="480" w:firstLineChars="200"/>
        <w:rPr>
          <w:rFonts w:ascii="宋体" w:hAnsi="宋体"/>
          <w:sz w:val="24"/>
          <w:szCs w:val="24"/>
        </w:rPr>
      </w:pPr>
    </w:p>
    <w:p>
      <w:pPr>
        <w:pStyle w:val="26"/>
        <w:adjustRightInd w:val="0"/>
        <w:snapToGrid w:val="0"/>
        <w:spacing w:after="0" w:line="360" w:lineRule="auto"/>
        <w:ind w:firstLine="480" w:firstLineChars="200"/>
        <w:rPr>
          <w:rFonts w:ascii="宋体" w:hAnsi="宋体"/>
          <w:sz w:val="24"/>
          <w:szCs w:val="24"/>
        </w:rPr>
      </w:pPr>
    </w:p>
    <w:p>
      <w:pPr>
        <w:pStyle w:val="26"/>
        <w:adjustRightInd w:val="0"/>
        <w:snapToGrid w:val="0"/>
        <w:spacing w:after="0" w:line="360" w:lineRule="auto"/>
        <w:ind w:firstLine="480" w:firstLineChars="200"/>
        <w:rPr>
          <w:rFonts w:ascii="宋体" w:hAnsi="宋体"/>
          <w:sz w:val="24"/>
          <w:szCs w:val="24"/>
        </w:rPr>
      </w:pPr>
    </w:p>
    <w:p>
      <w:pPr>
        <w:pStyle w:val="26"/>
        <w:adjustRightInd w:val="0"/>
        <w:snapToGrid w:val="0"/>
        <w:spacing w:after="0" w:line="360" w:lineRule="auto"/>
        <w:ind w:firstLine="480" w:firstLineChars="200"/>
        <w:rPr>
          <w:rFonts w:ascii="宋体" w:hAnsi="宋体"/>
          <w:sz w:val="24"/>
          <w:szCs w:val="24"/>
        </w:rPr>
      </w:pPr>
    </w:p>
    <w:p>
      <w:pPr>
        <w:pStyle w:val="26"/>
        <w:adjustRightInd w:val="0"/>
        <w:snapToGrid w:val="0"/>
        <w:spacing w:after="0" w:line="360" w:lineRule="auto"/>
        <w:ind w:left="0" w:leftChars="0"/>
        <w:rPr>
          <w:rFonts w:ascii="宋体" w:hAnsi="宋体" w:cs="宋体"/>
          <w:sz w:val="28"/>
          <w:szCs w:val="28"/>
        </w:rPr>
      </w:pPr>
    </w:p>
    <w:p>
      <w:pPr>
        <w:pStyle w:val="2"/>
        <w:rPr>
          <w:rFonts w:ascii="宋体" w:hAnsi="宋体" w:eastAsia="宋体" w:cs="宋体"/>
          <w:b/>
          <w:bCs/>
          <w:kern w:val="2"/>
          <w:sz w:val="28"/>
          <w:szCs w:val="28"/>
        </w:rPr>
      </w:pPr>
      <w:r>
        <w:rPr>
          <w:rFonts w:hint="eastAsia" w:ascii="宋体" w:hAnsi="宋体" w:eastAsia="宋体" w:cs="宋体"/>
          <w:b/>
          <w:bCs/>
          <w:sz w:val="28"/>
          <w:szCs w:val="28"/>
        </w:rPr>
        <w:t>格式三：  二、</w:t>
      </w:r>
      <w:r>
        <w:rPr>
          <w:rFonts w:hint="eastAsia" w:ascii="宋体" w:hAnsi="宋体" w:eastAsia="宋体" w:cs="宋体"/>
          <w:b/>
          <w:bCs/>
          <w:kern w:val="2"/>
          <w:sz w:val="28"/>
          <w:szCs w:val="28"/>
        </w:rPr>
        <w:t>开标一栏表（此格式为实质性要求）</w:t>
      </w: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rPr>
      </w:pPr>
    </w:p>
    <w:p>
      <w:pPr>
        <w:adjustRightInd w:val="0"/>
        <w:snapToGrid w:val="0"/>
        <w:spacing w:line="360" w:lineRule="auto"/>
        <w:rPr>
          <w:rFonts w:ascii="宋体" w:hAnsi="宋体"/>
          <w:b/>
          <w:sz w:val="24"/>
          <w:szCs w:val="24"/>
          <w:u w:val="single"/>
        </w:rPr>
      </w:pPr>
      <w:r>
        <w:rPr>
          <w:rFonts w:hint="eastAsia" w:ascii="宋体" w:hAnsi="宋体"/>
          <w:b/>
          <w:sz w:val="24"/>
          <w:szCs w:val="24"/>
        </w:rPr>
        <w:t>项目名称：</w:t>
      </w:r>
    </w:p>
    <w:p>
      <w:pPr>
        <w:adjustRightInd w:val="0"/>
        <w:snapToGrid w:val="0"/>
        <w:spacing w:line="360" w:lineRule="auto"/>
        <w:rPr>
          <w:rFonts w:ascii="宋体" w:hAnsi="宋体"/>
          <w:b/>
          <w:sz w:val="24"/>
          <w:szCs w:val="24"/>
          <w:u w:val="single"/>
        </w:rPr>
      </w:pPr>
      <w:r>
        <w:rPr>
          <w:rFonts w:hint="eastAsia" w:ascii="宋体" w:hAnsi="宋体"/>
          <w:b/>
          <w:sz w:val="24"/>
          <w:szCs w:val="24"/>
        </w:rPr>
        <w:t>项目编号：</w:t>
      </w:r>
    </w:p>
    <w:p>
      <w:pPr>
        <w:adjustRightInd w:val="0"/>
        <w:snapToGrid w:val="0"/>
        <w:spacing w:line="360" w:lineRule="auto"/>
        <w:ind w:firstLine="472" w:firstLineChars="196"/>
        <w:rPr>
          <w:rFonts w:ascii="宋体" w:hAnsi="宋体"/>
          <w:b/>
          <w:sz w:val="24"/>
          <w:szCs w:val="24"/>
        </w:rPr>
      </w:pPr>
    </w:p>
    <w:tbl>
      <w:tblPr>
        <w:tblStyle w:val="44"/>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514"/>
        <w:gridCol w:w="5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006" w:type="dxa"/>
            <w:gridSpan w:val="2"/>
            <w:vAlign w:val="center"/>
          </w:tcPr>
          <w:p>
            <w:pPr>
              <w:spacing w:line="520" w:lineRule="exact"/>
              <w:rPr>
                <w:rFonts w:ascii="宋体" w:hAnsi="宋体"/>
                <w:bCs/>
                <w:szCs w:val="21"/>
              </w:rPr>
            </w:pPr>
            <w:r>
              <w:rPr>
                <w:rFonts w:ascii="宋体" w:hAnsi="宋体"/>
                <w:bCs/>
                <w:szCs w:val="21"/>
              </w:rPr>
              <w:t>投标人名称</w:t>
            </w:r>
          </w:p>
        </w:tc>
        <w:tc>
          <w:tcPr>
            <w:tcW w:w="5613" w:type="dxa"/>
          </w:tcPr>
          <w:p>
            <w:pPr>
              <w:tabs>
                <w:tab w:val="left" w:pos="1590"/>
              </w:tabs>
              <w:spacing w:line="520" w:lineRule="exact"/>
              <w:ind w:firstLine="480"/>
              <w:rPr>
                <w:rFonts w:ascii="宋体" w:hAnsi="宋体"/>
                <w:b/>
                <w:szCs w:val="21"/>
              </w:rPr>
            </w:pPr>
            <w:r>
              <w:rPr>
                <w:rFonts w:ascii="宋体" w:hAnsi="宋体"/>
                <w:b/>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006" w:type="dxa"/>
            <w:gridSpan w:val="2"/>
            <w:vAlign w:val="center"/>
          </w:tcPr>
          <w:p>
            <w:pPr>
              <w:spacing w:line="520" w:lineRule="exact"/>
              <w:rPr>
                <w:rFonts w:ascii="宋体" w:hAnsi="宋体"/>
                <w:bCs/>
                <w:szCs w:val="21"/>
              </w:rPr>
            </w:pPr>
            <w:r>
              <w:rPr>
                <w:rFonts w:hint="eastAsia" w:ascii="宋体" w:hAnsi="宋体"/>
                <w:bCs/>
                <w:szCs w:val="21"/>
              </w:rPr>
              <w:t>服务内容</w:t>
            </w:r>
          </w:p>
        </w:tc>
        <w:tc>
          <w:tcPr>
            <w:tcW w:w="5613" w:type="dxa"/>
          </w:tcPr>
          <w:p>
            <w:pPr>
              <w:tabs>
                <w:tab w:val="left" w:pos="1590"/>
              </w:tabs>
              <w:spacing w:line="520" w:lineRule="exact"/>
              <w:ind w:firstLine="480"/>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92" w:type="dxa"/>
            <w:vMerge w:val="restart"/>
            <w:vAlign w:val="center"/>
          </w:tcPr>
          <w:p>
            <w:pPr>
              <w:spacing w:line="520" w:lineRule="exact"/>
            </w:pPr>
            <w:r>
              <w:t>投标报价</w:t>
            </w:r>
          </w:p>
          <w:p>
            <w:pPr>
              <w:pStyle w:val="2"/>
            </w:pPr>
          </w:p>
        </w:tc>
        <w:tc>
          <w:tcPr>
            <w:tcW w:w="2514" w:type="dxa"/>
            <w:vAlign w:val="center"/>
          </w:tcPr>
          <w:p>
            <w:pPr>
              <w:pStyle w:val="2"/>
              <w:rPr>
                <w:rFonts w:ascii="宋体" w:hAnsi="宋体" w:eastAsia="宋体"/>
                <w:bCs/>
                <w:color w:val="auto"/>
                <w:kern w:val="2"/>
                <w:sz w:val="21"/>
                <w:szCs w:val="21"/>
              </w:rPr>
            </w:pPr>
            <w:r>
              <w:rPr>
                <w:rFonts w:hint="eastAsia" w:ascii="宋体" w:hAnsi="宋体" w:eastAsia="宋体"/>
                <w:bCs/>
                <w:color w:val="auto"/>
                <w:kern w:val="2"/>
                <w:sz w:val="21"/>
                <w:szCs w:val="21"/>
              </w:rPr>
              <w:t>竞争性报价</w:t>
            </w:r>
          </w:p>
        </w:tc>
        <w:tc>
          <w:tcPr>
            <w:tcW w:w="5613" w:type="dxa"/>
            <w:vAlign w:val="center"/>
          </w:tcPr>
          <w:p>
            <w:pPr>
              <w:spacing w:line="360" w:lineRule="exact"/>
              <w:jc w:val="left"/>
              <w:rPr>
                <w:rFonts w:ascii="宋体" w:hAnsi="宋体"/>
                <w:szCs w:val="21"/>
                <w:u w:val="single"/>
              </w:rPr>
            </w:pPr>
            <w:r>
              <w:rPr>
                <w:rFonts w:hint="eastAsia" w:ascii="宋体" w:hAnsi="宋体"/>
                <w:szCs w:val="21"/>
              </w:rPr>
              <w:t>金额：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92" w:type="dxa"/>
            <w:vMerge w:val="continue"/>
            <w:vAlign w:val="center"/>
          </w:tcPr>
          <w:p>
            <w:pPr>
              <w:pStyle w:val="2"/>
            </w:pPr>
          </w:p>
        </w:tc>
        <w:tc>
          <w:tcPr>
            <w:tcW w:w="2514" w:type="dxa"/>
            <w:vAlign w:val="center"/>
          </w:tcPr>
          <w:p>
            <w:pPr>
              <w:pStyle w:val="2"/>
              <w:rPr>
                <w:rFonts w:ascii="宋体" w:hAnsi="宋体" w:eastAsia="宋体"/>
                <w:bCs/>
                <w:color w:val="auto"/>
                <w:kern w:val="2"/>
                <w:sz w:val="21"/>
                <w:szCs w:val="21"/>
              </w:rPr>
            </w:pPr>
            <w:r>
              <w:rPr>
                <w:rFonts w:hint="eastAsia" w:ascii="宋体" w:hAnsi="宋体" w:eastAsia="宋体"/>
                <w:bCs/>
                <w:color w:val="auto"/>
                <w:kern w:val="2"/>
                <w:sz w:val="21"/>
                <w:szCs w:val="21"/>
              </w:rPr>
              <w:t>非竞争性报价</w:t>
            </w:r>
          </w:p>
        </w:tc>
        <w:tc>
          <w:tcPr>
            <w:tcW w:w="5613" w:type="dxa"/>
            <w:vAlign w:val="center"/>
          </w:tcPr>
          <w:p>
            <w:pPr>
              <w:spacing w:line="360" w:lineRule="exact"/>
              <w:jc w:val="left"/>
              <w:rPr>
                <w:rFonts w:ascii="宋体" w:hAnsi="宋体"/>
                <w:szCs w:val="21"/>
                <w:u w:val="single"/>
              </w:rPr>
            </w:pPr>
            <w:r>
              <w:rPr>
                <w:rFonts w:hint="eastAsia" w:ascii="宋体" w:hAnsi="宋体"/>
                <w:szCs w:val="21"/>
              </w:rPr>
              <w:t>金额：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006" w:type="dxa"/>
            <w:gridSpan w:val="2"/>
            <w:vAlign w:val="center"/>
          </w:tcPr>
          <w:p>
            <w:pPr>
              <w:pStyle w:val="2"/>
              <w:rPr>
                <w:rFonts w:eastAsia="宋体"/>
              </w:rPr>
            </w:pPr>
            <w:r>
              <w:rPr>
                <w:rFonts w:hint="eastAsia" w:ascii="宋体" w:hAnsi="宋体" w:eastAsia="宋体"/>
                <w:bCs/>
                <w:color w:val="auto"/>
                <w:kern w:val="2"/>
                <w:sz w:val="21"/>
                <w:szCs w:val="21"/>
              </w:rPr>
              <w:t>投标总价</w:t>
            </w:r>
          </w:p>
        </w:tc>
        <w:tc>
          <w:tcPr>
            <w:tcW w:w="5613" w:type="dxa"/>
            <w:vAlign w:val="center"/>
          </w:tcPr>
          <w:p>
            <w:pPr>
              <w:spacing w:line="360" w:lineRule="exact"/>
              <w:jc w:val="left"/>
              <w:rPr>
                <w:rFonts w:ascii="宋体" w:hAnsi="宋体"/>
                <w:szCs w:val="21"/>
              </w:rPr>
            </w:pPr>
            <w:r>
              <w:rPr>
                <w:rFonts w:hint="eastAsia" w:ascii="宋体" w:hAnsi="宋体"/>
                <w:szCs w:val="21"/>
              </w:rPr>
              <w:t>金额：                大写：</w:t>
            </w:r>
          </w:p>
        </w:tc>
      </w:tr>
    </w:tbl>
    <w:p>
      <w:pPr>
        <w:adjustRightInd w:val="0"/>
        <w:snapToGrid w:val="0"/>
        <w:spacing w:line="360" w:lineRule="auto"/>
        <w:ind w:firstLine="472" w:firstLineChars="196"/>
        <w:rPr>
          <w:rFonts w:ascii="宋体" w:hAnsi="宋体"/>
          <w:b/>
          <w:sz w:val="24"/>
          <w:szCs w:val="24"/>
        </w:rPr>
      </w:pPr>
    </w:p>
    <w:p>
      <w:pPr>
        <w:adjustRightInd w:val="0"/>
        <w:snapToGrid w:val="0"/>
        <w:spacing w:line="360" w:lineRule="auto"/>
        <w:ind w:firstLine="472" w:firstLineChars="196"/>
        <w:rPr>
          <w:rFonts w:ascii="宋体" w:hAnsi="宋体"/>
          <w:b/>
          <w:sz w:val="24"/>
          <w:szCs w:val="24"/>
        </w:rPr>
      </w:pPr>
      <w:r>
        <w:rPr>
          <w:rFonts w:hint="eastAsia" w:ascii="宋体" w:hAnsi="宋体"/>
          <w:b/>
          <w:sz w:val="24"/>
          <w:szCs w:val="24"/>
        </w:rPr>
        <w:t>注:</w:t>
      </w:r>
    </w:p>
    <w:p>
      <w:pPr>
        <w:adjustRightInd w:val="0"/>
        <w:snapToGrid w:val="0"/>
        <w:spacing w:line="360" w:lineRule="auto"/>
        <w:ind w:firstLine="472" w:firstLineChars="196"/>
        <w:rPr>
          <w:rFonts w:ascii="宋体" w:hAnsi="宋体"/>
          <w:b/>
          <w:sz w:val="24"/>
          <w:szCs w:val="24"/>
        </w:rPr>
      </w:pPr>
      <w:r>
        <w:rPr>
          <w:rFonts w:ascii="宋体" w:hAnsi="宋体"/>
          <w:b/>
          <w:sz w:val="24"/>
          <w:szCs w:val="24"/>
        </w:rPr>
        <w:t>1</w:t>
      </w:r>
      <w:r>
        <w:rPr>
          <w:rFonts w:hint="eastAsia" w:ascii="宋体" w:hAnsi="宋体"/>
          <w:b/>
          <w:sz w:val="24"/>
          <w:szCs w:val="24"/>
        </w:rPr>
        <w:t>.报价应是招标文件要求的全部服务的最终报价，包括人工费、国内税费、培训、知识产权费（若有）等费用以及一切其它相关费用。</w:t>
      </w:r>
    </w:p>
    <w:p>
      <w:pPr>
        <w:adjustRightInd w:val="0"/>
        <w:snapToGrid w:val="0"/>
        <w:spacing w:line="360" w:lineRule="auto"/>
        <w:ind w:firstLine="472" w:firstLineChars="196"/>
        <w:rPr>
          <w:rFonts w:ascii="宋体" w:hAnsi="宋体"/>
          <w:b/>
          <w:sz w:val="24"/>
          <w:szCs w:val="24"/>
        </w:rPr>
      </w:pPr>
      <w:r>
        <w:rPr>
          <w:rFonts w:ascii="宋体" w:hAnsi="宋体"/>
          <w:b/>
          <w:sz w:val="24"/>
          <w:szCs w:val="24"/>
        </w:rPr>
        <w:t>2</w:t>
      </w:r>
      <w:r>
        <w:rPr>
          <w:rFonts w:hint="eastAsia" w:ascii="宋体" w:hAnsi="宋体"/>
          <w:b/>
          <w:sz w:val="24"/>
          <w:szCs w:val="24"/>
        </w:rPr>
        <w:t>.以上表格格式行可增减。</w:t>
      </w:r>
    </w:p>
    <w:p>
      <w:pPr>
        <w:adjustRightInd w:val="0"/>
        <w:snapToGrid w:val="0"/>
        <w:spacing w:line="360" w:lineRule="auto"/>
        <w:ind w:firstLine="472" w:firstLineChars="196"/>
        <w:rPr>
          <w:rFonts w:ascii="宋体" w:hAnsi="宋体"/>
          <w:b/>
          <w:sz w:val="24"/>
          <w:szCs w:val="24"/>
        </w:rPr>
      </w:pPr>
      <w:r>
        <w:rPr>
          <w:rFonts w:ascii="宋体" w:hAnsi="宋体"/>
          <w:b/>
          <w:sz w:val="24"/>
          <w:szCs w:val="24"/>
        </w:rPr>
        <w:t>3.</w:t>
      </w:r>
      <w:r>
        <w:rPr>
          <w:rFonts w:hint="eastAsia" w:ascii="宋体" w:hAnsi="宋体"/>
          <w:b/>
          <w:sz w:val="24"/>
          <w:szCs w:val="24"/>
        </w:rPr>
        <w:t>投标人应将投标报价表单独密封在开标信封内，且与投标文件分开单独密封，投标时，同时递交。</w:t>
      </w:r>
    </w:p>
    <w:p>
      <w:pPr>
        <w:pStyle w:val="26"/>
        <w:adjustRightInd w:val="0"/>
        <w:snapToGrid w:val="0"/>
        <w:spacing w:line="360" w:lineRule="auto"/>
        <w:ind w:firstLine="247" w:firstLineChars="103"/>
        <w:rPr>
          <w:rFonts w:ascii="宋体" w:hAnsi="宋体"/>
          <w:bCs/>
          <w:sz w:val="24"/>
          <w:szCs w:val="24"/>
        </w:rPr>
      </w:pPr>
      <w:r>
        <w:rPr>
          <w:rFonts w:hint="eastAsia" w:ascii="宋体" w:hAnsi="宋体"/>
          <w:bCs/>
          <w:sz w:val="24"/>
          <w:szCs w:val="24"/>
        </w:rPr>
        <w:t>投标人名称：（加盖公章）</w:t>
      </w:r>
    </w:p>
    <w:p>
      <w:pPr>
        <w:pStyle w:val="26"/>
        <w:adjustRightInd w:val="0"/>
        <w:snapToGrid w:val="0"/>
        <w:spacing w:line="360" w:lineRule="auto"/>
        <w:ind w:firstLine="247" w:firstLineChars="103"/>
        <w:rPr>
          <w:rFonts w:hint="eastAsia" w:ascii="宋体" w:hAnsi="宋体"/>
          <w:bCs/>
          <w:sz w:val="24"/>
          <w:szCs w:val="24"/>
        </w:rPr>
      </w:pPr>
      <w:r>
        <w:rPr>
          <w:rFonts w:hint="eastAsia" w:ascii="宋体" w:hAnsi="宋体"/>
          <w:bCs/>
          <w:sz w:val="24"/>
          <w:szCs w:val="24"/>
        </w:rPr>
        <w:t>法定代表人或</w:t>
      </w:r>
      <w:r>
        <w:rPr>
          <w:rFonts w:hint="eastAsia" w:ascii="宋体" w:hAnsi="宋体"/>
          <w:bCs/>
          <w:sz w:val="24"/>
          <w:szCs w:val="24"/>
          <w:lang w:val="en-US" w:eastAsia="zh-CN"/>
        </w:rPr>
        <w:t>授权代表</w:t>
      </w:r>
      <w:r>
        <w:rPr>
          <w:rFonts w:hint="eastAsia" w:ascii="宋体" w:hAnsi="宋体" w:cs="宋体"/>
          <w:sz w:val="24"/>
          <w:szCs w:val="24"/>
        </w:rPr>
        <w:t>（被授权人）</w:t>
      </w:r>
      <w:r>
        <w:rPr>
          <w:rFonts w:hint="eastAsia" w:ascii="宋体" w:hAnsi="宋体"/>
          <w:bCs/>
          <w:sz w:val="24"/>
          <w:szCs w:val="24"/>
        </w:rPr>
        <w:t>：     （签字或加盖个人名章）</w:t>
      </w:r>
    </w:p>
    <w:p>
      <w:pPr>
        <w:pStyle w:val="26"/>
        <w:adjustRightInd w:val="0"/>
        <w:snapToGrid w:val="0"/>
        <w:spacing w:line="360" w:lineRule="auto"/>
        <w:ind w:firstLine="247" w:firstLineChars="103"/>
        <w:rPr>
          <w:rFonts w:ascii="宋体" w:hAnsi="宋体"/>
          <w:sz w:val="24"/>
          <w:szCs w:val="24"/>
        </w:rPr>
      </w:pPr>
      <w:r>
        <w:rPr>
          <w:rFonts w:ascii="宋体" w:hAnsi="宋体"/>
          <w:sz w:val="24"/>
          <w:szCs w:val="24"/>
        </w:rPr>
        <w:t>日期：XXXX年</w:t>
      </w:r>
      <w:r>
        <w:rPr>
          <w:rFonts w:hint="eastAsia" w:ascii="宋体" w:hAnsi="宋体"/>
          <w:sz w:val="24"/>
          <w:szCs w:val="24"/>
        </w:rPr>
        <w:t>XX</w:t>
      </w:r>
      <w:r>
        <w:rPr>
          <w:rFonts w:ascii="宋体" w:hAnsi="宋体"/>
          <w:sz w:val="24"/>
          <w:szCs w:val="24"/>
        </w:rPr>
        <w:t>月</w:t>
      </w:r>
      <w:r>
        <w:rPr>
          <w:rFonts w:hint="eastAsia" w:ascii="宋体" w:hAnsi="宋体"/>
          <w:sz w:val="24"/>
          <w:szCs w:val="24"/>
        </w:rPr>
        <w:t>XX</w:t>
      </w:r>
      <w:r>
        <w:rPr>
          <w:rFonts w:ascii="宋体" w:hAnsi="宋体"/>
          <w:sz w:val="24"/>
          <w:szCs w:val="24"/>
        </w:rPr>
        <w:t>日</w:t>
      </w:r>
    </w:p>
    <w:p>
      <w:pPr>
        <w:pStyle w:val="26"/>
        <w:adjustRightInd w:val="0"/>
        <w:snapToGrid w:val="0"/>
        <w:spacing w:line="360" w:lineRule="auto"/>
        <w:ind w:firstLine="247" w:firstLineChars="103"/>
        <w:rPr>
          <w:rFonts w:ascii="宋体" w:hAnsi="宋体"/>
          <w:sz w:val="24"/>
          <w:szCs w:val="24"/>
        </w:rPr>
      </w:pPr>
      <w:r>
        <w:rPr>
          <w:rFonts w:hint="eastAsia" w:ascii="宋体" w:hAnsi="宋体"/>
          <w:bCs/>
          <w:sz w:val="24"/>
          <w:szCs w:val="24"/>
        </w:rPr>
        <w:t>说明：投标报价应为包括招标文件规定的全部投标内容的报价。</w:t>
      </w:r>
    </w:p>
    <w:p>
      <w:pPr>
        <w:pStyle w:val="26"/>
        <w:adjustRightInd w:val="0"/>
        <w:snapToGrid w:val="0"/>
        <w:spacing w:line="360" w:lineRule="auto"/>
        <w:rPr>
          <w:rFonts w:ascii="宋体" w:hAnsi="宋体"/>
          <w:bCs/>
          <w:sz w:val="28"/>
          <w:szCs w:val="28"/>
          <w:u w:val="single"/>
        </w:rPr>
      </w:pPr>
    </w:p>
    <w:p>
      <w:pPr>
        <w:pStyle w:val="2"/>
      </w:pPr>
      <w:bookmarkStart w:id="211" w:name="_Toc239846734"/>
      <w:bookmarkStart w:id="212" w:name="_Toc240367172"/>
      <w:bookmarkStart w:id="213" w:name="_Toc231030275"/>
      <w:bookmarkStart w:id="214" w:name="_Toc229802674"/>
      <w:bookmarkStart w:id="215" w:name="_Toc314574804"/>
      <w:bookmarkStart w:id="216" w:name="_Toc239849853"/>
      <w:bookmarkStart w:id="217" w:name="_Toc240865266"/>
      <w:bookmarkStart w:id="218" w:name="_Toc237145395"/>
      <w:bookmarkStart w:id="219" w:name="_Toc265494342"/>
    </w:p>
    <w:p>
      <w:pPr>
        <w:pStyle w:val="2"/>
      </w:pPr>
    </w:p>
    <w:p>
      <w:pPr>
        <w:pStyle w:val="2"/>
      </w:pPr>
    </w:p>
    <w:p>
      <w:pPr>
        <w:pStyle w:val="2"/>
      </w:pPr>
    </w:p>
    <w:p>
      <w:pPr>
        <w:pStyle w:val="2"/>
      </w:pPr>
    </w:p>
    <w:p>
      <w:pPr>
        <w:pStyle w:val="2"/>
      </w:pPr>
    </w:p>
    <w:p>
      <w:pPr>
        <w:pStyle w:val="2"/>
        <w:jc w:val="both"/>
        <w:rPr>
          <w:rFonts w:ascii="宋体" w:hAnsi="宋体" w:eastAsia="宋体"/>
          <w:b/>
          <w:bCs/>
          <w:color w:val="auto"/>
          <w:kern w:val="2"/>
          <w:sz w:val="28"/>
          <w:szCs w:val="28"/>
        </w:rPr>
      </w:pPr>
      <w:r>
        <w:rPr>
          <w:rFonts w:hint="eastAsia" w:ascii="宋体" w:hAnsi="宋体" w:eastAsia="宋体"/>
          <w:b/>
          <w:bCs/>
          <w:color w:val="auto"/>
          <w:kern w:val="2"/>
          <w:sz w:val="28"/>
          <w:szCs w:val="28"/>
        </w:rPr>
        <w:t>格式四：</w:t>
      </w:r>
    </w:p>
    <w:p>
      <w:pPr>
        <w:pStyle w:val="2"/>
        <w:jc w:val="both"/>
        <w:rPr>
          <w:rFonts w:ascii="宋体" w:hAnsi="宋体" w:eastAsia="宋体"/>
          <w:b/>
          <w:bCs/>
          <w:color w:val="auto"/>
          <w:kern w:val="2"/>
          <w:sz w:val="28"/>
          <w:szCs w:val="28"/>
        </w:rPr>
      </w:pPr>
    </w:p>
    <w:p>
      <w:pPr>
        <w:pStyle w:val="2"/>
        <w:jc w:val="both"/>
        <w:rPr>
          <w:rFonts w:ascii="宋体" w:hAnsi="宋体" w:eastAsia="宋体"/>
          <w:b/>
          <w:bCs/>
          <w:color w:val="auto"/>
          <w:kern w:val="2"/>
          <w:sz w:val="28"/>
          <w:szCs w:val="28"/>
        </w:rPr>
      </w:pPr>
    </w:p>
    <w:p>
      <w:pPr>
        <w:spacing w:before="54"/>
        <w:ind w:right="27"/>
        <w:jc w:val="center"/>
        <w:rPr>
          <w:b/>
          <w:sz w:val="28"/>
          <w:szCs w:val="28"/>
        </w:rPr>
      </w:pPr>
      <w:r>
        <w:rPr>
          <w:rFonts w:hint="eastAsia"/>
          <w:b/>
          <w:sz w:val="28"/>
          <w:szCs w:val="28"/>
        </w:rPr>
        <w:t>三</w:t>
      </w:r>
      <w:r>
        <w:rPr>
          <w:b/>
          <w:sz w:val="28"/>
          <w:szCs w:val="28"/>
        </w:rPr>
        <w:t>、法定代表人授权</w:t>
      </w:r>
      <w:r>
        <w:rPr>
          <w:rFonts w:hint="eastAsia"/>
          <w:b/>
          <w:sz w:val="28"/>
          <w:szCs w:val="28"/>
        </w:rPr>
        <w:t>委托</w:t>
      </w:r>
      <w:r>
        <w:rPr>
          <w:b/>
          <w:sz w:val="28"/>
          <w:szCs w:val="28"/>
        </w:rPr>
        <w:t>书</w:t>
      </w:r>
    </w:p>
    <w:p>
      <w:pPr>
        <w:pStyle w:val="18"/>
        <w:rPr>
          <w:b/>
          <w:sz w:val="32"/>
        </w:rPr>
      </w:pPr>
    </w:p>
    <w:p>
      <w:pPr>
        <w:pStyle w:val="18"/>
        <w:spacing w:before="6"/>
        <w:rPr>
          <w:b/>
          <w:sz w:val="35"/>
        </w:rPr>
      </w:pPr>
    </w:p>
    <w:p>
      <w:pPr>
        <w:pStyle w:val="18"/>
        <w:spacing w:before="1"/>
        <w:ind w:left="372"/>
      </w:pPr>
      <w:r>
        <w:rPr>
          <w:rFonts w:hint="eastAsia" w:ascii="宋体" w:hAnsi="宋体"/>
          <w:bCs/>
          <w:sz w:val="24"/>
          <w:szCs w:val="24"/>
        </w:rPr>
        <w:t>成都青青工程造价咨询有限责任公司</w:t>
      </w:r>
      <w:r>
        <w:t>：</w:t>
      </w:r>
    </w:p>
    <w:p>
      <w:pPr>
        <w:pStyle w:val="18"/>
        <w:tabs>
          <w:tab w:val="left" w:pos="4239"/>
          <w:tab w:val="left" w:pos="4534"/>
          <w:tab w:val="left" w:pos="7971"/>
          <w:tab w:val="left" w:pos="9040"/>
        </w:tabs>
        <w:spacing w:before="124" w:line="360" w:lineRule="auto"/>
        <w:ind w:left="374" w:right="402" w:firstLine="720"/>
        <w:rPr>
          <w:sz w:val="24"/>
          <w:szCs w:val="24"/>
        </w:rPr>
      </w:pPr>
      <w:r>
        <w:rPr>
          <w:spacing w:val="4"/>
          <w:sz w:val="24"/>
          <w:szCs w:val="24"/>
        </w:rPr>
        <w:t>本</w:t>
      </w:r>
      <w:r>
        <w:rPr>
          <w:sz w:val="24"/>
          <w:szCs w:val="24"/>
        </w:rPr>
        <w:t>授</w:t>
      </w:r>
      <w:r>
        <w:rPr>
          <w:spacing w:val="4"/>
          <w:sz w:val="24"/>
          <w:szCs w:val="24"/>
        </w:rPr>
        <w:t>权</w:t>
      </w:r>
      <w:r>
        <w:rPr>
          <w:sz w:val="24"/>
          <w:szCs w:val="24"/>
        </w:rPr>
        <w:t>声</w:t>
      </w:r>
      <w:r>
        <w:rPr>
          <w:spacing w:val="4"/>
          <w:sz w:val="24"/>
          <w:szCs w:val="24"/>
        </w:rPr>
        <w:t>明：</w:t>
      </w:r>
      <w:r>
        <w:rPr>
          <w:spacing w:val="4"/>
          <w:sz w:val="24"/>
          <w:szCs w:val="24"/>
          <w:u w:val="single"/>
        </w:rPr>
        <w:t xml:space="preserve"> </w:t>
      </w:r>
      <w:r>
        <w:rPr>
          <w:spacing w:val="4"/>
          <w:sz w:val="24"/>
          <w:szCs w:val="24"/>
          <w:u w:val="single"/>
        </w:rPr>
        <w:tab/>
      </w:r>
      <w:r>
        <w:rPr>
          <w:spacing w:val="4"/>
          <w:sz w:val="24"/>
          <w:szCs w:val="24"/>
          <w:u w:val="single"/>
        </w:rPr>
        <w:tab/>
      </w:r>
      <w:r>
        <w:rPr>
          <w:spacing w:val="4"/>
          <w:sz w:val="24"/>
          <w:szCs w:val="24"/>
        </w:rPr>
        <w:t>（</w:t>
      </w:r>
      <w:r>
        <w:rPr>
          <w:sz w:val="24"/>
          <w:szCs w:val="24"/>
        </w:rPr>
        <w:t>投</w:t>
      </w:r>
      <w:r>
        <w:rPr>
          <w:spacing w:val="4"/>
          <w:sz w:val="24"/>
          <w:szCs w:val="24"/>
        </w:rPr>
        <w:t>标</w:t>
      </w:r>
      <w:r>
        <w:rPr>
          <w:sz w:val="24"/>
          <w:szCs w:val="24"/>
        </w:rPr>
        <w:t>人</w:t>
      </w:r>
      <w:r>
        <w:rPr>
          <w:spacing w:val="4"/>
          <w:sz w:val="24"/>
          <w:szCs w:val="24"/>
        </w:rPr>
        <w:t>名</w:t>
      </w:r>
      <w:r>
        <w:rPr>
          <w:sz w:val="24"/>
          <w:szCs w:val="24"/>
        </w:rPr>
        <w:t>称</w:t>
      </w:r>
      <w:r>
        <w:rPr>
          <w:spacing w:val="4"/>
          <w:sz w:val="24"/>
          <w:szCs w:val="24"/>
        </w:rPr>
        <w:t>）</w:t>
      </w:r>
      <w:r>
        <w:rPr>
          <w:spacing w:val="4"/>
          <w:sz w:val="24"/>
          <w:szCs w:val="24"/>
          <w:u w:val="single"/>
        </w:rPr>
        <w:t xml:space="preserve"> </w:t>
      </w:r>
      <w:r>
        <w:rPr>
          <w:spacing w:val="4"/>
          <w:sz w:val="24"/>
          <w:szCs w:val="24"/>
          <w:u w:val="single"/>
        </w:rPr>
        <w:tab/>
      </w:r>
      <w:r>
        <w:rPr>
          <w:spacing w:val="4"/>
          <w:sz w:val="24"/>
          <w:szCs w:val="24"/>
        </w:rPr>
        <w:t>（法</w:t>
      </w:r>
      <w:r>
        <w:rPr>
          <w:sz w:val="24"/>
          <w:szCs w:val="24"/>
        </w:rPr>
        <w:t>定</w:t>
      </w:r>
      <w:r>
        <w:rPr>
          <w:spacing w:val="4"/>
          <w:sz w:val="24"/>
          <w:szCs w:val="24"/>
        </w:rPr>
        <w:t>代</w:t>
      </w:r>
      <w:r>
        <w:rPr>
          <w:sz w:val="24"/>
          <w:szCs w:val="24"/>
        </w:rPr>
        <w:t>表人姓名、职务）授权</w:t>
      </w:r>
      <w:r>
        <w:rPr>
          <w:sz w:val="24"/>
          <w:szCs w:val="24"/>
          <w:u w:val="single"/>
        </w:rPr>
        <w:t xml:space="preserve"> </w:t>
      </w:r>
      <w:r>
        <w:rPr>
          <w:sz w:val="24"/>
          <w:szCs w:val="24"/>
          <w:u w:val="single"/>
        </w:rPr>
        <w:tab/>
      </w:r>
      <w:r>
        <w:rPr>
          <w:sz w:val="24"/>
          <w:szCs w:val="24"/>
        </w:rPr>
        <w:t>（被授权人姓名、职务）为我方</w:t>
      </w:r>
      <w:r>
        <w:rPr>
          <w:spacing w:val="17"/>
          <w:sz w:val="24"/>
          <w:szCs w:val="24"/>
        </w:rPr>
        <w:t xml:space="preserve"> </w:t>
      </w:r>
      <w:r>
        <w:rPr>
          <w:sz w:val="24"/>
          <w:szCs w:val="24"/>
        </w:rPr>
        <w:t>“</w:t>
      </w:r>
      <w:r>
        <w:rPr>
          <w:sz w:val="24"/>
          <w:szCs w:val="24"/>
          <w:u w:val="single"/>
        </w:rPr>
        <w:t xml:space="preserve"> </w:t>
      </w:r>
      <w:r>
        <w:rPr>
          <w:sz w:val="24"/>
          <w:szCs w:val="24"/>
          <w:u w:val="single"/>
        </w:rPr>
        <w:tab/>
      </w:r>
      <w:r>
        <w:rPr>
          <w:sz w:val="24"/>
          <w:szCs w:val="24"/>
        </w:rPr>
        <w:t>”</w:t>
      </w:r>
      <w:r>
        <w:rPr>
          <w:spacing w:val="5"/>
          <w:sz w:val="24"/>
          <w:szCs w:val="24"/>
        </w:rPr>
        <w:t xml:space="preserve"> </w:t>
      </w:r>
      <w:r>
        <w:rPr>
          <w:sz w:val="24"/>
          <w:szCs w:val="24"/>
        </w:rPr>
        <w:t>项</w:t>
      </w:r>
      <w:r>
        <w:rPr>
          <w:spacing w:val="-15"/>
          <w:sz w:val="24"/>
          <w:szCs w:val="24"/>
        </w:rPr>
        <w:t>目</w:t>
      </w:r>
    </w:p>
    <w:p>
      <w:pPr>
        <w:pStyle w:val="18"/>
        <w:tabs>
          <w:tab w:val="left" w:pos="3120"/>
        </w:tabs>
        <w:spacing w:before="1" w:line="360" w:lineRule="auto"/>
        <w:ind w:left="374" w:right="405"/>
        <w:rPr>
          <w:sz w:val="24"/>
          <w:szCs w:val="24"/>
        </w:rPr>
      </w:pPr>
      <w:r>
        <w:rPr>
          <w:spacing w:val="7"/>
          <w:sz w:val="24"/>
          <w:szCs w:val="24"/>
        </w:rPr>
        <w:t>（采</w:t>
      </w:r>
      <w:r>
        <w:rPr>
          <w:spacing w:val="9"/>
          <w:sz w:val="24"/>
          <w:szCs w:val="24"/>
        </w:rPr>
        <w:t>购</w:t>
      </w:r>
      <w:r>
        <w:rPr>
          <w:spacing w:val="7"/>
          <w:sz w:val="24"/>
          <w:szCs w:val="24"/>
        </w:rPr>
        <w:t>项目编号</w:t>
      </w:r>
      <w:r>
        <w:rPr>
          <w:spacing w:val="9"/>
          <w:sz w:val="24"/>
          <w:szCs w:val="24"/>
        </w:rPr>
        <w:t>：</w:t>
      </w:r>
      <w:r>
        <w:rPr>
          <w:spacing w:val="9"/>
          <w:sz w:val="24"/>
          <w:szCs w:val="24"/>
          <w:u w:val="single"/>
        </w:rPr>
        <w:t xml:space="preserve"> </w:t>
      </w:r>
      <w:r>
        <w:rPr>
          <w:spacing w:val="9"/>
          <w:sz w:val="24"/>
          <w:szCs w:val="24"/>
          <w:u w:val="single"/>
        </w:rPr>
        <w:tab/>
      </w:r>
      <w:r>
        <w:rPr>
          <w:spacing w:val="7"/>
          <w:sz w:val="24"/>
          <w:szCs w:val="24"/>
        </w:rPr>
        <w:t>）投</w:t>
      </w:r>
      <w:r>
        <w:rPr>
          <w:spacing w:val="9"/>
          <w:sz w:val="24"/>
          <w:szCs w:val="24"/>
        </w:rPr>
        <w:t>标</w:t>
      </w:r>
      <w:r>
        <w:rPr>
          <w:spacing w:val="7"/>
          <w:sz w:val="24"/>
          <w:szCs w:val="24"/>
        </w:rPr>
        <w:t>活动的合</w:t>
      </w:r>
      <w:r>
        <w:rPr>
          <w:spacing w:val="9"/>
          <w:sz w:val="24"/>
          <w:szCs w:val="24"/>
        </w:rPr>
        <w:t>法</w:t>
      </w:r>
      <w:r>
        <w:rPr>
          <w:spacing w:val="7"/>
          <w:sz w:val="24"/>
          <w:szCs w:val="24"/>
        </w:rPr>
        <w:t>代表，以</w:t>
      </w:r>
      <w:r>
        <w:rPr>
          <w:spacing w:val="9"/>
          <w:sz w:val="24"/>
          <w:szCs w:val="24"/>
        </w:rPr>
        <w:t>我</w:t>
      </w:r>
      <w:r>
        <w:rPr>
          <w:spacing w:val="7"/>
          <w:sz w:val="24"/>
          <w:szCs w:val="24"/>
        </w:rPr>
        <w:t>方名义全</w:t>
      </w:r>
      <w:r>
        <w:rPr>
          <w:spacing w:val="9"/>
          <w:sz w:val="24"/>
          <w:szCs w:val="24"/>
        </w:rPr>
        <w:t>权</w:t>
      </w:r>
      <w:r>
        <w:rPr>
          <w:spacing w:val="7"/>
          <w:sz w:val="24"/>
          <w:szCs w:val="24"/>
        </w:rPr>
        <w:t>处理该</w:t>
      </w:r>
      <w:r>
        <w:rPr>
          <w:spacing w:val="9"/>
          <w:sz w:val="24"/>
          <w:szCs w:val="24"/>
        </w:rPr>
        <w:t>项</w:t>
      </w:r>
      <w:r>
        <w:rPr>
          <w:spacing w:val="7"/>
          <w:sz w:val="24"/>
          <w:szCs w:val="24"/>
        </w:rPr>
        <w:t>目有关</w:t>
      </w:r>
      <w:r>
        <w:rPr>
          <w:spacing w:val="-10"/>
          <w:sz w:val="24"/>
          <w:szCs w:val="24"/>
        </w:rPr>
        <w:t>投</w:t>
      </w:r>
      <w:r>
        <w:rPr>
          <w:sz w:val="24"/>
          <w:szCs w:val="24"/>
        </w:rPr>
        <w:t>标、签订合同以及执行合同等一切事宜。</w:t>
      </w:r>
    </w:p>
    <w:p>
      <w:pPr>
        <w:pStyle w:val="18"/>
        <w:spacing w:before="122" w:line="360" w:lineRule="auto"/>
        <w:ind w:left="374"/>
        <w:rPr>
          <w:sz w:val="24"/>
          <w:szCs w:val="24"/>
        </w:rPr>
      </w:pPr>
      <w:r>
        <w:rPr>
          <w:sz w:val="24"/>
          <w:szCs w:val="24"/>
        </w:rPr>
        <w:t>特此声明。</w:t>
      </w:r>
    </w:p>
    <w:p>
      <w:pPr>
        <w:pStyle w:val="18"/>
      </w:pPr>
    </w:p>
    <w:p>
      <w:pPr>
        <w:pStyle w:val="18"/>
      </w:pPr>
    </w:p>
    <w:p>
      <w:pPr>
        <w:pStyle w:val="18"/>
        <w:rPr>
          <w:sz w:val="29"/>
        </w:rPr>
      </w:pPr>
    </w:p>
    <w:p>
      <w:pPr>
        <w:pStyle w:val="18"/>
        <w:spacing w:line="360" w:lineRule="auto"/>
        <w:ind w:left="374" w:right="3225"/>
        <w:rPr>
          <w:rFonts w:ascii="宋体" w:hAnsi="宋体" w:cs="宋体"/>
          <w:sz w:val="24"/>
          <w:szCs w:val="24"/>
        </w:rPr>
      </w:pPr>
      <w:r>
        <w:rPr>
          <w:rFonts w:hint="eastAsia" w:ascii="宋体" w:hAnsi="宋体" w:cs="宋体"/>
          <w:sz w:val="24"/>
          <w:szCs w:val="24"/>
        </w:rPr>
        <w:t>法定代表人（委托人）签字或者加盖个人名章：</w:t>
      </w:r>
    </w:p>
    <w:p>
      <w:pPr>
        <w:pStyle w:val="18"/>
        <w:spacing w:line="360" w:lineRule="auto"/>
        <w:ind w:right="3225" w:firstLine="240" w:firstLineChars="100"/>
        <w:rPr>
          <w:rFonts w:ascii="宋体" w:hAnsi="宋体" w:cs="宋体"/>
          <w:sz w:val="24"/>
          <w:szCs w:val="24"/>
        </w:rPr>
      </w:pPr>
      <w:r>
        <w:rPr>
          <w:rFonts w:hint="eastAsia" w:ascii="宋体" w:hAnsi="宋体" w:cs="宋体"/>
          <w:sz w:val="24"/>
          <w:szCs w:val="24"/>
        </w:rPr>
        <w:t xml:space="preserve"> 授权代表（被授权人）签字：</w:t>
      </w:r>
    </w:p>
    <w:p>
      <w:pPr>
        <w:pStyle w:val="18"/>
        <w:tabs>
          <w:tab w:val="left" w:pos="1092"/>
          <w:tab w:val="left" w:pos="2532"/>
        </w:tabs>
        <w:spacing w:before="1" w:line="360" w:lineRule="auto"/>
        <w:ind w:left="374" w:right="3760"/>
        <w:rPr>
          <w:rFonts w:ascii="宋体" w:hAnsi="宋体" w:cs="宋体"/>
          <w:spacing w:val="-17"/>
          <w:sz w:val="24"/>
          <w:szCs w:val="24"/>
        </w:rPr>
      </w:pPr>
      <w:r>
        <w:rPr>
          <w:rFonts w:hint="eastAsia" w:ascii="宋体" w:hAnsi="宋体" w:cs="宋体"/>
          <w:sz w:val="24"/>
          <w:szCs w:val="24"/>
        </w:rPr>
        <w:t>投标人名称：</w:t>
      </w:r>
      <w:r>
        <w:rPr>
          <w:rFonts w:hint="eastAsia" w:ascii="宋体" w:hAnsi="宋体" w:cs="宋体"/>
          <w:sz w:val="24"/>
          <w:szCs w:val="24"/>
        </w:rPr>
        <w:tab/>
      </w:r>
      <w:r>
        <w:rPr>
          <w:rFonts w:hint="eastAsia" w:ascii="宋体" w:hAnsi="宋体" w:cs="宋体"/>
          <w:sz w:val="24"/>
          <w:szCs w:val="24"/>
        </w:rPr>
        <w:t xml:space="preserve">     （单位盖章）</w:t>
      </w:r>
      <w:r>
        <w:rPr>
          <w:rFonts w:hint="eastAsia" w:ascii="宋体" w:hAnsi="宋体" w:cs="宋体"/>
          <w:spacing w:val="-17"/>
          <w:sz w:val="24"/>
          <w:szCs w:val="24"/>
        </w:rPr>
        <w:t>。</w:t>
      </w:r>
    </w:p>
    <w:p>
      <w:pPr>
        <w:pStyle w:val="18"/>
        <w:tabs>
          <w:tab w:val="left" w:pos="1092"/>
          <w:tab w:val="left" w:pos="2532"/>
        </w:tabs>
        <w:spacing w:before="1" w:line="360" w:lineRule="auto"/>
        <w:ind w:left="374" w:right="5745"/>
      </w:pPr>
      <w:r>
        <w:rPr>
          <w:rFonts w:hint="eastAsia" w:ascii="宋体" w:hAnsi="宋体" w:cs="宋体"/>
          <w:sz w:val="24"/>
          <w:szCs w:val="24"/>
        </w:rPr>
        <w:t>日</w:t>
      </w:r>
      <w:r>
        <w:rPr>
          <w:rFonts w:hint="eastAsia" w:ascii="宋体" w:hAnsi="宋体" w:cs="宋体"/>
          <w:sz w:val="24"/>
          <w:szCs w:val="24"/>
        </w:rPr>
        <w:tab/>
      </w:r>
      <w:r>
        <w:rPr>
          <w:rFonts w:hint="eastAsia" w:ascii="宋体" w:hAnsi="宋体" w:cs="宋体"/>
          <w:sz w:val="24"/>
          <w:szCs w:val="24"/>
        </w:rPr>
        <w:t>期：</w:t>
      </w:r>
    </w:p>
    <w:p>
      <w:pPr>
        <w:pStyle w:val="18"/>
        <w:spacing w:before="6"/>
        <w:rPr>
          <w:sz w:val="19"/>
        </w:rPr>
      </w:pPr>
    </w:p>
    <w:p>
      <w:pPr>
        <w:pStyle w:val="8"/>
        <w:numPr>
          <w:ilvl w:val="5"/>
          <w:numId w:val="0"/>
        </w:numPr>
        <w:spacing w:line="242" w:lineRule="auto"/>
        <w:ind w:right="369"/>
      </w:pPr>
      <w:r>
        <w:rPr>
          <w:rFonts w:ascii="Calibri" w:hAnsi="Calibri"/>
          <w:bCs w:val="0"/>
          <w:kern w:val="2"/>
          <w:sz w:val="24"/>
          <w:szCs w:val="22"/>
        </w:rPr>
        <w:t>注：1、投标人为法人单位时提供“法定代表人授权书”，投标人为其他组织时提供  “单位负责人授权书”，投标人为自然人时提供“自然人身份证明材料”。</w:t>
      </w:r>
    </w:p>
    <w:p>
      <w:pPr>
        <w:spacing w:before="120" w:line="242" w:lineRule="auto"/>
        <w:ind w:left="615" w:right="371"/>
        <w:jc w:val="left"/>
        <w:rPr>
          <w:b/>
          <w:sz w:val="24"/>
        </w:rPr>
      </w:pPr>
      <w:r>
        <w:rPr>
          <w:b/>
          <w:sz w:val="24"/>
        </w:rPr>
        <w:t>2、应附法定代表人/单位负责人身份证或护照（提供在有效期内复印件或影印件，正反面齐全，加盖投标人鲜章）。</w:t>
      </w:r>
    </w:p>
    <w:p>
      <w:pPr>
        <w:spacing w:before="123" w:line="242" w:lineRule="auto"/>
        <w:ind w:left="615" w:right="371"/>
        <w:jc w:val="left"/>
        <w:rPr>
          <w:sz w:val="24"/>
        </w:rPr>
        <w:sectPr>
          <w:pgSz w:w="11900" w:h="16840"/>
          <w:pgMar w:top="1463" w:right="1440" w:bottom="1803" w:left="1440" w:header="0" w:footer="966" w:gutter="0"/>
          <w:cols w:space="720" w:num="1"/>
        </w:sectPr>
      </w:pPr>
      <w:r>
        <w:rPr>
          <w:b/>
          <w:w w:val="95"/>
          <w:sz w:val="24"/>
        </w:rPr>
        <w:t xml:space="preserve">3、应附授权代表身份证或护照（提供在有效期内复印件或影印件，正反面齐全，加  </w:t>
      </w:r>
      <w:r>
        <w:rPr>
          <w:b/>
          <w:sz w:val="24"/>
        </w:rPr>
        <w:t>盖投标人鲜章）</w:t>
      </w:r>
    </w:p>
    <w:p>
      <w:pPr>
        <w:rPr>
          <w:b/>
          <w:sz w:val="28"/>
          <w:szCs w:val="28"/>
        </w:rPr>
      </w:pPr>
      <w:r>
        <w:rPr>
          <w:b/>
          <w:bCs/>
          <w:sz w:val="28"/>
          <w:szCs w:val="28"/>
        </w:rPr>
        <w:t>格式</w:t>
      </w:r>
      <w:r>
        <w:rPr>
          <w:rFonts w:hint="eastAsia"/>
          <w:b/>
          <w:bCs/>
          <w:sz w:val="28"/>
          <w:szCs w:val="28"/>
        </w:rPr>
        <w:t>五</w:t>
      </w:r>
      <w:r>
        <w:rPr>
          <w:b/>
          <w:bCs/>
          <w:sz w:val="28"/>
          <w:szCs w:val="28"/>
        </w:rPr>
        <w:t>：</w:t>
      </w:r>
      <w:r>
        <w:rPr>
          <w:rFonts w:hint="eastAsia"/>
        </w:rPr>
        <w:t xml:space="preserve">                 </w:t>
      </w:r>
      <w:r>
        <w:rPr>
          <w:rFonts w:hint="eastAsia"/>
          <w:b/>
          <w:sz w:val="32"/>
        </w:rPr>
        <w:t xml:space="preserve"> </w:t>
      </w:r>
      <w:r>
        <w:rPr>
          <w:rFonts w:hint="eastAsia"/>
          <w:b/>
          <w:sz w:val="28"/>
          <w:szCs w:val="28"/>
        </w:rPr>
        <w:t>四、</w:t>
      </w:r>
      <w:r>
        <w:rPr>
          <w:b/>
          <w:sz w:val="28"/>
          <w:szCs w:val="28"/>
        </w:rPr>
        <w:t>法定代表人</w:t>
      </w:r>
      <w:r>
        <w:rPr>
          <w:rFonts w:hint="eastAsia"/>
          <w:b/>
          <w:sz w:val="28"/>
          <w:szCs w:val="28"/>
        </w:rPr>
        <w:t>身份</w:t>
      </w:r>
      <w:r>
        <w:rPr>
          <w:b/>
          <w:sz w:val="28"/>
          <w:szCs w:val="28"/>
        </w:rPr>
        <w:t>证明书</w:t>
      </w:r>
    </w:p>
    <w:p>
      <w:pPr>
        <w:pStyle w:val="18"/>
        <w:rPr>
          <w:b/>
          <w:sz w:val="20"/>
        </w:rPr>
      </w:pPr>
    </w:p>
    <w:p>
      <w:pPr>
        <w:pStyle w:val="18"/>
        <w:rPr>
          <w:b/>
          <w:sz w:val="20"/>
        </w:rPr>
      </w:pPr>
    </w:p>
    <w:tbl>
      <w:tblPr>
        <w:tblStyle w:val="44"/>
        <w:tblW w:w="0" w:type="auto"/>
        <w:tblInd w:w="330" w:type="dxa"/>
        <w:tblLayout w:type="fixed"/>
        <w:tblCellMar>
          <w:top w:w="0" w:type="dxa"/>
          <w:left w:w="0" w:type="dxa"/>
          <w:bottom w:w="0" w:type="dxa"/>
          <w:right w:w="0" w:type="dxa"/>
        </w:tblCellMar>
      </w:tblPr>
      <w:tblGrid>
        <w:gridCol w:w="1730"/>
        <w:gridCol w:w="1440"/>
        <w:gridCol w:w="4850"/>
      </w:tblGrid>
      <w:tr>
        <w:tblPrEx>
          <w:tblCellMar>
            <w:top w:w="0" w:type="dxa"/>
            <w:left w:w="0" w:type="dxa"/>
            <w:bottom w:w="0" w:type="dxa"/>
            <w:right w:w="0" w:type="dxa"/>
          </w:tblCellMar>
        </w:tblPrEx>
        <w:trPr>
          <w:trHeight w:val="336" w:hRule="atLeast"/>
        </w:trPr>
        <w:tc>
          <w:tcPr>
            <w:tcW w:w="1730" w:type="dxa"/>
          </w:tcPr>
          <w:p>
            <w:pPr>
              <w:pStyle w:val="208"/>
              <w:spacing w:line="360" w:lineRule="auto"/>
              <w:ind w:left="50"/>
              <w:rPr>
                <w:sz w:val="24"/>
                <w:szCs w:val="24"/>
              </w:rPr>
            </w:pPr>
            <w:r>
              <w:rPr>
                <w:sz w:val="24"/>
                <w:szCs w:val="24"/>
              </w:rPr>
              <w:t>投标人名称：</w:t>
            </w:r>
          </w:p>
        </w:tc>
        <w:tc>
          <w:tcPr>
            <w:tcW w:w="6290" w:type="dxa"/>
            <w:gridSpan w:val="2"/>
          </w:tcPr>
          <w:p>
            <w:pPr>
              <w:pStyle w:val="208"/>
              <w:spacing w:line="360" w:lineRule="auto"/>
              <w:rPr>
                <w:rFonts w:ascii="Times New Roman"/>
                <w:sz w:val="24"/>
                <w:szCs w:val="24"/>
              </w:rPr>
            </w:pPr>
          </w:p>
        </w:tc>
      </w:tr>
      <w:tr>
        <w:tblPrEx>
          <w:tblCellMar>
            <w:top w:w="0" w:type="dxa"/>
            <w:left w:w="0" w:type="dxa"/>
            <w:bottom w:w="0" w:type="dxa"/>
            <w:right w:w="0" w:type="dxa"/>
          </w:tblCellMar>
        </w:tblPrEx>
        <w:trPr>
          <w:trHeight w:val="430" w:hRule="atLeast"/>
        </w:trPr>
        <w:tc>
          <w:tcPr>
            <w:tcW w:w="1730" w:type="dxa"/>
          </w:tcPr>
          <w:p>
            <w:pPr>
              <w:pStyle w:val="208"/>
              <w:spacing w:before="62" w:line="360" w:lineRule="auto"/>
              <w:ind w:left="50"/>
              <w:rPr>
                <w:sz w:val="24"/>
                <w:szCs w:val="24"/>
              </w:rPr>
            </w:pPr>
            <w:r>
              <w:rPr>
                <w:sz w:val="24"/>
                <w:szCs w:val="24"/>
              </w:rPr>
              <w:t>成立时间：</w:t>
            </w:r>
          </w:p>
        </w:tc>
        <w:tc>
          <w:tcPr>
            <w:tcW w:w="1440" w:type="dxa"/>
          </w:tcPr>
          <w:p>
            <w:pPr>
              <w:pStyle w:val="208"/>
              <w:tabs>
                <w:tab w:val="left" w:pos="719"/>
              </w:tabs>
              <w:spacing w:before="62" w:line="360" w:lineRule="auto"/>
              <w:ind w:right="239"/>
              <w:jc w:val="right"/>
              <w:rPr>
                <w:sz w:val="24"/>
                <w:szCs w:val="24"/>
              </w:rPr>
            </w:pPr>
            <w:r>
              <w:rPr>
                <w:sz w:val="24"/>
                <w:szCs w:val="24"/>
              </w:rPr>
              <w:t>年</w:t>
            </w:r>
            <w:r>
              <w:rPr>
                <w:sz w:val="24"/>
                <w:szCs w:val="24"/>
              </w:rPr>
              <w:tab/>
            </w:r>
            <w:r>
              <w:rPr>
                <w:sz w:val="24"/>
                <w:szCs w:val="24"/>
              </w:rPr>
              <w:t>月</w:t>
            </w:r>
          </w:p>
        </w:tc>
        <w:tc>
          <w:tcPr>
            <w:tcW w:w="4850" w:type="dxa"/>
          </w:tcPr>
          <w:p>
            <w:pPr>
              <w:pStyle w:val="208"/>
              <w:spacing w:before="62" w:line="360" w:lineRule="auto"/>
              <w:ind w:left="240"/>
              <w:rPr>
                <w:sz w:val="24"/>
                <w:szCs w:val="24"/>
              </w:rPr>
            </w:pPr>
            <w:r>
              <w:rPr>
                <w:sz w:val="24"/>
                <w:szCs w:val="24"/>
              </w:rPr>
              <w:t>日</w:t>
            </w:r>
          </w:p>
        </w:tc>
      </w:tr>
      <w:tr>
        <w:tblPrEx>
          <w:tblCellMar>
            <w:top w:w="0" w:type="dxa"/>
            <w:left w:w="0" w:type="dxa"/>
            <w:bottom w:w="0" w:type="dxa"/>
            <w:right w:w="0" w:type="dxa"/>
          </w:tblCellMar>
        </w:tblPrEx>
        <w:trPr>
          <w:trHeight w:val="430" w:hRule="atLeast"/>
        </w:trPr>
        <w:tc>
          <w:tcPr>
            <w:tcW w:w="1730" w:type="dxa"/>
          </w:tcPr>
          <w:p>
            <w:pPr>
              <w:pStyle w:val="208"/>
              <w:spacing w:before="61" w:line="360" w:lineRule="auto"/>
              <w:ind w:left="50"/>
              <w:rPr>
                <w:sz w:val="24"/>
                <w:szCs w:val="24"/>
              </w:rPr>
            </w:pPr>
            <w:r>
              <w:rPr>
                <w:sz w:val="24"/>
                <w:szCs w:val="24"/>
              </w:rPr>
              <w:t>经营期限：</w:t>
            </w:r>
          </w:p>
        </w:tc>
        <w:tc>
          <w:tcPr>
            <w:tcW w:w="1440" w:type="dxa"/>
          </w:tcPr>
          <w:p>
            <w:pPr>
              <w:pStyle w:val="208"/>
              <w:spacing w:line="360" w:lineRule="auto"/>
              <w:rPr>
                <w:rFonts w:ascii="Times New Roman"/>
                <w:sz w:val="24"/>
                <w:szCs w:val="24"/>
              </w:rPr>
            </w:pPr>
          </w:p>
        </w:tc>
        <w:tc>
          <w:tcPr>
            <w:tcW w:w="4850" w:type="dxa"/>
          </w:tcPr>
          <w:p>
            <w:pPr>
              <w:pStyle w:val="208"/>
              <w:spacing w:line="360" w:lineRule="auto"/>
              <w:rPr>
                <w:rFonts w:ascii="Times New Roman"/>
                <w:sz w:val="24"/>
                <w:szCs w:val="24"/>
              </w:rPr>
            </w:pPr>
          </w:p>
        </w:tc>
      </w:tr>
      <w:tr>
        <w:tblPrEx>
          <w:tblCellMar>
            <w:top w:w="0" w:type="dxa"/>
            <w:left w:w="0" w:type="dxa"/>
            <w:bottom w:w="0" w:type="dxa"/>
            <w:right w:w="0" w:type="dxa"/>
          </w:tblCellMar>
        </w:tblPrEx>
        <w:trPr>
          <w:trHeight w:val="431" w:hRule="atLeast"/>
        </w:trPr>
        <w:tc>
          <w:tcPr>
            <w:tcW w:w="1730" w:type="dxa"/>
          </w:tcPr>
          <w:p>
            <w:pPr>
              <w:pStyle w:val="208"/>
              <w:spacing w:before="62" w:line="360" w:lineRule="auto"/>
              <w:ind w:left="50"/>
              <w:rPr>
                <w:sz w:val="24"/>
                <w:szCs w:val="24"/>
              </w:rPr>
            </w:pPr>
            <w:r>
              <w:rPr>
                <w:sz w:val="24"/>
                <w:szCs w:val="24"/>
              </w:rPr>
              <w:t>姓名：</w:t>
            </w:r>
          </w:p>
        </w:tc>
        <w:tc>
          <w:tcPr>
            <w:tcW w:w="1440" w:type="dxa"/>
          </w:tcPr>
          <w:p>
            <w:pPr>
              <w:pStyle w:val="208"/>
              <w:spacing w:before="62" w:line="360" w:lineRule="auto"/>
              <w:ind w:right="239"/>
              <w:jc w:val="right"/>
              <w:rPr>
                <w:sz w:val="24"/>
                <w:szCs w:val="24"/>
              </w:rPr>
            </w:pPr>
            <w:r>
              <w:rPr>
                <w:sz w:val="24"/>
                <w:szCs w:val="24"/>
              </w:rPr>
              <w:t>性别：</w:t>
            </w:r>
          </w:p>
        </w:tc>
        <w:tc>
          <w:tcPr>
            <w:tcW w:w="4850" w:type="dxa"/>
          </w:tcPr>
          <w:p>
            <w:pPr>
              <w:pStyle w:val="208"/>
              <w:tabs>
                <w:tab w:val="left" w:pos="1439"/>
              </w:tabs>
              <w:spacing w:before="62" w:line="360" w:lineRule="auto"/>
              <w:ind w:left="360"/>
              <w:rPr>
                <w:sz w:val="24"/>
                <w:szCs w:val="24"/>
              </w:rPr>
            </w:pPr>
            <w:r>
              <w:rPr>
                <w:sz w:val="24"/>
                <w:szCs w:val="24"/>
              </w:rPr>
              <w:t>年龄：</w:t>
            </w:r>
            <w:r>
              <w:rPr>
                <w:sz w:val="24"/>
                <w:szCs w:val="24"/>
              </w:rPr>
              <w:tab/>
            </w:r>
            <w:r>
              <w:rPr>
                <w:sz w:val="24"/>
                <w:szCs w:val="24"/>
              </w:rPr>
              <w:t>职务：</w:t>
            </w:r>
          </w:p>
        </w:tc>
      </w:tr>
      <w:tr>
        <w:tblPrEx>
          <w:tblCellMar>
            <w:top w:w="0" w:type="dxa"/>
            <w:left w:w="0" w:type="dxa"/>
            <w:bottom w:w="0" w:type="dxa"/>
            <w:right w:w="0" w:type="dxa"/>
          </w:tblCellMar>
        </w:tblPrEx>
        <w:trPr>
          <w:trHeight w:val="430" w:hRule="atLeast"/>
        </w:trPr>
        <w:tc>
          <w:tcPr>
            <w:tcW w:w="1730" w:type="dxa"/>
          </w:tcPr>
          <w:p>
            <w:pPr>
              <w:pStyle w:val="208"/>
              <w:spacing w:before="62" w:line="360" w:lineRule="auto"/>
              <w:ind w:left="50"/>
              <w:rPr>
                <w:sz w:val="24"/>
                <w:szCs w:val="24"/>
              </w:rPr>
            </w:pPr>
            <w:r>
              <w:rPr>
                <w:sz w:val="24"/>
                <w:szCs w:val="24"/>
              </w:rPr>
              <w:t>系</w:t>
            </w:r>
          </w:p>
        </w:tc>
        <w:tc>
          <w:tcPr>
            <w:tcW w:w="1440" w:type="dxa"/>
          </w:tcPr>
          <w:p>
            <w:pPr>
              <w:pStyle w:val="208"/>
              <w:spacing w:line="360" w:lineRule="auto"/>
              <w:rPr>
                <w:rFonts w:ascii="Times New Roman"/>
                <w:sz w:val="24"/>
                <w:szCs w:val="24"/>
              </w:rPr>
            </w:pPr>
          </w:p>
        </w:tc>
        <w:tc>
          <w:tcPr>
            <w:tcW w:w="4850" w:type="dxa"/>
          </w:tcPr>
          <w:p>
            <w:pPr>
              <w:pStyle w:val="208"/>
              <w:spacing w:before="62" w:line="360" w:lineRule="auto"/>
              <w:ind w:left="360"/>
              <w:rPr>
                <w:sz w:val="24"/>
                <w:szCs w:val="24"/>
              </w:rPr>
            </w:pPr>
            <w:r>
              <w:rPr>
                <w:sz w:val="24"/>
                <w:szCs w:val="24"/>
              </w:rPr>
              <w:t>（投标人名称）的法定代表人</w:t>
            </w:r>
            <w:r>
              <w:rPr>
                <w:rFonts w:hint="eastAsia"/>
                <w:sz w:val="24"/>
                <w:szCs w:val="24"/>
              </w:rPr>
              <w:t>。</w:t>
            </w:r>
          </w:p>
        </w:tc>
      </w:tr>
      <w:tr>
        <w:tblPrEx>
          <w:tblCellMar>
            <w:top w:w="0" w:type="dxa"/>
            <w:left w:w="0" w:type="dxa"/>
            <w:bottom w:w="0" w:type="dxa"/>
            <w:right w:w="0" w:type="dxa"/>
          </w:tblCellMar>
        </w:tblPrEx>
        <w:trPr>
          <w:trHeight w:val="334" w:hRule="atLeast"/>
        </w:trPr>
        <w:tc>
          <w:tcPr>
            <w:tcW w:w="1730" w:type="dxa"/>
          </w:tcPr>
          <w:p>
            <w:pPr>
              <w:pStyle w:val="208"/>
              <w:spacing w:before="61" w:line="360" w:lineRule="auto"/>
              <w:ind w:left="50"/>
              <w:rPr>
                <w:sz w:val="24"/>
                <w:szCs w:val="24"/>
              </w:rPr>
            </w:pPr>
            <w:r>
              <w:rPr>
                <w:sz w:val="24"/>
                <w:szCs w:val="24"/>
              </w:rPr>
              <w:t>特此证明。</w:t>
            </w:r>
          </w:p>
        </w:tc>
        <w:tc>
          <w:tcPr>
            <w:tcW w:w="1440" w:type="dxa"/>
          </w:tcPr>
          <w:p>
            <w:pPr>
              <w:pStyle w:val="208"/>
              <w:spacing w:line="360" w:lineRule="auto"/>
              <w:rPr>
                <w:rFonts w:ascii="Times New Roman"/>
                <w:sz w:val="24"/>
                <w:szCs w:val="24"/>
              </w:rPr>
            </w:pPr>
          </w:p>
        </w:tc>
        <w:tc>
          <w:tcPr>
            <w:tcW w:w="4850" w:type="dxa"/>
          </w:tcPr>
          <w:p>
            <w:pPr>
              <w:pStyle w:val="208"/>
              <w:spacing w:line="360" w:lineRule="auto"/>
              <w:rPr>
                <w:rFonts w:ascii="Times New Roman"/>
                <w:sz w:val="24"/>
                <w:szCs w:val="24"/>
              </w:rPr>
            </w:pPr>
          </w:p>
        </w:tc>
      </w:tr>
    </w:tbl>
    <w:p>
      <w:pPr>
        <w:pStyle w:val="18"/>
        <w:spacing w:line="360" w:lineRule="auto"/>
        <w:rPr>
          <w:b/>
          <w:sz w:val="24"/>
          <w:szCs w:val="24"/>
        </w:rPr>
      </w:pPr>
    </w:p>
    <w:p>
      <w:pPr>
        <w:pStyle w:val="18"/>
        <w:spacing w:line="360" w:lineRule="auto"/>
        <w:rPr>
          <w:b/>
          <w:sz w:val="24"/>
          <w:szCs w:val="24"/>
        </w:rPr>
      </w:pPr>
    </w:p>
    <w:p>
      <w:pPr>
        <w:pStyle w:val="18"/>
        <w:spacing w:line="360" w:lineRule="auto"/>
        <w:rPr>
          <w:b/>
          <w:sz w:val="24"/>
          <w:szCs w:val="24"/>
        </w:rPr>
      </w:pPr>
    </w:p>
    <w:p>
      <w:pPr>
        <w:pStyle w:val="18"/>
        <w:spacing w:before="7" w:line="360" w:lineRule="auto"/>
        <w:rPr>
          <w:b/>
          <w:sz w:val="24"/>
          <w:szCs w:val="24"/>
        </w:rPr>
      </w:pPr>
    </w:p>
    <w:p>
      <w:pPr>
        <w:pStyle w:val="18"/>
        <w:spacing w:before="67" w:line="360" w:lineRule="auto"/>
        <w:ind w:left="372" w:right="6345"/>
        <w:rPr>
          <w:sz w:val="24"/>
          <w:szCs w:val="24"/>
        </w:rPr>
      </w:pPr>
      <w:r>
        <w:rPr>
          <w:sz w:val="24"/>
          <w:szCs w:val="24"/>
        </w:rPr>
        <w:t xml:space="preserve">投标人名称： </w:t>
      </w:r>
      <w:r>
        <w:rPr>
          <w:rFonts w:hint="eastAsia"/>
          <w:sz w:val="24"/>
          <w:szCs w:val="24"/>
        </w:rPr>
        <w:t xml:space="preserve">    </w:t>
      </w:r>
      <w:r>
        <w:rPr>
          <w:sz w:val="24"/>
          <w:szCs w:val="24"/>
        </w:rPr>
        <w:t>（单位公章）。</w:t>
      </w:r>
    </w:p>
    <w:p>
      <w:pPr>
        <w:pStyle w:val="18"/>
        <w:spacing w:before="67" w:line="360" w:lineRule="auto"/>
        <w:ind w:left="372" w:right="6345"/>
        <w:rPr>
          <w:sz w:val="24"/>
          <w:szCs w:val="24"/>
        </w:rPr>
      </w:pPr>
      <w:r>
        <w:rPr>
          <w:sz w:val="24"/>
          <w:szCs w:val="24"/>
        </w:rPr>
        <w:t>日 期：</w:t>
      </w:r>
    </w:p>
    <w:p>
      <w:pPr>
        <w:pStyle w:val="18"/>
        <w:spacing w:line="360" w:lineRule="auto"/>
        <w:rPr>
          <w:sz w:val="24"/>
          <w:szCs w:val="24"/>
        </w:rPr>
      </w:pPr>
    </w:p>
    <w:p>
      <w:pPr>
        <w:pStyle w:val="18"/>
      </w:pPr>
    </w:p>
    <w:p>
      <w:pPr>
        <w:pStyle w:val="18"/>
        <w:spacing w:before="3"/>
        <w:rPr>
          <w:sz w:val="19"/>
        </w:rPr>
      </w:pPr>
    </w:p>
    <w:p>
      <w:pPr>
        <w:pStyle w:val="18"/>
        <w:spacing w:before="1"/>
        <w:ind w:left="372"/>
      </w:pPr>
      <w:r>
        <w:t>注：</w:t>
      </w:r>
    </w:p>
    <w:p>
      <w:pPr>
        <w:pStyle w:val="8"/>
        <w:numPr>
          <w:ilvl w:val="5"/>
          <w:numId w:val="0"/>
        </w:numPr>
        <w:spacing w:before="124"/>
        <w:ind w:left="-762" w:firstLine="1145" w:firstLineChars="500"/>
        <w:rPr>
          <w:rFonts w:ascii="Calibri" w:hAnsi="Calibri"/>
          <w:bCs w:val="0"/>
          <w:w w:val="95"/>
          <w:kern w:val="2"/>
          <w:sz w:val="24"/>
          <w:szCs w:val="22"/>
        </w:rPr>
      </w:pPr>
      <w:r>
        <w:rPr>
          <w:rFonts w:ascii="Calibri" w:hAnsi="Calibri"/>
          <w:bCs w:val="0"/>
          <w:w w:val="95"/>
          <w:kern w:val="2"/>
          <w:sz w:val="24"/>
          <w:szCs w:val="22"/>
        </w:rPr>
        <w:t>1、法定代表人/单位负责人直接参与投标并签署投标文件时才须提供；</w:t>
      </w:r>
    </w:p>
    <w:p>
      <w:pPr>
        <w:spacing w:before="122" w:line="242" w:lineRule="auto"/>
        <w:ind w:left="372" w:right="369"/>
        <w:rPr>
          <w:b/>
          <w:sz w:val="24"/>
        </w:rPr>
      </w:pPr>
      <w:r>
        <w:rPr>
          <w:b/>
          <w:w w:val="95"/>
          <w:sz w:val="24"/>
        </w:rPr>
        <w:t xml:space="preserve">2、应附法定代表人/单位负责人身份证（提供在有效期内复印件或影印件，正反面齐  </w:t>
      </w:r>
      <w:r>
        <w:rPr>
          <w:b/>
          <w:sz w:val="24"/>
        </w:rPr>
        <w:t>全，加盖投标人鲜章）或护照（投标人的法定代表人为外籍人士的，则提供护照复印件或影印件）时才能生效。</w:t>
      </w:r>
    </w:p>
    <w:p>
      <w:pPr>
        <w:spacing w:line="242" w:lineRule="auto"/>
        <w:rPr>
          <w:sz w:val="24"/>
        </w:rPr>
        <w:sectPr>
          <w:pgSz w:w="11900" w:h="16840"/>
          <w:pgMar w:top="1600" w:right="1180" w:bottom="1160" w:left="760" w:header="0" w:footer="966" w:gutter="0"/>
          <w:cols w:space="720" w:num="1"/>
        </w:sectPr>
      </w:pPr>
    </w:p>
    <w:p>
      <w:pPr>
        <w:pStyle w:val="2"/>
        <w:jc w:val="both"/>
        <w:rPr>
          <w:rFonts w:ascii="宋体" w:hAnsi="宋体" w:eastAsia="宋体"/>
          <w:b/>
          <w:bCs/>
          <w:color w:val="auto"/>
          <w:kern w:val="2"/>
          <w:sz w:val="28"/>
          <w:szCs w:val="28"/>
        </w:rPr>
      </w:pPr>
      <w:r>
        <w:rPr>
          <w:rFonts w:hint="eastAsia" w:ascii="宋体" w:hAnsi="宋体" w:eastAsia="宋体"/>
          <w:b/>
          <w:bCs/>
          <w:color w:val="auto"/>
          <w:kern w:val="2"/>
          <w:sz w:val="28"/>
          <w:szCs w:val="28"/>
        </w:rPr>
        <w:t>格式六：</w:t>
      </w:r>
    </w:p>
    <w:p>
      <w:pPr>
        <w:pStyle w:val="2"/>
        <w:jc w:val="center"/>
        <w:rPr>
          <w:rFonts w:ascii="宋体" w:hAnsi="宋体" w:eastAsia="宋体"/>
          <w:b/>
          <w:bCs/>
          <w:color w:val="000000" w:themeColor="text1"/>
          <w:kern w:val="2"/>
          <w:sz w:val="28"/>
          <w:szCs w:val="28"/>
        </w:rPr>
      </w:pPr>
      <w:r>
        <w:rPr>
          <w:rFonts w:hint="eastAsia" w:ascii="宋体" w:hAnsi="宋体" w:eastAsia="宋体"/>
          <w:b/>
          <w:bCs/>
          <w:color w:val="000000" w:themeColor="text1"/>
          <w:kern w:val="2"/>
          <w:sz w:val="28"/>
          <w:szCs w:val="28"/>
        </w:rPr>
        <w:t>五、商务应答表</w:t>
      </w:r>
    </w:p>
    <w:p>
      <w:pPr>
        <w:pStyle w:val="8"/>
        <w:numPr>
          <w:ilvl w:val="5"/>
          <w:numId w:val="0"/>
        </w:numPr>
        <w:spacing w:before="54" w:line="280" w:lineRule="auto"/>
        <w:ind w:left="-338" w:right="7482" w:firstLine="281" w:firstLineChars="100"/>
        <w:rPr>
          <w:color w:val="000000" w:themeColor="text1"/>
        </w:rPr>
      </w:pPr>
    </w:p>
    <w:p>
      <w:pPr>
        <w:pStyle w:val="8"/>
        <w:numPr>
          <w:ilvl w:val="5"/>
          <w:numId w:val="0"/>
        </w:numPr>
        <w:spacing w:before="54" w:line="280" w:lineRule="auto"/>
        <w:ind w:left="-338" w:right="7482" w:firstLine="281" w:firstLineChars="100"/>
      </w:pPr>
      <w:r>
        <w:pict>
          <v:shape id="_x0000_s1027" o:spid="_x0000_s1027" o:spt="202" type="#_x0000_t202" style="position:absolute;left:0pt;margin-left:86.1pt;margin-top:36.1pt;height:251.8pt;width:429pt;mso-position-horizontal-relative:page;z-index:251661312;mso-width-relative:page;mso-height-relative:page;" filled="f" stroked="f" coordsize="21600,21600" o:gfxdata="UEsDBAoAAAAAAIdO4kAAAAAAAAAAAAAAAAAEAAAAZHJzL1BLAwQUAAAACACHTuJAVihJNtkAAAAL&#10;AQAADwAAAGRycy9kb3ducmV2LnhtbE2PS0/DMBCE70j8B2srcaN2g/ogjVMhBCckRBoOHJ14m0SN&#10;1yF2H/x7tlzKaTW7o9lvss3Z9eKIY+g8aZhNFQik2tuOGg2f5ev9CkSIhqzpPaGGHwywyW9vMpNa&#10;f6ICj9vYCA6hkBoNbYxDKmWoW3QmTP2AxLedH52JLMdG2tGcONz1MlFqIZ3piD+0ZsDnFuv99uA0&#10;PH1R8dJ9v1cfxa7oyvJR0dtir/XdZKbWICKe49UMF3xGh5yZKn8gG0TPepkkbNXwNy8G9aB4U2mY&#10;L+crkHkm/3fIfwFQSwMEFAAAAAgAh07iQNvztR69AQAAcwMAAA4AAABkcnMvZTJvRG9jLnhtbK1T&#10;S27bMBDdF8gdCO5ryvm4rmA5QGEkCFC0BdIegKZIiwB/4NCWfIH2Bl11033P5XN0SFtOm26y6IYa&#10;zYzevPeGWtwO1pCdjKC9a+h0UlEinfCtdpuGfvl893pOCSTuWm68kw3dS6C3y4tXiz7U8tJ33rQy&#10;EgRxUPehoV1KoWYMRCcth4kP0mFR+Wh5wte4YW3kPaJbwy6rasZ6H9sQvZAAmF0di/SEGF8C6JXS&#10;Qq682Frp0hE1SsMTSoJOB6DLwlYpKdJHpUAmYhqKSlM5cQjG63yy5YLXm8hDp8WJAn8JhWeaLNcO&#10;h56hVjxxso36HyirRfTgVZoIb9lRSHEEVUyrZ948djzIogWthnA2Hf4frPiw+xSJbhs6o8Rxiws/&#10;fP92+PHr8PMrmWV7+gA1dj0G7EvDOz/gpRnzgMmselDR5ifqIVhHc/dnc+WQiMDkzfX1/KrCksDa&#10;1fTtm/ms2M+ePg8R0r30luSgoRG3V0zlu/eQkAq2ji15mvN32piyQeP+SmBjzrDM/cgxR2lYDydB&#10;a9/uUY95cOhlvhdjEMdgPQbbEPWmQzpFdYHEXRQyp3uTl/3nexn89K8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WKEk22QAAAAsBAAAPAAAAAAAAAAEAIAAAACIAAABkcnMvZG93bnJldi54bWxQ&#10;SwECFAAUAAAACACHTuJA2/O1Hr0BAABzAwAADgAAAAAAAAABACAAAAAoAQAAZHJzL2Uyb0RvYy54&#10;bWxQSwUGAAAAAAYABgBZAQAAVwUAAAAA&#10;">
            <v:path/>
            <v:fill on="f" focussize="0,0"/>
            <v:stroke on="f" joinstyle="miter"/>
            <v:imagedata o:title=""/>
            <o:lock v:ext="edit"/>
            <v:textbox inset="0mm,0mm,0mm,0mm">
              <w:txbxContent>
                <w:p>
                  <w:pPr>
                    <w:adjustRightInd w:val="0"/>
                    <w:snapToGrid w:val="0"/>
                    <w:spacing w:line="360" w:lineRule="auto"/>
                  </w:pPr>
                </w:p>
              </w:txbxContent>
            </v:textbox>
          </v:shape>
        </w:pict>
      </w:r>
      <w:bookmarkStart w:id="220" w:name="项目名称："/>
      <w:bookmarkEnd w:id="220"/>
      <w:r>
        <w:t>项目名称：</w:t>
      </w:r>
    </w:p>
    <w:p>
      <w:pPr>
        <w:rPr>
          <w:rFonts w:ascii="Arial" w:hAnsi="Arial"/>
          <w:b/>
          <w:bCs/>
          <w:kern w:val="0"/>
          <w:sz w:val="28"/>
          <w:szCs w:val="18"/>
        </w:rPr>
      </w:pPr>
      <w:r>
        <w:rPr>
          <w:rFonts w:hint="eastAsia" w:ascii="Arial" w:hAnsi="Arial"/>
          <w:b/>
          <w:bCs/>
          <w:kern w:val="0"/>
          <w:sz w:val="28"/>
          <w:szCs w:val="18"/>
        </w:rPr>
        <w:t>项目编号：</w:t>
      </w:r>
    </w:p>
    <w:p>
      <w:pPr>
        <w:pStyle w:val="8"/>
        <w:numPr>
          <w:ilvl w:val="5"/>
          <w:numId w:val="0"/>
        </w:numPr>
        <w:spacing w:before="54" w:line="280" w:lineRule="auto"/>
        <w:ind w:left="-338" w:right="7482"/>
      </w:pPr>
      <w:r>
        <w:t xml:space="preserve"> </w:t>
      </w:r>
      <w:bookmarkStart w:id="221" w:name="招标编号："/>
      <w:bookmarkEnd w:id="221"/>
    </w:p>
    <w:p/>
    <w:p/>
    <w:p>
      <w:pPr>
        <w:pStyle w:val="2"/>
      </w:pPr>
    </w:p>
    <w:p>
      <w:pPr>
        <w:pStyle w:val="2"/>
      </w:pPr>
    </w:p>
    <w:tbl>
      <w:tblPr>
        <w:tblStyle w:val="44"/>
        <w:tblpPr w:leftFromText="180" w:rightFromText="180" w:vertAnchor="page" w:horzAnchor="page" w:tblpX="1569" w:tblpY="4460"/>
        <w:tblOverlap w:val="never"/>
        <w:tblW w:w="85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0"/>
        <w:gridCol w:w="2533"/>
        <w:gridCol w:w="4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180" w:type="dxa"/>
          </w:tcPr>
          <w:p>
            <w:pPr>
              <w:pStyle w:val="208"/>
              <w:spacing w:before="178"/>
              <w:ind w:left="348"/>
              <w:rPr>
                <w:sz w:val="24"/>
              </w:rPr>
            </w:pPr>
            <w:r>
              <w:rPr>
                <w:sz w:val="24"/>
              </w:rPr>
              <w:t>序号</w:t>
            </w:r>
          </w:p>
        </w:tc>
        <w:tc>
          <w:tcPr>
            <w:tcW w:w="2533" w:type="dxa"/>
          </w:tcPr>
          <w:p>
            <w:pPr>
              <w:pStyle w:val="208"/>
              <w:spacing w:before="178"/>
              <w:ind w:left="786"/>
              <w:rPr>
                <w:sz w:val="24"/>
              </w:rPr>
            </w:pPr>
            <w:r>
              <w:rPr>
                <w:sz w:val="24"/>
              </w:rPr>
              <w:t>招标要求</w:t>
            </w:r>
          </w:p>
        </w:tc>
        <w:tc>
          <w:tcPr>
            <w:tcW w:w="4852" w:type="dxa"/>
          </w:tcPr>
          <w:p>
            <w:pPr>
              <w:pStyle w:val="208"/>
              <w:spacing w:before="178"/>
              <w:ind w:left="2159" w:right="1682"/>
              <w:jc w:val="center"/>
              <w:rPr>
                <w:sz w:val="24"/>
              </w:rPr>
            </w:pPr>
            <w:r>
              <w:rPr>
                <w:sz w:val="24"/>
              </w:rPr>
              <w:t>投标应答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1180" w:type="dxa"/>
          </w:tcPr>
          <w:p>
            <w:pPr>
              <w:pStyle w:val="208"/>
              <w:rPr>
                <w:rFonts w:ascii="Times New Roman"/>
                <w:sz w:val="24"/>
              </w:rPr>
            </w:pPr>
          </w:p>
        </w:tc>
        <w:tc>
          <w:tcPr>
            <w:tcW w:w="2533" w:type="dxa"/>
          </w:tcPr>
          <w:p>
            <w:pPr>
              <w:pStyle w:val="208"/>
              <w:rPr>
                <w:rFonts w:ascii="Times New Roman"/>
                <w:sz w:val="24"/>
              </w:rPr>
            </w:pPr>
          </w:p>
        </w:tc>
        <w:tc>
          <w:tcPr>
            <w:tcW w:w="4852" w:type="dxa"/>
          </w:tcPr>
          <w:p>
            <w:pPr>
              <w:pStyle w:val="20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1180" w:type="dxa"/>
          </w:tcPr>
          <w:p>
            <w:pPr>
              <w:pStyle w:val="208"/>
              <w:rPr>
                <w:rFonts w:ascii="Times New Roman"/>
                <w:sz w:val="24"/>
              </w:rPr>
            </w:pPr>
          </w:p>
        </w:tc>
        <w:tc>
          <w:tcPr>
            <w:tcW w:w="2533" w:type="dxa"/>
          </w:tcPr>
          <w:p>
            <w:pPr>
              <w:pStyle w:val="208"/>
              <w:rPr>
                <w:rFonts w:ascii="Times New Roman"/>
                <w:sz w:val="24"/>
              </w:rPr>
            </w:pPr>
          </w:p>
        </w:tc>
        <w:tc>
          <w:tcPr>
            <w:tcW w:w="4852" w:type="dxa"/>
          </w:tcPr>
          <w:p>
            <w:pPr>
              <w:pStyle w:val="20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1180" w:type="dxa"/>
          </w:tcPr>
          <w:p>
            <w:pPr>
              <w:pStyle w:val="208"/>
              <w:rPr>
                <w:rFonts w:ascii="Times New Roman"/>
                <w:sz w:val="24"/>
              </w:rPr>
            </w:pPr>
          </w:p>
        </w:tc>
        <w:tc>
          <w:tcPr>
            <w:tcW w:w="2533" w:type="dxa"/>
          </w:tcPr>
          <w:p>
            <w:pPr>
              <w:pStyle w:val="208"/>
              <w:rPr>
                <w:rFonts w:ascii="Times New Roman"/>
                <w:sz w:val="24"/>
              </w:rPr>
            </w:pPr>
          </w:p>
        </w:tc>
        <w:tc>
          <w:tcPr>
            <w:tcW w:w="4852" w:type="dxa"/>
          </w:tcPr>
          <w:p>
            <w:pPr>
              <w:pStyle w:val="20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1180" w:type="dxa"/>
          </w:tcPr>
          <w:p>
            <w:pPr>
              <w:pStyle w:val="208"/>
              <w:rPr>
                <w:rFonts w:ascii="Times New Roman"/>
                <w:sz w:val="24"/>
              </w:rPr>
            </w:pPr>
          </w:p>
        </w:tc>
        <w:tc>
          <w:tcPr>
            <w:tcW w:w="2533" w:type="dxa"/>
          </w:tcPr>
          <w:p>
            <w:pPr>
              <w:pStyle w:val="208"/>
              <w:rPr>
                <w:rFonts w:ascii="Times New Roman"/>
                <w:sz w:val="24"/>
              </w:rPr>
            </w:pPr>
          </w:p>
        </w:tc>
        <w:tc>
          <w:tcPr>
            <w:tcW w:w="4852" w:type="dxa"/>
          </w:tcPr>
          <w:p>
            <w:pPr>
              <w:pStyle w:val="208"/>
              <w:rPr>
                <w:rFonts w:ascii="Times New Roman"/>
                <w:sz w:val="24"/>
              </w:rPr>
            </w:pPr>
          </w:p>
        </w:tc>
      </w:tr>
    </w:tbl>
    <w:p/>
    <w:p>
      <w:pPr>
        <w:pStyle w:val="2"/>
      </w:pPr>
    </w:p>
    <w:p>
      <w:pPr>
        <w:pStyle w:val="2"/>
      </w:pPr>
    </w:p>
    <w:p>
      <w:pPr>
        <w:pStyle w:val="2"/>
      </w:pPr>
    </w:p>
    <w:p>
      <w:pPr>
        <w:pStyle w:val="2"/>
      </w:pPr>
    </w:p>
    <w:p>
      <w:pPr>
        <w:pStyle w:val="2"/>
      </w:pPr>
    </w:p>
    <w:p>
      <w:pPr>
        <w:pStyle w:val="2"/>
      </w:pPr>
    </w:p>
    <w:p/>
    <w:p>
      <w:pPr>
        <w:pStyle w:val="18"/>
        <w:rPr>
          <w:b/>
          <w:sz w:val="20"/>
        </w:rPr>
      </w:pPr>
    </w:p>
    <w:p>
      <w:pPr>
        <w:pStyle w:val="18"/>
        <w:rPr>
          <w:b/>
          <w:sz w:val="20"/>
        </w:rPr>
      </w:pPr>
    </w:p>
    <w:p>
      <w:pPr>
        <w:pStyle w:val="18"/>
        <w:rPr>
          <w:b/>
          <w:sz w:val="20"/>
        </w:rPr>
      </w:pPr>
    </w:p>
    <w:p>
      <w:pPr>
        <w:pStyle w:val="18"/>
        <w:rPr>
          <w:b/>
          <w:sz w:val="20"/>
        </w:rPr>
      </w:pPr>
    </w:p>
    <w:p>
      <w:pPr>
        <w:pStyle w:val="18"/>
        <w:rPr>
          <w:b/>
          <w:sz w:val="20"/>
        </w:rPr>
      </w:pPr>
    </w:p>
    <w:p>
      <w:pPr>
        <w:pStyle w:val="18"/>
        <w:spacing w:before="66"/>
        <w:ind w:left="796"/>
      </w:pPr>
      <w:bookmarkStart w:id="222" w:name="注："/>
      <w:bookmarkEnd w:id="222"/>
      <w:bookmarkStart w:id="223" w:name="序号"/>
      <w:bookmarkEnd w:id="223"/>
      <w:r>
        <w:t>注：</w:t>
      </w:r>
    </w:p>
    <w:p>
      <w:pPr>
        <w:pStyle w:val="199"/>
        <w:numPr>
          <w:ilvl w:val="0"/>
          <w:numId w:val="34"/>
        </w:numPr>
        <w:tabs>
          <w:tab w:val="left" w:pos="1398"/>
        </w:tabs>
        <w:spacing w:before="53" w:line="280" w:lineRule="auto"/>
        <w:ind w:right="509" w:firstLine="480"/>
        <w:jc w:val="left"/>
        <w:rPr>
          <w:sz w:val="24"/>
        </w:rPr>
      </w:pPr>
      <w:bookmarkStart w:id="224" w:name="___1.本表只填写投标文件中与招标文件有偏离（包括正偏离和负偏离）的内容，投标"/>
      <w:bookmarkEnd w:id="224"/>
      <w:r>
        <w:rPr>
          <w:sz w:val="24"/>
        </w:rPr>
        <w:t>本表只填写投标文件中与招标文件有偏离（包括正偏离和负偏离）的内</w:t>
      </w:r>
      <w:r>
        <w:rPr>
          <w:spacing w:val="-1"/>
          <w:sz w:val="24"/>
        </w:rPr>
        <w:t>容，投标文件中商务响应与招标文件要求完全一致的，可以不用在此表中列出，但</w:t>
      </w:r>
      <w:r>
        <w:rPr>
          <w:sz w:val="24"/>
        </w:rPr>
        <w:t>应在此表“投标应答”一列中的至少一行填写“</w:t>
      </w:r>
      <w:r>
        <w:rPr>
          <w:b/>
          <w:sz w:val="24"/>
        </w:rPr>
        <w:t>完全响应招标文件要求</w:t>
      </w:r>
      <w:r>
        <w:rPr>
          <w:spacing w:val="-4"/>
          <w:sz w:val="24"/>
        </w:rPr>
        <w:t>”。且未列</w:t>
      </w:r>
      <w:r>
        <w:rPr>
          <w:sz w:val="24"/>
        </w:rPr>
        <w:t>出偏离的条款视为响应招标文件要求，投标人不得籍未应答拒绝履行。</w:t>
      </w:r>
    </w:p>
    <w:p>
      <w:pPr>
        <w:pStyle w:val="199"/>
        <w:tabs>
          <w:tab w:val="left" w:pos="1158"/>
        </w:tabs>
        <w:spacing w:before="1"/>
        <w:ind w:left="420" w:leftChars="200" w:firstLine="240" w:firstLineChars="100"/>
        <w:jc w:val="left"/>
        <w:rPr>
          <w:sz w:val="24"/>
        </w:rPr>
      </w:pPr>
      <w:bookmarkStart w:id="225" w:name="2．投标人必须据实填写，不得虚假响应，否则将取消其投标或中标资格。"/>
      <w:bookmarkEnd w:id="225"/>
      <w:r>
        <w:rPr>
          <w:rFonts w:hint="eastAsia"/>
          <w:sz w:val="24"/>
        </w:rPr>
        <w:t>2.</w:t>
      </w:r>
      <w:r>
        <w:rPr>
          <w:sz w:val="24"/>
        </w:rPr>
        <w:t>投标人必须据实填写，不得虚假响应，否则将取消其投标或中标资格。</w:t>
      </w:r>
    </w:p>
    <w:p>
      <w:pPr>
        <w:pStyle w:val="18"/>
      </w:pPr>
    </w:p>
    <w:p>
      <w:pPr>
        <w:pStyle w:val="18"/>
        <w:rPr>
          <w:sz w:val="19"/>
        </w:rPr>
      </w:pPr>
    </w:p>
    <w:p>
      <w:pPr>
        <w:spacing w:line="360" w:lineRule="auto"/>
        <w:ind w:left="630" w:leftChars="300"/>
        <w:rPr>
          <w:rFonts w:ascii="宋体" w:hAnsi="宋体"/>
          <w:sz w:val="24"/>
          <w:szCs w:val="24"/>
        </w:rPr>
      </w:pPr>
      <w:bookmarkStart w:id="226" w:name="投标人名称：_（单位盖章）"/>
      <w:bookmarkEnd w:id="226"/>
      <w:r>
        <w:rPr>
          <w:rFonts w:ascii="宋体" w:hAnsi="宋体"/>
          <w:sz w:val="24"/>
          <w:szCs w:val="24"/>
        </w:rPr>
        <w:t>投标人名称：       （加盖公章）</w:t>
      </w:r>
    </w:p>
    <w:p>
      <w:pPr>
        <w:pStyle w:val="204"/>
        <w:spacing w:line="360" w:lineRule="auto"/>
        <w:ind w:left="630" w:leftChars="300"/>
        <w:rPr>
          <w:rFonts w:ascii="宋体" w:hAnsi="宋体" w:cs="Times New Roman"/>
          <w:szCs w:val="24"/>
        </w:rPr>
      </w:pPr>
      <w:r>
        <w:rPr>
          <w:rFonts w:hint="eastAsia" w:ascii="宋体" w:hAnsi="宋体"/>
          <w:szCs w:val="24"/>
        </w:rPr>
        <w:t>法定代表人或</w:t>
      </w:r>
      <w:r>
        <w:rPr>
          <w:rFonts w:hint="eastAsia" w:ascii="宋体" w:hAnsi="宋体" w:cs="宋体"/>
          <w:sz w:val="24"/>
          <w:szCs w:val="24"/>
        </w:rPr>
        <w:t>授权代表（被授权人）</w:t>
      </w:r>
      <w:r>
        <w:rPr>
          <w:rFonts w:ascii="宋体" w:hAnsi="宋体" w:cs="Times New Roman"/>
          <w:szCs w:val="24"/>
        </w:rPr>
        <w:t>：</w:t>
      </w:r>
      <w:r>
        <w:rPr>
          <w:rFonts w:hint="eastAsia" w:ascii="宋体" w:hAnsi="宋体" w:cs="Times New Roman"/>
          <w:szCs w:val="24"/>
        </w:rPr>
        <w:t xml:space="preserve">         </w:t>
      </w:r>
      <w:r>
        <w:rPr>
          <w:rFonts w:hint="eastAsia" w:ascii="宋体" w:hAnsi="宋体"/>
          <w:bCs/>
          <w:szCs w:val="24"/>
        </w:rPr>
        <w:t>（签字或加盖个人名章）</w:t>
      </w:r>
    </w:p>
    <w:p>
      <w:pPr>
        <w:spacing w:line="360" w:lineRule="auto"/>
        <w:ind w:right="480" w:firstLine="600" w:firstLineChars="250"/>
        <w:rPr>
          <w:rFonts w:ascii="宋体" w:hAnsi="宋体"/>
          <w:sz w:val="24"/>
          <w:szCs w:val="24"/>
        </w:rPr>
      </w:pPr>
      <w:r>
        <w:rPr>
          <w:rFonts w:hint="eastAsia" w:ascii="宋体" w:hAnsi="宋体"/>
          <w:sz w:val="24"/>
          <w:szCs w:val="24"/>
        </w:rPr>
        <w:t>日期：</w:t>
      </w:r>
      <w:r>
        <w:rPr>
          <w:rFonts w:ascii="宋体" w:hAnsi="宋体"/>
          <w:sz w:val="24"/>
          <w:szCs w:val="24"/>
        </w:rPr>
        <w:t>XXXX</w:t>
      </w:r>
      <w:r>
        <w:rPr>
          <w:rFonts w:hint="eastAsia" w:ascii="宋体" w:hAnsi="宋体"/>
          <w:sz w:val="24"/>
          <w:szCs w:val="24"/>
        </w:rPr>
        <w:t>年</w:t>
      </w:r>
      <w:r>
        <w:rPr>
          <w:rFonts w:ascii="宋体" w:hAnsi="宋体"/>
          <w:sz w:val="24"/>
          <w:szCs w:val="24"/>
        </w:rPr>
        <w:t>XX</w:t>
      </w:r>
      <w:r>
        <w:rPr>
          <w:rFonts w:hint="eastAsia" w:ascii="宋体" w:hAnsi="宋体"/>
          <w:sz w:val="24"/>
          <w:szCs w:val="24"/>
        </w:rPr>
        <w:t>月</w:t>
      </w:r>
      <w:r>
        <w:rPr>
          <w:rFonts w:ascii="宋体" w:hAnsi="宋体"/>
          <w:sz w:val="24"/>
          <w:szCs w:val="24"/>
        </w:rPr>
        <w:t>XX</w:t>
      </w:r>
      <w:r>
        <w:rPr>
          <w:rFonts w:hint="eastAsia" w:ascii="宋体" w:hAnsi="宋体"/>
          <w:sz w:val="24"/>
          <w:szCs w:val="24"/>
        </w:rPr>
        <w:t xml:space="preserve"> 日</w:t>
      </w: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jc w:val="left"/>
        <w:rPr>
          <w:rFonts w:hint="eastAsia" w:ascii="宋体" w:hAnsi="宋体" w:eastAsia="宋体"/>
          <w:b/>
          <w:bCs/>
          <w:color w:val="000000" w:themeColor="text1"/>
          <w:kern w:val="2"/>
          <w:sz w:val="28"/>
          <w:szCs w:val="28"/>
        </w:rPr>
      </w:pPr>
      <w:r>
        <w:rPr>
          <w:rFonts w:hint="eastAsia"/>
          <w:b/>
          <w:bCs/>
          <w:sz w:val="24"/>
          <w:szCs w:val="24"/>
        </w:rPr>
        <w:t>格式七：</w:t>
      </w:r>
      <w:bookmarkStart w:id="227" w:name="_Toc3353"/>
      <w:bookmarkStart w:id="228" w:name="_Toc2673"/>
      <w:bookmarkStart w:id="229" w:name="_Toc19917"/>
      <w:bookmarkStart w:id="230" w:name="_Toc66192164"/>
      <w:bookmarkStart w:id="231" w:name="_Toc302997926"/>
      <w:bookmarkStart w:id="232" w:name="_Toc811"/>
      <w:bookmarkStart w:id="233" w:name="_Toc263753605"/>
      <w:bookmarkStart w:id="234" w:name="_Toc263768870"/>
      <w:bookmarkStart w:id="235" w:name="_Toc220299393"/>
      <w:r>
        <w:rPr>
          <w:rFonts w:hint="eastAsia"/>
          <w:b/>
          <w:bCs/>
          <w:sz w:val="24"/>
          <w:szCs w:val="24"/>
        </w:rPr>
        <w:t xml:space="preserve">               </w:t>
      </w:r>
      <w:r>
        <w:rPr>
          <w:rFonts w:hint="eastAsia" w:ascii="宋体" w:hAnsi="宋体" w:eastAsia="宋体"/>
          <w:b/>
          <w:bCs/>
          <w:color w:val="000000" w:themeColor="text1"/>
          <w:kern w:val="2"/>
          <w:sz w:val="28"/>
          <w:szCs w:val="28"/>
        </w:rPr>
        <w:t xml:space="preserve"> 六 、投标人基本情况表</w:t>
      </w:r>
      <w:bookmarkEnd w:id="227"/>
      <w:bookmarkEnd w:id="228"/>
      <w:bookmarkEnd w:id="229"/>
      <w:bookmarkEnd w:id="230"/>
      <w:bookmarkEnd w:id="231"/>
      <w:bookmarkEnd w:id="232"/>
    </w:p>
    <w:p>
      <w:pPr>
        <w:pStyle w:val="2"/>
        <w:jc w:val="center"/>
        <w:rPr>
          <w:rFonts w:hint="eastAsia" w:ascii="宋体" w:hAnsi="宋体" w:eastAsia="宋体"/>
          <w:b/>
          <w:bCs/>
          <w:color w:val="000000" w:themeColor="text1"/>
          <w:kern w:val="2"/>
          <w:sz w:val="28"/>
          <w:szCs w:val="28"/>
        </w:rPr>
      </w:pPr>
    </w:p>
    <w:tbl>
      <w:tblPr>
        <w:tblStyle w:val="44"/>
        <w:tblW w:w="85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685"/>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09"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投标人名称</w:t>
            </w:r>
          </w:p>
        </w:tc>
        <w:tc>
          <w:tcPr>
            <w:tcW w:w="6713" w:type="dxa"/>
            <w:gridSpan w:val="8"/>
            <w:vAlign w:val="center"/>
          </w:tcPr>
          <w:p>
            <w:pPr>
              <w:autoSpaceDE w:val="0"/>
              <w:autoSpaceDN w:val="0"/>
              <w:adjustRightInd w:val="0"/>
              <w:snapToGrid w:val="0"/>
              <w:spacing w:line="360" w:lineRule="auto"/>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09"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注册地址</w:t>
            </w:r>
          </w:p>
        </w:tc>
        <w:tc>
          <w:tcPr>
            <w:tcW w:w="3156" w:type="dxa"/>
            <w:gridSpan w:val="4"/>
            <w:vAlign w:val="center"/>
          </w:tcPr>
          <w:p>
            <w:pPr>
              <w:autoSpaceDE w:val="0"/>
              <w:autoSpaceDN w:val="0"/>
              <w:adjustRightInd w:val="0"/>
              <w:snapToGrid w:val="0"/>
              <w:spacing w:line="360" w:lineRule="auto"/>
              <w:jc w:val="center"/>
              <w:rPr>
                <w:rFonts w:ascii="宋体" w:hAnsi="宋体"/>
                <w:kern w:val="0"/>
                <w:szCs w:val="21"/>
              </w:rPr>
            </w:pPr>
          </w:p>
        </w:tc>
        <w:tc>
          <w:tcPr>
            <w:tcW w:w="1318"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邮政编码</w:t>
            </w:r>
          </w:p>
        </w:tc>
        <w:tc>
          <w:tcPr>
            <w:tcW w:w="2239" w:type="dxa"/>
            <w:gridSpan w:val="3"/>
            <w:vAlign w:val="center"/>
          </w:tcPr>
          <w:p>
            <w:pPr>
              <w:autoSpaceDE w:val="0"/>
              <w:autoSpaceDN w:val="0"/>
              <w:adjustRightInd w:val="0"/>
              <w:snapToGrid w:val="0"/>
              <w:spacing w:line="360" w:lineRule="auto"/>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9" w:type="dxa"/>
            <w:vMerge w:val="restart"/>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联系方式</w:t>
            </w:r>
          </w:p>
        </w:tc>
        <w:tc>
          <w:tcPr>
            <w:tcW w:w="685"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联系人</w:t>
            </w:r>
          </w:p>
        </w:tc>
        <w:tc>
          <w:tcPr>
            <w:tcW w:w="2463"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1326" w:type="dxa"/>
            <w:gridSpan w:val="2"/>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电话</w:t>
            </w:r>
          </w:p>
        </w:tc>
        <w:tc>
          <w:tcPr>
            <w:tcW w:w="2239" w:type="dxa"/>
            <w:gridSpan w:val="3"/>
            <w:vAlign w:val="center"/>
          </w:tcPr>
          <w:p>
            <w:pPr>
              <w:autoSpaceDE w:val="0"/>
              <w:autoSpaceDN w:val="0"/>
              <w:adjustRightInd w:val="0"/>
              <w:snapToGrid w:val="0"/>
              <w:spacing w:line="360" w:lineRule="auto"/>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809" w:type="dxa"/>
            <w:vMerge w:val="continue"/>
            <w:vAlign w:val="center"/>
          </w:tcPr>
          <w:p>
            <w:pPr>
              <w:autoSpaceDE w:val="0"/>
              <w:autoSpaceDN w:val="0"/>
              <w:adjustRightInd w:val="0"/>
              <w:snapToGrid w:val="0"/>
              <w:spacing w:line="360" w:lineRule="auto"/>
              <w:jc w:val="center"/>
              <w:rPr>
                <w:rFonts w:ascii="宋体" w:hAnsi="宋体"/>
                <w:kern w:val="0"/>
                <w:szCs w:val="21"/>
              </w:rPr>
            </w:pPr>
          </w:p>
        </w:tc>
        <w:tc>
          <w:tcPr>
            <w:tcW w:w="685"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传真</w:t>
            </w:r>
          </w:p>
        </w:tc>
        <w:tc>
          <w:tcPr>
            <w:tcW w:w="2463"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1326" w:type="dxa"/>
            <w:gridSpan w:val="2"/>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网址</w:t>
            </w:r>
          </w:p>
        </w:tc>
        <w:tc>
          <w:tcPr>
            <w:tcW w:w="2239" w:type="dxa"/>
            <w:gridSpan w:val="3"/>
            <w:vAlign w:val="center"/>
          </w:tcPr>
          <w:p>
            <w:pPr>
              <w:autoSpaceDE w:val="0"/>
              <w:autoSpaceDN w:val="0"/>
              <w:adjustRightInd w:val="0"/>
              <w:snapToGrid w:val="0"/>
              <w:spacing w:line="360" w:lineRule="auto"/>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9"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单位性质</w:t>
            </w:r>
          </w:p>
        </w:tc>
        <w:tc>
          <w:tcPr>
            <w:tcW w:w="6713" w:type="dxa"/>
            <w:gridSpan w:val="8"/>
            <w:vAlign w:val="center"/>
          </w:tcPr>
          <w:p>
            <w:pPr>
              <w:autoSpaceDE w:val="0"/>
              <w:autoSpaceDN w:val="0"/>
              <w:adjustRightInd w:val="0"/>
              <w:snapToGrid w:val="0"/>
              <w:spacing w:line="360" w:lineRule="auto"/>
              <w:jc w:val="center"/>
              <w:rPr>
                <w:rFonts w:ascii="宋体" w:hAnsi="宋体"/>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09"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法定代表人</w:t>
            </w:r>
          </w:p>
        </w:tc>
        <w:tc>
          <w:tcPr>
            <w:tcW w:w="685"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姓名</w:t>
            </w:r>
          </w:p>
        </w:tc>
        <w:tc>
          <w:tcPr>
            <w:tcW w:w="1215" w:type="dxa"/>
            <w:vAlign w:val="center"/>
          </w:tcPr>
          <w:p>
            <w:pPr>
              <w:autoSpaceDE w:val="0"/>
              <w:autoSpaceDN w:val="0"/>
              <w:adjustRightInd w:val="0"/>
              <w:snapToGrid w:val="0"/>
              <w:spacing w:line="360" w:lineRule="auto"/>
              <w:jc w:val="center"/>
              <w:rPr>
                <w:rFonts w:ascii="宋体" w:hAnsi="宋体"/>
                <w:kern w:val="0"/>
                <w:szCs w:val="21"/>
              </w:rPr>
            </w:pPr>
          </w:p>
        </w:tc>
        <w:tc>
          <w:tcPr>
            <w:tcW w:w="1248"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技术职称</w:t>
            </w:r>
          </w:p>
        </w:tc>
        <w:tc>
          <w:tcPr>
            <w:tcW w:w="1326"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1172" w:type="dxa"/>
            <w:gridSpan w:val="2"/>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电话</w:t>
            </w:r>
          </w:p>
        </w:tc>
        <w:tc>
          <w:tcPr>
            <w:tcW w:w="1067" w:type="dxa"/>
            <w:vAlign w:val="center"/>
          </w:tcPr>
          <w:p>
            <w:pPr>
              <w:autoSpaceDE w:val="0"/>
              <w:autoSpaceDN w:val="0"/>
              <w:adjustRightInd w:val="0"/>
              <w:snapToGrid w:val="0"/>
              <w:spacing w:line="360" w:lineRule="auto"/>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809" w:type="dxa"/>
            <w:tcBorders>
              <w:bottom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技术负责人</w:t>
            </w:r>
          </w:p>
        </w:tc>
        <w:tc>
          <w:tcPr>
            <w:tcW w:w="685" w:type="dxa"/>
            <w:tcBorders>
              <w:bottom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姓名</w:t>
            </w:r>
          </w:p>
        </w:tc>
        <w:tc>
          <w:tcPr>
            <w:tcW w:w="1215" w:type="dxa"/>
            <w:tcBorders>
              <w:bottom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48" w:type="dxa"/>
            <w:tcBorders>
              <w:bottom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技术职称</w:t>
            </w:r>
          </w:p>
        </w:tc>
        <w:tc>
          <w:tcPr>
            <w:tcW w:w="1326" w:type="dxa"/>
            <w:gridSpan w:val="2"/>
            <w:tcBorders>
              <w:bottom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172" w:type="dxa"/>
            <w:gridSpan w:val="2"/>
            <w:tcBorders>
              <w:bottom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电话</w:t>
            </w:r>
          </w:p>
        </w:tc>
        <w:tc>
          <w:tcPr>
            <w:tcW w:w="1067" w:type="dxa"/>
            <w:tcBorders>
              <w:bottom w:val="single" w:color="auto" w:sz="4" w:space="0"/>
            </w:tcBorders>
            <w:vAlign w:val="center"/>
          </w:tcPr>
          <w:p>
            <w:pPr>
              <w:autoSpaceDE w:val="0"/>
              <w:autoSpaceDN w:val="0"/>
              <w:adjustRightInd w:val="0"/>
              <w:snapToGrid w:val="0"/>
              <w:spacing w:line="360" w:lineRule="auto"/>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809" w:type="dxa"/>
            <w:tcBorders>
              <w:top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财务负责人</w:t>
            </w:r>
          </w:p>
        </w:tc>
        <w:tc>
          <w:tcPr>
            <w:tcW w:w="685" w:type="dxa"/>
            <w:tcBorders>
              <w:top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姓名</w:t>
            </w:r>
          </w:p>
        </w:tc>
        <w:tc>
          <w:tcPr>
            <w:tcW w:w="1215" w:type="dxa"/>
            <w:tcBorders>
              <w:top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48" w:type="dxa"/>
            <w:tcBorders>
              <w:top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技术职称</w:t>
            </w:r>
          </w:p>
        </w:tc>
        <w:tc>
          <w:tcPr>
            <w:tcW w:w="1326" w:type="dxa"/>
            <w:gridSpan w:val="2"/>
            <w:tcBorders>
              <w:top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172" w:type="dxa"/>
            <w:gridSpan w:val="2"/>
            <w:tcBorders>
              <w:top w:val="single" w:color="auto"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电话</w:t>
            </w:r>
          </w:p>
        </w:tc>
        <w:tc>
          <w:tcPr>
            <w:tcW w:w="1067" w:type="dxa"/>
            <w:tcBorders>
              <w:top w:val="single" w:color="auto" w:sz="4" w:space="0"/>
            </w:tcBorders>
            <w:vAlign w:val="center"/>
          </w:tcPr>
          <w:p>
            <w:pPr>
              <w:autoSpaceDE w:val="0"/>
              <w:autoSpaceDN w:val="0"/>
              <w:adjustRightInd w:val="0"/>
              <w:snapToGrid w:val="0"/>
              <w:spacing w:line="360" w:lineRule="auto"/>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9"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成立时间</w:t>
            </w:r>
          </w:p>
        </w:tc>
        <w:tc>
          <w:tcPr>
            <w:tcW w:w="1900"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4813" w:type="dxa"/>
            <w:gridSpan w:val="6"/>
            <w:vAlign w:val="center"/>
          </w:tcPr>
          <w:p>
            <w:pPr>
              <w:autoSpaceDE w:val="0"/>
              <w:autoSpaceDN w:val="0"/>
              <w:adjustRightInd w:val="0"/>
              <w:snapToGrid w:val="0"/>
              <w:spacing w:line="360" w:lineRule="auto"/>
              <w:ind w:firstLine="1470" w:firstLineChars="700"/>
              <w:rPr>
                <w:rFonts w:ascii="宋体" w:hAnsi="宋体"/>
                <w:kern w:val="0"/>
                <w:szCs w:val="21"/>
              </w:rPr>
            </w:pPr>
            <w:r>
              <w:rPr>
                <w:rFonts w:hint="eastAsia" w:ascii="宋体" w:hAnsi="宋体"/>
                <w:kern w:val="0"/>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09"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企业资质等级</w:t>
            </w:r>
          </w:p>
        </w:tc>
        <w:tc>
          <w:tcPr>
            <w:tcW w:w="1900"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1248" w:type="dxa"/>
            <w:vMerge w:val="restart"/>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其中</w:t>
            </w:r>
          </w:p>
        </w:tc>
        <w:tc>
          <w:tcPr>
            <w:tcW w:w="1486" w:type="dxa"/>
            <w:gridSpan w:val="3"/>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项目经理</w:t>
            </w:r>
          </w:p>
        </w:tc>
        <w:tc>
          <w:tcPr>
            <w:tcW w:w="2079" w:type="dxa"/>
            <w:gridSpan w:val="2"/>
            <w:vAlign w:val="center"/>
          </w:tcPr>
          <w:p>
            <w:pPr>
              <w:autoSpaceDE w:val="0"/>
              <w:autoSpaceDN w:val="0"/>
              <w:adjustRightInd w:val="0"/>
              <w:snapToGrid w:val="0"/>
              <w:spacing w:line="360" w:lineRule="auto"/>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9"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法人登记证书号</w:t>
            </w:r>
          </w:p>
        </w:tc>
        <w:tc>
          <w:tcPr>
            <w:tcW w:w="1900"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1248" w:type="dxa"/>
            <w:vMerge w:val="continue"/>
            <w:vAlign w:val="center"/>
          </w:tcPr>
          <w:p>
            <w:pPr>
              <w:autoSpaceDE w:val="0"/>
              <w:autoSpaceDN w:val="0"/>
              <w:adjustRightInd w:val="0"/>
              <w:snapToGrid w:val="0"/>
              <w:spacing w:line="360" w:lineRule="auto"/>
              <w:jc w:val="center"/>
              <w:rPr>
                <w:rFonts w:ascii="宋体" w:hAnsi="宋体"/>
                <w:kern w:val="0"/>
                <w:szCs w:val="21"/>
              </w:rPr>
            </w:pPr>
          </w:p>
        </w:tc>
        <w:tc>
          <w:tcPr>
            <w:tcW w:w="1486" w:type="dxa"/>
            <w:gridSpan w:val="3"/>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高级职称人员</w:t>
            </w:r>
          </w:p>
        </w:tc>
        <w:tc>
          <w:tcPr>
            <w:tcW w:w="2079" w:type="dxa"/>
            <w:gridSpan w:val="2"/>
            <w:vAlign w:val="center"/>
          </w:tcPr>
          <w:p>
            <w:pPr>
              <w:autoSpaceDE w:val="0"/>
              <w:autoSpaceDN w:val="0"/>
              <w:adjustRightInd w:val="0"/>
              <w:snapToGrid w:val="0"/>
              <w:spacing w:line="360" w:lineRule="auto"/>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9"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注册资金</w:t>
            </w:r>
          </w:p>
        </w:tc>
        <w:tc>
          <w:tcPr>
            <w:tcW w:w="1900"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1248" w:type="dxa"/>
            <w:vMerge w:val="continue"/>
            <w:vAlign w:val="center"/>
          </w:tcPr>
          <w:p>
            <w:pPr>
              <w:autoSpaceDE w:val="0"/>
              <w:autoSpaceDN w:val="0"/>
              <w:adjustRightInd w:val="0"/>
              <w:snapToGrid w:val="0"/>
              <w:spacing w:line="360" w:lineRule="auto"/>
              <w:jc w:val="center"/>
              <w:rPr>
                <w:rFonts w:ascii="宋体" w:hAnsi="宋体"/>
                <w:kern w:val="0"/>
                <w:szCs w:val="21"/>
              </w:rPr>
            </w:pPr>
          </w:p>
        </w:tc>
        <w:tc>
          <w:tcPr>
            <w:tcW w:w="1486" w:type="dxa"/>
            <w:gridSpan w:val="3"/>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中级职称人员</w:t>
            </w:r>
          </w:p>
        </w:tc>
        <w:tc>
          <w:tcPr>
            <w:tcW w:w="2079" w:type="dxa"/>
            <w:gridSpan w:val="2"/>
            <w:vAlign w:val="center"/>
          </w:tcPr>
          <w:p>
            <w:pPr>
              <w:autoSpaceDE w:val="0"/>
              <w:autoSpaceDN w:val="0"/>
              <w:adjustRightInd w:val="0"/>
              <w:snapToGrid w:val="0"/>
              <w:spacing w:line="360" w:lineRule="auto"/>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09"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开户银行</w:t>
            </w:r>
          </w:p>
        </w:tc>
        <w:tc>
          <w:tcPr>
            <w:tcW w:w="1900"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1248" w:type="dxa"/>
            <w:vMerge w:val="continue"/>
            <w:vAlign w:val="center"/>
          </w:tcPr>
          <w:p>
            <w:pPr>
              <w:autoSpaceDE w:val="0"/>
              <w:autoSpaceDN w:val="0"/>
              <w:adjustRightInd w:val="0"/>
              <w:snapToGrid w:val="0"/>
              <w:spacing w:line="360" w:lineRule="auto"/>
              <w:jc w:val="center"/>
              <w:rPr>
                <w:rFonts w:ascii="宋体" w:hAnsi="宋体"/>
                <w:kern w:val="0"/>
                <w:szCs w:val="21"/>
              </w:rPr>
            </w:pPr>
          </w:p>
        </w:tc>
        <w:tc>
          <w:tcPr>
            <w:tcW w:w="1486" w:type="dxa"/>
            <w:gridSpan w:val="3"/>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初级职称人员</w:t>
            </w:r>
          </w:p>
        </w:tc>
        <w:tc>
          <w:tcPr>
            <w:tcW w:w="2079" w:type="dxa"/>
            <w:gridSpan w:val="2"/>
            <w:vAlign w:val="center"/>
          </w:tcPr>
          <w:p>
            <w:pPr>
              <w:autoSpaceDE w:val="0"/>
              <w:autoSpaceDN w:val="0"/>
              <w:adjustRightInd w:val="0"/>
              <w:snapToGrid w:val="0"/>
              <w:spacing w:line="360" w:lineRule="auto"/>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09"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账号</w:t>
            </w:r>
          </w:p>
        </w:tc>
        <w:tc>
          <w:tcPr>
            <w:tcW w:w="1900"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1248" w:type="dxa"/>
            <w:vMerge w:val="continue"/>
            <w:vAlign w:val="center"/>
          </w:tcPr>
          <w:p>
            <w:pPr>
              <w:autoSpaceDE w:val="0"/>
              <w:autoSpaceDN w:val="0"/>
              <w:adjustRightInd w:val="0"/>
              <w:snapToGrid w:val="0"/>
              <w:spacing w:line="360" w:lineRule="auto"/>
              <w:jc w:val="center"/>
              <w:rPr>
                <w:rFonts w:ascii="宋体" w:hAnsi="宋体"/>
                <w:kern w:val="0"/>
                <w:szCs w:val="21"/>
              </w:rPr>
            </w:pPr>
          </w:p>
        </w:tc>
        <w:tc>
          <w:tcPr>
            <w:tcW w:w="1486" w:type="dxa"/>
            <w:gridSpan w:val="3"/>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技工</w:t>
            </w:r>
          </w:p>
        </w:tc>
        <w:tc>
          <w:tcPr>
            <w:tcW w:w="2079" w:type="dxa"/>
            <w:gridSpan w:val="2"/>
            <w:vAlign w:val="center"/>
          </w:tcPr>
          <w:p>
            <w:pPr>
              <w:autoSpaceDE w:val="0"/>
              <w:autoSpaceDN w:val="0"/>
              <w:adjustRightInd w:val="0"/>
              <w:snapToGrid w:val="0"/>
              <w:spacing w:line="360" w:lineRule="auto"/>
              <w:jc w:val="center"/>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15" w:hRule="atLeast"/>
          <w:jc w:val="center"/>
        </w:trPr>
        <w:tc>
          <w:tcPr>
            <w:tcW w:w="1809"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经营范围</w:t>
            </w:r>
          </w:p>
        </w:tc>
        <w:tc>
          <w:tcPr>
            <w:tcW w:w="6713" w:type="dxa"/>
            <w:gridSpan w:val="8"/>
            <w:vAlign w:val="center"/>
          </w:tcPr>
          <w:p>
            <w:pPr>
              <w:autoSpaceDE w:val="0"/>
              <w:autoSpaceDN w:val="0"/>
              <w:adjustRightInd w:val="0"/>
              <w:snapToGrid w:val="0"/>
              <w:spacing w:line="360" w:lineRule="auto"/>
              <w:rPr>
                <w:rFonts w:ascii="宋体" w:hAnsi="宋体"/>
                <w:bCs/>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84" w:hRule="atLeast"/>
          <w:jc w:val="center"/>
        </w:trPr>
        <w:tc>
          <w:tcPr>
            <w:tcW w:w="1809" w:type="dxa"/>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备注</w:t>
            </w:r>
          </w:p>
        </w:tc>
        <w:tc>
          <w:tcPr>
            <w:tcW w:w="6713" w:type="dxa"/>
            <w:gridSpan w:val="8"/>
          </w:tcPr>
          <w:p>
            <w:pPr>
              <w:autoSpaceDE w:val="0"/>
              <w:autoSpaceDN w:val="0"/>
              <w:adjustRightInd w:val="0"/>
              <w:snapToGrid w:val="0"/>
              <w:spacing w:line="360" w:lineRule="auto"/>
              <w:jc w:val="left"/>
              <w:rPr>
                <w:rFonts w:ascii="宋体" w:hAnsi="宋体"/>
                <w:kern w:val="0"/>
                <w:szCs w:val="21"/>
              </w:rPr>
            </w:pPr>
          </w:p>
        </w:tc>
      </w:tr>
    </w:tbl>
    <w:p>
      <w:pPr>
        <w:adjustRightInd w:val="0"/>
        <w:snapToGrid w:val="0"/>
        <w:spacing w:line="360" w:lineRule="auto"/>
        <w:jc w:val="left"/>
        <w:rPr>
          <w:rFonts w:ascii="宋体" w:hAnsi="宋体"/>
          <w:bCs/>
          <w:sz w:val="28"/>
          <w:szCs w:val="28"/>
        </w:rPr>
      </w:pPr>
    </w:p>
    <w:bookmarkEnd w:id="233"/>
    <w:bookmarkEnd w:id="234"/>
    <w:bookmarkEnd w:id="235"/>
    <w:p>
      <w:pPr>
        <w:spacing w:line="360" w:lineRule="auto"/>
        <w:ind w:left="630" w:leftChars="300"/>
        <w:rPr>
          <w:rFonts w:ascii="宋体" w:hAnsi="宋体"/>
          <w:sz w:val="24"/>
          <w:szCs w:val="24"/>
        </w:rPr>
      </w:pPr>
      <w:r>
        <w:rPr>
          <w:rFonts w:ascii="宋体" w:hAnsi="宋体"/>
          <w:sz w:val="24"/>
          <w:szCs w:val="24"/>
        </w:rPr>
        <w:t>投标人名称：       （加盖公章）</w:t>
      </w:r>
    </w:p>
    <w:p>
      <w:pPr>
        <w:pStyle w:val="204"/>
        <w:spacing w:line="360" w:lineRule="auto"/>
        <w:ind w:left="630" w:leftChars="300"/>
        <w:rPr>
          <w:rFonts w:ascii="宋体" w:hAnsi="宋体" w:cs="Times New Roman"/>
          <w:szCs w:val="24"/>
        </w:rPr>
      </w:pPr>
      <w:r>
        <w:rPr>
          <w:rFonts w:hint="eastAsia" w:ascii="宋体" w:hAnsi="宋体"/>
          <w:szCs w:val="24"/>
        </w:rPr>
        <w:t>法定代表人或</w:t>
      </w:r>
      <w:r>
        <w:rPr>
          <w:rFonts w:hint="eastAsia" w:ascii="宋体" w:hAnsi="宋体" w:cs="宋体"/>
          <w:sz w:val="24"/>
          <w:szCs w:val="24"/>
        </w:rPr>
        <w:t>授权代表（被授权人）</w:t>
      </w:r>
      <w:r>
        <w:rPr>
          <w:rFonts w:ascii="宋体" w:hAnsi="宋体" w:cs="Times New Roman"/>
          <w:szCs w:val="24"/>
        </w:rPr>
        <w:t>：</w:t>
      </w:r>
      <w:r>
        <w:rPr>
          <w:rFonts w:hint="eastAsia" w:ascii="宋体" w:hAnsi="宋体" w:cs="Times New Roman"/>
          <w:szCs w:val="24"/>
        </w:rPr>
        <w:t xml:space="preserve">      </w:t>
      </w:r>
      <w:r>
        <w:rPr>
          <w:rFonts w:hint="eastAsia" w:ascii="宋体" w:hAnsi="宋体"/>
          <w:bCs/>
          <w:szCs w:val="24"/>
        </w:rPr>
        <w:t>（签字或加盖个人名章）</w:t>
      </w:r>
    </w:p>
    <w:p>
      <w:pPr>
        <w:spacing w:line="360" w:lineRule="auto"/>
        <w:ind w:right="480" w:firstLine="600" w:firstLineChars="250"/>
        <w:rPr>
          <w:rFonts w:ascii="宋体" w:hAnsi="宋体"/>
          <w:sz w:val="24"/>
          <w:szCs w:val="24"/>
        </w:rPr>
      </w:pPr>
      <w:r>
        <w:rPr>
          <w:rFonts w:hint="eastAsia" w:ascii="宋体" w:hAnsi="宋体"/>
          <w:sz w:val="24"/>
          <w:szCs w:val="24"/>
        </w:rPr>
        <w:t>日期：</w:t>
      </w:r>
      <w:r>
        <w:rPr>
          <w:rFonts w:ascii="宋体" w:hAnsi="宋体"/>
          <w:sz w:val="24"/>
          <w:szCs w:val="24"/>
        </w:rPr>
        <w:t>XXXX</w:t>
      </w:r>
      <w:r>
        <w:rPr>
          <w:rFonts w:hint="eastAsia" w:ascii="宋体" w:hAnsi="宋体"/>
          <w:sz w:val="24"/>
          <w:szCs w:val="24"/>
        </w:rPr>
        <w:t>年</w:t>
      </w:r>
      <w:r>
        <w:rPr>
          <w:rFonts w:ascii="宋体" w:hAnsi="宋体"/>
          <w:sz w:val="24"/>
          <w:szCs w:val="24"/>
        </w:rPr>
        <w:t>XX</w:t>
      </w:r>
      <w:r>
        <w:rPr>
          <w:rFonts w:hint="eastAsia" w:ascii="宋体" w:hAnsi="宋体"/>
          <w:sz w:val="24"/>
          <w:szCs w:val="24"/>
        </w:rPr>
        <w:t>月</w:t>
      </w:r>
      <w:r>
        <w:rPr>
          <w:rFonts w:ascii="宋体" w:hAnsi="宋体"/>
          <w:sz w:val="24"/>
          <w:szCs w:val="24"/>
        </w:rPr>
        <w:t>XX</w:t>
      </w:r>
      <w:r>
        <w:rPr>
          <w:rFonts w:hint="eastAsia" w:ascii="宋体" w:hAnsi="宋体"/>
          <w:sz w:val="24"/>
          <w:szCs w:val="24"/>
        </w:rPr>
        <w:t xml:space="preserve"> 日</w:t>
      </w: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rPr>
          <w:b/>
          <w:bCs/>
          <w:sz w:val="28"/>
          <w:szCs w:val="28"/>
        </w:rPr>
      </w:pPr>
      <w:r>
        <w:rPr>
          <w:rFonts w:hint="eastAsia"/>
          <w:b/>
          <w:bCs/>
          <w:sz w:val="28"/>
          <w:szCs w:val="28"/>
        </w:rPr>
        <w:t xml:space="preserve">格式八：         </w:t>
      </w:r>
    </w:p>
    <w:p>
      <w:pPr>
        <w:rPr>
          <w:b/>
          <w:bCs/>
          <w:sz w:val="28"/>
          <w:szCs w:val="28"/>
        </w:rPr>
      </w:pPr>
      <w:r>
        <w:rPr>
          <w:rFonts w:hint="eastAsia"/>
          <w:b/>
          <w:bCs/>
          <w:sz w:val="28"/>
          <w:szCs w:val="28"/>
        </w:rPr>
        <w:t xml:space="preserve">               七、投标人类似项目业绩一览表</w:t>
      </w:r>
    </w:p>
    <w:p>
      <w:pPr>
        <w:pStyle w:val="2"/>
        <w:jc w:val="center"/>
        <w:rPr>
          <w:rFonts w:ascii="宋体" w:hAnsi="宋体" w:eastAsia="宋体"/>
          <w:b/>
          <w:bCs/>
          <w:color w:val="auto"/>
          <w:kern w:val="2"/>
          <w:sz w:val="28"/>
          <w:szCs w:val="28"/>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612"/>
        <w:gridCol w:w="1552"/>
        <w:gridCol w:w="1576"/>
        <w:gridCol w:w="2330"/>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040" w:type="dxa"/>
          </w:tcPr>
          <w:p>
            <w:pPr>
              <w:pStyle w:val="208"/>
              <w:spacing w:before="3"/>
              <w:rPr>
                <w:b/>
                <w:sz w:val="24"/>
              </w:rPr>
            </w:pPr>
          </w:p>
          <w:p>
            <w:pPr>
              <w:pStyle w:val="208"/>
              <w:ind w:left="264"/>
              <w:rPr>
                <w:sz w:val="24"/>
                <w:lang w:val="en-US"/>
              </w:rPr>
            </w:pPr>
            <w:r>
              <w:rPr>
                <w:sz w:val="24"/>
              </w:rPr>
              <w:t>年份</w:t>
            </w:r>
          </w:p>
        </w:tc>
        <w:tc>
          <w:tcPr>
            <w:tcW w:w="1612" w:type="dxa"/>
          </w:tcPr>
          <w:p>
            <w:pPr>
              <w:pStyle w:val="208"/>
              <w:spacing w:before="3"/>
              <w:rPr>
                <w:b/>
                <w:sz w:val="24"/>
              </w:rPr>
            </w:pPr>
          </w:p>
          <w:p>
            <w:pPr>
              <w:pStyle w:val="208"/>
              <w:jc w:val="center"/>
              <w:rPr>
                <w:sz w:val="24"/>
                <w:lang w:val="en-US"/>
              </w:rPr>
            </w:pPr>
            <w:r>
              <w:rPr>
                <w:sz w:val="24"/>
              </w:rPr>
              <w:t>用户名称</w:t>
            </w:r>
          </w:p>
        </w:tc>
        <w:tc>
          <w:tcPr>
            <w:tcW w:w="1552" w:type="dxa"/>
          </w:tcPr>
          <w:p>
            <w:pPr>
              <w:pStyle w:val="208"/>
              <w:spacing w:before="3"/>
              <w:rPr>
                <w:b/>
                <w:sz w:val="24"/>
              </w:rPr>
            </w:pPr>
          </w:p>
          <w:p>
            <w:pPr>
              <w:pStyle w:val="208"/>
              <w:ind w:left="217"/>
              <w:rPr>
                <w:sz w:val="24"/>
                <w:lang w:val="en-US"/>
              </w:rPr>
            </w:pPr>
            <w:r>
              <w:rPr>
                <w:sz w:val="24"/>
              </w:rPr>
              <w:t>项目名称</w:t>
            </w:r>
          </w:p>
        </w:tc>
        <w:tc>
          <w:tcPr>
            <w:tcW w:w="1576" w:type="dxa"/>
          </w:tcPr>
          <w:p>
            <w:pPr>
              <w:pStyle w:val="208"/>
              <w:spacing w:before="3"/>
              <w:rPr>
                <w:b/>
                <w:sz w:val="24"/>
              </w:rPr>
            </w:pPr>
          </w:p>
          <w:p>
            <w:pPr>
              <w:pStyle w:val="208"/>
              <w:ind w:left="327"/>
              <w:rPr>
                <w:sz w:val="24"/>
                <w:lang w:val="en-US"/>
              </w:rPr>
            </w:pPr>
            <w:r>
              <w:rPr>
                <w:sz w:val="24"/>
              </w:rPr>
              <w:t>完成时间</w:t>
            </w:r>
          </w:p>
        </w:tc>
        <w:tc>
          <w:tcPr>
            <w:tcW w:w="2330" w:type="dxa"/>
          </w:tcPr>
          <w:p>
            <w:pPr>
              <w:pStyle w:val="208"/>
              <w:spacing w:before="131"/>
              <w:ind w:left="648"/>
              <w:rPr>
                <w:sz w:val="24"/>
              </w:rPr>
            </w:pPr>
            <w:r>
              <w:rPr>
                <w:sz w:val="24"/>
              </w:rPr>
              <w:t>合同金额</w:t>
            </w:r>
          </w:p>
          <w:p>
            <w:pPr>
              <w:pStyle w:val="208"/>
              <w:spacing w:before="52"/>
              <w:ind w:left="168"/>
              <w:rPr>
                <w:sz w:val="24"/>
                <w:lang w:val="en-US"/>
              </w:rPr>
            </w:pPr>
            <w:r>
              <w:rPr>
                <w:sz w:val="24"/>
              </w:rPr>
              <w:t>（项目投资额）</w:t>
            </w:r>
          </w:p>
        </w:tc>
        <w:tc>
          <w:tcPr>
            <w:tcW w:w="1007" w:type="dxa"/>
          </w:tcPr>
          <w:p>
            <w:pPr>
              <w:pStyle w:val="208"/>
              <w:spacing w:before="3"/>
              <w:rPr>
                <w:b/>
                <w:sz w:val="24"/>
              </w:rPr>
            </w:pPr>
          </w:p>
          <w:p>
            <w:pPr>
              <w:pStyle w:val="208"/>
              <w:ind w:left="185"/>
              <w:rPr>
                <w:sz w:val="24"/>
                <w:lang w:val="en-US"/>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40" w:type="dxa"/>
          </w:tcPr>
          <w:p>
            <w:pPr>
              <w:pStyle w:val="2"/>
              <w:jc w:val="center"/>
              <w:rPr>
                <w:rFonts w:ascii="宋体" w:hAnsi="宋体" w:eastAsia="宋体"/>
                <w:b/>
                <w:bCs/>
                <w:color w:val="auto"/>
                <w:kern w:val="2"/>
                <w:sz w:val="28"/>
                <w:szCs w:val="28"/>
              </w:rPr>
            </w:pPr>
          </w:p>
        </w:tc>
        <w:tc>
          <w:tcPr>
            <w:tcW w:w="1612" w:type="dxa"/>
          </w:tcPr>
          <w:p>
            <w:pPr>
              <w:pStyle w:val="2"/>
              <w:jc w:val="center"/>
              <w:rPr>
                <w:rFonts w:ascii="宋体" w:hAnsi="宋体" w:eastAsia="宋体"/>
                <w:b/>
                <w:bCs/>
                <w:color w:val="auto"/>
                <w:kern w:val="2"/>
                <w:sz w:val="28"/>
                <w:szCs w:val="28"/>
              </w:rPr>
            </w:pPr>
          </w:p>
        </w:tc>
        <w:tc>
          <w:tcPr>
            <w:tcW w:w="1552" w:type="dxa"/>
          </w:tcPr>
          <w:p>
            <w:pPr>
              <w:pStyle w:val="2"/>
              <w:jc w:val="center"/>
              <w:rPr>
                <w:rFonts w:ascii="宋体" w:hAnsi="宋体" w:eastAsia="宋体"/>
                <w:b/>
                <w:bCs/>
                <w:color w:val="auto"/>
                <w:kern w:val="2"/>
                <w:sz w:val="28"/>
                <w:szCs w:val="28"/>
              </w:rPr>
            </w:pPr>
          </w:p>
        </w:tc>
        <w:tc>
          <w:tcPr>
            <w:tcW w:w="1576" w:type="dxa"/>
          </w:tcPr>
          <w:p>
            <w:pPr>
              <w:pStyle w:val="2"/>
              <w:jc w:val="center"/>
              <w:rPr>
                <w:rFonts w:ascii="宋体" w:hAnsi="宋体" w:eastAsia="宋体"/>
                <w:b/>
                <w:bCs/>
                <w:color w:val="auto"/>
                <w:kern w:val="2"/>
                <w:sz w:val="28"/>
                <w:szCs w:val="28"/>
              </w:rPr>
            </w:pPr>
          </w:p>
        </w:tc>
        <w:tc>
          <w:tcPr>
            <w:tcW w:w="2330" w:type="dxa"/>
          </w:tcPr>
          <w:p>
            <w:pPr>
              <w:pStyle w:val="2"/>
              <w:jc w:val="center"/>
              <w:rPr>
                <w:rFonts w:ascii="宋体" w:hAnsi="宋体" w:eastAsia="宋体"/>
                <w:b/>
                <w:bCs/>
                <w:color w:val="auto"/>
                <w:kern w:val="2"/>
                <w:sz w:val="28"/>
                <w:szCs w:val="28"/>
              </w:rPr>
            </w:pPr>
          </w:p>
        </w:tc>
        <w:tc>
          <w:tcPr>
            <w:tcW w:w="1007" w:type="dxa"/>
          </w:tcPr>
          <w:p>
            <w:pPr>
              <w:pStyle w:val="2"/>
              <w:jc w:val="center"/>
              <w:rPr>
                <w:rFonts w:ascii="宋体" w:hAnsi="宋体" w:eastAsia="宋体"/>
                <w:b/>
                <w:bCs/>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40" w:type="dxa"/>
          </w:tcPr>
          <w:p>
            <w:pPr>
              <w:pStyle w:val="2"/>
              <w:jc w:val="center"/>
              <w:rPr>
                <w:rFonts w:ascii="宋体" w:hAnsi="宋体" w:eastAsia="宋体"/>
                <w:b/>
                <w:bCs/>
                <w:color w:val="auto"/>
                <w:kern w:val="2"/>
                <w:sz w:val="28"/>
                <w:szCs w:val="28"/>
              </w:rPr>
            </w:pPr>
          </w:p>
        </w:tc>
        <w:tc>
          <w:tcPr>
            <w:tcW w:w="1612" w:type="dxa"/>
          </w:tcPr>
          <w:p>
            <w:pPr>
              <w:pStyle w:val="2"/>
              <w:jc w:val="center"/>
              <w:rPr>
                <w:rFonts w:ascii="宋体" w:hAnsi="宋体" w:eastAsia="宋体"/>
                <w:b/>
                <w:bCs/>
                <w:color w:val="auto"/>
                <w:kern w:val="2"/>
                <w:sz w:val="28"/>
                <w:szCs w:val="28"/>
              </w:rPr>
            </w:pPr>
          </w:p>
        </w:tc>
        <w:tc>
          <w:tcPr>
            <w:tcW w:w="1552" w:type="dxa"/>
          </w:tcPr>
          <w:p>
            <w:pPr>
              <w:pStyle w:val="2"/>
              <w:jc w:val="center"/>
              <w:rPr>
                <w:rFonts w:ascii="宋体" w:hAnsi="宋体" w:eastAsia="宋体"/>
                <w:b/>
                <w:bCs/>
                <w:color w:val="auto"/>
                <w:kern w:val="2"/>
                <w:sz w:val="28"/>
                <w:szCs w:val="28"/>
              </w:rPr>
            </w:pPr>
          </w:p>
        </w:tc>
        <w:tc>
          <w:tcPr>
            <w:tcW w:w="1576" w:type="dxa"/>
          </w:tcPr>
          <w:p>
            <w:pPr>
              <w:pStyle w:val="2"/>
              <w:jc w:val="center"/>
              <w:rPr>
                <w:rFonts w:ascii="宋体" w:hAnsi="宋体" w:eastAsia="宋体"/>
                <w:b/>
                <w:bCs/>
                <w:color w:val="auto"/>
                <w:kern w:val="2"/>
                <w:sz w:val="28"/>
                <w:szCs w:val="28"/>
              </w:rPr>
            </w:pPr>
          </w:p>
        </w:tc>
        <w:tc>
          <w:tcPr>
            <w:tcW w:w="2330" w:type="dxa"/>
          </w:tcPr>
          <w:p>
            <w:pPr>
              <w:pStyle w:val="2"/>
              <w:jc w:val="center"/>
              <w:rPr>
                <w:rFonts w:ascii="宋体" w:hAnsi="宋体" w:eastAsia="宋体"/>
                <w:b/>
                <w:bCs/>
                <w:color w:val="auto"/>
                <w:kern w:val="2"/>
                <w:sz w:val="28"/>
                <w:szCs w:val="28"/>
              </w:rPr>
            </w:pPr>
          </w:p>
        </w:tc>
        <w:tc>
          <w:tcPr>
            <w:tcW w:w="1007" w:type="dxa"/>
          </w:tcPr>
          <w:p>
            <w:pPr>
              <w:pStyle w:val="2"/>
              <w:jc w:val="center"/>
              <w:rPr>
                <w:rFonts w:ascii="宋体" w:hAnsi="宋体" w:eastAsia="宋体"/>
                <w:b/>
                <w:bCs/>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40" w:type="dxa"/>
          </w:tcPr>
          <w:p>
            <w:pPr>
              <w:pStyle w:val="2"/>
              <w:jc w:val="center"/>
              <w:rPr>
                <w:rFonts w:ascii="宋体" w:hAnsi="宋体" w:eastAsia="宋体"/>
                <w:b/>
                <w:bCs/>
                <w:color w:val="auto"/>
                <w:kern w:val="2"/>
                <w:sz w:val="28"/>
                <w:szCs w:val="28"/>
              </w:rPr>
            </w:pPr>
          </w:p>
        </w:tc>
        <w:tc>
          <w:tcPr>
            <w:tcW w:w="1612" w:type="dxa"/>
          </w:tcPr>
          <w:p>
            <w:pPr>
              <w:pStyle w:val="2"/>
              <w:jc w:val="center"/>
              <w:rPr>
                <w:rFonts w:ascii="宋体" w:hAnsi="宋体" w:eastAsia="宋体"/>
                <w:b/>
                <w:bCs/>
                <w:color w:val="auto"/>
                <w:kern w:val="2"/>
                <w:sz w:val="28"/>
                <w:szCs w:val="28"/>
              </w:rPr>
            </w:pPr>
          </w:p>
        </w:tc>
        <w:tc>
          <w:tcPr>
            <w:tcW w:w="1552" w:type="dxa"/>
          </w:tcPr>
          <w:p>
            <w:pPr>
              <w:pStyle w:val="2"/>
              <w:jc w:val="center"/>
              <w:rPr>
                <w:rFonts w:ascii="宋体" w:hAnsi="宋体" w:eastAsia="宋体"/>
                <w:b/>
                <w:bCs/>
                <w:color w:val="auto"/>
                <w:kern w:val="2"/>
                <w:sz w:val="28"/>
                <w:szCs w:val="28"/>
              </w:rPr>
            </w:pPr>
          </w:p>
        </w:tc>
        <w:tc>
          <w:tcPr>
            <w:tcW w:w="1576" w:type="dxa"/>
          </w:tcPr>
          <w:p>
            <w:pPr>
              <w:pStyle w:val="2"/>
              <w:jc w:val="center"/>
              <w:rPr>
                <w:rFonts w:ascii="宋体" w:hAnsi="宋体" w:eastAsia="宋体"/>
                <w:b/>
                <w:bCs/>
                <w:color w:val="auto"/>
                <w:kern w:val="2"/>
                <w:sz w:val="28"/>
                <w:szCs w:val="28"/>
              </w:rPr>
            </w:pPr>
          </w:p>
        </w:tc>
        <w:tc>
          <w:tcPr>
            <w:tcW w:w="2330" w:type="dxa"/>
          </w:tcPr>
          <w:p>
            <w:pPr>
              <w:pStyle w:val="2"/>
              <w:jc w:val="center"/>
              <w:rPr>
                <w:rFonts w:ascii="宋体" w:hAnsi="宋体" w:eastAsia="宋体"/>
                <w:b/>
                <w:bCs/>
                <w:color w:val="auto"/>
                <w:kern w:val="2"/>
                <w:sz w:val="28"/>
                <w:szCs w:val="28"/>
              </w:rPr>
            </w:pPr>
          </w:p>
        </w:tc>
        <w:tc>
          <w:tcPr>
            <w:tcW w:w="1007" w:type="dxa"/>
          </w:tcPr>
          <w:p>
            <w:pPr>
              <w:pStyle w:val="2"/>
              <w:jc w:val="center"/>
              <w:rPr>
                <w:rFonts w:ascii="宋体" w:hAnsi="宋体" w:eastAsia="宋体"/>
                <w:b/>
                <w:bCs/>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040" w:type="dxa"/>
          </w:tcPr>
          <w:p>
            <w:pPr>
              <w:pStyle w:val="2"/>
              <w:jc w:val="center"/>
              <w:rPr>
                <w:rFonts w:ascii="宋体" w:hAnsi="宋体" w:eastAsia="宋体"/>
                <w:b/>
                <w:bCs/>
                <w:color w:val="auto"/>
                <w:kern w:val="2"/>
                <w:sz w:val="28"/>
                <w:szCs w:val="28"/>
              </w:rPr>
            </w:pPr>
          </w:p>
        </w:tc>
        <w:tc>
          <w:tcPr>
            <w:tcW w:w="1612" w:type="dxa"/>
          </w:tcPr>
          <w:p>
            <w:pPr>
              <w:pStyle w:val="2"/>
              <w:jc w:val="center"/>
              <w:rPr>
                <w:rFonts w:ascii="宋体" w:hAnsi="宋体" w:eastAsia="宋体"/>
                <w:b/>
                <w:bCs/>
                <w:color w:val="auto"/>
                <w:kern w:val="2"/>
                <w:sz w:val="28"/>
                <w:szCs w:val="28"/>
              </w:rPr>
            </w:pPr>
          </w:p>
        </w:tc>
        <w:tc>
          <w:tcPr>
            <w:tcW w:w="1552" w:type="dxa"/>
          </w:tcPr>
          <w:p>
            <w:pPr>
              <w:pStyle w:val="2"/>
              <w:jc w:val="center"/>
              <w:rPr>
                <w:rFonts w:ascii="宋体" w:hAnsi="宋体" w:eastAsia="宋体"/>
                <w:b/>
                <w:bCs/>
                <w:color w:val="auto"/>
                <w:kern w:val="2"/>
                <w:sz w:val="28"/>
                <w:szCs w:val="28"/>
              </w:rPr>
            </w:pPr>
          </w:p>
        </w:tc>
        <w:tc>
          <w:tcPr>
            <w:tcW w:w="1576" w:type="dxa"/>
          </w:tcPr>
          <w:p>
            <w:pPr>
              <w:pStyle w:val="2"/>
              <w:jc w:val="center"/>
              <w:rPr>
                <w:rFonts w:ascii="宋体" w:hAnsi="宋体" w:eastAsia="宋体"/>
                <w:b/>
                <w:bCs/>
                <w:color w:val="auto"/>
                <w:kern w:val="2"/>
                <w:sz w:val="28"/>
                <w:szCs w:val="28"/>
              </w:rPr>
            </w:pPr>
          </w:p>
        </w:tc>
        <w:tc>
          <w:tcPr>
            <w:tcW w:w="2330" w:type="dxa"/>
          </w:tcPr>
          <w:p>
            <w:pPr>
              <w:pStyle w:val="2"/>
              <w:jc w:val="center"/>
              <w:rPr>
                <w:rFonts w:ascii="宋体" w:hAnsi="宋体" w:eastAsia="宋体"/>
                <w:b/>
                <w:bCs/>
                <w:color w:val="auto"/>
                <w:kern w:val="2"/>
                <w:sz w:val="28"/>
                <w:szCs w:val="28"/>
              </w:rPr>
            </w:pPr>
          </w:p>
        </w:tc>
        <w:tc>
          <w:tcPr>
            <w:tcW w:w="1007" w:type="dxa"/>
          </w:tcPr>
          <w:p>
            <w:pPr>
              <w:pStyle w:val="2"/>
              <w:jc w:val="center"/>
              <w:rPr>
                <w:rFonts w:ascii="宋体" w:hAnsi="宋体" w:eastAsia="宋体"/>
                <w:b/>
                <w:bCs/>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40" w:type="dxa"/>
          </w:tcPr>
          <w:p>
            <w:pPr>
              <w:pStyle w:val="2"/>
              <w:jc w:val="center"/>
              <w:rPr>
                <w:rFonts w:ascii="宋体" w:hAnsi="宋体" w:eastAsia="宋体"/>
                <w:b/>
                <w:bCs/>
                <w:color w:val="auto"/>
                <w:kern w:val="2"/>
                <w:sz w:val="28"/>
                <w:szCs w:val="28"/>
              </w:rPr>
            </w:pPr>
          </w:p>
        </w:tc>
        <w:tc>
          <w:tcPr>
            <w:tcW w:w="1612" w:type="dxa"/>
          </w:tcPr>
          <w:p>
            <w:pPr>
              <w:pStyle w:val="2"/>
              <w:jc w:val="center"/>
              <w:rPr>
                <w:rFonts w:ascii="宋体" w:hAnsi="宋体" w:eastAsia="宋体"/>
                <w:b/>
                <w:bCs/>
                <w:color w:val="auto"/>
                <w:kern w:val="2"/>
                <w:sz w:val="28"/>
                <w:szCs w:val="28"/>
              </w:rPr>
            </w:pPr>
          </w:p>
        </w:tc>
        <w:tc>
          <w:tcPr>
            <w:tcW w:w="1552" w:type="dxa"/>
          </w:tcPr>
          <w:p>
            <w:pPr>
              <w:pStyle w:val="2"/>
              <w:jc w:val="center"/>
              <w:rPr>
                <w:rFonts w:ascii="宋体" w:hAnsi="宋体" w:eastAsia="宋体"/>
                <w:b/>
                <w:bCs/>
                <w:color w:val="auto"/>
                <w:kern w:val="2"/>
                <w:sz w:val="28"/>
                <w:szCs w:val="28"/>
              </w:rPr>
            </w:pPr>
          </w:p>
        </w:tc>
        <w:tc>
          <w:tcPr>
            <w:tcW w:w="1576" w:type="dxa"/>
          </w:tcPr>
          <w:p>
            <w:pPr>
              <w:pStyle w:val="2"/>
              <w:jc w:val="center"/>
              <w:rPr>
                <w:rFonts w:ascii="宋体" w:hAnsi="宋体" w:eastAsia="宋体"/>
                <w:b/>
                <w:bCs/>
                <w:color w:val="auto"/>
                <w:kern w:val="2"/>
                <w:sz w:val="28"/>
                <w:szCs w:val="28"/>
              </w:rPr>
            </w:pPr>
          </w:p>
        </w:tc>
        <w:tc>
          <w:tcPr>
            <w:tcW w:w="2330" w:type="dxa"/>
          </w:tcPr>
          <w:p>
            <w:pPr>
              <w:pStyle w:val="2"/>
              <w:jc w:val="center"/>
              <w:rPr>
                <w:rFonts w:ascii="宋体" w:hAnsi="宋体" w:eastAsia="宋体"/>
                <w:b/>
                <w:bCs/>
                <w:color w:val="auto"/>
                <w:kern w:val="2"/>
                <w:sz w:val="28"/>
                <w:szCs w:val="28"/>
              </w:rPr>
            </w:pPr>
          </w:p>
        </w:tc>
        <w:tc>
          <w:tcPr>
            <w:tcW w:w="1007" w:type="dxa"/>
          </w:tcPr>
          <w:p>
            <w:pPr>
              <w:pStyle w:val="2"/>
              <w:jc w:val="center"/>
              <w:rPr>
                <w:rFonts w:ascii="宋体" w:hAnsi="宋体" w:eastAsia="宋体"/>
                <w:b/>
                <w:bCs/>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40" w:type="dxa"/>
          </w:tcPr>
          <w:p>
            <w:pPr>
              <w:pStyle w:val="2"/>
              <w:jc w:val="center"/>
              <w:rPr>
                <w:rFonts w:ascii="宋体" w:hAnsi="宋体" w:eastAsia="宋体"/>
                <w:b/>
                <w:bCs/>
                <w:color w:val="auto"/>
                <w:kern w:val="2"/>
                <w:sz w:val="28"/>
                <w:szCs w:val="28"/>
              </w:rPr>
            </w:pPr>
          </w:p>
        </w:tc>
        <w:tc>
          <w:tcPr>
            <w:tcW w:w="1612" w:type="dxa"/>
          </w:tcPr>
          <w:p>
            <w:pPr>
              <w:pStyle w:val="2"/>
              <w:jc w:val="center"/>
              <w:rPr>
                <w:rFonts w:ascii="宋体" w:hAnsi="宋体" w:eastAsia="宋体"/>
                <w:b/>
                <w:bCs/>
                <w:color w:val="auto"/>
                <w:kern w:val="2"/>
                <w:sz w:val="28"/>
                <w:szCs w:val="28"/>
              </w:rPr>
            </w:pPr>
          </w:p>
        </w:tc>
        <w:tc>
          <w:tcPr>
            <w:tcW w:w="1552" w:type="dxa"/>
          </w:tcPr>
          <w:p>
            <w:pPr>
              <w:pStyle w:val="2"/>
              <w:jc w:val="center"/>
              <w:rPr>
                <w:rFonts w:ascii="宋体" w:hAnsi="宋体" w:eastAsia="宋体"/>
                <w:b/>
                <w:bCs/>
                <w:color w:val="auto"/>
                <w:kern w:val="2"/>
                <w:sz w:val="28"/>
                <w:szCs w:val="28"/>
              </w:rPr>
            </w:pPr>
          </w:p>
        </w:tc>
        <w:tc>
          <w:tcPr>
            <w:tcW w:w="1576" w:type="dxa"/>
          </w:tcPr>
          <w:p>
            <w:pPr>
              <w:pStyle w:val="2"/>
              <w:jc w:val="center"/>
              <w:rPr>
                <w:rFonts w:ascii="宋体" w:hAnsi="宋体" w:eastAsia="宋体"/>
                <w:b/>
                <w:bCs/>
                <w:color w:val="auto"/>
                <w:kern w:val="2"/>
                <w:sz w:val="28"/>
                <w:szCs w:val="28"/>
              </w:rPr>
            </w:pPr>
          </w:p>
        </w:tc>
        <w:tc>
          <w:tcPr>
            <w:tcW w:w="2330" w:type="dxa"/>
          </w:tcPr>
          <w:p>
            <w:pPr>
              <w:pStyle w:val="2"/>
              <w:jc w:val="center"/>
              <w:rPr>
                <w:rFonts w:ascii="宋体" w:hAnsi="宋体" w:eastAsia="宋体"/>
                <w:b/>
                <w:bCs/>
                <w:color w:val="auto"/>
                <w:kern w:val="2"/>
                <w:sz w:val="28"/>
                <w:szCs w:val="28"/>
              </w:rPr>
            </w:pPr>
          </w:p>
        </w:tc>
        <w:tc>
          <w:tcPr>
            <w:tcW w:w="1007" w:type="dxa"/>
          </w:tcPr>
          <w:p>
            <w:pPr>
              <w:pStyle w:val="2"/>
              <w:jc w:val="center"/>
              <w:rPr>
                <w:rFonts w:ascii="宋体" w:hAnsi="宋体" w:eastAsia="宋体"/>
                <w:b/>
                <w:bCs/>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40" w:type="dxa"/>
          </w:tcPr>
          <w:p>
            <w:pPr>
              <w:pStyle w:val="2"/>
              <w:jc w:val="center"/>
              <w:rPr>
                <w:rFonts w:ascii="宋体" w:hAnsi="宋体" w:eastAsia="宋体"/>
                <w:b/>
                <w:bCs/>
                <w:color w:val="auto"/>
                <w:kern w:val="2"/>
                <w:sz w:val="28"/>
                <w:szCs w:val="28"/>
              </w:rPr>
            </w:pPr>
          </w:p>
        </w:tc>
        <w:tc>
          <w:tcPr>
            <w:tcW w:w="1612" w:type="dxa"/>
          </w:tcPr>
          <w:p>
            <w:pPr>
              <w:pStyle w:val="2"/>
              <w:jc w:val="center"/>
              <w:rPr>
                <w:rFonts w:ascii="宋体" w:hAnsi="宋体" w:eastAsia="宋体"/>
                <w:b/>
                <w:bCs/>
                <w:color w:val="auto"/>
                <w:kern w:val="2"/>
                <w:sz w:val="28"/>
                <w:szCs w:val="28"/>
              </w:rPr>
            </w:pPr>
          </w:p>
        </w:tc>
        <w:tc>
          <w:tcPr>
            <w:tcW w:w="1552" w:type="dxa"/>
          </w:tcPr>
          <w:p>
            <w:pPr>
              <w:pStyle w:val="2"/>
              <w:jc w:val="center"/>
              <w:rPr>
                <w:rFonts w:ascii="宋体" w:hAnsi="宋体" w:eastAsia="宋体"/>
                <w:b/>
                <w:bCs/>
                <w:color w:val="auto"/>
                <w:kern w:val="2"/>
                <w:sz w:val="28"/>
                <w:szCs w:val="28"/>
              </w:rPr>
            </w:pPr>
          </w:p>
        </w:tc>
        <w:tc>
          <w:tcPr>
            <w:tcW w:w="1576" w:type="dxa"/>
          </w:tcPr>
          <w:p>
            <w:pPr>
              <w:pStyle w:val="2"/>
              <w:jc w:val="center"/>
              <w:rPr>
                <w:rFonts w:ascii="宋体" w:hAnsi="宋体" w:eastAsia="宋体"/>
                <w:b/>
                <w:bCs/>
                <w:color w:val="auto"/>
                <w:kern w:val="2"/>
                <w:sz w:val="28"/>
                <w:szCs w:val="28"/>
              </w:rPr>
            </w:pPr>
          </w:p>
        </w:tc>
        <w:tc>
          <w:tcPr>
            <w:tcW w:w="2330" w:type="dxa"/>
          </w:tcPr>
          <w:p>
            <w:pPr>
              <w:pStyle w:val="2"/>
              <w:jc w:val="center"/>
              <w:rPr>
                <w:rFonts w:ascii="宋体" w:hAnsi="宋体" w:eastAsia="宋体"/>
                <w:b/>
                <w:bCs/>
                <w:color w:val="auto"/>
                <w:kern w:val="2"/>
                <w:sz w:val="28"/>
                <w:szCs w:val="28"/>
              </w:rPr>
            </w:pPr>
          </w:p>
        </w:tc>
        <w:tc>
          <w:tcPr>
            <w:tcW w:w="1007" w:type="dxa"/>
          </w:tcPr>
          <w:p>
            <w:pPr>
              <w:pStyle w:val="2"/>
              <w:jc w:val="center"/>
              <w:rPr>
                <w:rFonts w:ascii="宋体" w:hAnsi="宋体" w:eastAsia="宋体"/>
                <w:b/>
                <w:bCs/>
                <w:color w:val="auto"/>
                <w:kern w:val="2"/>
                <w:sz w:val="28"/>
                <w:szCs w:val="28"/>
              </w:rPr>
            </w:pPr>
          </w:p>
        </w:tc>
      </w:tr>
    </w:tbl>
    <w:p>
      <w:pPr>
        <w:pStyle w:val="2"/>
        <w:jc w:val="center"/>
        <w:rPr>
          <w:rFonts w:ascii="宋体" w:hAnsi="宋体" w:eastAsia="宋体"/>
          <w:b/>
          <w:bCs/>
          <w:color w:val="auto"/>
          <w:kern w:val="2"/>
          <w:sz w:val="28"/>
          <w:szCs w:val="28"/>
        </w:rPr>
      </w:pPr>
    </w:p>
    <w:p>
      <w:pPr>
        <w:pStyle w:val="2"/>
        <w:jc w:val="center"/>
        <w:rPr>
          <w:rFonts w:ascii="宋体" w:hAnsi="宋体" w:eastAsia="宋体"/>
          <w:b/>
          <w:bCs/>
          <w:color w:val="auto"/>
          <w:kern w:val="2"/>
          <w:sz w:val="28"/>
          <w:szCs w:val="28"/>
        </w:rPr>
      </w:pPr>
    </w:p>
    <w:p>
      <w:pPr>
        <w:pStyle w:val="2"/>
        <w:jc w:val="center"/>
        <w:rPr>
          <w:rFonts w:ascii="宋体" w:hAnsi="宋体" w:eastAsia="宋体"/>
          <w:b/>
          <w:bCs/>
          <w:color w:val="auto"/>
          <w:kern w:val="2"/>
          <w:sz w:val="28"/>
          <w:szCs w:val="28"/>
        </w:rPr>
      </w:pPr>
    </w:p>
    <w:p>
      <w:pPr>
        <w:pStyle w:val="18"/>
        <w:spacing w:before="210"/>
        <w:ind w:left="796"/>
      </w:pPr>
      <w:r>
        <w:t>注：投标人（仅限于投标人自己实施的）以上业绩需提供有关书面证明材料。</w:t>
      </w:r>
    </w:p>
    <w:p>
      <w:pPr>
        <w:pStyle w:val="18"/>
        <w:spacing w:before="11"/>
        <w:rPr>
          <w:sz w:val="30"/>
        </w:rPr>
      </w:pPr>
    </w:p>
    <w:p>
      <w:pPr>
        <w:spacing w:line="360" w:lineRule="auto"/>
        <w:ind w:left="630" w:leftChars="300"/>
        <w:rPr>
          <w:rFonts w:ascii="宋体" w:hAnsi="宋体"/>
          <w:sz w:val="24"/>
          <w:szCs w:val="24"/>
        </w:rPr>
      </w:pPr>
      <w:r>
        <w:rPr>
          <w:rFonts w:ascii="宋体" w:hAnsi="宋体"/>
          <w:sz w:val="24"/>
          <w:szCs w:val="24"/>
        </w:rPr>
        <w:t>投标人名称：       （加盖公章）</w:t>
      </w:r>
    </w:p>
    <w:p>
      <w:pPr>
        <w:pStyle w:val="204"/>
        <w:spacing w:line="360" w:lineRule="auto"/>
        <w:ind w:left="630" w:leftChars="300"/>
        <w:rPr>
          <w:rFonts w:ascii="宋体" w:hAnsi="宋体" w:cs="Times New Roman"/>
          <w:szCs w:val="24"/>
        </w:rPr>
      </w:pPr>
      <w:r>
        <w:rPr>
          <w:rFonts w:hint="eastAsia" w:ascii="宋体" w:hAnsi="宋体"/>
          <w:szCs w:val="24"/>
        </w:rPr>
        <w:t>法定代表人或</w:t>
      </w:r>
      <w:r>
        <w:rPr>
          <w:rFonts w:hint="eastAsia" w:ascii="宋体" w:hAnsi="宋体" w:cs="宋体"/>
          <w:sz w:val="24"/>
          <w:szCs w:val="24"/>
        </w:rPr>
        <w:t>授权代表（被授权人）</w:t>
      </w:r>
      <w:r>
        <w:rPr>
          <w:rFonts w:ascii="宋体" w:hAnsi="宋体" w:cs="Times New Roman"/>
          <w:szCs w:val="24"/>
        </w:rPr>
        <w:t>：</w:t>
      </w:r>
      <w:r>
        <w:rPr>
          <w:rFonts w:hint="eastAsia" w:ascii="宋体" w:hAnsi="宋体" w:cs="Times New Roman"/>
          <w:szCs w:val="24"/>
        </w:rPr>
        <w:t xml:space="preserve">      </w:t>
      </w:r>
      <w:r>
        <w:rPr>
          <w:rFonts w:hint="eastAsia" w:ascii="宋体" w:hAnsi="宋体"/>
          <w:bCs/>
          <w:szCs w:val="24"/>
        </w:rPr>
        <w:t>（签字或加盖个人名章）</w:t>
      </w:r>
    </w:p>
    <w:p>
      <w:pPr>
        <w:spacing w:line="360" w:lineRule="auto"/>
        <w:ind w:right="480" w:firstLine="600" w:firstLineChars="250"/>
      </w:pPr>
      <w:r>
        <w:rPr>
          <w:rFonts w:hint="eastAsia" w:ascii="宋体" w:hAnsi="宋体"/>
          <w:sz w:val="24"/>
          <w:szCs w:val="24"/>
        </w:rPr>
        <w:t>日期：</w:t>
      </w:r>
      <w:r>
        <w:rPr>
          <w:rFonts w:ascii="宋体" w:hAnsi="宋体"/>
          <w:sz w:val="24"/>
          <w:szCs w:val="24"/>
        </w:rPr>
        <w:t>XXXX</w:t>
      </w:r>
      <w:r>
        <w:rPr>
          <w:rFonts w:hint="eastAsia" w:ascii="宋体" w:hAnsi="宋体"/>
          <w:sz w:val="24"/>
          <w:szCs w:val="24"/>
        </w:rPr>
        <w:t>年</w:t>
      </w:r>
      <w:r>
        <w:rPr>
          <w:rFonts w:ascii="宋体" w:hAnsi="宋体"/>
          <w:sz w:val="24"/>
          <w:szCs w:val="24"/>
        </w:rPr>
        <w:t>XX</w:t>
      </w:r>
      <w:r>
        <w:rPr>
          <w:rFonts w:hint="eastAsia" w:ascii="宋体" w:hAnsi="宋体"/>
          <w:sz w:val="24"/>
          <w:szCs w:val="24"/>
        </w:rPr>
        <w:t>月</w:t>
      </w:r>
      <w:r>
        <w:rPr>
          <w:rFonts w:ascii="宋体" w:hAnsi="宋体"/>
          <w:sz w:val="24"/>
          <w:szCs w:val="24"/>
        </w:rPr>
        <w:t>XX</w:t>
      </w:r>
      <w:r>
        <w:rPr>
          <w:rFonts w:hint="eastAsia" w:ascii="宋体" w:hAnsi="宋体"/>
          <w:sz w:val="24"/>
          <w:szCs w:val="24"/>
        </w:rPr>
        <w:t xml:space="preserve"> 日</w:t>
      </w:r>
    </w:p>
    <w:p>
      <w:pPr>
        <w:spacing w:line="280" w:lineRule="auto"/>
      </w:pPr>
    </w:p>
    <w:p>
      <w:pPr>
        <w:pStyle w:val="2"/>
      </w:pPr>
    </w:p>
    <w:p>
      <w:pPr>
        <w:pStyle w:val="2"/>
      </w:pPr>
    </w:p>
    <w:p>
      <w:pPr>
        <w:pStyle w:val="2"/>
      </w:pPr>
    </w:p>
    <w:p>
      <w:pPr>
        <w:pStyle w:val="2"/>
      </w:pPr>
    </w:p>
    <w:p>
      <w:pPr>
        <w:pStyle w:val="2"/>
      </w:pPr>
    </w:p>
    <w:p>
      <w:pPr>
        <w:pStyle w:val="2"/>
      </w:pPr>
    </w:p>
    <w:p>
      <w:pPr>
        <w:pStyle w:val="2"/>
      </w:pPr>
    </w:p>
    <w:p>
      <w:pPr>
        <w:rPr>
          <w:b/>
          <w:bCs/>
          <w:sz w:val="28"/>
          <w:szCs w:val="28"/>
        </w:rPr>
      </w:pPr>
      <w:r>
        <w:rPr>
          <w:rFonts w:hint="eastAsia"/>
          <w:b/>
          <w:bCs/>
          <w:sz w:val="28"/>
          <w:szCs w:val="28"/>
        </w:rPr>
        <w:t>格式九：</w:t>
      </w:r>
    </w:p>
    <w:p>
      <w:pPr>
        <w:ind w:left="3990"/>
        <w:jc w:val="left"/>
        <w:rPr>
          <w:b/>
          <w:bCs/>
          <w:sz w:val="28"/>
          <w:szCs w:val="28"/>
        </w:rPr>
      </w:pPr>
      <w:r>
        <w:rPr>
          <w:rFonts w:hint="eastAsia"/>
          <w:b/>
          <w:bCs/>
          <w:sz w:val="28"/>
          <w:szCs w:val="28"/>
        </w:rPr>
        <w:t>八、服务应答表</w:t>
      </w:r>
    </w:p>
    <w:p>
      <w:pPr>
        <w:ind w:firstLine="422" w:firstLineChars="150"/>
        <w:rPr>
          <w:rFonts w:ascii="宋体" w:hAnsi="宋体"/>
          <w:b/>
          <w:bCs/>
          <w:sz w:val="28"/>
          <w:szCs w:val="28"/>
        </w:rPr>
      </w:pPr>
      <w:r>
        <w:rPr>
          <w:rFonts w:hint="eastAsia" w:ascii="宋体" w:hAnsi="宋体"/>
          <w:b/>
          <w:bCs/>
          <w:sz w:val="28"/>
          <w:szCs w:val="28"/>
        </w:rPr>
        <w:t>项目名称：</w:t>
      </w:r>
    </w:p>
    <w:p>
      <w:pPr>
        <w:pStyle w:val="2"/>
        <w:ind w:left="420" w:leftChars="200"/>
        <w:rPr>
          <w:rFonts w:ascii="宋体" w:hAnsi="宋体" w:eastAsia="宋体"/>
          <w:b/>
          <w:bCs/>
          <w:kern w:val="2"/>
          <w:sz w:val="28"/>
          <w:szCs w:val="28"/>
        </w:rPr>
      </w:pPr>
      <w:r>
        <w:rPr>
          <w:rFonts w:hint="eastAsia" w:ascii="宋体" w:hAnsi="宋体" w:eastAsia="宋体"/>
          <w:b/>
          <w:bCs/>
          <w:kern w:val="2"/>
          <w:sz w:val="28"/>
          <w:szCs w:val="28"/>
        </w:rPr>
        <w:t>项目编号：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3478"/>
        <w:gridCol w:w="2409"/>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38" w:type="dxa"/>
            <w:vAlign w:val="center"/>
          </w:tcPr>
          <w:p>
            <w:pPr>
              <w:pStyle w:val="2"/>
              <w:jc w:val="center"/>
              <w:rPr>
                <w:rFonts w:ascii="宋体" w:hAnsi="宋体" w:eastAsia="宋体"/>
                <w:b/>
                <w:bCs/>
                <w:kern w:val="2"/>
                <w:sz w:val="28"/>
                <w:szCs w:val="28"/>
              </w:rPr>
            </w:pPr>
            <w:r>
              <w:rPr>
                <w:rFonts w:hint="eastAsia" w:ascii="宋体" w:hAnsi="宋体" w:eastAsia="宋体"/>
                <w:b/>
                <w:bCs/>
                <w:kern w:val="2"/>
                <w:sz w:val="28"/>
                <w:szCs w:val="28"/>
              </w:rPr>
              <w:t>序号</w:t>
            </w:r>
          </w:p>
        </w:tc>
        <w:tc>
          <w:tcPr>
            <w:tcW w:w="3478" w:type="dxa"/>
            <w:vAlign w:val="center"/>
          </w:tcPr>
          <w:p>
            <w:pPr>
              <w:pStyle w:val="2"/>
              <w:jc w:val="center"/>
              <w:rPr>
                <w:rFonts w:ascii="宋体" w:hAnsi="宋体" w:eastAsia="宋体"/>
                <w:b/>
                <w:bCs/>
                <w:kern w:val="2"/>
                <w:sz w:val="28"/>
                <w:szCs w:val="28"/>
              </w:rPr>
            </w:pPr>
            <w:r>
              <w:rPr>
                <w:rFonts w:hint="eastAsia" w:ascii="宋体" w:hAnsi="宋体" w:eastAsia="宋体"/>
                <w:b/>
                <w:bCs/>
                <w:kern w:val="2"/>
                <w:sz w:val="28"/>
                <w:szCs w:val="28"/>
              </w:rPr>
              <w:t>招标要求</w:t>
            </w:r>
          </w:p>
        </w:tc>
        <w:tc>
          <w:tcPr>
            <w:tcW w:w="2409" w:type="dxa"/>
            <w:vAlign w:val="center"/>
          </w:tcPr>
          <w:p>
            <w:pPr>
              <w:pStyle w:val="2"/>
              <w:jc w:val="center"/>
              <w:rPr>
                <w:rFonts w:ascii="宋体" w:hAnsi="宋体" w:eastAsia="宋体"/>
                <w:b/>
                <w:bCs/>
                <w:kern w:val="2"/>
                <w:sz w:val="28"/>
                <w:szCs w:val="28"/>
              </w:rPr>
            </w:pPr>
            <w:r>
              <w:rPr>
                <w:rFonts w:hint="eastAsia" w:ascii="宋体" w:hAnsi="宋体" w:eastAsia="宋体"/>
                <w:b/>
                <w:bCs/>
                <w:kern w:val="2"/>
                <w:sz w:val="28"/>
                <w:szCs w:val="28"/>
              </w:rPr>
              <w:t>投标应答</w:t>
            </w:r>
          </w:p>
        </w:tc>
        <w:tc>
          <w:tcPr>
            <w:tcW w:w="1514" w:type="dxa"/>
            <w:vAlign w:val="center"/>
          </w:tcPr>
          <w:p>
            <w:pPr>
              <w:pStyle w:val="2"/>
              <w:jc w:val="center"/>
              <w:rPr>
                <w:rFonts w:ascii="宋体" w:hAnsi="宋体" w:eastAsia="宋体"/>
                <w:b/>
                <w:bCs/>
                <w:kern w:val="2"/>
                <w:sz w:val="28"/>
                <w:szCs w:val="28"/>
              </w:rPr>
            </w:pPr>
            <w:r>
              <w:rPr>
                <w:rFonts w:hint="eastAsia" w:ascii="宋体" w:hAnsi="宋体" w:eastAsia="宋体"/>
                <w:b/>
                <w:bCs/>
                <w:kern w:val="2"/>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38" w:type="dxa"/>
          </w:tcPr>
          <w:p>
            <w:pPr>
              <w:pStyle w:val="2"/>
              <w:jc w:val="both"/>
              <w:rPr>
                <w:rFonts w:ascii="宋体" w:hAnsi="宋体" w:eastAsia="宋体"/>
                <w:b/>
                <w:bCs/>
                <w:kern w:val="2"/>
                <w:sz w:val="28"/>
                <w:szCs w:val="28"/>
              </w:rPr>
            </w:pPr>
          </w:p>
        </w:tc>
        <w:tc>
          <w:tcPr>
            <w:tcW w:w="3478" w:type="dxa"/>
          </w:tcPr>
          <w:p>
            <w:pPr>
              <w:pStyle w:val="2"/>
              <w:jc w:val="both"/>
              <w:rPr>
                <w:rFonts w:ascii="宋体" w:hAnsi="宋体" w:eastAsia="宋体"/>
                <w:b/>
                <w:bCs/>
                <w:kern w:val="2"/>
                <w:sz w:val="28"/>
                <w:szCs w:val="28"/>
              </w:rPr>
            </w:pPr>
          </w:p>
        </w:tc>
        <w:tc>
          <w:tcPr>
            <w:tcW w:w="2409" w:type="dxa"/>
          </w:tcPr>
          <w:p>
            <w:pPr>
              <w:pStyle w:val="2"/>
              <w:jc w:val="both"/>
              <w:rPr>
                <w:rFonts w:ascii="宋体" w:hAnsi="宋体" w:eastAsia="宋体"/>
                <w:b/>
                <w:bCs/>
                <w:kern w:val="2"/>
                <w:sz w:val="28"/>
                <w:szCs w:val="28"/>
              </w:rPr>
            </w:pPr>
          </w:p>
        </w:tc>
        <w:tc>
          <w:tcPr>
            <w:tcW w:w="1514" w:type="dxa"/>
          </w:tcPr>
          <w:p>
            <w:pPr>
              <w:pStyle w:val="2"/>
              <w:jc w:val="both"/>
              <w:rPr>
                <w:rFonts w:ascii="宋体" w:hAnsi="宋体" w:eastAsia="宋体"/>
                <w:b/>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38" w:type="dxa"/>
          </w:tcPr>
          <w:p>
            <w:pPr>
              <w:pStyle w:val="2"/>
              <w:jc w:val="both"/>
              <w:rPr>
                <w:rFonts w:ascii="宋体" w:hAnsi="宋体" w:eastAsia="宋体"/>
                <w:b/>
                <w:bCs/>
                <w:kern w:val="2"/>
                <w:sz w:val="28"/>
                <w:szCs w:val="28"/>
              </w:rPr>
            </w:pPr>
          </w:p>
        </w:tc>
        <w:tc>
          <w:tcPr>
            <w:tcW w:w="3478" w:type="dxa"/>
          </w:tcPr>
          <w:p>
            <w:pPr>
              <w:pStyle w:val="2"/>
              <w:jc w:val="both"/>
              <w:rPr>
                <w:rFonts w:ascii="宋体" w:hAnsi="宋体" w:eastAsia="宋体"/>
                <w:b/>
                <w:bCs/>
                <w:kern w:val="2"/>
                <w:sz w:val="28"/>
                <w:szCs w:val="28"/>
              </w:rPr>
            </w:pPr>
          </w:p>
        </w:tc>
        <w:tc>
          <w:tcPr>
            <w:tcW w:w="2409" w:type="dxa"/>
          </w:tcPr>
          <w:p>
            <w:pPr>
              <w:pStyle w:val="2"/>
              <w:jc w:val="both"/>
              <w:rPr>
                <w:rFonts w:ascii="宋体" w:hAnsi="宋体" w:eastAsia="宋体"/>
                <w:b/>
                <w:bCs/>
                <w:kern w:val="2"/>
                <w:sz w:val="28"/>
                <w:szCs w:val="28"/>
              </w:rPr>
            </w:pPr>
          </w:p>
        </w:tc>
        <w:tc>
          <w:tcPr>
            <w:tcW w:w="1514" w:type="dxa"/>
          </w:tcPr>
          <w:p>
            <w:pPr>
              <w:pStyle w:val="2"/>
              <w:jc w:val="both"/>
              <w:rPr>
                <w:rFonts w:ascii="宋体" w:hAnsi="宋体" w:eastAsia="宋体"/>
                <w:b/>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38" w:type="dxa"/>
          </w:tcPr>
          <w:p>
            <w:pPr>
              <w:pStyle w:val="2"/>
              <w:jc w:val="both"/>
              <w:rPr>
                <w:rFonts w:ascii="宋体" w:hAnsi="宋体" w:eastAsia="宋体"/>
                <w:b/>
                <w:bCs/>
                <w:kern w:val="2"/>
                <w:sz w:val="28"/>
                <w:szCs w:val="28"/>
              </w:rPr>
            </w:pPr>
          </w:p>
        </w:tc>
        <w:tc>
          <w:tcPr>
            <w:tcW w:w="3478" w:type="dxa"/>
          </w:tcPr>
          <w:p>
            <w:pPr>
              <w:pStyle w:val="2"/>
              <w:jc w:val="both"/>
              <w:rPr>
                <w:rFonts w:ascii="宋体" w:hAnsi="宋体" w:eastAsia="宋体"/>
                <w:b/>
                <w:bCs/>
                <w:kern w:val="2"/>
                <w:sz w:val="28"/>
                <w:szCs w:val="28"/>
              </w:rPr>
            </w:pPr>
          </w:p>
        </w:tc>
        <w:tc>
          <w:tcPr>
            <w:tcW w:w="2409" w:type="dxa"/>
          </w:tcPr>
          <w:p>
            <w:pPr>
              <w:pStyle w:val="2"/>
              <w:jc w:val="both"/>
              <w:rPr>
                <w:rFonts w:ascii="宋体" w:hAnsi="宋体" w:eastAsia="宋体"/>
                <w:b/>
                <w:bCs/>
                <w:kern w:val="2"/>
                <w:sz w:val="28"/>
                <w:szCs w:val="28"/>
              </w:rPr>
            </w:pPr>
          </w:p>
        </w:tc>
        <w:tc>
          <w:tcPr>
            <w:tcW w:w="1514" w:type="dxa"/>
          </w:tcPr>
          <w:p>
            <w:pPr>
              <w:pStyle w:val="2"/>
              <w:jc w:val="both"/>
              <w:rPr>
                <w:rFonts w:ascii="宋体" w:hAnsi="宋体" w:eastAsia="宋体"/>
                <w:b/>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338" w:type="dxa"/>
          </w:tcPr>
          <w:p>
            <w:pPr>
              <w:pStyle w:val="2"/>
              <w:jc w:val="both"/>
              <w:rPr>
                <w:rFonts w:ascii="宋体" w:hAnsi="宋体" w:eastAsia="宋体"/>
                <w:b/>
                <w:bCs/>
                <w:kern w:val="2"/>
                <w:sz w:val="28"/>
                <w:szCs w:val="28"/>
              </w:rPr>
            </w:pPr>
          </w:p>
        </w:tc>
        <w:tc>
          <w:tcPr>
            <w:tcW w:w="3478" w:type="dxa"/>
          </w:tcPr>
          <w:p>
            <w:pPr>
              <w:pStyle w:val="2"/>
              <w:jc w:val="both"/>
              <w:rPr>
                <w:rFonts w:ascii="宋体" w:hAnsi="宋体" w:eastAsia="宋体"/>
                <w:b/>
                <w:bCs/>
                <w:kern w:val="2"/>
                <w:sz w:val="28"/>
                <w:szCs w:val="28"/>
              </w:rPr>
            </w:pPr>
          </w:p>
        </w:tc>
        <w:tc>
          <w:tcPr>
            <w:tcW w:w="2409" w:type="dxa"/>
          </w:tcPr>
          <w:p>
            <w:pPr>
              <w:pStyle w:val="2"/>
              <w:jc w:val="both"/>
              <w:rPr>
                <w:rFonts w:ascii="宋体" w:hAnsi="宋体" w:eastAsia="宋体"/>
                <w:b/>
                <w:bCs/>
                <w:kern w:val="2"/>
                <w:sz w:val="28"/>
                <w:szCs w:val="28"/>
              </w:rPr>
            </w:pPr>
          </w:p>
        </w:tc>
        <w:tc>
          <w:tcPr>
            <w:tcW w:w="1514" w:type="dxa"/>
          </w:tcPr>
          <w:p>
            <w:pPr>
              <w:pStyle w:val="2"/>
              <w:jc w:val="both"/>
              <w:rPr>
                <w:rFonts w:ascii="宋体" w:hAnsi="宋体" w:eastAsia="宋体"/>
                <w:b/>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338" w:type="dxa"/>
          </w:tcPr>
          <w:p>
            <w:pPr>
              <w:pStyle w:val="2"/>
              <w:jc w:val="both"/>
              <w:rPr>
                <w:rFonts w:ascii="宋体" w:hAnsi="宋体" w:eastAsia="宋体"/>
                <w:b/>
                <w:bCs/>
                <w:kern w:val="2"/>
                <w:sz w:val="28"/>
                <w:szCs w:val="28"/>
              </w:rPr>
            </w:pPr>
          </w:p>
        </w:tc>
        <w:tc>
          <w:tcPr>
            <w:tcW w:w="3478" w:type="dxa"/>
          </w:tcPr>
          <w:p>
            <w:pPr>
              <w:pStyle w:val="2"/>
              <w:jc w:val="both"/>
              <w:rPr>
                <w:rFonts w:ascii="宋体" w:hAnsi="宋体" w:eastAsia="宋体"/>
                <w:b/>
                <w:bCs/>
                <w:kern w:val="2"/>
                <w:sz w:val="28"/>
                <w:szCs w:val="28"/>
              </w:rPr>
            </w:pPr>
          </w:p>
        </w:tc>
        <w:tc>
          <w:tcPr>
            <w:tcW w:w="2409" w:type="dxa"/>
          </w:tcPr>
          <w:p>
            <w:pPr>
              <w:pStyle w:val="2"/>
              <w:jc w:val="both"/>
              <w:rPr>
                <w:rFonts w:ascii="宋体" w:hAnsi="宋体" w:eastAsia="宋体"/>
                <w:b/>
                <w:bCs/>
                <w:kern w:val="2"/>
                <w:sz w:val="28"/>
                <w:szCs w:val="28"/>
              </w:rPr>
            </w:pPr>
          </w:p>
        </w:tc>
        <w:tc>
          <w:tcPr>
            <w:tcW w:w="1514" w:type="dxa"/>
          </w:tcPr>
          <w:p>
            <w:pPr>
              <w:pStyle w:val="2"/>
              <w:jc w:val="both"/>
              <w:rPr>
                <w:rFonts w:ascii="宋体" w:hAnsi="宋体" w:eastAsia="宋体"/>
                <w:b/>
                <w:bCs/>
                <w:kern w:val="2"/>
                <w:sz w:val="28"/>
                <w:szCs w:val="28"/>
              </w:rPr>
            </w:pPr>
          </w:p>
        </w:tc>
      </w:tr>
    </w:tbl>
    <w:p>
      <w:pPr>
        <w:pStyle w:val="2"/>
        <w:ind w:left="420" w:leftChars="200"/>
        <w:rPr>
          <w:rFonts w:ascii="宋体" w:hAnsi="宋体" w:eastAsia="宋体"/>
          <w:b/>
          <w:bCs/>
          <w:kern w:val="2"/>
          <w:sz w:val="28"/>
          <w:szCs w:val="28"/>
        </w:rPr>
      </w:pPr>
    </w:p>
    <w:p>
      <w:pPr>
        <w:rPr>
          <w:rFonts w:ascii="......." w:hAnsi="......." w:eastAsia="......."/>
          <w:color w:val="000000"/>
          <w:kern w:val="0"/>
          <w:sz w:val="24"/>
          <w:szCs w:val="24"/>
        </w:rPr>
      </w:pPr>
      <w:r>
        <w:rPr>
          <w:rFonts w:hint="eastAsia"/>
          <w:b/>
          <w:bCs/>
          <w:sz w:val="28"/>
          <w:szCs w:val="28"/>
        </w:rPr>
        <w:t>注：</w:t>
      </w:r>
      <w:r>
        <w:rPr>
          <w:rFonts w:hint="eastAsia" w:ascii="......." w:hAnsi="......." w:eastAsia="......."/>
          <w:color w:val="000000"/>
          <w:kern w:val="0"/>
          <w:sz w:val="24"/>
          <w:szCs w:val="24"/>
        </w:rPr>
        <w:t>1.投标人必须把招标文件的采购内容及要求列入此表。</w:t>
      </w:r>
    </w:p>
    <w:p>
      <w:pPr>
        <w:pStyle w:val="2"/>
        <w:ind w:left="80" w:leftChars="38" w:firstLine="480" w:firstLineChars="200"/>
      </w:pPr>
      <w:r>
        <w:rPr>
          <w:rFonts w:hint="eastAsia"/>
        </w:rPr>
        <w:t>2.投标人必须据实填写，不得虚假填写，否则将取消其投标或中标资格。</w:t>
      </w:r>
    </w:p>
    <w:p>
      <w:pPr>
        <w:pStyle w:val="2"/>
      </w:pPr>
    </w:p>
    <w:p>
      <w:pPr>
        <w:pStyle w:val="2"/>
      </w:pPr>
    </w:p>
    <w:p>
      <w:pPr>
        <w:pStyle w:val="2"/>
      </w:pPr>
    </w:p>
    <w:p>
      <w:pPr>
        <w:pStyle w:val="2"/>
      </w:pPr>
    </w:p>
    <w:p>
      <w:pPr>
        <w:pStyle w:val="2"/>
      </w:pPr>
    </w:p>
    <w:p>
      <w:pPr>
        <w:pStyle w:val="2"/>
      </w:pPr>
    </w:p>
    <w:p>
      <w:pPr>
        <w:spacing w:line="360" w:lineRule="auto"/>
        <w:ind w:left="630" w:leftChars="300"/>
        <w:rPr>
          <w:rFonts w:ascii="宋体" w:hAnsi="宋体"/>
          <w:sz w:val="24"/>
          <w:szCs w:val="24"/>
        </w:rPr>
      </w:pPr>
      <w:r>
        <w:rPr>
          <w:rFonts w:ascii="宋体" w:hAnsi="宋体"/>
          <w:sz w:val="24"/>
          <w:szCs w:val="24"/>
        </w:rPr>
        <w:t>投标人名称：       （加盖公章）</w:t>
      </w:r>
    </w:p>
    <w:p>
      <w:pPr>
        <w:pStyle w:val="204"/>
        <w:spacing w:line="360" w:lineRule="auto"/>
        <w:ind w:left="630" w:leftChars="300"/>
        <w:rPr>
          <w:rFonts w:ascii="宋体" w:hAnsi="宋体" w:cs="Times New Roman"/>
          <w:szCs w:val="24"/>
        </w:rPr>
      </w:pPr>
      <w:r>
        <w:rPr>
          <w:rFonts w:hint="eastAsia" w:ascii="宋体" w:hAnsi="宋体"/>
          <w:szCs w:val="24"/>
        </w:rPr>
        <w:t>法定代表人或</w:t>
      </w:r>
      <w:r>
        <w:rPr>
          <w:rFonts w:hint="eastAsia" w:ascii="宋体" w:hAnsi="宋体" w:cs="宋体"/>
          <w:sz w:val="24"/>
          <w:szCs w:val="24"/>
        </w:rPr>
        <w:t>授权代表（被授权人）</w:t>
      </w:r>
      <w:r>
        <w:rPr>
          <w:rFonts w:ascii="宋体" w:hAnsi="宋体" w:cs="Times New Roman"/>
          <w:szCs w:val="24"/>
        </w:rPr>
        <w:t>：</w:t>
      </w:r>
      <w:r>
        <w:rPr>
          <w:rFonts w:hint="eastAsia" w:ascii="宋体" w:hAnsi="宋体" w:cs="Times New Roman"/>
          <w:szCs w:val="24"/>
        </w:rPr>
        <w:t xml:space="preserve">       </w:t>
      </w:r>
      <w:r>
        <w:rPr>
          <w:rFonts w:hint="eastAsia" w:ascii="宋体" w:hAnsi="宋体"/>
          <w:bCs/>
          <w:szCs w:val="24"/>
        </w:rPr>
        <w:t>（签字或加盖个人名章）</w:t>
      </w:r>
    </w:p>
    <w:p>
      <w:pPr>
        <w:numPr>
          <w:ilvl w:val="0"/>
          <w:numId w:val="35"/>
        </w:numPr>
        <w:spacing w:line="360" w:lineRule="auto"/>
        <w:ind w:right="480" w:firstLine="600" w:firstLineChars="250"/>
        <w:rPr>
          <w:rFonts w:ascii="宋体" w:hAnsi="宋体"/>
          <w:sz w:val="24"/>
          <w:szCs w:val="24"/>
        </w:rPr>
      </w:pPr>
      <w:r>
        <w:rPr>
          <w:rFonts w:hint="eastAsia" w:ascii="宋体" w:hAnsi="宋体"/>
          <w:sz w:val="24"/>
          <w:szCs w:val="24"/>
        </w:rPr>
        <w:t>日期：</w:t>
      </w:r>
      <w:r>
        <w:rPr>
          <w:rFonts w:ascii="宋体" w:hAnsi="宋体"/>
          <w:sz w:val="24"/>
          <w:szCs w:val="24"/>
        </w:rPr>
        <w:t>XXXX</w:t>
      </w:r>
      <w:r>
        <w:rPr>
          <w:rFonts w:hint="eastAsia" w:ascii="宋体" w:hAnsi="宋体"/>
          <w:sz w:val="24"/>
          <w:szCs w:val="24"/>
        </w:rPr>
        <w:t>年</w:t>
      </w:r>
      <w:r>
        <w:rPr>
          <w:rFonts w:ascii="宋体" w:hAnsi="宋体"/>
          <w:sz w:val="24"/>
          <w:szCs w:val="24"/>
        </w:rPr>
        <w:t>XX</w:t>
      </w:r>
      <w:r>
        <w:rPr>
          <w:rFonts w:hint="eastAsia" w:ascii="宋体" w:hAnsi="宋体"/>
          <w:sz w:val="24"/>
          <w:szCs w:val="24"/>
        </w:rPr>
        <w:t>月</w:t>
      </w:r>
      <w:r>
        <w:rPr>
          <w:rFonts w:ascii="宋体" w:hAnsi="宋体"/>
          <w:sz w:val="24"/>
          <w:szCs w:val="24"/>
        </w:rPr>
        <w:t>XX</w:t>
      </w:r>
      <w:r>
        <w:rPr>
          <w:rFonts w:hint="eastAsia" w:ascii="宋体" w:hAnsi="宋体"/>
          <w:sz w:val="24"/>
          <w:szCs w:val="24"/>
        </w:rPr>
        <w:t xml:space="preserve"> 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b/>
          <w:bCs/>
          <w:sz w:val="28"/>
          <w:szCs w:val="28"/>
        </w:rPr>
      </w:pPr>
      <w:r>
        <w:rPr>
          <w:rFonts w:hint="eastAsia"/>
          <w:b/>
          <w:bCs/>
          <w:sz w:val="28"/>
          <w:szCs w:val="28"/>
        </w:rPr>
        <w:t>格式十：</w:t>
      </w:r>
    </w:p>
    <w:p>
      <w:pPr>
        <w:pStyle w:val="2"/>
        <w:rPr>
          <w:i/>
          <w:iCs/>
        </w:rPr>
      </w:pPr>
    </w:p>
    <w:p>
      <w:pPr>
        <w:jc w:val="center"/>
        <w:rPr>
          <w:b/>
          <w:bCs/>
          <w:sz w:val="28"/>
          <w:szCs w:val="28"/>
        </w:rPr>
      </w:pPr>
      <w:r>
        <w:rPr>
          <w:rFonts w:hint="eastAsia"/>
          <w:b/>
          <w:bCs/>
          <w:sz w:val="28"/>
          <w:szCs w:val="28"/>
        </w:rPr>
        <w:t>九、投标人拟派出参与审计组成人员情况表</w:t>
      </w:r>
    </w:p>
    <w:p>
      <w:pPr>
        <w:rPr>
          <w:rFonts w:ascii="宋体" w:hAnsi="宋体"/>
          <w:b/>
          <w:bCs/>
          <w:sz w:val="28"/>
          <w:szCs w:val="28"/>
        </w:rPr>
      </w:pPr>
      <w:r>
        <w:rPr>
          <w:rFonts w:hint="eastAsia" w:ascii="宋体" w:hAnsi="宋体"/>
          <w:b/>
          <w:bCs/>
          <w:sz w:val="28"/>
          <w:szCs w:val="28"/>
        </w:rPr>
        <w:t>项目名称：</w:t>
      </w:r>
    </w:p>
    <w:p>
      <w:pPr>
        <w:pStyle w:val="2"/>
        <w:rPr>
          <w:rFonts w:ascii="宋体" w:hAnsi="宋体" w:eastAsia="宋体"/>
          <w:b/>
          <w:bCs/>
          <w:kern w:val="2"/>
          <w:sz w:val="28"/>
          <w:szCs w:val="28"/>
        </w:rPr>
      </w:pPr>
      <w:r>
        <w:rPr>
          <w:rFonts w:hint="eastAsia" w:ascii="宋体" w:hAnsi="宋体" w:eastAsia="宋体"/>
          <w:b/>
          <w:bCs/>
          <w:kern w:val="2"/>
          <w:sz w:val="28"/>
          <w:szCs w:val="28"/>
        </w:rPr>
        <w:t>项目编号：</w:t>
      </w:r>
    </w:p>
    <w:tbl>
      <w:tblPr>
        <w:tblStyle w:val="44"/>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770"/>
        <w:gridCol w:w="541"/>
        <w:gridCol w:w="849"/>
        <w:gridCol w:w="851"/>
        <w:gridCol w:w="709"/>
        <w:gridCol w:w="708"/>
        <w:gridCol w:w="682"/>
        <w:gridCol w:w="938"/>
        <w:gridCol w:w="93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序号</w:t>
            </w: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姓名</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性别</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专业技术职称</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执业资格注册证号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执业年限</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专业类别</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拟任职务</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学历</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参与审计项目类型</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7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541"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849"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682"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93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93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7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541"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849"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682"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93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93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7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541"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849"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682"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93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93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7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541"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849"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682"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93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93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7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541"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849"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682"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93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93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7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541"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849"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682"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93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93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7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541"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849"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682"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93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93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7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541"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849"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851"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682"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93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93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r>
    </w:tbl>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注：</w:t>
      </w:r>
    </w:p>
    <w:p>
      <w:pPr>
        <w:spacing w:line="360" w:lineRule="auto"/>
        <w:ind w:firstLine="480" w:firstLineChars="200"/>
        <w:rPr>
          <w:rFonts w:ascii="宋体" w:hAnsi="宋体"/>
          <w:bCs/>
          <w:sz w:val="24"/>
          <w:szCs w:val="24"/>
        </w:rPr>
      </w:pPr>
      <w:r>
        <w:rPr>
          <w:rFonts w:hint="eastAsia" w:ascii="宋体" w:hAnsi="宋体"/>
          <w:bCs/>
          <w:sz w:val="24"/>
          <w:szCs w:val="24"/>
        </w:rPr>
        <w:t>1.在招标公告发布日前已经为拟投</w:t>
      </w:r>
      <w:r>
        <w:rPr>
          <w:rFonts w:hint="eastAsia" w:ascii="宋体" w:hAnsi="宋体"/>
          <w:bCs/>
          <w:sz w:val="24"/>
          <w:szCs w:val="24"/>
          <w:highlight w:val="none"/>
        </w:rPr>
        <w:t>入本项目的专业人员</w:t>
      </w:r>
      <w:r>
        <w:rPr>
          <w:rFonts w:hint="eastAsia" w:ascii="宋体" w:hAnsi="宋体"/>
          <w:bCs/>
          <w:sz w:val="24"/>
          <w:szCs w:val="24"/>
          <w:highlight w:val="none"/>
          <w:lang w:val="en-US" w:eastAsia="zh-CN"/>
        </w:rPr>
        <w:t>签订2年以上</w:t>
      </w:r>
      <w:r>
        <w:rPr>
          <w:rFonts w:hint="eastAsia" w:ascii="宋体" w:hAnsi="宋体"/>
          <w:bCs/>
          <w:sz w:val="24"/>
          <w:szCs w:val="24"/>
          <w:highlight w:val="none"/>
        </w:rPr>
        <w:t>劳动合同</w:t>
      </w:r>
      <w:r>
        <w:rPr>
          <w:rFonts w:hint="eastAsia" w:ascii="宋体" w:hAnsi="宋体"/>
          <w:bCs/>
          <w:sz w:val="24"/>
          <w:szCs w:val="24"/>
          <w:highlight w:val="none"/>
          <w:lang w:eastAsia="zh-CN"/>
        </w:rPr>
        <w:t>（</w:t>
      </w:r>
      <w:r>
        <w:rPr>
          <w:rFonts w:hint="eastAsia" w:ascii="宋体" w:hAnsi="宋体"/>
          <w:bCs/>
          <w:sz w:val="24"/>
          <w:szCs w:val="24"/>
          <w:highlight w:val="none"/>
          <w:lang w:val="en-US" w:eastAsia="zh-CN"/>
        </w:rPr>
        <w:t>2年以上包含2年</w:t>
      </w:r>
      <w:r>
        <w:rPr>
          <w:rFonts w:hint="eastAsia" w:ascii="宋体" w:hAnsi="宋体"/>
          <w:bCs/>
          <w:sz w:val="24"/>
          <w:szCs w:val="24"/>
          <w:highlight w:val="none"/>
          <w:lang w:eastAsia="zh-CN"/>
        </w:rPr>
        <w:t>）</w:t>
      </w:r>
      <w:r>
        <w:rPr>
          <w:rFonts w:hint="eastAsia" w:ascii="宋体" w:hAnsi="宋体"/>
          <w:bCs/>
          <w:sz w:val="24"/>
          <w:szCs w:val="24"/>
          <w:highlight w:val="none"/>
        </w:rPr>
        <w:t>、</w:t>
      </w:r>
      <w:r>
        <w:rPr>
          <w:rFonts w:hint="eastAsia" w:ascii="宋体" w:hAnsi="宋体"/>
          <w:bCs/>
          <w:sz w:val="24"/>
          <w:szCs w:val="24"/>
        </w:rPr>
        <w:t>身份证，以及上表相关的职称证、学历证、执业资格注册证（材料附后）、工作经验可以业绩或</w:t>
      </w:r>
      <w:r>
        <w:rPr>
          <w:rFonts w:hint="eastAsia" w:ascii="宋体" w:hAnsi="宋体"/>
          <w:bCs/>
          <w:sz w:val="24"/>
          <w:szCs w:val="24"/>
          <w:lang w:val="en-US" w:eastAsia="zh-CN"/>
        </w:rPr>
        <w:t>审计通知书等</w:t>
      </w:r>
      <w:r>
        <w:rPr>
          <w:rFonts w:hint="eastAsia" w:ascii="宋体" w:hAnsi="宋体"/>
          <w:bCs/>
          <w:sz w:val="24"/>
          <w:szCs w:val="24"/>
        </w:rPr>
        <w:t>形式提供。</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投标人中标后，因故需变更固定参审组人员的，须以书面形式、早于被变更人员停止履职前30日告知采购人，并获得采购人同意；采购人有权要求投标人优化中标后组建的固定参审组人员构成，采购人要求时应告知原因、对新入组人员要求、新入组人员到位时间等；投标人中标后，在合同履行期间其固定参审组人员变更情况将成为采购人对其考核评价的要素，对其合同履行情况产生影响。</w:t>
      </w:r>
    </w:p>
    <w:p>
      <w:pPr>
        <w:spacing w:line="360" w:lineRule="auto"/>
        <w:ind w:left="630" w:leftChars="300"/>
        <w:rPr>
          <w:rFonts w:ascii="宋体" w:hAnsi="宋体"/>
          <w:sz w:val="24"/>
          <w:szCs w:val="24"/>
        </w:rPr>
      </w:pPr>
      <w:r>
        <w:rPr>
          <w:rFonts w:ascii="宋体" w:hAnsi="宋体"/>
          <w:sz w:val="24"/>
          <w:szCs w:val="24"/>
        </w:rPr>
        <w:t>投标人名称：       （加盖公章）</w:t>
      </w:r>
    </w:p>
    <w:p>
      <w:pPr>
        <w:pStyle w:val="204"/>
        <w:spacing w:line="360" w:lineRule="auto"/>
        <w:ind w:left="630" w:leftChars="300"/>
        <w:rPr>
          <w:rFonts w:ascii="宋体" w:hAnsi="宋体" w:cs="Times New Roman"/>
          <w:szCs w:val="24"/>
        </w:rPr>
      </w:pPr>
      <w:r>
        <w:rPr>
          <w:rFonts w:hint="eastAsia" w:ascii="宋体" w:hAnsi="宋体"/>
          <w:szCs w:val="24"/>
        </w:rPr>
        <w:t>法定代表人或</w:t>
      </w:r>
      <w:r>
        <w:rPr>
          <w:rFonts w:hint="eastAsia" w:ascii="宋体" w:hAnsi="宋体" w:cs="宋体"/>
          <w:sz w:val="24"/>
          <w:szCs w:val="24"/>
        </w:rPr>
        <w:t>授权代表（被授权人）</w:t>
      </w:r>
      <w:r>
        <w:rPr>
          <w:rFonts w:ascii="宋体" w:hAnsi="宋体" w:cs="Times New Roman"/>
          <w:szCs w:val="24"/>
        </w:rPr>
        <w:t>：</w:t>
      </w:r>
      <w:r>
        <w:rPr>
          <w:rFonts w:hint="eastAsia" w:ascii="宋体" w:hAnsi="宋体" w:cs="Times New Roman"/>
          <w:szCs w:val="24"/>
        </w:rPr>
        <w:t xml:space="preserve">        </w:t>
      </w:r>
      <w:r>
        <w:rPr>
          <w:rFonts w:hint="eastAsia" w:ascii="宋体" w:hAnsi="宋体"/>
          <w:bCs/>
          <w:szCs w:val="24"/>
        </w:rPr>
        <w:t>（签字或加盖个人名章）</w:t>
      </w:r>
    </w:p>
    <w:p>
      <w:pPr>
        <w:spacing w:line="360" w:lineRule="auto"/>
        <w:ind w:right="480" w:firstLine="600" w:firstLineChars="250"/>
      </w:pPr>
      <w:r>
        <w:rPr>
          <w:rFonts w:hint="eastAsia" w:ascii="宋体" w:hAnsi="宋体"/>
          <w:sz w:val="24"/>
          <w:szCs w:val="24"/>
        </w:rPr>
        <w:t>日期：</w:t>
      </w:r>
      <w:r>
        <w:rPr>
          <w:rFonts w:ascii="宋体" w:hAnsi="宋体"/>
          <w:sz w:val="24"/>
          <w:szCs w:val="24"/>
        </w:rPr>
        <w:t>XXXX</w:t>
      </w:r>
      <w:r>
        <w:rPr>
          <w:rFonts w:hint="eastAsia" w:ascii="宋体" w:hAnsi="宋体"/>
          <w:sz w:val="24"/>
          <w:szCs w:val="24"/>
        </w:rPr>
        <w:t>年</w:t>
      </w:r>
      <w:r>
        <w:rPr>
          <w:rFonts w:ascii="宋体" w:hAnsi="宋体"/>
          <w:sz w:val="24"/>
          <w:szCs w:val="24"/>
        </w:rPr>
        <w:t>XX</w:t>
      </w:r>
      <w:r>
        <w:rPr>
          <w:rFonts w:hint="eastAsia" w:ascii="宋体" w:hAnsi="宋体"/>
          <w:sz w:val="24"/>
          <w:szCs w:val="24"/>
        </w:rPr>
        <w:t>月</w:t>
      </w:r>
      <w:r>
        <w:rPr>
          <w:rFonts w:ascii="宋体" w:hAnsi="宋体"/>
          <w:sz w:val="24"/>
          <w:szCs w:val="24"/>
        </w:rPr>
        <w:t>XX</w:t>
      </w:r>
      <w:r>
        <w:rPr>
          <w:rFonts w:hint="eastAsia" w:ascii="宋体" w:hAnsi="宋体"/>
          <w:sz w:val="24"/>
          <w:szCs w:val="24"/>
        </w:rPr>
        <w:t xml:space="preserve"> 日</w:t>
      </w:r>
    </w:p>
    <w:p>
      <w:pPr>
        <w:pStyle w:val="2"/>
        <w:rPr>
          <w:rFonts w:eastAsia="宋体"/>
        </w:rPr>
      </w:pPr>
    </w:p>
    <w:p>
      <w:pPr>
        <w:pStyle w:val="2"/>
        <w:rPr>
          <w:rFonts w:ascii="宋体" w:hAnsi="宋体" w:eastAsia="宋体"/>
          <w:b/>
          <w:bCs/>
          <w:color w:val="auto"/>
          <w:kern w:val="2"/>
          <w:sz w:val="28"/>
          <w:szCs w:val="28"/>
        </w:rPr>
      </w:pPr>
      <w:r>
        <w:rPr>
          <w:rFonts w:hint="eastAsia" w:ascii="宋体" w:hAnsi="宋体" w:eastAsia="宋体"/>
          <w:b/>
          <w:bCs/>
          <w:color w:val="auto"/>
          <w:kern w:val="2"/>
          <w:sz w:val="28"/>
          <w:szCs w:val="28"/>
        </w:rPr>
        <w:t xml:space="preserve">格式十一： </w:t>
      </w:r>
    </w:p>
    <w:p>
      <w:pPr>
        <w:pStyle w:val="2"/>
        <w:jc w:val="center"/>
        <w:rPr>
          <w:rFonts w:ascii="宋体" w:hAnsi="宋体" w:eastAsia="宋体"/>
          <w:b/>
          <w:bCs/>
          <w:color w:val="auto"/>
          <w:kern w:val="2"/>
          <w:sz w:val="28"/>
          <w:szCs w:val="28"/>
        </w:rPr>
      </w:pPr>
      <w:r>
        <w:rPr>
          <w:rFonts w:hint="eastAsia" w:ascii="宋体" w:hAnsi="宋体" w:eastAsia="宋体"/>
          <w:b/>
          <w:bCs/>
          <w:color w:val="auto"/>
          <w:kern w:val="2"/>
          <w:sz w:val="28"/>
          <w:szCs w:val="28"/>
        </w:rPr>
        <w:t>十、</w:t>
      </w:r>
      <w:r>
        <w:rPr>
          <w:rFonts w:ascii="宋体" w:hAnsi="宋体" w:eastAsia="宋体"/>
          <w:b/>
          <w:bCs/>
          <w:color w:val="auto"/>
          <w:kern w:val="2"/>
          <w:sz w:val="28"/>
          <w:szCs w:val="28"/>
        </w:rPr>
        <w:t>供应商其他承诺函</w:t>
      </w:r>
    </w:p>
    <w:p>
      <w:pPr>
        <w:pStyle w:val="18"/>
        <w:spacing w:before="8"/>
        <w:rPr>
          <w:sz w:val="36"/>
        </w:rPr>
      </w:pPr>
    </w:p>
    <w:p>
      <w:pPr>
        <w:pStyle w:val="18"/>
        <w:ind w:left="328"/>
        <w:rPr>
          <w:rFonts w:ascii="宋体" w:hAnsi="宋体" w:cs="宋体"/>
          <w:sz w:val="24"/>
          <w:szCs w:val="24"/>
        </w:rPr>
      </w:pPr>
      <w:r>
        <w:rPr>
          <w:rFonts w:hint="eastAsia" w:ascii="宋体" w:hAnsi="宋体" w:cs="宋体"/>
          <w:bCs/>
          <w:sz w:val="24"/>
          <w:szCs w:val="24"/>
        </w:rPr>
        <w:t>成都青青工程造价咨询有限责任公司</w:t>
      </w:r>
      <w:r>
        <w:rPr>
          <w:rFonts w:hint="eastAsia" w:ascii="宋体" w:hAnsi="宋体" w:cs="宋体"/>
          <w:sz w:val="24"/>
          <w:szCs w:val="24"/>
        </w:rPr>
        <w:t>：</w:t>
      </w:r>
    </w:p>
    <w:p>
      <w:pPr>
        <w:pStyle w:val="18"/>
        <w:tabs>
          <w:tab w:val="left" w:pos="2145"/>
          <w:tab w:val="left" w:pos="5056"/>
        </w:tabs>
        <w:spacing w:before="161" w:line="362" w:lineRule="auto"/>
        <w:ind w:left="328" w:right="313" w:firstLine="480"/>
        <w:rPr>
          <w:rFonts w:ascii="宋体" w:hAnsi="宋体" w:cs="宋体"/>
          <w:sz w:val="24"/>
          <w:szCs w:val="24"/>
        </w:rPr>
      </w:pPr>
      <w:r>
        <w:rPr>
          <w:rFonts w:hint="eastAsia" w:ascii="宋体" w:hAnsi="宋体" w:cs="宋体"/>
          <w:sz w:val="24"/>
          <w:szCs w:val="24"/>
        </w:rPr>
        <w:t>本单位</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（投标人名称）</w:t>
      </w:r>
      <w:r>
        <w:rPr>
          <w:rFonts w:hint="eastAsia" w:ascii="宋体" w:hAnsi="宋体" w:cs="宋体"/>
          <w:sz w:val="24"/>
          <w:szCs w:val="24"/>
        </w:rPr>
        <w:t>参加</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（项目名称及项目编号）</w:t>
      </w:r>
      <w:r>
        <w:rPr>
          <w:rFonts w:hint="eastAsia" w:ascii="宋体" w:hAnsi="宋体" w:cs="宋体"/>
          <w:sz w:val="24"/>
          <w:szCs w:val="24"/>
        </w:rPr>
        <w:t>的政府采购</w:t>
      </w:r>
      <w:r>
        <w:rPr>
          <w:rFonts w:hint="eastAsia" w:ascii="宋体" w:hAnsi="宋体" w:cs="宋体"/>
          <w:spacing w:val="-11"/>
          <w:sz w:val="24"/>
          <w:szCs w:val="24"/>
        </w:rPr>
        <w:t>活</w:t>
      </w:r>
      <w:r>
        <w:rPr>
          <w:rFonts w:hint="eastAsia" w:ascii="宋体" w:hAnsi="宋体" w:cs="宋体"/>
          <w:sz w:val="24"/>
          <w:szCs w:val="24"/>
        </w:rPr>
        <w:t>动，现根据招标文件的要求，作出以下承诺：</w:t>
      </w:r>
    </w:p>
    <w:p>
      <w:pPr>
        <w:pStyle w:val="18"/>
        <w:spacing w:before="67" w:line="297" w:lineRule="auto"/>
        <w:ind w:left="328" w:right="311" w:firstLine="240"/>
        <w:rPr>
          <w:rFonts w:ascii="宋体" w:hAnsi="宋体" w:cs="宋体"/>
          <w:sz w:val="24"/>
          <w:szCs w:val="24"/>
        </w:rPr>
      </w:pPr>
      <w:r>
        <w:rPr>
          <w:rFonts w:hint="eastAsia" w:ascii="宋体" w:hAnsi="宋体" w:cs="宋体"/>
          <w:sz w:val="24"/>
          <w:szCs w:val="24"/>
        </w:rPr>
        <w:t>1、我公司完全响应招标文件中规定的其他实质性要求（如低于成本价不正当竞争</w:t>
      </w:r>
      <w:r>
        <w:rPr>
          <w:rFonts w:hint="eastAsia" w:ascii="宋体" w:hAnsi="宋体" w:cs="宋体"/>
          <w:spacing w:val="3"/>
          <w:sz w:val="24"/>
          <w:szCs w:val="24"/>
        </w:rPr>
        <w:t>预防措施，投标保证金，履约保证金，备选方案和多个报价，投标费用，充分、公</w:t>
      </w:r>
      <w:r>
        <w:rPr>
          <w:rFonts w:hint="eastAsia" w:ascii="宋体" w:hAnsi="宋体" w:cs="宋体"/>
          <w:spacing w:val="11"/>
          <w:sz w:val="24"/>
          <w:szCs w:val="24"/>
        </w:rPr>
        <w:t>平竞争保障措施，投标文件的语言，计量单位，投标货币，投标有效期，合同分</w:t>
      </w:r>
      <w:r>
        <w:rPr>
          <w:rFonts w:hint="eastAsia" w:ascii="宋体" w:hAnsi="宋体" w:cs="宋体"/>
          <w:sz w:val="24"/>
          <w:szCs w:val="24"/>
        </w:rPr>
        <w:t>包，合同转包等实质性要求）。</w:t>
      </w:r>
    </w:p>
    <w:p>
      <w:pPr>
        <w:pStyle w:val="18"/>
        <w:spacing w:line="302" w:lineRule="exact"/>
        <w:ind w:left="568"/>
        <w:rPr>
          <w:rFonts w:ascii="宋体" w:hAnsi="宋体" w:cs="宋体"/>
          <w:sz w:val="24"/>
          <w:szCs w:val="24"/>
        </w:rPr>
      </w:pPr>
      <w:r>
        <w:rPr>
          <w:rFonts w:hint="eastAsia" w:ascii="宋体" w:hAnsi="宋体" w:cs="宋体"/>
          <w:sz w:val="24"/>
          <w:szCs w:val="24"/>
        </w:rPr>
        <w:t>2、我单位对于知识产权承诺：</w:t>
      </w:r>
    </w:p>
    <w:p>
      <w:pPr>
        <w:pStyle w:val="199"/>
        <w:numPr>
          <w:ilvl w:val="1"/>
          <w:numId w:val="36"/>
        </w:numPr>
        <w:tabs>
          <w:tab w:val="left" w:pos="989"/>
        </w:tabs>
        <w:spacing w:before="194" w:line="297" w:lineRule="auto"/>
        <w:ind w:right="311" w:firstLine="480"/>
        <w:rPr>
          <w:rFonts w:ascii="宋体" w:hAnsi="宋体" w:cs="宋体"/>
          <w:sz w:val="24"/>
          <w:szCs w:val="24"/>
        </w:rPr>
      </w:pPr>
      <w:r>
        <w:rPr>
          <w:rFonts w:hint="eastAsia" w:ascii="宋体" w:hAnsi="宋体" w:cs="宋体"/>
          <w:sz w:val="24"/>
          <w:szCs w:val="24"/>
        </w:rPr>
        <w:t>我单位保证在本项目使用的任何产品和服务（包括部分使用）</w:t>
      </w:r>
      <w:r>
        <w:rPr>
          <w:rFonts w:hint="eastAsia" w:ascii="宋体" w:hAnsi="宋体" w:cs="宋体"/>
          <w:spacing w:val="-2"/>
          <w:sz w:val="24"/>
          <w:szCs w:val="24"/>
        </w:rPr>
        <w:t>时，不会产生因</w:t>
      </w:r>
      <w:r>
        <w:rPr>
          <w:rFonts w:hint="eastAsia" w:ascii="宋体" w:hAnsi="宋体" w:cs="宋体"/>
          <w:spacing w:val="3"/>
          <w:sz w:val="24"/>
          <w:szCs w:val="24"/>
        </w:rPr>
        <w:t>第三方提出侵犯其专利权、商标权或其它知识产权而引起的法律和经济纠纷，如因专利权、商标权或其它知识产权而引起法律和经济纠纷，由我单位承担所有相关责任。</w:t>
      </w:r>
    </w:p>
    <w:p>
      <w:pPr>
        <w:pStyle w:val="199"/>
        <w:numPr>
          <w:ilvl w:val="1"/>
          <w:numId w:val="36"/>
        </w:numPr>
        <w:tabs>
          <w:tab w:val="left" w:pos="989"/>
        </w:tabs>
        <w:spacing w:before="194" w:line="297" w:lineRule="auto"/>
        <w:ind w:right="311" w:firstLine="480"/>
        <w:rPr>
          <w:rFonts w:ascii="宋体" w:hAnsi="宋体" w:cs="宋体"/>
          <w:sz w:val="24"/>
          <w:szCs w:val="24"/>
        </w:rPr>
      </w:pPr>
      <w:r>
        <w:rPr>
          <w:rFonts w:hint="eastAsia" w:ascii="宋体" w:hAnsi="宋体" w:cs="宋体"/>
          <w:sz w:val="24"/>
          <w:szCs w:val="24"/>
        </w:rPr>
        <w:t>采购人享有本项目实施过程中产生的知识成果及知识产权。</w:t>
      </w:r>
    </w:p>
    <w:p>
      <w:pPr>
        <w:pStyle w:val="199"/>
        <w:numPr>
          <w:ilvl w:val="1"/>
          <w:numId w:val="36"/>
        </w:numPr>
        <w:tabs>
          <w:tab w:val="left" w:pos="989"/>
        </w:tabs>
        <w:spacing w:before="192" w:line="297" w:lineRule="auto"/>
        <w:ind w:right="311" w:firstLine="476"/>
        <w:rPr>
          <w:rFonts w:ascii="宋体" w:hAnsi="宋体" w:cs="宋体"/>
          <w:sz w:val="24"/>
          <w:szCs w:val="24"/>
        </w:rPr>
      </w:pPr>
      <w:r>
        <w:rPr>
          <w:rFonts w:hint="eastAsia" w:ascii="宋体" w:hAnsi="宋体" w:cs="宋体"/>
          <w:spacing w:val="-1"/>
          <w:sz w:val="24"/>
          <w:szCs w:val="24"/>
        </w:rPr>
        <w:t>我单位如欲在项目实施过程中采用自有知识成果，将在投标文件中声明，并提</w:t>
      </w:r>
      <w:r>
        <w:rPr>
          <w:rFonts w:hint="eastAsia" w:ascii="宋体" w:hAnsi="宋体" w:cs="宋体"/>
          <w:spacing w:val="3"/>
          <w:sz w:val="24"/>
          <w:szCs w:val="24"/>
        </w:rPr>
        <w:t>供相关知识产权证明文件。使用该知识成果后，我单位将提供开发接口和开发手册</w:t>
      </w:r>
      <w:r>
        <w:rPr>
          <w:rFonts w:hint="eastAsia" w:ascii="宋体" w:hAnsi="宋体" w:cs="宋体"/>
          <w:spacing w:val="4"/>
          <w:sz w:val="24"/>
          <w:szCs w:val="24"/>
        </w:rPr>
        <w:t>等技术文档，并承诺提供无限期技术支持，采购人享有永久使用权</w:t>
      </w:r>
      <w:r>
        <w:rPr>
          <w:rFonts w:hint="eastAsia" w:ascii="宋体" w:hAnsi="宋体" w:cs="宋体"/>
          <w:spacing w:val="7"/>
          <w:sz w:val="24"/>
          <w:szCs w:val="24"/>
        </w:rPr>
        <w:t>（</w:t>
      </w:r>
      <w:r>
        <w:rPr>
          <w:rFonts w:hint="eastAsia" w:ascii="宋体" w:hAnsi="宋体" w:cs="宋体"/>
          <w:spacing w:val="3"/>
          <w:sz w:val="24"/>
          <w:szCs w:val="24"/>
        </w:rPr>
        <w:t>含采购人委托第三方在该项目后续开发的使用权）。</w:t>
      </w:r>
    </w:p>
    <w:p>
      <w:pPr>
        <w:pStyle w:val="199"/>
        <w:numPr>
          <w:ilvl w:val="1"/>
          <w:numId w:val="36"/>
        </w:numPr>
        <w:tabs>
          <w:tab w:val="left" w:pos="989"/>
        </w:tabs>
        <w:spacing w:before="116" w:line="295" w:lineRule="auto"/>
        <w:ind w:right="311" w:firstLine="476"/>
        <w:rPr>
          <w:rFonts w:ascii="宋体" w:hAnsi="宋体" w:cs="宋体"/>
          <w:sz w:val="24"/>
          <w:szCs w:val="24"/>
        </w:rPr>
      </w:pPr>
      <w:r>
        <w:rPr>
          <w:rFonts w:hint="eastAsia" w:ascii="宋体" w:hAnsi="宋体" w:cs="宋体"/>
          <w:spacing w:val="-1"/>
          <w:sz w:val="24"/>
          <w:szCs w:val="24"/>
        </w:rPr>
        <w:t>如采用我单位所不拥有的知识产权，则在投标报价中必须包括合法获取该知识</w:t>
      </w:r>
      <w:r>
        <w:rPr>
          <w:rFonts w:hint="eastAsia" w:ascii="宋体" w:hAnsi="宋体" w:cs="宋体"/>
          <w:sz w:val="24"/>
          <w:szCs w:val="24"/>
        </w:rPr>
        <w:t>产权的相关费用。</w:t>
      </w:r>
    </w:p>
    <w:p>
      <w:pPr>
        <w:pStyle w:val="18"/>
        <w:spacing w:before="122" w:line="297" w:lineRule="auto"/>
        <w:ind w:left="328" w:right="311" w:firstLine="480"/>
        <w:rPr>
          <w:rFonts w:ascii="宋体" w:hAnsi="宋体" w:cs="宋体"/>
          <w:sz w:val="24"/>
          <w:szCs w:val="24"/>
        </w:rPr>
      </w:pPr>
      <w:r>
        <w:rPr>
          <w:rFonts w:hint="eastAsia" w:ascii="宋体" w:hAnsi="宋体" w:cs="宋体"/>
          <w:sz w:val="24"/>
          <w:szCs w:val="24"/>
        </w:rPr>
        <w:t>我单位对以上填写信息的真实性负责。如有不实，本单位愿承担由此产生的一切法律责任和后果。</w:t>
      </w:r>
    </w:p>
    <w:p>
      <w:pPr>
        <w:spacing w:line="360" w:lineRule="auto"/>
        <w:ind w:left="630" w:leftChars="300"/>
        <w:rPr>
          <w:rFonts w:ascii="宋体" w:hAnsi="宋体" w:cs="宋体"/>
          <w:sz w:val="24"/>
          <w:szCs w:val="24"/>
        </w:rPr>
      </w:pPr>
      <w:r>
        <w:rPr>
          <w:rFonts w:hint="eastAsia" w:ascii="宋体" w:hAnsi="宋体" w:cs="宋体"/>
          <w:sz w:val="24"/>
          <w:szCs w:val="24"/>
        </w:rPr>
        <w:t>投标人名称：       （加盖公章）</w:t>
      </w:r>
    </w:p>
    <w:p>
      <w:pPr>
        <w:pStyle w:val="204"/>
        <w:spacing w:line="360" w:lineRule="auto"/>
        <w:ind w:left="630" w:leftChars="300"/>
        <w:rPr>
          <w:rFonts w:ascii="宋体" w:hAnsi="宋体"/>
          <w:szCs w:val="24"/>
        </w:rPr>
      </w:pPr>
      <w:r>
        <w:rPr>
          <w:rFonts w:hint="eastAsia" w:ascii="宋体" w:hAnsi="宋体"/>
          <w:szCs w:val="24"/>
        </w:rPr>
        <w:t>法定代表人或</w:t>
      </w:r>
      <w:r>
        <w:rPr>
          <w:rFonts w:hint="eastAsia" w:ascii="宋体" w:hAnsi="宋体" w:cs="宋体"/>
          <w:sz w:val="24"/>
          <w:szCs w:val="24"/>
        </w:rPr>
        <w:t>授权代表（被授权人）</w:t>
      </w:r>
      <w:r>
        <w:rPr>
          <w:rFonts w:hint="eastAsia" w:ascii="宋体" w:hAnsi="宋体"/>
          <w:szCs w:val="24"/>
        </w:rPr>
        <w:t xml:space="preserve">：      </w:t>
      </w:r>
      <w:r>
        <w:rPr>
          <w:rFonts w:hint="eastAsia" w:ascii="宋体" w:hAnsi="宋体"/>
          <w:bCs/>
          <w:szCs w:val="24"/>
        </w:rPr>
        <w:t>（签字或加盖个人名章）</w:t>
      </w:r>
    </w:p>
    <w:p>
      <w:pPr>
        <w:spacing w:line="360" w:lineRule="auto"/>
        <w:ind w:right="480" w:firstLine="600" w:firstLineChars="250"/>
      </w:pPr>
      <w:r>
        <w:rPr>
          <w:rFonts w:hint="eastAsia" w:ascii="宋体" w:hAnsi="宋体" w:cs="宋体"/>
          <w:sz w:val="24"/>
          <w:szCs w:val="24"/>
        </w:rPr>
        <w:t>日期：XXXX年XX月XX 日</w:t>
      </w:r>
    </w:p>
    <w:p>
      <w:pPr>
        <w:pStyle w:val="2"/>
        <w:rPr>
          <w:rFonts w:ascii="宋体" w:hAnsi="宋体" w:eastAsia="宋体"/>
          <w:b/>
          <w:bCs/>
          <w:color w:val="auto"/>
          <w:kern w:val="2"/>
          <w:sz w:val="28"/>
          <w:szCs w:val="28"/>
        </w:rPr>
      </w:pPr>
    </w:p>
    <w:p>
      <w:pPr>
        <w:pStyle w:val="2"/>
        <w:rPr>
          <w:rFonts w:ascii="宋体" w:hAnsi="宋体" w:eastAsia="宋体"/>
          <w:b/>
          <w:bCs/>
          <w:color w:val="auto"/>
          <w:kern w:val="2"/>
          <w:sz w:val="28"/>
          <w:szCs w:val="28"/>
        </w:rPr>
      </w:pPr>
    </w:p>
    <w:p>
      <w:pPr>
        <w:pStyle w:val="2"/>
        <w:rPr>
          <w:rFonts w:ascii="宋体" w:hAnsi="宋体" w:eastAsia="宋体"/>
          <w:b/>
          <w:bCs/>
          <w:color w:val="auto"/>
          <w:kern w:val="2"/>
          <w:sz w:val="28"/>
          <w:szCs w:val="28"/>
        </w:rPr>
      </w:pPr>
      <w:r>
        <w:rPr>
          <w:rFonts w:hint="eastAsia" w:ascii="宋体" w:hAnsi="宋体" w:eastAsia="宋体"/>
          <w:b/>
          <w:bCs/>
          <w:color w:val="auto"/>
          <w:kern w:val="2"/>
          <w:sz w:val="28"/>
          <w:szCs w:val="28"/>
        </w:rPr>
        <w:t xml:space="preserve">格式十二： </w:t>
      </w:r>
    </w:p>
    <w:p>
      <w:pPr>
        <w:pStyle w:val="2"/>
        <w:jc w:val="center"/>
        <w:rPr>
          <w:rFonts w:ascii="宋体" w:hAnsi="宋体" w:eastAsia="宋体"/>
          <w:b/>
          <w:bCs/>
          <w:color w:val="auto"/>
          <w:kern w:val="2"/>
          <w:sz w:val="28"/>
          <w:szCs w:val="28"/>
        </w:rPr>
      </w:pPr>
      <w:r>
        <w:rPr>
          <w:rFonts w:hint="eastAsia" w:ascii="宋体" w:hAnsi="宋体" w:eastAsia="宋体"/>
          <w:b/>
          <w:bCs/>
          <w:color w:val="auto"/>
          <w:kern w:val="2"/>
          <w:sz w:val="28"/>
          <w:szCs w:val="28"/>
        </w:rPr>
        <w:t>十一、</w:t>
      </w:r>
      <w:r>
        <w:rPr>
          <w:rFonts w:ascii="宋体" w:hAnsi="宋体" w:eastAsia="宋体"/>
          <w:b/>
          <w:bCs/>
          <w:color w:val="auto"/>
          <w:kern w:val="2"/>
          <w:sz w:val="28"/>
          <w:szCs w:val="28"/>
        </w:rPr>
        <w:t>中小企业声明函</w:t>
      </w:r>
    </w:p>
    <w:p>
      <w:pPr>
        <w:pStyle w:val="18"/>
        <w:spacing w:before="10"/>
        <w:rPr>
          <w:b/>
          <w:sz w:val="23"/>
        </w:rPr>
      </w:pPr>
    </w:p>
    <w:p>
      <w:pPr>
        <w:pStyle w:val="18"/>
        <w:tabs>
          <w:tab w:val="left" w:pos="5488"/>
          <w:tab w:val="left" w:pos="8248"/>
        </w:tabs>
        <w:spacing w:before="67" w:line="360" w:lineRule="auto"/>
        <w:ind w:left="329" w:right="516" w:firstLine="958"/>
        <w:rPr>
          <w:sz w:val="24"/>
          <w:szCs w:val="24"/>
        </w:rPr>
      </w:pPr>
      <w:r>
        <w:rPr>
          <w:sz w:val="24"/>
          <w:szCs w:val="24"/>
        </w:rPr>
        <w:t>本公司郑重声明，根据《政府采购促进中小企业发展管理办法》（财库</w:t>
      </w:r>
      <w:r>
        <w:rPr>
          <w:spacing w:val="-17"/>
          <w:sz w:val="24"/>
          <w:szCs w:val="24"/>
        </w:rPr>
        <w:t xml:space="preserve">﹝ </w:t>
      </w:r>
      <w:r>
        <w:rPr>
          <w:sz w:val="24"/>
          <w:szCs w:val="24"/>
        </w:rPr>
        <w:t>2020﹞46</w:t>
      </w:r>
      <w:r>
        <w:rPr>
          <w:spacing w:val="-1"/>
          <w:sz w:val="24"/>
          <w:szCs w:val="24"/>
        </w:rPr>
        <w:t xml:space="preserve"> </w:t>
      </w:r>
      <w:r>
        <w:rPr>
          <w:sz w:val="24"/>
          <w:szCs w:val="24"/>
        </w:rPr>
        <w:t>号）的规定，本公司参加</w:t>
      </w:r>
      <w:r>
        <w:rPr>
          <w:sz w:val="24"/>
          <w:szCs w:val="24"/>
          <w:u w:val="single"/>
        </w:rPr>
        <w:t xml:space="preserve"> </w:t>
      </w:r>
      <w:r>
        <w:rPr>
          <w:sz w:val="24"/>
          <w:szCs w:val="24"/>
          <w:u w:val="single"/>
        </w:rPr>
        <w:tab/>
      </w:r>
      <w:r>
        <w:rPr>
          <w:sz w:val="24"/>
          <w:szCs w:val="24"/>
        </w:rPr>
        <w:t>（单位名称）的</w:t>
      </w:r>
      <w:r>
        <w:rPr>
          <w:sz w:val="24"/>
          <w:szCs w:val="24"/>
          <w:u w:val="single"/>
        </w:rPr>
        <w:t xml:space="preserve"> </w:t>
      </w:r>
      <w:r>
        <w:rPr>
          <w:sz w:val="24"/>
          <w:szCs w:val="24"/>
          <w:u w:val="single"/>
        </w:rPr>
        <w:tab/>
      </w:r>
      <w:r>
        <w:rPr>
          <w:sz w:val="24"/>
          <w:szCs w:val="24"/>
        </w:rPr>
        <w:t>（项</w:t>
      </w:r>
      <w:r>
        <w:rPr>
          <w:spacing w:val="-17"/>
          <w:sz w:val="24"/>
          <w:szCs w:val="24"/>
        </w:rPr>
        <w:t>目</w:t>
      </w:r>
      <w:r>
        <w:rPr>
          <w:sz w:val="24"/>
          <w:szCs w:val="24"/>
        </w:rPr>
        <w:t>名称）采购活动，服务全部由符合政策要求的中小企业承接。相关企业（含联合</w:t>
      </w:r>
      <w:r>
        <w:rPr>
          <w:spacing w:val="-17"/>
          <w:sz w:val="24"/>
          <w:szCs w:val="24"/>
        </w:rPr>
        <w:t>体</w:t>
      </w:r>
      <w:r>
        <w:rPr>
          <w:sz w:val="24"/>
          <w:szCs w:val="24"/>
        </w:rPr>
        <w:t>中的中小企业、签订分包意向协议的中小企业）的具体情况如下：</w:t>
      </w:r>
    </w:p>
    <w:p>
      <w:pPr>
        <w:pStyle w:val="199"/>
        <w:tabs>
          <w:tab w:val="left" w:pos="1288"/>
          <w:tab w:val="left" w:pos="4648"/>
        </w:tabs>
        <w:spacing w:line="304" w:lineRule="exact"/>
        <w:ind w:left="420" w:leftChars="200" w:firstLine="638" w:firstLineChars="266"/>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（标的名称）</w:t>
      </w:r>
      <w:r>
        <w:rPr>
          <w:rFonts w:hint="eastAsia" w:ascii="宋体" w:hAnsi="宋体" w:cs="宋体"/>
          <w:spacing w:val="-1"/>
          <w:sz w:val="24"/>
          <w:szCs w:val="24"/>
        </w:rPr>
        <w:t xml:space="preserve"> </w:t>
      </w:r>
      <w:r>
        <w:rPr>
          <w:rFonts w:hint="eastAsia" w:ascii="宋体" w:hAnsi="宋体" w:cs="宋体"/>
          <w:sz w:val="24"/>
          <w:szCs w:val="24"/>
        </w:rPr>
        <w:t>，属于</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（采购文件中明确的所属行业）</w:t>
      </w:r>
      <w:r>
        <w:rPr>
          <w:rFonts w:hint="eastAsia" w:ascii="宋体" w:hAnsi="宋体" w:cs="宋体"/>
          <w:sz w:val="24"/>
          <w:szCs w:val="24"/>
        </w:rPr>
        <w:t>； 承建</w:t>
      </w:r>
    </w:p>
    <w:p>
      <w:pPr>
        <w:pStyle w:val="18"/>
        <w:tabs>
          <w:tab w:val="left" w:pos="3328"/>
          <w:tab w:val="left" w:pos="6867"/>
          <w:tab w:val="left" w:pos="9231"/>
        </w:tabs>
        <w:spacing w:before="191"/>
        <w:ind w:firstLine="240" w:firstLineChars="100"/>
        <w:rPr>
          <w:rFonts w:ascii="宋体" w:hAnsi="宋体" w:cs="宋体"/>
          <w:sz w:val="24"/>
          <w:szCs w:val="24"/>
        </w:rPr>
      </w:pPr>
      <w:r>
        <w:rPr>
          <w:rFonts w:hint="eastAsia" w:ascii="宋体" w:hAnsi="宋体" w:cs="宋体"/>
          <w:sz w:val="24"/>
          <w:szCs w:val="24"/>
        </w:rPr>
        <w:t>（承接）企业为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人，营业收入为</w:t>
      </w:r>
      <w:r>
        <w:rPr>
          <w:rFonts w:hint="eastAsia" w:ascii="宋体" w:hAnsi="宋体" w:cs="宋体"/>
          <w:spacing w:val="-1"/>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u w:val="single"/>
        </w:rPr>
        <w:tab/>
      </w:r>
    </w:p>
    <w:p>
      <w:pPr>
        <w:pStyle w:val="18"/>
        <w:tabs>
          <w:tab w:val="left" w:pos="3688"/>
          <w:tab w:val="left" w:pos="5488"/>
        </w:tabs>
        <w:spacing w:before="74" w:line="391" w:lineRule="auto"/>
        <w:ind w:right="250" w:firstLine="480" w:firstLineChars="200"/>
        <w:rPr>
          <w:rFonts w:ascii="宋体" w:hAnsi="宋体" w:cs="宋体"/>
          <w:sz w:val="24"/>
          <w:szCs w:val="24"/>
        </w:rPr>
      </w:pP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万元，属于</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（中型企业、 小型企业、微型</w:t>
      </w:r>
      <w:r>
        <w:rPr>
          <w:rFonts w:hint="eastAsia" w:ascii="宋体" w:hAnsi="宋体" w:cs="宋体"/>
          <w:spacing w:val="-17"/>
          <w:sz w:val="24"/>
          <w:szCs w:val="24"/>
        </w:rPr>
        <w:t>企</w:t>
      </w:r>
      <w:r>
        <w:rPr>
          <w:rFonts w:hint="eastAsia" w:ascii="宋体" w:hAnsi="宋体" w:cs="宋体"/>
          <w:sz w:val="24"/>
          <w:szCs w:val="24"/>
        </w:rPr>
        <w:t>业）；</w:t>
      </w:r>
    </w:p>
    <w:p>
      <w:pPr>
        <w:pStyle w:val="199"/>
        <w:tabs>
          <w:tab w:val="left" w:pos="1288"/>
          <w:tab w:val="left" w:pos="1768"/>
          <w:tab w:val="left" w:pos="4768"/>
        </w:tabs>
        <w:spacing w:line="306" w:lineRule="exact"/>
        <w:ind w:left="420" w:leftChars="200" w:firstLine="720" w:firstLineChars="3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（标的名称）</w:t>
      </w:r>
      <w:r>
        <w:rPr>
          <w:rFonts w:hint="eastAsia" w:ascii="宋体" w:hAnsi="宋体" w:cs="宋体"/>
          <w:spacing w:val="-2"/>
          <w:sz w:val="24"/>
          <w:szCs w:val="24"/>
        </w:rPr>
        <w:t xml:space="preserve"> </w:t>
      </w:r>
      <w:r>
        <w:rPr>
          <w:rFonts w:hint="eastAsia" w:ascii="宋体" w:hAnsi="宋体" w:cs="宋体"/>
          <w:sz w:val="24"/>
          <w:szCs w:val="24"/>
        </w:rPr>
        <w:t>，属于</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（采购文件中明确的所属行业）</w:t>
      </w:r>
      <w:r>
        <w:rPr>
          <w:rFonts w:hint="eastAsia" w:ascii="宋体" w:hAnsi="宋体" w:cs="宋体"/>
          <w:sz w:val="24"/>
          <w:szCs w:val="24"/>
        </w:rPr>
        <w:t>； 承建</w:t>
      </w:r>
    </w:p>
    <w:p>
      <w:pPr>
        <w:pStyle w:val="18"/>
        <w:tabs>
          <w:tab w:val="left" w:pos="3208"/>
          <w:tab w:val="left" w:pos="3328"/>
          <w:tab w:val="left" w:pos="4888"/>
          <w:tab w:val="left" w:pos="6688"/>
          <w:tab w:val="left" w:pos="8728"/>
        </w:tabs>
        <w:spacing w:before="192" w:line="391" w:lineRule="auto"/>
        <w:ind w:left="420" w:right="395"/>
        <w:rPr>
          <w:rFonts w:ascii="宋体" w:hAnsi="宋体" w:cs="宋体"/>
          <w:sz w:val="24"/>
          <w:szCs w:val="24"/>
        </w:rPr>
      </w:pPr>
      <w:r>
        <w:rPr>
          <w:rFonts w:hint="eastAsia" w:ascii="宋体" w:hAnsi="宋体" w:cs="宋体"/>
          <w:sz w:val="24"/>
          <w:szCs w:val="24"/>
        </w:rPr>
        <w:t>（承接）企业为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万元，属于</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（中型企业、 小型企业、微型企业</w:t>
      </w:r>
      <w:r>
        <w:rPr>
          <w:rFonts w:hint="eastAsia" w:ascii="宋体" w:hAnsi="宋体" w:cs="宋体"/>
          <w:spacing w:val="-9"/>
          <w:sz w:val="24"/>
          <w:szCs w:val="24"/>
        </w:rPr>
        <w:t>）；</w:t>
      </w:r>
    </w:p>
    <w:p>
      <w:pPr>
        <w:pStyle w:val="18"/>
        <w:spacing w:line="306" w:lineRule="exact"/>
        <w:ind w:left="1288"/>
        <w:rPr>
          <w:rFonts w:ascii="宋体" w:hAnsi="宋体" w:cs="宋体"/>
          <w:sz w:val="24"/>
          <w:szCs w:val="24"/>
        </w:rPr>
      </w:pPr>
      <w:r>
        <w:rPr>
          <w:rFonts w:hint="eastAsia" w:ascii="宋体" w:hAnsi="宋体" w:cs="宋体"/>
          <w:sz w:val="24"/>
          <w:szCs w:val="24"/>
        </w:rPr>
        <w:t>……</w:t>
      </w:r>
    </w:p>
    <w:p>
      <w:pPr>
        <w:pStyle w:val="18"/>
        <w:spacing w:before="191" w:line="391" w:lineRule="auto"/>
        <w:ind w:left="328" w:right="515" w:firstLine="48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18"/>
        <w:spacing w:before="63" w:line="451" w:lineRule="auto"/>
        <w:ind w:left="928" w:right="875"/>
        <w:rPr>
          <w:rFonts w:ascii="宋体" w:hAnsi="宋体" w:cs="宋体"/>
          <w:sz w:val="24"/>
          <w:szCs w:val="24"/>
        </w:rPr>
      </w:pPr>
      <w:r>
        <w:rPr>
          <w:rFonts w:hint="eastAsia" w:ascii="宋体" w:hAnsi="宋体" w:cs="宋体"/>
          <w:sz w:val="24"/>
          <w:szCs w:val="24"/>
        </w:rPr>
        <w:t>本企业对上述声明内容的真实性负责。如有虚假，将依法承担相应责任。企业名称（盖章）：</w:t>
      </w:r>
    </w:p>
    <w:p>
      <w:pPr>
        <w:pStyle w:val="18"/>
        <w:spacing w:before="3"/>
        <w:ind w:left="928"/>
        <w:rPr>
          <w:rFonts w:ascii="宋体" w:hAnsi="宋体" w:cs="宋体"/>
          <w:sz w:val="24"/>
          <w:szCs w:val="24"/>
        </w:rPr>
      </w:pPr>
      <w:r>
        <w:rPr>
          <w:rFonts w:hint="eastAsia" w:ascii="宋体" w:hAnsi="宋体" w:cs="宋体"/>
          <w:sz w:val="24"/>
          <w:szCs w:val="24"/>
        </w:rPr>
        <w:t>日 期：</w:t>
      </w:r>
    </w:p>
    <w:p>
      <w:pPr>
        <w:pStyle w:val="18"/>
        <w:spacing w:before="1"/>
        <w:rPr>
          <w:sz w:val="28"/>
        </w:rPr>
      </w:pPr>
    </w:p>
    <w:p>
      <w:pPr>
        <w:pStyle w:val="8"/>
        <w:numPr>
          <w:ilvl w:val="5"/>
          <w:numId w:val="0"/>
        </w:numPr>
        <w:spacing w:line="242" w:lineRule="auto"/>
        <w:ind w:left="568" w:right="277"/>
        <w:rPr>
          <w:rFonts w:ascii="宋体" w:hAnsi="宋体" w:cs="宋体"/>
          <w:sz w:val="21"/>
          <w:szCs w:val="21"/>
        </w:rPr>
      </w:pPr>
      <w:r>
        <w:t>注：</w:t>
      </w:r>
      <w:r>
        <w:rPr>
          <w:rFonts w:hint="eastAsia" w:ascii="宋体" w:hAnsi="宋体" w:cs="宋体"/>
          <w:sz w:val="21"/>
          <w:szCs w:val="21"/>
        </w:rPr>
        <w:t>1、供应商符合《工业和信息化部、国家统计局、国家发展和改革委员会、财政部关于印发中小企业划型标准规定的通知》（工信部联企业〔2011〕300 号）规定的划分标准为中小型企业适用。</w:t>
      </w:r>
    </w:p>
    <w:p>
      <w:pPr>
        <w:spacing w:before="2" w:line="242" w:lineRule="auto"/>
        <w:ind w:left="328" w:right="280" w:firstLine="843" w:firstLineChars="400"/>
        <w:jc w:val="left"/>
        <w:rPr>
          <w:rFonts w:ascii="宋体" w:hAnsi="宋体" w:cs="宋体"/>
          <w:b/>
          <w:bCs/>
          <w:szCs w:val="21"/>
        </w:rPr>
      </w:pPr>
      <w:r>
        <w:rPr>
          <w:rFonts w:hint="eastAsia" w:ascii="宋体" w:hAnsi="宋体" w:cs="宋体"/>
          <w:b/>
          <w:bCs/>
          <w:szCs w:val="21"/>
        </w:rPr>
        <w:t>2、从业人员、营业收入、资产总额填报上一年度数据，无上一年度数据的新成立企业可不填报。</w:t>
      </w:r>
    </w:p>
    <w:p>
      <w:pPr>
        <w:spacing w:line="242" w:lineRule="auto"/>
        <w:jc w:val="left"/>
        <w:rPr>
          <w:rFonts w:ascii="宋体" w:hAnsi="宋体" w:cs="宋体"/>
          <w:b/>
          <w:bCs/>
          <w:szCs w:val="21"/>
        </w:rPr>
        <w:sectPr>
          <w:pgSz w:w="11910" w:h="16840"/>
          <w:pgMar w:top="1580" w:right="1160" w:bottom="1860" w:left="1260" w:header="0" w:footer="1667" w:gutter="0"/>
          <w:cols w:space="720" w:num="1"/>
        </w:sectPr>
      </w:pPr>
    </w:p>
    <w:p>
      <w:pPr>
        <w:pStyle w:val="2"/>
        <w:rPr>
          <w:rFonts w:ascii="宋体" w:hAnsi="宋体" w:eastAsia="宋体"/>
          <w:b/>
          <w:bCs/>
          <w:color w:val="auto"/>
          <w:kern w:val="2"/>
          <w:sz w:val="28"/>
          <w:szCs w:val="28"/>
        </w:rPr>
      </w:pPr>
      <w:bookmarkStart w:id="236" w:name="_Toc430250269"/>
      <w:r>
        <w:rPr>
          <w:rFonts w:hint="eastAsia" w:ascii="宋体" w:hAnsi="宋体" w:eastAsia="宋体"/>
          <w:b/>
          <w:bCs/>
          <w:color w:val="auto"/>
          <w:kern w:val="2"/>
          <w:sz w:val="28"/>
          <w:szCs w:val="28"/>
        </w:rPr>
        <w:t>格式十三：</w:t>
      </w:r>
      <w:bookmarkStart w:id="237" w:name="_Toc25117"/>
      <w:bookmarkStart w:id="238" w:name="_Toc66192162"/>
      <w:bookmarkStart w:id="239" w:name="_Toc121"/>
      <w:bookmarkStart w:id="240" w:name="_Toc4809"/>
      <w:bookmarkStart w:id="241" w:name="_Toc393"/>
    </w:p>
    <w:p>
      <w:pPr>
        <w:pStyle w:val="2"/>
        <w:jc w:val="center"/>
        <w:rPr>
          <w:rFonts w:ascii="宋体" w:hAnsi="宋体" w:eastAsia="宋体"/>
          <w:b/>
          <w:bCs/>
          <w:color w:val="auto"/>
          <w:kern w:val="2"/>
          <w:sz w:val="28"/>
          <w:szCs w:val="28"/>
        </w:rPr>
      </w:pPr>
      <w:r>
        <w:rPr>
          <w:rFonts w:hint="eastAsia" w:ascii="宋体" w:hAnsi="宋体" w:eastAsia="宋体"/>
          <w:b/>
          <w:bCs/>
          <w:color w:val="auto"/>
          <w:kern w:val="2"/>
          <w:sz w:val="28"/>
          <w:szCs w:val="28"/>
        </w:rPr>
        <w:t>十二、残疾人福利性单位声明函</w:t>
      </w:r>
      <w:bookmarkEnd w:id="237"/>
      <w:bookmarkEnd w:id="238"/>
      <w:bookmarkEnd w:id="239"/>
      <w:bookmarkEnd w:id="240"/>
      <w:bookmarkEnd w:id="241"/>
    </w:p>
    <w:p>
      <w:pPr>
        <w:adjustRightInd w:val="0"/>
        <w:snapToGrid w:val="0"/>
        <w:spacing w:line="360" w:lineRule="auto"/>
        <w:ind w:firstLine="504" w:firstLineChars="200"/>
        <w:rPr>
          <w:rFonts w:ascii="宋体" w:hAnsi="宋体"/>
          <w:spacing w:val="6"/>
          <w:sz w:val="24"/>
          <w:szCs w:val="24"/>
        </w:rPr>
      </w:pPr>
    </w:p>
    <w:p>
      <w:pPr>
        <w:adjustRightInd w:val="0"/>
        <w:snapToGrid w:val="0"/>
        <w:spacing w:line="360" w:lineRule="auto"/>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adjustRightInd w:val="0"/>
        <w:snapToGrid w:val="0"/>
        <w:spacing w:line="360" w:lineRule="auto"/>
        <w:ind w:firstLine="504" w:firstLineChars="200"/>
        <w:rPr>
          <w:rFonts w:ascii="宋体" w:hAnsi="宋体"/>
          <w:spacing w:val="6"/>
          <w:sz w:val="24"/>
          <w:szCs w:val="24"/>
        </w:rPr>
      </w:pPr>
    </w:p>
    <w:p>
      <w:pPr>
        <w:adjustRightInd w:val="0"/>
        <w:snapToGrid w:val="0"/>
        <w:spacing w:line="360" w:lineRule="auto"/>
        <w:ind w:firstLine="504" w:firstLineChars="200"/>
        <w:rPr>
          <w:rFonts w:ascii="宋体" w:hAnsi="宋体"/>
          <w:spacing w:val="6"/>
          <w:sz w:val="24"/>
          <w:szCs w:val="24"/>
        </w:rPr>
      </w:pPr>
    </w:p>
    <w:p>
      <w:pPr>
        <w:adjustRightInd w:val="0"/>
        <w:snapToGrid w:val="0"/>
        <w:spacing w:line="360" w:lineRule="auto"/>
        <w:ind w:firstLine="504" w:firstLineChars="200"/>
        <w:rPr>
          <w:rFonts w:ascii="宋体" w:hAnsi="宋体"/>
          <w:spacing w:val="6"/>
          <w:sz w:val="24"/>
          <w:szCs w:val="24"/>
        </w:rPr>
      </w:pPr>
    </w:p>
    <w:p>
      <w:pPr>
        <w:adjustRightInd w:val="0"/>
        <w:snapToGrid w:val="0"/>
        <w:spacing w:line="360" w:lineRule="auto"/>
        <w:ind w:firstLine="504" w:firstLineChars="200"/>
        <w:rPr>
          <w:rFonts w:ascii="宋体" w:hAnsi="宋体"/>
          <w:spacing w:val="6"/>
          <w:sz w:val="24"/>
          <w:szCs w:val="24"/>
        </w:rPr>
      </w:pPr>
    </w:p>
    <w:p>
      <w:pPr>
        <w:adjustRightInd w:val="0"/>
        <w:snapToGrid w:val="0"/>
        <w:spacing w:line="360" w:lineRule="auto"/>
        <w:ind w:firstLine="504" w:firstLineChars="200"/>
        <w:rPr>
          <w:rFonts w:ascii="宋体" w:hAnsi="宋体"/>
          <w:spacing w:val="6"/>
          <w:sz w:val="24"/>
          <w:szCs w:val="24"/>
        </w:rPr>
      </w:pPr>
      <w:r>
        <w:rPr>
          <w:rFonts w:hint="eastAsia" w:ascii="宋体" w:hAnsi="宋体"/>
          <w:spacing w:val="6"/>
          <w:sz w:val="24"/>
          <w:szCs w:val="24"/>
        </w:rPr>
        <w:t>单位名称（盖章）：</w:t>
      </w:r>
    </w:p>
    <w:p>
      <w:pPr>
        <w:adjustRightInd w:val="0"/>
        <w:snapToGrid w:val="0"/>
        <w:spacing w:line="360" w:lineRule="auto"/>
        <w:ind w:firstLine="504" w:firstLineChars="200"/>
        <w:rPr>
          <w:rFonts w:ascii="宋体" w:hAnsi="宋体"/>
          <w:spacing w:val="6"/>
          <w:sz w:val="24"/>
          <w:szCs w:val="24"/>
        </w:rPr>
      </w:pPr>
      <w:r>
        <w:rPr>
          <w:rFonts w:hint="eastAsia" w:ascii="宋体" w:hAnsi="宋体"/>
          <w:spacing w:val="6"/>
          <w:sz w:val="24"/>
          <w:szCs w:val="24"/>
        </w:rPr>
        <w:t>日  期：X</w:t>
      </w:r>
      <w:r>
        <w:rPr>
          <w:rFonts w:ascii="宋体" w:hAnsi="宋体"/>
          <w:spacing w:val="6"/>
          <w:sz w:val="24"/>
          <w:szCs w:val="24"/>
        </w:rPr>
        <w:t>XXX</w:t>
      </w:r>
      <w:r>
        <w:rPr>
          <w:rFonts w:hint="eastAsia" w:ascii="宋体" w:hAnsi="宋体"/>
          <w:spacing w:val="6"/>
          <w:sz w:val="24"/>
          <w:szCs w:val="24"/>
        </w:rPr>
        <w:t>年</w:t>
      </w:r>
      <w:r>
        <w:rPr>
          <w:rFonts w:ascii="宋体" w:hAnsi="宋体"/>
          <w:spacing w:val="6"/>
          <w:sz w:val="24"/>
          <w:szCs w:val="24"/>
        </w:rPr>
        <w:t>XX</w:t>
      </w:r>
      <w:r>
        <w:rPr>
          <w:rFonts w:hint="eastAsia" w:ascii="宋体" w:hAnsi="宋体"/>
          <w:spacing w:val="6"/>
          <w:sz w:val="24"/>
          <w:szCs w:val="24"/>
        </w:rPr>
        <w:t>月</w:t>
      </w:r>
      <w:r>
        <w:rPr>
          <w:rFonts w:ascii="宋体" w:hAnsi="宋体"/>
          <w:spacing w:val="6"/>
          <w:sz w:val="24"/>
          <w:szCs w:val="24"/>
        </w:rPr>
        <w:t>XX</w:t>
      </w:r>
      <w:r>
        <w:rPr>
          <w:rFonts w:hint="eastAsia" w:ascii="宋体" w:hAnsi="宋体"/>
          <w:spacing w:val="6"/>
          <w:sz w:val="24"/>
          <w:szCs w:val="24"/>
        </w:rPr>
        <w:t>日</w:t>
      </w:r>
    </w:p>
    <w:p>
      <w:pPr>
        <w:adjustRightInd w:val="0"/>
        <w:snapToGrid w:val="0"/>
        <w:spacing w:line="360" w:lineRule="auto"/>
        <w:ind w:firstLine="496" w:firstLineChars="196"/>
        <w:rPr>
          <w:rFonts w:ascii="宋体" w:hAnsi="宋体"/>
          <w:b/>
          <w:spacing w:val="6"/>
          <w:sz w:val="24"/>
          <w:szCs w:val="24"/>
        </w:rPr>
      </w:pPr>
      <w:r>
        <w:rPr>
          <w:rFonts w:hint="eastAsia" w:ascii="宋体" w:hAnsi="宋体"/>
          <w:b/>
          <w:spacing w:val="6"/>
          <w:sz w:val="24"/>
          <w:szCs w:val="24"/>
        </w:rPr>
        <w:t>说明：</w:t>
      </w:r>
    </w:p>
    <w:p>
      <w:pPr>
        <w:spacing w:before="158" w:line="364" w:lineRule="auto"/>
        <w:ind w:left="328" w:right="277"/>
        <w:rPr>
          <w:b/>
          <w:sz w:val="24"/>
        </w:rPr>
      </w:pPr>
      <w:r>
        <w:rPr>
          <w:b/>
          <w:sz w:val="24"/>
        </w:rPr>
        <w:t>1、残疾人福利性单位视同小型、微型企业，享受预留份额、评审中价格扣除等促进</w:t>
      </w:r>
      <w:r>
        <w:rPr>
          <w:b/>
          <w:w w:val="95"/>
          <w:sz w:val="24"/>
        </w:rPr>
        <w:t xml:space="preserve">中小企业发展的政府采购政策。残疾人福利性单位属于小型、微型企业的，不重复  </w:t>
      </w:r>
      <w:r>
        <w:rPr>
          <w:b/>
          <w:sz w:val="24"/>
        </w:rPr>
        <w:t>享受政策。</w:t>
      </w:r>
    </w:p>
    <w:p>
      <w:pPr>
        <w:spacing w:line="307" w:lineRule="exact"/>
        <w:ind w:left="328"/>
        <w:jc w:val="left"/>
        <w:rPr>
          <w:b/>
          <w:sz w:val="24"/>
        </w:rPr>
      </w:pPr>
      <w:r>
        <w:rPr>
          <w:b/>
          <w:sz w:val="24"/>
        </w:rPr>
        <w:t>2、投标人为非残疾人福利性单位的，可不提供此声明。</w:t>
      </w: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rPr>
      </w:pPr>
    </w:p>
    <w:p>
      <w:pPr>
        <w:pStyle w:val="2"/>
        <w:rPr>
          <w:b/>
          <w:sz w:val="28"/>
          <w:szCs w:val="28"/>
        </w:rPr>
      </w:pPr>
    </w:p>
    <w:p>
      <w:pPr>
        <w:pStyle w:val="2"/>
        <w:rPr>
          <w:rFonts w:eastAsia="宋体"/>
          <w:b/>
          <w:sz w:val="28"/>
          <w:szCs w:val="28"/>
        </w:rPr>
      </w:pPr>
      <w:r>
        <w:rPr>
          <w:rFonts w:hint="eastAsia" w:eastAsia="宋体"/>
          <w:b/>
          <w:sz w:val="28"/>
          <w:szCs w:val="28"/>
        </w:rPr>
        <w:t>格式十四：</w:t>
      </w:r>
    </w:p>
    <w:p>
      <w:pPr>
        <w:pStyle w:val="2"/>
        <w:jc w:val="center"/>
        <w:rPr>
          <w:rFonts w:ascii="宋体" w:hAnsi="宋体" w:eastAsia="宋体" w:cs="宋体"/>
          <w:b/>
          <w:sz w:val="28"/>
          <w:szCs w:val="28"/>
        </w:rPr>
      </w:pPr>
      <w:r>
        <w:rPr>
          <w:rFonts w:hint="eastAsia" w:ascii="宋体" w:hAnsi="宋体" w:eastAsia="宋体" w:cs="宋体"/>
          <w:b/>
          <w:sz w:val="28"/>
          <w:szCs w:val="28"/>
        </w:rPr>
        <w:t>十三、监</w:t>
      </w:r>
      <w:r>
        <w:rPr>
          <w:b/>
          <w:sz w:val="28"/>
          <w:szCs w:val="28"/>
        </w:rPr>
        <w:t>狱企</w:t>
      </w:r>
      <w:r>
        <w:rPr>
          <w:rFonts w:hint="eastAsia" w:ascii="宋体" w:hAnsi="宋体" w:eastAsia="宋体" w:cs="宋体"/>
          <w:b/>
          <w:sz w:val="28"/>
          <w:szCs w:val="28"/>
        </w:rPr>
        <w:t>业证明</w:t>
      </w:r>
    </w:p>
    <w:p>
      <w:pPr>
        <w:pStyle w:val="18"/>
        <w:rPr>
          <w:rFonts w:ascii="宋体" w:hAnsi="宋体" w:cs="宋体"/>
          <w:b/>
          <w:sz w:val="32"/>
        </w:rPr>
      </w:pPr>
    </w:p>
    <w:p>
      <w:pPr>
        <w:pStyle w:val="18"/>
        <w:rPr>
          <w:b/>
          <w:sz w:val="32"/>
        </w:rPr>
      </w:pPr>
    </w:p>
    <w:p>
      <w:pPr>
        <w:pStyle w:val="18"/>
        <w:rPr>
          <w:b/>
          <w:sz w:val="32"/>
        </w:rPr>
      </w:pPr>
    </w:p>
    <w:p>
      <w:pPr>
        <w:pStyle w:val="18"/>
        <w:rPr>
          <w:b/>
          <w:sz w:val="32"/>
        </w:rPr>
      </w:pPr>
    </w:p>
    <w:p>
      <w:pPr>
        <w:pStyle w:val="18"/>
        <w:spacing w:before="4"/>
        <w:rPr>
          <w:b/>
          <w:sz w:val="31"/>
        </w:rPr>
      </w:pPr>
    </w:p>
    <w:p>
      <w:pPr>
        <w:pStyle w:val="18"/>
        <w:spacing w:line="458" w:lineRule="auto"/>
        <w:ind w:left="328" w:right="323" w:firstLine="504"/>
      </w:pPr>
      <w:r>
        <w:t>说明：1.监狱企业参加政府采购活动时，应当提供由省级以上监狱管理局、戒毒管理局（含新疆生产建设兵团）出具的属于监狱企业的证明文件，并加盖单位公章。</w:t>
      </w:r>
    </w:p>
    <w:p>
      <w:pPr>
        <w:pStyle w:val="199"/>
        <w:numPr>
          <w:ilvl w:val="0"/>
          <w:numId w:val="37"/>
        </w:numPr>
        <w:tabs>
          <w:tab w:val="left" w:pos="1085"/>
        </w:tabs>
        <w:spacing w:before="2" w:line="458" w:lineRule="auto"/>
        <w:ind w:right="323" w:firstLine="524"/>
        <w:rPr>
          <w:sz w:val="24"/>
        </w:rPr>
      </w:pPr>
      <w:r>
        <w:rPr>
          <w:spacing w:val="11"/>
          <w:sz w:val="24"/>
        </w:rPr>
        <w:t>监狱企业视同小型、微型企业，享受预留份额、评审中价格扣除等政府采购促进中小企业发展的政府采购政策。监狱企业属于小型、微型企业的，不重复</w:t>
      </w:r>
      <w:r>
        <w:rPr>
          <w:spacing w:val="9"/>
          <w:sz w:val="24"/>
        </w:rPr>
        <w:t>享受政策。</w:t>
      </w:r>
    </w:p>
    <w:p>
      <w:pPr>
        <w:spacing w:line="458" w:lineRule="auto"/>
        <w:rPr>
          <w:sz w:val="24"/>
        </w:rPr>
        <w:sectPr>
          <w:pgSz w:w="11910" w:h="16840"/>
          <w:pgMar w:top="1580" w:right="1160" w:bottom="1860" w:left="1260" w:header="0" w:footer="1609" w:gutter="0"/>
          <w:cols w:space="720" w:num="1"/>
        </w:sectPr>
      </w:pPr>
    </w:p>
    <w:p>
      <w:pPr>
        <w:pStyle w:val="2"/>
        <w:rPr>
          <w:b/>
          <w:sz w:val="28"/>
          <w:szCs w:val="28"/>
        </w:rPr>
      </w:pPr>
      <w:r>
        <w:rPr>
          <w:rFonts w:hint="eastAsia"/>
          <w:b/>
          <w:sz w:val="28"/>
          <w:szCs w:val="28"/>
        </w:rPr>
        <w:t>格式十</w:t>
      </w:r>
      <w:r>
        <w:rPr>
          <w:rFonts w:hint="eastAsia" w:eastAsia="宋体"/>
          <w:b/>
          <w:sz w:val="28"/>
          <w:szCs w:val="28"/>
        </w:rPr>
        <w:t>五</w:t>
      </w:r>
      <w:r>
        <w:rPr>
          <w:rFonts w:hint="eastAsia"/>
          <w:b/>
          <w:sz w:val="28"/>
          <w:szCs w:val="28"/>
        </w:rPr>
        <w:t>：</w:t>
      </w:r>
    </w:p>
    <w:p>
      <w:pPr>
        <w:pStyle w:val="2"/>
        <w:ind w:left="4200"/>
        <w:rPr>
          <w:b/>
          <w:sz w:val="28"/>
          <w:szCs w:val="28"/>
        </w:rPr>
      </w:pPr>
      <w:r>
        <w:rPr>
          <w:rFonts w:hint="eastAsia" w:eastAsia="宋体"/>
          <w:b/>
          <w:sz w:val="28"/>
          <w:szCs w:val="28"/>
        </w:rPr>
        <w:t>十四、</w:t>
      </w:r>
      <w:r>
        <w:rPr>
          <w:rFonts w:hint="eastAsia"/>
          <w:b/>
          <w:sz w:val="28"/>
          <w:szCs w:val="28"/>
        </w:rPr>
        <w:t>服务方案</w:t>
      </w:r>
    </w:p>
    <w:p>
      <w:pPr>
        <w:pStyle w:val="2"/>
        <w:rPr>
          <w:rFonts w:eastAsia="宋体"/>
          <w:b/>
        </w:rPr>
      </w:pPr>
      <w:r>
        <w:rPr>
          <w:rFonts w:hint="eastAsia" w:eastAsia="宋体"/>
          <w:b/>
        </w:rPr>
        <w:t>项目名称：</w:t>
      </w:r>
    </w:p>
    <w:p>
      <w:pPr>
        <w:pStyle w:val="2"/>
        <w:rPr>
          <w:rFonts w:eastAsia="宋体"/>
          <w:b/>
        </w:rPr>
      </w:pPr>
      <w:r>
        <w:rPr>
          <w:rFonts w:hint="eastAsia" w:eastAsia="宋体"/>
          <w:b/>
        </w:rPr>
        <w:t>项目编号：</w:t>
      </w:r>
    </w:p>
    <w:p>
      <w:pPr>
        <w:adjustRightInd w:val="0"/>
        <w:snapToGrid w:val="0"/>
        <w:spacing w:line="360" w:lineRule="auto"/>
        <w:ind w:firstLine="560" w:firstLineChars="200"/>
        <w:rPr>
          <w:rFonts w:ascii="宋体" w:hAnsi="宋体"/>
          <w:sz w:val="28"/>
          <w:szCs w:val="28"/>
        </w:rPr>
      </w:pPr>
    </w:p>
    <w:p>
      <w:pPr>
        <w:adjustRightInd w:val="0"/>
        <w:snapToGrid w:val="0"/>
        <w:spacing w:line="360" w:lineRule="auto"/>
        <w:ind w:firstLine="720" w:firstLineChars="200"/>
        <w:jc w:val="center"/>
        <w:rPr>
          <w:rFonts w:ascii="宋体" w:hAnsi="宋体"/>
          <w:sz w:val="28"/>
          <w:szCs w:val="28"/>
        </w:rPr>
      </w:pPr>
      <w:r>
        <w:rPr>
          <w:sz w:val="36"/>
        </w:rPr>
        <w:t>（格式自拟）</w:t>
      </w:r>
    </w:p>
    <w:p>
      <w:pPr>
        <w:adjustRightInd w:val="0"/>
        <w:snapToGrid w:val="0"/>
        <w:spacing w:line="360" w:lineRule="auto"/>
        <w:ind w:firstLine="560" w:firstLineChars="200"/>
        <w:rPr>
          <w:rFonts w:ascii="宋体" w:hAnsi="宋体"/>
          <w:sz w:val="28"/>
          <w:szCs w:val="28"/>
        </w:rPr>
      </w:pPr>
    </w:p>
    <w:p>
      <w:pPr>
        <w:adjustRightInd w:val="0"/>
        <w:snapToGrid w:val="0"/>
        <w:spacing w:line="360" w:lineRule="auto"/>
        <w:ind w:firstLine="560" w:firstLineChars="200"/>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adjustRightInd w:val="0"/>
        <w:snapToGrid w:val="0"/>
        <w:spacing w:line="360" w:lineRule="auto"/>
        <w:ind w:firstLine="560" w:firstLineChars="200"/>
        <w:rPr>
          <w:rFonts w:ascii="宋体" w:hAnsi="宋体"/>
          <w:sz w:val="28"/>
          <w:szCs w:val="28"/>
        </w:rPr>
      </w:pPr>
    </w:p>
    <w:p>
      <w:pPr>
        <w:adjustRightInd w:val="0"/>
        <w:snapToGrid w:val="0"/>
        <w:spacing w:line="360" w:lineRule="auto"/>
        <w:ind w:firstLine="560" w:firstLineChars="200"/>
        <w:rPr>
          <w:rFonts w:ascii="宋体" w:hAnsi="宋体"/>
          <w:sz w:val="28"/>
          <w:szCs w:val="28"/>
        </w:rPr>
      </w:pPr>
      <w:r>
        <w:rPr>
          <w:rFonts w:hint="eastAsia" w:ascii="宋体" w:hAnsi="宋体"/>
          <w:sz w:val="28"/>
          <w:szCs w:val="28"/>
        </w:rPr>
        <w:t>投标人名称：        （加盖公章）</w:t>
      </w:r>
    </w:p>
    <w:p>
      <w:pPr>
        <w:adjustRightInd w:val="0"/>
        <w:snapToGrid w:val="0"/>
        <w:spacing w:line="360" w:lineRule="auto"/>
        <w:ind w:firstLine="504" w:firstLineChars="200"/>
        <w:rPr>
          <w:rFonts w:ascii="宋体" w:hAnsi="宋体"/>
          <w:spacing w:val="6"/>
          <w:sz w:val="24"/>
          <w:szCs w:val="24"/>
        </w:rPr>
      </w:pPr>
      <w:r>
        <w:rPr>
          <w:rFonts w:hint="eastAsia" w:ascii="宋体" w:hAnsi="宋体"/>
          <w:spacing w:val="6"/>
          <w:sz w:val="24"/>
          <w:szCs w:val="24"/>
        </w:rPr>
        <w:t>日  期：X</w:t>
      </w:r>
      <w:r>
        <w:rPr>
          <w:rFonts w:ascii="宋体" w:hAnsi="宋体"/>
          <w:spacing w:val="6"/>
          <w:sz w:val="24"/>
          <w:szCs w:val="24"/>
        </w:rPr>
        <w:t>XXX</w:t>
      </w:r>
      <w:r>
        <w:rPr>
          <w:rFonts w:hint="eastAsia" w:ascii="宋体" w:hAnsi="宋体"/>
          <w:spacing w:val="6"/>
          <w:sz w:val="24"/>
          <w:szCs w:val="24"/>
        </w:rPr>
        <w:t>年</w:t>
      </w:r>
      <w:r>
        <w:rPr>
          <w:rFonts w:ascii="宋体" w:hAnsi="宋体"/>
          <w:spacing w:val="6"/>
          <w:sz w:val="24"/>
          <w:szCs w:val="24"/>
        </w:rPr>
        <w:t>XX</w:t>
      </w:r>
      <w:r>
        <w:rPr>
          <w:rFonts w:hint="eastAsia" w:ascii="宋体" w:hAnsi="宋体"/>
          <w:spacing w:val="6"/>
          <w:sz w:val="24"/>
          <w:szCs w:val="24"/>
        </w:rPr>
        <w:t>月</w:t>
      </w:r>
      <w:r>
        <w:rPr>
          <w:rFonts w:ascii="宋体" w:hAnsi="宋体"/>
          <w:spacing w:val="6"/>
          <w:sz w:val="24"/>
          <w:szCs w:val="24"/>
        </w:rPr>
        <w:t>XX</w:t>
      </w:r>
      <w:r>
        <w:rPr>
          <w:rFonts w:hint="eastAsia" w:ascii="宋体" w:hAnsi="宋体"/>
          <w:spacing w:val="6"/>
          <w:sz w:val="24"/>
          <w:szCs w:val="24"/>
        </w:rPr>
        <w:t>日</w:t>
      </w:r>
    </w:p>
    <w:p>
      <w:pPr>
        <w:pStyle w:val="2"/>
      </w:pPr>
    </w:p>
    <w:p>
      <w:pPr>
        <w:pStyle w:val="2"/>
      </w:pPr>
      <w:r>
        <w:rPr>
          <w:rFonts w:hint="eastAsia" w:ascii="宋体" w:hAnsi="宋体"/>
          <w:sz w:val="28"/>
          <w:szCs w:val="28"/>
        </w:rPr>
        <w:t xml:space="preserve"> </w:t>
      </w:r>
    </w:p>
    <w:p>
      <w:pPr>
        <w:adjustRightInd w:val="0"/>
        <w:snapToGrid w:val="0"/>
        <w:spacing w:line="360" w:lineRule="auto"/>
        <w:ind w:firstLine="560" w:firstLineChars="200"/>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b/>
          <w:sz w:val="32"/>
        </w:rPr>
      </w:pPr>
    </w:p>
    <w:p>
      <w:pPr>
        <w:pStyle w:val="2"/>
        <w:rPr>
          <w:b/>
          <w:sz w:val="32"/>
        </w:rPr>
      </w:pPr>
    </w:p>
    <w:p>
      <w:pPr>
        <w:pStyle w:val="2"/>
        <w:rPr>
          <w:b/>
          <w:sz w:val="28"/>
          <w:szCs w:val="28"/>
        </w:rPr>
      </w:pPr>
      <w:r>
        <w:rPr>
          <w:rFonts w:hint="eastAsia"/>
          <w:b/>
          <w:sz w:val="28"/>
          <w:szCs w:val="28"/>
        </w:rPr>
        <w:t>格式十</w:t>
      </w:r>
      <w:r>
        <w:rPr>
          <w:rFonts w:hint="eastAsia" w:eastAsia="宋体"/>
          <w:b/>
          <w:sz w:val="28"/>
          <w:szCs w:val="28"/>
        </w:rPr>
        <w:t>六</w:t>
      </w:r>
      <w:r>
        <w:rPr>
          <w:rFonts w:hint="eastAsia"/>
          <w:b/>
          <w:sz w:val="28"/>
          <w:szCs w:val="28"/>
        </w:rPr>
        <w:t>：</w:t>
      </w:r>
    </w:p>
    <w:p>
      <w:pPr>
        <w:pStyle w:val="2"/>
        <w:jc w:val="center"/>
        <w:rPr>
          <w:b/>
          <w:sz w:val="28"/>
          <w:szCs w:val="28"/>
        </w:rPr>
      </w:pPr>
      <w:r>
        <w:rPr>
          <w:rFonts w:hint="eastAsia"/>
          <w:b/>
          <w:sz w:val="28"/>
          <w:szCs w:val="28"/>
        </w:rPr>
        <w:t>十</w:t>
      </w:r>
      <w:r>
        <w:rPr>
          <w:rFonts w:hint="eastAsia" w:eastAsia="宋体"/>
          <w:b/>
          <w:sz w:val="28"/>
          <w:szCs w:val="28"/>
        </w:rPr>
        <w:t>五</w:t>
      </w:r>
      <w:r>
        <w:rPr>
          <w:rFonts w:hint="eastAsia"/>
          <w:b/>
          <w:sz w:val="28"/>
          <w:szCs w:val="28"/>
        </w:rPr>
        <w:t>、其它投标人需要提供的证明材料</w:t>
      </w:r>
    </w:p>
    <w:p>
      <w:pPr>
        <w:pStyle w:val="2"/>
        <w:jc w:val="center"/>
        <w:rPr>
          <w:rFonts w:ascii="宋体" w:hAnsi="宋体" w:eastAsia="宋体"/>
          <w:sz w:val="28"/>
          <w:szCs w:val="28"/>
        </w:rPr>
      </w:pPr>
      <w:r>
        <w:rPr>
          <w:rFonts w:hint="eastAsia" w:ascii="宋体" w:hAnsi="宋体" w:eastAsia="宋体"/>
          <w:sz w:val="28"/>
          <w:szCs w:val="28"/>
        </w:rPr>
        <w:t>（格式自拟）</w:t>
      </w:r>
    </w:p>
    <w:bookmarkEnd w:id="236"/>
    <w:p>
      <w:pPr>
        <w:pStyle w:val="13"/>
        <w:adjustRightInd w:val="0"/>
        <w:snapToGrid w:val="0"/>
        <w:spacing w:after="0" w:line="360" w:lineRule="auto"/>
        <w:rPr>
          <w:rFonts w:ascii="宋体" w:hAnsi="宋体"/>
          <w:sz w:val="24"/>
          <w:szCs w:val="24"/>
        </w:rPr>
      </w:pPr>
    </w:p>
    <w:p>
      <w:pPr>
        <w:pStyle w:val="13"/>
        <w:adjustRightInd w:val="0"/>
        <w:snapToGrid w:val="0"/>
        <w:spacing w:after="0" w:line="360" w:lineRule="auto"/>
        <w:rPr>
          <w:rFonts w:ascii="宋体" w:hAnsi="宋体"/>
          <w:sz w:val="24"/>
          <w:szCs w:val="24"/>
        </w:rPr>
      </w:pPr>
    </w:p>
    <w:p>
      <w:pPr>
        <w:pStyle w:val="13"/>
        <w:adjustRightInd w:val="0"/>
        <w:snapToGrid w:val="0"/>
        <w:spacing w:after="0" w:line="360" w:lineRule="auto"/>
        <w:rPr>
          <w:rFonts w:ascii="宋体" w:hAnsi="宋体"/>
          <w:sz w:val="24"/>
          <w:szCs w:val="24"/>
        </w:rPr>
      </w:pPr>
    </w:p>
    <w:p>
      <w:pPr>
        <w:pStyle w:val="13"/>
        <w:adjustRightInd w:val="0"/>
        <w:snapToGrid w:val="0"/>
        <w:spacing w:after="0" w:line="360" w:lineRule="auto"/>
        <w:rPr>
          <w:rFonts w:ascii="宋体" w:hAnsi="宋体"/>
          <w:sz w:val="24"/>
          <w:szCs w:val="24"/>
        </w:rPr>
      </w:pPr>
    </w:p>
    <w:p>
      <w:pPr>
        <w:pStyle w:val="13"/>
        <w:adjustRightInd w:val="0"/>
        <w:snapToGrid w:val="0"/>
        <w:spacing w:after="0" w:line="360" w:lineRule="auto"/>
        <w:rPr>
          <w:rFonts w:ascii="宋体" w:hAnsi="宋体"/>
          <w:sz w:val="24"/>
          <w:szCs w:val="24"/>
        </w:rPr>
      </w:pPr>
    </w:p>
    <w:p>
      <w:pPr>
        <w:pStyle w:val="13"/>
        <w:adjustRightInd w:val="0"/>
        <w:snapToGrid w:val="0"/>
        <w:spacing w:after="0" w:line="360" w:lineRule="auto"/>
        <w:rPr>
          <w:rFonts w:ascii="宋体" w:hAnsi="宋体"/>
          <w:sz w:val="24"/>
          <w:szCs w:val="24"/>
        </w:rPr>
      </w:pPr>
    </w:p>
    <w:p>
      <w:pPr>
        <w:pStyle w:val="13"/>
        <w:adjustRightInd w:val="0"/>
        <w:snapToGrid w:val="0"/>
        <w:spacing w:after="0" w:line="360" w:lineRule="auto"/>
        <w:rPr>
          <w:rFonts w:ascii="宋体" w:hAnsi="宋体"/>
          <w:sz w:val="24"/>
          <w:szCs w:val="24"/>
        </w:rPr>
      </w:pPr>
    </w:p>
    <w:p>
      <w:pPr>
        <w:pStyle w:val="13"/>
        <w:adjustRightInd w:val="0"/>
        <w:snapToGrid w:val="0"/>
        <w:spacing w:after="0" w:line="360" w:lineRule="auto"/>
        <w:rPr>
          <w:rFonts w:ascii="宋体" w:hAnsi="宋体"/>
          <w:sz w:val="24"/>
          <w:szCs w:val="24"/>
        </w:rPr>
      </w:pPr>
    </w:p>
    <w:p>
      <w:pPr>
        <w:pStyle w:val="13"/>
        <w:adjustRightInd w:val="0"/>
        <w:snapToGrid w:val="0"/>
        <w:spacing w:after="0" w:line="360" w:lineRule="auto"/>
        <w:rPr>
          <w:rFonts w:ascii="宋体" w:hAnsi="宋体"/>
          <w:sz w:val="24"/>
          <w:szCs w:val="24"/>
        </w:rPr>
      </w:pPr>
    </w:p>
    <w:p>
      <w:pPr>
        <w:pStyle w:val="13"/>
        <w:adjustRightInd w:val="0"/>
        <w:snapToGrid w:val="0"/>
        <w:spacing w:after="0" w:line="360" w:lineRule="auto"/>
        <w:rPr>
          <w:rFonts w:ascii="宋体" w:hAnsi="宋体"/>
          <w:sz w:val="24"/>
          <w:szCs w:val="24"/>
        </w:rPr>
      </w:pPr>
    </w:p>
    <w:bookmarkEnd w:id="211"/>
    <w:bookmarkEnd w:id="212"/>
    <w:bookmarkEnd w:id="213"/>
    <w:bookmarkEnd w:id="214"/>
    <w:bookmarkEnd w:id="215"/>
    <w:bookmarkEnd w:id="216"/>
    <w:bookmarkEnd w:id="217"/>
    <w:bookmarkEnd w:id="218"/>
    <w:bookmarkEnd w:id="219"/>
    <w:p>
      <w:pPr>
        <w:adjustRightInd w:val="0"/>
        <w:snapToGrid w:val="0"/>
        <w:spacing w:line="360" w:lineRule="auto"/>
        <w:jc w:val="center"/>
        <w:rPr>
          <w:rFonts w:ascii="宋体" w:hAnsi="宋体"/>
          <w:b/>
          <w:kern w:val="0"/>
          <w:sz w:val="32"/>
          <w:szCs w:val="28"/>
        </w:rPr>
      </w:pPr>
      <w:bookmarkStart w:id="242" w:name="_Toc217446093"/>
      <w:bookmarkStart w:id="243" w:name="_Toc321382057"/>
      <w:bookmarkStart w:id="244" w:name="_Toc316292231"/>
    </w:p>
    <w:p>
      <w:pPr>
        <w:pStyle w:val="2"/>
        <w:rPr>
          <w:rFonts w:ascii="宋体" w:hAnsi="宋体"/>
          <w:b/>
          <w:sz w:val="32"/>
          <w:szCs w:val="28"/>
        </w:rPr>
      </w:pPr>
    </w:p>
    <w:p>
      <w:pPr>
        <w:pStyle w:val="2"/>
        <w:rPr>
          <w:rFonts w:ascii="宋体" w:hAnsi="宋体"/>
          <w:b/>
          <w:sz w:val="32"/>
          <w:szCs w:val="28"/>
        </w:rPr>
      </w:pPr>
    </w:p>
    <w:p>
      <w:pPr>
        <w:pStyle w:val="2"/>
        <w:rPr>
          <w:rFonts w:ascii="宋体" w:hAnsi="宋体"/>
          <w:b/>
          <w:sz w:val="32"/>
          <w:szCs w:val="28"/>
        </w:rPr>
      </w:pPr>
    </w:p>
    <w:p>
      <w:pPr>
        <w:pStyle w:val="2"/>
        <w:rPr>
          <w:rFonts w:ascii="宋体" w:hAnsi="宋体"/>
          <w:b/>
          <w:sz w:val="32"/>
          <w:szCs w:val="28"/>
        </w:rPr>
      </w:pPr>
    </w:p>
    <w:p>
      <w:pPr>
        <w:pStyle w:val="2"/>
        <w:rPr>
          <w:rFonts w:ascii="宋体" w:hAnsi="宋体"/>
          <w:b/>
          <w:sz w:val="32"/>
          <w:szCs w:val="28"/>
        </w:rPr>
      </w:pPr>
    </w:p>
    <w:p>
      <w:pPr>
        <w:pStyle w:val="2"/>
        <w:rPr>
          <w:rFonts w:ascii="宋体" w:hAnsi="宋体"/>
          <w:b/>
          <w:sz w:val="32"/>
          <w:szCs w:val="28"/>
        </w:rPr>
      </w:pPr>
    </w:p>
    <w:p>
      <w:pPr>
        <w:pStyle w:val="2"/>
        <w:rPr>
          <w:rFonts w:ascii="宋体" w:hAnsi="宋体"/>
          <w:b/>
          <w:sz w:val="32"/>
          <w:szCs w:val="28"/>
        </w:rPr>
      </w:pPr>
    </w:p>
    <w:p>
      <w:pPr>
        <w:pStyle w:val="2"/>
        <w:rPr>
          <w:rFonts w:ascii="宋体" w:hAnsi="宋体"/>
          <w:b/>
          <w:sz w:val="32"/>
          <w:szCs w:val="28"/>
        </w:rPr>
      </w:pPr>
    </w:p>
    <w:p>
      <w:pPr>
        <w:pStyle w:val="2"/>
        <w:rPr>
          <w:rFonts w:ascii="宋体" w:hAnsi="宋体"/>
          <w:b/>
          <w:sz w:val="32"/>
          <w:szCs w:val="28"/>
        </w:rPr>
      </w:pPr>
    </w:p>
    <w:p>
      <w:pPr>
        <w:pStyle w:val="2"/>
        <w:rPr>
          <w:rFonts w:ascii="宋体" w:hAnsi="宋体"/>
          <w:b/>
          <w:sz w:val="32"/>
          <w:szCs w:val="28"/>
        </w:rPr>
      </w:pPr>
    </w:p>
    <w:p>
      <w:pPr>
        <w:pStyle w:val="2"/>
        <w:rPr>
          <w:rFonts w:ascii="宋体" w:hAnsi="宋体"/>
          <w:b/>
          <w:sz w:val="32"/>
          <w:szCs w:val="28"/>
        </w:rPr>
      </w:pPr>
    </w:p>
    <w:p>
      <w:pPr>
        <w:pStyle w:val="2"/>
        <w:rPr>
          <w:rFonts w:ascii="宋体" w:hAnsi="宋体"/>
          <w:b/>
          <w:sz w:val="32"/>
          <w:szCs w:val="28"/>
        </w:rPr>
      </w:pPr>
    </w:p>
    <w:p>
      <w:pPr>
        <w:pStyle w:val="2"/>
        <w:rPr>
          <w:rFonts w:ascii="宋体" w:hAnsi="宋体"/>
          <w:b/>
          <w:sz w:val="32"/>
          <w:szCs w:val="28"/>
        </w:rPr>
      </w:pPr>
    </w:p>
    <w:p>
      <w:pPr>
        <w:pStyle w:val="2"/>
        <w:rPr>
          <w:rFonts w:ascii="宋体" w:hAnsi="宋体"/>
          <w:b/>
          <w:sz w:val="32"/>
          <w:szCs w:val="28"/>
        </w:rPr>
      </w:pPr>
    </w:p>
    <w:p>
      <w:pPr>
        <w:pStyle w:val="3"/>
        <w:tabs>
          <w:tab w:val="left" w:pos="2044"/>
        </w:tabs>
        <w:ind w:left="1265"/>
      </w:pPr>
      <w:bookmarkStart w:id="245" w:name="_Toc25765"/>
      <w:r>
        <w:t>投标人的资格、资质性及其他类似效力要求</w:t>
      </w:r>
      <w:bookmarkEnd w:id="245"/>
    </w:p>
    <w:p>
      <w:pPr>
        <w:pStyle w:val="18"/>
        <w:adjustRightInd w:val="0"/>
        <w:ind w:left="928"/>
        <w:rPr>
          <w:rFonts w:ascii="宋体" w:hAnsi="宋体" w:cs="宋体"/>
          <w:sz w:val="24"/>
          <w:szCs w:val="24"/>
        </w:rPr>
      </w:pPr>
      <w:r>
        <w:rPr>
          <w:rFonts w:hint="eastAsia" w:ascii="宋体" w:hAnsi="宋体" w:cs="宋体"/>
          <w:sz w:val="24"/>
          <w:szCs w:val="24"/>
        </w:rPr>
        <w:t>（一）满足《中华人民共和国政府采购法》第二十二条规定:</w:t>
      </w:r>
    </w:p>
    <w:p>
      <w:pPr>
        <w:pStyle w:val="199"/>
        <w:numPr>
          <w:ilvl w:val="1"/>
          <w:numId w:val="37"/>
        </w:numPr>
        <w:tabs>
          <w:tab w:val="left" w:pos="1530"/>
        </w:tabs>
        <w:adjustRightInd w:val="0"/>
        <w:spacing w:before="93"/>
        <w:ind w:left="567" w:firstLine="480"/>
        <w:rPr>
          <w:rFonts w:ascii="宋体" w:hAnsi="宋体" w:cs="宋体"/>
          <w:sz w:val="24"/>
          <w:szCs w:val="24"/>
        </w:rPr>
      </w:pPr>
      <w:r>
        <w:rPr>
          <w:rFonts w:hint="eastAsia" w:ascii="宋体" w:hAnsi="宋体" w:cs="宋体"/>
          <w:sz w:val="24"/>
          <w:szCs w:val="24"/>
        </w:rPr>
        <w:t>具有独立承担民事责任的能力；</w:t>
      </w:r>
    </w:p>
    <w:p>
      <w:pPr>
        <w:pStyle w:val="199"/>
        <w:numPr>
          <w:ilvl w:val="1"/>
          <w:numId w:val="37"/>
        </w:numPr>
        <w:tabs>
          <w:tab w:val="left" w:pos="1530"/>
        </w:tabs>
        <w:adjustRightInd w:val="0"/>
        <w:spacing w:before="93"/>
        <w:ind w:left="567" w:firstLine="480"/>
        <w:rPr>
          <w:rFonts w:ascii="宋体" w:hAnsi="宋体" w:cs="宋体"/>
          <w:sz w:val="24"/>
          <w:szCs w:val="24"/>
        </w:rPr>
      </w:pPr>
      <w:r>
        <w:rPr>
          <w:rFonts w:hint="eastAsia" w:ascii="宋体" w:hAnsi="宋体" w:cs="宋体"/>
          <w:sz w:val="24"/>
          <w:szCs w:val="24"/>
        </w:rPr>
        <w:t>具有良好的商业信誉和健全的财务会计制度；</w:t>
      </w:r>
    </w:p>
    <w:p>
      <w:pPr>
        <w:pStyle w:val="199"/>
        <w:numPr>
          <w:ilvl w:val="1"/>
          <w:numId w:val="37"/>
        </w:numPr>
        <w:tabs>
          <w:tab w:val="left" w:pos="1530"/>
        </w:tabs>
        <w:adjustRightInd w:val="0"/>
        <w:spacing w:before="91"/>
        <w:ind w:left="567" w:firstLine="480"/>
        <w:rPr>
          <w:rFonts w:ascii="宋体" w:hAnsi="宋体" w:cs="宋体"/>
          <w:sz w:val="24"/>
          <w:szCs w:val="24"/>
        </w:rPr>
      </w:pPr>
      <w:r>
        <w:rPr>
          <w:rFonts w:hint="eastAsia" w:ascii="宋体" w:hAnsi="宋体" w:cs="宋体"/>
          <w:sz w:val="24"/>
          <w:szCs w:val="24"/>
        </w:rPr>
        <w:t>具有履行合同所必须的设备和专业技术能力；</w:t>
      </w:r>
    </w:p>
    <w:p>
      <w:pPr>
        <w:pStyle w:val="199"/>
        <w:numPr>
          <w:ilvl w:val="1"/>
          <w:numId w:val="37"/>
        </w:numPr>
        <w:tabs>
          <w:tab w:val="left" w:pos="1530"/>
        </w:tabs>
        <w:adjustRightInd w:val="0"/>
        <w:spacing w:before="94"/>
        <w:ind w:left="567" w:firstLine="480"/>
        <w:rPr>
          <w:rFonts w:ascii="宋体" w:hAnsi="宋体" w:cs="宋体"/>
          <w:sz w:val="24"/>
          <w:szCs w:val="24"/>
        </w:rPr>
      </w:pPr>
      <w:r>
        <w:rPr>
          <w:rFonts w:hint="eastAsia" w:ascii="宋体" w:hAnsi="宋体" w:cs="宋体"/>
          <w:sz w:val="24"/>
          <w:szCs w:val="24"/>
        </w:rPr>
        <w:t>具有依法缴纳税收和社会保障资金的良好记录；</w:t>
      </w:r>
    </w:p>
    <w:p>
      <w:pPr>
        <w:pStyle w:val="199"/>
        <w:numPr>
          <w:ilvl w:val="1"/>
          <w:numId w:val="37"/>
        </w:numPr>
        <w:tabs>
          <w:tab w:val="left" w:pos="1530"/>
        </w:tabs>
        <w:adjustRightInd w:val="0"/>
        <w:spacing w:before="93"/>
        <w:ind w:left="567" w:firstLine="480"/>
        <w:rPr>
          <w:rFonts w:ascii="宋体" w:hAnsi="宋体" w:cs="宋体"/>
          <w:sz w:val="24"/>
          <w:szCs w:val="24"/>
        </w:rPr>
      </w:pPr>
      <w:r>
        <w:rPr>
          <w:rFonts w:hint="eastAsia" w:ascii="宋体" w:hAnsi="宋体" w:cs="宋体"/>
          <w:sz w:val="24"/>
          <w:szCs w:val="24"/>
        </w:rPr>
        <w:t>参加本次采购活动前三年内，在经营活动中没有重大违法记录；</w:t>
      </w:r>
    </w:p>
    <w:p>
      <w:pPr>
        <w:pStyle w:val="199"/>
        <w:numPr>
          <w:ilvl w:val="1"/>
          <w:numId w:val="37"/>
        </w:numPr>
        <w:tabs>
          <w:tab w:val="left" w:pos="1530"/>
        </w:tabs>
        <w:adjustRightInd w:val="0"/>
        <w:spacing w:before="91"/>
        <w:ind w:left="567" w:firstLine="480"/>
        <w:rPr>
          <w:rFonts w:ascii="宋体" w:hAnsi="宋体" w:cs="宋体"/>
          <w:sz w:val="24"/>
          <w:szCs w:val="24"/>
        </w:rPr>
      </w:pPr>
      <w:r>
        <w:rPr>
          <w:rFonts w:hint="eastAsia" w:ascii="宋体" w:hAnsi="宋体" w:cs="宋体"/>
          <w:sz w:val="24"/>
          <w:szCs w:val="24"/>
        </w:rPr>
        <w:t>法律、行政法规规定的其他条件：</w:t>
      </w:r>
    </w:p>
    <w:p>
      <w:pPr>
        <w:pStyle w:val="18"/>
        <w:spacing w:before="93" w:line="312" w:lineRule="auto"/>
        <w:ind w:left="328" w:right="311" w:firstLine="600"/>
        <w:rPr>
          <w:rFonts w:ascii="宋体" w:hAnsi="宋体" w:cs="宋体"/>
          <w:sz w:val="24"/>
          <w:szCs w:val="24"/>
        </w:rPr>
      </w:pPr>
      <w:r>
        <w:rPr>
          <w:rFonts w:hint="eastAsia" w:ascii="宋体" w:hAnsi="宋体" w:cs="宋体"/>
          <w:sz w:val="24"/>
          <w:szCs w:val="24"/>
        </w:rPr>
        <w:t>本项目参加政府采购活动的投标人、法定代表人/主要负责人在前 3 年内不得具有行贿犯罪记录（采取承诺制，提供虚假承诺按无效投标/中标处理）；</w:t>
      </w:r>
    </w:p>
    <w:p>
      <w:pPr>
        <w:pStyle w:val="18"/>
        <w:spacing w:line="307" w:lineRule="exact"/>
        <w:ind w:left="928"/>
        <w:rPr>
          <w:rFonts w:ascii="宋体" w:hAnsi="宋体" w:cs="宋体"/>
          <w:b/>
          <w:sz w:val="24"/>
          <w:szCs w:val="24"/>
        </w:rPr>
      </w:pPr>
      <w:r>
        <w:rPr>
          <w:rFonts w:hint="eastAsia" w:ascii="宋体" w:hAnsi="宋体" w:cs="宋体"/>
          <w:sz w:val="24"/>
          <w:szCs w:val="24"/>
        </w:rPr>
        <w:t>（二）落实政府采购政策需满足的资格要求：</w:t>
      </w:r>
      <w:r>
        <w:rPr>
          <w:rFonts w:hint="eastAsia" w:ascii="宋体" w:hAnsi="宋体" w:cs="宋体"/>
          <w:b/>
          <w:sz w:val="24"/>
          <w:szCs w:val="24"/>
        </w:rPr>
        <w:t>专门面向中小企业。</w:t>
      </w:r>
    </w:p>
    <w:p>
      <w:pPr>
        <w:pStyle w:val="18"/>
        <w:spacing w:before="93"/>
        <w:ind w:left="928"/>
        <w:rPr>
          <w:rFonts w:ascii="宋体" w:hAnsi="宋体" w:cs="宋体"/>
          <w:sz w:val="24"/>
          <w:szCs w:val="24"/>
        </w:rPr>
      </w:pPr>
      <w:r>
        <w:rPr>
          <w:rFonts w:hint="eastAsia" w:ascii="宋体" w:hAnsi="宋体" w:cs="宋体"/>
          <w:sz w:val="24"/>
          <w:szCs w:val="24"/>
        </w:rPr>
        <w:t>（三）按照本招标公告的规定获取了招标文件。</w:t>
      </w:r>
    </w:p>
    <w:p>
      <w:pPr>
        <w:pStyle w:val="2"/>
        <w:spacing w:line="360" w:lineRule="auto"/>
        <w:ind w:firstLine="960" w:firstLineChars="400"/>
        <w:rPr>
          <w:rFonts w:ascii="宋体" w:hAnsi="宋体" w:eastAsia="宋体" w:cs="宋体"/>
          <w:b/>
        </w:rPr>
      </w:pPr>
      <w:r>
        <w:rPr>
          <w:rFonts w:hint="eastAsia" w:ascii="宋体" w:hAnsi="宋体" w:eastAsia="宋体" w:cs="宋体"/>
        </w:rPr>
        <w:t>（四）根据项目特殊要求设置的特定条件：</w:t>
      </w:r>
      <w:r>
        <w:rPr>
          <w:rFonts w:hint="eastAsia" w:ascii="宋体" w:hAnsi="宋体"/>
        </w:rPr>
        <w:t>投标人具有会计师事务所营业执照证书或工程造价咨询企业营业执照证书且证书在有效期内。</w:t>
      </w:r>
    </w:p>
    <w:p>
      <w:pPr>
        <w:pStyle w:val="18"/>
        <w:ind w:firstLine="960" w:firstLineChars="400"/>
        <w:rPr>
          <w:rFonts w:ascii="宋体" w:hAnsi="宋体" w:cs="宋体"/>
          <w:sz w:val="24"/>
          <w:szCs w:val="24"/>
        </w:rPr>
      </w:pPr>
      <w:r>
        <w:rPr>
          <w:rFonts w:hint="eastAsia" w:ascii="宋体" w:hAnsi="宋体" w:cs="宋体"/>
          <w:sz w:val="24"/>
          <w:szCs w:val="24"/>
        </w:rPr>
        <w:t>（五）本项目不接受联合体投标。</w:t>
      </w:r>
    </w:p>
    <w:p>
      <w:pPr>
        <w:pStyle w:val="8"/>
        <w:numPr>
          <w:ilvl w:val="5"/>
          <w:numId w:val="0"/>
        </w:numPr>
        <w:spacing w:line="328" w:lineRule="auto"/>
        <w:ind w:left="223" w:leftChars="106" w:right="280"/>
        <w:rPr>
          <w:rFonts w:ascii="Calibri" w:hAnsi="Calibri"/>
          <w:bCs w:val="0"/>
          <w:kern w:val="2"/>
          <w:sz w:val="24"/>
          <w:szCs w:val="22"/>
        </w:rPr>
      </w:pPr>
      <w:r>
        <w:t>注：</w:t>
      </w:r>
      <w:r>
        <w:rPr>
          <w:rFonts w:ascii="Calibri" w:hAnsi="Calibri"/>
          <w:bCs w:val="0"/>
          <w:kern w:val="2"/>
          <w:sz w:val="24"/>
          <w:szCs w:val="22"/>
        </w:rPr>
        <w:t>1、重大违法记录是指供应商因违法经营受到刑事处罚或者责令停产停业、吊销许可证或者执照、较大数额罚款等行政处罚。</w:t>
      </w:r>
    </w:p>
    <w:p>
      <w:pPr>
        <w:spacing w:line="328" w:lineRule="auto"/>
        <w:ind w:left="328" w:right="277" w:firstLine="482" w:firstLineChars="200"/>
        <w:rPr>
          <w:b/>
          <w:sz w:val="24"/>
        </w:rPr>
      </w:pPr>
      <w:r>
        <w:rPr>
          <w:b/>
          <w:sz w:val="24"/>
        </w:rPr>
        <w:t>2、本项目确定供应商重大违法记录中较大数额罚款的金额标准为：省内较大数额是</w:t>
      </w:r>
      <w:r>
        <w:rPr>
          <w:b/>
          <w:spacing w:val="-1"/>
          <w:sz w:val="24"/>
        </w:rPr>
        <w:t xml:space="preserve">指对在经营活动中的违法行为处以罚款或者没收财产 </w:t>
      </w:r>
      <w:r>
        <w:rPr>
          <w:b/>
          <w:sz w:val="24"/>
        </w:rPr>
        <w:t>5</w:t>
      </w:r>
      <w:r>
        <w:rPr>
          <w:b/>
          <w:spacing w:val="-3"/>
          <w:sz w:val="24"/>
        </w:rPr>
        <w:t xml:space="preserve"> 万元以上；省外较大数额的标准应以作出行政处罚地域的政府规定为准；</w:t>
      </w:r>
    </w:p>
    <w:p>
      <w:pPr>
        <w:spacing w:line="328" w:lineRule="auto"/>
        <w:ind w:left="328" w:right="277" w:firstLine="482" w:firstLineChars="200"/>
        <w:rPr>
          <w:b/>
          <w:sz w:val="24"/>
        </w:rPr>
      </w:pPr>
      <w:r>
        <w:rPr>
          <w:b/>
          <w:sz w:val="24"/>
        </w:rPr>
        <w:t>3、供应商在参加政府采购活动前，被纳入法院、工商行政管理部门、税务部门、银</w:t>
      </w:r>
      <w:r>
        <w:rPr>
          <w:b/>
          <w:w w:val="95"/>
          <w:sz w:val="24"/>
        </w:rPr>
        <w:t xml:space="preserve">行认定的失信名单且在有效期内，或者在前三年政府采购合同履约过程中及其他经  营活动履约过程中未依法履约被有关行政部门处罚（处理）的，本项目不认定其具  </w:t>
      </w:r>
      <w:r>
        <w:rPr>
          <w:b/>
          <w:sz w:val="24"/>
        </w:rPr>
        <w:t>有良好的商业信誉。</w:t>
      </w:r>
    </w:p>
    <w:p>
      <w:pPr>
        <w:spacing w:line="328" w:lineRule="auto"/>
        <w:rPr>
          <w:sz w:val="24"/>
        </w:rPr>
      </w:pPr>
    </w:p>
    <w:p>
      <w:pPr>
        <w:pStyle w:val="2"/>
        <w:rPr>
          <w:rFonts w:eastAsia="宋体"/>
        </w:rPr>
      </w:pPr>
    </w:p>
    <w:p>
      <w:pPr>
        <w:pStyle w:val="2"/>
        <w:rPr>
          <w:rFonts w:eastAsia="宋体"/>
        </w:rPr>
      </w:pPr>
    </w:p>
    <w:p>
      <w:pPr>
        <w:pStyle w:val="2"/>
        <w:rPr>
          <w:rFonts w:eastAsia="宋体"/>
        </w:rPr>
      </w:pPr>
    </w:p>
    <w:p>
      <w:pPr>
        <w:pStyle w:val="3"/>
        <w:ind w:left="1900" w:hanging="1480"/>
      </w:pPr>
      <w:bookmarkStart w:id="246" w:name="_Toc25996"/>
      <w:r>
        <w:t>投标人应当提供的资格、资质性及其他类似效力要求的相关证明材料</w:t>
      </w:r>
      <w:bookmarkEnd w:id="246"/>
    </w:p>
    <w:p>
      <w:pPr>
        <w:spacing w:before="307"/>
        <w:ind w:left="328"/>
        <w:jc w:val="left"/>
        <w:rPr>
          <w:b/>
          <w:sz w:val="24"/>
        </w:rPr>
      </w:pPr>
      <w:bookmarkStart w:id="247" w:name="一、应当提供的投标人资格、资质性及其他类似效力要求的相关证明材料"/>
      <w:bookmarkEnd w:id="247"/>
      <w:r>
        <w:rPr>
          <w:b/>
          <w:sz w:val="24"/>
        </w:rPr>
        <w:t>一、应当提供的投标人资格、资质性及其他类似效力要求的相关证明材料</w:t>
      </w:r>
    </w:p>
    <w:p>
      <w:pPr>
        <w:pStyle w:val="18"/>
        <w:spacing w:before="5"/>
        <w:rPr>
          <w:b/>
          <w:sz w:val="29"/>
        </w:rPr>
      </w:pPr>
    </w:p>
    <w:p>
      <w:pPr>
        <w:pStyle w:val="199"/>
        <w:numPr>
          <w:ilvl w:val="0"/>
          <w:numId w:val="38"/>
        </w:numPr>
        <w:spacing w:line="343" w:lineRule="auto"/>
        <w:ind w:right="311" w:firstLine="480"/>
        <w:rPr>
          <w:sz w:val="24"/>
        </w:rPr>
      </w:pPr>
      <w:r>
        <w:rPr>
          <w:sz w:val="24"/>
        </w:rPr>
        <w:t>具有独立承担民事责任的能力。（提交“统一社会信用代码的营业执照”未换</w:t>
      </w:r>
      <w:r>
        <w:rPr>
          <w:spacing w:val="3"/>
          <w:sz w:val="24"/>
        </w:rPr>
        <w:t>证的提交“营业执照、组织机构代码证、税务登记证”；事业法人：提交“统一社</w:t>
      </w:r>
      <w:r>
        <w:rPr>
          <w:spacing w:val="2"/>
          <w:sz w:val="24"/>
        </w:rPr>
        <w:t>会信用代码的事业单位法人证书”未换证的提交“事业单位法人证书和组织机构代</w:t>
      </w:r>
      <w:r>
        <w:rPr>
          <w:spacing w:val="3"/>
          <w:sz w:val="24"/>
        </w:rPr>
        <w:t>码证”；其他组织：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提交“统一</w:t>
      </w:r>
      <w:r>
        <w:rPr>
          <w:spacing w:val="11"/>
          <w:sz w:val="24"/>
        </w:rPr>
        <w:t>社会信用代码的营业执照”或“营业执照、税务登记证”； 自然人：提交身份证。）；</w:t>
      </w:r>
    </w:p>
    <w:p>
      <w:pPr>
        <w:pStyle w:val="199"/>
        <w:numPr>
          <w:ilvl w:val="0"/>
          <w:numId w:val="38"/>
        </w:numPr>
        <w:tabs>
          <w:tab w:val="left" w:pos="956"/>
        </w:tabs>
        <w:spacing w:before="3" w:line="343" w:lineRule="auto"/>
        <w:ind w:right="311" w:firstLine="508"/>
        <w:rPr>
          <w:spacing w:val="3"/>
          <w:sz w:val="24"/>
        </w:rPr>
      </w:pPr>
      <w:r>
        <w:rPr>
          <w:spacing w:val="7"/>
          <w:sz w:val="24"/>
        </w:rPr>
        <w:t>具有良好的商业信誉和健全的财务会计制度。</w:t>
      </w:r>
      <w:r>
        <w:rPr>
          <w:spacing w:val="9"/>
          <w:sz w:val="24"/>
        </w:rPr>
        <w:t>（</w:t>
      </w:r>
      <w:r>
        <w:rPr>
          <w:spacing w:val="6"/>
          <w:sz w:val="24"/>
        </w:rPr>
        <w:t>良好的商业信誉可提供承诺</w:t>
      </w:r>
      <w:r>
        <w:rPr>
          <w:spacing w:val="4"/>
          <w:sz w:val="24"/>
        </w:rPr>
        <w:t>函，格式详见第三章格式文件“资格性投标文件”格式二</w:t>
      </w:r>
      <w:r>
        <w:rPr>
          <w:spacing w:val="7"/>
          <w:sz w:val="24"/>
        </w:rPr>
        <w:t>（</w:t>
      </w:r>
      <w:r>
        <w:rPr>
          <w:spacing w:val="5"/>
          <w:sz w:val="24"/>
        </w:rPr>
        <w:t>原件</w:t>
      </w:r>
      <w:r>
        <w:rPr>
          <w:spacing w:val="4"/>
          <w:sz w:val="24"/>
        </w:rPr>
        <w:t>）</w:t>
      </w:r>
      <w:r>
        <w:rPr>
          <w:spacing w:val="3"/>
          <w:sz w:val="24"/>
        </w:rPr>
        <w:t>；投标人注册时间截至投标文件递交截止日不足一年的，提供银行开户证明材料或工商备案章程复</w:t>
      </w:r>
      <w:r>
        <w:rPr>
          <w:spacing w:val="5"/>
          <w:sz w:val="24"/>
        </w:rPr>
        <w:t xml:space="preserve">印件；投标人注册时间截至投标文件递交截止日超过一年的企业提供 </w:t>
      </w:r>
      <w:r>
        <w:rPr>
          <w:sz w:val="24"/>
        </w:rPr>
        <w:t>2019</w:t>
      </w:r>
      <w:r>
        <w:rPr>
          <w:spacing w:val="-8"/>
          <w:sz w:val="24"/>
        </w:rPr>
        <w:t xml:space="preserve"> 年度或</w:t>
      </w:r>
      <w:r>
        <w:rPr>
          <w:spacing w:val="3"/>
          <w:sz w:val="24"/>
        </w:rPr>
        <w:t>2020 年度经审计的财务报告复印件（包含审计报告和审计报告中所涉及的财务报表和报表附注）或提供 2019 年度或 2020 年度供应商内部自制的全套财务报表复印件（至少包括资产负债表、利润表、现金流量表）或提供截至投标文件递交截止日一年内银行出具的资信证明（复印件）；事业单位可提供财务会计制度管理文件复印件。（说明：不得要求提供证明财务报告中签字签章人或者第三方机构的身份证明、财务报告中数据信息真实性有效性的证明材料）</w:t>
      </w:r>
    </w:p>
    <w:p>
      <w:pPr>
        <w:pStyle w:val="199"/>
        <w:numPr>
          <w:ilvl w:val="0"/>
          <w:numId w:val="38"/>
        </w:numPr>
        <w:spacing w:line="343" w:lineRule="auto"/>
        <w:ind w:right="313" w:firstLine="480"/>
        <w:rPr>
          <w:sz w:val="24"/>
        </w:rPr>
      </w:pPr>
      <w:r>
        <w:rPr>
          <w:sz w:val="24"/>
        </w:rPr>
        <w:t>具有履行合同所必须的设备和专业技术能力。（可提供承诺函，格式详见第三章格式文件“资格性投标文件”格式二（原件））</w:t>
      </w:r>
    </w:p>
    <w:p>
      <w:pPr>
        <w:pStyle w:val="199"/>
        <w:numPr>
          <w:ilvl w:val="0"/>
          <w:numId w:val="38"/>
        </w:numPr>
        <w:ind w:left="90" w:leftChars="43" w:firstLine="748" w:firstLineChars="312"/>
        <w:rPr>
          <w:sz w:val="24"/>
        </w:rPr>
      </w:pPr>
      <w:r>
        <w:rPr>
          <w:sz w:val="24"/>
        </w:rPr>
        <w:t>具有依法缴纳税收和社会保障资金的良好记录。（可提供承诺函，格式详见第三章格式文件“资格性投标文件”格式二（原件））</w:t>
      </w:r>
    </w:p>
    <w:p>
      <w:pPr>
        <w:pStyle w:val="199"/>
        <w:numPr>
          <w:ilvl w:val="0"/>
          <w:numId w:val="38"/>
        </w:numPr>
        <w:spacing w:before="21" w:line="242" w:lineRule="auto"/>
        <w:ind w:right="313" w:firstLine="480"/>
        <w:rPr>
          <w:sz w:val="24"/>
        </w:rPr>
      </w:pPr>
      <w:r>
        <w:rPr>
          <w:sz w:val="24"/>
        </w:rPr>
        <w:t>参加本次政府采购活动前三年内，在经营活动中没有重大违法记录。（可提供承诺函，格式详见第三章格式文件“资格性投标文件”格式二（原件）</w:t>
      </w:r>
      <w:r>
        <w:rPr>
          <w:rFonts w:hint="eastAsia"/>
          <w:sz w:val="24"/>
        </w:rPr>
        <w:t>）</w:t>
      </w:r>
    </w:p>
    <w:p>
      <w:pPr>
        <w:pStyle w:val="199"/>
        <w:tabs>
          <w:tab w:val="left" w:pos="934"/>
        </w:tabs>
        <w:spacing w:before="21" w:line="242" w:lineRule="auto"/>
        <w:ind w:right="313" w:firstLine="0" w:firstLineChars="0"/>
        <w:jc w:val="left"/>
        <w:rPr>
          <w:sz w:val="24"/>
        </w:rPr>
      </w:pPr>
    </w:p>
    <w:p>
      <w:pPr>
        <w:pStyle w:val="199"/>
        <w:numPr>
          <w:ilvl w:val="0"/>
          <w:numId w:val="38"/>
        </w:numPr>
        <w:spacing w:before="66" w:line="242" w:lineRule="auto"/>
        <w:ind w:right="313" w:firstLine="480"/>
        <w:rPr>
          <w:sz w:val="24"/>
        </w:rPr>
      </w:pPr>
      <w:r>
        <w:rPr>
          <w:sz w:val="24"/>
        </w:rPr>
        <w:t>法律、行政法规规定的其他条件。（可提供承诺函，格式详见第三章格式文件“资格性投标文件”格式二（原件））</w:t>
      </w:r>
    </w:p>
    <w:p>
      <w:pPr>
        <w:pStyle w:val="199"/>
        <w:numPr>
          <w:ilvl w:val="0"/>
          <w:numId w:val="38"/>
        </w:numPr>
        <w:spacing w:before="120" w:line="242" w:lineRule="auto"/>
        <w:ind w:right="311" w:firstLine="496"/>
        <w:rPr>
          <w:sz w:val="24"/>
        </w:rPr>
      </w:pPr>
      <w:r>
        <w:rPr>
          <w:spacing w:val="4"/>
          <w:sz w:val="24"/>
        </w:rPr>
        <w:t>本项目参加政府采购活动的投标人、法定代表人</w:t>
      </w:r>
      <w:r>
        <w:rPr>
          <w:spacing w:val="-4"/>
          <w:sz w:val="24"/>
        </w:rPr>
        <w:t xml:space="preserve">在前 </w:t>
      </w:r>
      <w:r>
        <w:rPr>
          <w:sz w:val="24"/>
        </w:rPr>
        <w:t>3</w:t>
      </w:r>
      <w:r>
        <w:rPr>
          <w:spacing w:val="-9"/>
          <w:sz w:val="24"/>
        </w:rPr>
        <w:t xml:space="preserve"> 年内不得</w:t>
      </w:r>
      <w:r>
        <w:rPr>
          <w:spacing w:val="12"/>
          <w:sz w:val="24"/>
        </w:rPr>
        <w:t>具有行贿犯罪记录。（</w:t>
      </w:r>
      <w:r>
        <w:rPr>
          <w:spacing w:val="11"/>
          <w:sz w:val="24"/>
        </w:rPr>
        <w:t>可提供承诺函，格式详见第三章格式文件“资格性投标文件”格式二（原件））</w:t>
      </w:r>
    </w:p>
    <w:p>
      <w:pPr>
        <w:pStyle w:val="199"/>
        <w:numPr>
          <w:ilvl w:val="0"/>
          <w:numId w:val="38"/>
        </w:numPr>
        <w:spacing w:before="120" w:line="242" w:lineRule="auto"/>
        <w:ind w:right="311" w:firstLine="480"/>
      </w:pPr>
      <w:r>
        <w:rPr>
          <w:rFonts w:hint="eastAsia"/>
          <w:sz w:val="24"/>
        </w:rPr>
        <w:t>根据项目特殊要求设置的特定条件：专门面向中小企业函</w:t>
      </w:r>
    </w:p>
    <w:p>
      <w:pPr>
        <w:pStyle w:val="199"/>
        <w:numPr>
          <w:ilvl w:val="0"/>
          <w:numId w:val="38"/>
        </w:numPr>
        <w:tabs>
          <w:tab w:val="left" w:pos="840"/>
        </w:tabs>
        <w:spacing w:before="122"/>
        <w:ind w:left="220" w:firstLine="619" w:firstLineChars="258"/>
        <w:rPr>
          <w:sz w:val="24"/>
        </w:rPr>
      </w:pPr>
      <w:r>
        <w:rPr>
          <w:sz w:val="24"/>
        </w:rPr>
        <w:t>法定代表人授权</w:t>
      </w:r>
      <w:r>
        <w:rPr>
          <w:rFonts w:hint="eastAsia"/>
          <w:sz w:val="24"/>
          <w:lang w:val="en-US" w:eastAsia="zh-CN"/>
        </w:rPr>
        <w:t>委托</w:t>
      </w:r>
      <w:r>
        <w:rPr>
          <w:sz w:val="24"/>
        </w:rPr>
        <w:t>书原件（非法定代表人直接投标适用）。</w:t>
      </w:r>
    </w:p>
    <w:p>
      <w:pPr>
        <w:pStyle w:val="199"/>
        <w:numPr>
          <w:ilvl w:val="0"/>
          <w:numId w:val="38"/>
        </w:numPr>
        <w:tabs>
          <w:tab w:val="left" w:pos="1056"/>
        </w:tabs>
        <w:spacing w:before="125" w:line="242" w:lineRule="auto"/>
        <w:ind w:right="313" w:firstLine="480"/>
        <w:rPr>
          <w:sz w:val="24"/>
        </w:rPr>
      </w:pPr>
      <w:r>
        <w:rPr>
          <w:sz w:val="24"/>
        </w:rPr>
        <w:t>法定代表人</w:t>
      </w:r>
      <w:r>
        <w:rPr>
          <w:rFonts w:hint="eastAsia"/>
          <w:sz w:val="24"/>
          <w:lang w:val="en-US" w:eastAsia="zh-CN"/>
        </w:rPr>
        <w:t>身份</w:t>
      </w:r>
      <w:r>
        <w:rPr>
          <w:sz w:val="24"/>
        </w:rPr>
        <w:t>证明书</w:t>
      </w:r>
      <w:r>
        <w:rPr>
          <w:rFonts w:hint="eastAsia"/>
          <w:sz w:val="24"/>
          <w:lang w:val="en-US" w:eastAsia="zh-CN"/>
        </w:rPr>
        <w:t>原件</w:t>
      </w:r>
      <w:r>
        <w:rPr>
          <w:sz w:val="24"/>
        </w:rPr>
        <w:t>（法定代表人直接参与投标并签署投标文件时才须提供）。</w:t>
      </w:r>
    </w:p>
    <w:p>
      <w:pPr>
        <w:pStyle w:val="199"/>
        <w:numPr>
          <w:ilvl w:val="0"/>
          <w:numId w:val="38"/>
        </w:numPr>
        <w:spacing w:before="120"/>
        <w:ind w:left="420" w:leftChars="200" w:firstLine="420" w:firstLineChars="175"/>
        <w:rPr>
          <w:sz w:val="24"/>
        </w:rPr>
        <w:sectPr>
          <w:pgSz w:w="11910" w:h="16840"/>
          <w:pgMar w:top="1580" w:right="1160" w:bottom="1860" w:left="1260" w:header="0" w:footer="1609" w:gutter="0"/>
          <w:cols w:space="720" w:num="1"/>
        </w:sectPr>
      </w:pPr>
      <w:r>
        <w:rPr>
          <w:sz w:val="24"/>
        </w:rPr>
        <w:t>法定代表人身份证复印件。授权代表身份证复印件（非法定代表人/单位负责人直接投标适用）。</w:t>
      </w:r>
    </w:p>
    <w:p>
      <w:pPr>
        <w:pStyle w:val="3"/>
        <w:adjustRightInd w:val="0"/>
        <w:snapToGrid w:val="0"/>
        <w:spacing w:line="360" w:lineRule="auto"/>
        <w:ind w:left="665" w:firstLine="0"/>
        <w:rPr>
          <w:spacing w:val="0"/>
        </w:rPr>
      </w:pPr>
      <w:bookmarkStart w:id="248" w:name="_Toc13897"/>
      <w:bookmarkStart w:id="249" w:name="_Toc18333"/>
      <w:bookmarkStart w:id="250" w:name="_Toc66192171"/>
      <w:bookmarkStart w:id="251" w:name="_Toc31571"/>
      <w:bookmarkStart w:id="252" w:name="_Toc15133"/>
      <w:bookmarkStart w:id="253" w:name="_Toc27626"/>
      <w:r>
        <w:rPr>
          <w:rFonts w:hint="eastAsia"/>
          <w:spacing w:val="0"/>
        </w:rPr>
        <w:t>招标项目服务、商务及其他要求</w:t>
      </w:r>
      <w:bookmarkEnd w:id="242"/>
      <w:bookmarkEnd w:id="248"/>
      <w:bookmarkEnd w:id="249"/>
      <w:bookmarkEnd w:id="250"/>
      <w:bookmarkEnd w:id="251"/>
      <w:bookmarkEnd w:id="252"/>
      <w:bookmarkEnd w:id="253"/>
    </w:p>
    <w:p>
      <w:pPr>
        <w:pStyle w:val="4"/>
        <w:tabs>
          <w:tab w:val="left" w:pos="426"/>
          <w:tab w:val="left" w:pos="567"/>
        </w:tabs>
        <w:spacing w:before="0" w:after="0"/>
        <w:ind w:left="3806" w:hanging="3596"/>
        <w:jc w:val="both"/>
      </w:pPr>
      <w:bookmarkStart w:id="254" w:name="_Toc65757368"/>
      <w:bookmarkStart w:id="255" w:name="_Toc66192172"/>
      <w:bookmarkStart w:id="256" w:name="_Toc13946"/>
      <w:bookmarkStart w:id="257" w:name="_Toc30059"/>
      <w:bookmarkStart w:id="258" w:name="_Toc5110"/>
      <w:bookmarkStart w:id="259" w:name="_Toc25157"/>
      <w:bookmarkStart w:id="260" w:name="_Toc16141"/>
      <w:r>
        <w:rPr>
          <w:rFonts w:hint="eastAsia"/>
        </w:rPr>
        <w:t>项目名称</w:t>
      </w:r>
      <w:bookmarkEnd w:id="254"/>
      <w:bookmarkEnd w:id="255"/>
      <w:bookmarkEnd w:id="256"/>
      <w:bookmarkEnd w:id="257"/>
      <w:bookmarkEnd w:id="258"/>
      <w:bookmarkEnd w:id="259"/>
      <w:bookmarkEnd w:id="260"/>
    </w:p>
    <w:p>
      <w:pPr>
        <w:pStyle w:val="186"/>
        <w:ind w:firstLine="480"/>
        <w:rPr>
          <w:rFonts w:ascii="宋体" w:hAnsi="宋体" w:cs="仿宋"/>
          <w:bCs/>
          <w:sz w:val="24"/>
        </w:rPr>
      </w:pPr>
      <w:r>
        <w:rPr>
          <w:rFonts w:hint="eastAsia" w:ascii="宋体" w:hAnsi="宋体" w:cs="仿宋"/>
          <w:bCs/>
          <w:sz w:val="24"/>
        </w:rPr>
        <w:t>成都市龙泉驿区审计局审计服务采购项目（第三次）</w:t>
      </w:r>
    </w:p>
    <w:p>
      <w:pPr>
        <w:pStyle w:val="4"/>
        <w:tabs>
          <w:tab w:val="left" w:pos="426"/>
          <w:tab w:val="left" w:pos="567"/>
        </w:tabs>
        <w:spacing w:before="0" w:after="0"/>
        <w:ind w:left="3806" w:hanging="3596"/>
        <w:jc w:val="both"/>
      </w:pPr>
      <w:bookmarkStart w:id="261" w:name="_Toc24959"/>
      <w:bookmarkStart w:id="262" w:name="_Toc23628"/>
      <w:bookmarkStart w:id="263" w:name="_Toc7742"/>
      <w:bookmarkStart w:id="264" w:name="_Toc7857"/>
      <w:bookmarkStart w:id="265" w:name="_Toc66192173"/>
      <w:bookmarkStart w:id="266" w:name="_Toc65757369"/>
      <w:bookmarkStart w:id="267" w:name="_Toc18852"/>
      <w:r>
        <w:rPr>
          <w:rFonts w:hint="eastAsia"/>
        </w:rPr>
        <w:t>项目服务内容</w:t>
      </w:r>
      <w:bookmarkEnd w:id="261"/>
      <w:bookmarkEnd w:id="262"/>
      <w:bookmarkEnd w:id="263"/>
      <w:bookmarkEnd w:id="264"/>
      <w:bookmarkEnd w:id="265"/>
      <w:bookmarkEnd w:id="266"/>
      <w:bookmarkEnd w:id="267"/>
    </w:p>
    <w:p>
      <w:pPr>
        <w:pStyle w:val="186"/>
        <w:ind w:firstLine="480"/>
        <w:rPr>
          <w:rFonts w:ascii="宋体" w:hAnsi="宋体" w:cs="仿宋"/>
          <w:bCs/>
          <w:sz w:val="24"/>
        </w:rPr>
      </w:pPr>
      <w:r>
        <w:rPr>
          <w:rFonts w:hint="eastAsia" w:ascii="宋体" w:hAnsi="宋体" w:cs="仿宋"/>
          <w:bCs/>
          <w:sz w:val="24"/>
        </w:rPr>
        <w:t>为持续落实新形势下审计全覆盖，拓宽审计监督工作面，充分发挥审计在地区经济发展中的免疫系统功能，进一步提升审计工作的质量和效率，现拟通过招标方式确定一名投标人，承担龙泉驿区审计服务采购项目。</w:t>
      </w:r>
    </w:p>
    <w:p>
      <w:pPr>
        <w:pStyle w:val="4"/>
        <w:tabs>
          <w:tab w:val="left" w:pos="426"/>
          <w:tab w:val="left" w:pos="567"/>
        </w:tabs>
        <w:spacing w:before="0" w:after="0"/>
        <w:ind w:left="3806" w:hanging="3596"/>
        <w:jc w:val="both"/>
      </w:pPr>
      <w:bookmarkStart w:id="268" w:name="_Toc15394"/>
      <w:bookmarkStart w:id="269" w:name="_Toc65757370"/>
      <w:bookmarkStart w:id="270" w:name="_Toc29577"/>
      <w:bookmarkStart w:id="271" w:name="_Toc66192174"/>
      <w:bookmarkStart w:id="272" w:name="_Toc11680"/>
      <w:bookmarkStart w:id="273" w:name="_Toc26781"/>
      <w:bookmarkStart w:id="274" w:name="_Toc14387"/>
      <w:r>
        <w:rPr>
          <w:rFonts w:hint="eastAsia"/>
        </w:rPr>
        <w:t>服务要求</w:t>
      </w:r>
      <w:bookmarkEnd w:id="268"/>
      <w:bookmarkEnd w:id="269"/>
      <w:bookmarkEnd w:id="270"/>
      <w:bookmarkEnd w:id="271"/>
      <w:bookmarkEnd w:id="272"/>
      <w:bookmarkEnd w:id="273"/>
      <w:bookmarkEnd w:id="274"/>
    </w:p>
    <w:p>
      <w:pPr>
        <w:spacing w:line="360" w:lineRule="auto"/>
        <w:ind w:firstLine="480" w:firstLineChars="200"/>
        <w:rPr>
          <w:rFonts w:ascii="宋体" w:hAnsi="宋体" w:cs="黑体"/>
          <w:sz w:val="24"/>
        </w:rPr>
      </w:pPr>
      <w:r>
        <w:rPr>
          <w:rFonts w:hint="eastAsia" w:ascii="宋体" w:hAnsi="宋体" w:cs="黑体"/>
          <w:sz w:val="24"/>
        </w:rPr>
        <w:t>1、总体</w:t>
      </w:r>
      <w:r>
        <w:rPr>
          <w:rFonts w:ascii="宋体" w:hAnsi="宋体" w:cs="黑体"/>
          <w:sz w:val="24"/>
        </w:rPr>
        <w:t>要求</w:t>
      </w:r>
    </w:p>
    <w:p>
      <w:pPr>
        <w:spacing w:line="360" w:lineRule="auto"/>
        <w:ind w:firstLine="480" w:firstLineChars="200"/>
        <w:rPr>
          <w:rFonts w:ascii="宋体" w:hAnsi="宋体" w:cs="黑体"/>
          <w:sz w:val="24"/>
        </w:rPr>
      </w:pPr>
      <w:r>
        <w:rPr>
          <w:rFonts w:hint="eastAsia" w:ascii="宋体" w:hAnsi="宋体" w:cs="黑体"/>
          <w:sz w:val="24"/>
        </w:rPr>
        <w:t>（1）协助审计局开展区级及部门预算执行和其他财政收支情况审计、党政领导干部和区属国有企业法定代表人任期经济责任审计、政府投资项目审计。</w:t>
      </w:r>
    </w:p>
    <w:p>
      <w:pPr>
        <w:spacing w:line="360" w:lineRule="auto"/>
        <w:ind w:firstLine="480" w:firstLineChars="200"/>
        <w:rPr>
          <w:rFonts w:ascii="宋体" w:hAnsi="宋体" w:cs="黑体"/>
          <w:sz w:val="24"/>
        </w:rPr>
      </w:pPr>
      <w:r>
        <w:rPr>
          <w:rFonts w:hint="eastAsia" w:ascii="宋体" w:hAnsi="宋体" w:cs="黑体"/>
          <w:sz w:val="24"/>
        </w:rPr>
        <w:t>（2）负责做好承担审计项目的审计文书管理、审计档案管理等工作；</w:t>
      </w:r>
    </w:p>
    <w:p>
      <w:pPr>
        <w:spacing w:line="360" w:lineRule="auto"/>
        <w:ind w:firstLine="480" w:firstLineChars="200"/>
        <w:rPr>
          <w:rFonts w:ascii="宋体" w:hAnsi="宋体" w:cs="黑体"/>
          <w:sz w:val="24"/>
        </w:rPr>
      </w:pPr>
      <w:r>
        <w:rPr>
          <w:rFonts w:hint="eastAsia" w:ascii="宋体" w:hAnsi="宋体" w:cs="黑体"/>
          <w:sz w:val="24"/>
        </w:rPr>
        <w:t>（3）完成审计局交办的其他工作。</w:t>
      </w:r>
    </w:p>
    <w:p>
      <w:pPr>
        <w:spacing w:line="360" w:lineRule="auto"/>
        <w:ind w:firstLine="480" w:firstLineChars="200"/>
        <w:rPr>
          <w:rFonts w:ascii="宋体" w:hAnsi="宋体" w:cs="黑体"/>
          <w:sz w:val="24"/>
        </w:rPr>
      </w:pPr>
      <w:r>
        <w:rPr>
          <w:rFonts w:hint="eastAsia" w:ascii="宋体" w:hAnsi="宋体" w:cs="黑体"/>
          <w:sz w:val="24"/>
        </w:rPr>
        <w:t>2、人员</w:t>
      </w:r>
      <w:r>
        <w:rPr>
          <w:rFonts w:ascii="宋体" w:hAnsi="宋体" w:cs="黑体"/>
          <w:sz w:val="24"/>
        </w:rPr>
        <w:t>要求</w:t>
      </w:r>
    </w:p>
    <w:p>
      <w:pPr>
        <w:spacing w:line="360" w:lineRule="auto"/>
        <w:ind w:firstLine="480" w:firstLineChars="200"/>
        <w:rPr>
          <w:rFonts w:ascii="宋体" w:hAnsi="宋体" w:cs="黑体"/>
          <w:sz w:val="24"/>
          <w:highlight w:val="none"/>
        </w:rPr>
      </w:pPr>
      <w:r>
        <w:rPr>
          <w:rFonts w:hint="eastAsia" w:ascii="宋体" w:hAnsi="宋体" w:cs="黑体"/>
          <w:sz w:val="24"/>
        </w:rPr>
        <w:t>投标人应提供14名工作人员派驻审计局承担以上工作（不再承担原单位工作）。</w:t>
      </w:r>
      <w:r>
        <w:rPr>
          <w:rFonts w:hint="eastAsia" w:ascii="宋体" w:hAnsi="宋体" w:cs="黑体"/>
          <w:sz w:val="24"/>
          <w:highlight w:val="none"/>
        </w:rPr>
        <w:t>其中：</w:t>
      </w:r>
    </w:p>
    <w:p>
      <w:pPr>
        <w:spacing w:line="360" w:lineRule="auto"/>
        <w:ind w:firstLine="480" w:firstLineChars="200"/>
        <w:rPr>
          <w:rFonts w:ascii="宋体" w:hAnsi="宋体" w:cs="黑体"/>
          <w:color w:val="000000" w:themeColor="text1"/>
          <w:sz w:val="24"/>
          <w:highlight w:val="none"/>
        </w:rPr>
      </w:pPr>
      <w:r>
        <w:rPr>
          <w:rFonts w:hint="eastAsia" w:ascii="宋体" w:hAnsi="宋体" w:cs="黑体"/>
          <w:color w:val="000000" w:themeColor="text1"/>
          <w:sz w:val="24"/>
          <w:highlight w:val="none"/>
        </w:rPr>
        <w:t>（1）在本单位工作2年以上，且具有行政机关、事业单位、社会团体、财政财务收支审计工作经验或党政领导干部或国有企业领导经济责任审计工作经验或政府投资建设项目竣工决算审计工作经验的人员不低于服务人数总数的70%；</w:t>
      </w:r>
    </w:p>
    <w:p>
      <w:pPr>
        <w:spacing w:line="360" w:lineRule="auto"/>
        <w:ind w:firstLine="480" w:firstLineChars="200"/>
        <w:rPr>
          <w:rFonts w:ascii="宋体" w:hAnsi="宋体" w:cs="黑体"/>
          <w:color w:val="000000" w:themeColor="text1"/>
          <w:sz w:val="24"/>
          <w:highlight w:val="none"/>
        </w:rPr>
      </w:pPr>
      <w:r>
        <w:rPr>
          <w:rFonts w:hint="eastAsia" w:ascii="宋体" w:hAnsi="宋体" w:cs="黑体"/>
          <w:color w:val="000000" w:themeColor="text1"/>
          <w:sz w:val="24"/>
          <w:highlight w:val="none"/>
        </w:rPr>
        <w:t>（2）具备会计、经济、审计、工程方面专业初级及以上技术职称人员不低于服务人数总数的</w:t>
      </w:r>
      <w:r>
        <w:rPr>
          <w:rFonts w:ascii="宋体" w:hAnsi="宋体" w:cs="黑体"/>
          <w:color w:val="000000" w:themeColor="text1"/>
          <w:sz w:val="24"/>
          <w:highlight w:val="none"/>
        </w:rPr>
        <w:t>6</w:t>
      </w:r>
      <w:r>
        <w:rPr>
          <w:rFonts w:hint="eastAsia" w:ascii="宋体" w:hAnsi="宋体" w:cs="黑体"/>
          <w:color w:val="000000" w:themeColor="text1"/>
          <w:sz w:val="24"/>
          <w:highlight w:val="none"/>
        </w:rPr>
        <w:t>0%；</w:t>
      </w:r>
    </w:p>
    <w:p>
      <w:pPr>
        <w:spacing w:line="360" w:lineRule="auto"/>
        <w:ind w:firstLine="480" w:firstLineChars="200"/>
        <w:rPr>
          <w:rFonts w:ascii="宋体" w:hAnsi="宋体" w:cs="黑体"/>
          <w:color w:val="000000" w:themeColor="text1"/>
          <w:sz w:val="24"/>
          <w:highlight w:val="none"/>
        </w:rPr>
      </w:pPr>
      <w:r>
        <w:rPr>
          <w:rFonts w:hint="eastAsia" w:ascii="宋体" w:hAnsi="宋体" w:cs="黑体"/>
          <w:color w:val="000000" w:themeColor="text1"/>
          <w:sz w:val="24"/>
          <w:highlight w:val="none"/>
        </w:rPr>
        <w:t>（3）具备造价员资格或二级建造师及以上执业资格人员不低于服务人数总数的</w:t>
      </w:r>
      <w:r>
        <w:rPr>
          <w:rFonts w:ascii="宋体" w:hAnsi="宋体" w:cs="黑体"/>
          <w:color w:val="000000" w:themeColor="text1"/>
          <w:sz w:val="24"/>
          <w:highlight w:val="none"/>
        </w:rPr>
        <w:t>30</w:t>
      </w:r>
      <w:r>
        <w:rPr>
          <w:rFonts w:hint="eastAsia" w:ascii="宋体" w:hAnsi="宋体" w:cs="黑体"/>
          <w:color w:val="000000" w:themeColor="text1"/>
          <w:sz w:val="24"/>
          <w:highlight w:val="none"/>
        </w:rPr>
        <w:t>%；</w:t>
      </w:r>
    </w:p>
    <w:p>
      <w:pPr>
        <w:spacing w:line="360" w:lineRule="auto"/>
        <w:ind w:firstLine="480" w:firstLineChars="200"/>
        <w:rPr>
          <w:rFonts w:ascii="宋体" w:hAnsi="宋体" w:cs="黑体"/>
          <w:color w:val="000000" w:themeColor="text1"/>
          <w:sz w:val="24"/>
          <w:highlight w:val="none"/>
        </w:rPr>
      </w:pPr>
      <w:r>
        <w:rPr>
          <w:rFonts w:hint="eastAsia" w:ascii="宋体" w:hAnsi="宋体" w:cs="黑体"/>
          <w:color w:val="000000" w:themeColor="text1"/>
          <w:sz w:val="24"/>
          <w:highlight w:val="none"/>
        </w:rPr>
        <w:t>（4）具有本科及以上学历不小于12人（包含12人），大专学历不大于2人（包含2人）。</w:t>
      </w:r>
    </w:p>
    <w:p>
      <w:pPr>
        <w:spacing w:line="360" w:lineRule="auto"/>
        <w:ind w:firstLine="480" w:firstLineChars="200"/>
        <w:rPr>
          <w:rFonts w:ascii="宋体" w:hAnsi="宋体" w:cs="黑体"/>
          <w:sz w:val="24"/>
          <w:highlight w:val="none"/>
        </w:rPr>
      </w:pPr>
      <w:r>
        <w:rPr>
          <w:rFonts w:hint="eastAsia" w:ascii="宋体" w:hAnsi="宋体" w:cs="黑体"/>
          <w:sz w:val="24"/>
          <w:highlight w:val="none"/>
        </w:rPr>
        <w:t>3、项目执行人员工资标准</w:t>
      </w:r>
    </w:p>
    <w:p>
      <w:pPr>
        <w:spacing w:line="360" w:lineRule="auto"/>
        <w:ind w:firstLine="480" w:firstLineChars="200"/>
        <w:rPr>
          <w:rFonts w:hint="eastAsia" w:ascii="宋体" w:hAnsi="宋体" w:cs="黑体"/>
          <w:sz w:val="24"/>
          <w:highlight w:val="none"/>
        </w:rPr>
      </w:pPr>
      <w:r>
        <w:rPr>
          <w:rFonts w:hint="eastAsia" w:ascii="宋体" w:hAnsi="宋体" w:cs="黑体"/>
          <w:sz w:val="24"/>
          <w:highlight w:val="none"/>
        </w:rPr>
        <w:t>供应商</w:t>
      </w:r>
      <w:r>
        <w:rPr>
          <w:rFonts w:hint="eastAsia" w:ascii="宋体" w:hAnsi="宋体" w:cs="黑体"/>
          <w:sz w:val="24"/>
          <w:highlight w:val="none"/>
          <w:lang w:val="en-US" w:eastAsia="zh-CN"/>
        </w:rPr>
        <w:t>中标后</w:t>
      </w:r>
      <w:r>
        <w:rPr>
          <w:rFonts w:hint="eastAsia" w:ascii="宋体" w:hAnsi="宋体" w:cs="黑体"/>
          <w:sz w:val="24"/>
          <w:highlight w:val="none"/>
        </w:rPr>
        <w:t>应当与所有工作人员签订《劳动合同》，为其支付工资、五险一金等所有费用，并包含社保、税费等年度上涨部分。</w:t>
      </w:r>
    </w:p>
    <w:p>
      <w:pPr>
        <w:spacing w:line="360" w:lineRule="auto"/>
        <w:ind w:firstLine="480" w:firstLineChars="200"/>
        <w:rPr>
          <w:rFonts w:ascii="宋体" w:hAnsi="宋体" w:cs="黑体"/>
          <w:sz w:val="24"/>
        </w:rPr>
      </w:pPr>
      <w:r>
        <w:rPr>
          <w:rFonts w:hint="eastAsia" w:ascii="宋体" w:hAnsi="宋体" w:cs="黑体"/>
          <w:sz w:val="24"/>
        </w:rPr>
        <w:t>4、供应商管理要求</w:t>
      </w:r>
    </w:p>
    <w:p>
      <w:pPr>
        <w:spacing w:line="360" w:lineRule="auto"/>
        <w:ind w:firstLine="480" w:firstLineChars="200"/>
        <w:rPr>
          <w:rFonts w:ascii="宋体" w:hAnsi="宋体" w:cs="黑体"/>
          <w:sz w:val="24"/>
        </w:rPr>
      </w:pPr>
      <w:r>
        <w:rPr>
          <w:rFonts w:hint="eastAsia" w:ascii="宋体" w:hAnsi="宋体" w:cs="黑体"/>
          <w:sz w:val="24"/>
        </w:rPr>
        <w:t>（1）采购人每月对投标人提供的服务质效进行考核。考核结果影响支付标准。考核主要从服务态度（20%）、服务内容（40%）、服务质量（40%）三个方面进行考核，具体细则合同约定。</w:t>
      </w:r>
    </w:p>
    <w:p>
      <w:pPr>
        <w:spacing w:line="360" w:lineRule="auto"/>
        <w:ind w:firstLine="480" w:firstLineChars="200"/>
        <w:rPr>
          <w:rFonts w:ascii="宋体" w:hAnsi="宋体" w:cs="黑体"/>
          <w:sz w:val="24"/>
        </w:rPr>
      </w:pPr>
      <w:r>
        <w:rPr>
          <w:rFonts w:hint="eastAsia" w:ascii="宋体" w:hAnsi="宋体" w:cs="黑体"/>
          <w:sz w:val="24"/>
        </w:rPr>
        <w:t>（2）采购人按合同约定对工作人员日常工作情况进行考勤（考核），对考勤不合格、服务意识和服务水平不佳、因工作失误造成重大差错或损失的员工予以退回。</w:t>
      </w:r>
    </w:p>
    <w:p>
      <w:pPr>
        <w:spacing w:line="360" w:lineRule="auto"/>
        <w:ind w:firstLine="480" w:firstLineChars="200"/>
        <w:rPr>
          <w:rFonts w:ascii="宋体" w:hAnsi="宋体" w:cs="黑体"/>
          <w:sz w:val="24"/>
        </w:rPr>
      </w:pPr>
      <w:r>
        <w:rPr>
          <w:rFonts w:hint="eastAsia" w:ascii="宋体" w:hAnsi="宋体" w:cs="黑体"/>
          <w:sz w:val="24"/>
        </w:rPr>
        <w:t>（3）供应商应按要求为釆购方提供专职的、高素质的工作人员常驻采购方工作区域内执行本项目，项目执行人员一经确定后，必须保证相对稳定。对派驻至采购方工作的人员，供应商不能随意替换，确因特殊原因需要替换的，应征得采购方同意。供应商未经采购人同意，更换或少派驻项目执行人员的，每发生1人·次，扣减当月项目服务费30%。</w:t>
      </w:r>
    </w:p>
    <w:p>
      <w:pPr>
        <w:spacing w:line="360" w:lineRule="auto"/>
        <w:ind w:firstLine="480" w:firstLineChars="200"/>
        <w:rPr>
          <w:rFonts w:ascii="宋体" w:hAnsi="宋体" w:cs="黑体"/>
          <w:sz w:val="24"/>
        </w:rPr>
      </w:pPr>
      <w:r>
        <w:rPr>
          <w:rFonts w:hint="eastAsia" w:ascii="宋体" w:hAnsi="宋体" w:cs="黑体"/>
          <w:sz w:val="24"/>
        </w:rPr>
        <w:t>（5）供应商和项目执行人员出现泄密事件和廉洁问题，实行一票否决，当月考核直接视为不合格，扣减当月全部项目服务费，采购人有权终止合同。由此产生的经济责任和法律责任由供应商承担。</w:t>
      </w:r>
    </w:p>
    <w:p>
      <w:pPr>
        <w:pStyle w:val="4"/>
        <w:tabs>
          <w:tab w:val="left" w:pos="426"/>
          <w:tab w:val="left" w:pos="567"/>
        </w:tabs>
        <w:spacing w:before="0" w:after="0"/>
        <w:ind w:left="3806" w:hanging="3596"/>
        <w:jc w:val="both"/>
      </w:pPr>
      <w:bookmarkStart w:id="275" w:name="_Toc520384081"/>
      <w:bookmarkStart w:id="276" w:name="_Toc24425"/>
      <w:bookmarkStart w:id="277" w:name="_Toc9532"/>
      <w:bookmarkStart w:id="278" w:name="_Toc66192175"/>
      <w:bookmarkStart w:id="279" w:name="_Toc422305115"/>
      <w:bookmarkStart w:id="280" w:name="_Toc16438"/>
      <w:bookmarkStart w:id="281" w:name="_Toc23774"/>
      <w:bookmarkStart w:id="282" w:name="_Toc12253"/>
      <w:bookmarkStart w:id="283" w:name="_Toc65757371"/>
      <w:r>
        <w:rPr>
          <w:rFonts w:hint="eastAsia" w:cs="宋体"/>
          <w:sz w:val="24"/>
        </w:rPr>
        <w:t>★</w:t>
      </w:r>
      <w:r>
        <w:rPr>
          <w:rFonts w:hint="eastAsia"/>
        </w:rPr>
        <w:t>商务要求</w:t>
      </w:r>
      <w:bookmarkEnd w:id="275"/>
      <w:bookmarkEnd w:id="276"/>
      <w:bookmarkEnd w:id="277"/>
      <w:bookmarkEnd w:id="278"/>
      <w:bookmarkEnd w:id="279"/>
      <w:bookmarkEnd w:id="280"/>
      <w:bookmarkEnd w:id="281"/>
      <w:bookmarkEnd w:id="282"/>
      <w:bookmarkEnd w:id="283"/>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项目期限</w:t>
      </w:r>
      <w:r>
        <w:rPr>
          <w:rFonts w:ascii="宋体" w:hAnsi="宋体" w:cs="宋体"/>
          <w:sz w:val="24"/>
        </w:rPr>
        <w:t>：</w:t>
      </w:r>
      <w:r>
        <w:rPr>
          <w:rFonts w:hint="eastAsia" w:ascii="宋体" w:hAnsi="宋体" w:cs="宋体"/>
          <w:sz w:val="24"/>
        </w:rPr>
        <w:t>三年，合同一年一签。本次审计服务拟由采购代理机构按流程进行招标，采用“一次招标三年，合同一年一签”的方式选定项目承接单位。</w:t>
      </w:r>
    </w:p>
    <w:p>
      <w:pPr>
        <w:spacing w:line="360" w:lineRule="auto"/>
        <w:ind w:firstLine="480" w:firstLineChars="200"/>
        <w:rPr>
          <w:rFonts w:ascii="宋体" w:hAnsi="宋体" w:cs="宋体"/>
          <w:sz w:val="24"/>
        </w:rPr>
      </w:pPr>
      <w:r>
        <w:rPr>
          <w:rFonts w:hint="eastAsia" w:ascii="宋体" w:hAnsi="宋体" w:cs="宋体"/>
          <w:sz w:val="24"/>
        </w:rPr>
        <w:t>2、服务费结算方式</w:t>
      </w:r>
    </w:p>
    <w:p>
      <w:pPr>
        <w:spacing w:line="360" w:lineRule="auto"/>
        <w:ind w:firstLine="480" w:firstLineChars="200"/>
        <w:rPr>
          <w:rFonts w:ascii="宋体" w:hAnsi="宋体" w:cs="宋体"/>
          <w:sz w:val="24"/>
        </w:rPr>
      </w:pPr>
      <w:r>
        <w:rPr>
          <w:rFonts w:hint="eastAsia" w:ascii="宋体" w:hAnsi="宋体" w:cs="宋体"/>
          <w:sz w:val="24"/>
        </w:rPr>
        <w:t>本项目的服务费每月支付一次（具体金额合同约定），中标人凭以下文件与采购人结算服务费：</w:t>
      </w:r>
    </w:p>
    <w:p>
      <w:pPr>
        <w:spacing w:line="360" w:lineRule="auto"/>
        <w:ind w:firstLine="480" w:firstLineChars="200"/>
        <w:rPr>
          <w:rFonts w:ascii="宋体" w:hAnsi="宋体" w:cs="宋体"/>
          <w:sz w:val="24"/>
        </w:rPr>
      </w:pPr>
      <w:r>
        <w:rPr>
          <w:rFonts w:hint="eastAsia" w:ascii="宋体" w:hAnsi="宋体" w:cs="宋体"/>
          <w:sz w:val="24"/>
        </w:rPr>
        <w:t>（1）合同；</w:t>
      </w:r>
    </w:p>
    <w:p>
      <w:pPr>
        <w:spacing w:line="360" w:lineRule="auto"/>
        <w:ind w:firstLine="480" w:firstLineChars="200"/>
        <w:rPr>
          <w:rFonts w:ascii="宋体" w:hAnsi="宋体" w:cs="宋体"/>
          <w:sz w:val="24"/>
        </w:rPr>
      </w:pPr>
      <w:r>
        <w:rPr>
          <w:rFonts w:hint="eastAsia" w:ascii="宋体" w:hAnsi="宋体" w:cs="宋体"/>
          <w:sz w:val="24"/>
        </w:rPr>
        <w:t>（2）中标人开具的正式发票；</w:t>
      </w:r>
    </w:p>
    <w:p>
      <w:pPr>
        <w:spacing w:line="360" w:lineRule="auto"/>
        <w:ind w:firstLine="480" w:firstLineChars="200"/>
        <w:rPr>
          <w:rFonts w:ascii="宋体" w:hAnsi="宋体" w:cs="宋体"/>
          <w:sz w:val="24"/>
        </w:rPr>
      </w:pPr>
      <w:r>
        <w:rPr>
          <w:rFonts w:hint="eastAsia" w:ascii="宋体" w:hAnsi="宋体" w:cs="宋体"/>
          <w:sz w:val="24"/>
        </w:rPr>
        <w:t>（3）考核结果。</w:t>
      </w:r>
    </w:p>
    <w:p>
      <w:pPr>
        <w:adjustRightInd w:val="0"/>
        <w:snapToGrid w:val="0"/>
        <w:spacing w:line="360" w:lineRule="auto"/>
        <w:ind w:firstLine="480" w:firstLineChars="200"/>
        <w:rPr>
          <w:rFonts w:ascii="宋体" w:hAnsi="宋体"/>
          <w:sz w:val="24"/>
        </w:rPr>
      </w:pPr>
      <w:r>
        <w:rPr>
          <w:rFonts w:hint="eastAsia" w:ascii="宋体" w:hAnsi="宋体"/>
          <w:sz w:val="24"/>
        </w:rPr>
        <w:t>3、支付标准</w:t>
      </w:r>
    </w:p>
    <w:p>
      <w:pPr>
        <w:adjustRightInd w:val="0"/>
        <w:snapToGrid w:val="0"/>
        <w:spacing w:line="360" w:lineRule="auto"/>
        <w:ind w:firstLine="480" w:firstLineChars="200"/>
        <w:rPr>
          <w:rFonts w:ascii="宋体" w:hAnsi="宋体" w:cs="宋体"/>
          <w:sz w:val="24"/>
        </w:rPr>
      </w:pPr>
      <w:r>
        <w:rPr>
          <w:rFonts w:hint="eastAsia" w:ascii="宋体" w:hAnsi="宋体"/>
          <w:sz w:val="24"/>
        </w:rPr>
        <w:t>考核表考核得分为90分（含）以上，按100%支付；80分（含）至90分（不含），按90%支付；70分（含）至80分（不含），按80%支付；70分（不含）以下，第一次按70%支付，第二次评分低于70分采购人有权解除合同。</w:t>
      </w:r>
    </w:p>
    <w:p>
      <w:pPr>
        <w:pStyle w:val="4"/>
        <w:tabs>
          <w:tab w:val="left" w:pos="426"/>
          <w:tab w:val="left" w:pos="567"/>
        </w:tabs>
        <w:spacing w:before="0" w:after="0"/>
        <w:ind w:left="3806" w:hanging="3596"/>
        <w:jc w:val="both"/>
      </w:pPr>
      <w:bookmarkStart w:id="284" w:name="_Toc9200"/>
      <w:bookmarkStart w:id="285" w:name="_Toc18172"/>
      <w:bookmarkStart w:id="286" w:name="_Toc65757372"/>
      <w:bookmarkStart w:id="287" w:name="_Toc24928"/>
      <w:bookmarkStart w:id="288" w:name="_Toc3627"/>
      <w:bookmarkStart w:id="289" w:name="_Toc973"/>
      <w:bookmarkStart w:id="290" w:name="_Toc66192176"/>
      <w:bookmarkStart w:id="291" w:name="_Toc520384082"/>
      <w:r>
        <w:rPr>
          <w:rFonts w:hint="eastAsia"/>
        </w:rPr>
        <w:t>最高限价</w:t>
      </w:r>
      <w:bookmarkEnd w:id="284"/>
      <w:bookmarkEnd w:id="285"/>
      <w:bookmarkEnd w:id="286"/>
      <w:bookmarkEnd w:id="287"/>
      <w:bookmarkEnd w:id="288"/>
      <w:bookmarkEnd w:id="289"/>
      <w:bookmarkEnd w:id="290"/>
      <w:bookmarkEnd w:id="291"/>
    </w:p>
    <w:p>
      <w:pPr>
        <w:spacing w:line="360" w:lineRule="auto"/>
        <w:ind w:firstLine="480" w:firstLineChars="200"/>
        <w:rPr>
          <w:rFonts w:ascii="宋体" w:hAnsi="宋体"/>
          <w:b/>
          <w:sz w:val="24"/>
        </w:rPr>
      </w:pPr>
      <w:r>
        <w:rPr>
          <w:rFonts w:hint="eastAsia" w:ascii="宋体" w:hAnsi="宋体" w:cs="宋体"/>
          <w:sz w:val="24"/>
        </w:rPr>
        <w:t>★</w:t>
      </w:r>
      <w:r>
        <w:rPr>
          <w:rFonts w:hint="eastAsia" w:ascii="宋体" w:hAnsi="宋体"/>
          <w:b/>
          <w:sz w:val="24"/>
        </w:rPr>
        <w:t>本项目最高限价为人民币</w:t>
      </w:r>
      <w:r>
        <w:rPr>
          <w:rFonts w:ascii="宋体" w:hAnsi="宋体"/>
          <w:b/>
          <w:sz w:val="24"/>
          <w:u w:val="single"/>
        </w:rPr>
        <w:t>150</w:t>
      </w:r>
      <w:r>
        <w:rPr>
          <w:rFonts w:hint="eastAsia" w:ascii="宋体" w:hAnsi="宋体"/>
          <w:b/>
          <w:sz w:val="24"/>
        </w:rPr>
        <w:t>万元/年，投标人最后报价高于最高限价的则其投标文件将按无效投标文件处理。</w:t>
      </w:r>
    </w:p>
    <w:p>
      <w:pPr>
        <w:pStyle w:val="4"/>
        <w:tabs>
          <w:tab w:val="left" w:pos="426"/>
          <w:tab w:val="left" w:pos="567"/>
        </w:tabs>
        <w:spacing w:before="0" w:after="0"/>
        <w:ind w:left="3806" w:hanging="3176"/>
        <w:jc w:val="both"/>
      </w:pPr>
      <w:bookmarkStart w:id="292" w:name="_Toc24362"/>
      <w:bookmarkStart w:id="293" w:name="_Toc3792"/>
      <w:bookmarkStart w:id="294" w:name="_Toc65757373"/>
      <w:bookmarkStart w:id="295" w:name="_Toc950"/>
      <w:bookmarkStart w:id="296" w:name="_Toc520384083"/>
      <w:bookmarkStart w:id="297" w:name="_Toc2150"/>
      <w:bookmarkStart w:id="298" w:name="_Toc19772"/>
      <w:bookmarkStart w:id="299" w:name="_Toc66192177"/>
      <w:bookmarkStart w:id="300" w:name="_Toc437336142"/>
      <w:bookmarkStart w:id="301" w:name="_Toc386099131"/>
      <w:r>
        <w:rPr>
          <w:rFonts w:hint="eastAsia"/>
        </w:rPr>
        <w:t>其他要求</w:t>
      </w:r>
      <w:bookmarkEnd w:id="292"/>
      <w:bookmarkEnd w:id="293"/>
      <w:bookmarkEnd w:id="294"/>
      <w:bookmarkEnd w:id="295"/>
      <w:bookmarkEnd w:id="296"/>
      <w:bookmarkEnd w:id="297"/>
      <w:bookmarkEnd w:id="298"/>
      <w:bookmarkEnd w:id="299"/>
    </w:p>
    <w:p>
      <w:pPr>
        <w:pStyle w:val="157"/>
        <w:spacing w:line="360" w:lineRule="auto"/>
        <w:ind w:firstLine="567"/>
        <w:jc w:val="both"/>
        <w:rPr>
          <w:lang w:val="zh-CN"/>
        </w:rPr>
      </w:pPr>
      <w:r>
        <w:rPr>
          <w:rFonts w:hint="eastAsia"/>
          <w:lang w:val="zh-CN"/>
        </w:rPr>
        <w:t>1、在评审过程中，评标委员会认为投标人的报价明显低于其他通过符合性审查投标人的报价，有可能影响产品质量或者不能诚信履约的，招标小组应当要求其在评审现场合理的时间内提供成本构成书面说明，并提交相关证明材料。投标人书面说明应当按照国家财务会计制度的规定要求，逐项就投标人提供的货物和服务的主营业务成本（应根据投标人企业类型予以区别）、税金及附加、销售费用、管理费用、财务费用等成本构成事项详细陈述。</w:t>
      </w:r>
    </w:p>
    <w:p>
      <w:pPr>
        <w:pStyle w:val="157"/>
        <w:spacing w:line="360" w:lineRule="auto"/>
        <w:ind w:firstLine="480" w:firstLineChars="200"/>
        <w:jc w:val="both"/>
        <w:rPr>
          <w:lang w:val="zh-CN"/>
        </w:rPr>
      </w:pPr>
      <w:r>
        <w:rPr>
          <w:rFonts w:hint="eastAsia"/>
          <w:lang w:val="zh-CN"/>
        </w:rPr>
        <w:t>投标人书面说明应当</w:t>
      </w:r>
      <w:r>
        <w:rPr>
          <w:rFonts w:hint="eastAsia"/>
        </w:rPr>
        <w:t>由法定代表人或授权代表签字或加盖公章，</w:t>
      </w:r>
      <w:r>
        <w:rPr>
          <w:rFonts w:hint="eastAsia"/>
          <w:lang w:val="zh-CN"/>
        </w:rPr>
        <w:t>否则无效</w:t>
      </w:r>
      <w:r>
        <w:rPr>
          <w:rFonts w:hint="eastAsia"/>
        </w:rPr>
        <w:t>。</w:t>
      </w:r>
    </w:p>
    <w:p>
      <w:pPr>
        <w:spacing w:line="360" w:lineRule="auto"/>
        <w:ind w:firstLine="480" w:firstLineChars="200"/>
        <w:rPr>
          <w:rFonts w:ascii="宋体" w:hAnsi="宋体"/>
          <w:sz w:val="24"/>
          <w:lang w:val="zh-CN"/>
        </w:rPr>
      </w:pPr>
      <w:r>
        <w:rPr>
          <w:rFonts w:hint="eastAsia" w:ascii="宋体" w:hAnsi="宋体"/>
          <w:sz w:val="24"/>
          <w:lang w:val="zh-CN"/>
        </w:rPr>
        <w:t>投标人提供书面说明后，招标小组应当结合采购项目采购需求、专业实际情况、投标人资产负债表、与其他投标人比较情况等就投标人书面说明进行审查评价。投标人拒绝或者变相拒绝提供有效书面说明和相关证明材料，或者书面说明和相关证明材料不能证明其报价合理性的，招标小组应当将其投标文件作为无效处理。</w:t>
      </w:r>
      <w:bookmarkEnd w:id="300"/>
      <w:bookmarkEnd w:id="301"/>
    </w:p>
    <w:p>
      <w:pPr>
        <w:spacing w:line="364" w:lineRule="auto"/>
        <w:ind w:left="328" w:right="311"/>
        <w:jc w:val="left"/>
        <w:rPr>
          <w:sz w:val="28"/>
        </w:rPr>
        <w:sectPr>
          <w:footerReference r:id="rId5" w:type="default"/>
          <w:pgSz w:w="11910" w:h="16840"/>
          <w:pgMar w:top="1580" w:right="1160" w:bottom="1780" w:left="1260" w:header="0" w:footer="1587" w:gutter="0"/>
          <w:cols w:space="720" w:num="1"/>
        </w:sectPr>
      </w:pPr>
      <w:r>
        <w:rPr>
          <w:b/>
          <w:sz w:val="28"/>
        </w:rPr>
        <w:t>备注：以上标注“★”号的条款为本次采购项目的实质性要求，不允许有负偏离，否则投标文件作无效处理。</w:t>
      </w:r>
    </w:p>
    <w:bookmarkEnd w:id="243"/>
    <w:bookmarkEnd w:id="244"/>
    <w:p>
      <w:pPr>
        <w:pStyle w:val="3"/>
        <w:adjustRightInd w:val="0"/>
        <w:snapToGrid w:val="0"/>
        <w:spacing w:before="0" w:after="0" w:line="360" w:lineRule="auto"/>
        <w:ind w:left="807" w:firstLine="0"/>
        <w:rPr>
          <w:spacing w:val="0"/>
        </w:rPr>
      </w:pPr>
      <w:bookmarkStart w:id="302" w:name="_Toc26576"/>
      <w:bookmarkStart w:id="303" w:name="_Toc21594"/>
      <w:bookmarkStart w:id="304" w:name="_Toc7966"/>
      <w:bookmarkStart w:id="305" w:name="_Toc23387"/>
      <w:bookmarkStart w:id="306" w:name="_Toc31479"/>
      <w:bookmarkStart w:id="307" w:name="_Toc66192178"/>
      <w:r>
        <w:rPr>
          <w:rFonts w:hint="eastAsia"/>
          <w:spacing w:val="0"/>
        </w:rPr>
        <w:t>评标办法</w:t>
      </w:r>
      <w:bookmarkEnd w:id="302"/>
      <w:bookmarkEnd w:id="303"/>
      <w:bookmarkEnd w:id="304"/>
      <w:bookmarkEnd w:id="305"/>
      <w:bookmarkEnd w:id="306"/>
      <w:bookmarkEnd w:id="307"/>
    </w:p>
    <w:p>
      <w:pPr>
        <w:pStyle w:val="4"/>
        <w:numPr>
          <w:ilvl w:val="1"/>
          <w:numId w:val="0"/>
        </w:numPr>
      </w:pPr>
      <w:bookmarkStart w:id="308" w:name="_Toc30369"/>
      <w:bookmarkStart w:id="309" w:name="_Toc66192179"/>
      <w:bookmarkStart w:id="310" w:name="_Toc8585"/>
      <w:bookmarkStart w:id="311" w:name="_Toc28925"/>
      <w:bookmarkStart w:id="312" w:name="_Toc7833"/>
      <w:bookmarkStart w:id="313" w:name="_Toc8862"/>
      <w:r>
        <w:rPr>
          <w:rFonts w:hint="eastAsia"/>
        </w:rPr>
        <w:t>1.总则</w:t>
      </w:r>
      <w:bookmarkEnd w:id="308"/>
      <w:bookmarkEnd w:id="309"/>
      <w:bookmarkEnd w:id="310"/>
      <w:bookmarkEnd w:id="311"/>
      <w:bookmarkEnd w:id="312"/>
      <w:bookmarkEnd w:id="313"/>
    </w:p>
    <w:p>
      <w:pPr>
        <w:tabs>
          <w:tab w:val="left" w:pos="1134"/>
        </w:tabs>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1.1根据《中华人民共和国政府采购法》《中华人民共和国政府采购法实施条例》和《政府采购货物和服务招标投标管理办法》等法律规章，结合采购项目特点制定本评标办法。</w:t>
      </w:r>
    </w:p>
    <w:p>
      <w:pPr>
        <w:tabs>
          <w:tab w:val="left" w:pos="1134"/>
        </w:tabs>
        <w:adjustRightInd w:val="0"/>
        <w:snapToGrid w:val="0"/>
        <w:spacing w:line="360" w:lineRule="auto"/>
        <w:ind w:left="4" w:firstLine="420" w:firstLineChars="175"/>
        <w:jc w:val="left"/>
        <w:rPr>
          <w:rFonts w:ascii="宋体" w:hAnsi="宋体"/>
          <w:sz w:val="24"/>
          <w:szCs w:val="24"/>
        </w:rPr>
      </w:pPr>
      <w:r>
        <w:rPr>
          <w:rFonts w:hint="eastAsia" w:ascii="宋体" w:hAnsi="宋体"/>
          <w:sz w:val="24"/>
          <w:szCs w:val="24"/>
        </w:rPr>
        <w:t>1.2评标工作由采购代理机构负责组织，具体评标事务由采购代理机构依法组建的评标委员会负责。评标委员会由采购人代表和有关技术、经济、法律等方面的专家组成。</w:t>
      </w:r>
      <w:bookmarkStart w:id="314" w:name="_Toc183682415"/>
      <w:bookmarkStart w:id="315" w:name="_Toc217446097"/>
      <w:bookmarkStart w:id="316" w:name="_Toc208849007"/>
      <w:bookmarkStart w:id="317" w:name="_Toc183582280"/>
    </w:p>
    <w:p>
      <w:pPr>
        <w:tabs>
          <w:tab w:val="left" w:pos="1134"/>
        </w:tabs>
        <w:adjustRightInd w:val="0"/>
        <w:snapToGrid w:val="0"/>
        <w:spacing w:line="360" w:lineRule="auto"/>
        <w:ind w:firstLine="480" w:firstLineChars="200"/>
        <w:jc w:val="left"/>
        <w:rPr>
          <w:rFonts w:ascii="宋体" w:hAnsi="宋体"/>
          <w:sz w:val="24"/>
          <w:szCs w:val="24"/>
        </w:rPr>
      </w:pPr>
      <w:bookmarkStart w:id="318" w:name="_Toc316292248"/>
      <w:bookmarkStart w:id="319" w:name="_Toc315871642"/>
      <w:r>
        <w:rPr>
          <w:rFonts w:hint="eastAsia" w:ascii="宋体" w:hAnsi="宋体"/>
          <w:sz w:val="24"/>
          <w:szCs w:val="24"/>
        </w:rPr>
        <w:t>1.3评标工</w:t>
      </w:r>
      <w:bookmarkEnd w:id="314"/>
      <w:bookmarkEnd w:id="315"/>
      <w:bookmarkEnd w:id="316"/>
      <w:bookmarkEnd w:id="317"/>
      <w:bookmarkEnd w:id="318"/>
      <w:bookmarkEnd w:id="319"/>
      <w:r>
        <w:rPr>
          <w:rFonts w:hint="eastAsia" w:ascii="宋体" w:hAnsi="宋体"/>
          <w:sz w:val="24"/>
          <w:szCs w:val="24"/>
        </w:rPr>
        <w:t>作应遵循公平、公正、科学及择优的原则，并以相同的评标程序和标准对待所有的投标人。</w:t>
      </w:r>
    </w:p>
    <w:p>
      <w:pPr>
        <w:tabs>
          <w:tab w:val="left" w:pos="1134"/>
        </w:tabs>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1.4评标委员会按照招标文件规定的评标程序、评标方法和标准进行独立评审，并独立履行下列职责：</w:t>
      </w:r>
    </w:p>
    <w:p>
      <w:pPr>
        <w:adjustRightInd w:val="0"/>
        <w:snapToGrid w:val="0"/>
        <w:spacing w:line="360" w:lineRule="auto"/>
        <w:ind w:left="630"/>
        <w:rPr>
          <w:rFonts w:ascii="宋体" w:hAnsi="宋体"/>
          <w:sz w:val="24"/>
          <w:szCs w:val="24"/>
        </w:rPr>
      </w:pPr>
      <w:r>
        <w:rPr>
          <w:rFonts w:hint="eastAsia" w:ascii="宋体" w:hAnsi="宋体"/>
          <w:sz w:val="24"/>
          <w:szCs w:val="24"/>
        </w:rPr>
        <w:t>（1）熟悉和理解招标文件；</w:t>
      </w:r>
    </w:p>
    <w:p>
      <w:pPr>
        <w:adjustRightInd w:val="0"/>
        <w:snapToGrid w:val="0"/>
        <w:spacing w:line="360" w:lineRule="auto"/>
        <w:ind w:left="630"/>
        <w:jc w:val="left"/>
        <w:rPr>
          <w:rFonts w:ascii="宋体" w:hAnsi="宋体"/>
          <w:sz w:val="24"/>
          <w:szCs w:val="24"/>
        </w:rPr>
      </w:pPr>
      <w:r>
        <w:rPr>
          <w:rFonts w:hint="eastAsia" w:ascii="宋体" w:hAnsi="宋体"/>
          <w:sz w:val="24"/>
          <w:szCs w:val="24"/>
        </w:rPr>
        <w:t>（2）审查投标文件是否符合招标文件要求，并作出评价；</w:t>
      </w:r>
    </w:p>
    <w:p>
      <w:pPr>
        <w:adjustRightInd w:val="0"/>
        <w:snapToGrid w:val="0"/>
        <w:spacing w:line="360" w:lineRule="auto"/>
        <w:ind w:left="630"/>
        <w:jc w:val="left"/>
        <w:rPr>
          <w:rFonts w:ascii="宋体" w:hAnsi="宋体"/>
          <w:sz w:val="24"/>
          <w:szCs w:val="24"/>
        </w:rPr>
      </w:pPr>
      <w:r>
        <w:rPr>
          <w:rFonts w:hint="eastAsia" w:ascii="宋体" w:hAnsi="宋体"/>
          <w:sz w:val="24"/>
          <w:szCs w:val="24"/>
        </w:rPr>
        <w:t>（3）根据需要要求招标采购单位对招标文件作出解释；根据需要要求投标人对投标文件有关事项作出解释或者澄清；</w:t>
      </w:r>
    </w:p>
    <w:p>
      <w:pPr>
        <w:adjustRightInd w:val="0"/>
        <w:snapToGrid w:val="0"/>
        <w:spacing w:line="360" w:lineRule="auto"/>
        <w:ind w:left="630"/>
        <w:jc w:val="left"/>
        <w:rPr>
          <w:rFonts w:ascii="宋体" w:hAnsi="宋体"/>
          <w:sz w:val="24"/>
          <w:szCs w:val="24"/>
        </w:rPr>
      </w:pPr>
      <w:r>
        <w:rPr>
          <w:rFonts w:hint="eastAsia" w:ascii="宋体" w:hAnsi="宋体"/>
          <w:sz w:val="24"/>
          <w:szCs w:val="24"/>
        </w:rPr>
        <w:t>（4）推荐中标候选供应商名单，或者根据采购人委托确定中标投标人；</w:t>
      </w:r>
    </w:p>
    <w:p>
      <w:pPr>
        <w:adjustRightInd w:val="0"/>
        <w:snapToGrid w:val="0"/>
        <w:spacing w:line="360" w:lineRule="auto"/>
        <w:ind w:left="630"/>
        <w:jc w:val="left"/>
        <w:rPr>
          <w:rFonts w:ascii="宋体" w:hAnsi="宋体"/>
          <w:sz w:val="24"/>
          <w:szCs w:val="24"/>
        </w:rPr>
      </w:pPr>
      <w:r>
        <w:rPr>
          <w:rFonts w:hint="eastAsia" w:ascii="宋体" w:hAnsi="宋体"/>
          <w:sz w:val="24"/>
          <w:szCs w:val="24"/>
        </w:rPr>
        <w:t>（5）起草评标报告并进行签署；</w:t>
      </w:r>
    </w:p>
    <w:p>
      <w:pPr>
        <w:adjustRightInd w:val="0"/>
        <w:snapToGrid w:val="0"/>
        <w:spacing w:line="360" w:lineRule="auto"/>
        <w:ind w:left="630" w:right="-168" w:rightChars="-80"/>
        <w:jc w:val="left"/>
        <w:rPr>
          <w:rFonts w:ascii="宋体" w:hAnsi="宋体"/>
          <w:sz w:val="24"/>
          <w:szCs w:val="24"/>
        </w:rPr>
      </w:pPr>
      <w:r>
        <w:rPr>
          <w:rFonts w:hint="eastAsia" w:ascii="宋体" w:hAnsi="宋体"/>
          <w:sz w:val="24"/>
          <w:szCs w:val="24"/>
        </w:rPr>
        <w:t>（6）向招标采购单位或者财政、监察等有关部门报告或举报非法干预评标工作的行为；</w:t>
      </w:r>
    </w:p>
    <w:p>
      <w:pPr>
        <w:adjustRightInd w:val="0"/>
        <w:snapToGrid w:val="0"/>
        <w:spacing w:line="360" w:lineRule="auto"/>
        <w:ind w:left="630"/>
        <w:jc w:val="left"/>
        <w:rPr>
          <w:rFonts w:ascii="宋体" w:hAnsi="宋体"/>
          <w:sz w:val="24"/>
          <w:szCs w:val="24"/>
        </w:rPr>
      </w:pPr>
      <w:r>
        <w:rPr>
          <w:rFonts w:hint="eastAsia" w:ascii="宋体" w:hAnsi="宋体"/>
          <w:sz w:val="24"/>
          <w:szCs w:val="24"/>
        </w:rPr>
        <w:t>（7）法律、法规和规章规定的其他职责。</w:t>
      </w:r>
    </w:p>
    <w:p>
      <w:pPr>
        <w:tabs>
          <w:tab w:val="left" w:pos="1134"/>
        </w:tabs>
        <w:adjustRightInd w:val="0"/>
        <w:snapToGrid w:val="0"/>
        <w:spacing w:line="360" w:lineRule="auto"/>
        <w:ind w:firstLine="480" w:firstLineChars="200"/>
        <w:rPr>
          <w:rFonts w:ascii="宋体" w:hAnsi="宋体"/>
          <w:sz w:val="24"/>
          <w:szCs w:val="24"/>
        </w:rPr>
      </w:pPr>
      <w:r>
        <w:rPr>
          <w:rFonts w:hint="eastAsia" w:ascii="宋体" w:hAnsi="宋体"/>
          <w:sz w:val="24"/>
          <w:szCs w:val="24"/>
        </w:rPr>
        <w:t>1.5评标过程独立、保密。投标人非法干预评标过程的行为将导致其投标文件作为无效处理。</w:t>
      </w:r>
    </w:p>
    <w:p>
      <w:pPr>
        <w:tabs>
          <w:tab w:val="left" w:pos="1134"/>
        </w:tabs>
        <w:adjustRightInd w:val="0"/>
        <w:snapToGrid w:val="0"/>
        <w:spacing w:line="360" w:lineRule="auto"/>
        <w:ind w:firstLine="480" w:firstLineChars="200"/>
        <w:rPr>
          <w:rFonts w:ascii="宋体" w:hAnsi="宋体"/>
          <w:sz w:val="24"/>
          <w:szCs w:val="24"/>
        </w:rPr>
      </w:pPr>
      <w:r>
        <w:rPr>
          <w:rFonts w:hint="eastAsia" w:ascii="宋体" w:hAnsi="宋体"/>
          <w:sz w:val="24"/>
          <w:szCs w:val="24"/>
        </w:rPr>
        <w:t>1.6评标委员会决定投标文件的响应性依据投标文件本身的内容，而不寻求外部的证据，招标文件有明确约定的除外。</w:t>
      </w:r>
    </w:p>
    <w:p>
      <w:pPr>
        <w:tabs>
          <w:tab w:val="left" w:pos="1134"/>
        </w:tabs>
        <w:adjustRightInd w:val="0"/>
        <w:snapToGrid w:val="0"/>
        <w:spacing w:line="360" w:lineRule="auto"/>
        <w:ind w:firstLine="480" w:firstLineChars="200"/>
        <w:rPr>
          <w:rFonts w:ascii="宋体" w:hAnsi="宋体"/>
          <w:sz w:val="24"/>
          <w:szCs w:val="24"/>
        </w:rPr>
      </w:pPr>
      <w:r>
        <w:rPr>
          <w:rFonts w:hint="eastAsia" w:ascii="宋体" w:hAnsi="宋体"/>
          <w:sz w:val="24"/>
          <w:szCs w:val="24"/>
        </w:rPr>
        <w:t>1.7评标委员会发现招标文件表述不明确或需要说明的事项，可提请招标采购单位书面解释说明。发现招标文件违反有关法律、法规和规章的，可以拒绝评标，并向招标采购单位书面说明情况。</w:t>
      </w:r>
    </w:p>
    <w:p>
      <w:pPr>
        <w:pStyle w:val="4"/>
        <w:numPr>
          <w:ilvl w:val="1"/>
          <w:numId w:val="0"/>
        </w:numPr>
        <w:adjustRightInd w:val="0"/>
        <w:snapToGrid w:val="0"/>
        <w:spacing w:before="0" w:after="0"/>
        <w:ind w:left="840"/>
      </w:pPr>
      <w:bookmarkStart w:id="320" w:name="_Toc25972"/>
      <w:bookmarkStart w:id="321" w:name="_Toc9454"/>
      <w:bookmarkStart w:id="322" w:name="_Toc66192180"/>
      <w:bookmarkStart w:id="323" w:name="_Toc3183"/>
      <w:bookmarkStart w:id="324" w:name="_Toc4413"/>
      <w:bookmarkStart w:id="325" w:name="_Toc14684"/>
      <w:r>
        <w:rPr>
          <w:rFonts w:hint="eastAsia"/>
        </w:rPr>
        <w:t>2.评标方法</w:t>
      </w:r>
      <w:bookmarkEnd w:id="320"/>
      <w:bookmarkEnd w:id="321"/>
      <w:bookmarkEnd w:id="322"/>
      <w:bookmarkEnd w:id="323"/>
      <w:bookmarkEnd w:id="324"/>
      <w:bookmarkEnd w:id="325"/>
    </w:p>
    <w:p>
      <w:pPr>
        <w:adjustRightInd w:val="0"/>
        <w:snapToGrid w:val="0"/>
        <w:spacing w:line="360" w:lineRule="auto"/>
        <w:ind w:firstLine="420"/>
        <w:rPr>
          <w:rFonts w:ascii="宋体" w:hAnsi="宋体"/>
          <w:sz w:val="24"/>
          <w:szCs w:val="24"/>
        </w:rPr>
      </w:pPr>
      <w:r>
        <w:rPr>
          <w:rFonts w:hint="eastAsia" w:ascii="宋体" w:hAnsi="宋体"/>
          <w:sz w:val="24"/>
          <w:szCs w:val="24"/>
        </w:rPr>
        <w:t>本项目评标方法为：综合评分法。</w:t>
      </w:r>
    </w:p>
    <w:p>
      <w:pPr>
        <w:pStyle w:val="4"/>
        <w:numPr>
          <w:ilvl w:val="1"/>
          <w:numId w:val="0"/>
        </w:numPr>
        <w:adjustRightInd w:val="0"/>
        <w:snapToGrid w:val="0"/>
        <w:spacing w:before="0" w:after="0"/>
        <w:ind w:left="592" w:leftChars="282" w:firstLine="267" w:firstLineChars="95"/>
      </w:pPr>
      <w:bookmarkStart w:id="326" w:name="_Toc10355"/>
      <w:bookmarkStart w:id="327" w:name="_Toc5619"/>
      <w:bookmarkStart w:id="328" w:name="_Toc4849"/>
      <w:bookmarkStart w:id="329" w:name="_Toc9205"/>
      <w:bookmarkStart w:id="330" w:name="_Toc2650"/>
      <w:bookmarkStart w:id="331" w:name="_Toc66192181"/>
      <w:r>
        <w:rPr>
          <w:rFonts w:hint="eastAsia"/>
        </w:rPr>
        <w:t>3.评标程序</w:t>
      </w:r>
      <w:bookmarkEnd w:id="326"/>
      <w:bookmarkEnd w:id="327"/>
      <w:bookmarkEnd w:id="328"/>
      <w:bookmarkEnd w:id="329"/>
      <w:bookmarkEnd w:id="330"/>
      <w:bookmarkEnd w:id="331"/>
    </w:p>
    <w:p>
      <w:pPr>
        <w:pStyle w:val="5"/>
        <w:numPr>
          <w:ilvl w:val="2"/>
          <w:numId w:val="0"/>
        </w:numPr>
        <w:ind w:left="-10" w:leftChars="-5" w:firstLine="480" w:firstLineChars="200"/>
      </w:pPr>
      <w:r>
        <w:rPr>
          <w:rFonts w:hint="eastAsia"/>
        </w:rPr>
        <w:t>3.1熟悉和理解招标文件和停止评标。</w:t>
      </w:r>
    </w:p>
    <w:p>
      <w:pPr>
        <w:pStyle w:val="6"/>
        <w:numPr>
          <w:ilvl w:val="3"/>
          <w:numId w:val="0"/>
        </w:numPr>
        <w:tabs>
          <w:tab w:val="left" w:pos="993"/>
        </w:tabs>
        <w:adjustRightInd w:val="0"/>
        <w:snapToGrid w:val="0"/>
        <w:spacing w:before="0" w:after="0"/>
        <w:ind w:firstLine="480" w:firstLineChars="200"/>
        <w:rPr>
          <w:rFonts w:ascii="宋体" w:hAnsi="宋体"/>
          <w:b w:val="0"/>
          <w:bCs w:val="0"/>
          <w:sz w:val="24"/>
          <w:szCs w:val="24"/>
        </w:rPr>
      </w:pPr>
      <w:r>
        <w:rPr>
          <w:rFonts w:hint="eastAsia" w:ascii="宋体" w:hAnsi="宋体"/>
          <w:b w:val="0"/>
          <w:bCs w:val="0"/>
          <w:sz w:val="24"/>
          <w:szCs w:val="24"/>
        </w:rPr>
        <w:t>3.1.1评标委员会正式评标前，应当对招标文件进行熟悉和理解，内容主要包括招标文件中采购项目技术、服务和商务要求、评标方法和标准以及可能涉及签订政府采购合同的内容等。</w:t>
      </w:r>
    </w:p>
    <w:p>
      <w:pPr>
        <w:pStyle w:val="6"/>
        <w:numPr>
          <w:ilvl w:val="3"/>
          <w:numId w:val="0"/>
        </w:numPr>
        <w:tabs>
          <w:tab w:val="left" w:pos="993"/>
        </w:tabs>
        <w:adjustRightInd w:val="0"/>
        <w:snapToGrid w:val="0"/>
        <w:spacing w:before="0" w:after="0"/>
        <w:ind w:firstLine="480" w:firstLineChars="200"/>
        <w:rPr>
          <w:rFonts w:ascii="宋体" w:hAnsi="宋体"/>
          <w:b w:val="0"/>
          <w:bCs w:val="0"/>
          <w:sz w:val="24"/>
          <w:szCs w:val="24"/>
        </w:rPr>
      </w:pPr>
      <w:r>
        <w:rPr>
          <w:rFonts w:hint="eastAsia" w:ascii="宋体" w:hAnsi="宋体"/>
          <w:b w:val="0"/>
          <w:bCs w:val="0"/>
          <w:sz w:val="24"/>
          <w:szCs w:val="24"/>
        </w:rPr>
        <w:t>3.1.2评标委员会熟悉和理解招标文件以及评标过程中，发现本招标文件有下列情形之一的，评标委员会应当停止评标：</w:t>
      </w:r>
    </w:p>
    <w:p>
      <w:pPr>
        <w:tabs>
          <w:tab w:val="left" w:pos="851"/>
        </w:tabs>
        <w:adjustRightInd w:val="0"/>
        <w:snapToGrid w:val="0"/>
        <w:spacing w:line="360" w:lineRule="auto"/>
        <w:ind w:firstLine="480" w:firstLineChars="200"/>
        <w:rPr>
          <w:rFonts w:ascii="宋体" w:hAnsi="宋体"/>
          <w:sz w:val="24"/>
          <w:szCs w:val="24"/>
        </w:rPr>
      </w:pPr>
      <w:r>
        <w:rPr>
          <w:rFonts w:hint="eastAsia" w:ascii="宋体" w:hAnsi="宋体"/>
          <w:sz w:val="24"/>
          <w:szCs w:val="24"/>
        </w:rPr>
        <w:t>（1）招标文件的规定存在歧义、重大缺陷的；</w:t>
      </w:r>
    </w:p>
    <w:p>
      <w:pPr>
        <w:tabs>
          <w:tab w:val="left" w:pos="851"/>
        </w:tabs>
        <w:adjustRightInd w:val="0"/>
        <w:snapToGrid w:val="0"/>
        <w:spacing w:line="360" w:lineRule="auto"/>
        <w:ind w:firstLine="480" w:firstLineChars="200"/>
        <w:rPr>
          <w:rFonts w:ascii="宋体" w:hAnsi="宋体"/>
          <w:sz w:val="24"/>
          <w:szCs w:val="24"/>
        </w:rPr>
      </w:pPr>
      <w:r>
        <w:rPr>
          <w:rFonts w:hint="eastAsia" w:ascii="宋体" w:hAnsi="宋体"/>
          <w:sz w:val="24"/>
          <w:szCs w:val="24"/>
        </w:rPr>
        <w:t>（2）招标文件明显以不合理条件对投标人实行差别待遇或者歧视待遇的；</w:t>
      </w:r>
    </w:p>
    <w:p>
      <w:pPr>
        <w:tabs>
          <w:tab w:val="left" w:pos="851"/>
        </w:tabs>
        <w:adjustRightInd w:val="0"/>
        <w:snapToGrid w:val="0"/>
        <w:spacing w:line="360" w:lineRule="auto"/>
        <w:ind w:firstLine="480" w:firstLineChars="200"/>
        <w:rPr>
          <w:rFonts w:ascii="宋体" w:hAnsi="宋体"/>
          <w:sz w:val="24"/>
          <w:szCs w:val="24"/>
        </w:rPr>
      </w:pPr>
      <w:r>
        <w:rPr>
          <w:rFonts w:hint="eastAsia" w:ascii="宋体" w:hAnsi="宋体"/>
          <w:sz w:val="24"/>
          <w:szCs w:val="24"/>
        </w:rPr>
        <w:t>（3）采购项目属于国家规定的优先、强制采购范围，但是招标文件未依法体现优先、强制采购相关规定的；</w:t>
      </w:r>
    </w:p>
    <w:p>
      <w:pPr>
        <w:tabs>
          <w:tab w:val="left" w:pos="851"/>
        </w:tabs>
        <w:adjustRightInd w:val="0"/>
        <w:snapToGrid w:val="0"/>
        <w:spacing w:line="360" w:lineRule="auto"/>
        <w:ind w:firstLine="480" w:firstLineChars="200"/>
        <w:rPr>
          <w:rFonts w:ascii="宋体" w:hAnsi="宋体"/>
          <w:sz w:val="24"/>
          <w:szCs w:val="24"/>
        </w:rPr>
      </w:pPr>
      <w:r>
        <w:rPr>
          <w:rFonts w:hint="eastAsia" w:ascii="宋体" w:hAnsi="宋体"/>
          <w:sz w:val="24"/>
          <w:szCs w:val="24"/>
        </w:rPr>
        <w:t>（4）采购项目属于政府采购促进中小企业发展的范围，但是招标文件未依法体现促进中小企业发展相关规定的；</w:t>
      </w:r>
    </w:p>
    <w:p>
      <w:pPr>
        <w:tabs>
          <w:tab w:val="left" w:pos="851"/>
        </w:tabs>
        <w:adjustRightInd w:val="0"/>
        <w:snapToGrid w:val="0"/>
        <w:spacing w:line="360" w:lineRule="auto"/>
        <w:ind w:firstLine="480" w:firstLineChars="200"/>
        <w:rPr>
          <w:rFonts w:ascii="宋体" w:hAnsi="宋体"/>
          <w:sz w:val="24"/>
          <w:szCs w:val="24"/>
        </w:rPr>
      </w:pPr>
      <w:r>
        <w:rPr>
          <w:rFonts w:hint="eastAsia" w:ascii="宋体" w:hAnsi="宋体"/>
          <w:sz w:val="24"/>
          <w:szCs w:val="24"/>
        </w:rPr>
        <w:t>（5）招标文件规定的评标方法是综合评分法、最低评标价法之外的评标方法，或者虽然名称为综合评分法、最低评标价法，但实际上不符合国家规定；</w:t>
      </w:r>
    </w:p>
    <w:p>
      <w:pPr>
        <w:tabs>
          <w:tab w:val="left" w:pos="851"/>
        </w:tabs>
        <w:adjustRightInd w:val="0"/>
        <w:snapToGrid w:val="0"/>
        <w:spacing w:line="360" w:lineRule="auto"/>
        <w:ind w:firstLine="480" w:firstLineChars="200"/>
        <w:rPr>
          <w:rFonts w:ascii="宋体" w:hAnsi="宋体"/>
          <w:sz w:val="24"/>
          <w:szCs w:val="24"/>
        </w:rPr>
      </w:pPr>
      <w:r>
        <w:rPr>
          <w:rFonts w:hint="eastAsia" w:ascii="宋体" w:hAnsi="宋体"/>
          <w:sz w:val="24"/>
          <w:szCs w:val="24"/>
        </w:rPr>
        <w:t>（6）招标文件将投标人的资格条件列为评分因素的；</w:t>
      </w:r>
    </w:p>
    <w:p>
      <w:pPr>
        <w:tabs>
          <w:tab w:val="left" w:pos="851"/>
        </w:tabs>
        <w:adjustRightInd w:val="0"/>
        <w:snapToGrid w:val="0"/>
        <w:spacing w:line="360" w:lineRule="auto"/>
        <w:ind w:firstLine="480" w:firstLineChars="200"/>
        <w:rPr>
          <w:rFonts w:ascii="宋体" w:hAnsi="宋体"/>
          <w:sz w:val="24"/>
          <w:szCs w:val="24"/>
        </w:rPr>
      </w:pPr>
      <w:r>
        <w:rPr>
          <w:rFonts w:hint="eastAsia" w:ascii="宋体" w:hAnsi="宋体"/>
          <w:sz w:val="24"/>
          <w:szCs w:val="24"/>
        </w:rPr>
        <w:t>（7）招标文件有违反国家其他有关强制性规定的情形。</w:t>
      </w:r>
    </w:p>
    <w:p>
      <w:pPr>
        <w:pStyle w:val="6"/>
        <w:numPr>
          <w:ilvl w:val="3"/>
          <w:numId w:val="0"/>
        </w:numPr>
        <w:tabs>
          <w:tab w:val="left" w:pos="993"/>
        </w:tabs>
        <w:adjustRightInd w:val="0"/>
        <w:snapToGrid w:val="0"/>
        <w:spacing w:before="0" w:after="0"/>
        <w:ind w:firstLine="480" w:firstLineChars="200"/>
        <w:rPr>
          <w:rFonts w:ascii="宋体" w:hAnsi="宋体"/>
          <w:b w:val="0"/>
          <w:bCs w:val="0"/>
          <w:sz w:val="24"/>
          <w:szCs w:val="24"/>
        </w:rPr>
      </w:pPr>
      <w:r>
        <w:rPr>
          <w:rFonts w:hint="eastAsia" w:ascii="宋体" w:hAnsi="宋体"/>
          <w:b w:val="0"/>
          <w:bCs w:val="0"/>
          <w:sz w:val="24"/>
          <w:szCs w:val="24"/>
        </w:rPr>
        <w:t>3.1.3出现本条</w:t>
      </w:r>
      <w:r>
        <w:rPr>
          <w:rFonts w:ascii="宋体" w:hAnsi="宋体"/>
          <w:b w:val="0"/>
          <w:bCs w:val="0"/>
          <w:sz w:val="24"/>
          <w:szCs w:val="24"/>
        </w:rPr>
        <w:t>3</w:t>
      </w:r>
      <w:r>
        <w:rPr>
          <w:rFonts w:hint="eastAsia" w:ascii="宋体" w:hAnsi="宋体"/>
          <w:b w:val="0"/>
          <w:bCs w:val="0"/>
          <w:sz w:val="24"/>
          <w:szCs w:val="24"/>
        </w:rPr>
        <w:t>.1</w:t>
      </w:r>
      <w:r>
        <w:rPr>
          <w:rFonts w:ascii="宋体" w:hAnsi="宋体"/>
          <w:b w:val="0"/>
          <w:bCs w:val="0"/>
          <w:sz w:val="24"/>
          <w:szCs w:val="24"/>
        </w:rPr>
        <w:t>.2</w:t>
      </w:r>
      <w:r>
        <w:rPr>
          <w:rFonts w:hint="eastAsia" w:ascii="宋体" w:hAnsi="宋体"/>
          <w:b w:val="0"/>
          <w:bCs w:val="0"/>
          <w:sz w:val="24"/>
          <w:szCs w:val="24"/>
        </w:rPr>
        <w:t>规定应当停止评标情形的，评标委员会成员应当向招标采购单位书面说明情况并经采购人或者采购代理机构确认。除本条规定和评标委员会无法依法组建的情形外，评标委员会成员不得以任何方式和理由停止评标。</w:t>
      </w:r>
    </w:p>
    <w:p>
      <w:pPr>
        <w:pStyle w:val="5"/>
        <w:numPr>
          <w:ilvl w:val="2"/>
          <w:numId w:val="0"/>
        </w:numPr>
        <w:ind w:firstLine="480" w:firstLineChars="200"/>
      </w:pPr>
      <w:r>
        <w:rPr>
          <w:rFonts w:hint="eastAsia"/>
        </w:rPr>
        <w:t>3.2资格性审查</w:t>
      </w:r>
    </w:p>
    <w:p>
      <w:pPr>
        <w:tabs>
          <w:tab w:val="left" w:pos="851"/>
        </w:tabs>
        <w:adjustRightInd w:val="0"/>
        <w:snapToGrid w:val="0"/>
        <w:spacing w:line="360" w:lineRule="auto"/>
        <w:ind w:firstLine="480" w:firstLineChars="200"/>
        <w:rPr>
          <w:rFonts w:ascii="宋体" w:hAnsi="宋体"/>
          <w:sz w:val="24"/>
          <w:szCs w:val="24"/>
        </w:rPr>
      </w:pPr>
      <w:r>
        <w:rPr>
          <w:rFonts w:hint="eastAsia" w:ascii="宋体" w:hAnsi="宋体"/>
          <w:sz w:val="24"/>
          <w:szCs w:val="24"/>
        </w:rPr>
        <w:t>采购人或采购代理机构应依据法律法规和本招标文件的规定，对投标文件是否按照规定要求提供资格性证明材料、是否属于禁止参加投标的供应商等进行审查， 以确定投标供应商是否具备投标资格。</w:t>
      </w:r>
    </w:p>
    <w:p>
      <w:pPr>
        <w:pStyle w:val="5"/>
        <w:numPr>
          <w:ilvl w:val="2"/>
          <w:numId w:val="0"/>
        </w:numPr>
        <w:ind w:firstLine="480" w:firstLineChars="200"/>
      </w:pPr>
      <w:r>
        <w:rPr>
          <w:rFonts w:hint="eastAsia"/>
        </w:rPr>
        <w:t>3.3符合性检查</w:t>
      </w:r>
    </w:p>
    <w:p>
      <w:pPr>
        <w:pStyle w:val="6"/>
        <w:numPr>
          <w:ilvl w:val="3"/>
          <w:numId w:val="0"/>
        </w:numPr>
        <w:tabs>
          <w:tab w:val="left" w:pos="993"/>
        </w:tabs>
        <w:adjustRightInd w:val="0"/>
        <w:snapToGrid w:val="0"/>
        <w:spacing w:before="0" w:after="0"/>
        <w:ind w:firstLine="480" w:firstLineChars="200"/>
        <w:rPr>
          <w:rFonts w:ascii="宋体" w:hAnsi="宋体"/>
          <w:b w:val="0"/>
          <w:bCs w:val="0"/>
          <w:sz w:val="24"/>
          <w:szCs w:val="24"/>
        </w:rPr>
      </w:pPr>
      <w:r>
        <w:rPr>
          <w:rFonts w:hint="eastAsia" w:ascii="宋体" w:hAnsi="宋体"/>
          <w:b w:val="0"/>
          <w:bCs w:val="0"/>
          <w:sz w:val="24"/>
          <w:szCs w:val="24"/>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6"/>
        <w:numPr>
          <w:ilvl w:val="3"/>
          <w:numId w:val="0"/>
        </w:numPr>
        <w:tabs>
          <w:tab w:val="left" w:pos="993"/>
        </w:tabs>
        <w:adjustRightInd w:val="0"/>
        <w:snapToGrid w:val="0"/>
        <w:spacing w:before="0" w:after="0"/>
        <w:ind w:firstLine="480" w:firstLineChars="200"/>
        <w:rPr>
          <w:rFonts w:ascii="宋体" w:hAnsi="宋体"/>
          <w:b w:val="0"/>
          <w:bCs w:val="0"/>
          <w:color w:val="000000" w:themeColor="text1"/>
          <w:sz w:val="24"/>
          <w:szCs w:val="24"/>
        </w:rPr>
      </w:pPr>
      <w:r>
        <w:rPr>
          <w:rFonts w:hint="eastAsia" w:ascii="宋体" w:hAnsi="宋体"/>
          <w:b w:val="0"/>
          <w:bCs w:val="0"/>
          <w:sz w:val="24"/>
          <w:szCs w:val="24"/>
        </w:rPr>
        <w:t>3.3.2投标文件（包括单独递交的开标一览表）有下列情形的，本项目不作为实质性要求进行规定，即不作为符合性审查事项，</w:t>
      </w:r>
      <w:r>
        <w:rPr>
          <w:rFonts w:hint="eastAsia" w:ascii="宋体" w:hAnsi="宋体"/>
          <w:b w:val="0"/>
          <w:bCs w:val="0"/>
          <w:color w:val="000000" w:themeColor="text1"/>
          <w:sz w:val="24"/>
          <w:szCs w:val="24"/>
        </w:rPr>
        <w:t>不得作为无效投标处理：</w:t>
      </w:r>
    </w:p>
    <w:p>
      <w:pPr>
        <w:spacing w:line="500" w:lineRule="exact"/>
        <w:ind w:firstLine="480" w:firstLineChars="200"/>
        <w:rPr>
          <w:rFonts w:hAnsi="宋体" w:cs="宋体"/>
          <w:color w:val="000000" w:themeColor="text1"/>
          <w:sz w:val="24"/>
          <w:szCs w:val="24"/>
        </w:rPr>
      </w:pPr>
      <w:r>
        <w:rPr>
          <w:rFonts w:hint="eastAsia" w:hAnsi="宋体" w:cs="宋体"/>
          <w:color w:val="000000" w:themeColor="text1"/>
          <w:sz w:val="24"/>
          <w:szCs w:val="24"/>
        </w:rPr>
        <w:t>（1）正副本数量齐全、密封完好，只是未按照招标文件要求进行分装或者统装的；</w:t>
      </w:r>
    </w:p>
    <w:p>
      <w:pPr>
        <w:spacing w:line="500" w:lineRule="exact"/>
        <w:ind w:firstLine="480" w:firstLineChars="200"/>
        <w:rPr>
          <w:rFonts w:hAnsi="宋体" w:cs="宋体"/>
          <w:color w:val="000000" w:themeColor="text1"/>
          <w:sz w:val="24"/>
          <w:szCs w:val="24"/>
        </w:rPr>
      </w:pPr>
      <w:r>
        <w:rPr>
          <w:rFonts w:hint="eastAsia" w:hAnsi="宋体" w:cs="宋体"/>
          <w:color w:val="000000" w:themeColor="text1"/>
          <w:sz w:val="24"/>
          <w:szCs w:val="24"/>
        </w:rPr>
        <w:t>（2）存在个别地方（不超过</w:t>
      </w:r>
      <w:r>
        <w:rPr>
          <w:rFonts w:hint="eastAsia" w:ascii="宋体" w:hAnsi="宋体" w:cs="宋体"/>
          <w:color w:val="000000" w:themeColor="text1"/>
          <w:sz w:val="24"/>
          <w:szCs w:val="24"/>
        </w:rPr>
        <w:t>2个</w:t>
      </w:r>
      <w:r>
        <w:rPr>
          <w:rFonts w:hint="eastAsia" w:hAnsi="宋体" w:cs="宋体"/>
          <w:color w:val="000000" w:themeColor="text1"/>
          <w:sz w:val="24"/>
          <w:szCs w:val="24"/>
        </w:rPr>
        <w:t>）没有法定代表人签字，但有法定代表人的私人印章或者有效授权代理人签字的；</w:t>
      </w:r>
    </w:p>
    <w:p>
      <w:pPr>
        <w:spacing w:line="500" w:lineRule="exact"/>
        <w:ind w:firstLine="480" w:firstLineChars="200"/>
        <w:rPr>
          <w:rFonts w:hAnsi="宋体" w:cs="宋体"/>
          <w:sz w:val="24"/>
          <w:szCs w:val="24"/>
        </w:rPr>
      </w:pPr>
      <w:r>
        <w:rPr>
          <w:rFonts w:hint="eastAsia" w:hAnsi="宋体" w:cs="宋体"/>
          <w:sz w:val="24"/>
          <w:szCs w:val="24"/>
        </w:rPr>
        <w:t>（3）除招标文件明确要求加盖单位（法人）公章的以外，其他地方以相关专用章加盖的；</w:t>
      </w:r>
    </w:p>
    <w:p>
      <w:pPr>
        <w:spacing w:line="500" w:lineRule="exact"/>
        <w:ind w:firstLine="480" w:firstLineChars="200"/>
        <w:rPr>
          <w:rFonts w:hAnsi="宋体" w:cs="宋体"/>
          <w:sz w:val="24"/>
          <w:szCs w:val="24"/>
        </w:rPr>
      </w:pPr>
      <w:r>
        <w:rPr>
          <w:rFonts w:hint="eastAsia" w:hAnsi="宋体" w:cs="宋体"/>
          <w:sz w:val="24"/>
          <w:szCs w:val="24"/>
        </w:rPr>
        <w:t>（4）以骑缝章的形式代替投标文件内容逐页盖章的（但是骑缝章模糊不清，印章名称无法辨认的除外）；</w:t>
      </w:r>
    </w:p>
    <w:p>
      <w:pPr>
        <w:spacing w:line="360" w:lineRule="auto"/>
        <w:ind w:firstLine="480" w:firstLineChars="200"/>
        <w:rPr>
          <w:rFonts w:hAnsi="宋体" w:cs="宋体"/>
          <w:sz w:val="24"/>
          <w:szCs w:val="24"/>
        </w:rPr>
      </w:pPr>
      <w:r>
        <w:rPr>
          <w:rFonts w:hint="eastAsia" w:hAnsi="宋体" w:cs="宋体"/>
          <w:sz w:val="24"/>
          <w:szCs w:val="24"/>
        </w:rPr>
        <w:t>（5）其他不影响采购项目实质性要求的情形。</w:t>
      </w:r>
    </w:p>
    <w:p>
      <w:pPr>
        <w:pStyle w:val="6"/>
        <w:numPr>
          <w:ilvl w:val="3"/>
          <w:numId w:val="0"/>
        </w:numPr>
        <w:tabs>
          <w:tab w:val="left" w:pos="993"/>
        </w:tabs>
        <w:adjustRightInd w:val="0"/>
        <w:snapToGrid w:val="0"/>
        <w:spacing w:before="0" w:after="0"/>
        <w:ind w:firstLine="480" w:firstLineChars="200"/>
        <w:rPr>
          <w:rFonts w:ascii="宋体" w:hAnsi="宋体"/>
          <w:b w:val="0"/>
          <w:bCs w:val="0"/>
          <w:sz w:val="24"/>
          <w:szCs w:val="24"/>
        </w:rPr>
      </w:pPr>
      <w:r>
        <w:rPr>
          <w:rFonts w:hint="eastAsia" w:ascii="宋体" w:hAnsi="宋体"/>
          <w:b w:val="0"/>
          <w:bCs w:val="0"/>
          <w:sz w:val="24"/>
          <w:szCs w:val="24"/>
        </w:rPr>
        <w:t>3.3.3除政府采购法律制度规定的情形外，本项目投标人或者其投标文件有下列情形之一的，作为无效投标处理：</w:t>
      </w:r>
    </w:p>
    <w:p>
      <w:pPr>
        <w:spacing w:line="360" w:lineRule="auto"/>
        <w:ind w:firstLine="480" w:firstLineChars="200"/>
        <w:rPr>
          <w:rFonts w:hAnsi="宋体" w:cs="宋体"/>
          <w:sz w:val="24"/>
          <w:szCs w:val="24"/>
        </w:rPr>
      </w:pPr>
      <w:r>
        <w:rPr>
          <w:rFonts w:hint="eastAsia" w:hAnsi="宋体" w:cs="宋体"/>
          <w:sz w:val="24"/>
          <w:szCs w:val="24"/>
        </w:rPr>
        <w:t>（1）投标文件正副本数量不足的；</w:t>
      </w:r>
    </w:p>
    <w:p>
      <w:pPr>
        <w:pStyle w:val="2"/>
        <w:spacing w:line="360" w:lineRule="auto"/>
        <w:rPr>
          <w:rFonts w:eastAsia="宋体"/>
        </w:rPr>
      </w:pPr>
      <w:r>
        <w:rPr>
          <w:rFonts w:hint="eastAsia" w:eastAsia="宋体"/>
        </w:rPr>
        <w:t xml:space="preserve">    </w:t>
      </w:r>
      <w:r>
        <w:rPr>
          <w:rFonts w:hint="eastAsia" w:ascii="Calibri" w:hAnsi="宋体" w:eastAsia="宋体" w:cs="宋体"/>
          <w:color w:val="auto"/>
          <w:kern w:val="2"/>
        </w:rPr>
        <w:t>（2）未按规定交纳投标保证金的；</w:t>
      </w:r>
    </w:p>
    <w:p>
      <w:pPr>
        <w:pStyle w:val="2"/>
        <w:spacing w:line="360" w:lineRule="auto"/>
        <w:rPr>
          <w:rFonts w:hAnsi="宋体" w:cs="宋体"/>
        </w:rPr>
      </w:pPr>
      <w:r>
        <w:rPr>
          <w:rFonts w:hint="eastAsia" w:ascii="Calibri" w:hAnsi="宋体" w:eastAsia="宋体" w:cs="宋体"/>
          <w:color w:val="auto"/>
          <w:kern w:val="2"/>
        </w:rPr>
        <w:t xml:space="preserve">    （3）投</w:t>
      </w:r>
      <w:r>
        <w:rPr>
          <w:rFonts w:hint="eastAsia" w:hAnsi="宋体" w:cs="宋体"/>
        </w:rPr>
        <w:t>标文件组成明显不符合招标文件的规定要求，影响评标委员会评判的；</w:t>
      </w:r>
    </w:p>
    <w:p>
      <w:pPr>
        <w:spacing w:line="360" w:lineRule="auto"/>
        <w:ind w:firstLine="480" w:firstLineChars="200"/>
        <w:rPr>
          <w:rFonts w:hAnsi="宋体" w:cs="宋体"/>
          <w:sz w:val="24"/>
          <w:szCs w:val="24"/>
        </w:rPr>
      </w:pPr>
      <w:r>
        <w:rPr>
          <w:rFonts w:hint="eastAsia" w:hAnsi="宋体" w:cs="宋体"/>
          <w:sz w:val="24"/>
          <w:szCs w:val="24"/>
        </w:rPr>
        <w:t>（4）投标文件的格式、语言、计量单位、报价货币、知识产权、投标有效期等不符合招标文件的规定，影响评标委员会评判的；</w:t>
      </w:r>
    </w:p>
    <w:p>
      <w:pPr>
        <w:spacing w:line="360" w:lineRule="auto"/>
        <w:ind w:firstLine="480" w:firstLineChars="200"/>
        <w:rPr>
          <w:rFonts w:hAnsi="宋体" w:cs="宋体"/>
          <w:sz w:val="24"/>
          <w:szCs w:val="24"/>
        </w:rPr>
      </w:pPr>
      <w:r>
        <w:rPr>
          <w:rFonts w:hint="eastAsia" w:hAnsi="宋体" w:cs="宋体"/>
          <w:sz w:val="24"/>
          <w:szCs w:val="24"/>
        </w:rPr>
        <w:t>（5）投标报价不符合招标文件规定的采购预算或者最高限价和其他报价规定的；</w:t>
      </w:r>
    </w:p>
    <w:p>
      <w:pPr>
        <w:spacing w:line="360" w:lineRule="auto"/>
        <w:ind w:firstLine="480" w:firstLineChars="200"/>
        <w:rPr>
          <w:rFonts w:hAnsi="宋体" w:cs="宋体"/>
          <w:sz w:val="24"/>
          <w:szCs w:val="24"/>
        </w:rPr>
      </w:pPr>
      <w:r>
        <w:rPr>
          <w:rFonts w:hint="eastAsia" w:hAnsi="宋体" w:cs="宋体"/>
          <w:sz w:val="24"/>
          <w:szCs w:val="24"/>
        </w:rPr>
        <w:t>（6）商务、服务应答内容没有完全响应招标文件的实质性要求的；</w:t>
      </w:r>
    </w:p>
    <w:p>
      <w:pPr>
        <w:spacing w:line="360" w:lineRule="auto"/>
        <w:ind w:firstLine="480" w:firstLineChars="200"/>
        <w:rPr>
          <w:rFonts w:hAnsi="宋体" w:cs="宋体"/>
          <w:sz w:val="24"/>
          <w:szCs w:val="24"/>
        </w:rPr>
      </w:pPr>
      <w:r>
        <w:rPr>
          <w:rFonts w:hint="eastAsia" w:hAnsi="宋体" w:cs="宋体"/>
          <w:sz w:val="24"/>
          <w:szCs w:val="24"/>
        </w:rPr>
        <w:t>（7）招标文件有明确要求，但投标文件未载明或者载明的采购项目履约时间、方式、数量与招标文件要求不一致的。</w:t>
      </w:r>
    </w:p>
    <w:p>
      <w:pPr>
        <w:spacing w:line="360" w:lineRule="auto"/>
        <w:ind w:firstLine="480" w:firstLineChars="200"/>
        <w:rPr>
          <w:rFonts w:hAnsi="宋体" w:cs="宋体"/>
          <w:color w:val="000000" w:themeColor="text1"/>
          <w:sz w:val="24"/>
          <w:szCs w:val="24"/>
        </w:rPr>
      </w:pPr>
      <w:r>
        <w:rPr>
          <w:rFonts w:hint="eastAsia" w:hAnsi="宋体" w:cs="宋体"/>
          <w:sz w:val="24"/>
          <w:szCs w:val="24"/>
        </w:rPr>
        <w:t>（8）</w:t>
      </w:r>
      <w:r>
        <w:rPr>
          <w:rFonts w:hint="eastAsia" w:hAnsi="宋体" w:cs="宋体"/>
          <w:color w:val="000000" w:themeColor="text1"/>
          <w:sz w:val="24"/>
          <w:szCs w:val="24"/>
        </w:rPr>
        <w:t>投标函、承诺函、开标一览表未按招标文件格式要求填写、盖章、签署的，法定代表人授权书未按相关法律法规要求完整签署、盖章，未完整提供相关身份证明文件的。</w:t>
      </w:r>
    </w:p>
    <w:p>
      <w:pPr>
        <w:pStyle w:val="18"/>
        <w:spacing w:before="1"/>
        <w:ind w:firstLine="720" w:firstLineChars="300"/>
        <w:rPr>
          <w:rFonts w:hAnsi="宋体" w:cs="宋体"/>
          <w:sz w:val="24"/>
          <w:szCs w:val="24"/>
        </w:rPr>
      </w:pPr>
      <w:r>
        <w:rPr>
          <w:rFonts w:hint="eastAsia" w:hAnsi="宋体" w:cs="宋体"/>
          <w:sz w:val="24"/>
          <w:szCs w:val="24"/>
        </w:rPr>
        <w:t>（9）不同投标人的投标文件由同一单位或个人编制；</w:t>
      </w:r>
    </w:p>
    <w:p>
      <w:pPr>
        <w:pStyle w:val="18"/>
        <w:spacing w:before="1"/>
        <w:ind w:firstLine="720" w:firstLineChars="300"/>
        <w:rPr>
          <w:rFonts w:hAnsi="宋体" w:cs="宋体"/>
          <w:sz w:val="24"/>
          <w:szCs w:val="24"/>
        </w:rPr>
      </w:pPr>
      <w:r>
        <w:rPr>
          <w:rFonts w:hint="eastAsia" w:hAnsi="宋体" w:cs="宋体"/>
          <w:sz w:val="24"/>
          <w:szCs w:val="24"/>
        </w:rPr>
        <w:t>（10）不同投标人委托同一单位或个人办理投标事宜；</w:t>
      </w:r>
    </w:p>
    <w:p>
      <w:pPr>
        <w:pStyle w:val="18"/>
        <w:spacing w:before="66"/>
        <w:ind w:firstLine="720" w:firstLineChars="300"/>
        <w:rPr>
          <w:rFonts w:hAnsi="宋体" w:cs="宋体"/>
          <w:sz w:val="24"/>
          <w:szCs w:val="24"/>
        </w:rPr>
      </w:pPr>
      <w:r>
        <w:rPr>
          <w:rFonts w:hint="eastAsia" w:hAnsi="宋体" w:cs="宋体"/>
          <w:sz w:val="24"/>
          <w:szCs w:val="24"/>
        </w:rPr>
        <w:t>（11）不同投标人的投标文件载明的项目管理成员或联系人员为同一人；</w:t>
      </w:r>
    </w:p>
    <w:p>
      <w:pPr>
        <w:pStyle w:val="18"/>
        <w:spacing w:before="91"/>
        <w:ind w:firstLine="720" w:firstLineChars="300"/>
        <w:rPr>
          <w:rFonts w:hAnsi="宋体" w:cs="宋体"/>
          <w:sz w:val="24"/>
          <w:szCs w:val="24"/>
        </w:rPr>
      </w:pPr>
      <w:r>
        <w:rPr>
          <w:rFonts w:hint="eastAsia" w:hAnsi="宋体" w:cs="宋体"/>
          <w:sz w:val="24"/>
          <w:szCs w:val="24"/>
        </w:rPr>
        <w:t>（12）不同投标人的投标文件异常一致或投标报价呈规律性差异；</w:t>
      </w:r>
    </w:p>
    <w:p>
      <w:pPr>
        <w:pStyle w:val="18"/>
        <w:spacing w:before="94"/>
        <w:ind w:firstLine="720" w:firstLineChars="300"/>
        <w:rPr>
          <w:rFonts w:hAnsi="宋体" w:cs="宋体"/>
          <w:sz w:val="24"/>
          <w:szCs w:val="24"/>
        </w:rPr>
      </w:pPr>
      <w:r>
        <w:rPr>
          <w:rFonts w:hint="eastAsia" w:hAnsi="宋体" w:cs="宋体"/>
          <w:sz w:val="24"/>
          <w:szCs w:val="24"/>
        </w:rPr>
        <w:t>（13）不同投标人的投标文件相互混装；</w:t>
      </w:r>
    </w:p>
    <w:p>
      <w:pPr>
        <w:pStyle w:val="18"/>
        <w:spacing w:before="93"/>
        <w:ind w:firstLine="720" w:firstLineChars="300"/>
        <w:rPr>
          <w:rFonts w:hAnsi="宋体" w:cs="宋体"/>
          <w:sz w:val="24"/>
          <w:szCs w:val="24"/>
        </w:rPr>
      </w:pPr>
      <w:r>
        <w:rPr>
          <w:rFonts w:hint="eastAsia" w:hAnsi="宋体" w:cs="宋体"/>
          <w:sz w:val="24"/>
          <w:szCs w:val="24"/>
        </w:rPr>
        <w:t>（14）不同投标人的投标保证金从同一单位或个人的账户转出；</w:t>
      </w:r>
    </w:p>
    <w:p>
      <w:pPr>
        <w:pStyle w:val="18"/>
        <w:spacing w:before="91"/>
        <w:ind w:firstLine="720" w:firstLineChars="300"/>
        <w:rPr>
          <w:rFonts w:hAnsi="宋体" w:cs="宋体"/>
          <w:sz w:val="24"/>
          <w:szCs w:val="24"/>
        </w:rPr>
      </w:pPr>
      <w:r>
        <w:rPr>
          <w:rFonts w:hint="eastAsia" w:hAnsi="宋体" w:cs="宋体"/>
          <w:sz w:val="24"/>
          <w:szCs w:val="24"/>
        </w:rPr>
        <w:t>（15）投标文件中含有采购人不能接受的附加条件的。</w:t>
      </w:r>
    </w:p>
    <w:p>
      <w:pPr>
        <w:pStyle w:val="5"/>
        <w:numPr>
          <w:ilvl w:val="2"/>
          <w:numId w:val="0"/>
        </w:numPr>
        <w:ind w:left="420"/>
      </w:pPr>
      <w:r>
        <w:rPr>
          <w:rFonts w:hint="eastAsia"/>
        </w:rPr>
        <w:t>3.4比较与评价</w:t>
      </w:r>
      <w:bookmarkStart w:id="332" w:name="_Hlk69202128"/>
    </w:p>
    <w:bookmarkEnd w:id="332"/>
    <w:p>
      <w:pPr>
        <w:spacing w:line="360" w:lineRule="auto"/>
        <w:ind w:firstLine="480" w:firstLineChars="200"/>
        <w:rPr>
          <w:sz w:val="24"/>
          <w:szCs w:val="24"/>
        </w:rPr>
      </w:pPr>
      <w:r>
        <w:rPr>
          <w:rFonts w:hint="eastAsia"/>
          <w:sz w:val="24"/>
          <w:szCs w:val="24"/>
        </w:rPr>
        <w:t>按招标文件中规定的评标方法和标准，对未作无效投标处理的投标文件进行技术、服务、商务等方面评估，综合比较与评价。</w:t>
      </w:r>
    </w:p>
    <w:p>
      <w:pPr>
        <w:pStyle w:val="5"/>
        <w:numPr>
          <w:ilvl w:val="2"/>
          <w:numId w:val="0"/>
        </w:numPr>
        <w:ind w:left="420"/>
      </w:pPr>
      <w:r>
        <w:rPr>
          <w:rFonts w:hint="eastAsia"/>
        </w:rPr>
        <w:t>3.5复核</w:t>
      </w:r>
    </w:p>
    <w:p>
      <w:pPr>
        <w:spacing w:line="360" w:lineRule="auto"/>
        <w:ind w:firstLine="480" w:firstLineChars="200"/>
        <w:rPr>
          <w:sz w:val="24"/>
          <w:szCs w:val="24"/>
        </w:rPr>
      </w:pPr>
      <w:r>
        <w:rPr>
          <w:rFonts w:hint="eastAsia"/>
          <w:sz w:val="24"/>
          <w:szCs w:val="24"/>
        </w:rPr>
        <w:t>评分汇总结束后，评标委员会应当进行复核，特别要对拟推荐为中标候选投标人的、报价最低的、投标文件被认定为无效的进行重点复核。</w:t>
      </w:r>
    </w:p>
    <w:p>
      <w:pPr>
        <w:pStyle w:val="5"/>
        <w:numPr>
          <w:ilvl w:val="2"/>
          <w:numId w:val="0"/>
        </w:numPr>
        <w:ind w:left="420"/>
      </w:pPr>
      <w:r>
        <w:rPr>
          <w:rFonts w:hint="eastAsia"/>
        </w:rPr>
        <w:t>3.6推荐中标候选投标人</w:t>
      </w:r>
    </w:p>
    <w:p>
      <w:pPr>
        <w:spacing w:line="360" w:lineRule="auto"/>
        <w:ind w:firstLine="480" w:firstLineChars="200"/>
        <w:rPr>
          <w:rFonts w:hAnsi="宋体" w:cs="宋体"/>
          <w:sz w:val="24"/>
          <w:szCs w:val="24"/>
        </w:rPr>
      </w:pPr>
      <w:r>
        <w:rPr>
          <w:rFonts w:hint="eastAsia" w:hAnsi="宋体" w:cs="宋体"/>
          <w:sz w:val="24"/>
          <w:szCs w:val="24"/>
        </w:rPr>
        <w:t>中标候选投标人应当排序。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投标人；报价相同且满足招标文件全部实质性要求且按照评审因素的量化指标评审得分也相同的并列，由采购人自主采取公平、择优的方式选择中标投标人。</w:t>
      </w:r>
    </w:p>
    <w:p>
      <w:pPr>
        <w:spacing w:line="360" w:lineRule="auto"/>
        <w:ind w:firstLine="480" w:firstLineChars="200"/>
        <w:rPr>
          <w:rFonts w:hAnsi="宋体" w:cs="宋体"/>
          <w:sz w:val="24"/>
          <w:szCs w:val="24"/>
        </w:rPr>
      </w:pPr>
      <w:r>
        <w:rPr>
          <w:rFonts w:hint="eastAsia" w:hAnsi="宋体" w:cs="宋体"/>
          <w:sz w:val="24"/>
          <w:szCs w:val="24"/>
        </w:rPr>
        <w:t>评标委员会可推荐的中标候选投标人数量不能满足招标文件规定的数量的，只有在获得采购人书面同意后，可以根据实际情况推荐中标候选投标人。未获得采购人的书面同意，评标委员会不得在招标文件规定之外推荐中标候选投标人，否则，采购人可以不予认可。</w:t>
      </w:r>
    </w:p>
    <w:p>
      <w:pPr>
        <w:pStyle w:val="5"/>
        <w:numPr>
          <w:ilvl w:val="2"/>
          <w:numId w:val="0"/>
        </w:numPr>
        <w:ind w:left="420"/>
      </w:pPr>
      <w:r>
        <w:rPr>
          <w:rFonts w:hint="eastAsia"/>
        </w:rPr>
        <w:t>3.7出具评标报告</w:t>
      </w:r>
    </w:p>
    <w:p>
      <w:pPr>
        <w:spacing w:line="360" w:lineRule="auto"/>
        <w:ind w:firstLine="480" w:firstLineChars="200"/>
        <w:rPr>
          <w:sz w:val="24"/>
          <w:szCs w:val="24"/>
        </w:rPr>
      </w:pPr>
      <w:r>
        <w:rPr>
          <w:rFonts w:hint="eastAsia"/>
          <w:sz w:val="24"/>
          <w:szCs w:val="24"/>
        </w:rPr>
        <w:t>评标委员会推荐中标候选投标人后，应当向招标采购单位出具评标报告。评标报告应当包括下列内容：</w:t>
      </w:r>
    </w:p>
    <w:p>
      <w:pPr>
        <w:spacing w:line="500" w:lineRule="exact"/>
        <w:ind w:firstLine="480" w:firstLineChars="200"/>
        <w:rPr>
          <w:rFonts w:hAnsi="宋体" w:cs="宋体"/>
          <w:sz w:val="24"/>
          <w:szCs w:val="24"/>
        </w:rPr>
      </w:pPr>
      <w:r>
        <w:rPr>
          <w:rFonts w:hint="eastAsia" w:hAnsi="宋体" w:cs="宋体"/>
          <w:sz w:val="24"/>
          <w:szCs w:val="24"/>
        </w:rPr>
        <w:t>（1）招标公告刊登的媒体名称、开标日期和地点；</w:t>
      </w:r>
    </w:p>
    <w:p>
      <w:pPr>
        <w:spacing w:line="500" w:lineRule="exact"/>
        <w:ind w:firstLine="480" w:firstLineChars="200"/>
        <w:rPr>
          <w:rFonts w:hAnsi="宋体" w:cs="宋体"/>
          <w:sz w:val="24"/>
          <w:szCs w:val="24"/>
        </w:rPr>
      </w:pPr>
      <w:r>
        <w:rPr>
          <w:rFonts w:hint="eastAsia" w:hAnsi="宋体" w:cs="宋体"/>
          <w:sz w:val="24"/>
          <w:szCs w:val="24"/>
        </w:rPr>
        <w:t>（2）获取招标文件的投标人名单和评标委员会成员名单；</w:t>
      </w:r>
    </w:p>
    <w:p>
      <w:pPr>
        <w:spacing w:line="500" w:lineRule="exact"/>
        <w:ind w:firstLine="480" w:firstLineChars="200"/>
        <w:rPr>
          <w:rFonts w:hAnsi="宋体" w:cs="宋体"/>
          <w:sz w:val="24"/>
          <w:szCs w:val="24"/>
        </w:rPr>
      </w:pPr>
      <w:r>
        <w:rPr>
          <w:rFonts w:hint="eastAsia" w:hAnsi="宋体" w:cs="宋体"/>
          <w:sz w:val="24"/>
          <w:szCs w:val="24"/>
        </w:rPr>
        <w:t>（3）评标方法和标准；</w:t>
      </w:r>
    </w:p>
    <w:p>
      <w:pPr>
        <w:spacing w:line="500" w:lineRule="exact"/>
        <w:ind w:firstLine="480" w:firstLineChars="200"/>
        <w:rPr>
          <w:rFonts w:hAnsi="宋体" w:cs="宋体"/>
          <w:sz w:val="24"/>
          <w:szCs w:val="24"/>
        </w:rPr>
      </w:pPr>
      <w:r>
        <w:rPr>
          <w:rFonts w:hint="eastAsia" w:hAnsi="宋体" w:cs="宋体"/>
          <w:sz w:val="24"/>
          <w:szCs w:val="24"/>
        </w:rPr>
        <w:t>（4）开标记录和评标情况及说明，包括无效投标人名单及原因；</w:t>
      </w:r>
    </w:p>
    <w:p>
      <w:pPr>
        <w:spacing w:line="500" w:lineRule="exact"/>
        <w:ind w:firstLine="480" w:firstLineChars="200"/>
        <w:rPr>
          <w:rFonts w:hAnsi="宋体" w:cs="宋体"/>
          <w:sz w:val="24"/>
          <w:szCs w:val="24"/>
        </w:rPr>
      </w:pPr>
      <w:r>
        <w:rPr>
          <w:rFonts w:hint="eastAsia" w:hAnsi="宋体" w:cs="宋体"/>
          <w:sz w:val="24"/>
          <w:szCs w:val="24"/>
        </w:rPr>
        <w:t>（5）评标结果和中标候选投标人排序表；</w:t>
      </w:r>
    </w:p>
    <w:p>
      <w:pPr>
        <w:spacing w:line="500" w:lineRule="exact"/>
        <w:ind w:firstLine="480" w:firstLineChars="200"/>
        <w:rPr>
          <w:rFonts w:hAnsi="宋体" w:cs="宋体"/>
          <w:sz w:val="24"/>
          <w:szCs w:val="24"/>
        </w:rPr>
      </w:pPr>
      <w:r>
        <w:rPr>
          <w:rFonts w:hint="eastAsia" w:hAnsi="宋体" w:cs="宋体"/>
          <w:sz w:val="24"/>
          <w:szCs w:val="24"/>
        </w:rPr>
        <w:t>（6）评标委员会授标建议；</w:t>
      </w:r>
    </w:p>
    <w:p>
      <w:pPr>
        <w:spacing w:line="500" w:lineRule="exact"/>
        <w:ind w:firstLine="480" w:firstLineChars="200"/>
        <w:rPr>
          <w:rFonts w:hAnsi="宋体" w:cs="宋体"/>
          <w:sz w:val="24"/>
          <w:szCs w:val="24"/>
        </w:rPr>
      </w:pPr>
      <w:r>
        <w:rPr>
          <w:rFonts w:hint="eastAsia" w:hAnsi="宋体" w:cs="宋体"/>
          <w:sz w:val="24"/>
          <w:szCs w:val="24"/>
        </w:rPr>
        <w:t>（7）报价最高的投标人为中标候选人的，评标委员会应当对其报价的合理性予以特别说明。</w:t>
      </w:r>
    </w:p>
    <w:p>
      <w:pPr>
        <w:pStyle w:val="18"/>
        <w:spacing w:line="312" w:lineRule="auto"/>
        <w:ind w:right="311" w:firstLine="480" w:firstLineChars="200"/>
        <w:rPr>
          <w:rFonts w:hAnsi="宋体" w:cs="宋体"/>
          <w:sz w:val="24"/>
          <w:szCs w:val="24"/>
        </w:rPr>
      </w:pPr>
      <w:r>
        <w:rPr>
          <w:rFonts w:hint="eastAsia" w:hAnsi="宋体" w:cs="宋体"/>
          <w:sz w:val="24"/>
          <w:szCs w:val="24"/>
        </w:rPr>
        <w:t>（8）其他需要说明的情况，包括评标过程中投标人根据评标委员会要求进行的澄清、说明或者补正，评标委员会成员的更换等。</w:t>
      </w:r>
    </w:p>
    <w:p>
      <w:pPr>
        <w:spacing w:line="360" w:lineRule="auto"/>
        <w:ind w:firstLine="480" w:firstLineChars="200"/>
        <w:rPr>
          <w:rFonts w:hAnsi="宋体" w:cs="宋体"/>
          <w:sz w:val="24"/>
          <w:szCs w:val="24"/>
        </w:rPr>
      </w:pPr>
      <w:r>
        <w:rPr>
          <w:rFonts w:hint="eastAsia" w:hAnsi="宋体" w:cs="宋体"/>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5"/>
        <w:numPr>
          <w:ilvl w:val="2"/>
          <w:numId w:val="0"/>
        </w:numPr>
        <w:ind w:left="420"/>
      </w:pPr>
      <w:r>
        <w:rPr>
          <w:rFonts w:hint="eastAsia"/>
        </w:rPr>
        <w:t>3.8评标争议处理规则</w:t>
      </w:r>
    </w:p>
    <w:p>
      <w:pPr>
        <w:spacing w:line="360" w:lineRule="auto"/>
        <w:ind w:firstLine="480" w:firstLineChars="200"/>
        <w:rPr>
          <w:rFonts w:hAnsi="宋体" w:cs="宋体"/>
          <w:sz w:val="24"/>
          <w:szCs w:val="24"/>
        </w:rPr>
      </w:pPr>
      <w:r>
        <w:rPr>
          <w:rFonts w:hint="eastAsia" w:hAnsi="宋体" w:cs="宋体"/>
          <w:sz w:val="24"/>
          <w:szCs w:val="24"/>
        </w:rPr>
        <w:t>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pStyle w:val="5"/>
        <w:numPr>
          <w:ilvl w:val="2"/>
          <w:numId w:val="0"/>
        </w:numPr>
        <w:ind w:left="420"/>
      </w:pPr>
      <w:r>
        <w:rPr>
          <w:rFonts w:hint="eastAsia"/>
        </w:rPr>
        <w:t>3.9投标人应当书面澄清、说明或者更正</w:t>
      </w:r>
    </w:p>
    <w:p>
      <w:pPr>
        <w:spacing w:line="360" w:lineRule="auto"/>
        <w:ind w:firstLine="480" w:firstLineChars="200"/>
        <w:rPr>
          <w:rFonts w:hAnsi="宋体" w:cs="宋体"/>
          <w:sz w:val="24"/>
          <w:szCs w:val="24"/>
        </w:rPr>
      </w:pPr>
      <w:r>
        <w:rPr>
          <w:rFonts w:hint="eastAsia" w:hAnsi="宋体" w:cs="宋体"/>
          <w:sz w:val="24"/>
          <w:szCs w:val="24"/>
        </w:rPr>
        <w:t>3.9.1在评标过程中，投标人技术、服务性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pPr>
        <w:spacing w:line="360" w:lineRule="auto"/>
        <w:ind w:firstLine="480" w:firstLineChars="200"/>
        <w:rPr>
          <w:rFonts w:hAnsi="宋体" w:cs="宋体"/>
          <w:sz w:val="24"/>
          <w:szCs w:val="24"/>
        </w:rPr>
      </w:pPr>
      <w:r>
        <w:rPr>
          <w:rFonts w:hint="eastAsia" w:hAnsi="宋体" w:cs="宋体"/>
          <w:sz w:val="24"/>
          <w:szCs w:val="24"/>
        </w:rPr>
        <w:t>3.9.2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pPr>
        <w:spacing w:line="360" w:lineRule="auto"/>
        <w:ind w:firstLine="480" w:firstLineChars="200"/>
        <w:rPr>
          <w:rFonts w:hAnsi="宋体" w:cs="宋体"/>
          <w:sz w:val="24"/>
          <w:szCs w:val="24"/>
        </w:rPr>
      </w:pPr>
      <w:r>
        <w:rPr>
          <w:rFonts w:hint="eastAsia" w:hAnsi="宋体" w:cs="宋体"/>
          <w:sz w:val="24"/>
          <w:szCs w:val="24"/>
        </w:rPr>
        <w:t>3.9.3评标委员会要求投标人澄清、说明或者更正，不得超出招标文件的范围，不得以此让投标人实质改变投标文件的内容，不得影响投标人公平竞争。本项目下列内容不得澄清：</w:t>
      </w:r>
    </w:p>
    <w:p>
      <w:pPr>
        <w:spacing w:line="360" w:lineRule="auto"/>
        <w:ind w:firstLine="480" w:firstLineChars="200"/>
        <w:rPr>
          <w:rFonts w:hAnsi="宋体" w:cs="宋体"/>
          <w:sz w:val="24"/>
          <w:szCs w:val="24"/>
        </w:rPr>
      </w:pPr>
      <w:r>
        <w:rPr>
          <w:rFonts w:hint="eastAsia" w:hAnsi="宋体" w:cs="宋体"/>
          <w:sz w:val="24"/>
          <w:szCs w:val="24"/>
        </w:rPr>
        <w:t>（1）按财政部规定应当在评标时不予承认的投标文件内容事项；</w:t>
      </w:r>
    </w:p>
    <w:p>
      <w:pPr>
        <w:spacing w:line="360" w:lineRule="auto"/>
        <w:ind w:firstLine="480" w:firstLineChars="200"/>
        <w:rPr>
          <w:rFonts w:hAnsi="宋体" w:cs="宋体"/>
          <w:sz w:val="24"/>
          <w:szCs w:val="24"/>
        </w:rPr>
      </w:pPr>
      <w:r>
        <w:rPr>
          <w:rFonts w:hint="eastAsia" w:hAnsi="宋体" w:cs="宋体"/>
          <w:sz w:val="24"/>
          <w:szCs w:val="24"/>
        </w:rPr>
        <w:t>（2）投标文件中已经明确的内容事项；</w:t>
      </w:r>
    </w:p>
    <w:p>
      <w:pPr>
        <w:spacing w:line="360" w:lineRule="auto"/>
        <w:ind w:firstLine="480" w:firstLineChars="200"/>
        <w:rPr>
          <w:rFonts w:hAnsi="宋体" w:cs="宋体"/>
          <w:sz w:val="24"/>
          <w:szCs w:val="24"/>
        </w:rPr>
      </w:pPr>
      <w:r>
        <w:rPr>
          <w:rFonts w:hint="eastAsia" w:hAnsi="宋体" w:cs="宋体"/>
          <w:sz w:val="24"/>
          <w:szCs w:val="24"/>
        </w:rPr>
        <w:t>（3）投标文件未提供的材料。</w:t>
      </w:r>
    </w:p>
    <w:p>
      <w:pPr>
        <w:spacing w:line="500" w:lineRule="exact"/>
        <w:ind w:firstLine="480" w:firstLineChars="200"/>
        <w:rPr>
          <w:rFonts w:hAnsi="宋体" w:cs="宋体"/>
          <w:sz w:val="24"/>
          <w:szCs w:val="24"/>
        </w:rPr>
      </w:pPr>
      <w:r>
        <w:rPr>
          <w:rFonts w:hint="eastAsia" w:hAnsi="宋体" w:cs="宋体"/>
          <w:sz w:val="24"/>
          <w:szCs w:val="24"/>
        </w:rPr>
        <w:t>3.9.4本项目采购过程中，投标文件出现下列情况的，不需要投标人澄清、说明或者更正，按照以下原则处理：</w:t>
      </w:r>
    </w:p>
    <w:p>
      <w:pPr>
        <w:spacing w:line="360" w:lineRule="auto"/>
        <w:ind w:firstLine="480" w:firstLineChars="200"/>
        <w:rPr>
          <w:rFonts w:hAnsi="宋体" w:cs="宋体"/>
          <w:sz w:val="24"/>
          <w:szCs w:val="24"/>
        </w:rPr>
      </w:pPr>
      <w:r>
        <w:rPr>
          <w:rFonts w:hint="eastAsia" w:hAnsi="宋体" w:cs="宋体"/>
          <w:sz w:val="24"/>
          <w:szCs w:val="24"/>
        </w:rPr>
        <w:t>（1）投标文件的大写金额和小写金额不一致的，以大写金额为准，但大写金额出现文字错误，导致金额无法判断的除外；</w:t>
      </w:r>
    </w:p>
    <w:p>
      <w:pPr>
        <w:spacing w:line="360" w:lineRule="auto"/>
        <w:ind w:firstLine="480" w:firstLineChars="200"/>
        <w:rPr>
          <w:rFonts w:hAnsi="宋体" w:cs="宋体"/>
          <w:sz w:val="24"/>
          <w:szCs w:val="24"/>
        </w:rPr>
      </w:pPr>
      <w:r>
        <w:rPr>
          <w:rFonts w:hint="eastAsia" w:hAnsi="宋体" w:cs="宋体"/>
          <w:sz w:val="24"/>
          <w:szCs w:val="24"/>
        </w:rPr>
        <w:t>（2）大写金额和小写金额不一致的，以大写金额为准；</w:t>
      </w:r>
    </w:p>
    <w:p>
      <w:pPr>
        <w:spacing w:line="360" w:lineRule="auto"/>
        <w:ind w:firstLine="480" w:firstLineChars="200"/>
        <w:rPr>
          <w:rFonts w:hAnsi="宋体" w:cs="宋体"/>
          <w:sz w:val="24"/>
          <w:szCs w:val="24"/>
        </w:rPr>
      </w:pPr>
      <w:r>
        <w:rPr>
          <w:rFonts w:hint="eastAsia" w:hAnsi="宋体" w:cs="宋体"/>
          <w:sz w:val="24"/>
          <w:szCs w:val="24"/>
        </w:rPr>
        <w:t>（3）单价金额小数点或者百分比有明显错位的，以总价为准，并修改单价；</w:t>
      </w:r>
    </w:p>
    <w:p>
      <w:pPr>
        <w:spacing w:line="360" w:lineRule="auto"/>
        <w:ind w:firstLine="480" w:firstLineChars="200"/>
        <w:rPr>
          <w:rFonts w:hAnsi="宋体" w:cs="宋体"/>
          <w:sz w:val="24"/>
          <w:szCs w:val="24"/>
        </w:rPr>
      </w:pPr>
      <w:r>
        <w:rPr>
          <w:rFonts w:hint="eastAsia" w:hAnsi="宋体" w:cs="宋体"/>
          <w:sz w:val="24"/>
          <w:szCs w:val="24"/>
        </w:rPr>
        <w:t>（4）总价金额与按单价汇总金额不一致的，以单价金额计算结果为准。</w:t>
      </w:r>
    </w:p>
    <w:p>
      <w:pPr>
        <w:pStyle w:val="18"/>
        <w:spacing w:line="360" w:lineRule="auto"/>
        <w:ind w:right="311" w:firstLine="480"/>
        <w:rPr>
          <w:rFonts w:hAnsi="宋体" w:cs="宋体"/>
          <w:sz w:val="24"/>
          <w:szCs w:val="24"/>
        </w:rPr>
      </w:pPr>
      <w:r>
        <w:rPr>
          <w:rFonts w:hint="eastAsia" w:hAnsi="宋体" w:cs="宋体"/>
          <w:sz w:val="24"/>
          <w:szCs w:val="24"/>
        </w:rPr>
        <w:t>同时出现两种以上不一致的，按照前款规定的顺序修正。修正后的报价按照招标文件第七章第 3.9.2 条的规定经投标人确认后产生约束力，投标人不确认的，其投标无效。</w:t>
      </w:r>
    </w:p>
    <w:p>
      <w:pPr>
        <w:pStyle w:val="18"/>
        <w:spacing w:line="360" w:lineRule="auto"/>
        <w:ind w:right="311" w:firstLine="480"/>
        <w:rPr>
          <w:rFonts w:hAnsi="宋体" w:cs="宋体"/>
          <w:sz w:val="24"/>
          <w:szCs w:val="24"/>
        </w:rPr>
      </w:pPr>
      <w:r>
        <w:rPr>
          <w:rFonts w:hint="eastAsia" w:hAnsi="宋体" w:cs="宋体"/>
          <w:sz w:val="24"/>
          <w:szCs w:val="24"/>
        </w:rPr>
        <w:t>出现本条第（4）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pPr>
        <w:pStyle w:val="8"/>
        <w:numPr>
          <w:ilvl w:val="5"/>
          <w:numId w:val="0"/>
        </w:numPr>
        <w:spacing w:before="2" w:line="312" w:lineRule="auto"/>
        <w:ind w:right="277"/>
        <w:rPr>
          <w:rFonts w:ascii="宋体" w:hAnsi="宋体" w:cs="宋体"/>
          <w:b w:val="0"/>
          <w:sz w:val="24"/>
          <w:szCs w:val="24"/>
        </w:rPr>
      </w:pPr>
      <w:r>
        <w:rPr>
          <w:rFonts w:hint="eastAsia"/>
        </w:rPr>
        <w:t xml:space="preserve">注： </w:t>
      </w:r>
      <w:r>
        <w:rPr>
          <w:rFonts w:hint="eastAsia" w:ascii="宋体" w:hAnsi="宋体" w:cs="宋体"/>
          <w:b w:val="0"/>
          <w:sz w:val="24"/>
          <w:szCs w:val="24"/>
        </w:rPr>
        <w:t>1.若单独递交的“开标一览表”总价与投标文件中报价不一致的以单独递交的“开标一览表”为准，且各单价不再按上述原则修正，而均应按单独递交的“开标一览表”总价与投标文件中总价的比值进行同比上下浮动修正并按招标文件第七章第 3.9.2 条的规定经投标人确认后产生约束力，投标人不确认的，其投标无效。</w:t>
      </w:r>
    </w:p>
    <w:p>
      <w:pPr>
        <w:pStyle w:val="157"/>
        <w:spacing w:line="360" w:lineRule="auto"/>
        <w:ind w:firstLine="720" w:firstLineChars="300"/>
        <w:jc w:val="both"/>
        <w:rPr>
          <w:bCs/>
        </w:rPr>
      </w:pPr>
      <w:r>
        <w:rPr>
          <w:rFonts w:hint="eastAsia"/>
          <w:bCs/>
        </w:rPr>
        <w:t>2.评标委员会应当积极履行澄清、说明或者更正的职责，不得滥用权力。投标人的投标文件可以要求澄清、说明或者更正的，不得未经澄清、说明或者更正而直接作无效投标处理。</w:t>
      </w:r>
    </w:p>
    <w:p>
      <w:pPr>
        <w:pStyle w:val="199"/>
        <w:tabs>
          <w:tab w:val="left" w:pos="1409"/>
        </w:tabs>
        <w:spacing w:before="1" w:line="312" w:lineRule="auto"/>
        <w:ind w:right="311" w:firstLine="480"/>
        <w:jc w:val="left"/>
        <w:rPr>
          <w:rFonts w:ascii="宋体" w:hAnsi="宋体" w:cs="宋体"/>
          <w:bCs/>
          <w:sz w:val="24"/>
          <w:szCs w:val="24"/>
        </w:rPr>
      </w:pPr>
      <w:r>
        <w:rPr>
          <w:rFonts w:hint="eastAsia" w:ascii="宋体" w:hAnsi="宋体" w:cs="宋体"/>
          <w:bCs/>
          <w:sz w:val="24"/>
          <w:szCs w:val="24"/>
        </w:rPr>
        <w:t>3.10低于成本价投标处理。</w:t>
      </w:r>
      <w:r>
        <w:rPr>
          <w:rFonts w:hint="eastAsia" w:ascii="宋体" w:hAnsi="宋体" w:cs="宋体"/>
          <w:bCs/>
          <w:sz w:val="24"/>
          <w:szCs w:val="24"/>
          <w:lang w:val="zh-CN"/>
        </w:rPr>
        <w:t>评标委员会认为投标人的报价明显低于其他通过符合性审查投标人的报价，有可能影响产品质量或者不能诚信履约的，</w:t>
      </w:r>
      <w:r>
        <w:rPr>
          <w:rFonts w:hint="eastAsia" w:ascii="宋体" w:hAnsi="宋体" w:cs="宋体"/>
          <w:bCs/>
          <w:sz w:val="24"/>
          <w:szCs w:val="24"/>
        </w:rPr>
        <w:t>评标委员会</w:t>
      </w:r>
      <w:r>
        <w:rPr>
          <w:rFonts w:hint="eastAsia" w:ascii="宋体" w:hAnsi="宋体" w:cs="宋体"/>
          <w:bCs/>
          <w:sz w:val="24"/>
          <w:szCs w:val="24"/>
          <w:lang w:val="zh-CN"/>
        </w:rPr>
        <w:t>应当要求其在评标现场合理的时间内提供</w:t>
      </w:r>
      <w:r>
        <w:rPr>
          <w:rFonts w:hint="eastAsia" w:ascii="宋体" w:hAnsi="宋体" w:cs="宋体"/>
          <w:bCs/>
          <w:sz w:val="24"/>
          <w:szCs w:val="24"/>
        </w:rPr>
        <w:t>成本构成</w:t>
      </w:r>
      <w:r>
        <w:rPr>
          <w:rFonts w:hint="eastAsia" w:ascii="宋体" w:hAnsi="宋体" w:cs="宋体"/>
          <w:bCs/>
          <w:sz w:val="24"/>
          <w:szCs w:val="24"/>
          <w:lang w:val="zh-CN"/>
        </w:rPr>
        <w:t>书面说明，必要时提交相关证明材料；</w:t>
      </w:r>
      <w:r>
        <w:rPr>
          <w:rFonts w:hint="eastAsia" w:ascii="宋体" w:hAnsi="宋体" w:cs="宋体"/>
          <w:bCs/>
          <w:sz w:val="24"/>
          <w:szCs w:val="24"/>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18"/>
        <w:spacing w:before="1" w:line="312" w:lineRule="auto"/>
        <w:ind w:right="311" w:firstLine="480" w:firstLineChars="200"/>
        <w:rPr>
          <w:rFonts w:ascii="宋体" w:hAnsi="宋体" w:cs="宋体"/>
          <w:bCs/>
          <w:sz w:val="24"/>
          <w:szCs w:val="24"/>
        </w:rPr>
      </w:pPr>
      <w:r>
        <w:rPr>
          <w:rFonts w:hint="eastAsia" w:ascii="宋体" w:hAnsi="宋体" w:cs="宋体"/>
          <w:bCs/>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199"/>
        <w:tabs>
          <w:tab w:val="left" w:pos="1409"/>
        </w:tabs>
        <w:spacing w:before="1" w:line="312" w:lineRule="auto"/>
        <w:ind w:right="311" w:firstLine="480"/>
        <w:jc w:val="left"/>
        <w:rPr>
          <w:rFonts w:ascii="宋体" w:hAnsi="宋体" w:cs="宋体"/>
          <w:bCs/>
          <w:sz w:val="24"/>
          <w:szCs w:val="24"/>
        </w:rPr>
      </w:pPr>
      <w:r>
        <w:rPr>
          <w:rFonts w:hint="eastAsia" w:ascii="宋体" w:hAnsi="宋体" w:cs="宋体"/>
          <w:bCs/>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pStyle w:val="5"/>
        <w:numPr>
          <w:ilvl w:val="2"/>
          <w:numId w:val="0"/>
        </w:numPr>
        <w:ind w:firstLine="480" w:firstLineChars="200"/>
      </w:pPr>
      <w:r>
        <w:rPr>
          <w:rFonts w:hint="eastAsia"/>
        </w:rPr>
        <w:t>3.11招标采购单位现场复核评标结果。</w:t>
      </w:r>
    </w:p>
    <w:p>
      <w:pPr>
        <w:pStyle w:val="157"/>
        <w:spacing w:line="360" w:lineRule="auto"/>
        <w:ind w:firstLine="480" w:firstLineChars="200"/>
        <w:jc w:val="both"/>
      </w:pPr>
      <w:r>
        <w:rPr>
          <w:rFonts w:hint="eastAsia"/>
        </w:rPr>
        <w:t>3.11.1评标结果汇总完成后，评标委员会拟出具评标报告前，招标采购单位应当组织2名以上的相关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pPr>
        <w:pStyle w:val="157"/>
        <w:spacing w:line="360" w:lineRule="auto"/>
        <w:ind w:firstLine="480" w:firstLineChars="200"/>
        <w:jc w:val="both"/>
      </w:pPr>
      <w:r>
        <w:rPr>
          <w:rFonts w:hint="eastAsia"/>
        </w:rPr>
        <w:t>（一）分值汇总计算错误的；</w:t>
      </w:r>
    </w:p>
    <w:p>
      <w:pPr>
        <w:pStyle w:val="157"/>
        <w:spacing w:line="360" w:lineRule="auto"/>
        <w:ind w:firstLine="480" w:firstLineChars="200"/>
        <w:jc w:val="both"/>
      </w:pPr>
      <w:r>
        <w:rPr>
          <w:rFonts w:hint="eastAsia"/>
        </w:rPr>
        <w:t>（二）分项评分超出评分标准范围的；</w:t>
      </w:r>
    </w:p>
    <w:p>
      <w:pPr>
        <w:pStyle w:val="157"/>
        <w:spacing w:line="360" w:lineRule="auto"/>
        <w:ind w:firstLine="480" w:firstLineChars="200"/>
        <w:jc w:val="both"/>
      </w:pPr>
      <w:r>
        <w:rPr>
          <w:rFonts w:hint="eastAsia"/>
        </w:rPr>
        <w:t>（三）客观评审因素评分不一致的；</w:t>
      </w:r>
    </w:p>
    <w:p>
      <w:pPr>
        <w:pStyle w:val="157"/>
        <w:spacing w:line="360" w:lineRule="auto"/>
        <w:ind w:firstLine="480" w:firstLineChars="200"/>
        <w:jc w:val="both"/>
      </w:pPr>
      <w:r>
        <w:rPr>
          <w:rFonts w:hint="eastAsia"/>
        </w:rPr>
        <w:t>（四）经评标委员会认定评分畸高、畸低的。</w:t>
      </w:r>
    </w:p>
    <w:p>
      <w:pPr>
        <w:pStyle w:val="18"/>
        <w:spacing w:before="94" w:line="312" w:lineRule="auto"/>
        <w:ind w:left="328" w:right="311" w:firstLine="480"/>
        <w:rPr>
          <w:rFonts w:ascii="宋体" w:hAnsi="宋体" w:cs="宋体"/>
          <w:sz w:val="24"/>
          <w:szCs w:val="24"/>
        </w:rPr>
      </w:pPr>
      <w:r>
        <w:rPr>
          <w:rFonts w:hint="eastAsia" w:ascii="宋体" w:hAnsi="宋体" w:cs="宋体"/>
          <w:sz w:val="24"/>
          <w:szCs w:val="24"/>
        </w:rPr>
        <w:t>评标报告签署前，经复核发现存在上述情形的，评标委员会应当当场修改评标结果，并在评标报告中记载；评标报告签署后，采购人或者采购代理机构发现存在上述情形的，应当组织原评标委员会进行重新评审，重新评审改变评标结果的，书面报告本级财政部门。投标人对上述四种情形提出质疑的，采购人或者采购代理机构可以组织原评标委员会进行重新评审，重新评审改变评标结果的，应当书面报告本级财政部门。</w:t>
      </w:r>
    </w:p>
    <w:p>
      <w:pPr>
        <w:pStyle w:val="18"/>
        <w:spacing w:before="1" w:line="312" w:lineRule="auto"/>
        <w:ind w:left="328" w:right="311" w:firstLine="480"/>
        <w:rPr>
          <w:rFonts w:ascii="宋体" w:hAnsi="宋体" w:cs="宋体"/>
          <w:sz w:val="24"/>
          <w:szCs w:val="24"/>
        </w:rPr>
      </w:pPr>
      <w:r>
        <w:rPr>
          <w:rFonts w:hint="eastAsia" w:ascii="宋体" w:hAnsi="宋体" w:cs="宋体"/>
          <w:sz w:val="24"/>
          <w:szCs w:val="24"/>
        </w:rPr>
        <w:t>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5"/>
        <w:numPr>
          <w:ilvl w:val="2"/>
          <w:numId w:val="0"/>
        </w:numPr>
        <w:ind w:left="420"/>
      </w:pPr>
      <w:r>
        <w:rPr>
          <w:rFonts w:hint="eastAsia"/>
        </w:rPr>
        <w:t>3.11.2有下列情形之一的，不得修改评标结果或者重新评标：</w:t>
      </w:r>
    </w:p>
    <w:p>
      <w:pPr>
        <w:pStyle w:val="157"/>
        <w:spacing w:line="500" w:lineRule="exact"/>
        <w:ind w:firstLine="480" w:firstLineChars="200"/>
        <w:jc w:val="both"/>
      </w:pPr>
      <w:r>
        <w:rPr>
          <w:rFonts w:hint="eastAsia"/>
        </w:rPr>
        <w:t>（一）评标委员会已经出具评标报告并且离开评标现场的；</w:t>
      </w:r>
    </w:p>
    <w:p>
      <w:pPr>
        <w:pStyle w:val="157"/>
        <w:spacing w:line="500" w:lineRule="exact"/>
        <w:ind w:firstLine="480" w:firstLineChars="200"/>
        <w:jc w:val="both"/>
      </w:pPr>
      <w:r>
        <w:rPr>
          <w:rFonts w:hint="eastAsia"/>
        </w:rPr>
        <w:t>（二）招标采购单位现场复核时，复核工作人员数量不足的；</w:t>
      </w:r>
    </w:p>
    <w:p>
      <w:pPr>
        <w:pStyle w:val="157"/>
        <w:spacing w:line="500" w:lineRule="exact"/>
        <w:ind w:firstLine="480" w:firstLineChars="200"/>
        <w:jc w:val="both"/>
      </w:pPr>
      <w:r>
        <w:rPr>
          <w:rFonts w:hint="eastAsia"/>
        </w:rPr>
        <w:t>（三）招标采购单位现场复核时，没有采购监督人员现场监督的；</w:t>
      </w:r>
    </w:p>
    <w:p>
      <w:pPr>
        <w:pStyle w:val="157"/>
        <w:spacing w:line="500" w:lineRule="exact"/>
        <w:ind w:firstLine="480" w:firstLineChars="200"/>
        <w:jc w:val="both"/>
      </w:pPr>
      <w:r>
        <w:rPr>
          <w:rFonts w:hint="eastAsia"/>
        </w:rPr>
        <w:t>（四）招标采购单位现场复核内容超出规定范围的；</w:t>
      </w:r>
    </w:p>
    <w:p>
      <w:pPr>
        <w:pStyle w:val="157"/>
        <w:tabs>
          <w:tab w:val="left" w:pos="419"/>
        </w:tabs>
        <w:spacing w:line="360" w:lineRule="auto"/>
        <w:ind w:firstLine="480" w:firstLineChars="200"/>
        <w:jc w:val="both"/>
      </w:pPr>
      <w:r>
        <w:rPr>
          <w:rFonts w:hint="eastAsia"/>
        </w:rPr>
        <w:t>（五）招标采购单位未提供书面建议的。</w:t>
      </w:r>
    </w:p>
    <w:p>
      <w:pPr>
        <w:pStyle w:val="4"/>
        <w:numPr>
          <w:ilvl w:val="1"/>
          <w:numId w:val="0"/>
        </w:numPr>
        <w:adjustRightInd w:val="0"/>
        <w:snapToGrid w:val="0"/>
        <w:spacing w:before="0" w:after="0"/>
        <w:ind w:firstLine="281" w:firstLineChars="100"/>
      </w:pPr>
      <w:bookmarkStart w:id="333" w:name="_Toc31368"/>
      <w:bookmarkStart w:id="334" w:name="_Toc15902"/>
      <w:bookmarkStart w:id="335" w:name="_Toc28013"/>
      <w:bookmarkStart w:id="336" w:name="_Toc20100"/>
      <w:bookmarkStart w:id="337" w:name="_Toc12274"/>
      <w:r>
        <w:rPr>
          <w:rFonts w:hint="eastAsia"/>
        </w:rPr>
        <w:t>4、评标细则及标准</w:t>
      </w:r>
      <w:bookmarkEnd w:id="333"/>
      <w:bookmarkEnd w:id="334"/>
      <w:bookmarkEnd w:id="335"/>
      <w:bookmarkEnd w:id="336"/>
      <w:bookmarkEnd w:id="337"/>
    </w:p>
    <w:p>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4.4本项目采用综合评分法，评分因素详见“综合评分明细表”。</w:t>
      </w:r>
    </w:p>
    <w:p>
      <w:pPr>
        <w:pStyle w:val="157"/>
        <w:spacing w:line="360" w:lineRule="auto"/>
        <w:ind w:firstLine="480" w:firstLineChars="200"/>
        <w:jc w:val="both"/>
      </w:pPr>
      <w:r>
        <w:rPr>
          <w:rFonts w:hint="eastAsia" w:asciiTheme="minorEastAsia" w:hAnsiTheme="minorEastAsia" w:eastAsiaTheme="minorEastAsia"/>
        </w:rPr>
        <w:t>4.2评标委员会成员应当根据自身专业情况对每个有效投标人的投标文件进行独立评分，加权汇总每项评分因素的得分，得出每个有效投标人的总分。技术类评分因素由技术方面评标</w:t>
      </w:r>
      <w:r>
        <w:rPr>
          <w:rFonts w:hint="eastAsia"/>
        </w:rPr>
        <w:t>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57"/>
        <w:spacing w:line="360" w:lineRule="auto"/>
        <w:ind w:firstLine="480" w:firstLineChars="200"/>
        <w:jc w:val="both"/>
      </w:pPr>
      <w:r>
        <w:rPr>
          <w:rFonts w:hint="eastAsia"/>
        </w:rPr>
        <w:t>4.3综合评分明细表</w:t>
      </w:r>
    </w:p>
    <w:p>
      <w:pPr>
        <w:pStyle w:val="157"/>
        <w:spacing w:line="360" w:lineRule="auto"/>
        <w:ind w:firstLine="480" w:firstLineChars="200"/>
        <w:jc w:val="both"/>
      </w:pPr>
      <w:r>
        <w:rPr>
          <w:rFonts w:hint="eastAsia"/>
        </w:rPr>
        <w:t>4.3.1综合评分明细表的制定以科学合理、降低评委会自由裁量权为原则。</w:t>
      </w:r>
    </w:p>
    <w:p>
      <w:pPr>
        <w:pStyle w:val="157"/>
        <w:spacing w:line="360" w:lineRule="auto"/>
        <w:ind w:firstLine="480" w:firstLineChars="200"/>
        <w:jc w:val="both"/>
      </w:pPr>
      <w:r>
        <w:rPr>
          <w:rFonts w:hint="eastAsia"/>
        </w:rPr>
        <w:t>4.3.2综合评分明细表按须知表中的相关要求进行价格调整，再参与价格分评审。</w:t>
      </w:r>
    </w:p>
    <w:p>
      <w:pPr>
        <w:pStyle w:val="157"/>
        <w:spacing w:line="360" w:lineRule="auto"/>
        <w:ind w:firstLine="480" w:firstLineChars="200"/>
        <w:jc w:val="both"/>
      </w:pPr>
      <w:r>
        <w:rPr>
          <w:rFonts w:hint="eastAsia"/>
        </w:rPr>
        <w:t>4.3.3综合评分明细表</w:t>
      </w:r>
    </w:p>
    <w:tbl>
      <w:tblPr>
        <w:tblStyle w:val="44"/>
        <w:tblW w:w="882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3"/>
        <w:gridCol w:w="1305"/>
        <w:gridCol w:w="737"/>
        <w:gridCol w:w="4961"/>
        <w:gridCol w:w="10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743" w:type="dxa"/>
            <w:tcMar>
              <w:left w:w="108" w:type="dxa"/>
              <w:right w:w="108" w:type="dxa"/>
            </w:tcMar>
            <w:vAlign w:val="center"/>
          </w:tcPr>
          <w:p>
            <w:pPr>
              <w:jc w:val="center"/>
              <w:rPr>
                <w:rFonts w:ascii="宋体" w:hAnsi="宋体" w:cs="宋体"/>
                <w:b/>
                <w:bCs/>
                <w:sz w:val="24"/>
              </w:rPr>
            </w:pPr>
            <w:r>
              <w:rPr>
                <w:rFonts w:hint="eastAsia" w:ascii="宋体" w:hAnsi="宋体" w:cs="宋体"/>
                <w:b/>
                <w:bCs/>
                <w:sz w:val="24"/>
              </w:rPr>
              <w:t>序号</w:t>
            </w:r>
          </w:p>
        </w:tc>
        <w:tc>
          <w:tcPr>
            <w:tcW w:w="1305" w:type="dxa"/>
            <w:tcMar>
              <w:left w:w="108" w:type="dxa"/>
              <w:right w:w="108" w:type="dxa"/>
            </w:tcMar>
            <w:vAlign w:val="center"/>
          </w:tcPr>
          <w:p>
            <w:pPr>
              <w:jc w:val="center"/>
              <w:rPr>
                <w:rFonts w:ascii="宋体" w:hAnsi="宋体" w:cs="宋体"/>
                <w:b/>
                <w:bCs/>
                <w:sz w:val="24"/>
              </w:rPr>
            </w:pPr>
            <w:r>
              <w:rPr>
                <w:rFonts w:hint="eastAsia" w:ascii="宋体" w:hAnsi="宋体" w:cs="宋体"/>
                <w:b/>
                <w:bCs/>
                <w:sz w:val="24"/>
              </w:rPr>
              <w:t>评分因素</w:t>
            </w:r>
          </w:p>
        </w:tc>
        <w:tc>
          <w:tcPr>
            <w:tcW w:w="737" w:type="dxa"/>
            <w:tcMar>
              <w:left w:w="108" w:type="dxa"/>
              <w:right w:w="108" w:type="dxa"/>
            </w:tcMar>
            <w:vAlign w:val="center"/>
          </w:tcPr>
          <w:p>
            <w:pPr>
              <w:jc w:val="center"/>
              <w:rPr>
                <w:rFonts w:ascii="宋体" w:hAnsi="宋体" w:cs="宋体"/>
                <w:b/>
                <w:bCs/>
                <w:sz w:val="24"/>
              </w:rPr>
            </w:pPr>
            <w:r>
              <w:rPr>
                <w:rFonts w:hint="eastAsia" w:ascii="宋体" w:hAnsi="宋体" w:cs="宋体"/>
                <w:b/>
                <w:bCs/>
                <w:sz w:val="24"/>
              </w:rPr>
              <w:t>分值</w:t>
            </w:r>
          </w:p>
        </w:tc>
        <w:tc>
          <w:tcPr>
            <w:tcW w:w="4961" w:type="dxa"/>
            <w:tcMar>
              <w:left w:w="108" w:type="dxa"/>
              <w:right w:w="108" w:type="dxa"/>
            </w:tcMar>
            <w:vAlign w:val="center"/>
          </w:tcPr>
          <w:p>
            <w:pPr>
              <w:ind w:firstLine="484" w:firstLineChars="201"/>
              <w:jc w:val="center"/>
              <w:rPr>
                <w:rFonts w:ascii="宋体" w:hAnsi="宋体" w:cs="宋体"/>
                <w:b/>
                <w:bCs/>
                <w:sz w:val="24"/>
              </w:rPr>
            </w:pPr>
            <w:r>
              <w:rPr>
                <w:rFonts w:hint="eastAsia" w:ascii="宋体" w:hAnsi="宋体" w:cs="宋体"/>
                <w:b/>
                <w:bCs/>
                <w:sz w:val="24"/>
              </w:rPr>
              <w:t>评分标准</w:t>
            </w:r>
          </w:p>
        </w:tc>
        <w:tc>
          <w:tcPr>
            <w:tcW w:w="1076" w:type="dxa"/>
            <w:tcMar>
              <w:left w:w="108" w:type="dxa"/>
              <w:right w:w="108" w:type="dxa"/>
            </w:tcMar>
            <w:vAlign w:val="center"/>
          </w:tcPr>
          <w:p>
            <w:pPr>
              <w:jc w:val="center"/>
              <w:rPr>
                <w:rFonts w:ascii="宋体" w:hAnsi="宋体" w:cs="宋体"/>
                <w:b/>
                <w:bCs/>
                <w:sz w:val="24"/>
              </w:rPr>
            </w:pPr>
            <w:r>
              <w:rPr>
                <w:rFonts w:hint="eastAsia" w:ascii="宋体" w:hAnsi="宋体" w:cs="宋体"/>
                <w:b/>
                <w:bCs/>
                <w:sz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769" w:hRule="atLeast"/>
          <w:jc w:val="center"/>
        </w:trPr>
        <w:tc>
          <w:tcPr>
            <w:tcW w:w="743" w:type="dxa"/>
            <w:tcMar>
              <w:left w:w="108" w:type="dxa"/>
              <w:right w:w="108" w:type="dxa"/>
            </w:tcMar>
            <w:vAlign w:val="center"/>
          </w:tcPr>
          <w:p>
            <w:pPr>
              <w:jc w:val="center"/>
              <w:rPr>
                <w:rFonts w:ascii="宋体" w:hAnsi="宋体" w:cs="宋体"/>
                <w:szCs w:val="21"/>
              </w:rPr>
            </w:pPr>
            <w:r>
              <w:rPr>
                <w:rFonts w:hint="eastAsia" w:ascii="宋体" w:hAnsi="宋体" w:cs="宋体"/>
                <w:szCs w:val="21"/>
              </w:rPr>
              <w:t>1</w:t>
            </w:r>
          </w:p>
        </w:tc>
        <w:tc>
          <w:tcPr>
            <w:tcW w:w="1305" w:type="dxa"/>
            <w:tcMar>
              <w:left w:w="108" w:type="dxa"/>
              <w:right w:w="108" w:type="dxa"/>
            </w:tcMar>
            <w:vAlign w:val="center"/>
          </w:tcPr>
          <w:p>
            <w:pPr>
              <w:jc w:val="center"/>
              <w:rPr>
                <w:rFonts w:ascii="宋体" w:hAnsi="宋体" w:cs="宋体"/>
                <w:szCs w:val="21"/>
              </w:rPr>
            </w:pPr>
            <w:r>
              <w:rPr>
                <w:rFonts w:hint="eastAsia" w:ascii="宋体" w:hAnsi="宋体" w:cs="宋体"/>
                <w:szCs w:val="21"/>
              </w:rPr>
              <w:t>投标报价</w:t>
            </w:r>
          </w:p>
          <w:p>
            <w:pPr>
              <w:jc w:val="center"/>
              <w:rPr>
                <w:rFonts w:ascii="宋体" w:hAnsi="宋体" w:cs="宋体"/>
                <w:szCs w:val="21"/>
              </w:rPr>
            </w:pPr>
            <w:r>
              <w:rPr>
                <w:rFonts w:hint="eastAsia" w:ascii="宋体" w:hAnsi="宋体" w:cs="宋体"/>
                <w:szCs w:val="21"/>
              </w:rPr>
              <w:t>（2</w:t>
            </w:r>
            <w:r>
              <w:rPr>
                <w:rFonts w:ascii="宋体" w:hAnsi="宋体" w:cs="宋体"/>
                <w:szCs w:val="21"/>
              </w:rPr>
              <w:t>0</w:t>
            </w:r>
            <w:r>
              <w:rPr>
                <w:rFonts w:hint="eastAsia" w:ascii="宋体" w:hAnsi="宋体" w:cs="宋体"/>
                <w:szCs w:val="21"/>
              </w:rPr>
              <w:t>%）</w:t>
            </w:r>
          </w:p>
        </w:tc>
        <w:tc>
          <w:tcPr>
            <w:tcW w:w="737" w:type="dxa"/>
            <w:tcMar>
              <w:left w:w="108" w:type="dxa"/>
              <w:right w:w="108" w:type="dxa"/>
            </w:tcMar>
            <w:vAlign w:val="center"/>
          </w:tcPr>
          <w:p>
            <w:pPr>
              <w:jc w:val="center"/>
              <w:rPr>
                <w:rFonts w:ascii="宋体" w:hAnsi="宋体"/>
                <w:szCs w:val="21"/>
              </w:rPr>
            </w:pPr>
            <w:r>
              <w:rPr>
                <w:rFonts w:hint="eastAsia" w:ascii="宋体" w:hAnsi="宋体"/>
                <w:szCs w:val="21"/>
              </w:rPr>
              <w:t>2</w:t>
            </w:r>
            <w:r>
              <w:rPr>
                <w:rFonts w:ascii="宋体" w:hAnsi="宋体"/>
                <w:szCs w:val="21"/>
              </w:rPr>
              <w:t>0</w:t>
            </w:r>
          </w:p>
        </w:tc>
        <w:tc>
          <w:tcPr>
            <w:tcW w:w="4961" w:type="dxa"/>
            <w:tcMar>
              <w:left w:w="108" w:type="dxa"/>
              <w:right w:w="108" w:type="dxa"/>
            </w:tcMar>
            <w:vAlign w:val="center"/>
          </w:tcPr>
          <w:p>
            <w:pPr>
              <w:spacing w:line="360" w:lineRule="auto"/>
              <w:rPr>
                <w:rFonts w:ascii="宋体" w:hAnsi="宋体"/>
                <w:szCs w:val="21"/>
              </w:rPr>
            </w:pPr>
            <w:r>
              <w:rPr>
                <w:rFonts w:hint="eastAsia" w:ascii="宋体" w:hAnsi="宋体"/>
                <w:szCs w:val="21"/>
              </w:rPr>
              <w:t>1.评审报价=非竞争性报价（2019年成都市城镇全部就业人员平均工资77892元*服务要求人数14人）+竞争性报价（服务费）。2.经专家评审，通过资格性和实质性审查，且报价最低的供应商的报价作为评审基准价；3.投标报价得分=（评审基准价÷投标报价）*20。</w:t>
            </w:r>
          </w:p>
        </w:tc>
        <w:tc>
          <w:tcPr>
            <w:tcW w:w="1076" w:type="dxa"/>
            <w:tcMar>
              <w:left w:w="108" w:type="dxa"/>
              <w:right w:w="108" w:type="dxa"/>
            </w:tcMar>
            <w:vAlign w:val="center"/>
          </w:tcPr>
          <w:p>
            <w:pPr>
              <w:ind w:firstLine="422" w:firstLineChars="201"/>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743" w:type="dxa"/>
            <w:tcMar>
              <w:left w:w="108" w:type="dxa"/>
              <w:right w:w="108" w:type="dxa"/>
            </w:tcMar>
            <w:vAlign w:val="center"/>
          </w:tcPr>
          <w:p>
            <w:pPr>
              <w:jc w:val="center"/>
              <w:rPr>
                <w:rFonts w:ascii="宋体" w:hAnsi="宋体" w:cs="宋体"/>
                <w:szCs w:val="21"/>
              </w:rPr>
            </w:pPr>
            <w:r>
              <w:rPr>
                <w:rFonts w:hint="eastAsia" w:ascii="宋体" w:hAnsi="宋体" w:cs="宋体"/>
                <w:szCs w:val="21"/>
              </w:rPr>
              <w:t>2</w:t>
            </w:r>
          </w:p>
        </w:tc>
        <w:tc>
          <w:tcPr>
            <w:tcW w:w="1305" w:type="dxa"/>
            <w:tcMar>
              <w:left w:w="108" w:type="dxa"/>
              <w:right w:w="108" w:type="dxa"/>
            </w:tcMar>
            <w:vAlign w:val="center"/>
          </w:tcPr>
          <w:p>
            <w:pPr>
              <w:jc w:val="center"/>
              <w:rPr>
                <w:rFonts w:ascii="宋体" w:hAnsi="宋体" w:cs="宋体"/>
                <w:szCs w:val="21"/>
              </w:rPr>
            </w:pPr>
            <w:r>
              <w:rPr>
                <w:rFonts w:hint="eastAsia" w:ascii="宋体" w:hAnsi="宋体" w:cs="宋体"/>
                <w:szCs w:val="21"/>
              </w:rPr>
              <w:t>业绩</w:t>
            </w:r>
          </w:p>
          <w:p>
            <w:pPr>
              <w:jc w:val="center"/>
              <w:rPr>
                <w:rFonts w:ascii="宋体" w:hAnsi="宋体" w:cs="宋体"/>
                <w:szCs w:val="21"/>
              </w:rPr>
            </w:pPr>
            <w:r>
              <w:rPr>
                <w:rFonts w:hint="eastAsia" w:ascii="宋体" w:hAnsi="宋体" w:cs="宋体"/>
                <w:szCs w:val="21"/>
              </w:rPr>
              <w:t>（</w:t>
            </w:r>
            <w:r>
              <w:rPr>
                <w:rFonts w:ascii="宋体" w:hAnsi="宋体" w:cs="宋体"/>
                <w:szCs w:val="21"/>
              </w:rPr>
              <w:t>20</w:t>
            </w:r>
            <w:r>
              <w:rPr>
                <w:rFonts w:hint="eastAsia" w:ascii="宋体" w:hAnsi="宋体" w:cs="宋体"/>
                <w:szCs w:val="21"/>
              </w:rPr>
              <w:t>%）</w:t>
            </w:r>
          </w:p>
        </w:tc>
        <w:tc>
          <w:tcPr>
            <w:tcW w:w="737" w:type="dxa"/>
            <w:tcMar>
              <w:left w:w="108" w:type="dxa"/>
              <w:right w:w="108" w:type="dxa"/>
            </w:tcMar>
            <w:vAlign w:val="center"/>
          </w:tcPr>
          <w:p>
            <w:pPr>
              <w:jc w:val="center"/>
              <w:rPr>
                <w:rFonts w:ascii="宋体" w:hAnsi="宋体"/>
                <w:szCs w:val="21"/>
              </w:rPr>
            </w:pPr>
            <w:r>
              <w:rPr>
                <w:rFonts w:ascii="宋体" w:hAnsi="宋体"/>
                <w:szCs w:val="21"/>
              </w:rPr>
              <w:t>20</w:t>
            </w:r>
          </w:p>
        </w:tc>
        <w:tc>
          <w:tcPr>
            <w:tcW w:w="4961" w:type="dxa"/>
            <w:tcMar>
              <w:left w:w="108" w:type="dxa"/>
              <w:right w:w="108" w:type="dxa"/>
            </w:tcMar>
            <w:vAlign w:val="center"/>
          </w:tcPr>
          <w:p>
            <w:pPr>
              <w:spacing w:line="360" w:lineRule="auto"/>
              <w:rPr>
                <w:rFonts w:ascii="宋体" w:hAnsi="宋体"/>
                <w:szCs w:val="21"/>
              </w:rPr>
            </w:pPr>
            <w:r>
              <w:rPr>
                <w:rFonts w:hint="eastAsia" w:ascii="宋体" w:hAnsi="宋体"/>
                <w:szCs w:val="21"/>
              </w:rPr>
              <w:t>近三年，投标人有直接参与国家审计机关从事下列项目类似业绩的：</w:t>
            </w:r>
          </w:p>
          <w:p>
            <w:pPr>
              <w:spacing w:line="360" w:lineRule="auto"/>
              <w:rPr>
                <w:rFonts w:ascii="宋体" w:hAnsi="宋体"/>
                <w:szCs w:val="21"/>
              </w:rPr>
            </w:pPr>
            <w:r>
              <w:rPr>
                <w:rFonts w:hint="eastAsia" w:ascii="宋体" w:hAnsi="宋体"/>
                <w:szCs w:val="21"/>
              </w:rPr>
              <w:t>1、</w:t>
            </w:r>
            <w:bookmarkStart w:id="338" w:name="_Hlk69214607"/>
            <w:r>
              <w:rPr>
                <w:rFonts w:hint="eastAsia" w:ascii="宋体" w:hAnsi="宋体"/>
                <w:szCs w:val="21"/>
              </w:rPr>
              <w:t>行政机关、事业单位、社会团体财政财务收支审计；每有1个项目得</w:t>
            </w:r>
            <w:r>
              <w:rPr>
                <w:rFonts w:ascii="宋体" w:hAnsi="宋体"/>
                <w:szCs w:val="21"/>
              </w:rPr>
              <w:t>2</w:t>
            </w:r>
            <w:r>
              <w:rPr>
                <w:rFonts w:hint="eastAsia" w:ascii="宋体" w:hAnsi="宋体"/>
                <w:szCs w:val="21"/>
              </w:rPr>
              <w:t>分；最高得</w:t>
            </w:r>
            <w:r>
              <w:rPr>
                <w:rFonts w:ascii="宋体" w:hAnsi="宋体"/>
                <w:szCs w:val="21"/>
              </w:rPr>
              <w:t>6</w:t>
            </w:r>
            <w:r>
              <w:rPr>
                <w:rFonts w:hint="eastAsia" w:ascii="宋体" w:hAnsi="宋体"/>
                <w:szCs w:val="21"/>
              </w:rPr>
              <w:t>分。</w:t>
            </w:r>
          </w:p>
          <w:p>
            <w:pPr>
              <w:spacing w:line="360" w:lineRule="auto"/>
              <w:rPr>
                <w:rFonts w:ascii="宋体" w:hAnsi="宋体"/>
                <w:szCs w:val="21"/>
              </w:rPr>
            </w:pPr>
            <w:r>
              <w:rPr>
                <w:rFonts w:hint="eastAsia" w:ascii="宋体" w:hAnsi="宋体"/>
                <w:szCs w:val="21"/>
              </w:rPr>
              <w:t>2、党政领导干部或国有企业领导经济责任审计；每有1个项目得</w:t>
            </w:r>
            <w:r>
              <w:rPr>
                <w:rFonts w:ascii="宋体" w:hAnsi="宋体"/>
                <w:szCs w:val="21"/>
              </w:rPr>
              <w:t>2</w:t>
            </w:r>
            <w:r>
              <w:rPr>
                <w:rFonts w:hint="eastAsia" w:ascii="宋体" w:hAnsi="宋体"/>
                <w:szCs w:val="21"/>
              </w:rPr>
              <w:t>分；最高得8分。</w:t>
            </w:r>
          </w:p>
          <w:p>
            <w:pPr>
              <w:spacing w:line="360" w:lineRule="auto"/>
              <w:rPr>
                <w:rFonts w:ascii="宋体" w:hAnsi="宋体"/>
                <w:szCs w:val="21"/>
              </w:rPr>
            </w:pPr>
            <w:r>
              <w:rPr>
                <w:rFonts w:hint="eastAsia" w:ascii="宋体" w:hAnsi="宋体"/>
                <w:szCs w:val="21"/>
              </w:rPr>
              <w:t>3、政府投资建设项目竣工决算审计；每有1个项目得</w:t>
            </w:r>
            <w:r>
              <w:rPr>
                <w:rFonts w:ascii="宋体" w:hAnsi="宋体"/>
                <w:szCs w:val="21"/>
              </w:rPr>
              <w:t>2</w:t>
            </w:r>
            <w:r>
              <w:rPr>
                <w:rFonts w:hint="eastAsia" w:ascii="宋体" w:hAnsi="宋体"/>
                <w:szCs w:val="21"/>
              </w:rPr>
              <w:t>分；最高得6分。</w:t>
            </w:r>
          </w:p>
          <w:bookmarkEnd w:id="338"/>
          <w:p>
            <w:pPr>
              <w:spacing w:line="360" w:lineRule="auto"/>
              <w:rPr>
                <w:rFonts w:ascii="宋体" w:hAnsi="宋体"/>
                <w:szCs w:val="21"/>
              </w:rPr>
            </w:pPr>
            <w:r>
              <w:rPr>
                <w:rFonts w:hint="eastAsia" w:ascii="宋体" w:hAnsi="宋体"/>
                <w:szCs w:val="21"/>
              </w:rPr>
              <w:t>注：提供以下三项证明材料：</w:t>
            </w:r>
          </w:p>
          <w:p>
            <w:pPr>
              <w:spacing w:line="360" w:lineRule="auto"/>
              <w:ind w:left="210"/>
              <w:rPr>
                <w:rFonts w:ascii="宋体" w:hAnsi="宋体"/>
                <w:szCs w:val="21"/>
              </w:rPr>
            </w:pPr>
            <w:r>
              <w:rPr>
                <w:rFonts w:hint="eastAsia" w:ascii="宋体" w:hAnsi="宋体"/>
                <w:szCs w:val="21"/>
              </w:rPr>
              <w:t>（1）国家审计机关直接委托审计的合同或国家审计机关审计通知书或会计事务所委托审计合同</w:t>
            </w:r>
            <w:r>
              <w:rPr>
                <w:rFonts w:hint="eastAsia" w:ascii="宋体" w:hAnsi="宋体"/>
                <w:szCs w:val="21"/>
                <w:highlight w:val="none"/>
              </w:rPr>
              <w:t>复印件（原件备查）</w:t>
            </w:r>
            <w:r>
              <w:rPr>
                <w:rFonts w:hint="eastAsia" w:ascii="宋体" w:hAnsi="宋体"/>
                <w:szCs w:val="21"/>
              </w:rPr>
              <w:t>；</w:t>
            </w:r>
          </w:p>
          <w:p>
            <w:pPr>
              <w:spacing w:line="360" w:lineRule="auto"/>
              <w:ind w:left="210"/>
              <w:rPr>
                <w:rFonts w:ascii="宋体" w:hAnsi="宋体"/>
                <w:szCs w:val="21"/>
              </w:rPr>
            </w:pPr>
            <w:r>
              <w:rPr>
                <w:rFonts w:hint="eastAsia" w:ascii="宋体" w:hAnsi="宋体"/>
                <w:szCs w:val="21"/>
              </w:rPr>
              <w:t>（2）审计实施方案；</w:t>
            </w:r>
          </w:p>
          <w:p>
            <w:pPr>
              <w:spacing w:line="360" w:lineRule="auto"/>
              <w:ind w:left="210"/>
              <w:rPr>
                <w:rFonts w:ascii="宋体" w:hAnsi="宋体"/>
                <w:szCs w:val="21"/>
              </w:rPr>
            </w:pPr>
            <w:r>
              <w:rPr>
                <w:rFonts w:hint="eastAsia" w:ascii="宋体" w:hAnsi="宋体"/>
                <w:szCs w:val="21"/>
              </w:rPr>
              <w:t>（3）成果文件等。</w:t>
            </w:r>
          </w:p>
        </w:tc>
        <w:tc>
          <w:tcPr>
            <w:tcW w:w="1076" w:type="dxa"/>
            <w:tcMar>
              <w:left w:w="108" w:type="dxa"/>
              <w:right w:w="108" w:type="dxa"/>
            </w:tcMar>
            <w:vAlign w:val="center"/>
          </w:tcPr>
          <w:p>
            <w:pPr>
              <w:ind w:firstLine="422" w:firstLineChars="201"/>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6792" w:hRule="atLeast"/>
          <w:jc w:val="center"/>
        </w:trPr>
        <w:tc>
          <w:tcPr>
            <w:tcW w:w="743" w:type="dxa"/>
            <w:tcMar>
              <w:left w:w="108" w:type="dxa"/>
              <w:right w:w="108" w:type="dxa"/>
            </w:tcMar>
            <w:vAlign w:val="center"/>
          </w:tcPr>
          <w:p>
            <w:pPr>
              <w:jc w:val="center"/>
              <w:rPr>
                <w:rFonts w:ascii="宋体" w:hAnsi="宋体" w:cs="宋体"/>
                <w:szCs w:val="21"/>
              </w:rPr>
            </w:pPr>
            <w:r>
              <w:rPr>
                <w:rFonts w:hint="eastAsia" w:ascii="宋体" w:hAnsi="宋体" w:cs="宋体"/>
                <w:szCs w:val="21"/>
              </w:rPr>
              <w:t>3</w:t>
            </w:r>
          </w:p>
        </w:tc>
        <w:tc>
          <w:tcPr>
            <w:tcW w:w="1305" w:type="dxa"/>
            <w:tcMar>
              <w:left w:w="108" w:type="dxa"/>
              <w:right w:w="108" w:type="dxa"/>
            </w:tcMar>
            <w:vAlign w:val="center"/>
          </w:tcPr>
          <w:p>
            <w:pPr>
              <w:jc w:val="center"/>
              <w:rPr>
                <w:rFonts w:ascii="宋体" w:hAnsi="宋体" w:cs="宋体"/>
                <w:szCs w:val="21"/>
              </w:rPr>
            </w:pPr>
            <w:r>
              <w:rPr>
                <w:rFonts w:hint="eastAsia" w:ascii="宋体" w:hAnsi="宋体" w:cs="宋体"/>
                <w:szCs w:val="21"/>
              </w:rPr>
              <w:t>项目主要人员及资源配置（48%）</w:t>
            </w:r>
          </w:p>
        </w:tc>
        <w:tc>
          <w:tcPr>
            <w:tcW w:w="737" w:type="dxa"/>
            <w:tcMar>
              <w:left w:w="108" w:type="dxa"/>
              <w:right w:w="108" w:type="dxa"/>
            </w:tcMar>
            <w:vAlign w:val="center"/>
          </w:tcPr>
          <w:p>
            <w:pPr>
              <w:jc w:val="center"/>
              <w:rPr>
                <w:rFonts w:ascii="宋体" w:hAnsi="宋体"/>
                <w:szCs w:val="21"/>
              </w:rPr>
            </w:pPr>
            <w:r>
              <w:rPr>
                <w:rFonts w:hint="eastAsia" w:ascii="宋体" w:hAnsi="宋体"/>
                <w:szCs w:val="21"/>
              </w:rPr>
              <w:t>48</w:t>
            </w:r>
          </w:p>
        </w:tc>
        <w:tc>
          <w:tcPr>
            <w:tcW w:w="4961" w:type="dxa"/>
            <w:tcMar>
              <w:left w:w="108" w:type="dxa"/>
              <w:right w:w="108" w:type="dxa"/>
            </w:tcMar>
            <w:vAlign w:val="center"/>
          </w:tcPr>
          <w:p>
            <w:pPr>
              <w:adjustRightInd w:val="0"/>
              <w:snapToGrid w:val="0"/>
              <w:spacing w:line="360" w:lineRule="auto"/>
              <w:rPr>
                <w:rFonts w:ascii="宋体" w:hAnsi="宋体"/>
                <w:szCs w:val="21"/>
              </w:rPr>
            </w:pPr>
            <w:r>
              <w:rPr>
                <w:rFonts w:ascii="宋体" w:hAnsi="宋体"/>
                <w:szCs w:val="21"/>
              </w:rPr>
              <w:t>1</w:t>
            </w:r>
            <w:r>
              <w:rPr>
                <w:rFonts w:hint="eastAsia" w:ascii="宋体" w:hAnsi="宋体"/>
                <w:szCs w:val="21"/>
              </w:rPr>
              <w:t>. 派驻的项目执行人员在本单位参加过国家审计机关对行政机关、事业单位财政财务收支审计的，每人得</w:t>
            </w:r>
            <w:r>
              <w:rPr>
                <w:rFonts w:ascii="宋体" w:hAnsi="宋体"/>
                <w:szCs w:val="21"/>
              </w:rPr>
              <w:t>4</w:t>
            </w:r>
            <w:r>
              <w:rPr>
                <w:rFonts w:hint="eastAsia" w:ascii="宋体" w:hAnsi="宋体"/>
                <w:szCs w:val="21"/>
              </w:rPr>
              <w:t>分；最高得1</w:t>
            </w:r>
            <w:r>
              <w:rPr>
                <w:rFonts w:ascii="宋体" w:hAnsi="宋体"/>
                <w:szCs w:val="21"/>
              </w:rPr>
              <w:t>6</w:t>
            </w:r>
            <w:r>
              <w:rPr>
                <w:rFonts w:hint="eastAsia" w:ascii="宋体" w:hAnsi="宋体"/>
                <w:szCs w:val="21"/>
              </w:rPr>
              <w:t>分；</w:t>
            </w:r>
          </w:p>
          <w:p>
            <w:pPr>
              <w:adjustRightInd w:val="0"/>
              <w:snapToGrid w:val="0"/>
              <w:spacing w:line="360" w:lineRule="auto"/>
              <w:rPr>
                <w:rFonts w:ascii="宋体" w:hAnsi="宋体"/>
                <w:szCs w:val="21"/>
              </w:rPr>
            </w:pPr>
            <w:r>
              <w:rPr>
                <w:rFonts w:ascii="宋体" w:hAnsi="宋体"/>
                <w:szCs w:val="21"/>
              </w:rPr>
              <w:t>2</w:t>
            </w:r>
            <w:r>
              <w:rPr>
                <w:rFonts w:hint="eastAsia" w:ascii="宋体" w:hAnsi="宋体"/>
                <w:szCs w:val="21"/>
              </w:rPr>
              <w:t>. 派驻的项目执行人员在本单位参加过国家审计机关对党政领导干部或国有企业领导经济责任审计的，每人得</w:t>
            </w:r>
            <w:r>
              <w:rPr>
                <w:rFonts w:ascii="宋体" w:hAnsi="宋体"/>
                <w:szCs w:val="21"/>
              </w:rPr>
              <w:t>4</w:t>
            </w:r>
            <w:r>
              <w:rPr>
                <w:rFonts w:hint="eastAsia" w:ascii="宋体" w:hAnsi="宋体"/>
                <w:szCs w:val="21"/>
              </w:rPr>
              <w:t>分，最高得1</w:t>
            </w:r>
            <w:r>
              <w:rPr>
                <w:rFonts w:ascii="宋体" w:hAnsi="宋体"/>
                <w:szCs w:val="21"/>
              </w:rPr>
              <w:t>6</w:t>
            </w:r>
            <w:r>
              <w:rPr>
                <w:rFonts w:hint="eastAsia" w:ascii="宋体" w:hAnsi="宋体"/>
                <w:szCs w:val="21"/>
              </w:rPr>
              <w:t>分；</w:t>
            </w:r>
          </w:p>
          <w:p>
            <w:pPr>
              <w:adjustRightInd w:val="0"/>
              <w:snapToGrid w:val="0"/>
              <w:spacing w:line="360" w:lineRule="auto"/>
              <w:rPr>
                <w:rFonts w:ascii="宋体" w:hAnsi="宋体"/>
                <w:szCs w:val="21"/>
              </w:rPr>
            </w:pPr>
            <w:r>
              <w:rPr>
                <w:rFonts w:ascii="宋体" w:hAnsi="宋体"/>
                <w:szCs w:val="21"/>
              </w:rPr>
              <w:t>3</w:t>
            </w:r>
            <w:r>
              <w:rPr>
                <w:rFonts w:hint="eastAsia" w:ascii="宋体" w:hAnsi="宋体"/>
                <w:szCs w:val="21"/>
              </w:rPr>
              <w:t>. 派驻的项目执行人员在本单位参加过国家审计机关对政府投资建设项目竣工决算审计的，每人得</w:t>
            </w:r>
            <w:r>
              <w:rPr>
                <w:rFonts w:ascii="宋体" w:hAnsi="宋体"/>
                <w:szCs w:val="21"/>
              </w:rPr>
              <w:t>4</w:t>
            </w:r>
            <w:r>
              <w:rPr>
                <w:rFonts w:hint="eastAsia" w:ascii="宋体" w:hAnsi="宋体"/>
                <w:szCs w:val="21"/>
              </w:rPr>
              <w:t>分，最高得1</w:t>
            </w:r>
            <w:r>
              <w:rPr>
                <w:rFonts w:ascii="宋体" w:hAnsi="宋体"/>
                <w:szCs w:val="21"/>
              </w:rPr>
              <w:t>6</w:t>
            </w:r>
            <w:r>
              <w:rPr>
                <w:rFonts w:hint="eastAsia" w:ascii="宋体" w:hAnsi="宋体"/>
                <w:szCs w:val="21"/>
              </w:rPr>
              <w:t>分。</w:t>
            </w:r>
          </w:p>
          <w:p>
            <w:pPr>
              <w:adjustRightInd w:val="0"/>
              <w:snapToGrid w:val="0"/>
              <w:spacing w:line="360" w:lineRule="auto"/>
              <w:rPr>
                <w:rFonts w:ascii="宋体" w:hAnsi="宋体"/>
                <w:szCs w:val="21"/>
              </w:rPr>
            </w:pPr>
            <w:r>
              <w:rPr>
                <w:rFonts w:hint="eastAsia" w:ascii="宋体" w:hAnsi="宋体"/>
                <w:szCs w:val="21"/>
              </w:rPr>
              <w:t>注：（1）提供所派驻的项目执行人员参加的项目</w:t>
            </w:r>
            <w:r>
              <w:rPr>
                <w:rFonts w:hint="eastAsia" w:ascii="宋体" w:hAnsi="宋体"/>
                <w:szCs w:val="21"/>
                <w:highlight w:val="none"/>
                <w:lang w:val="en-US" w:eastAsia="zh-CN"/>
              </w:rPr>
              <w:t>有</w:t>
            </w:r>
            <w:r>
              <w:rPr>
                <w:rFonts w:hint="eastAsia" w:ascii="宋体" w:hAnsi="宋体"/>
                <w:szCs w:val="21"/>
              </w:rPr>
              <w:t>国家审计机关审计通知书或委托审计函复印件（</w:t>
            </w:r>
            <w:r>
              <w:rPr>
                <w:rFonts w:hint="eastAsia" w:ascii="宋体" w:hAnsi="宋体"/>
                <w:szCs w:val="21"/>
                <w:lang w:val="en-US" w:eastAsia="zh-CN"/>
              </w:rPr>
              <w:t>原件备查，审计通知书有国家机关单位盖章）</w:t>
            </w:r>
            <w:r>
              <w:rPr>
                <w:rFonts w:hint="eastAsia" w:ascii="宋体" w:hAnsi="宋体"/>
                <w:szCs w:val="21"/>
              </w:rPr>
              <w:t>，通知书和委托函上应注明审计人员；（2）针对多人同时参加同一项目的只计算一人次，不重复计算；一人参加多种类型的审计只计算一种类型，不重复计算；（3）派驻的项目执行人员提供近两年</w:t>
            </w:r>
            <w:r>
              <w:rPr>
                <w:rFonts w:hint="eastAsia" w:ascii="宋体" w:hAnsi="宋体"/>
                <w:szCs w:val="21"/>
                <w:lang w:val="en-US" w:eastAsia="zh-CN"/>
              </w:rPr>
              <w:t>在</w:t>
            </w:r>
            <w:r>
              <w:rPr>
                <w:rFonts w:hint="eastAsia" w:ascii="宋体" w:hAnsi="宋体"/>
                <w:szCs w:val="21"/>
              </w:rPr>
              <w:t>本单位</w:t>
            </w:r>
            <w:r>
              <w:rPr>
                <w:rFonts w:hint="eastAsia" w:ascii="宋体" w:hAnsi="宋体"/>
                <w:szCs w:val="21"/>
                <w:lang w:val="en-US" w:eastAsia="zh-CN"/>
              </w:rPr>
              <w:t>在职证明复印件</w:t>
            </w:r>
            <w:r>
              <w:rPr>
                <w:rFonts w:hint="eastAsia" w:ascii="宋体" w:hAnsi="宋体"/>
                <w:szCs w:val="21"/>
              </w:rPr>
              <w:t>并加盖投标单位鲜章。</w:t>
            </w:r>
          </w:p>
        </w:tc>
        <w:tc>
          <w:tcPr>
            <w:tcW w:w="1076" w:type="dxa"/>
            <w:tcMar>
              <w:left w:w="108" w:type="dxa"/>
              <w:right w:w="108" w:type="dxa"/>
            </w:tcMar>
            <w:vAlign w:val="center"/>
          </w:tcPr>
          <w:p>
            <w:pPr>
              <w:ind w:firstLine="422" w:firstLineChars="201"/>
              <w:rPr>
                <w:rFonts w:ascii="宋体" w:hAnsi="宋体" w:cs="宋体"/>
                <w:szCs w:val="21"/>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83" w:hRule="atLeast"/>
          <w:jc w:val="center"/>
        </w:trPr>
        <w:tc>
          <w:tcPr>
            <w:tcW w:w="743" w:type="dxa"/>
            <w:tcMar>
              <w:left w:w="108" w:type="dxa"/>
              <w:right w:w="108" w:type="dxa"/>
            </w:tcMar>
            <w:vAlign w:val="center"/>
          </w:tcPr>
          <w:p>
            <w:pPr>
              <w:jc w:val="center"/>
              <w:rPr>
                <w:rFonts w:ascii="宋体" w:hAnsi="宋体" w:cs="宋体"/>
                <w:szCs w:val="21"/>
              </w:rPr>
            </w:pPr>
            <w:r>
              <w:rPr>
                <w:rFonts w:hint="eastAsia" w:ascii="宋体" w:hAnsi="宋体" w:cs="宋体"/>
                <w:szCs w:val="21"/>
              </w:rPr>
              <w:t>4</w:t>
            </w:r>
          </w:p>
        </w:tc>
        <w:tc>
          <w:tcPr>
            <w:tcW w:w="1305" w:type="dxa"/>
            <w:tcMar>
              <w:left w:w="108" w:type="dxa"/>
              <w:right w:w="108" w:type="dxa"/>
            </w:tcMar>
            <w:vAlign w:val="center"/>
          </w:tcPr>
          <w:p>
            <w:pPr>
              <w:jc w:val="center"/>
              <w:rPr>
                <w:rFonts w:ascii="宋体" w:hAnsi="宋体" w:cs="宋体"/>
                <w:szCs w:val="21"/>
              </w:rPr>
            </w:pPr>
            <w:r>
              <w:rPr>
                <w:rFonts w:hint="eastAsia" w:ascii="宋体" w:hAnsi="宋体" w:cs="宋体"/>
                <w:szCs w:val="21"/>
              </w:rPr>
              <w:t>服务方案（8%）</w:t>
            </w:r>
          </w:p>
        </w:tc>
        <w:tc>
          <w:tcPr>
            <w:tcW w:w="737" w:type="dxa"/>
            <w:tcMar>
              <w:left w:w="108" w:type="dxa"/>
              <w:right w:w="108" w:type="dxa"/>
            </w:tcMar>
            <w:vAlign w:val="center"/>
          </w:tcPr>
          <w:p>
            <w:pPr>
              <w:jc w:val="center"/>
              <w:rPr>
                <w:rFonts w:ascii="宋体" w:hAnsi="宋体"/>
                <w:szCs w:val="21"/>
              </w:rPr>
            </w:pPr>
            <w:r>
              <w:rPr>
                <w:rFonts w:hint="eastAsia" w:ascii="宋体" w:hAnsi="宋体"/>
                <w:szCs w:val="21"/>
              </w:rPr>
              <w:t>8</w:t>
            </w:r>
          </w:p>
        </w:tc>
        <w:tc>
          <w:tcPr>
            <w:tcW w:w="4961" w:type="dxa"/>
            <w:tcMar>
              <w:left w:w="108" w:type="dxa"/>
              <w:right w:w="108" w:type="dxa"/>
            </w:tcMar>
            <w:vAlign w:val="center"/>
          </w:tcPr>
          <w:p>
            <w:pPr>
              <w:adjustRightInd w:val="0"/>
              <w:snapToGrid w:val="0"/>
              <w:spacing w:line="360" w:lineRule="auto"/>
              <w:rPr>
                <w:rFonts w:ascii="宋体" w:hAnsi="宋体" w:cs="宋体"/>
                <w:szCs w:val="21"/>
              </w:rPr>
            </w:pPr>
            <w:r>
              <w:rPr>
                <w:rFonts w:ascii="宋体" w:hAnsi="宋体" w:cs="宋体"/>
                <w:szCs w:val="21"/>
              </w:rPr>
              <w:t>根据投标人提供的</w:t>
            </w:r>
            <w:r>
              <w:rPr>
                <w:rFonts w:hint="eastAsia" w:ascii="宋体" w:hAnsi="宋体"/>
                <w:szCs w:val="21"/>
              </w:rPr>
              <w:t>人员管理制度</w:t>
            </w:r>
            <w:r>
              <w:rPr>
                <w:rFonts w:hint="eastAsia" w:ascii="宋体" w:hAnsi="宋体" w:cs="宋体"/>
                <w:szCs w:val="21"/>
              </w:rPr>
              <w:t>的科学</w:t>
            </w:r>
            <w:r>
              <w:rPr>
                <w:rFonts w:ascii="宋体" w:hAnsi="宋体" w:cs="宋体"/>
                <w:szCs w:val="21"/>
              </w:rPr>
              <w:t>性</w:t>
            </w:r>
            <w:r>
              <w:rPr>
                <w:rFonts w:hint="eastAsia" w:ascii="宋体" w:hAnsi="宋体" w:cs="宋体"/>
                <w:szCs w:val="21"/>
              </w:rPr>
              <w:t>、完整性、合理性</w:t>
            </w:r>
            <w:r>
              <w:rPr>
                <w:rFonts w:ascii="宋体" w:hAnsi="宋体" w:cs="宋体"/>
                <w:szCs w:val="21"/>
              </w:rPr>
              <w:t>进行综合</w:t>
            </w:r>
            <w:r>
              <w:rPr>
                <w:rFonts w:hint="eastAsia" w:ascii="宋体" w:hAnsi="宋体" w:cs="宋体"/>
                <w:szCs w:val="21"/>
              </w:rPr>
              <w:t>评</w:t>
            </w:r>
            <w:r>
              <w:rPr>
                <w:rFonts w:ascii="宋体" w:hAnsi="宋体" w:cs="宋体"/>
                <w:szCs w:val="21"/>
              </w:rPr>
              <w:t>审</w:t>
            </w:r>
            <w:r>
              <w:rPr>
                <w:rFonts w:hint="eastAsia" w:ascii="宋体" w:hAnsi="宋体" w:cs="宋体"/>
                <w:szCs w:val="21"/>
              </w:rPr>
              <w:t>：</w:t>
            </w:r>
          </w:p>
          <w:p>
            <w:pPr>
              <w:numPr>
                <w:ilvl w:val="0"/>
                <w:numId w:val="39"/>
              </w:numPr>
              <w:adjustRightInd w:val="0"/>
              <w:snapToGrid w:val="0"/>
              <w:spacing w:line="360" w:lineRule="auto"/>
              <w:rPr>
                <w:rFonts w:ascii="宋体" w:hAnsi="宋体"/>
                <w:szCs w:val="21"/>
              </w:rPr>
            </w:pPr>
            <w:r>
              <w:rPr>
                <w:rFonts w:hint="eastAsia" w:ascii="宋体" w:hAnsi="宋体"/>
                <w:szCs w:val="21"/>
              </w:rPr>
              <w:t>人员管理制度；</w:t>
            </w:r>
          </w:p>
          <w:p>
            <w:pPr>
              <w:numPr>
                <w:ilvl w:val="0"/>
                <w:numId w:val="39"/>
              </w:numPr>
              <w:adjustRightInd w:val="0"/>
              <w:snapToGrid w:val="0"/>
              <w:spacing w:line="360" w:lineRule="auto"/>
              <w:rPr>
                <w:rFonts w:ascii="宋体" w:hAnsi="宋体"/>
                <w:szCs w:val="21"/>
              </w:rPr>
            </w:pPr>
            <w:r>
              <w:rPr>
                <w:rFonts w:hint="eastAsia" w:ascii="宋体" w:hAnsi="宋体"/>
                <w:szCs w:val="21"/>
              </w:rPr>
              <w:t>服务内容；</w:t>
            </w:r>
          </w:p>
          <w:p>
            <w:pPr>
              <w:numPr>
                <w:ilvl w:val="0"/>
                <w:numId w:val="39"/>
              </w:numPr>
              <w:adjustRightInd w:val="0"/>
              <w:snapToGrid w:val="0"/>
              <w:spacing w:line="360" w:lineRule="auto"/>
              <w:rPr>
                <w:rFonts w:ascii="宋体" w:hAnsi="宋体"/>
                <w:szCs w:val="21"/>
              </w:rPr>
            </w:pPr>
            <w:r>
              <w:rPr>
                <w:rFonts w:hint="eastAsia" w:ascii="宋体" w:hAnsi="宋体"/>
                <w:szCs w:val="21"/>
              </w:rPr>
              <w:t>服务质量；</w:t>
            </w:r>
          </w:p>
          <w:p>
            <w:pPr>
              <w:numPr>
                <w:ilvl w:val="0"/>
                <w:numId w:val="39"/>
              </w:numPr>
              <w:adjustRightInd w:val="0"/>
              <w:snapToGrid w:val="0"/>
              <w:spacing w:line="360" w:lineRule="auto"/>
              <w:rPr>
                <w:rFonts w:ascii="宋体" w:hAnsi="宋体"/>
                <w:szCs w:val="21"/>
              </w:rPr>
            </w:pPr>
            <w:r>
              <w:rPr>
                <w:rFonts w:hint="eastAsia" w:ascii="宋体" w:hAnsi="宋体"/>
                <w:szCs w:val="21"/>
              </w:rPr>
              <w:t>其他重要事项，如保密、廉洁、人员稳定性等。注：提供服务方案时以上内容缺一项扣2分，内容描述不具有针对性或欠缺扣1分；扣完为止。</w:t>
            </w:r>
          </w:p>
        </w:tc>
        <w:tc>
          <w:tcPr>
            <w:tcW w:w="1076" w:type="dxa"/>
            <w:tcMar>
              <w:left w:w="108" w:type="dxa"/>
              <w:right w:w="108" w:type="dxa"/>
            </w:tcMar>
            <w:vAlign w:val="center"/>
          </w:tcPr>
          <w:p>
            <w:pPr>
              <w:ind w:firstLine="422" w:firstLineChars="201"/>
              <w:rPr>
                <w:rFonts w:ascii="宋体" w:hAnsi="宋体" w:cs="宋体"/>
                <w:szCs w:val="21"/>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743" w:type="dxa"/>
            <w:tcMar>
              <w:left w:w="108" w:type="dxa"/>
              <w:right w:w="108" w:type="dxa"/>
            </w:tcMar>
            <w:vAlign w:val="center"/>
          </w:tcPr>
          <w:p>
            <w:pPr>
              <w:pStyle w:val="18"/>
              <w:jc w:val="center"/>
              <w:rPr>
                <w:rFonts w:ascii="宋体" w:hAnsi="宋体"/>
                <w:szCs w:val="21"/>
              </w:rPr>
            </w:pPr>
            <w:r>
              <w:rPr>
                <w:rFonts w:hint="eastAsia" w:ascii="宋体" w:hAnsi="宋体"/>
                <w:szCs w:val="21"/>
              </w:rPr>
              <w:t>5</w:t>
            </w:r>
          </w:p>
        </w:tc>
        <w:tc>
          <w:tcPr>
            <w:tcW w:w="1305" w:type="dxa"/>
            <w:tcMar>
              <w:left w:w="108" w:type="dxa"/>
              <w:right w:w="108" w:type="dxa"/>
            </w:tcMar>
            <w:vAlign w:val="center"/>
          </w:tcPr>
          <w:p>
            <w:pPr>
              <w:jc w:val="center"/>
              <w:rPr>
                <w:rFonts w:ascii="宋体" w:hAnsi="宋体" w:cs="宋体"/>
                <w:szCs w:val="21"/>
              </w:rPr>
            </w:pPr>
            <w:r>
              <w:rPr>
                <w:rFonts w:hint="eastAsia" w:ascii="宋体" w:hAnsi="宋体" w:cs="宋体"/>
                <w:szCs w:val="21"/>
              </w:rPr>
              <w:t>扶持不发达地区和少数民族地区</w:t>
            </w:r>
          </w:p>
          <w:p>
            <w:pPr>
              <w:jc w:val="center"/>
              <w:rPr>
                <w:rFonts w:ascii="宋体" w:hAnsi="宋体" w:cs="宋体"/>
                <w:szCs w:val="21"/>
              </w:rPr>
            </w:pPr>
            <w:r>
              <w:rPr>
                <w:rFonts w:hint="eastAsia" w:ascii="宋体" w:hAnsi="宋体" w:cs="宋体"/>
                <w:szCs w:val="21"/>
              </w:rPr>
              <w:t>（2%）</w:t>
            </w:r>
          </w:p>
        </w:tc>
        <w:tc>
          <w:tcPr>
            <w:tcW w:w="737" w:type="dxa"/>
            <w:tcMar>
              <w:left w:w="108" w:type="dxa"/>
              <w:right w:w="108" w:type="dxa"/>
            </w:tcMar>
            <w:vAlign w:val="center"/>
          </w:tcPr>
          <w:p>
            <w:pPr>
              <w:jc w:val="center"/>
              <w:rPr>
                <w:rFonts w:ascii="宋体" w:hAnsi="宋体" w:cs="宋体"/>
                <w:szCs w:val="21"/>
              </w:rPr>
            </w:pPr>
            <w:r>
              <w:rPr>
                <w:rFonts w:hint="eastAsia" w:ascii="宋体" w:hAnsi="宋体" w:cs="宋体"/>
                <w:szCs w:val="21"/>
              </w:rPr>
              <w:t>2</w:t>
            </w:r>
          </w:p>
        </w:tc>
        <w:tc>
          <w:tcPr>
            <w:tcW w:w="4961" w:type="dxa"/>
            <w:tcMar>
              <w:left w:w="108" w:type="dxa"/>
              <w:right w:w="108" w:type="dxa"/>
            </w:tcMar>
            <w:vAlign w:val="center"/>
          </w:tcPr>
          <w:p>
            <w:pPr>
              <w:rPr>
                <w:rFonts w:ascii="宋体" w:hAnsi="宋体" w:cs="宋体"/>
                <w:szCs w:val="21"/>
              </w:rPr>
            </w:pPr>
            <w:r>
              <w:rPr>
                <w:rFonts w:hint="eastAsia" w:ascii="宋体" w:hAnsi="宋体" w:cs="宋体"/>
                <w:szCs w:val="21"/>
              </w:rPr>
              <w:t>投标人为不发达地区或少数民族地区企业的得2分。</w:t>
            </w:r>
          </w:p>
          <w:p>
            <w:pPr>
              <w:rPr>
                <w:rFonts w:ascii="宋体" w:hAnsi="宋体" w:cs="宋体"/>
                <w:szCs w:val="21"/>
              </w:rPr>
            </w:pPr>
            <w:r>
              <w:rPr>
                <w:rFonts w:hint="eastAsia" w:ascii="宋体" w:hAnsi="宋体" w:cs="宋体"/>
                <w:szCs w:val="21"/>
              </w:rPr>
              <w:t>（说明：投标人提供为不发达地区企业或注册地为少数民族地区的相关证明材料。）</w:t>
            </w:r>
          </w:p>
        </w:tc>
        <w:tc>
          <w:tcPr>
            <w:tcW w:w="1076" w:type="dxa"/>
            <w:tcMar>
              <w:left w:w="108" w:type="dxa"/>
              <w:right w:w="108" w:type="dxa"/>
            </w:tcMar>
            <w:vAlign w:val="center"/>
          </w:tcPr>
          <w:p>
            <w:pPr>
              <w:rPr>
                <w:rFonts w:ascii="宋体" w:hAnsi="宋体" w:cs="宋体"/>
                <w:szCs w:val="21"/>
                <w:highlight w:val="yellow"/>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743" w:type="dxa"/>
            <w:tcMar>
              <w:left w:w="108" w:type="dxa"/>
              <w:right w:w="108" w:type="dxa"/>
            </w:tcMar>
            <w:vAlign w:val="center"/>
          </w:tcPr>
          <w:p>
            <w:pPr>
              <w:pStyle w:val="18"/>
              <w:jc w:val="center"/>
              <w:rPr>
                <w:rFonts w:ascii="宋体" w:hAnsi="宋体" w:cs="宋体"/>
                <w:szCs w:val="21"/>
              </w:rPr>
            </w:pPr>
            <w:r>
              <w:rPr>
                <w:rFonts w:hint="eastAsia" w:ascii="宋体" w:hAnsi="宋体"/>
                <w:szCs w:val="21"/>
              </w:rPr>
              <w:t>6</w:t>
            </w:r>
          </w:p>
        </w:tc>
        <w:tc>
          <w:tcPr>
            <w:tcW w:w="1305" w:type="dxa"/>
            <w:tcMar>
              <w:left w:w="108" w:type="dxa"/>
              <w:right w:w="108" w:type="dxa"/>
            </w:tcMar>
            <w:vAlign w:val="center"/>
          </w:tcPr>
          <w:p>
            <w:pPr>
              <w:jc w:val="center"/>
              <w:rPr>
                <w:rFonts w:ascii="宋体" w:hAnsi="宋体" w:cs="宋体"/>
                <w:szCs w:val="21"/>
              </w:rPr>
            </w:pPr>
            <w:r>
              <w:rPr>
                <w:rFonts w:hint="eastAsia" w:ascii="宋体" w:hAnsi="宋体" w:cs="宋体"/>
                <w:szCs w:val="21"/>
              </w:rPr>
              <w:t>投标文件规范性</w:t>
            </w:r>
          </w:p>
          <w:p>
            <w:pPr>
              <w:jc w:val="center"/>
              <w:rPr>
                <w:rFonts w:ascii="宋体" w:hAnsi="宋体" w:cs="宋体"/>
                <w:szCs w:val="21"/>
              </w:rPr>
            </w:pPr>
            <w:r>
              <w:rPr>
                <w:rFonts w:hint="eastAsia" w:ascii="宋体" w:hAnsi="宋体" w:cs="宋体"/>
                <w:szCs w:val="21"/>
              </w:rPr>
              <w:t>（2%）</w:t>
            </w:r>
          </w:p>
        </w:tc>
        <w:tc>
          <w:tcPr>
            <w:tcW w:w="737" w:type="dxa"/>
            <w:tcMar>
              <w:left w:w="108" w:type="dxa"/>
              <w:right w:w="108" w:type="dxa"/>
            </w:tcMar>
            <w:vAlign w:val="center"/>
          </w:tcPr>
          <w:p>
            <w:pPr>
              <w:jc w:val="center"/>
              <w:rPr>
                <w:rFonts w:ascii="宋体" w:hAnsi="宋体" w:cs="宋体"/>
                <w:szCs w:val="21"/>
              </w:rPr>
            </w:pPr>
            <w:r>
              <w:rPr>
                <w:rFonts w:hint="eastAsia" w:ascii="宋体" w:hAnsi="宋体" w:cs="宋体"/>
                <w:szCs w:val="21"/>
              </w:rPr>
              <w:t>2</w:t>
            </w:r>
          </w:p>
        </w:tc>
        <w:tc>
          <w:tcPr>
            <w:tcW w:w="4961" w:type="dxa"/>
            <w:tcMar>
              <w:left w:w="108" w:type="dxa"/>
              <w:right w:w="108" w:type="dxa"/>
            </w:tcMar>
            <w:vAlign w:val="center"/>
          </w:tcPr>
          <w:p>
            <w:pPr>
              <w:rPr>
                <w:rFonts w:ascii="宋体" w:hAnsi="宋体" w:cs="宋体"/>
                <w:szCs w:val="21"/>
              </w:rPr>
            </w:pPr>
            <w:r>
              <w:rPr>
                <w:rFonts w:hint="eastAsia" w:ascii="宋体" w:hAnsi="宋体" w:cs="宋体"/>
                <w:szCs w:val="21"/>
              </w:rPr>
              <w:t>投标文件制作规范，没有细微偏差情形的得</w:t>
            </w:r>
            <w:r>
              <w:rPr>
                <w:rFonts w:ascii="宋体" w:hAnsi="宋体" w:cs="宋体"/>
                <w:szCs w:val="21"/>
              </w:rPr>
              <w:t>2</w:t>
            </w:r>
            <w:r>
              <w:rPr>
                <w:rFonts w:hint="eastAsia" w:ascii="宋体" w:hAnsi="宋体" w:cs="宋体"/>
                <w:szCs w:val="21"/>
              </w:rPr>
              <w:t>分；有一项细微偏差扣</w:t>
            </w:r>
            <w:r>
              <w:rPr>
                <w:rFonts w:ascii="宋体" w:hAnsi="宋体" w:cs="宋体"/>
                <w:szCs w:val="21"/>
              </w:rPr>
              <w:t>0.5</w:t>
            </w:r>
            <w:r>
              <w:rPr>
                <w:rFonts w:hint="eastAsia" w:ascii="宋体" w:hAnsi="宋体" w:cs="宋体"/>
                <w:szCs w:val="21"/>
              </w:rPr>
              <w:t>分，直至该项分值扣完为止。</w:t>
            </w:r>
          </w:p>
        </w:tc>
        <w:tc>
          <w:tcPr>
            <w:tcW w:w="1076" w:type="dxa"/>
            <w:tcMar>
              <w:left w:w="108" w:type="dxa"/>
              <w:right w:w="108" w:type="dxa"/>
            </w:tcMar>
            <w:vAlign w:val="center"/>
          </w:tcPr>
          <w:p>
            <w:pPr>
              <w:rPr>
                <w:rFonts w:ascii="宋体" w:hAnsi="宋体" w:cs="宋体"/>
                <w:szCs w:val="21"/>
              </w:rPr>
            </w:pPr>
          </w:p>
        </w:tc>
      </w:tr>
    </w:tbl>
    <w:p>
      <w:pPr>
        <w:spacing w:before="66" w:line="242" w:lineRule="auto"/>
        <w:ind w:left="328" w:right="20"/>
        <w:jc w:val="left"/>
        <w:rPr>
          <w:b/>
          <w:sz w:val="24"/>
        </w:rPr>
      </w:pPr>
      <w:bookmarkStart w:id="339" w:name="_Toc217446099"/>
      <w:r>
        <w:rPr>
          <w:b/>
          <w:w w:val="95"/>
          <w:sz w:val="24"/>
        </w:rPr>
        <w:t>注：1.本项目不涉及节能、环境标志、无线局域网产品，故在综合评分明细表中不</w:t>
      </w:r>
      <w:r>
        <w:rPr>
          <w:b/>
          <w:sz w:val="24"/>
        </w:rPr>
        <w:t>作体现。</w:t>
      </w:r>
    </w:p>
    <w:p>
      <w:pPr>
        <w:spacing w:before="1"/>
        <w:ind w:left="328"/>
        <w:jc w:val="left"/>
        <w:rPr>
          <w:b/>
          <w:sz w:val="24"/>
        </w:rPr>
      </w:pPr>
      <w:r>
        <w:rPr>
          <w:b/>
          <w:sz w:val="24"/>
        </w:rPr>
        <w:t>2.评分的取值按四舍五入法，保留小数点后两位。</w:t>
      </w:r>
    </w:p>
    <w:p>
      <w:pPr>
        <w:widowControl/>
        <w:adjustRightInd w:val="0"/>
        <w:snapToGrid w:val="0"/>
        <w:spacing w:line="360" w:lineRule="auto"/>
        <w:rPr>
          <w:rFonts w:ascii="宋体" w:hAnsi="宋体" w:cs="宋体"/>
          <w:kern w:val="0"/>
          <w:szCs w:val="21"/>
        </w:rPr>
      </w:pPr>
    </w:p>
    <w:p>
      <w:pPr>
        <w:pStyle w:val="4"/>
        <w:numPr>
          <w:ilvl w:val="1"/>
          <w:numId w:val="0"/>
        </w:numPr>
        <w:adjustRightInd w:val="0"/>
        <w:snapToGrid w:val="0"/>
        <w:spacing w:before="0" w:after="0"/>
      </w:pPr>
      <w:bookmarkStart w:id="340" w:name="_Toc66192184"/>
      <w:bookmarkStart w:id="341" w:name="_Toc25004"/>
      <w:bookmarkStart w:id="342" w:name="_Toc3983"/>
      <w:bookmarkStart w:id="343" w:name="_Toc28719"/>
      <w:bookmarkStart w:id="344" w:name="_Toc12574"/>
      <w:bookmarkStart w:id="345" w:name="_Toc26504"/>
      <w:r>
        <w:rPr>
          <w:rFonts w:hint="eastAsia"/>
        </w:rPr>
        <w:t>5、废标</w:t>
      </w:r>
      <w:bookmarkEnd w:id="340"/>
      <w:bookmarkEnd w:id="341"/>
      <w:bookmarkEnd w:id="342"/>
      <w:bookmarkEnd w:id="343"/>
      <w:bookmarkEnd w:id="344"/>
      <w:bookmarkEnd w:id="345"/>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5.1本次政府采购活动中，出现下列情形之一的，予以废标：</w:t>
      </w:r>
    </w:p>
    <w:p>
      <w:pPr>
        <w:numPr>
          <w:ilvl w:val="0"/>
          <w:numId w:val="40"/>
        </w:numPr>
        <w:tabs>
          <w:tab w:val="left" w:pos="1155"/>
        </w:tabs>
        <w:adjustRightInd w:val="0"/>
        <w:snapToGrid w:val="0"/>
        <w:spacing w:line="360" w:lineRule="auto"/>
        <w:ind w:left="0" w:firstLine="525"/>
        <w:rPr>
          <w:rFonts w:ascii="宋体" w:hAnsi="宋体"/>
          <w:sz w:val="24"/>
          <w:szCs w:val="24"/>
        </w:rPr>
      </w:pPr>
      <w:r>
        <w:rPr>
          <w:rFonts w:hint="eastAsia" w:ascii="宋体" w:hAnsi="宋体"/>
          <w:sz w:val="24"/>
          <w:szCs w:val="24"/>
        </w:rPr>
        <w:t>符合专业条件的供应商或者对招标文件作实质响应的供应商不足三家的；</w:t>
      </w:r>
    </w:p>
    <w:p>
      <w:pPr>
        <w:numPr>
          <w:ilvl w:val="0"/>
          <w:numId w:val="40"/>
        </w:numPr>
        <w:tabs>
          <w:tab w:val="left" w:pos="1155"/>
        </w:tabs>
        <w:adjustRightInd w:val="0"/>
        <w:snapToGrid w:val="0"/>
        <w:spacing w:line="360" w:lineRule="auto"/>
        <w:ind w:left="0" w:firstLine="525"/>
        <w:rPr>
          <w:rFonts w:ascii="宋体" w:hAnsi="宋体"/>
          <w:sz w:val="24"/>
          <w:szCs w:val="24"/>
        </w:rPr>
      </w:pPr>
      <w:r>
        <w:rPr>
          <w:rFonts w:hint="eastAsia" w:ascii="宋体" w:hAnsi="宋体"/>
          <w:sz w:val="24"/>
          <w:szCs w:val="24"/>
        </w:rPr>
        <w:t>出现影响采购公正的违法、违规行为的；</w:t>
      </w:r>
    </w:p>
    <w:p>
      <w:pPr>
        <w:numPr>
          <w:ilvl w:val="0"/>
          <w:numId w:val="40"/>
        </w:numPr>
        <w:tabs>
          <w:tab w:val="left" w:pos="1155"/>
        </w:tabs>
        <w:adjustRightInd w:val="0"/>
        <w:snapToGrid w:val="0"/>
        <w:spacing w:line="360" w:lineRule="auto"/>
        <w:ind w:left="0" w:firstLine="525"/>
        <w:rPr>
          <w:rFonts w:ascii="宋体" w:hAnsi="宋体"/>
          <w:sz w:val="24"/>
          <w:szCs w:val="24"/>
        </w:rPr>
      </w:pPr>
      <w:r>
        <w:rPr>
          <w:rFonts w:hint="eastAsia" w:ascii="宋体" w:hAnsi="宋体"/>
          <w:sz w:val="24"/>
          <w:szCs w:val="24"/>
        </w:rPr>
        <w:t>投标人的报价均超过了采购预算，采购人不能支付的；</w:t>
      </w:r>
    </w:p>
    <w:p>
      <w:pPr>
        <w:numPr>
          <w:ilvl w:val="0"/>
          <w:numId w:val="40"/>
        </w:numPr>
        <w:tabs>
          <w:tab w:val="left" w:pos="1155"/>
        </w:tabs>
        <w:adjustRightInd w:val="0"/>
        <w:snapToGrid w:val="0"/>
        <w:spacing w:line="360" w:lineRule="auto"/>
        <w:ind w:left="0" w:firstLine="525"/>
        <w:rPr>
          <w:rFonts w:ascii="宋体" w:hAnsi="宋体"/>
          <w:sz w:val="24"/>
          <w:szCs w:val="24"/>
        </w:rPr>
      </w:pPr>
      <w:r>
        <w:rPr>
          <w:rFonts w:hint="eastAsia" w:ascii="宋体" w:hAnsi="宋体"/>
          <w:sz w:val="24"/>
          <w:szCs w:val="24"/>
        </w:rPr>
        <w:t>因重大变故，采购任务取消的；</w:t>
      </w:r>
    </w:p>
    <w:p>
      <w:pPr>
        <w:pStyle w:val="18"/>
        <w:spacing w:before="93" w:line="312" w:lineRule="auto"/>
        <w:ind w:left="328" w:right="311" w:firstLine="480"/>
        <w:rPr>
          <w:rFonts w:ascii="宋体" w:hAnsi="宋体"/>
          <w:sz w:val="24"/>
          <w:szCs w:val="24"/>
        </w:rPr>
      </w:pPr>
      <w:bookmarkStart w:id="346" w:name="_Toc6534"/>
      <w:bookmarkStart w:id="347" w:name="_Toc13368"/>
      <w:bookmarkStart w:id="348" w:name="_Toc19274"/>
      <w:bookmarkStart w:id="349" w:name="_Toc66192185"/>
      <w:bookmarkStart w:id="350" w:name="_Toc25862"/>
      <w:r>
        <w:rPr>
          <w:rFonts w:hint="eastAsia" w:ascii="宋体" w:hAnsi="宋体"/>
          <w:sz w:val="24"/>
          <w:szCs w:val="24"/>
        </w:rPr>
        <w:t>废标后，采购代理机构应在四川政府采购网上公告，并公告废标的理由。投标人需要知晓导致废标情形的具体原因和理由的，可以通过书面形式询问招标采购单位。</w:t>
      </w:r>
    </w:p>
    <w:p>
      <w:pPr>
        <w:pStyle w:val="199"/>
        <w:tabs>
          <w:tab w:val="left" w:pos="749"/>
        </w:tabs>
        <w:spacing w:before="1" w:line="312" w:lineRule="auto"/>
        <w:ind w:left="420" w:leftChars="200" w:right="311" w:firstLine="480"/>
        <w:rPr>
          <w:rFonts w:ascii="宋体" w:hAnsi="宋体"/>
          <w:sz w:val="24"/>
          <w:szCs w:val="24"/>
        </w:rPr>
      </w:pPr>
      <w:r>
        <w:rPr>
          <w:rFonts w:hint="eastAsia" w:ascii="宋体" w:hAnsi="宋体"/>
          <w:sz w:val="24"/>
          <w:szCs w:val="24"/>
        </w:rPr>
        <w:t>5.2对于评标过程中废标的采购项目，评标委员会应当对招标文件是否存在倾向性和歧视性、是否存在不合理条款进行论证，并出具书面论证意见。</w:t>
      </w:r>
    </w:p>
    <w:p>
      <w:pPr>
        <w:pStyle w:val="4"/>
        <w:numPr>
          <w:ilvl w:val="1"/>
          <w:numId w:val="0"/>
        </w:numPr>
        <w:adjustRightInd w:val="0"/>
        <w:snapToGrid w:val="0"/>
        <w:spacing w:before="0" w:after="0"/>
      </w:pPr>
      <w:bookmarkStart w:id="351" w:name="_Toc9732"/>
      <w:r>
        <w:rPr>
          <w:rFonts w:hint="eastAsia"/>
        </w:rPr>
        <w:t>6、定标</w:t>
      </w:r>
      <w:bookmarkEnd w:id="346"/>
      <w:bookmarkEnd w:id="347"/>
      <w:bookmarkEnd w:id="348"/>
      <w:bookmarkEnd w:id="349"/>
      <w:bookmarkEnd w:id="350"/>
      <w:bookmarkEnd w:id="351"/>
    </w:p>
    <w:p>
      <w:pPr>
        <w:pStyle w:val="5"/>
        <w:numPr>
          <w:ilvl w:val="2"/>
          <w:numId w:val="0"/>
        </w:numPr>
        <w:ind w:firstLine="480" w:firstLineChars="200"/>
        <w:rPr>
          <w:szCs w:val="24"/>
        </w:rPr>
      </w:pPr>
      <w:r>
        <w:rPr>
          <w:rFonts w:hint="eastAsia"/>
        </w:rPr>
        <w:t>6.1定标原则</w:t>
      </w:r>
      <w:bookmarkStart w:id="352" w:name="_Toc315871726"/>
      <w:bookmarkStart w:id="353" w:name="_Toc316292258"/>
      <w:bookmarkStart w:id="354" w:name="_Toc217446060"/>
      <w:r>
        <w:rPr>
          <w:rFonts w:hint="eastAsia"/>
        </w:rPr>
        <w:t>：</w:t>
      </w:r>
      <w:r>
        <w:rPr>
          <w:rFonts w:hint="eastAsia"/>
          <w:szCs w:val="24"/>
        </w:rPr>
        <w:t>本项</w:t>
      </w:r>
      <w:bookmarkEnd w:id="352"/>
      <w:bookmarkEnd w:id="353"/>
      <w:r>
        <w:rPr>
          <w:rFonts w:hint="eastAsia"/>
          <w:szCs w:val="24"/>
        </w:rPr>
        <w:t>目根据评标委员会推荐的中标候选人名单，按顺序确定中标人。</w:t>
      </w:r>
    </w:p>
    <w:p>
      <w:pPr>
        <w:pStyle w:val="5"/>
        <w:numPr>
          <w:ilvl w:val="2"/>
          <w:numId w:val="0"/>
        </w:numPr>
        <w:ind w:firstLine="480" w:firstLineChars="200"/>
      </w:pPr>
      <w:r>
        <w:rPr>
          <w:rFonts w:hint="eastAsia"/>
        </w:rPr>
        <w:t>6.2定标程序</w:t>
      </w:r>
    </w:p>
    <w:p>
      <w:pPr>
        <w:tabs>
          <w:tab w:val="left" w:pos="1155"/>
        </w:tabs>
        <w:spacing w:line="360" w:lineRule="auto"/>
        <w:ind w:firstLine="480" w:firstLineChars="200"/>
        <w:rPr>
          <w:rFonts w:ascii="宋体" w:hAnsi="宋体"/>
          <w:sz w:val="24"/>
          <w:szCs w:val="24"/>
        </w:rPr>
      </w:pPr>
      <w:r>
        <w:rPr>
          <w:rFonts w:hint="eastAsia" w:ascii="宋体" w:hAnsi="宋体"/>
          <w:sz w:val="24"/>
          <w:szCs w:val="24"/>
        </w:rPr>
        <w:t>6.2.1评审委员会将评审情况写入书面报告，推荐中标候选人。</w:t>
      </w:r>
    </w:p>
    <w:p>
      <w:pPr>
        <w:tabs>
          <w:tab w:val="left" w:pos="1155"/>
        </w:tabs>
        <w:spacing w:line="360" w:lineRule="auto"/>
        <w:ind w:firstLine="480" w:firstLineChars="200"/>
        <w:rPr>
          <w:rFonts w:ascii="宋体" w:hAnsi="宋体"/>
          <w:sz w:val="24"/>
          <w:szCs w:val="24"/>
        </w:rPr>
      </w:pPr>
      <w:r>
        <w:rPr>
          <w:rFonts w:hint="eastAsia" w:ascii="宋体" w:hAnsi="宋体"/>
          <w:sz w:val="24"/>
          <w:szCs w:val="24"/>
        </w:rPr>
        <w:t>6.2.2采购代理机构在评审结束之日起2个工作日内将评审报告送采购人。</w:t>
      </w:r>
    </w:p>
    <w:p>
      <w:pPr>
        <w:pStyle w:val="199"/>
        <w:tabs>
          <w:tab w:val="left" w:pos="1054"/>
        </w:tabs>
        <w:spacing w:before="93" w:line="312" w:lineRule="auto"/>
        <w:ind w:right="313" w:firstLine="480"/>
        <w:jc w:val="left"/>
        <w:rPr>
          <w:rFonts w:ascii="宋体" w:hAnsi="宋体"/>
          <w:sz w:val="24"/>
          <w:szCs w:val="24"/>
        </w:rPr>
      </w:pPr>
      <w:r>
        <w:rPr>
          <w:rFonts w:hint="eastAsia" w:ascii="宋体" w:hAnsi="宋体"/>
          <w:sz w:val="24"/>
          <w:szCs w:val="24"/>
        </w:rPr>
        <w:t>6.2.3采购人在收到评审报告后5个工作日内，按照评审报告中推荐的中标候选人顺序确定中标人。</w:t>
      </w:r>
      <w:bookmarkEnd w:id="354"/>
      <w:bookmarkStart w:id="355" w:name="_Toc315871729"/>
      <w:bookmarkStart w:id="356" w:name="_Toc316292261"/>
      <w:bookmarkStart w:id="357" w:name="_Toc217446062"/>
      <w:r>
        <w:rPr>
          <w:spacing w:val="3"/>
          <w:sz w:val="24"/>
        </w:rPr>
        <w:t>评标结果按评审后得分由高到低顺序排列；得分相同的，按投标</w:t>
      </w:r>
      <w:r>
        <w:rPr>
          <w:rFonts w:hint="eastAsia" w:ascii="宋体" w:hAnsi="宋体"/>
          <w:sz w:val="24"/>
          <w:szCs w:val="24"/>
        </w:rPr>
        <w:t>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由采购人自主采取公平、择优的方式选择中标人。采购人在收到评标报告后 5 个工作日内未按评标报告推荐的中标候选人顺序确定中标人，又不能说明合法理由的，视同按评标报告推荐的顺序确定排名第一的中标候选人为中标人。</w:t>
      </w:r>
    </w:p>
    <w:p>
      <w:pPr>
        <w:pStyle w:val="8"/>
        <w:numPr>
          <w:ilvl w:val="5"/>
          <w:numId w:val="0"/>
        </w:numPr>
        <w:spacing w:before="2" w:line="312" w:lineRule="auto"/>
        <w:ind w:right="281" w:firstLine="478" w:firstLineChars="200"/>
        <w:rPr>
          <w:sz w:val="24"/>
          <w:szCs w:val="24"/>
        </w:rPr>
      </w:pPr>
      <w:r>
        <w:rPr>
          <w:spacing w:val="5"/>
          <w:w w:val="95"/>
          <w:sz w:val="24"/>
          <w:szCs w:val="24"/>
        </w:rPr>
        <w:t>注意，采购人按照推荐的中标候选人顺序确定中标人，不能认为采购人只能确</w:t>
      </w:r>
      <w:r>
        <w:rPr>
          <w:spacing w:val="3"/>
          <w:w w:val="95"/>
          <w:sz w:val="24"/>
          <w:szCs w:val="24"/>
        </w:rPr>
        <w:t>定第一中标候选人为中标人，采购人有正当理由的，可以确定后一顺序中标候选人</w:t>
      </w:r>
      <w:r>
        <w:rPr>
          <w:sz w:val="24"/>
          <w:szCs w:val="24"/>
        </w:rPr>
        <w:t>为中标人，依次类推。</w:t>
      </w:r>
    </w:p>
    <w:bookmarkEnd w:id="339"/>
    <w:bookmarkEnd w:id="355"/>
    <w:bookmarkEnd w:id="356"/>
    <w:bookmarkEnd w:id="357"/>
    <w:p>
      <w:pPr>
        <w:tabs>
          <w:tab w:val="left" w:pos="1155"/>
        </w:tabs>
        <w:spacing w:line="360" w:lineRule="auto"/>
        <w:ind w:firstLine="480" w:firstLineChars="200"/>
        <w:rPr>
          <w:rFonts w:ascii="宋体" w:hAnsi="宋体"/>
          <w:sz w:val="24"/>
          <w:szCs w:val="24"/>
        </w:rPr>
      </w:pPr>
      <w:bookmarkStart w:id="358" w:name="_Toc315871730"/>
      <w:bookmarkStart w:id="359" w:name="_Toc316292262"/>
      <w:r>
        <w:rPr>
          <w:rFonts w:hint="eastAsia" w:ascii="宋体" w:hAnsi="宋体"/>
          <w:sz w:val="24"/>
          <w:szCs w:val="24"/>
        </w:rPr>
        <w:t>6.2.4</w:t>
      </w:r>
      <w:r>
        <w:rPr>
          <w:spacing w:val="-2"/>
          <w:sz w:val="24"/>
        </w:rPr>
        <w:t xml:space="preserve">采购代理机构应自采购人确定中标之日起 </w:t>
      </w:r>
      <w:r>
        <w:rPr>
          <w:sz w:val="24"/>
        </w:rPr>
        <w:t>2</w:t>
      </w:r>
      <w:r>
        <w:rPr>
          <w:spacing w:val="-16"/>
          <w:sz w:val="24"/>
        </w:rPr>
        <w:t xml:space="preserve"> 个工作</w:t>
      </w:r>
      <w:r>
        <w:rPr>
          <w:sz w:val="24"/>
        </w:rPr>
        <w:t>日内在四川政府采购网上发布中标公告，同时向中标人发出中标通知书</w:t>
      </w:r>
    </w:p>
    <w:p>
      <w:pPr>
        <w:tabs>
          <w:tab w:val="left" w:pos="1155"/>
        </w:tabs>
        <w:spacing w:line="360" w:lineRule="auto"/>
        <w:ind w:left="525"/>
        <w:rPr>
          <w:rFonts w:ascii="宋体" w:hAnsi="宋体"/>
          <w:sz w:val="24"/>
          <w:szCs w:val="24"/>
        </w:rPr>
      </w:pPr>
      <w:r>
        <w:rPr>
          <w:rFonts w:hint="eastAsia" w:ascii="宋体" w:hAnsi="宋体"/>
          <w:sz w:val="24"/>
          <w:szCs w:val="24"/>
        </w:rPr>
        <w:t>6.2.5招标采购单位不退回投标文件和其他投标资料。</w:t>
      </w:r>
    </w:p>
    <w:p>
      <w:pPr>
        <w:pStyle w:val="4"/>
        <w:numPr>
          <w:ilvl w:val="1"/>
          <w:numId w:val="0"/>
        </w:numPr>
        <w:adjustRightInd w:val="0"/>
        <w:snapToGrid w:val="0"/>
        <w:spacing w:before="0" w:after="0"/>
      </w:pPr>
      <w:bookmarkStart w:id="360" w:name="_Toc30183"/>
      <w:bookmarkStart w:id="361" w:name="_Toc26868"/>
      <w:bookmarkStart w:id="362" w:name="_Toc8986"/>
      <w:bookmarkStart w:id="363" w:name="_Toc7599"/>
      <w:bookmarkStart w:id="364" w:name="_Toc24864"/>
      <w:bookmarkStart w:id="365" w:name="_Toc66192186"/>
      <w:r>
        <w:rPr>
          <w:rFonts w:hint="eastAsia"/>
        </w:rPr>
        <w:t>7、评标专家在政府采购活动中承担以下义务</w:t>
      </w:r>
      <w:bookmarkEnd w:id="360"/>
      <w:bookmarkEnd w:id="361"/>
      <w:bookmarkEnd w:id="362"/>
      <w:bookmarkEnd w:id="363"/>
      <w:bookmarkEnd w:id="364"/>
      <w:bookmarkEnd w:id="365"/>
    </w:p>
    <w:p>
      <w:pPr>
        <w:numPr>
          <w:ilvl w:val="0"/>
          <w:numId w:val="41"/>
        </w:numPr>
        <w:tabs>
          <w:tab w:val="left" w:pos="1155"/>
        </w:tabs>
        <w:adjustRightInd w:val="0"/>
        <w:snapToGrid w:val="0"/>
        <w:spacing w:line="360" w:lineRule="auto"/>
        <w:ind w:left="0" w:firstLine="525"/>
        <w:rPr>
          <w:rFonts w:ascii="宋体" w:hAnsi="宋体"/>
          <w:sz w:val="24"/>
          <w:szCs w:val="24"/>
        </w:rPr>
      </w:pPr>
      <w:r>
        <w:rPr>
          <w:rFonts w:hint="eastAsia" w:ascii="宋体" w:hAnsi="宋体"/>
          <w:sz w:val="24"/>
          <w:szCs w:val="24"/>
        </w:rPr>
        <w:t>遵守评审工作纪律；</w:t>
      </w:r>
    </w:p>
    <w:p>
      <w:pPr>
        <w:numPr>
          <w:ilvl w:val="0"/>
          <w:numId w:val="41"/>
        </w:numPr>
        <w:tabs>
          <w:tab w:val="left" w:pos="1155"/>
        </w:tabs>
        <w:adjustRightInd w:val="0"/>
        <w:snapToGrid w:val="0"/>
        <w:spacing w:line="360" w:lineRule="auto"/>
        <w:ind w:left="0" w:firstLine="525"/>
        <w:rPr>
          <w:rFonts w:ascii="宋体" w:hAnsi="宋体"/>
          <w:sz w:val="24"/>
          <w:szCs w:val="24"/>
        </w:rPr>
      </w:pPr>
      <w:r>
        <w:rPr>
          <w:rFonts w:hint="eastAsia" w:ascii="宋体" w:hAnsi="宋体"/>
          <w:sz w:val="24"/>
          <w:szCs w:val="24"/>
        </w:rPr>
        <w:t>按照客观、公正、审慎的原则，根据采购文件的评审程序、评审方法和评审标准进行独立评审；</w:t>
      </w:r>
    </w:p>
    <w:p>
      <w:pPr>
        <w:numPr>
          <w:ilvl w:val="0"/>
          <w:numId w:val="41"/>
        </w:numPr>
        <w:tabs>
          <w:tab w:val="left" w:pos="1155"/>
        </w:tabs>
        <w:adjustRightInd w:val="0"/>
        <w:snapToGrid w:val="0"/>
        <w:spacing w:line="360" w:lineRule="auto"/>
        <w:ind w:left="0" w:firstLine="525"/>
        <w:rPr>
          <w:rFonts w:ascii="宋体" w:hAnsi="宋体"/>
          <w:sz w:val="24"/>
          <w:szCs w:val="24"/>
        </w:rPr>
      </w:pPr>
      <w:r>
        <w:rPr>
          <w:rFonts w:hint="eastAsia" w:ascii="宋体" w:hAnsi="宋体"/>
          <w:sz w:val="24"/>
          <w:szCs w:val="24"/>
        </w:rPr>
        <w:t>保守秘密。不得泄漏供应商的投标文件及知悉的商业秘密，不得向供应商透露评审情况。</w:t>
      </w:r>
    </w:p>
    <w:p>
      <w:pPr>
        <w:numPr>
          <w:ilvl w:val="0"/>
          <w:numId w:val="41"/>
        </w:numPr>
        <w:tabs>
          <w:tab w:val="left" w:pos="1155"/>
        </w:tabs>
        <w:adjustRightInd w:val="0"/>
        <w:snapToGrid w:val="0"/>
        <w:spacing w:line="360" w:lineRule="auto"/>
        <w:ind w:left="0" w:firstLine="525"/>
        <w:rPr>
          <w:rFonts w:ascii="宋体" w:hAnsi="宋体"/>
          <w:sz w:val="24"/>
          <w:szCs w:val="24"/>
        </w:rPr>
      </w:pPr>
      <w:r>
        <w:rPr>
          <w:rFonts w:hint="eastAsia" w:ascii="宋体" w:hAnsi="宋体"/>
          <w:sz w:val="24"/>
          <w:szCs w:val="24"/>
        </w:rPr>
        <w:t>发现供应商在政</w:t>
      </w:r>
      <w:bookmarkEnd w:id="358"/>
      <w:bookmarkEnd w:id="359"/>
      <w:r>
        <w:rPr>
          <w:rFonts w:hint="eastAsia" w:ascii="宋体" w:hAnsi="宋体"/>
          <w:sz w:val="24"/>
          <w:szCs w:val="24"/>
        </w:rPr>
        <w:t>府采购活动中有不正当竞争或恶意串通等违规行为，及时向政府采购评审工作的组织者或财政部门报告并加以制止。</w:t>
      </w:r>
    </w:p>
    <w:p>
      <w:pPr>
        <w:numPr>
          <w:ilvl w:val="0"/>
          <w:numId w:val="41"/>
        </w:numPr>
        <w:tabs>
          <w:tab w:val="left" w:pos="1155"/>
        </w:tabs>
        <w:adjustRightInd w:val="0"/>
        <w:snapToGrid w:val="0"/>
        <w:spacing w:line="360" w:lineRule="auto"/>
        <w:ind w:left="0" w:firstLine="525"/>
        <w:rPr>
          <w:rFonts w:ascii="宋体" w:hAnsi="宋体"/>
          <w:sz w:val="24"/>
          <w:szCs w:val="24"/>
        </w:rPr>
      </w:pPr>
      <w:r>
        <w:rPr>
          <w:rFonts w:hint="eastAsia" w:ascii="宋体" w:hAnsi="宋体"/>
          <w:sz w:val="24"/>
          <w:szCs w:val="24"/>
        </w:rPr>
        <w:t>发现采购人、成都青青工程造价咨询有限责任公司及其工作人员在政府采购活动中有干预评审、发表倾向性和歧视性言论、受贿或者接受供应商的其他好处及其他违法违规行为，及时向财政部门报告。</w:t>
      </w:r>
    </w:p>
    <w:p>
      <w:pPr>
        <w:numPr>
          <w:ilvl w:val="0"/>
          <w:numId w:val="41"/>
        </w:numPr>
        <w:tabs>
          <w:tab w:val="left" w:pos="1155"/>
        </w:tabs>
        <w:adjustRightInd w:val="0"/>
        <w:snapToGrid w:val="0"/>
        <w:spacing w:line="360" w:lineRule="auto"/>
        <w:ind w:left="0" w:firstLine="525"/>
        <w:rPr>
          <w:rFonts w:ascii="宋体" w:hAnsi="宋体"/>
          <w:sz w:val="24"/>
          <w:szCs w:val="24"/>
        </w:rPr>
      </w:pPr>
      <w:r>
        <w:rPr>
          <w:rFonts w:hint="eastAsia" w:ascii="宋体" w:hAnsi="宋体"/>
          <w:sz w:val="24"/>
          <w:szCs w:val="24"/>
        </w:rPr>
        <w:t>解答有关方面对政府采购评审工作中有关问题的询问，配合采购人或者成都青青工程造价咨询有限责任公司答复供应商质疑，配合财政部门的投诉处理工作等事宜。</w:t>
      </w:r>
    </w:p>
    <w:p>
      <w:pPr>
        <w:numPr>
          <w:ilvl w:val="0"/>
          <w:numId w:val="41"/>
        </w:numPr>
        <w:tabs>
          <w:tab w:val="left" w:pos="1155"/>
        </w:tabs>
        <w:adjustRightInd w:val="0"/>
        <w:snapToGrid w:val="0"/>
        <w:spacing w:line="360" w:lineRule="auto"/>
        <w:ind w:left="0" w:firstLine="525"/>
        <w:rPr>
          <w:rFonts w:ascii="宋体" w:hAnsi="宋体"/>
          <w:sz w:val="24"/>
          <w:szCs w:val="24"/>
        </w:rPr>
      </w:pPr>
      <w:r>
        <w:rPr>
          <w:rFonts w:hint="eastAsia" w:ascii="宋体" w:hAnsi="宋体"/>
          <w:sz w:val="24"/>
          <w:szCs w:val="24"/>
        </w:rPr>
        <w:t>法律、法规和规章规定的其他义务。</w:t>
      </w:r>
    </w:p>
    <w:p>
      <w:pPr>
        <w:pStyle w:val="4"/>
        <w:numPr>
          <w:ilvl w:val="0"/>
          <w:numId w:val="42"/>
        </w:numPr>
        <w:adjustRightInd w:val="0"/>
        <w:snapToGrid w:val="0"/>
        <w:spacing w:before="0" w:after="0"/>
        <w:ind w:left="840"/>
      </w:pPr>
      <w:bookmarkStart w:id="366" w:name="_Toc21671"/>
      <w:bookmarkStart w:id="367" w:name="_Toc6554"/>
      <w:bookmarkStart w:id="368" w:name="_Toc30247"/>
      <w:bookmarkStart w:id="369" w:name="_Toc13608"/>
      <w:bookmarkStart w:id="370" w:name="_Toc29100"/>
      <w:bookmarkStart w:id="371" w:name="_Toc66192187"/>
      <w:r>
        <w:rPr>
          <w:rFonts w:hint="eastAsia"/>
        </w:rPr>
        <w:t>评审专家在政府采购活动中应当遵守以下工作纪律</w:t>
      </w:r>
      <w:bookmarkEnd w:id="366"/>
      <w:bookmarkEnd w:id="367"/>
      <w:bookmarkEnd w:id="368"/>
      <w:bookmarkEnd w:id="369"/>
      <w:bookmarkEnd w:id="370"/>
      <w:bookmarkEnd w:id="371"/>
    </w:p>
    <w:p>
      <w:pPr>
        <w:pStyle w:val="18"/>
        <w:spacing w:before="201" w:line="312" w:lineRule="auto"/>
        <w:ind w:left="328" w:right="311" w:firstLine="420" w:firstLineChars="200"/>
        <w:rPr>
          <w:rFonts w:ascii="宋体" w:hAnsi="宋体"/>
          <w:sz w:val="24"/>
          <w:szCs w:val="24"/>
        </w:rPr>
      </w:pPr>
      <w:r>
        <w:t>（</w:t>
      </w:r>
      <w:r>
        <w:rPr>
          <w:rFonts w:hint="eastAsia"/>
        </w:rPr>
        <w:t>1</w:t>
      </w:r>
      <w:r>
        <w:t>）</w:t>
      </w:r>
      <w:r>
        <w:rPr>
          <w:rFonts w:hint="eastAsia" w:ascii="宋体" w:hAnsi="宋体"/>
          <w:sz w:val="24"/>
          <w:szCs w:val="24"/>
        </w:rPr>
        <w:t>遵行《政府采购法》第十二条和《政府采购法实施条例》第九条及财政部关于回避的规的。</w:t>
      </w:r>
    </w:p>
    <w:p>
      <w:pPr>
        <w:pStyle w:val="18"/>
        <w:spacing w:before="2"/>
        <w:ind w:left="328" w:right="-168" w:rightChars="-80" w:firstLine="480" w:firstLineChars="200"/>
        <w:rPr>
          <w:rFonts w:ascii="宋体" w:hAnsi="宋体"/>
          <w:sz w:val="24"/>
          <w:szCs w:val="24"/>
        </w:rPr>
      </w:pPr>
      <w:r>
        <w:rPr>
          <w:rFonts w:hint="eastAsia" w:ascii="宋体" w:hAnsi="宋体"/>
          <w:sz w:val="24"/>
          <w:szCs w:val="24"/>
        </w:rPr>
        <w:t>（2）评标前，应当将通讯工具或者相关电子设备交由招标采购单位统一保管。</w:t>
      </w:r>
    </w:p>
    <w:p>
      <w:pPr>
        <w:pStyle w:val="18"/>
        <w:spacing w:before="91" w:line="312" w:lineRule="auto"/>
        <w:ind w:left="328" w:right="311" w:firstLine="480" w:firstLineChars="200"/>
        <w:rPr>
          <w:sz w:val="26"/>
        </w:rPr>
      </w:pPr>
      <w:r>
        <w:rPr>
          <w:rFonts w:hint="eastAsia" w:ascii="宋体" w:hAnsi="宋体"/>
          <w:sz w:val="24"/>
          <w:szCs w:val="24"/>
        </w:rPr>
        <w:t>（3）评标过程中，不得与外界联系，因发生不可预见情况，确实需要与外界联系的，应当在监督人员监督之下办理。</w:t>
      </w:r>
    </w:p>
    <w:p>
      <w:pPr>
        <w:pStyle w:val="18"/>
        <w:spacing w:before="2" w:line="360" w:lineRule="auto"/>
        <w:ind w:left="329" w:right="-168" w:rightChars="-80" w:firstLine="480" w:firstLineChars="200"/>
        <w:rPr>
          <w:rFonts w:ascii="宋体" w:hAnsi="宋体"/>
          <w:sz w:val="24"/>
          <w:szCs w:val="24"/>
        </w:rPr>
      </w:pPr>
      <w:r>
        <w:rPr>
          <w:rFonts w:hint="eastAsia" w:ascii="宋体" w:hAnsi="宋体"/>
          <w:sz w:val="24"/>
          <w:szCs w:val="24"/>
        </w:rPr>
        <w:t>（4）评标过程中，不得在评标过程中擅离职守，不得干预或者影响正常评标工作，不得发表倾向性、引导性意见，不得修改或细化招标文件确定的评标程序、评标方法、评标因素和评标标准，不得征询采购人代表的意见，不得对需要专业判断的主观评审因素协商评分，不得违反规定的评标格式评分和撰写评标意见，不得拒绝对自己的评标意见签字确认。</w:t>
      </w:r>
    </w:p>
    <w:p>
      <w:pPr>
        <w:pStyle w:val="18"/>
        <w:spacing w:before="2" w:line="360" w:lineRule="auto"/>
        <w:ind w:left="329" w:right="-168" w:rightChars="-80" w:firstLine="480" w:firstLineChars="200"/>
        <w:rPr>
          <w:rFonts w:ascii="宋体" w:hAnsi="宋体"/>
          <w:sz w:val="24"/>
          <w:szCs w:val="24"/>
        </w:rPr>
      </w:pPr>
      <w:r>
        <w:rPr>
          <w:rFonts w:hint="eastAsia" w:ascii="宋体" w:hAnsi="宋体"/>
          <w:sz w:val="24"/>
          <w:szCs w:val="24"/>
        </w:rPr>
        <w:t>（5）在评标过程中和评标结束后，不得记录、复制或带走任何评标资料，除因规定的义务外，不得向外界透露评标内容。</w:t>
      </w:r>
    </w:p>
    <w:p>
      <w:pPr>
        <w:pStyle w:val="18"/>
        <w:spacing w:before="2" w:line="360" w:lineRule="auto"/>
        <w:ind w:left="329" w:right="-168" w:rightChars="-80" w:firstLine="480" w:firstLineChars="200"/>
        <w:rPr>
          <w:rFonts w:ascii="宋体" w:hAnsi="宋体"/>
          <w:sz w:val="24"/>
          <w:szCs w:val="24"/>
        </w:rPr>
      </w:pPr>
      <w:r>
        <w:rPr>
          <w:rFonts w:hint="eastAsia" w:ascii="宋体" w:hAnsi="宋体"/>
          <w:sz w:val="24"/>
          <w:szCs w:val="24"/>
        </w:rPr>
        <w:t>（6）服从评标现场招标采购单位的现场秩序管理，接受评标现场监督人员的合法监督。</w:t>
      </w:r>
    </w:p>
    <w:p>
      <w:pPr>
        <w:pStyle w:val="18"/>
        <w:spacing w:before="2" w:line="360" w:lineRule="auto"/>
        <w:ind w:left="329" w:right="-168" w:rightChars="-80" w:firstLine="480" w:firstLineChars="200"/>
        <w:rPr>
          <w:rFonts w:ascii="宋体" w:hAnsi="宋体"/>
          <w:sz w:val="24"/>
          <w:szCs w:val="24"/>
        </w:rPr>
      </w:pPr>
      <w:r>
        <w:rPr>
          <w:rFonts w:hint="eastAsia" w:ascii="宋体" w:hAnsi="宋体"/>
          <w:sz w:val="24"/>
          <w:szCs w:val="24"/>
        </w:rPr>
        <w:t>（7）遵守有关廉洁自律规定，不得在确定参与评标至评标结束前私自接触投标人，不得收受供应商及有关业务单位和个人的财物或好处，不得接受采购组织单位的请托。</w:t>
      </w:r>
    </w:p>
    <w:p>
      <w:pPr>
        <w:pStyle w:val="18"/>
        <w:spacing w:before="2" w:line="360" w:lineRule="auto"/>
        <w:ind w:left="329" w:right="-168" w:rightChars="-80" w:firstLine="480" w:firstLineChars="200"/>
        <w:rPr>
          <w:rFonts w:ascii="宋体" w:hAnsi="宋体"/>
          <w:sz w:val="24"/>
          <w:szCs w:val="24"/>
        </w:rPr>
      </w:pPr>
      <w:r>
        <w:rPr>
          <w:rFonts w:hint="eastAsia" w:ascii="宋体" w:hAnsi="宋体"/>
          <w:sz w:val="24"/>
          <w:szCs w:val="24"/>
        </w:rPr>
        <w:t>（8）不得接受供应商主动提出的澄清和解释，不得接受投标人提出的与投标文件不一致的澄清或者说明，财政部第 87 号令第五十一条规定的情形除外；</w:t>
      </w:r>
    </w:p>
    <w:p>
      <w:pPr>
        <w:pStyle w:val="18"/>
        <w:spacing w:before="2" w:line="360" w:lineRule="auto"/>
        <w:ind w:left="329" w:right="-168" w:rightChars="-80" w:firstLine="480" w:firstLineChars="200"/>
        <w:rPr>
          <w:rFonts w:ascii="宋体" w:hAnsi="宋体"/>
          <w:sz w:val="24"/>
          <w:szCs w:val="24"/>
        </w:rPr>
      </w:pPr>
      <w:r>
        <w:rPr>
          <w:rFonts w:hint="eastAsia" w:ascii="宋体" w:hAnsi="宋体"/>
          <w:sz w:val="24"/>
          <w:szCs w:val="24"/>
        </w:rPr>
        <w:t>（9）其他不遵守评标纪律的行为。</w:t>
      </w:r>
    </w:p>
    <w:p>
      <w:pPr>
        <w:pStyle w:val="18"/>
        <w:spacing w:before="2" w:line="360" w:lineRule="auto"/>
        <w:ind w:left="329" w:right="-168" w:rightChars="-80" w:firstLine="480" w:firstLineChars="200"/>
        <w:rPr>
          <w:rFonts w:ascii="宋体" w:hAnsi="宋体"/>
          <w:sz w:val="24"/>
          <w:szCs w:val="24"/>
        </w:rPr>
        <w:sectPr>
          <w:pgSz w:w="11910" w:h="16840"/>
          <w:pgMar w:top="1580" w:right="1160" w:bottom="1860" w:left="1260" w:header="0" w:footer="1587" w:gutter="0"/>
          <w:cols w:space="720" w:num="1"/>
        </w:sectPr>
      </w:pPr>
    </w:p>
    <w:p/>
    <w:p>
      <w:pPr>
        <w:pStyle w:val="3"/>
        <w:ind w:left="640" w:hanging="420"/>
        <w:jc w:val="both"/>
      </w:pPr>
      <w:bookmarkStart w:id="372" w:name="_Toc66192188"/>
      <w:bookmarkStart w:id="373" w:name="_Toc32106"/>
      <w:bookmarkStart w:id="374" w:name="_Toc9363"/>
      <w:bookmarkStart w:id="375" w:name="_Toc65757397"/>
      <w:bookmarkStart w:id="376" w:name="_Toc13694"/>
      <w:bookmarkStart w:id="377" w:name="_Toc3965"/>
      <w:bookmarkStart w:id="378" w:name="_Toc20752"/>
      <w:r>
        <w:rPr>
          <w:rFonts w:hint="eastAsia"/>
        </w:rPr>
        <w:t>拟签订合同主要条款</w:t>
      </w:r>
      <w:bookmarkEnd w:id="372"/>
      <w:bookmarkEnd w:id="373"/>
      <w:bookmarkEnd w:id="374"/>
      <w:bookmarkEnd w:id="375"/>
      <w:bookmarkEnd w:id="376"/>
      <w:bookmarkEnd w:id="377"/>
      <w:bookmarkEnd w:id="378"/>
    </w:p>
    <w:p>
      <w:pPr>
        <w:spacing w:line="360" w:lineRule="auto"/>
        <w:jc w:val="center"/>
        <w:rPr>
          <w:rFonts w:ascii="宋体" w:hAnsi="宋体"/>
          <w:sz w:val="24"/>
        </w:rPr>
      </w:pPr>
      <w:r>
        <w:rPr>
          <w:rFonts w:hint="eastAsia" w:ascii="宋体" w:hAnsi="宋体"/>
          <w:sz w:val="24"/>
        </w:rPr>
        <w:t>（本部分内容仅供投标人参考，具体条款以双方签订合同为准）</w:t>
      </w:r>
    </w:p>
    <w:p>
      <w:pPr>
        <w:spacing w:line="360" w:lineRule="auto"/>
        <w:ind w:firstLine="600"/>
        <w:jc w:val="center"/>
        <w:rPr>
          <w:rFonts w:ascii="宋体" w:hAnsi="宋体"/>
          <w:sz w:val="24"/>
        </w:rPr>
      </w:pPr>
      <w:r>
        <w:rPr>
          <w:rFonts w:hint="eastAsia" w:ascii="宋体" w:hAnsi="宋体" w:cs="仿宋_GB2312"/>
          <w:sz w:val="24"/>
        </w:rPr>
        <w:t xml:space="preserve">                                 合同编号：</w:t>
      </w:r>
    </w:p>
    <w:p>
      <w:pPr>
        <w:spacing w:line="360" w:lineRule="auto"/>
        <w:ind w:firstLine="480" w:firstLineChars="200"/>
        <w:rPr>
          <w:rFonts w:ascii="宋体" w:hAnsi="宋体"/>
          <w:sz w:val="24"/>
        </w:rPr>
      </w:pPr>
      <w:r>
        <w:rPr>
          <w:rFonts w:ascii="宋体" w:hAnsi="宋体"/>
          <w:sz w:val="24"/>
        </w:rPr>
        <w:t>合同编号：</w:t>
      </w:r>
      <w:r>
        <w:rPr>
          <w:rFonts w:hint="eastAsia" w:ascii="宋体" w:hAnsi="宋体"/>
          <w:sz w:val="24"/>
        </w:rPr>
        <w:t>XXXX。</w:t>
      </w:r>
    </w:p>
    <w:p>
      <w:pPr>
        <w:spacing w:line="360" w:lineRule="auto"/>
        <w:ind w:firstLine="480" w:firstLineChars="200"/>
        <w:rPr>
          <w:rFonts w:ascii="宋体" w:hAnsi="宋体"/>
          <w:sz w:val="24"/>
        </w:rPr>
      </w:pPr>
      <w:r>
        <w:rPr>
          <w:rFonts w:ascii="宋体" w:hAnsi="宋体"/>
          <w:sz w:val="24"/>
        </w:rPr>
        <w:t>签订地点：</w:t>
      </w:r>
      <w:r>
        <w:rPr>
          <w:rFonts w:hint="eastAsia" w:ascii="宋体" w:hAnsi="宋体"/>
          <w:sz w:val="24"/>
        </w:rPr>
        <w:t>XXXX。</w:t>
      </w:r>
    </w:p>
    <w:p>
      <w:pPr>
        <w:spacing w:line="360" w:lineRule="auto"/>
        <w:ind w:firstLine="480" w:firstLineChars="200"/>
        <w:rPr>
          <w:rFonts w:ascii="宋体" w:hAnsi="宋体"/>
          <w:sz w:val="24"/>
        </w:rPr>
      </w:pPr>
      <w:r>
        <w:rPr>
          <w:rFonts w:ascii="宋体" w:hAnsi="宋体"/>
          <w:sz w:val="24"/>
        </w:rPr>
        <w:t>签订时间：</w:t>
      </w:r>
      <w:r>
        <w:rPr>
          <w:rFonts w:hint="eastAsia" w:ascii="宋体" w:hAnsi="宋体"/>
          <w:sz w:val="24"/>
        </w:rPr>
        <w:t>XXXX</w:t>
      </w:r>
      <w:r>
        <w:rPr>
          <w:rFonts w:ascii="宋体" w:hAnsi="宋体"/>
          <w:sz w:val="24"/>
        </w:rPr>
        <w:t>年</w:t>
      </w:r>
      <w:r>
        <w:rPr>
          <w:rFonts w:hint="eastAsia" w:ascii="宋体" w:hAnsi="宋体"/>
          <w:sz w:val="24"/>
        </w:rPr>
        <w:t>XX</w:t>
      </w:r>
      <w:r>
        <w:rPr>
          <w:rFonts w:ascii="宋体" w:hAnsi="宋体"/>
          <w:sz w:val="24"/>
        </w:rPr>
        <w:t>月</w:t>
      </w:r>
      <w:r>
        <w:rPr>
          <w:rFonts w:hint="eastAsia" w:ascii="宋体" w:hAnsi="宋体"/>
          <w:sz w:val="24"/>
        </w:rPr>
        <w:t>XX</w:t>
      </w:r>
      <w:r>
        <w:rPr>
          <w:rFonts w:ascii="宋体" w:hAnsi="宋体"/>
          <w:sz w:val="24"/>
        </w:rPr>
        <w:t>日</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采购人（</w:t>
      </w:r>
      <w:r>
        <w:rPr>
          <w:rFonts w:ascii="宋体" w:hAnsi="宋体"/>
          <w:sz w:val="24"/>
        </w:rPr>
        <w:t>甲方</w:t>
      </w:r>
      <w:r>
        <w:rPr>
          <w:rFonts w:hint="eastAsia" w:ascii="宋体" w:hAnsi="宋体"/>
          <w:sz w:val="24"/>
        </w:rPr>
        <w:t>）</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投标人（乙</w:t>
      </w:r>
      <w:r>
        <w:rPr>
          <w:rFonts w:ascii="宋体" w:hAnsi="宋体"/>
          <w:sz w:val="24"/>
        </w:rPr>
        <w:t>方</w:t>
      </w:r>
      <w:r>
        <w:rPr>
          <w:rFonts w:hint="eastAsia" w:ascii="宋体" w:hAnsi="宋体"/>
          <w:sz w:val="24"/>
        </w:rPr>
        <w:t>）</w:t>
      </w:r>
      <w:r>
        <w:rPr>
          <w:rFonts w:ascii="宋体" w:hAnsi="宋体"/>
          <w:sz w:val="24"/>
        </w:rPr>
        <w:t>：</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依据《中华人民共和国</w:t>
      </w:r>
      <w:r>
        <w:rPr>
          <w:rFonts w:hint="eastAsia" w:ascii="宋体" w:hAnsi="宋体"/>
          <w:sz w:val="24"/>
        </w:rPr>
        <w:t>民法典</w:t>
      </w:r>
      <w:r>
        <w:rPr>
          <w:rFonts w:ascii="宋体" w:hAnsi="宋体"/>
          <w:sz w:val="24"/>
        </w:rPr>
        <w:t>》《中华人民共和国政府采购法》</w:t>
      </w:r>
      <w:r>
        <w:rPr>
          <w:rFonts w:hint="eastAsia" w:ascii="宋体" w:hAnsi="宋体"/>
          <w:sz w:val="24"/>
        </w:rPr>
        <w:t>与项目行业有关的法律法规，以及XXXX项目（项目编号：XXXX）</w:t>
      </w:r>
      <w:r>
        <w:rPr>
          <w:rFonts w:ascii="宋体" w:hAnsi="宋体"/>
          <w:sz w:val="24"/>
        </w:rPr>
        <w:t>的</w:t>
      </w:r>
      <w:r>
        <w:rPr>
          <w:rFonts w:hint="eastAsia" w:ascii="宋体" w:hAnsi="宋体"/>
          <w:sz w:val="24"/>
        </w:rPr>
        <w:t>《招标文件/竞争性</w:t>
      </w:r>
      <w:r>
        <w:rPr>
          <w:rFonts w:ascii="宋体" w:hAnsi="宋体"/>
          <w:sz w:val="24"/>
        </w:rPr>
        <w:t>招标文件</w:t>
      </w:r>
      <w:r>
        <w:rPr>
          <w:rFonts w:hint="eastAsia" w:ascii="宋体" w:hAnsi="宋体"/>
          <w:sz w:val="24"/>
        </w:rPr>
        <w:t>/谈判</w:t>
      </w:r>
      <w:r>
        <w:rPr>
          <w:rFonts w:ascii="宋体" w:hAnsi="宋体"/>
          <w:sz w:val="24"/>
        </w:rPr>
        <w:t>文件</w:t>
      </w:r>
      <w:r>
        <w:rPr>
          <w:rFonts w:hint="eastAsia" w:ascii="宋体" w:hAnsi="宋体"/>
          <w:sz w:val="24"/>
        </w:rPr>
        <w:t>》</w:t>
      </w:r>
      <w:r>
        <w:rPr>
          <w:rFonts w:ascii="宋体" w:hAnsi="宋体"/>
          <w:sz w:val="24"/>
        </w:rPr>
        <w:t>，</w:t>
      </w:r>
      <w:r>
        <w:rPr>
          <w:rFonts w:hint="eastAsia" w:ascii="宋体" w:hAnsi="宋体"/>
          <w:sz w:val="24"/>
        </w:rPr>
        <w:t>乙方的《投标文件/资格性</w:t>
      </w:r>
      <w:r>
        <w:rPr>
          <w:rFonts w:ascii="宋体" w:hAnsi="宋体"/>
          <w:sz w:val="24"/>
        </w:rPr>
        <w:t>投标文件、</w:t>
      </w:r>
      <w:r>
        <w:rPr>
          <w:rFonts w:hint="eastAsia" w:ascii="宋体" w:hAnsi="宋体"/>
          <w:sz w:val="24"/>
        </w:rPr>
        <w:t>技术</w:t>
      </w:r>
      <w:r>
        <w:rPr>
          <w:rFonts w:ascii="宋体" w:hAnsi="宋体"/>
          <w:sz w:val="24"/>
        </w:rPr>
        <w:t>服务投标</w:t>
      </w:r>
      <w:r>
        <w:rPr>
          <w:rFonts w:hint="eastAsia" w:ascii="宋体" w:hAnsi="宋体"/>
          <w:sz w:val="24"/>
        </w:rPr>
        <w:t>文件》及《中标通知书/成交</w:t>
      </w:r>
      <w:r>
        <w:rPr>
          <w:rFonts w:ascii="宋体" w:hAnsi="宋体"/>
          <w:sz w:val="24"/>
        </w:rPr>
        <w:t>通知书</w:t>
      </w:r>
      <w:r>
        <w:rPr>
          <w:rFonts w:hint="eastAsia" w:ascii="宋体" w:hAnsi="宋体"/>
          <w:sz w:val="24"/>
        </w:rPr>
        <w:t>》，甲、乙双方同意签订本合同。详细技术说明及其他有关合同项目的特定信息由合同附件予以说明，合同附件及本项目的《招标文件》《投标文件》《中标通知书》等均为本合同的组成部分。</w:t>
      </w:r>
    </w:p>
    <w:p>
      <w:pPr>
        <w:numPr>
          <w:ilvl w:val="0"/>
          <w:numId w:val="43"/>
        </w:numPr>
        <w:spacing w:line="360" w:lineRule="auto"/>
        <w:rPr>
          <w:rFonts w:ascii="宋体" w:hAnsi="宋体"/>
          <w:b/>
          <w:sz w:val="24"/>
        </w:rPr>
      </w:pPr>
      <w:r>
        <w:rPr>
          <w:rFonts w:hint="eastAsia" w:ascii="宋体" w:hAnsi="宋体"/>
          <w:b/>
          <w:sz w:val="24"/>
        </w:rPr>
        <w:t>项目基本情况</w:t>
      </w:r>
    </w:p>
    <w:p>
      <w:pPr>
        <w:spacing w:line="360" w:lineRule="auto"/>
        <w:ind w:firstLine="630"/>
        <w:rPr>
          <w:rFonts w:ascii="宋体" w:hAnsi="宋体"/>
          <w:b/>
          <w:sz w:val="24"/>
        </w:rPr>
      </w:pPr>
    </w:p>
    <w:p>
      <w:pPr>
        <w:numPr>
          <w:ilvl w:val="0"/>
          <w:numId w:val="43"/>
        </w:numPr>
        <w:spacing w:line="360" w:lineRule="auto"/>
        <w:rPr>
          <w:rFonts w:ascii="宋体" w:hAnsi="宋体"/>
          <w:b/>
          <w:sz w:val="24"/>
        </w:rPr>
      </w:pPr>
      <w:r>
        <w:rPr>
          <w:rFonts w:hint="eastAsia" w:ascii="宋体" w:hAnsi="宋体"/>
          <w:b/>
          <w:sz w:val="24"/>
        </w:rPr>
        <w:t>合同期限</w:t>
      </w:r>
    </w:p>
    <w:p>
      <w:pPr>
        <w:spacing w:line="360" w:lineRule="auto"/>
        <w:ind w:firstLine="480" w:firstLineChars="200"/>
        <w:rPr>
          <w:rFonts w:ascii="宋体" w:hAnsi="宋体"/>
          <w:sz w:val="24"/>
        </w:rPr>
      </w:pPr>
    </w:p>
    <w:p>
      <w:pPr>
        <w:numPr>
          <w:ilvl w:val="0"/>
          <w:numId w:val="43"/>
        </w:numPr>
        <w:spacing w:line="360" w:lineRule="auto"/>
        <w:rPr>
          <w:rFonts w:ascii="宋体" w:hAnsi="宋体"/>
          <w:b/>
          <w:sz w:val="24"/>
        </w:rPr>
      </w:pPr>
      <w:bookmarkStart w:id="379" w:name="_Toc211911348"/>
      <w:bookmarkStart w:id="380" w:name="_Toc225244852"/>
      <w:bookmarkStart w:id="381" w:name="_Toc282696226"/>
      <w:bookmarkStart w:id="382" w:name="_Toc251768862"/>
      <w:bookmarkStart w:id="383" w:name="_Toc225670751"/>
      <w:bookmarkStart w:id="384" w:name="_Toc212019594"/>
      <w:bookmarkStart w:id="385" w:name="_Toc211854449"/>
      <w:bookmarkStart w:id="386" w:name="_Toc239233914"/>
      <w:bookmarkStart w:id="387" w:name="_Toc237145406"/>
      <w:bookmarkStart w:id="388" w:name="_Toc239568418"/>
      <w:bookmarkStart w:id="389" w:name="_Toc238984975"/>
      <w:bookmarkStart w:id="390" w:name="_Toc241833903"/>
      <w:bookmarkStart w:id="391" w:name="_Toc286993786"/>
      <w:bookmarkStart w:id="392" w:name="_Toc185395249"/>
      <w:bookmarkStart w:id="393" w:name="_Toc232492928"/>
      <w:bookmarkStart w:id="394" w:name="_Toc247334841"/>
      <w:bookmarkStart w:id="395" w:name="_Toc283019214"/>
      <w:bookmarkStart w:id="396" w:name="_Toc225654644"/>
      <w:r>
        <w:rPr>
          <w:rFonts w:hint="eastAsia" w:ascii="宋体" w:hAnsi="宋体"/>
          <w:b/>
          <w:sz w:val="24"/>
        </w:rPr>
        <w:t>服务内容与质量标准</w:t>
      </w:r>
    </w:p>
    <w:p>
      <w:pPr>
        <w:spacing w:line="360" w:lineRule="auto"/>
        <w:ind w:left="567"/>
        <w:rPr>
          <w:rFonts w:ascii="宋体" w:hAnsi="宋体"/>
          <w:sz w:val="24"/>
        </w:rPr>
      </w:pPr>
      <w:r>
        <w:rPr>
          <w:rFonts w:hint="eastAsia" w:ascii="宋体" w:hAnsi="宋体"/>
          <w:sz w:val="24"/>
        </w:rPr>
        <w:t>1、XXXX；</w:t>
      </w:r>
    </w:p>
    <w:p>
      <w:pPr>
        <w:spacing w:line="360" w:lineRule="auto"/>
        <w:ind w:left="567"/>
        <w:rPr>
          <w:rFonts w:ascii="宋体" w:hAnsi="宋体"/>
          <w:sz w:val="24"/>
        </w:rPr>
      </w:pPr>
      <w:r>
        <w:rPr>
          <w:rFonts w:hint="eastAsia" w:ascii="宋体" w:hAnsi="宋体"/>
          <w:sz w:val="24"/>
        </w:rPr>
        <w:t>2、XXXX；</w:t>
      </w:r>
    </w:p>
    <w:p>
      <w:pPr>
        <w:spacing w:line="360" w:lineRule="auto"/>
        <w:ind w:left="567"/>
        <w:rPr>
          <w:rFonts w:ascii="宋体" w:hAnsi="宋体"/>
          <w:sz w:val="24"/>
        </w:rPr>
      </w:pPr>
      <w:r>
        <w:rPr>
          <w:rFonts w:hint="eastAsia" w:ascii="宋体" w:hAnsi="宋体"/>
          <w:sz w:val="24"/>
        </w:rPr>
        <w:t>3、XXXX．</w:t>
      </w:r>
    </w:p>
    <w:p>
      <w:pPr>
        <w:spacing w:line="360" w:lineRule="auto"/>
        <w:ind w:firstLine="630"/>
        <w:rPr>
          <w:rFonts w:ascii="宋体" w:hAnsi="宋体"/>
          <w:sz w:val="24"/>
        </w:rPr>
      </w:pPr>
      <w:r>
        <w:rPr>
          <w:rFonts w:ascii="宋体" w:hAnsi="宋体"/>
          <w:sz w:val="24"/>
        </w:rPr>
        <w:t>…</w:t>
      </w:r>
    </w:p>
    <w:p>
      <w:pPr>
        <w:numPr>
          <w:ilvl w:val="0"/>
          <w:numId w:val="43"/>
        </w:numPr>
        <w:spacing w:line="360" w:lineRule="auto"/>
        <w:rPr>
          <w:rFonts w:ascii="宋体" w:hAnsi="宋体"/>
          <w:b/>
          <w:sz w:val="24"/>
        </w:rPr>
      </w:pPr>
      <w:r>
        <w:rPr>
          <w:rFonts w:hint="eastAsia" w:ascii="宋体" w:hAnsi="宋体"/>
          <w:b/>
          <w:sz w:val="24"/>
        </w:rPr>
        <w:t>服务收费标准及支付方式</w:t>
      </w:r>
    </w:p>
    <w:p>
      <w:pPr>
        <w:numPr>
          <w:ilvl w:val="0"/>
          <w:numId w:val="44"/>
        </w:numPr>
        <w:spacing w:line="360" w:lineRule="auto"/>
        <w:ind w:left="0" w:firstLine="567"/>
        <w:rPr>
          <w:rFonts w:ascii="宋体" w:hAnsi="宋体"/>
          <w:b/>
          <w:sz w:val="24"/>
        </w:rPr>
      </w:pPr>
      <w:r>
        <w:rPr>
          <w:rFonts w:hint="eastAsia" w:ascii="宋体" w:hAnsi="宋体"/>
          <w:b/>
          <w:sz w:val="24"/>
        </w:rPr>
        <w:t xml:space="preserve"> 本项目服务收费标准：</w:t>
      </w:r>
    </w:p>
    <w:p>
      <w:pPr>
        <w:spacing w:line="360" w:lineRule="auto"/>
        <w:ind w:firstLine="480" w:firstLineChars="200"/>
        <w:rPr>
          <w:rFonts w:ascii="宋体" w:hAnsi="宋体"/>
          <w:sz w:val="24"/>
        </w:rPr>
      </w:pPr>
      <w:r>
        <w:rPr>
          <w:rFonts w:hint="eastAsia" w:ascii="宋体" w:hAnsi="宋体"/>
          <w:sz w:val="24"/>
        </w:rPr>
        <w:t>1、XX万元；</w:t>
      </w:r>
    </w:p>
    <w:p>
      <w:pPr>
        <w:spacing w:line="360" w:lineRule="auto"/>
        <w:ind w:firstLine="480" w:firstLineChars="200"/>
        <w:rPr>
          <w:rFonts w:ascii="宋体" w:hAnsi="宋体"/>
          <w:sz w:val="24"/>
        </w:rPr>
      </w:pPr>
      <w:r>
        <w:rPr>
          <w:rFonts w:hint="eastAsia" w:ascii="宋体" w:hAnsi="宋体"/>
          <w:sz w:val="24"/>
        </w:rPr>
        <w:t>2、XX万元；</w:t>
      </w:r>
    </w:p>
    <w:p>
      <w:pPr>
        <w:spacing w:line="360" w:lineRule="auto"/>
        <w:ind w:firstLine="480" w:firstLineChars="200"/>
        <w:rPr>
          <w:rFonts w:ascii="宋体" w:hAnsi="宋体"/>
          <w:sz w:val="24"/>
        </w:rPr>
      </w:pPr>
      <w:r>
        <w:rPr>
          <w:rFonts w:hint="eastAsia" w:ascii="宋体" w:hAnsi="宋体"/>
          <w:sz w:val="24"/>
        </w:rPr>
        <w:t>3、XX万元。</w:t>
      </w:r>
    </w:p>
    <w:p>
      <w:pPr>
        <w:spacing w:line="360" w:lineRule="auto"/>
        <w:ind w:firstLine="480" w:firstLineChars="200"/>
        <w:rPr>
          <w:rFonts w:ascii="宋体" w:hAnsi="宋体"/>
          <w:sz w:val="24"/>
        </w:rPr>
      </w:pPr>
      <w:r>
        <w:rPr>
          <w:rFonts w:ascii="宋体" w:hAnsi="宋体"/>
          <w:sz w:val="24"/>
        </w:rPr>
        <w:t>……</w:t>
      </w:r>
    </w:p>
    <w:p>
      <w:pPr>
        <w:numPr>
          <w:ilvl w:val="0"/>
          <w:numId w:val="44"/>
        </w:numPr>
        <w:tabs>
          <w:tab w:val="left" w:pos="780"/>
        </w:tabs>
        <w:spacing w:line="360" w:lineRule="auto"/>
        <w:ind w:left="0" w:firstLine="567"/>
        <w:rPr>
          <w:rFonts w:ascii="宋体" w:hAnsi="宋体"/>
          <w:b/>
          <w:sz w:val="24"/>
        </w:rPr>
      </w:pPr>
      <w:r>
        <w:rPr>
          <w:rFonts w:hint="eastAsia" w:ascii="宋体" w:hAnsi="宋体"/>
          <w:b/>
          <w:sz w:val="24"/>
        </w:rPr>
        <w:t xml:space="preserve"> 服务费支付方式：</w:t>
      </w:r>
    </w:p>
    <w:p>
      <w:pPr>
        <w:spacing w:line="360" w:lineRule="auto"/>
        <w:ind w:firstLine="480" w:firstLineChars="200"/>
        <w:rPr>
          <w:rFonts w:ascii="宋体" w:hAnsi="宋体"/>
          <w:sz w:val="24"/>
        </w:rPr>
      </w:pPr>
      <w:r>
        <w:rPr>
          <w:rFonts w:hint="eastAsia" w:ascii="宋体" w:hAnsi="宋体"/>
          <w:sz w:val="24"/>
        </w:rPr>
        <w:t>按</w:t>
      </w:r>
      <w:r>
        <w:rPr>
          <w:rFonts w:ascii="宋体" w:hAnsi="宋体"/>
          <w:sz w:val="24"/>
        </w:rPr>
        <w:t>实际签约合同执行</w:t>
      </w:r>
    </w:p>
    <w:p>
      <w:pPr>
        <w:spacing w:line="360" w:lineRule="auto"/>
        <w:ind w:firstLine="480" w:firstLineChars="200"/>
        <w:rPr>
          <w:rFonts w:ascii="宋体" w:hAnsi="宋体"/>
          <w:sz w:val="24"/>
        </w:rPr>
      </w:pPr>
    </w:p>
    <w:p>
      <w:pPr>
        <w:numPr>
          <w:ilvl w:val="0"/>
          <w:numId w:val="43"/>
        </w:numPr>
        <w:spacing w:line="360" w:lineRule="auto"/>
        <w:rPr>
          <w:rFonts w:ascii="宋体" w:hAnsi="宋体"/>
          <w:b/>
          <w:sz w:val="24"/>
        </w:rPr>
      </w:pPr>
      <w:r>
        <w:rPr>
          <w:rFonts w:hint="eastAsia" w:ascii="宋体" w:hAnsi="宋体"/>
          <w:b/>
          <w:sz w:val="24"/>
        </w:rPr>
        <w:t>履约保证金</w:t>
      </w:r>
    </w:p>
    <w:p>
      <w:pPr>
        <w:adjustRightInd w:val="0"/>
        <w:spacing w:line="360" w:lineRule="auto"/>
        <w:ind w:firstLine="480" w:firstLineChars="200"/>
        <w:textAlignment w:val="baseline"/>
        <w:rPr>
          <w:rFonts w:ascii="宋体" w:hAnsi="宋体"/>
          <w:sz w:val="24"/>
        </w:rPr>
      </w:pPr>
      <w:r>
        <w:rPr>
          <w:rFonts w:hint="eastAsia" w:ascii="宋体" w:hAnsi="宋体"/>
          <w:sz w:val="24"/>
        </w:rPr>
        <w:t>1、乙方交纳人民币XX元作为本合同的履约保证金。</w:t>
      </w:r>
    </w:p>
    <w:p>
      <w:pPr>
        <w:adjustRightInd w:val="0"/>
        <w:spacing w:line="360" w:lineRule="auto"/>
        <w:ind w:firstLine="480" w:firstLineChars="200"/>
        <w:textAlignment w:val="baseline"/>
        <w:rPr>
          <w:rFonts w:ascii="宋体" w:hAnsi="宋体"/>
          <w:sz w:val="24"/>
        </w:rPr>
      </w:pPr>
      <w:r>
        <w:rPr>
          <w:rFonts w:hint="eastAsia" w:ascii="宋体" w:hAnsi="宋体"/>
          <w:sz w:val="24"/>
        </w:rPr>
        <w:t>2、履约保证金作为违约金的一部分及用于补偿甲方因乙方不能履行合同义务而蒙受的损失。</w:t>
      </w:r>
    </w:p>
    <w:p>
      <w:pPr>
        <w:spacing w:line="300" w:lineRule="auto"/>
        <w:ind w:firstLine="480" w:firstLineChars="200"/>
        <w:rPr>
          <w:rFonts w:ascii="宋体" w:hAnsi="宋体"/>
          <w:sz w:val="24"/>
        </w:rPr>
      </w:pPr>
      <w:r>
        <w:rPr>
          <w:rFonts w:hint="eastAsia" w:ascii="宋体" w:hAnsi="宋体"/>
          <w:sz w:val="24"/>
        </w:rPr>
        <w:t>3、履约保证金的退还：项目终止时，如无违约情况，按</w:t>
      </w:r>
      <w:r>
        <w:rPr>
          <w:rFonts w:ascii="宋体" w:hAnsi="宋体"/>
          <w:sz w:val="24"/>
        </w:rPr>
        <w:t>合同执行</w:t>
      </w:r>
      <w:r>
        <w:rPr>
          <w:rFonts w:hint="eastAsia" w:ascii="宋体" w:hAnsi="宋体"/>
          <w:sz w:val="24"/>
        </w:rPr>
        <w:t>。</w:t>
      </w:r>
    </w:p>
    <w:p>
      <w:pPr>
        <w:adjustRightInd w:val="0"/>
        <w:spacing w:line="360" w:lineRule="auto"/>
        <w:ind w:firstLine="480" w:firstLineChars="200"/>
        <w:textAlignment w:val="baseline"/>
        <w:rPr>
          <w:rFonts w:ascii="宋体" w:hAnsi="宋体"/>
          <w:sz w:val="24"/>
        </w:rPr>
      </w:pPr>
      <w:r>
        <w:rPr>
          <w:rFonts w:hint="eastAsia" w:ascii="宋体" w:hAnsi="宋体"/>
          <w:sz w:val="24"/>
        </w:rPr>
        <w:t>（退还金额中应扣除作为违约金的一部分及用于补偿甲方因乙方不能履行合同义务而蒙受的损失的部分）</w:t>
      </w:r>
    </w:p>
    <w:p>
      <w:pPr>
        <w:numPr>
          <w:ilvl w:val="0"/>
          <w:numId w:val="43"/>
        </w:numPr>
        <w:spacing w:line="360" w:lineRule="auto"/>
        <w:rPr>
          <w:rFonts w:ascii="宋体" w:hAnsi="宋体"/>
          <w:b/>
          <w:sz w:val="24"/>
        </w:rPr>
      </w:pPr>
      <w:r>
        <w:rPr>
          <w:rFonts w:ascii="宋体" w:hAnsi="宋体"/>
          <w:b/>
          <w:sz w:val="24"/>
        </w:rPr>
        <w:t>甲方的权利和义务</w:t>
      </w:r>
    </w:p>
    <w:p>
      <w:pPr>
        <w:adjustRightInd w:val="0"/>
        <w:spacing w:line="360" w:lineRule="auto"/>
        <w:ind w:firstLine="480" w:firstLineChars="200"/>
        <w:textAlignment w:val="baseline"/>
        <w:rPr>
          <w:rFonts w:ascii="宋体" w:hAnsi="宋体"/>
          <w:sz w:val="24"/>
        </w:rPr>
      </w:pPr>
      <w:r>
        <w:rPr>
          <w:rFonts w:hint="eastAsia" w:ascii="宋体" w:hAnsi="宋体"/>
          <w:sz w:val="24"/>
        </w:rPr>
        <w:t>1、</w:t>
      </w:r>
      <w:r>
        <w:rPr>
          <w:rFonts w:ascii="宋体" w:hAnsi="宋体"/>
          <w:sz w:val="24"/>
        </w:rPr>
        <w:t>甲方有权对合同规定范围内</w:t>
      </w:r>
      <w:r>
        <w:rPr>
          <w:rFonts w:hint="eastAsia" w:ascii="宋体" w:hAnsi="宋体"/>
          <w:sz w:val="24"/>
        </w:rPr>
        <w:t>乙方的服务行为</w:t>
      </w:r>
      <w:r>
        <w:rPr>
          <w:rFonts w:ascii="宋体" w:hAnsi="宋体"/>
          <w:sz w:val="24"/>
        </w:rPr>
        <w:t>进行监督和检查，拥有监管权。有权定期</w:t>
      </w:r>
      <w:r>
        <w:rPr>
          <w:rFonts w:hint="eastAsia" w:ascii="宋体" w:hAnsi="宋体"/>
          <w:sz w:val="24"/>
        </w:rPr>
        <w:t>检查</w:t>
      </w:r>
      <w:r>
        <w:rPr>
          <w:rFonts w:ascii="宋体" w:hAnsi="宋体"/>
          <w:sz w:val="24"/>
        </w:rPr>
        <w:t>乙方提供服务的</w:t>
      </w:r>
      <w:r>
        <w:rPr>
          <w:rFonts w:hint="eastAsia" w:ascii="宋体" w:hAnsi="宋体"/>
          <w:sz w:val="24"/>
        </w:rPr>
        <w:t>质量</w:t>
      </w:r>
      <w:r>
        <w:rPr>
          <w:rFonts w:ascii="宋体" w:hAnsi="宋体"/>
          <w:sz w:val="24"/>
        </w:rPr>
        <w:t>。对甲方认为不合理的部分有权</w:t>
      </w:r>
      <w:r>
        <w:rPr>
          <w:rFonts w:hint="eastAsia" w:ascii="宋体" w:hAnsi="宋体"/>
          <w:sz w:val="24"/>
        </w:rPr>
        <w:t>下达整改通知书，并</w:t>
      </w:r>
      <w:r>
        <w:rPr>
          <w:rFonts w:ascii="宋体" w:hAnsi="宋体"/>
          <w:sz w:val="24"/>
        </w:rPr>
        <w:t>要求乙方</w:t>
      </w:r>
      <w:r>
        <w:rPr>
          <w:rFonts w:hint="eastAsia" w:ascii="宋体" w:hAnsi="宋体"/>
          <w:sz w:val="24"/>
        </w:rPr>
        <w:t>限期整改</w:t>
      </w:r>
      <w:r>
        <w:rPr>
          <w:rFonts w:ascii="宋体" w:hAnsi="宋体"/>
          <w:sz w:val="24"/>
        </w:rPr>
        <w:t>。</w:t>
      </w:r>
    </w:p>
    <w:p>
      <w:pPr>
        <w:adjustRightInd w:val="0"/>
        <w:spacing w:line="360" w:lineRule="auto"/>
        <w:ind w:firstLine="480" w:firstLineChars="200"/>
        <w:textAlignment w:val="baseline"/>
        <w:rPr>
          <w:rFonts w:ascii="宋体" w:hAnsi="宋体"/>
          <w:sz w:val="24"/>
        </w:rPr>
      </w:pPr>
      <w:r>
        <w:rPr>
          <w:rFonts w:hint="eastAsia" w:ascii="宋体" w:hAnsi="宋体"/>
          <w:sz w:val="24"/>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textAlignment w:val="baseline"/>
        <w:rPr>
          <w:rFonts w:ascii="宋体" w:hAnsi="宋体"/>
          <w:sz w:val="24"/>
        </w:rPr>
      </w:pPr>
      <w:r>
        <w:rPr>
          <w:rFonts w:hint="eastAsia" w:ascii="宋体" w:hAnsi="宋体"/>
          <w:sz w:val="24"/>
        </w:rPr>
        <w:t>3、</w:t>
      </w:r>
      <w:r>
        <w:rPr>
          <w:rFonts w:ascii="宋体" w:hAnsi="宋体"/>
          <w:sz w:val="24"/>
        </w:rPr>
        <w:t>根据本合同规定，按时向乙方支付应付</w:t>
      </w:r>
      <w:r>
        <w:rPr>
          <w:rFonts w:hint="eastAsia" w:ascii="宋体" w:hAnsi="宋体"/>
          <w:sz w:val="24"/>
        </w:rPr>
        <w:t>服务费用</w:t>
      </w:r>
      <w:r>
        <w:rPr>
          <w:rFonts w:ascii="宋体" w:hAnsi="宋体"/>
          <w:sz w:val="24"/>
        </w:rPr>
        <w:t>。</w:t>
      </w:r>
    </w:p>
    <w:p>
      <w:pPr>
        <w:adjustRightInd w:val="0"/>
        <w:spacing w:line="360" w:lineRule="auto"/>
        <w:ind w:firstLine="480" w:firstLineChars="200"/>
        <w:textAlignment w:val="baseline"/>
        <w:rPr>
          <w:rFonts w:ascii="宋体" w:hAnsi="宋体"/>
          <w:sz w:val="24"/>
        </w:rPr>
      </w:pPr>
      <w:r>
        <w:rPr>
          <w:rFonts w:hint="eastAsia" w:ascii="宋体" w:hAnsi="宋体"/>
          <w:sz w:val="24"/>
        </w:rPr>
        <w:t>4、</w:t>
      </w:r>
      <w:r>
        <w:rPr>
          <w:rFonts w:ascii="宋体" w:hAnsi="宋体"/>
          <w:sz w:val="24"/>
        </w:rPr>
        <w:t>国家法律、法规所规定由甲方承担的其它责任。</w:t>
      </w:r>
    </w:p>
    <w:p>
      <w:pPr>
        <w:numPr>
          <w:ilvl w:val="0"/>
          <w:numId w:val="43"/>
        </w:numPr>
        <w:spacing w:line="360" w:lineRule="auto"/>
        <w:rPr>
          <w:rFonts w:ascii="宋体" w:hAnsi="宋体"/>
          <w:b/>
          <w:sz w:val="24"/>
        </w:rPr>
      </w:pPr>
      <w:r>
        <w:rPr>
          <w:rFonts w:ascii="宋体" w:hAnsi="宋体"/>
          <w:b/>
          <w:sz w:val="24"/>
        </w:rPr>
        <w:t>乙方的权利和义务</w:t>
      </w:r>
    </w:p>
    <w:p>
      <w:pPr>
        <w:adjustRightInd w:val="0"/>
        <w:spacing w:line="360" w:lineRule="auto"/>
        <w:ind w:firstLine="480" w:firstLineChars="200"/>
        <w:textAlignment w:val="baseline"/>
        <w:rPr>
          <w:rFonts w:ascii="宋体" w:hAnsi="宋体"/>
          <w:sz w:val="24"/>
        </w:rPr>
      </w:pPr>
      <w:r>
        <w:rPr>
          <w:rFonts w:hint="eastAsia" w:ascii="宋体" w:hAnsi="宋体"/>
          <w:sz w:val="24"/>
        </w:rPr>
        <w:t>1、</w:t>
      </w:r>
      <w:r>
        <w:rPr>
          <w:rFonts w:ascii="宋体" w:hAnsi="宋体"/>
          <w:sz w:val="24"/>
        </w:rPr>
        <w:t>对本合同规定的委托</w:t>
      </w:r>
      <w:r>
        <w:rPr>
          <w:rFonts w:hint="eastAsia" w:ascii="宋体" w:hAnsi="宋体"/>
          <w:sz w:val="24"/>
        </w:rPr>
        <w:t>服务</w:t>
      </w:r>
      <w:r>
        <w:rPr>
          <w:rFonts w:ascii="宋体" w:hAnsi="宋体"/>
          <w:sz w:val="24"/>
        </w:rPr>
        <w:t>范围内的</w:t>
      </w:r>
      <w:r>
        <w:rPr>
          <w:rFonts w:hint="eastAsia" w:ascii="宋体" w:hAnsi="宋体"/>
          <w:sz w:val="24"/>
        </w:rPr>
        <w:t>项目</w:t>
      </w:r>
      <w:r>
        <w:rPr>
          <w:rFonts w:ascii="宋体" w:hAnsi="宋体"/>
          <w:sz w:val="24"/>
        </w:rPr>
        <w:t>享有管理权及服务义务。</w:t>
      </w:r>
    </w:p>
    <w:p>
      <w:pPr>
        <w:adjustRightInd w:val="0"/>
        <w:spacing w:line="360" w:lineRule="auto"/>
        <w:ind w:firstLine="480" w:firstLineChars="200"/>
        <w:textAlignment w:val="baseline"/>
        <w:rPr>
          <w:rFonts w:ascii="宋体" w:hAnsi="宋体"/>
          <w:sz w:val="24"/>
        </w:rPr>
      </w:pPr>
      <w:r>
        <w:rPr>
          <w:rFonts w:hint="eastAsia" w:ascii="宋体" w:hAnsi="宋体"/>
          <w:sz w:val="24"/>
        </w:rPr>
        <w:t>2、</w:t>
      </w:r>
      <w:r>
        <w:rPr>
          <w:rFonts w:ascii="宋体" w:hAnsi="宋体"/>
          <w:sz w:val="24"/>
        </w:rPr>
        <w:t>根据本合同的规定向甲方收取相关</w:t>
      </w:r>
      <w:r>
        <w:rPr>
          <w:rFonts w:hint="eastAsia" w:ascii="宋体" w:hAnsi="宋体"/>
          <w:sz w:val="24"/>
        </w:rPr>
        <w:t>服务</w:t>
      </w:r>
      <w:r>
        <w:rPr>
          <w:rFonts w:ascii="宋体" w:hAnsi="宋体"/>
          <w:sz w:val="24"/>
        </w:rPr>
        <w:t>费用。</w:t>
      </w:r>
    </w:p>
    <w:p>
      <w:pPr>
        <w:adjustRightInd w:val="0"/>
        <w:spacing w:line="360" w:lineRule="auto"/>
        <w:ind w:firstLine="480" w:firstLineChars="200"/>
        <w:textAlignment w:val="baseline"/>
        <w:rPr>
          <w:rFonts w:ascii="宋体" w:hAnsi="宋体"/>
          <w:sz w:val="24"/>
        </w:rPr>
      </w:pPr>
      <w:r>
        <w:rPr>
          <w:rFonts w:hint="eastAsia" w:ascii="宋体" w:hAnsi="宋体"/>
          <w:sz w:val="24"/>
        </w:rPr>
        <w:t>3、及时向甲方通告本项目服务范围内有关服务的重大事项，及时配合处理投诉。</w:t>
      </w:r>
    </w:p>
    <w:p>
      <w:pPr>
        <w:adjustRightInd w:val="0"/>
        <w:spacing w:line="360" w:lineRule="auto"/>
        <w:ind w:firstLine="480" w:firstLineChars="200"/>
        <w:textAlignment w:val="baseline"/>
        <w:rPr>
          <w:rFonts w:ascii="宋体" w:hAnsi="宋体"/>
          <w:sz w:val="24"/>
        </w:rPr>
      </w:pPr>
      <w:r>
        <w:rPr>
          <w:rFonts w:hint="eastAsia" w:ascii="宋体" w:hAnsi="宋体"/>
          <w:sz w:val="24"/>
        </w:rPr>
        <w:t>4、</w:t>
      </w:r>
      <w:r>
        <w:rPr>
          <w:rFonts w:ascii="宋体" w:hAnsi="宋体"/>
          <w:sz w:val="24"/>
        </w:rPr>
        <w:t>接受</w:t>
      </w:r>
      <w:r>
        <w:rPr>
          <w:rFonts w:hint="eastAsia" w:ascii="宋体" w:hAnsi="宋体"/>
          <w:sz w:val="24"/>
        </w:rPr>
        <w:t>项目行</w:t>
      </w:r>
      <w:r>
        <w:rPr>
          <w:rFonts w:ascii="宋体" w:hAnsi="宋体"/>
          <w:sz w:val="24"/>
        </w:rPr>
        <w:t>业管理部门及政府有关部门的指导，接受甲方的监督。</w:t>
      </w:r>
    </w:p>
    <w:p>
      <w:pPr>
        <w:adjustRightInd w:val="0"/>
        <w:spacing w:line="360" w:lineRule="auto"/>
        <w:ind w:firstLine="480" w:firstLineChars="200"/>
        <w:textAlignment w:val="baseline"/>
        <w:rPr>
          <w:rFonts w:ascii="宋体" w:hAnsi="宋体"/>
          <w:sz w:val="24"/>
        </w:rPr>
      </w:pPr>
      <w:r>
        <w:rPr>
          <w:rFonts w:hint="eastAsia" w:ascii="宋体" w:hAnsi="宋体"/>
          <w:sz w:val="24"/>
        </w:rPr>
        <w:t>5、</w:t>
      </w:r>
      <w:r>
        <w:rPr>
          <w:rFonts w:ascii="宋体" w:hAnsi="宋体"/>
          <w:sz w:val="24"/>
        </w:rPr>
        <w:t>国家法律、法规所规定由乙方承担的其它责任。</w:t>
      </w:r>
    </w:p>
    <w:p>
      <w:pPr>
        <w:numPr>
          <w:ilvl w:val="0"/>
          <w:numId w:val="43"/>
        </w:numPr>
        <w:spacing w:line="360" w:lineRule="auto"/>
        <w:rPr>
          <w:rFonts w:ascii="宋体" w:hAnsi="宋体"/>
          <w:b/>
          <w:sz w:val="24"/>
        </w:rPr>
      </w:pPr>
      <w:r>
        <w:rPr>
          <w:rFonts w:ascii="宋体" w:hAnsi="宋体"/>
          <w:b/>
          <w:sz w:val="24"/>
        </w:rPr>
        <w:t>违约责任</w:t>
      </w:r>
    </w:p>
    <w:p>
      <w:pPr>
        <w:adjustRightInd w:val="0"/>
        <w:spacing w:line="360" w:lineRule="auto"/>
        <w:ind w:firstLine="480" w:firstLineChars="200"/>
        <w:textAlignment w:val="baseline"/>
        <w:rPr>
          <w:rFonts w:ascii="宋体" w:hAnsi="宋体"/>
          <w:sz w:val="24"/>
        </w:rPr>
      </w:pPr>
      <w:r>
        <w:rPr>
          <w:rFonts w:hint="eastAsia" w:ascii="宋体" w:hAnsi="宋体"/>
          <w:sz w:val="24"/>
        </w:rPr>
        <w:t>1、</w:t>
      </w:r>
      <w:r>
        <w:rPr>
          <w:rFonts w:ascii="宋体" w:hAnsi="宋体"/>
          <w:sz w:val="24"/>
        </w:rPr>
        <w:t>甲乙双方必须遵守本合同并执行合同中的各项规定，保证</w:t>
      </w:r>
      <w:r>
        <w:rPr>
          <w:rFonts w:hint="eastAsia" w:ascii="宋体" w:hAnsi="宋体"/>
          <w:sz w:val="24"/>
        </w:rPr>
        <w:t>本</w:t>
      </w:r>
      <w:r>
        <w:rPr>
          <w:rFonts w:ascii="宋体" w:hAnsi="宋体"/>
          <w:sz w:val="24"/>
        </w:rPr>
        <w:t>合同的正常</w:t>
      </w:r>
      <w:r>
        <w:rPr>
          <w:rFonts w:hint="eastAsia" w:ascii="宋体" w:hAnsi="宋体"/>
          <w:sz w:val="24"/>
        </w:rPr>
        <w:t>履行</w:t>
      </w:r>
      <w:r>
        <w:rPr>
          <w:rFonts w:ascii="宋体" w:hAnsi="宋体"/>
          <w:sz w:val="24"/>
        </w:rPr>
        <w:t>。</w:t>
      </w:r>
    </w:p>
    <w:p>
      <w:pPr>
        <w:adjustRightInd w:val="0"/>
        <w:spacing w:line="360" w:lineRule="auto"/>
        <w:ind w:firstLine="480" w:firstLineChars="200"/>
        <w:textAlignment w:val="baseline"/>
        <w:rPr>
          <w:rFonts w:ascii="宋体" w:hAnsi="宋体"/>
          <w:sz w:val="24"/>
        </w:rPr>
      </w:pPr>
      <w:r>
        <w:rPr>
          <w:rFonts w:hint="eastAsia" w:ascii="宋体" w:hAnsi="宋体"/>
          <w:sz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乙方和乙方工作人员出现泄密事件和廉洁问题，实行一票否决，除要承担上述责任外，甲方有权终止合同，当月考核直接视为不合格，扣减当月全部项目服务费。</w:t>
      </w:r>
    </w:p>
    <w:p>
      <w:pPr>
        <w:adjustRightInd w:val="0"/>
        <w:spacing w:line="360" w:lineRule="auto"/>
        <w:ind w:firstLine="480" w:firstLineChars="200"/>
        <w:textAlignment w:val="baseline"/>
        <w:rPr>
          <w:rFonts w:ascii="宋体" w:hAnsi="宋体"/>
          <w:sz w:val="24"/>
        </w:rPr>
      </w:pPr>
      <w:r>
        <w:rPr>
          <w:rFonts w:hint="eastAsia" w:ascii="宋体" w:hAnsi="宋体"/>
          <w:sz w:val="24"/>
        </w:rPr>
        <w:t>3、甲方应按本协议约定时间支付相关服务费用，因资金不到位导致活动开展受到影响及其他责任由甲方负责。</w:t>
      </w:r>
    </w:p>
    <w:p>
      <w:pPr>
        <w:adjustRightInd w:val="0"/>
        <w:spacing w:line="360" w:lineRule="auto"/>
        <w:ind w:firstLine="480" w:firstLineChars="200"/>
        <w:textAlignment w:val="baseline"/>
        <w:rPr>
          <w:rFonts w:ascii="宋体" w:hAnsi="宋体"/>
          <w:sz w:val="24"/>
        </w:rPr>
      </w:pPr>
      <w:r>
        <w:rPr>
          <w:rFonts w:hint="eastAsia" w:ascii="宋体" w:hAnsi="宋体"/>
          <w:sz w:val="24"/>
        </w:rPr>
        <w:t>4、甲方可结合工作需要和乙方工作人员实际表现提出调换工作人员的合理要求，乙方应及时调整人员上岗。经甲方二次要求，仍不能满足的，乙方应承担违约责任；造成采购人损失的，乙方应承担赔偿责任。</w:t>
      </w:r>
    </w:p>
    <w:p>
      <w:pPr>
        <w:adjustRightInd w:val="0"/>
        <w:spacing w:line="360" w:lineRule="auto"/>
        <w:ind w:firstLine="480" w:firstLineChars="200"/>
        <w:textAlignment w:val="baseline"/>
        <w:rPr>
          <w:rFonts w:ascii="宋体" w:hAnsi="宋体"/>
          <w:sz w:val="24"/>
        </w:rPr>
      </w:pPr>
      <w:r>
        <w:rPr>
          <w:rFonts w:hint="eastAsia" w:ascii="宋体" w:hAnsi="宋体"/>
          <w:sz w:val="24"/>
        </w:rPr>
        <w:t>5、乙方应按要求派驻项目工作人员。对派驻至甲方的工作人员，确因特殊原因需要替换的，应征得甲方同意。未经甲方同意，随意更换或减少派驻项目执行人员的，每发生1人·次，扣减当月项目服务费30%。</w:t>
      </w:r>
    </w:p>
    <w:p>
      <w:pPr>
        <w:adjustRightInd w:val="0"/>
        <w:spacing w:line="360" w:lineRule="auto"/>
        <w:ind w:firstLine="480" w:firstLineChars="200"/>
        <w:textAlignment w:val="baseline"/>
        <w:rPr>
          <w:rFonts w:ascii="宋体" w:hAnsi="宋体"/>
          <w:sz w:val="24"/>
        </w:rPr>
      </w:pPr>
      <w:r>
        <w:rPr>
          <w:rFonts w:hint="eastAsia" w:ascii="宋体" w:hAnsi="宋体"/>
          <w:sz w:val="24"/>
        </w:rPr>
        <w:t>6、 如因乙方非因不可抗力和甲方原因违约导致合同部分或全部无法继续履行，或者经甲方按照“服务具体量化指标”年度考核任务未能完成的，甲方有权解除合同。合同解除后，乙方须退还场地以及物资清单上的相关物品，遗失、损坏的须折价赔偿（物品正常损耗与不可抗力除外）。</w:t>
      </w:r>
    </w:p>
    <w:p>
      <w:pPr>
        <w:adjustRightInd w:val="0"/>
        <w:spacing w:line="360" w:lineRule="auto"/>
        <w:ind w:firstLine="480" w:firstLineChars="200"/>
        <w:textAlignment w:val="baseline"/>
        <w:rPr>
          <w:rFonts w:ascii="宋体" w:hAnsi="宋体"/>
          <w:sz w:val="24"/>
        </w:rPr>
      </w:pPr>
      <w:r>
        <w:rPr>
          <w:rFonts w:hint="eastAsia" w:ascii="宋体" w:hAnsi="宋体"/>
          <w:sz w:val="24"/>
        </w:rPr>
        <w:t>7、乙方以自身名义对外发生的债权债务由乙方自行处置，甲方不承担由此产生的法律后果。</w:t>
      </w:r>
    </w:p>
    <w:p>
      <w:pPr>
        <w:numPr>
          <w:ilvl w:val="0"/>
          <w:numId w:val="43"/>
        </w:numPr>
        <w:spacing w:line="360" w:lineRule="auto"/>
        <w:rPr>
          <w:rFonts w:ascii="宋体" w:hAnsi="宋体"/>
          <w:b/>
          <w:sz w:val="24"/>
        </w:rPr>
      </w:pPr>
      <w:r>
        <w:rPr>
          <w:rFonts w:hint="eastAsia" w:ascii="宋体" w:hAnsi="宋体"/>
          <w:b/>
          <w:sz w:val="24"/>
        </w:rPr>
        <w:t>不可抗力事件处理</w:t>
      </w:r>
    </w:p>
    <w:p>
      <w:pPr>
        <w:tabs>
          <w:tab w:val="left" w:pos="0"/>
        </w:tabs>
        <w:spacing w:line="360" w:lineRule="auto"/>
        <w:ind w:firstLine="480" w:firstLineChars="200"/>
        <w:rPr>
          <w:rFonts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sz w:val="24"/>
        </w:rPr>
      </w:pPr>
      <w:r>
        <w:rPr>
          <w:rFonts w:hint="eastAsia" w:ascii="宋体" w:hAnsi="宋体"/>
          <w:sz w:val="24"/>
        </w:rPr>
        <w:t>2、不可抗力事件发生后，应立即通知对方，并寄送有关权威机构出具的证明。</w:t>
      </w:r>
    </w:p>
    <w:p>
      <w:pPr>
        <w:tabs>
          <w:tab w:val="left" w:pos="0"/>
        </w:tabs>
        <w:spacing w:line="360" w:lineRule="auto"/>
        <w:ind w:firstLine="480" w:firstLineChars="200"/>
        <w:rPr>
          <w:rFonts w:ascii="宋体" w:hAnsi="宋体"/>
          <w:sz w:val="24"/>
        </w:rPr>
      </w:pPr>
      <w:r>
        <w:rPr>
          <w:rFonts w:hint="eastAsia" w:ascii="宋体" w:hAnsi="宋体"/>
          <w:sz w:val="24"/>
        </w:rPr>
        <w:t>3、不可抗力事件延续XX天以上，双方应通过友好协商，确定是否继续履行合同。</w:t>
      </w:r>
    </w:p>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Pr>
        <w:numPr>
          <w:ilvl w:val="0"/>
          <w:numId w:val="43"/>
        </w:numPr>
        <w:spacing w:line="360" w:lineRule="auto"/>
        <w:rPr>
          <w:rFonts w:ascii="宋体" w:hAnsi="宋体"/>
          <w:b/>
          <w:sz w:val="24"/>
        </w:rPr>
      </w:pPr>
      <w:bookmarkStart w:id="397" w:name="_Toc237145411"/>
      <w:bookmarkStart w:id="398" w:name="_Toc211854454"/>
      <w:bookmarkStart w:id="399" w:name="_Toc185395254"/>
      <w:bookmarkStart w:id="400" w:name="_Toc225244857"/>
      <w:bookmarkStart w:id="401" w:name="_Toc212019599"/>
      <w:bookmarkStart w:id="402" w:name="_Toc251768867"/>
      <w:bookmarkStart w:id="403" w:name="_Toc239568423"/>
      <w:bookmarkStart w:id="404" w:name="_Toc239233919"/>
      <w:bookmarkStart w:id="405" w:name="_Toc211911353"/>
      <w:bookmarkStart w:id="406" w:name="_Toc225654649"/>
      <w:bookmarkStart w:id="407" w:name="_Toc241833908"/>
      <w:bookmarkStart w:id="408" w:name="_Toc238984980"/>
      <w:bookmarkStart w:id="409" w:name="_Toc225670756"/>
      <w:bookmarkStart w:id="410" w:name="_Toc286993792"/>
      <w:bookmarkStart w:id="411" w:name="_Toc232492933"/>
      <w:bookmarkStart w:id="412" w:name="_Toc247334846"/>
      <w:r>
        <w:rPr>
          <w:rFonts w:hint="eastAsia" w:ascii="宋体" w:hAnsi="宋体"/>
          <w:b/>
          <w:sz w:val="24"/>
        </w:rPr>
        <w:t>解</w:t>
      </w:r>
      <w:r>
        <w:rPr>
          <w:rFonts w:ascii="宋体" w:hAnsi="宋体"/>
          <w:b/>
          <w:sz w:val="24"/>
        </w:rPr>
        <w:t>决合同纠纷的方式</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pPr>
        <w:tabs>
          <w:tab w:val="left" w:pos="0"/>
        </w:tabs>
        <w:spacing w:line="360" w:lineRule="auto"/>
        <w:ind w:firstLine="480" w:firstLineChars="200"/>
        <w:rPr>
          <w:rFonts w:ascii="宋体" w:hAnsi="宋体"/>
          <w:sz w:val="24"/>
        </w:rPr>
      </w:pPr>
      <w:r>
        <w:rPr>
          <w:rFonts w:hint="eastAsia" w:ascii="宋体" w:hAnsi="宋体"/>
          <w:sz w:val="24"/>
        </w:rPr>
        <w:t>1、</w:t>
      </w:r>
      <w:r>
        <w:rPr>
          <w:rFonts w:ascii="宋体" w:hAnsi="宋体"/>
          <w:sz w:val="24"/>
        </w:rPr>
        <w:t>在执行本合同中发生的或与本合同有关的争端，双方应通过友好协商解决，经协商在</w:t>
      </w:r>
      <w:r>
        <w:rPr>
          <w:rFonts w:hint="eastAsia" w:ascii="宋体" w:hAnsi="宋体"/>
          <w:sz w:val="24"/>
        </w:rPr>
        <w:t>XX</w:t>
      </w:r>
      <w:r>
        <w:rPr>
          <w:rFonts w:ascii="宋体" w:hAnsi="宋体"/>
          <w:sz w:val="24"/>
        </w:rPr>
        <w:t>天内不能达成协议时，应向</w:t>
      </w:r>
      <w:r>
        <w:rPr>
          <w:rFonts w:hint="eastAsia" w:ascii="宋体" w:hAnsi="宋体"/>
          <w:sz w:val="24"/>
        </w:rPr>
        <w:t>项目所在地</w:t>
      </w:r>
      <w:r>
        <w:rPr>
          <w:rFonts w:ascii="宋体" w:hAnsi="宋体"/>
          <w:sz w:val="24"/>
        </w:rPr>
        <w:t>人民法院提起诉讼。</w:t>
      </w:r>
    </w:p>
    <w:p>
      <w:pPr>
        <w:tabs>
          <w:tab w:val="left" w:pos="0"/>
        </w:tabs>
        <w:spacing w:line="360" w:lineRule="auto"/>
        <w:ind w:firstLine="480" w:firstLineChars="200"/>
        <w:rPr>
          <w:rFonts w:ascii="宋体" w:hAnsi="宋体"/>
          <w:sz w:val="24"/>
        </w:rPr>
      </w:pPr>
      <w:r>
        <w:rPr>
          <w:rFonts w:hint="eastAsia" w:ascii="宋体" w:hAnsi="宋体"/>
          <w:sz w:val="24"/>
        </w:rPr>
        <w:t>2、诉讼结果</w:t>
      </w:r>
      <w:r>
        <w:rPr>
          <w:rFonts w:ascii="宋体" w:hAnsi="宋体"/>
          <w:sz w:val="24"/>
        </w:rPr>
        <w:t>应为最终决定，并对双方具有约束力。</w:t>
      </w:r>
    </w:p>
    <w:p>
      <w:pPr>
        <w:tabs>
          <w:tab w:val="left" w:pos="0"/>
        </w:tabs>
        <w:spacing w:line="360" w:lineRule="auto"/>
        <w:ind w:firstLine="480" w:firstLineChars="200"/>
        <w:rPr>
          <w:rFonts w:ascii="宋体" w:hAnsi="宋体"/>
          <w:sz w:val="24"/>
        </w:rPr>
      </w:pPr>
      <w:r>
        <w:rPr>
          <w:rFonts w:hint="eastAsia" w:ascii="宋体" w:hAnsi="宋体"/>
          <w:sz w:val="24"/>
        </w:rPr>
        <w:t>3、</w:t>
      </w:r>
      <w:r>
        <w:rPr>
          <w:rFonts w:ascii="宋体" w:hAnsi="宋体"/>
          <w:sz w:val="24"/>
        </w:rPr>
        <w:t>除另有</w:t>
      </w:r>
      <w:r>
        <w:rPr>
          <w:rFonts w:hint="eastAsia" w:ascii="宋体" w:hAnsi="宋体"/>
          <w:sz w:val="24"/>
        </w:rPr>
        <w:t>诉讼</w:t>
      </w:r>
      <w:r>
        <w:rPr>
          <w:rFonts w:ascii="宋体" w:hAnsi="宋体"/>
          <w:sz w:val="24"/>
        </w:rPr>
        <w:t>外，</w:t>
      </w:r>
      <w:r>
        <w:rPr>
          <w:rFonts w:hint="eastAsia" w:ascii="宋体" w:hAnsi="宋体"/>
          <w:sz w:val="24"/>
        </w:rPr>
        <w:t>诉讼</w:t>
      </w:r>
      <w:r>
        <w:rPr>
          <w:rFonts w:ascii="宋体" w:hAnsi="宋体"/>
          <w:sz w:val="24"/>
        </w:rPr>
        <w:t xml:space="preserve">费应由败诉方负担。 </w:t>
      </w:r>
    </w:p>
    <w:p>
      <w:pPr>
        <w:tabs>
          <w:tab w:val="left" w:pos="0"/>
        </w:tabs>
        <w:spacing w:line="360" w:lineRule="auto"/>
        <w:ind w:firstLine="480" w:firstLineChars="200"/>
        <w:rPr>
          <w:rFonts w:ascii="宋体" w:hAnsi="宋体"/>
          <w:sz w:val="24"/>
        </w:rPr>
      </w:pPr>
      <w:r>
        <w:rPr>
          <w:rFonts w:hint="eastAsia" w:ascii="宋体" w:hAnsi="宋体"/>
          <w:sz w:val="24"/>
        </w:rPr>
        <w:t>4、</w:t>
      </w:r>
      <w:r>
        <w:rPr>
          <w:rFonts w:ascii="宋体" w:hAnsi="宋体"/>
          <w:sz w:val="24"/>
        </w:rPr>
        <w:t>在</w:t>
      </w:r>
      <w:r>
        <w:rPr>
          <w:rFonts w:hint="eastAsia" w:ascii="宋体" w:hAnsi="宋体"/>
          <w:sz w:val="24"/>
        </w:rPr>
        <w:t>诉讼</w:t>
      </w:r>
      <w:r>
        <w:rPr>
          <w:rFonts w:ascii="宋体" w:hAnsi="宋体"/>
          <w:sz w:val="24"/>
        </w:rPr>
        <w:t>期间，除正在进行</w:t>
      </w:r>
      <w:r>
        <w:rPr>
          <w:rFonts w:hint="eastAsia" w:ascii="宋体" w:hAnsi="宋体"/>
          <w:sz w:val="24"/>
        </w:rPr>
        <w:t>诉讼</w:t>
      </w:r>
      <w:r>
        <w:rPr>
          <w:rFonts w:ascii="宋体" w:hAnsi="宋体"/>
          <w:sz w:val="24"/>
        </w:rPr>
        <w:t xml:space="preserve">部分外，合同其他部分继续执行。  </w:t>
      </w:r>
    </w:p>
    <w:p>
      <w:pPr>
        <w:numPr>
          <w:ilvl w:val="0"/>
          <w:numId w:val="43"/>
        </w:numPr>
        <w:spacing w:line="360" w:lineRule="auto"/>
        <w:rPr>
          <w:rFonts w:ascii="宋体" w:hAnsi="宋体"/>
          <w:b/>
          <w:sz w:val="24"/>
        </w:rPr>
      </w:pPr>
      <w:bookmarkStart w:id="413" w:name="_Toc247334847"/>
      <w:bookmarkStart w:id="414" w:name="_Toc211854455"/>
      <w:bookmarkStart w:id="415" w:name="_Toc283019219"/>
      <w:bookmarkStart w:id="416" w:name="_Toc237145412"/>
      <w:bookmarkStart w:id="417" w:name="_Toc282696231"/>
      <w:bookmarkStart w:id="418" w:name="_Toc239568424"/>
      <w:bookmarkStart w:id="419" w:name="_Toc212019600"/>
      <w:bookmarkStart w:id="420" w:name="_Toc241833909"/>
      <w:bookmarkStart w:id="421" w:name="_Toc238984981"/>
      <w:bookmarkStart w:id="422" w:name="_Toc185395255"/>
      <w:bookmarkStart w:id="423" w:name="_Toc286993793"/>
      <w:bookmarkStart w:id="424" w:name="_Toc239233920"/>
      <w:bookmarkStart w:id="425" w:name="_Toc225670757"/>
      <w:bookmarkStart w:id="426" w:name="_Toc232492934"/>
      <w:bookmarkStart w:id="427" w:name="_Toc225244858"/>
      <w:bookmarkStart w:id="428" w:name="_Toc225654650"/>
      <w:bookmarkStart w:id="429" w:name="_Toc251768868"/>
      <w:bookmarkStart w:id="430" w:name="_Toc211911354"/>
      <w:r>
        <w:rPr>
          <w:rFonts w:ascii="宋体" w:hAnsi="宋体"/>
          <w:b/>
          <w:sz w:val="24"/>
        </w:rPr>
        <w:t>合同</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Pr>
          <w:rFonts w:hint="eastAsia" w:ascii="宋体" w:hAnsi="宋体"/>
          <w:b/>
          <w:sz w:val="24"/>
        </w:rPr>
        <w:t>生效及其他</w:t>
      </w:r>
    </w:p>
    <w:p>
      <w:pPr>
        <w:pStyle w:val="188"/>
        <w:spacing w:line="360" w:lineRule="auto"/>
        <w:rPr>
          <w:rFonts w:ascii="宋体" w:hAnsi="宋体"/>
        </w:rPr>
      </w:pPr>
      <w:r>
        <w:rPr>
          <w:rFonts w:hint="eastAsia" w:ascii="宋体" w:hAnsi="宋体"/>
        </w:rPr>
        <w:t>1、合同经双方法定代表人或授权委托代理人签字并加盖单位公章后生效。</w:t>
      </w:r>
    </w:p>
    <w:p>
      <w:pPr>
        <w:pStyle w:val="188"/>
        <w:spacing w:line="360" w:lineRule="auto"/>
        <w:rPr>
          <w:rFonts w:ascii="宋体" w:hAnsi="宋体"/>
        </w:rPr>
      </w:pPr>
      <w:r>
        <w:rPr>
          <w:rFonts w:hint="eastAsia" w:ascii="宋体" w:hAnsi="宋体"/>
        </w:rPr>
        <w:t>2、合同执行中涉及采购资金和采购内容修改或补充的，须经政府采购监管部门审批，并签书面补充协议报政府采购监督管理部门备案，方可作为主合同不可分割的一部分。</w:t>
      </w:r>
    </w:p>
    <w:p>
      <w:pPr>
        <w:pStyle w:val="188"/>
        <w:spacing w:line="360" w:lineRule="auto"/>
        <w:rPr>
          <w:rFonts w:ascii="宋体" w:hAnsi="宋体"/>
        </w:rPr>
      </w:pPr>
      <w:r>
        <w:rPr>
          <w:rFonts w:hint="eastAsia" w:ascii="宋体" w:hAnsi="宋体"/>
        </w:rPr>
        <w:t>3、本合同一式柒份，自双方签章之日起起效。甲方叁份，乙方贰份，政府采购代理机构壹份，同级财政部门备案壹份，具有同等法律效力。</w:t>
      </w:r>
    </w:p>
    <w:p>
      <w:pPr>
        <w:numPr>
          <w:ilvl w:val="0"/>
          <w:numId w:val="43"/>
        </w:numPr>
        <w:spacing w:line="360" w:lineRule="auto"/>
        <w:rPr>
          <w:rFonts w:ascii="宋体" w:hAnsi="宋体"/>
          <w:b/>
          <w:sz w:val="24"/>
        </w:rPr>
      </w:pPr>
      <w:r>
        <w:rPr>
          <w:rFonts w:hint="eastAsia" w:ascii="宋体" w:hAnsi="宋体"/>
          <w:b/>
          <w:sz w:val="24"/>
        </w:rPr>
        <w:t>附件</w:t>
      </w:r>
    </w:p>
    <w:p>
      <w:pPr>
        <w:pStyle w:val="188"/>
        <w:spacing w:line="360" w:lineRule="auto"/>
        <w:rPr>
          <w:rFonts w:ascii="宋体" w:hAnsi="宋体"/>
        </w:rPr>
      </w:pPr>
      <w:r>
        <w:rPr>
          <w:rFonts w:hint="eastAsia" w:ascii="宋体" w:hAnsi="宋体"/>
        </w:rPr>
        <w:t>1、项目招标文件</w:t>
      </w:r>
    </w:p>
    <w:p>
      <w:pPr>
        <w:pStyle w:val="188"/>
        <w:spacing w:line="360" w:lineRule="auto"/>
        <w:rPr>
          <w:rFonts w:ascii="宋体" w:hAnsi="宋体"/>
        </w:rPr>
      </w:pPr>
      <w:r>
        <w:rPr>
          <w:rFonts w:hint="eastAsia" w:ascii="宋体" w:hAnsi="宋体"/>
        </w:rPr>
        <w:t>2、项目修改澄清文件</w:t>
      </w:r>
    </w:p>
    <w:p>
      <w:pPr>
        <w:pStyle w:val="188"/>
        <w:spacing w:line="360" w:lineRule="auto"/>
        <w:rPr>
          <w:rFonts w:ascii="宋体" w:hAnsi="宋体"/>
        </w:rPr>
      </w:pPr>
      <w:r>
        <w:rPr>
          <w:rFonts w:hint="eastAsia" w:ascii="宋体" w:hAnsi="宋体"/>
        </w:rPr>
        <w:t>3、项目投标文件</w:t>
      </w:r>
    </w:p>
    <w:p>
      <w:pPr>
        <w:pStyle w:val="188"/>
        <w:spacing w:line="360" w:lineRule="auto"/>
        <w:rPr>
          <w:rFonts w:ascii="宋体" w:hAnsi="宋体"/>
        </w:rPr>
      </w:pPr>
      <w:r>
        <w:rPr>
          <w:rFonts w:hint="eastAsia" w:ascii="宋体" w:hAnsi="宋体"/>
        </w:rPr>
        <w:t>4、中标通知书</w:t>
      </w:r>
    </w:p>
    <w:p>
      <w:pPr>
        <w:pStyle w:val="188"/>
        <w:spacing w:line="360" w:lineRule="auto"/>
        <w:rPr>
          <w:rFonts w:ascii="宋体" w:hAnsi="宋体"/>
        </w:rPr>
      </w:pPr>
      <w:r>
        <w:rPr>
          <w:rFonts w:hint="eastAsia" w:ascii="宋体" w:hAnsi="宋体"/>
        </w:rPr>
        <w:t>5、其他</w:t>
      </w:r>
    </w:p>
    <w:p>
      <w:pPr>
        <w:spacing w:line="360" w:lineRule="auto"/>
        <w:rPr>
          <w:rFonts w:ascii="宋体" w:hAnsi="宋体"/>
          <w:sz w:val="24"/>
        </w:rPr>
      </w:pPr>
    </w:p>
    <w:p>
      <w:pPr>
        <w:spacing w:line="400" w:lineRule="exact"/>
        <w:ind w:firstLine="480" w:firstLineChars="200"/>
        <w:rPr>
          <w:rFonts w:ascii="宋体" w:hAnsi="宋体"/>
          <w:sz w:val="24"/>
        </w:rPr>
      </w:pPr>
      <w:r>
        <w:rPr>
          <w:rFonts w:hint="eastAsia" w:ascii="宋体" w:hAnsi="宋体"/>
          <w:sz w:val="24"/>
        </w:rPr>
        <w:t>甲方：   （盖章）</w:t>
      </w:r>
      <w:r>
        <w:rPr>
          <w:rFonts w:ascii="宋体" w:hAnsi="宋体"/>
          <w:sz w:val="24"/>
        </w:rPr>
        <w:tab/>
      </w:r>
      <w:r>
        <w:rPr>
          <w:rFonts w:ascii="宋体" w:hAnsi="宋体"/>
          <w:sz w:val="24"/>
        </w:rPr>
        <w:tab/>
      </w:r>
      <w:r>
        <w:rPr>
          <w:rFonts w:ascii="宋体" w:hAnsi="宋体"/>
          <w:sz w:val="24"/>
        </w:rPr>
        <w:tab/>
      </w:r>
      <w:r>
        <w:rPr>
          <w:rFonts w:hint="eastAsia" w:ascii="宋体" w:hAnsi="宋体"/>
          <w:sz w:val="24"/>
        </w:rPr>
        <w:t>乙方：（盖章）</w:t>
      </w:r>
    </w:p>
    <w:p>
      <w:pPr>
        <w:spacing w:line="400" w:lineRule="exact"/>
        <w:ind w:firstLine="480" w:firstLineChars="200"/>
        <w:rPr>
          <w:rFonts w:ascii="宋体" w:hAnsi="宋体"/>
          <w:sz w:val="24"/>
        </w:rPr>
      </w:pPr>
      <w:r>
        <w:rPr>
          <w:rFonts w:hint="eastAsia" w:ascii="宋体" w:hAnsi="宋体"/>
          <w:sz w:val="24"/>
        </w:rPr>
        <w:t>法定代表人（授权代表）：   法定代表人（授权代表）：</w:t>
      </w:r>
    </w:p>
    <w:p>
      <w:pPr>
        <w:spacing w:line="400" w:lineRule="exact"/>
        <w:ind w:firstLine="480" w:firstLineChars="200"/>
        <w:rPr>
          <w:rFonts w:ascii="宋体" w:hAnsi="宋体"/>
          <w:sz w:val="24"/>
        </w:rPr>
      </w:pPr>
      <w:r>
        <w:rPr>
          <w:rFonts w:hint="eastAsia" w:ascii="宋体" w:hAnsi="宋体"/>
          <w:sz w:val="24"/>
        </w:rPr>
        <w:t>地址：                    地址：</w:t>
      </w:r>
    </w:p>
    <w:p>
      <w:pPr>
        <w:spacing w:line="400" w:lineRule="exact"/>
        <w:ind w:firstLine="480" w:firstLineChars="200"/>
        <w:rPr>
          <w:rFonts w:ascii="宋体" w:hAnsi="宋体"/>
          <w:sz w:val="24"/>
        </w:rPr>
      </w:pPr>
      <w:r>
        <w:rPr>
          <w:rFonts w:hint="eastAsia" w:ascii="宋体" w:hAnsi="宋体"/>
          <w:sz w:val="24"/>
        </w:rPr>
        <w:t>开户银行：                开户银行：</w:t>
      </w:r>
    </w:p>
    <w:p>
      <w:pPr>
        <w:spacing w:line="400" w:lineRule="exact"/>
        <w:ind w:firstLine="480" w:firstLineChars="200"/>
        <w:rPr>
          <w:rFonts w:ascii="宋体" w:hAnsi="宋体"/>
          <w:sz w:val="24"/>
        </w:rPr>
      </w:pPr>
      <w:r>
        <w:rPr>
          <w:rFonts w:hint="eastAsia" w:ascii="宋体" w:hAnsi="宋体"/>
          <w:sz w:val="24"/>
        </w:rPr>
        <w:t>账号：                    账号：</w:t>
      </w:r>
    </w:p>
    <w:p>
      <w:pPr>
        <w:spacing w:line="400" w:lineRule="exact"/>
        <w:ind w:firstLine="480" w:firstLineChars="200"/>
        <w:rPr>
          <w:rFonts w:ascii="宋体" w:hAnsi="宋体"/>
          <w:sz w:val="24"/>
        </w:rPr>
      </w:pPr>
      <w:r>
        <w:rPr>
          <w:rFonts w:hint="eastAsia" w:ascii="宋体" w:hAnsi="宋体"/>
          <w:sz w:val="24"/>
        </w:rPr>
        <w:t>电话：                    电话：</w:t>
      </w:r>
    </w:p>
    <w:p>
      <w:pPr>
        <w:tabs>
          <w:tab w:val="left" w:pos="4253"/>
        </w:tabs>
        <w:spacing w:line="400" w:lineRule="exact"/>
        <w:ind w:firstLine="480" w:firstLineChars="200"/>
        <w:rPr>
          <w:rFonts w:ascii="宋体" w:hAnsi="宋体"/>
          <w:sz w:val="24"/>
        </w:rPr>
      </w:pPr>
      <w:r>
        <w:rPr>
          <w:rFonts w:hint="eastAsia" w:ascii="宋体" w:hAnsi="宋体"/>
          <w:sz w:val="24"/>
        </w:rPr>
        <w:t>传真：                    传真：</w:t>
      </w:r>
    </w:p>
    <w:p>
      <w:pPr>
        <w:spacing w:line="400" w:lineRule="exact"/>
        <w:rPr>
          <w:rFonts w:ascii="宋体" w:hAnsi="宋体"/>
          <w:b/>
          <w:sz w:val="24"/>
        </w:rPr>
      </w:pPr>
      <w:bookmarkStart w:id="431" w:name="_Toc490810253"/>
      <w:bookmarkStart w:id="432" w:name="_Toc491070767"/>
      <w:bookmarkStart w:id="433" w:name="_Toc491073384"/>
      <w:bookmarkStart w:id="434" w:name="_Toc490815081"/>
      <w:r>
        <w:rPr>
          <w:rFonts w:hint="eastAsia" w:ascii="宋体" w:hAnsi="宋体"/>
          <w:sz w:val="24"/>
        </w:rPr>
        <w:t>签约日期：XX年XX月XX日</w:t>
      </w:r>
      <w:r>
        <w:rPr>
          <w:rFonts w:ascii="宋体" w:hAnsi="宋体"/>
          <w:sz w:val="24"/>
        </w:rPr>
        <w:tab/>
      </w:r>
      <w:r>
        <w:rPr>
          <w:rFonts w:hint="eastAsia" w:ascii="宋体" w:hAnsi="宋体"/>
          <w:sz w:val="24"/>
        </w:rPr>
        <w:t>签约日期：XX年XX月XX日</w:t>
      </w:r>
      <w:bookmarkEnd w:id="431"/>
      <w:bookmarkEnd w:id="432"/>
      <w:bookmarkEnd w:id="433"/>
      <w:bookmarkEnd w:id="434"/>
    </w:p>
    <w:bookmarkEnd w:id="1"/>
    <w:bookmarkEnd w:id="2"/>
    <w:bookmarkEnd w:id="3"/>
    <w:bookmarkEnd w:id="4"/>
    <w:p>
      <w:pPr>
        <w:spacing w:line="360" w:lineRule="auto"/>
        <w:rPr>
          <w:rFonts w:ascii="宋体" w:hAnsi="宋体"/>
        </w:rPr>
      </w:pPr>
    </w:p>
    <w:sectPr>
      <w:footerReference r:id="rId6"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0000000000000000000"/>
    <w:charset w:val="00"/>
    <w:family w:val="swiss"/>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W1)">
    <w:altName w:val="Times New Roman"/>
    <w:panose1 w:val="00000000000000000000"/>
    <w:charset w:val="00"/>
    <w:family w:val="roman"/>
    <w:pitch w:val="default"/>
    <w:sig w:usb0="00000000" w:usb1="00000000" w:usb2="00000008" w:usb3="00000000" w:csb0="000001FF" w:csb1="00000000"/>
  </w:font>
  <w:font w:name="Arial (W1)">
    <w:altName w:val="Arial"/>
    <w:panose1 w:val="00000000000000000000"/>
    <w:charset w:val="00"/>
    <w:family w:val="swiss"/>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sdt>
      <w:sdtPr>
        <w:id w:val="2003616771"/>
      </w:sdtPr>
      <w:sdtContent/>
    </w:sdt>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918865"/>
    </w:sdtPr>
    <w:sdtContent>
      <w:p>
        <w:pPr>
          <w:pStyle w:val="29"/>
          <w:jc w:val="center"/>
        </w:pPr>
        <w:r>
          <w:fldChar w:fldCharType="begin"/>
        </w:r>
        <w:r>
          <w:instrText xml:space="preserve">PAGE   \* MERGEFORMAT</w:instrText>
        </w:r>
        <w:r>
          <w:fldChar w:fldCharType="separate"/>
        </w:r>
        <w:r>
          <w:rPr>
            <w:lang w:val="zh-CN"/>
          </w:rPr>
          <w:t>45</w:t>
        </w:r>
        <w:r>
          <w:fldChar w:fldCharType="end"/>
        </w:r>
      </w:p>
    </w:sdtContent>
  </w:sdt>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12"/>
      </w:rPr>
    </w:pPr>
    <w:r>
      <w:pict>
        <v:shape id="_x0000_s2050" o:spid="_x0000_s2050" o:spt="202" type="#_x0000_t202" style="position:absolute;left:0pt;margin-left:294pt;margin-top:747.55pt;height:11pt;width:13.1pt;mso-position-horizontal-relative:page;mso-position-vertical-relative:page;z-index:-251653120;mso-width-relative:page;mso-height-relative:page;" filled="f" stroked="f" coordsize="21600,21600" o:gfxdata="UEsDBAoAAAAAAIdO4kAAAAAAAAAAAAAAAAAEAAAAZHJzL1BLAwQUAAAACACHTuJAE2uVY9sAAAAN&#10;AQAADwAAAGRycy9kb3ducmV2LnhtbE2PzU7DMBCE70i8g7VI3KjjqglpiFMhBCekijQcODqxm1iN&#10;1yF2f3h7tic47sxo9ptyc3EjO5k5WI8SxCIBZrDz2mIv4bN5e8iBhahQq9GjkfBjAmyq25tSFdqf&#10;sTanXewZlWAolIQhxqngPHSDcSos/GSQvL2fnYp0zj3XszpTuRv5Mkky7pRF+jCoybwMpjvsjk7C&#10;8xfWr/Z7237U+9o2zTrB9+wg5f2dSJ6ARXOJf2G44hM6VMTU+iPqwEYJaZ7TlkjGap0KYBTJxGoJ&#10;rCUpFY8CeFXy/yuqX1BLAwQUAAAACACHTuJAMBRBRboBAABxAwAADgAAAGRycy9lMm9Eb2MueG1s&#10;rVNLjhshEN1Hyh0Q+5j2jGQnLbdHiqyJIkWTSJM5AKbBjQQUAuxuX2Byg6yyyT7n8jlSYLfnt5nF&#10;bOiiqni894peXA3WkJ0MUYNr6HRSUSKdgFa7TUPvfl5/+EhJTNy13ICTDd3LSK+W798tel/LC+jA&#10;tDIQBHGx7n1Du5R8zVgUnbQ8TsBLh0UFwfKE27BhbeA9olvDLqpqxnoIrQ8gZIyYXR2L9IQYXgMI&#10;SmkhVyC2Vrp0RA3S8ISSYqd9pMvCVikp0nelokzENBSVprLiJRiv88qWC15vAvedFicK/DUUnmmy&#10;XDu89Ay14omTbdAvoKwWASKoNBFg2VFIcQRVTKtn3tx23MuiBa2O/mx6fDtYcbP7EYhuGzqnxHGL&#10;Az/8/nX48+/w957Msz29jzV23XrsS8NnGPDRjPmIyax6UMHmL+ohWEdz92dz5ZCIyIdms8s5VgSW&#10;ppef5lUxnz0c9iGmLxIsyUFDA86uWMp332JCItg6tuS7HFxrY8r8jHuSwMacYZn5kWGO0rAeTnLW&#10;0O5Rjfnq0Mn8KsYgjMF6DLY+6E2HdIrmAomTKGROryaP+vG+XPzwpy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NrlWPbAAAADQEAAA8AAAAAAAAAAQAgAAAAIgAAAGRycy9kb3ducmV2LnhtbFBL&#10;AQIUABQAAAAIAIdO4kAwFEFFugEAAHEDAAAOAAAAAAAAAAEAIAAAACoBAABkcnMvZTJvRG9jLnht&#10;bFBLBQYAAAAABgAGAFkBAABWBQAAAAA=&#10;">
          <v:path/>
          <v:fill on="f" focussize="0,0"/>
          <v:stroke on="f" joinstyle="miter"/>
          <v:imagedata o:title=""/>
          <o:lock v:ext="edit"/>
          <v:textbox inset="0mm,0mm,0mm,0mm">
            <w:txbxContent>
              <w:p>
                <w:pPr>
                  <w:spacing w:line="220" w:lineRule="exact"/>
                  <w:ind w:left="40"/>
                  <w:jc w:val="left"/>
                  <w:rPr>
                    <w:sz w:val="18"/>
                  </w:rPr>
                </w:pPr>
                <w:r>
                  <w:fldChar w:fldCharType="begin"/>
                </w:r>
                <w:r>
                  <w:rPr>
                    <w:sz w:val="18"/>
                  </w:rPr>
                  <w:instrText xml:space="preserve"> PAGE </w:instrText>
                </w:r>
                <w:r>
                  <w:fldChar w:fldCharType="separate"/>
                </w:r>
                <w:r>
                  <w:rPr>
                    <w:sz w:val="18"/>
                  </w:rPr>
                  <w:t>60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pict>
        <v:shape id="_x0000_s2049" o:spid="_x0000_s2049" o:spt="202" type="#_x0000_t202" style="position:absolute;left:0pt;margin-left:294pt;margin-top:747.55pt;height:11pt;width:13.1pt;mso-position-horizontal-relative:page;mso-position-vertical-relative:page;z-index:-251654144;mso-width-relative:page;mso-height-relative:page;" filled="f" stroked="f" coordsize="21600,21600" o:gfxdata="UEsDBAoAAAAAAIdO4kAAAAAAAAAAAAAAAAAEAAAAZHJzL1BLAwQUAAAACACHTuJAE2uVY9sAAAAN&#10;AQAADwAAAGRycy9kb3ducmV2LnhtbE2PzU7DMBCE70i8g7VI3KjjqglpiFMhBCekijQcODqxm1iN&#10;1yF2f3h7tic47sxo9ptyc3EjO5k5WI8SxCIBZrDz2mIv4bN5e8iBhahQq9GjkfBjAmyq25tSFdqf&#10;sTanXewZlWAolIQhxqngPHSDcSos/GSQvL2fnYp0zj3XszpTuRv5Mkky7pRF+jCoybwMpjvsjk7C&#10;8xfWr/Z7237U+9o2zTrB9+wg5f2dSJ6ARXOJf2G44hM6VMTU+iPqwEYJaZ7TlkjGap0KYBTJxGoJ&#10;rCUpFY8CeFXy/yuqX1BLAwQUAAAACACHTuJAm/Fj2LoBAABxAwAADgAAAGRycy9lMm9Eb2MueG1s&#10;rVNLbtswEN0XyB0I7mvKCeI0guUAhZGgQNEWSHIAmiItAvyBQ1vyBdobdNVN9z2Xz9EhbTltsski&#10;G2o4M3x87w01vxmsIVsZQXvX0OmkokQ64Vvt1g19fLh9/4ESSNy13HgnG7qTQG8WZ+/mfajlue+8&#10;aWUkCOKg7kNDu5RCzRiITloOEx+kw6Ly0fKE27hmbeQ9olvDzqtqxnof2xC9kACYXR6K9IgYXwPo&#10;ldJCLr3YWOnSATVKwxNKgk4HoIvCVikp0lelQCZiGopKU1nxEoxXeWWLOa/XkYdOiyMF/hoKzzRZ&#10;rh1eeoJa8sTJJuoXUFaL6MGrNBHesoOQ4giqmFbPvLnveJBFC1oN4WQ6vB2s+LL9FoluG3pJieMW&#10;B77/+WP/68/+93dyme3pA9TYdR+wLw0f/YCPZswDJrPqQUWbv6iHYB3N3Z3MlUMiIh+azS6usCKw&#10;NL24vqqK+ezpcIiQ7qS3JAcNjTi7YinffoaERLB1bMl3OX+rjSnzM+6/BDbmDMvMDwxzlIbVcJSz&#10;8u0O1ZhPDp3Mr2IM4hisxmATol53SKdoLpA4iULm+GryqP/dl4uf/pT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NrlWPbAAAADQEAAA8AAAAAAAAAAQAgAAAAIgAAAGRycy9kb3ducmV2LnhtbFBL&#10;AQIUABQAAAAIAIdO4kCb8WPYugEAAHEDAAAOAAAAAAAAAAEAIAAAACoBAABkcnMvZTJvRG9jLnht&#10;bFBLBQYAAAAABgAGAFkBAABWBQAAAAA=&#10;">
          <v:path/>
          <v:fill on="f" focussize="0,0"/>
          <v:stroke on="f" joinstyle="miter"/>
          <v:imagedata o:title=""/>
          <o:lock v:ext="edit"/>
          <v:textbox inset="0mm,0mm,0mm,0mm">
            <w:txbxContent>
              <w:p>
                <w:pPr>
                  <w:spacing w:line="220" w:lineRule="exact"/>
                  <w:ind w:left="40"/>
                  <w:jc w:val="left"/>
                  <w:rPr>
                    <w:sz w:val="18"/>
                  </w:rPr>
                </w:pPr>
                <w:r>
                  <w:fldChar w:fldCharType="begin"/>
                </w:r>
                <w:r>
                  <w:rPr>
                    <w:sz w:val="18"/>
                  </w:rPr>
                  <w:instrText xml:space="preserve"> PAGE </w:instrText>
                </w:r>
                <w:r>
                  <w:fldChar w:fldCharType="separate"/>
                </w:r>
                <w:r>
                  <w:rPr>
                    <w:sz w:val="18"/>
                  </w:rPr>
                  <w:t>64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328" w:hanging="605"/>
      </w:pPr>
      <w:rPr>
        <w:rFonts w:hint="default" w:ascii="宋体" w:hAnsi="宋体" w:eastAsia="宋体" w:cs="宋体"/>
        <w:w w:val="100"/>
        <w:sz w:val="22"/>
        <w:szCs w:val="22"/>
        <w:lang w:val="zh-CN" w:eastAsia="zh-CN" w:bidi="zh-CN"/>
      </w:rPr>
    </w:lvl>
    <w:lvl w:ilvl="1" w:tentative="0">
      <w:start w:val="0"/>
      <w:numFmt w:val="bullet"/>
      <w:lvlText w:val="•"/>
      <w:lvlJc w:val="left"/>
      <w:pPr>
        <w:ind w:left="1236" w:hanging="605"/>
      </w:pPr>
      <w:rPr>
        <w:rFonts w:hint="default"/>
        <w:lang w:val="zh-CN" w:eastAsia="zh-CN" w:bidi="zh-CN"/>
      </w:rPr>
    </w:lvl>
    <w:lvl w:ilvl="2" w:tentative="0">
      <w:start w:val="0"/>
      <w:numFmt w:val="bullet"/>
      <w:lvlText w:val="•"/>
      <w:lvlJc w:val="left"/>
      <w:pPr>
        <w:ind w:left="2153" w:hanging="605"/>
      </w:pPr>
      <w:rPr>
        <w:rFonts w:hint="default"/>
        <w:lang w:val="zh-CN" w:eastAsia="zh-CN" w:bidi="zh-CN"/>
      </w:rPr>
    </w:lvl>
    <w:lvl w:ilvl="3" w:tentative="0">
      <w:start w:val="0"/>
      <w:numFmt w:val="bullet"/>
      <w:lvlText w:val="•"/>
      <w:lvlJc w:val="left"/>
      <w:pPr>
        <w:ind w:left="3069" w:hanging="605"/>
      </w:pPr>
      <w:rPr>
        <w:rFonts w:hint="default"/>
        <w:lang w:val="zh-CN" w:eastAsia="zh-CN" w:bidi="zh-CN"/>
      </w:rPr>
    </w:lvl>
    <w:lvl w:ilvl="4" w:tentative="0">
      <w:start w:val="0"/>
      <w:numFmt w:val="bullet"/>
      <w:lvlText w:val="•"/>
      <w:lvlJc w:val="left"/>
      <w:pPr>
        <w:ind w:left="3986" w:hanging="605"/>
      </w:pPr>
      <w:rPr>
        <w:rFonts w:hint="default"/>
        <w:lang w:val="zh-CN" w:eastAsia="zh-CN" w:bidi="zh-CN"/>
      </w:rPr>
    </w:lvl>
    <w:lvl w:ilvl="5" w:tentative="0">
      <w:start w:val="0"/>
      <w:numFmt w:val="bullet"/>
      <w:lvlText w:val="•"/>
      <w:lvlJc w:val="left"/>
      <w:pPr>
        <w:ind w:left="4903" w:hanging="605"/>
      </w:pPr>
      <w:rPr>
        <w:rFonts w:hint="default"/>
        <w:lang w:val="zh-CN" w:eastAsia="zh-CN" w:bidi="zh-CN"/>
      </w:rPr>
    </w:lvl>
    <w:lvl w:ilvl="6" w:tentative="0">
      <w:start w:val="0"/>
      <w:numFmt w:val="bullet"/>
      <w:lvlText w:val="•"/>
      <w:lvlJc w:val="left"/>
      <w:pPr>
        <w:ind w:left="5819" w:hanging="605"/>
      </w:pPr>
      <w:rPr>
        <w:rFonts w:hint="default"/>
        <w:lang w:val="zh-CN" w:eastAsia="zh-CN" w:bidi="zh-CN"/>
      </w:rPr>
    </w:lvl>
    <w:lvl w:ilvl="7" w:tentative="0">
      <w:start w:val="0"/>
      <w:numFmt w:val="bullet"/>
      <w:lvlText w:val="•"/>
      <w:lvlJc w:val="left"/>
      <w:pPr>
        <w:ind w:left="6736" w:hanging="605"/>
      </w:pPr>
      <w:rPr>
        <w:rFonts w:hint="default"/>
        <w:lang w:val="zh-CN" w:eastAsia="zh-CN" w:bidi="zh-CN"/>
      </w:rPr>
    </w:lvl>
    <w:lvl w:ilvl="8" w:tentative="0">
      <w:start w:val="0"/>
      <w:numFmt w:val="bullet"/>
      <w:lvlText w:val="•"/>
      <w:lvlJc w:val="left"/>
      <w:pPr>
        <w:ind w:left="7652" w:hanging="605"/>
      </w:pPr>
      <w:rPr>
        <w:rFonts w:hint="default"/>
        <w:lang w:val="zh-CN" w:eastAsia="zh-CN" w:bidi="zh-CN"/>
      </w:rPr>
    </w:lvl>
  </w:abstractNum>
  <w:abstractNum w:abstractNumId="1">
    <w:nsid w:val="9288B902"/>
    <w:multiLevelType w:val="multilevel"/>
    <w:tmpl w:val="9288B902"/>
    <w:lvl w:ilvl="0" w:tentative="0">
      <w:start w:val="2"/>
      <w:numFmt w:val="decimal"/>
      <w:lvlText w:val="%1"/>
      <w:lvlJc w:val="left"/>
      <w:pPr>
        <w:ind w:left="328" w:hanging="420"/>
      </w:pPr>
      <w:rPr>
        <w:rFonts w:hint="default"/>
        <w:lang w:val="zh-CN" w:eastAsia="zh-CN" w:bidi="zh-CN"/>
      </w:rPr>
    </w:lvl>
    <w:lvl w:ilvl="1" w:tentative="0">
      <w:start w:val="1"/>
      <w:numFmt w:val="decimal"/>
      <w:lvlText w:val="%1.%2"/>
      <w:lvlJc w:val="left"/>
      <w:pPr>
        <w:ind w:left="328" w:hanging="420"/>
      </w:pPr>
      <w:rPr>
        <w:rFonts w:hint="default" w:ascii="宋体" w:hAnsi="宋体" w:eastAsia="宋体" w:cs="宋体"/>
        <w:w w:val="100"/>
        <w:sz w:val="24"/>
        <w:szCs w:val="24"/>
        <w:lang w:val="zh-CN" w:eastAsia="zh-CN" w:bidi="zh-CN"/>
      </w:rPr>
    </w:lvl>
    <w:lvl w:ilvl="2" w:tentative="0">
      <w:start w:val="1"/>
      <w:numFmt w:val="decimal"/>
      <w:lvlText w:val="%3."/>
      <w:lvlJc w:val="left"/>
      <w:pPr>
        <w:ind w:left="1288" w:hanging="360"/>
      </w:pPr>
      <w:rPr>
        <w:rFonts w:hint="default" w:ascii="宋体" w:hAnsi="宋体" w:eastAsia="宋体" w:cs="宋体"/>
        <w:w w:val="100"/>
        <w:sz w:val="24"/>
        <w:szCs w:val="24"/>
        <w:lang w:val="zh-CN" w:eastAsia="zh-CN" w:bidi="zh-CN"/>
      </w:rPr>
    </w:lvl>
    <w:lvl w:ilvl="3" w:tentative="0">
      <w:start w:val="0"/>
      <w:numFmt w:val="bullet"/>
      <w:lvlText w:val="•"/>
      <w:lvlJc w:val="left"/>
      <w:pPr>
        <w:ind w:left="3103" w:hanging="360"/>
      </w:pPr>
      <w:rPr>
        <w:rFonts w:hint="default"/>
        <w:lang w:val="zh-CN" w:eastAsia="zh-CN" w:bidi="zh-CN"/>
      </w:rPr>
    </w:lvl>
    <w:lvl w:ilvl="4" w:tentative="0">
      <w:start w:val="0"/>
      <w:numFmt w:val="bullet"/>
      <w:lvlText w:val="•"/>
      <w:lvlJc w:val="left"/>
      <w:pPr>
        <w:ind w:left="4015" w:hanging="360"/>
      </w:pPr>
      <w:rPr>
        <w:rFonts w:hint="default"/>
        <w:lang w:val="zh-CN" w:eastAsia="zh-CN" w:bidi="zh-CN"/>
      </w:rPr>
    </w:lvl>
    <w:lvl w:ilvl="5" w:tentative="0">
      <w:start w:val="0"/>
      <w:numFmt w:val="bullet"/>
      <w:lvlText w:val="•"/>
      <w:lvlJc w:val="left"/>
      <w:pPr>
        <w:ind w:left="4927" w:hanging="360"/>
      </w:pPr>
      <w:rPr>
        <w:rFonts w:hint="default"/>
        <w:lang w:val="zh-CN" w:eastAsia="zh-CN" w:bidi="zh-CN"/>
      </w:rPr>
    </w:lvl>
    <w:lvl w:ilvl="6" w:tentative="0">
      <w:start w:val="0"/>
      <w:numFmt w:val="bullet"/>
      <w:lvlText w:val="•"/>
      <w:lvlJc w:val="left"/>
      <w:pPr>
        <w:ind w:left="5838" w:hanging="360"/>
      </w:pPr>
      <w:rPr>
        <w:rFonts w:hint="default"/>
        <w:lang w:val="zh-CN" w:eastAsia="zh-CN" w:bidi="zh-CN"/>
      </w:rPr>
    </w:lvl>
    <w:lvl w:ilvl="7" w:tentative="0">
      <w:start w:val="0"/>
      <w:numFmt w:val="bullet"/>
      <w:lvlText w:val="•"/>
      <w:lvlJc w:val="left"/>
      <w:pPr>
        <w:ind w:left="6750" w:hanging="360"/>
      </w:pPr>
      <w:rPr>
        <w:rFonts w:hint="default"/>
        <w:lang w:val="zh-CN" w:eastAsia="zh-CN" w:bidi="zh-CN"/>
      </w:rPr>
    </w:lvl>
    <w:lvl w:ilvl="8" w:tentative="0">
      <w:start w:val="0"/>
      <w:numFmt w:val="bullet"/>
      <w:lvlText w:val="•"/>
      <w:lvlJc w:val="left"/>
      <w:pPr>
        <w:ind w:left="7662" w:hanging="360"/>
      </w:pPr>
      <w:rPr>
        <w:rFonts w:hint="default"/>
        <w:lang w:val="zh-CN" w:eastAsia="zh-CN" w:bidi="zh-CN"/>
      </w:rPr>
    </w:lvl>
  </w:abstractNum>
  <w:abstractNum w:abstractNumId="2">
    <w:nsid w:val="BB6CDBDA"/>
    <w:multiLevelType w:val="singleLevel"/>
    <w:tmpl w:val="BB6CDBDA"/>
    <w:lvl w:ilvl="0" w:tentative="0">
      <w:start w:val="1"/>
      <w:numFmt w:val="chineseCounting"/>
      <w:suff w:val="nothing"/>
      <w:lvlText w:val="%1、"/>
      <w:lvlJc w:val="left"/>
      <w:rPr>
        <w:rFonts w:hint="eastAsia"/>
      </w:rPr>
    </w:lvl>
  </w:abstractNum>
  <w:abstractNum w:abstractNumId="3">
    <w:nsid w:val="C6B20C85"/>
    <w:multiLevelType w:val="singleLevel"/>
    <w:tmpl w:val="C6B20C85"/>
    <w:lvl w:ilvl="0" w:tentative="0">
      <w:start w:val="2"/>
      <w:numFmt w:val="chineseCounting"/>
      <w:suff w:val="nothing"/>
      <w:lvlText w:val="（%1）"/>
      <w:lvlJc w:val="left"/>
      <w:pPr>
        <w:ind w:left="1044" w:firstLine="0"/>
      </w:pPr>
      <w:rPr>
        <w:rFonts w:hint="eastAsia"/>
        <w:color w:val="000000" w:themeColor="text1"/>
      </w:rPr>
    </w:lvl>
  </w:abstractNum>
  <w:abstractNum w:abstractNumId="4">
    <w:nsid w:val="C8879AEF"/>
    <w:multiLevelType w:val="multilevel"/>
    <w:tmpl w:val="C8879AEF"/>
    <w:lvl w:ilvl="0" w:tentative="0">
      <w:start w:val="1"/>
      <w:numFmt w:val="decimal"/>
      <w:lvlText w:val="（%1）"/>
      <w:lvlJc w:val="left"/>
      <w:pPr>
        <w:ind w:left="1449" w:hanging="601"/>
      </w:pPr>
      <w:rPr>
        <w:rFonts w:hint="default" w:ascii="宋体" w:hAnsi="宋体" w:eastAsia="宋体" w:cs="宋体"/>
        <w:w w:val="100"/>
        <w:sz w:val="24"/>
        <w:szCs w:val="24"/>
        <w:lang w:val="zh-CN" w:eastAsia="zh-CN" w:bidi="zh-CN"/>
      </w:rPr>
    </w:lvl>
    <w:lvl w:ilvl="1" w:tentative="0">
      <w:start w:val="0"/>
      <w:numFmt w:val="bullet"/>
      <w:lvlText w:val="•"/>
      <w:lvlJc w:val="left"/>
      <w:pPr>
        <w:ind w:left="2292" w:hanging="601"/>
      </w:pPr>
      <w:rPr>
        <w:rFonts w:hint="default"/>
        <w:lang w:val="zh-CN" w:eastAsia="zh-CN" w:bidi="zh-CN"/>
      </w:rPr>
    </w:lvl>
    <w:lvl w:ilvl="2" w:tentative="0">
      <w:start w:val="0"/>
      <w:numFmt w:val="bullet"/>
      <w:lvlText w:val="•"/>
      <w:lvlJc w:val="left"/>
      <w:pPr>
        <w:ind w:left="3144" w:hanging="601"/>
      </w:pPr>
      <w:rPr>
        <w:rFonts w:hint="default"/>
        <w:lang w:val="zh-CN" w:eastAsia="zh-CN" w:bidi="zh-CN"/>
      </w:rPr>
    </w:lvl>
    <w:lvl w:ilvl="3" w:tentative="0">
      <w:start w:val="0"/>
      <w:numFmt w:val="bullet"/>
      <w:lvlText w:val="•"/>
      <w:lvlJc w:val="left"/>
      <w:pPr>
        <w:ind w:left="3996" w:hanging="601"/>
      </w:pPr>
      <w:rPr>
        <w:rFonts w:hint="default"/>
        <w:lang w:val="zh-CN" w:eastAsia="zh-CN" w:bidi="zh-CN"/>
      </w:rPr>
    </w:lvl>
    <w:lvl w:ilvl="4" w:tentative="0">
      <w:start w:val="0"/>
      <w:numFmt w:val="bullet"/>
      <w:lvlText w:val="•"/>
      <w:lvlJc w:val="left"/>
      <w:pPr>
        <w:ind w:left="4848" w:hanging="601"/>
      </w:pPr>
      <w:rPr>
        <w:rFonts w:hint="default"/>
        <w:lang w:val="zh-CN" w:eastAsia="zh-CN" w:bidi="zh-CN"/>
      </w:rPr>
    </w:lvl>
    <w:lvl w:ilvl="5" w:tentative="0">
      <w:start w:val="0"/>
      <w:numFmt w:val="bullet"/>
      <w:lvlText w:val="•"/>
      <w:lvlJc w:val="left"/>
      <w:pPr>
        <w:ind w:left="5700" w:hanging="601"/>
      </w:pPr>
      <w:rPr>
        <w:rFonts w:hint="default"/>
        <w:lang w:val="zh-CN" w:eastAsia="zh-CN" w:bidi="zh-CN"/>
      </w:rPr>
    </w:lvl>
    <w:lvl w:ilvl="6" w:tentative="0">
      <w:start w:val="0"/>
      <w:numFmt w:val="bullet"/>
      <w:lvlText w:val="•"/>
      <w:lvlJc w:val="left"/>
      <w:pPr>
        <w:ind w:left="6552" w:hanging="601"/>
      </w:pPr>
      <w:rPr>
        <w:rFonts w:hint="default"/>
        <w:lang w:val="zh-CN" w:eastAsia="zh-CN" w:bidi="zh-CN"/>
      </w:rPr>
    </w:lvl>
    <w:lvl w:ilvl="7" w:tentative="0">
      <w:start w:val="0"/>
      <w:numFmt w:val="bullet"/>
      <w:lvlText w:val="•"/>
      <w:lvlJc w:val="left"/>
      <w:pPr>
        <w:ind w:left="7404" w:hanging="601"/>
      </w:pPr>
      <w:rPr>
        <w:rFonts w:hint="default"/>
        <w:lang w:val="zh-CN" w:eastAsia="zh-CN" w:bidi="zh-CN"/>
      </w:rPr>
    </w:lvl>
    <w:lvl w:ilvl="8" w:tentative="0">
      <w:start w:val="0"/>
      <w:numFmt w:val="bullet"/>
      <w:lvlText w:val="•"/>
      <w:lvlJc w:val="left"/>
      <w:pPr>
        <w:ind w:left="8256" w:hanging="601"/>
      </w:pPr>
      <w:rPr>
        <w:rFonts w:hint="default"/>
        <w:lang w:val="zh-CN" w:eastAsia="zh-CN" w:bidi="zh-CN"/>
      </w:rPr>
    </w:lvl>
  </w:abstractNum>
  <w:abstractNum w:abstractNumId="5">
    <w:nsid w:val="DCECDA40"/>
    <w:multiLevelType w:val="singleLevel"/>
    <w:tmpl w:val="DCECDA40"/>
    <w:lvl w:ilvl="0" w:tentative="0">
      <w:start w:val="1"/>
      <w:numFmt w:val="chineseCounting"/>
      <w:suff w:val="nothing"/>
      <w:lvlText w:val="%1、"/>
      <w:lvlJc w:val="left"/>
      <w:rPr>
        <w:rFonts w:hint="eastAsia"/>
      </w:rPr>
    </w:lvl>
  </w:abstractNum>
  <w:abstractNum w:abstractNumId="6">
    <w:nsid w:val="DEB6AEB4"/>
    <w:multiLevelType w:val="singleLevel"/>
    <w:tmpl w:val="DEB6AEB4"/>
    <w:lvl w:ilvl="0" w:tentative="0">
      <w:start w:val="1"/>
      <w:numFmt w:val="chineseCounting"/>
      <w:suff w:val="nothing"/>
      <w:lvlText w:val="%1、"/>
      <w:lvlJc w:val="left"/>
      <w:pPr>
        <w:ind w:left="604"/>
      </w:pPr>
      <w:rPr>
        <w:rFonts w:hint="eastAsia"/>
      </w:rPr>
    </w:lvl>
  </w:abstractNum>
  <w:abstractNum w:abstractNumId="7">
    <w:nsid w:val="EA5F3B44"/>
    <w:multiLevelType w:val="singleLevel"/>
    <w:tmpl w:val="EA5F3B44"/>
    <w:lvl w:ilvl="0" w:tentative="0">
      <w:start w:val="8"/>
      <w:numFmt w:val="decimal"/>
      <w:suff w:val="nothing"/>
      <w:lvlText w:val="%1、"/>
      <w:lvlJc w:val="left"/>
    </w:lvl>
  </w:abstractNum>
  <w:abstractNum w:abstractNumId="8">
    <w:nsid w:val="F9664ED9"/>
    <w:multiLevelType w:val="singleLevel"/>
    <w:tmpl w:val="F9664ED9"/>
    <w:lvl w:ilvl="0" w:tentative="0">
      <w:start w:val="1"/>
      <w:numFmt w:val="chineseCounting"/>
      <w:suff w:val="nothing"/>
      <w:lvlText w:val="%1、"/>
      <w:lvlJc w:val="left"/>
      <w:rPr>
        <w:rFonts w:hint="eastAsia"/>
      </w:rPr>
    </w:lvl>
  </w:abstractNum>
  <w:abstractNum w:abstractNumId="9">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rFonts w:hint="default"/>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0">
    <w:nsid w:val="00000012"/>
    <w:multiLevelType w:val="multilevel"/>
    <w:tmpl w:val="00000012"/>
    <w:lvl w:ilvl="0" w:tentative="0">
      <w:start w:val="1"/>
      <w:numFmt w:val="chineseCountingThousand"/>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00000015"/>
    <w:multiLevelType w:val="multilevel"/>
    <w:tmpl w:val="00000015"/>
    <w:lvl w:ilvl="0" w:tentative="0">
      <w:start w:val="1"/>
      <w:numFmt w:val="chineseCountingThousand"/>
      <w:lvlText w:val="%1、"/>
      <w:lvlJc w:val="left"/>
      <w:pPr>
        <w:ind w:left="1271"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127"/>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13">
    <w:nsid w:val="00000018"/>
    <w:multiLevelType w:val="multilevel"/>
    <w:tmpl w:val="00000018"/>
    <w:lvl w:ilvl="0" w:tentative="0">
      <w:start w:val="1"/>
      <w:numFmt w:val="chineseCountingThousand"/>
      <w:lvlText w:val="%1、"/>
      <w:lvlJc w:val="left"/>
      <w:pPr>
        <w:ind w:left="966"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4">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2043"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7"/>
      <w:lvlText w:val="%1.%2.%3.%4.%5."/>
      <w:lvlJc w:val="left"/>
      <w:pPr>
        <w:tabs>
          <w:tab w:val="left" w:pos="1560"/>
        </w:tabs>
        <w:ind w:left="1560" w:hanging="992"/>
      </w:pPr>
      <w:rPr>
        <w:rFonts w:hint="default" w:ascii="Times New Roman" w:hAnsi="Times New Roman" w:eastAsia="宋体"/>
        <w:b/>
        <w:i w:val="0"/>
        <w:sz w:val="28"/>
        <w:szCs w:val="28"/>
      </w:rPr>
    </w:lvl>
    <w:lvl w:ilvl="5" w:tentative="0">
      <w:start w:val="1"/>
      <w:numFmt w:val="decimal"/>
      <w:pStyle w:val="8"/>
      <w:lvlText w:val="%1.%2.%3.%4.%5.%6."/>
      <w:lvlJc w:val="left"/>
      <w:pPr>
        <w:tabs>
          <w:tab w:val="left" w:pos="1702"/>
        </w:tabs>
        <w:ind w:left="1702" w:hanging="1134"/>
      </w:pPr>
      <w:rPr>
        <w:rFonts w:hint="eastAsia"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rPr>
        <w:rFonts w:hint="eastAsia"/>
      </w:rPr>
    </w:lvl>
    <w:lvl w:ilvl="7" w:tentative="0">
      <w:start w:val="1"/>
      <w:numFmt w:val="decimal"/>
      <w:lvlText w:val="%1.%2.%3.%4.%5.%6.%7.%8."/>
      <w:lvlJc w:val="left"/>
      <w:pPr>
        <w:tabs>
          <w:tab w:val="left" w:pos="1986"/>
        </w:tabs>
        <w:ind w:left="1986" w:hanging="1418"/>
      </w:pPr>
      <w:rPr>
        <w:rFonts w:hint="eastAsia"/>
      </w:rPr>
    </w:lvl>
    <w:lvl w:ilvl="8" w:tentative="0">
      <w:start w:val="1"/>
      <w:numFmt w:val="decimal"/>
      <w:lvlText w:val="%1.%2.%3.%4.%5.%6.%7.%8.%9."/>
      <w:lvlJc w:val="left"/>
      <w:pPr>
        <w:tabs>
          <w:tab w:val="left" w:pos="2127"/>
        </w:tabs>
        <w:ind w:left="2127" w:hanging="1559"/>
      </w:pPr>
      <w:rPr>
        <w:rFonts w:hint="eastAsia"/>
      </w:rPr>
    </w:lvl>
  </w:abstractNum>
  <w:abstractNum w:abstractNumId="16">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chineseCountingThousand"/>
      <w:lvlText w:val="%2、"/>
      <w:lvlJc w:val="left"/>
      <w:pPr>
        <w:ind w:left="420" w:hanging="420"/>
      </w:pPr>
      <w:rPr>
        <w:rFonts w:hint="eastAsia"/>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7">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rFonts w:hint="eastAsia"/>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00000029"/>
    <w:multiLevelType w:val="multilevel"/>
    <w:tmpl w:val="00000029"/>
    <w:lvl w:ilvl="0" w:tentative="0">
      <w:start w:val="1"/>
      <w:numFmt w:val="decimal"/>
      <w:lvlText w:val="%1."/>
      <w:lvlJc w:val="left"/>
      <w:pPr>
        <w:ind w:left="420"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000002E"/>
    <w:multiLevelType w:val="multilevel"/>
    <w:tmpl w:val="0000002E"/>
    <w:lvl w:ilvl="0" w:tentative="0">
      <w:start w:val="1"/>
      <w:numFmt w:val="decimal"/>
      <w:pStyle w:val="3"/>
      <w:lvlText w:val="第%1章"/>
      <w:lvlJc w:val="left"/>
      <w:pPr>
        <w:ind w:left="5060" w:hanging="425"/>
      </w:pPr>
      <w:rPr>
        <w:rFonts w:hint="default" w:ascii="Times New Roman" w:hAnsi="Times New Roman" w:eastAsia="宋体"/>
        <w:b/>
        <w:i w:val="0"/>
        <w:sz w:val="32"/>
        <w:szCs w:val="32"/>
        <w:lang w:val="en-US"/>
      </w:rPr>
    </w:lvl>
    <w:lvl w:ilvl="1" w:tentative="0">
      <w:start w:val="1"/>
      <w:numFmt w:val="decimal"/>
      <w:pStyle w:val="4"/>
      <w:suff w:val="nothing"/>
      <w:lvlText w:val="%1.%2"/>
      <w:lvlJc w:val="left"/>
      <w:pPr>
        <w:ind w:left="3098" w:hanging="567"/>
      </w:pPr>
      <w:rPr>
        <w:rFonts w:hint="default" w:cs="Times New Roman" w:asciiTheme="minorEastAsia" w:hAnsiTheme="minorEastAsia" w:eastAsiaTheme="minorEastAsia"/>
        <w:b/>
        <w:i w:val="0"/>
        <w:color w:val="auto"/>
        <w:sz w:val="28"/>
        <w:szCs w:val="28"/>
        <w:lang w:val="en-US"/>
      </w:rPr>
    </w:lvl>
    <w:lvl w:ilvl="2" w:tentative="0">
      <w:start w:val="1"/>
      <w:numFmt w:val="decimal"/>
      <w:pStyle w:val="5"/>
      <w:suff w:val="space"/>
      <w:lvlText w:val="%1.%2.%3"/>
      <w:lvlJc w:val="left"/>
      <w:pPr>
        <w:ind w:left="1623" w:hanging="567"/>
      </w:pPr>
      <w:rPr>
        <w:rFonts w:hint="default" w:ascii="宋体" w:hAnsi="宋体" w:eastAsia="宋体" w:cs="Times New Roman"/>
        <w:b w:val="0"/>
        <w:i w:val="0"/>
        <w:sz w:val="24"/>
      </w:rPr>
    </w:lvl>
    <w:lvl w:ilvl="3" w:tentative="0">
      <w:start w:val="1"/>
      <w:numFmt w:val="decimal"/>
      <w:pStyle w:val="6"/>
      <w:suff w:val="nothing"/>
      <w:lvlText w:val="%1.%2.%3.%4"/>
      <w:lvlJc w:val="left"/>
      <w:pPr>
        <w:ind w:left="4111" w:hanging="708"/>
      </w:pPr>
      <w:rPr>
        <w:rFonts w:hint="default" w:ascii="宋体" w:hAnsi="宋体" w:eastAsia="宋体" w:cs="Times New Roman"/>
        <w:b w:val="0"/>
        <w:bCs/>
        <w:i w:val="0"/>
        <w:sz w:val="24"/>
        <w:szCs w:val="24"/>
      </w:rPr>
    </w:lvl>
    <w:lvl w:ilvl="4" w:tentative="0">
      <w:start w:val="1"/>
      <w:numFmt w:val="decimal"/>
      <w:lvlText w:val="%1.%2.%3.%4.%5"/>
      <w:lvlJc w:val="left"/>
      <w:pPr>
        <w:ind w:left="4110" w:hanging="850"/>
      </w:pPr>
      <w:rPr>
        <w:rFonts w:hint="default" w:ascii="Times New Roman" w:hAnsi="Times New Roman" w:cs="Times New Roman"/>
      </w:rPr>
    </w:lvl>
    <w:lvl w:ilvl="5" w:tentative="0">
      <w:start w:val="1"/>
      <w:numFmt w:val="decimal"/>
      <w:lvlText w:val="%1.%2.%3.%4.%5.%6"/>
      <w:lvlJc w:val="left"/>
      <w:pPr>
        <w:ind w:left="4819" w:hanging="1134"/>
      </w:pPr>
      <w:rPr>
        <w:rFonts w:hint="eastAsia"/>
      </w:rPr>
    </w:lvl>
    <w:lvl w:ilvl="6" w:tentative="0">
      <w:start w:val="1"/>
      <w:numFmt w:val="decimal"/>
      <w:lvlText w:val="%1.%2.%3.%4.%5.%6.%7"/>
      <w:lvlJc w:val="left"/>
      <w:pPr>
        <w:ind w:left="5386" w:hanging="1276"/>
      </w:pPr>
      <w:rPr>
        <w:rFonts w:hint="eastAsia"/>
      </w:rPr>
    </w:lvl>
    <w:lvl w:ilvl="7" w:tentative="0">
      <w:start w:val="1"/>
      <w:numFmt w:val="decimal"/>
      <w:lvlText w:val="%1.%2.%3.%4.%5.%6.%7.%8"/>
      <w:lvlJc w:val="left"/>
      <w:pPr>
        <w:ind w:left="5953" w:hanging="1418"/>
      </w:pPr>
      <w:rPr>
        <w:rFonts w:hint="eastAsia"/>
      </w:rPr>
    </w:lvl>
    <w:lvl w:ilvl="8" w:tentative="0">
      <w:start w:val="1"/>
      <w:numFmt w:val="decimal"/>
      <w:lvlText w:val="%1.%2.%3.%4.%5.%6.%7.%8.%9"/>
      <w:lvlJc w:val="left"/>
      <w:pPr>
        <w:ind w:left="6661" w:hanging="1700"/>
      </w:pPr>
      <w:rPr>
        <w:rFonts w:hint="eastAsia"/>
      </w:rPr>
    </w:lvl>
  </w:abstractNum>
  <w:abstractNum w:abstractNumId="20">
    <w:nsid w:val="00000031"/>
    <w:multiLevelType w:val="multilevel"/>
    <w:tmpl w:val="00000031"/>
    <w:lvl w:ilvl="0" w:tentative="0">
      <w:start w:val="1"/>
      <w:numFmt w:val="chineseCountingThousand"/>
      <w:lvlText w:val="%1、"/>
      <w:lvlJc w:val="left"/>
      <w:pPr>
        <w:ind w:left="1555" w:hanging="420"/>
      </w:pPr>
      <w:rPr>
        <w:rFonts w:hint="eastAsia"/>
        <w:sz w:val="24"/>
        <w:szCs w:val="24"/>
      </w:rPr>
    </w:lvl>
    <w:lvl w:ilvl="1" w:tentative="0">
      <w:start w:val="1"/>
      <w:numFmt w:val="lowerLetter"/>
      <w:lvlText w:val="%2)"/>
      <w:lvlJc w:val="left"/>
      <w:pPr>
        <w:ind w:left="3548" w:hanging="420"/>
      </w:pPr>
    </w:lvl>
    <w:lvl w:ilvl="2" w:tentative="0">
      <w:start w:val="1"/>
      <w:numFmt w:val="lowerRoman"/>
      <w:lvlText w:val="%3."/>
      <w:lvlJc w:val="right"/>
      <w:pPr>
        <w:ind w:left="3968" w:hanging="420"/>
      </w:pPr>
    </w:lvl>
    <w:lvl w:ilvl="3" w:tentative="0">
      <w:start w:val="1"/>
      <w:numFmt w:val="decimal"/>
      <w:lvlText w:val="%4."/>
      <w:lvlJc w:val="left"/>
      <w:pPr>
        <w:ind w:left="4388" w:hanging="420"/>
      </w:pPr>
    </w:lvl>
    <w:lvl w:ilvl="4" w:tentative="0">
      <w:start w:val="1"/>
      <w:numFmt w:val="lowerLetter"/>
      <w:lvlText w:val="%5)"/>
      <w:lvlJc w:val="left"/>
      <w:pPr>
        <w:ind w:left="4808" w:hanging="420"/>
      </w:pPr>
    </w:lvl>
    <w:lvl w:ilvl="5" w:tentative="0">
      <w:start w:val="1"/>
      <w:numFmt w:val="lowerRoman"/>
      <w:lvlText w:val="%6."/>
      <w:lvlJc w:val="right"/>
      <w:pPr>
        <w:ind w:left="5228" w:hanging="420"/>
      </w:pPr>
    </w:lvl>
    <w:lvl w:ilvl="6" w:tentative="0">
      <w:start w:val="1"/>
      <w:numFmt w:val="decimal"/>
      <w:lvlText w:val="%7."/>
      <w:lvlJc w:val="left"/>
      <w:pPr>
        <w:ind w:left="5648" w:hanging="420"/>
      </w:pPr>
    </w:lvl>
    <w:lvl w:ilvl="7" w:tentative="0">
      <w:start w:val="1"/>
      <w:numFmt w:val="lowerLetter"/>
      <w:lvlText w:val="%8)"/>
      <w:lvlJc w:val="left"/>
      <w:pPr>
        <w:ind w:left="6068" w:hanging="420"/>
      </w:pPr>
    </w:lvl>
    <w:lvl w:ilvl="8" w:tentative="0">
      <w:start w:val="1"/>
      <w:numFmt w:val="lowerRoman"/>
      <w:lvlText w:val="%9."/>
      <w:lvlJc w:val="right"/>
      <w:pPr>
        <w:ind w:left="6488" w:hanging="420"/>
      </w:pPr>
    </w:lvl>
  </w:abstractNum>
  <w:abstractNum w:abstractNumId="21">
    <w:nsid w:val="00000037"/>
    <w:multiLevelType w:val="multilevel"/>
    <w:tmpl w:val="00000037"/>
    <w:lvl w:ilvl="0" w:tentative="0">
      <w:start w:val="1"/>
      <w:numFmt w:val="chineseCountingThousand"/>
      <w:lvlText w:val="%1、"/>
      <w:lvlJc w:val="left"/>
      <w:pPr>
        <w:ind w:left="988"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3">
    <w:nsid w:val="0000003B"/>
    <w:multiLevelType w:val="multilevel"/>
    <w:tmpl w:val="0000003B"/>
    <w:lvl w:ilvl="0" w:tentative="0">
      <w:start w:val="1"/>
      <w:numFmt w:val="chineseCountingThousand"/>
      <w:lvlText w:val="%1、"/>
      <w:lvlJc w:val="left"/>
      <w:pPr>
        <w:ind w:left="720" w:hanging="720"/>
      </w:pPr>
      <w:rPr>
        <w:rFonts w:hint="eastAsia"/>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00003E"/>
    <w:multiLevelType w:val="multilevel"/>
    <w:tmpl w:val="0000003E"/>
    <w:lvl w:ilvl="0" w:tentative="0">
      <w:start w:val="1"/>
      <w:numFmt w:val="chineseCountingThousand"/>
      <w:suff w:val="nothing"/>
      <w:lvlText w:val="%1、"/>
      <w:lvlJc w:val="left"/>
      <w:pPr>
        <w:ind w:left="3256" w:hanging="420"/>
      </w:pPr>
      <w:rPr>
        <w:rFonts w:hint="eastAsia"/>
        <w:b/>
        <w:lang w:val="en-US"/>
      </w:rPr>
    </w:lvl>
    <w:lvl w:ilvl="1" w:tentative="0">
      <w:start w:val="1"/>
      <w:numFmt w:val="decimal"/>
      <w:lvlText w:val="%2、"/>
      <w:lvlJc w:val="left"/>
      <w:pPr>
        <w:ind w:left="1693" w:hanging="1125"/>
      </w:pPr>
      <w:rPr>
        <w:rFonts w:hint="default"/>
      </w:r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25">
    <w:nsid w:val="00000043"/>
    <w:multiLevelType w:val="multilevel"/>
    <w:tmpl w:val="00000043"/>
    <w:lvl w:ilvl="0" w:tentative="0">
      <w:start w:val="1"/>
      <w:numFmt w:val="chineseCountingThousand"/>
      <w:lvlText w:val="%1、"/>
      <w:lvlJc w:val="left"/>
      <w:pPr>
        <w:ind w:left="1129" w:hanging="420"/>
      </w:pPr>
      <w:rPr>
        <w:rFonts w:hint="eastAsia"/>
        <w:sz w:val="28"/>
        <w:szCs w:val="28"/>
        <w:shd w:val="clear" w:color="auto" w:fill="auto"/>
      </w:rPr>
    </w:lvl>
    <w:lvl w:ilvl="1" w:tentative="0">
      <w:start w:val="1"/>
      <w:numFmt w:val="decimal"/>
      <w:isLgl/>
      <w:lvlText w:val="%1.%2"/>
      <w:lvlJc w:val="left"/>
      <w:pPr>
        <w:ind w:left="1669" w:hanging="960"/>
      </w:pPr>
      <w:rPr>
        <w:rFonts w:hint="default"/>
      </w:rPr>
    </w:lvl>
    <w:lvl w:ilvl="2" w:tentative="0">
      <w:start w:val="1"/>
      <w:numFmt w:val="decimal"/>
      <w:isLgl/>
      <w:lvlText w:val="%1.%2.%3"/>
      <w:lvlJc w:val="left"/>
      <w:pPr>
        <w:ind w:left="1669" w:hanging="960"/>
      </w:pPr>
      <w:rPr>
        <w:rFonts w:hint="default"/>
      </w:rPr>
    </w:lvl>
    <w:lvl w:ilvl="3" w:tentative="0">
      <w:start w:val="1"/>
      <w:numFmt w:val="decimal"/>
      <w:isLgl/>
      <w:lvlText w:val="%1.%2.%3.%4"/>
      <w:lvlJc w:val="left"/>
      <w:pPr>
        <w:ind w:left="1789" w:hanging="1080"/>
      </w:pPr>
      <w:rPr>
        <w:rFonts w:hint="default"/>
      </w:rPr>
    </w:lvl>
    <w:lvl w:ilvl="4" w:tentative="0">
      <w:start w:val="1"/>
      <w:numFmt w:val="decimal"/>
      <w:isLgl/>
      <w:lvlText w:val="%1.%2.%3.%4.%5"/>
      <w:lvlJc w:val="left"/>
      <w:pPr>
        <w:ind w:left="1789" w:hanging="1080"/>
      </w:pPr>
      <w:rPr>
        <w:rFonts w:hint="default"/>
      </w:rPr>
    </w:lvl>
    <w:lvl w:ilvl="5" w:tentative="0">
      <w:start w:val="1"/>
      <w:numFmt w:val="decimal"/>
      <w:isLgl/>
      <w:lvlText w:val="%1.%2.%3.%4.%5.%6"/>
      <w:lvlJc w:val="left"/>
      <w:pPr>
        <w:ind w:left="2149" w:hanging="1440"/>
      </w:pPr>
      <w:rPr>
        <w:rFonts w:hint="default"/>
      </w:rPr>
    </w:lvl>
    <w:lvl w:ilvl="6" w:tentative="0">
      <w:start w:val="1"/>
      <w:numFmt w:val="decimal"/>
      <w:isLgl/>
      <w:lvlText w:val="%1.%2.%3.%4.%5.%6.%7"/>
      <w:lvlJc w:val="left"/>
      <w:pPr>
        <w:ind w:left="2509" w:hanging="1800"/>
      </w:pPr>
      <w:rPr>
        <w:rFonts w:hint="default"/>
      </w:rPr>
    </w:lvl>
    <w:lvl w:ilvl="7" w:tentative="0">
      <w:start w:val="1"/>
      <w:numFmt w:val="decimal"/>
      <w:isLgl/>
      <w:lvlText w:val="%1.%2.%3.%4.%5.%6.%7.%8"/>
      <w:lvlJc w:val="left"/>
      <w:pPr>
        <w:ind w:left="2509" w:hanging="1800"/>
      </w:pPr>
      <w:rPr>
        <w:rFonts w:hint="default"/>
      </w:rPr>
    </w:lvl>
    <w:lvl w:ilvl="8" w:tentative="0">
      <w:start w:val="1"/>
      <w:numFmt w:val="decimal"/>
      <w:isLgl/>
      <w:lvlText w:val="%1.%2.%3.%4.%5.%6.%7.%8.%9"/>
      <w:lvlJc w:val="left"/>
      <w:pPr>
        <w:ind w:left="2869" w:hanging="2160"/>
      </w:pPr>
      <w:rPr>
        <w:rFonts w:hint="default"/>
      </w:rPr>
    </w:lvl>
  </w:abstractNum>
  <w:abstractNum w:abstractNumId="26">
    <w:nsid w:val="0E640482"/>
    <w:multiLevelType w:val="multilevel"/>
    <w:tmpl w:val="0E640482"/>
    <w:lvl w:ilvl="0" w:tentative="0">
      <w:start w:val="1"/>
      <w:numFmt w:val="decimal"/>
      <w:lvlText w:val="（%1）"/>
      <w:lvlJc w:val="left"/>
      <w:pPr>
        <w:ind w:left="372" w:hanging="617"/>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1338" w:hanging="617"/>
      </w:pPr>
      <w:rPr>
        <w:rFonts w:hint="default"/>
        <w:lang w:val="zh-CN" w:eastAsia="zh-CN" w:bidi="zh-CN"/>
      </w:rPr>
    </w:lvl>
    <w:lvl w:ilvl="2" w:tentative="0">
      <w:start w:val="0"/>
      <w:numFmt w:val="bullet"/>
      <w:lvlText w:val="•"/>
      <w:lvlJc w:val="left"/>
      <w:pPr>
        <w:ind w:left="2296" w:hanging="617"/>
      </w:pPr>
      <w:rPr>
        <w:rFonts w:hint="default"/>
        <w:lang w:val="zh-CN" w:eastAsia="zh-CN" w:bidi="zh-CN"/>
      </w:rPr>
    </w:lvl>
    <w:lvl w:ilvl="3" w:tentative="0">
      <w:start w:val="0"/>
      <w:numFmt w:val="bullet"/>
      <w:lvlText w:val="•"/>
      <w:lvlJc w:val="left"/>
      <w:pPr>
        <w:ind w:left="3254" w:hanging="617"/>
      </w:pPr>
      <w:rPr>
        <w:rFonts w:hint="default"/>
        <w:lang w:val="zh-CN" w:eastAsia="zh-CN" w:bidi="zh-CN"/>
      </w:rPr>
    </w:lvl>
    <w:lvl w:ilvl="4" w:tentative="0">
      <w:start w:val="0"/>
      <w:numFmt w:val="bullet"/>
      <w:lvlText w:val="•"/>
      <w:lvlJc w:val="left"/>
      <w:pPr>
        <w:ind w:left="4212" w:hanging="617"/>
      </w:pPr>
      <w:rPr>
        <w:rFonts w:hint="default"/>
        <w:lang w:val="zh-CN" w:eastAsia="zh-CN" w:bidi="zh-CN"/>
      </w:rPr>
    </w:lvl>
    <w:lvl w:ilvl="5" w:tentative="0">
      <w:start w:val="0"/>
      <w:numFmt w:val="bullet"/>
      <w:lvlText w:val="•"/>
      <w:lvlJc w:val="left"/>
      <w:pPr>
        <w:ind w:left="5170" w:hanging="617"/>
      </w:pPr>
      <w:rPr>
        <w:rFonts w:hint="default"/>
        <w:lang w:val="zh-CN" w:eastAsia="zh-CN" w:bidi="zh-CN"/>
      </w:rPr>
    </w:lvl>
    <w:lvl w:ilvl="6" w:tentative="0">
      <w:start w:val="0"/>
      <w:numFmt w:val="bullet"/>
      <w:lvlText w:val="•"/>
      <w:lvlJc w:val="left"/>
      <w:pPr>
        <w:ind w:left="6128" w:hanging="617"/>
      </w:pPr>
      <w:rPr>
        <w:rFonts w:hint="default"/>
        <w:lang w:val="zh-CN" w:eastAsia="zh-CN" w:bidi="zh-CN"/>
      </w:rPr>
    </w:lvl>
    <w:lvl w:ilvl="7" w:tentative="0">
      <w:start w:val="0"/>
      <w:numFmt w:val="bullet"/>
      <w:lvlText w:val="•"/>
      <w:lvlJc w:val="left"/>
      <w:pPr>
        <w:ind w:left="7086" w:hanging="617"/>
      </w:pPr>
      <w:rPr>
        <w:rFonts w:hint="default"/>
        <w:lang w:val="zh-CN" w:eastAsia="zh-CN" w:bidi="zh-CN"/>
      </w:rPr>
    </w:lvl>
    <w:lvl w:ilvl="8" w:tentative="0">
      <w:start w:val="0"/>
      <w:numFmt w:val="bullet"/>
      <w:lvlText w:val="•"/>
      <w:lvlJc w:val="left"/>
      <w:pPr>
        <w:ind w:left="8044" w:hanging="617"/>
      </w:pPr>
      <w:rPr>
        <w:rFonts w:hint="default"/>
        <w:lang w:val="zh-CN" w:eastAsia="zh-CN" w:bidi="zh-CN"/>
      </w:rPr>
    </w:lvl>
  </w:abstractNum>
  <w:abstractNum w:abstractNumId="27">
    <w:nsid w:val="1017DE32"/>
    <w:multiLevelType w:val="singleLevel"/>
    <w:tmpl w:val="1017DE32"/>
    <w:lvl w:ilvl="0" w:tentative="0">
      <w:start w:val="1"/>
      <w:numFmt w:val="decimal"/>
      <w:suff w:val="nothing"/>
      <w:lvlText w:val="（%1）"/>
      <w:lvlJc w:val="left"/>
      <w:pPr>
        <w:ind w:left="210"/>
      </w:pPr>
    </w:lvl>
  </w:abstractNum>
  <w:abstractNum w:abstractNumId="28">
    <w:nsid w:val="19D8D0EA"/>
    <w:multiLevelType w:val="singleLevel"/>
    <w:tmpl w:val="19D8D0EA"/>
    <w:lvl w:ilvl="0" w:tentative="0">
      <w:start w:val="1"/>
      <w:numFmt w:val="chineseCounting"/>
      <w:suff w:val="nothing"/>
      <w:lvlText w:val="%1、"/>
      <w:lvlJc w:val="left"/>
      <w:rPr>
        <w:rFonts w:hint="eastAsia"/>
      </w:rPr>
    </w:lvl>
  </w:abstractNum>
  <w:abstractNum w:abstractNumId="29">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F2A386E"/>
    <w:multiLevelType w:val="multilevel"/>
    <w:tmpl w:val="1F2A386E"/>
    <w:lvl w:ilvl="0" w:tentative="0">
      <w:start w:val="1"/>
      <w:numFmt w:val="chineseCountingThousand"/>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1">
    <w:nsid w:val="2A8F537B"/>
    <w:multiLevelType w:val="multilevel"/>
    <w:tmpl w:val="2A8F537B"/>
    <w:lvl w:ilvl="0" w:tentative="0">
      <w:start w:val="1"/>
      <w:numFmt w:val="decimal"/>
      <w:lvlText w:val="（%1）"/>
      <w:lvlJc w:val="left"/>
      <w:pPr>
        <w:ind w:left="372" w:hanging="617"/>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1338" w:hanging="617"/>
      </w:pPr>
      <w:rPr>
        <w:rFonts w:hint="default"/>
        <w:lang w:val="zh-CN" w:eastAsia="zh-CN" w:bidi="zh-CN"/>
      </w:rPr>
    </w:lvl>
    <w:lvl w:ilvl="2" w:tentative="0">
      <w:start w:val="0"/>
      <w:numFmt w:val="bullet"/>
      <w:lvlText w:val="•"/>
      <w:lvlJc w:val="left"/>
      <w:pPr>
        <w:ind w:left="2296" w:hanging="617"/>
      </w:pPr>
      <w:rPr>
        <w:rFonts w:hint="default"/>
        <w:lang w:val="zh-CN" w:eastAsia="zh-CN" w:bidi="zh-CN"/>
      </w:rPr>
    </w:lvl>
    <w:lvl w:ilvl="3" w:tentative="0">
      <w:start w:val="0"/>
      <w:numFmt w:val="bullet"/>
      <w:lvlText w:val="•"/>
      <w:lvlJc w:val="left"/>
      <w:pPr>
        <w:ind w:left="3254" w:hanging="617"/>
      </w:pPr>
      <w:rPr>
        <w:rFonts w:hint="default"/>
        <w:lang w:val="zh-CN" w:eastAsia="zh-CN" w:bidi="zh-CN"/>
      </w:rPr>
    </w:lvl>
    <w:lvl w:ilvl="4" w:tentative="0">
      <w:start w:val="0"/>
      <w:numFmt w:val="bullet"/>
      <w:lvlText w:val="•"/>
      <w:lvlJc w:val="left"/>
      <w:pPr>
        <w:ind w:left="4212" w:hanging="617"/>
      </w:pPr>
      <w:rPr>
        <w:rFonts w:hint="default"/>
        <w:lang w:val="zh-CN" w:eastAsia="zh-CN" w:bidi="zh-CN"/>
      </w:rPr>
    </w:lvl>
    <w:lvl w:ilvl="5" w:tentative="0">
      <w:start w:val="0"/>
      <w:numFmt w:val="bullet"/>
      <w:lvlText w:val="•"/>
      <w:lvlJc w:val="left"/>
      <w:pPr>
        <w:ind w:left="5170" w:hanging="617"/>
      </w:pPr>
      <w:rPr>
        <w:rFonts w:hint="default"/>
        <w:lang w:val="zh-CN" w:eastAsia="zh-CN" w:bidi="zh-CN"/>
      </w:rPr>
    </w:lvl>
    <w:lvl w:ilvl="6" w:tentative="0">
      <w:start w:val="0"/>
      <w:numFmt w:val="bullet"/>
      <w:lvlText w:val="•"/>
      <w:lvlJc w:val="left"/>
      <w:pPr>
        <w:ind w:left="6128" w:hanging="617"/>
      </w:pPr>
      <w:rPr>
        <w:rFonts w:hint="default"/>
        <w:lang w:val="zh-CN" w:eastAsia="zh-CN" w:bidi="zh-CN"/>
      </w:rPr>
    </w:lvl>
    <w:lvl w:ilvl="7" w:tentative="0">
      <w:start w:val="0"/>
      <w:numFmt w:val="bullet"/>
      <w:lvlText w:val="•"/>
      <w:lvlJc w:val="left"/>
      <w:pPr>
        <w:ind w:left="7086" w:hanging="617"/>
      </w:pPr>
      <w:rPr>
        <w:rFonts w:hint="default"/>
        <w:lang w:val="zh-CN" w:eastAsia="zh-CN" w:bidi="zh-CN"/>
      </w:rPr>
    </w:lvl>
    <w:lvl w:ilvl="8" w:tentative="0">
      <w:start w:val="0"/>
      <w:numFmt w:val="bullet"/>
      <w:lvlText w:val="•"/>
      <w:lvlJc w:val="left"/>
      <w:pPr>
        <w:ind w:left="8044" w:hanging="617"/>
      </w:pPr>
      <w:rPr>
        <w:rFonts w:hint="default"/>
        <w:lang w:val="zh-CN" w:eastAsia="zh-CN" w:bidi="zh-CN"/>
      </w:rPr>
    </w:lvl>
  </w:abstractNum>
  <w:abstractNum w:abstractNumId="3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33">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34">
    <w:nsid w:val="3424055C"/>
    <w:multiLevelType w:val="multilevel"/>
    <w:tmpl w:val="3424055C"/>
    <w:lvl w:ilvl="0" w:tentative="0">
      <w:start w:val="1"/>
      <w:numFmt w:val="chineseCountingThousand"/>
      <w:lvlText w:val="%1、"/>
      <w:lvlJc w:val="left"/>
      <w:pPr>
        <w:ind w:left="1686" w:hanging="420"/>
      </w:pPr>
      <w:rPr>
        <w:sz w:val="24"/>
        <w:szCs w:val="24"/>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abstractNum w:abstractNumId="35">
    <w:nsid w:val="39A0D9AC"/>
    <w:multiLevelType w:val="multilevel"/>
    <w:tmpl w:val="39A0D9AC"/>
    <w:lvl w:ilvl="0" w:tentative="0">
      <w:start w:val="2"/>
      <w:numFmt w:val="decimal"/>
      <w:lvlText w:val="%1."/>
      <w:lvlJc w:val="left"/>
      <w:pPr>
        <w:ind w:left="328" w:hanging="252"/>
      </w:pPr>
      <w:rPr>
        <w:rFonts w:hint="default" w:ascii="宋体" w:hAnsi="宋体" w:eastAsia="宋体" w:cs="宋体"/>
        <w:spacing w:val="2"/>
        <w:w w:val="100"/>
        <w:sz w:val="22"/>
        <w:szCs w:val="22"/>
        <w:lang w:val="zh-CN" w:eastAsia="zh-CN" w:bidi="zh-CN"/>
      </w:rPr>
    </w:lvl>
    <w:lvl w:ilvl="1" w:tentative="0">
      <w:start w:val="1"/>
      <w:numFmt w:val="decimal"/>
      <w:lvlText w:val="（%2）"/>
      <w:lvlJc w:val="left"/>
      <w:pPr>
        <w:ind w:left="1529" w:hanging="601"/>
      </w:pPr>
      <w:rPr>
        <w:rFonts w:hint="default" w:ascii="宋体" w:hAnsi="宋体" w:eastAsia="宋体" w:cs="宋体"/>
        <w:w w:val="100"/>
        <w:sz w:val="22"/>
        <w:szCs w:val="22"/>
        <w:lang w:val="zh-CN" w:eastAsia="zh-CN" w:bidi="zh-CN"/>
      </w:rPr>
    </w:lvl>
    <w:lvl w:ilvl="2" w:tentative="0">
      <w:start w:val="0"/>
      <w:numFmt w:val="bullet"/>
      <w:lvlText w:val="•"/>
      <w:lvlJc w:val="left"/>
      <w:pPr>
        <w:ind w:left="2405" w:hanging="601"/>
      </w:pPr>
      <w:rPr>
        <w:rFonts w:hint="default"/>
        <w:lang w:val="zh-CN" w:eastAsia="zh-CN" w:bidi="zh-CN"/>
      </w:rPr>
    </w:lvl>
    <w:lvl w:ilvl="3" w:tentative="0">
      <w:start w:val="0"/>
      <w:numFmt w:val="bullet"/>
      <w:lvlText w:val="•"/>
      <w:lvlJc w:val="left"/>
      <w:pPr>
        <w:ind w:left="3290" w:hanging="601"/>
      </w:pPr>
      <w:rPr>
        <w:rFonts w:hint="default"/>
        <w:lang w:val="zh-CN" w:eastAsia="zh-CN" w:bidi="zh-CN"/>
      </w:rPr>
    </w:lvl>
    <w:lvl w:ilvl="4" w:tentative="0">
      <w:start w:val="0"/>
      <w:numFmt w:val="bullet"/>
      <w:lvlText w:val="•"/>
      <w:lvlJc w:val="left"/>
      <w:pPr>
        <w:ind w:left="4175" w:hanging="601"/>
      </w:pPr>
      <w:rPr>
        <w:rFonts w:hint="default"/>
        <w:lang w:val="zh-CN" w:eastAsia="zh-CN" w:bidi="zh-CN"/>
      </w:rPr>
    </w:lvl>
    <w:lvl w:ilvl="5" w:tentative="0">
      <w:start w:val="0"/>
      <w:numFmt w:val="bullet"/>
      <w:lvlText w:val="•"/>
      <w:lvlJc w:val="left"/>
      <w:pPr>
        <w:ind w:left="5060" w:hanging="601"/>
      </w:pPr>
      <w:rPr>
        <w:rFonts w:hint="default"/>
        <w:lang w:val="zh-CN" w:eastAsia="zh-CN" w:bidi="zh-CN"/>
      </w:rPr>
    </w:lvl>
    <w:lvl w:ilvl="6" w:tentative="0">
      <w:start w:val="0"/>
      <w:numFmt w:val="bullet"/>
      <w:lvlText w:val="•"/>
      <w:lvlJc w:val="left"/>
      <w:pPr>
        <w:ind w:left="5945" w:hanging="601"/>
      </w:pPr>
      <w:rPr>
        <w:rFonts w:hint="default"/>
        <w:lang w:val="zh-CN" w:eastAsia="zh-CN" w:bidi="zh-CN"/>
      </w:rPr>
    </w:lvl>
    <w:lvl w:ilvl="7" w:tentative="0">
      <w:start w:val="0"/>
      <w:numFmt w:val="bullet"/>
      <w:lvlText w:val="•"/>
      <w:lvlJc w:val="left"/>
      <w:pPr>
        <w:ind w:left="6830" w:hanging="601"/>
      </w:pPr>
      <w:rPr>
        <w:rFonts w:hint="default"/>
        <w:lang w:val="zh-CN" w:eastAsia="zh-CN" w:bidi="zh-CN"/>
      </w:rPr>
    </w:lvl>
    <w:lvl w:ilvl="8" w:tentative="0">
      <w:start w:val="0"/>
      <w:numFmt w:val="bullet"/>
      <w:lvlText w:val="•"/>
      <w:lvlJc w:val="left"/>
      <w:pPr>
        <w:ind w:left="7715" w:hanging="601"/>
      </w:pPr>
      <w:rPr>
        <w:rFonts w:hint="default"/>
        <w:lang w:val="zh-CN" w:eastAsia="zh-CN" w:bidi="zh-CN"/>
      </w:rPr>
    </w:lvl>
  </w:abstractNum>
  <w:abstractNum w:abstractNumId="36">
    <w:nsid w:val="4C1635C4"/>
    <w:multiLevelType w:val="multilevel"/>
    <w:tmpl w:val="4C1635C4"/>
    <w:lvl w:ilvl="0" w:tentative="0">
      <w:start w:val="1"/>
      <w:numFmt w:val="chineseCountingThousand"/>
      <w:lvlText w:val="%1、"/>
      <w:lvlJc w:val="left"/>
      <w:pPr>
        <w:ind w:left="840" w:hanging="420"/>
      </w:pPr>
      <w:rPr>
        <w:sz w:val="24"/>
        <w:szCs w:val="24"/>
      </w:r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7">
    <w:nsid w:val="4CC31705"/>
    <w:multiLevelType w:val="multilevel"/>
    <w:tmpl w:val="4CC31705"/>
    <w:lvl w:ilvl="0" w:tentative="0">
      <w:start w:val="1"/>
      <w:numFmt w:val="chineseCountingThousand"/>
      <w:lvlText w:val="%1、"/>
      <w:lvlJc w:val="left"/>
      <w:pPr>
        <w:ind w:left="840" w:hanging="420"/>
      </w:pPr>
      <w:rPr>
        <w:sz w:val="24"/>
        <w:szCs w:val="24"/>
      </w:r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8">
    <w:nsid w:val="4E4E3C67"/>
    <w:multiLevelType w:val="singleLevel"/>
    <w:tmpl w:val="4E4E3C67"/>
    <w:lvl w:ilvl="0" w:tentative="0">
      <w:start w:val="1"/>
      <w:numFmt w:val="decimal"/>
      <w:suff w:val="nothing"/>
      <w:lvlText w:val="%1、"/>
      <w:lvlJc w:val="left"/>
    </w:lvl>
  </w:abstractNum>
  <w:abstractNum w:abstractNumId="39">
    <w:nsid w:val="5639E6AC"/>
    <w:multiLevelType w:val="singleLevel"/>
    <w:tmpl w:val="5639E6AC"/>
    <w:lvl w:ilvl="0" w:tentative="0">
      <w:start w:val="1"/>
      <w:numFmt w:val="chineseCounting"/>
      <w:suff w:val="nothing"/>
      <w:lvlText w:val="%1、"/>
      <w:lvlJc w:val="left"/>
      <w:pPr>
        <w:ind w:left="3428"/>
      </w:pPr>
      <w:rPr>
        <w:rFonts w:hint="eastAsia"/>
      </w:rPr>
    </w:lvl>
  </w:abstractNum>
  <w:abstractNum w:abstractNumId="40">
    <w:nsid w:val="629F7852"/>
    <w:multiLevelType w:val="multilevel"/>
    <w:tmpl w:val="629F7852"/>
    <w:lvl w:ilvl="0" w:tentative="0">
      <w:start w:val="1"/>
      <w:numFmt w:val="decimal"/>
      <w:lvlText w:val="%1."/>
      <w:lvlJc w:val="left"/>
      <w:pPr>
        <w:ind w:left="328" w:hanging="241"/>
        <w:jc w:val="right"/>
      </w:pPr>
      <w:rPr>
        <w:rFonts w:hint="default" w:ascii="宋体" w:hAnsi="宋体" w:eastAsia="宋体" w:cs="宋体"/>
        <w:spacing w:val="-16"/>
        <w:w w:val="99"/>
        <w:sz w:val="22"/>
        <w:szCs w:val="22"/>
        <w:lang w:val="zh-CN" w:eastAsia="zh-CN" w:bidi="zh-CN"/>
      </w:rPr>
    </w:lvl>
    <w:lvl w:ilvl="1" w:tentative="0">
      <w:start w:val="0"/>
      <w:numFmt w:val="bullet"/>
      <w:lvlText w:val="•"/>
      <w:lvlJc w:val="left"/>
      <w:pPr>
        <w:ind w:left="1236" w:hanging="241"/>
      </w:pPr>
      <w:rPr>
        <w:rFonts w:hint="default"/>
        <w:lang w:val="zh-CN" w:eastAsia="zh-CN" w:bidi="zh-CN"/>
      </w:rPr>
    </w:lvl>
    <w:lvl w:ilvl="2" w:tentative="0">
      <w:start w:val="0"/>
      <w:numFmt w:val="bullet"/>
      <w:lvlText w:val="•"/>
      <w:lvlJc w:val="left"/>
      <w:pPr>
        <w:ind w:left="2153" w:hanging="241"/>
      </w:pPr>
      <w:rPr>
        <w:rFonts w:hint="default"/>
        <w:lang w:val="zh-CN" w:eastAsia="zh-CN" w:bidi="zh-CN"/>
      </w:rPr>
    </w:lvl>
    <w:lvl w:ilvl="3" w:tentative="0">
      <w:start w:val="0"/>
      <w:numFmt w:val="bullet"/>
      <w:lvlText w:val="•"/>
      <w:lvlJc w:val="left"/>
      <w:pPr>
        <w:ind w:left="3069" w:hanging="241"/>
      </w:pPr>
      <w:rPr>
        <w:rFonts w:hint="default"/>
        <w:lang w:val="zh-CN" w:eastAsia="zh-CN" w:bidi="zh-CN"/>
      </w:rPr>
    </w:lvl>
    <w:lvl w:ilvl="4" w:tentative="0">
      <w:start w:val="0"/>
      <w:numFmt w:val="bullet"/>
      <w:lvlText w:val="•"/>
      <w:lvlJc w:val="left"/>
      <w:pPr>
        <w:ind w:left="3986" w:hanging="241"/>
      </w:pPr>
      <w:rPr>
        <w:rFonts w:hint="default"/>
        <w:lang w:val="zh-CN" w:eastAsia="zh-CN" w:bidi="zh-CN"/>
      </w:rPr>
    </w:lvl>
    <w:lvl w:ilvl="5" w:tentative="0">
      <w:start w:val="0"/>
      <w:numFmt w:val="bullet"/>
      <w:lvlText w:val="•"/>
      <w:lvlJc w:val="left"/>
      <w:pPr>
        <w:ind w:left="4903" w:hanging="241"/>
      </w:pPr>
      <w:rPr>
        <w:rFonts w:hint="default"/>
        <w:lang w:val="zh-CN" w:eastAsia="zh-CN" w:bidi="zh-CN"/>
      </w:rPr>
    </w:lvl>
    <w:lvl w:ilvl="6" w:tentative="0">
      <w:start w:val="0"/>
      <w:numFmt w:val="bullet"/>
      <w:lvlText w:val="•"/>
      <w:lvlJc w:val="left"/>
      <w:pPr>
        <w:ind w:left="5819" w:hanging="241"/>
      </w:pPr>
      <w:rPr>
        <w:rFonts w:hint="default"/>
        <w:lang w:val="zh-CN" w:eastAsia="zh-CN" w:bidi="zh-CN"/>
      </w:rPr>
    </w:lvl>
    <w:lvl w:ilvl="7" w:tentative="0">
      <w:start w:val="0"/>
      <w:numFmt w:val="bullet"/>
      <w:lvlText w:val="•"/>
      <w:lvlJc w:val="left"/>
      <w:pPr>
        <w:ind w:left="6736" w:hanging="241"/>
      </w:pPr>
      <w:rPr>
        <w:rFonts w:hint="default"/>
        <w:lang w:val="zh-CN" w:eastAsia="zh-CN" w:bidi="zh-CN"/>
      </w:rPr>
    </w:lvl>
    <w:lvl w:ilvl="8" w:tentative="0">
      <w:start w:val="0"/>
      <w:numFmt w:val="bullet"/>
      <w:lvlText w:val="•"/>
      <w:lvlJc w:val="left"/>
      <w:pPr>
        <w:ind w:left="7652" w:hanging="241"/>
      </w:pPr>
      <w:rPr>
        <w:rFonts w:hint="default"/>
        <w:lang w:val="zh-CN" w:eastAsia="zh-CN" w:bidi="zh-CN"/>
      </w:rPr>
    </w:lvl>
  </w:abstractNum>
  <w:abstractNum w:abstractNumId="41">
    <w:nsid w:val="638064AA"/>
    <w:multiLevelType w:val="multilevel"/>
    <w:tmpl w:val="638064AA"/>
    <w:lvl w:ilvl="0" w:tentative="0">
      <w:start w:val="1"/>
      <w:numFmt w:val="japaneseCounting"/>
      <w:lvlText w:val="%1、"/>
      <w:lvlJc w:val="left"/>
      <w:pPr>
        <w:ind w:left="2129" w:hanging="1005"/>
      </w:pPr>
      <w:rPr>
        <w:rFonts w:hint="default"/>
        <w:lang w:val="en-US"/>
      </w:rPr>
    </w:lvl>
    <w:lvl w:ilvl="1" w:tentative="0">
      <w:start w:val="1"/>
      <w:numFmt w:val="chineseCountingThousand"/>
      <w:lvlText w:val="(%2)"/>
      <w:lvlJc w:val="left"/>
      <w:pPr>
        <w:ind w:left="1260" w:hanging="420"/>
      </w:pPr>
    </w:lvl>
    <w:lvl w:ilvl="2" w:tentative="0">
      <w:start w:val="1"/>
      <w:numFmt w:val="lowerRoman"/>
      <w:lvlText w:val="%3."/>
      <w:lvlJc w:val="right"/>
      <w:pPr>
        <w:ind w:left="2099" w:hanging="420"/>
      </w:pPr>
    </w:lvl>
    <w:lvl w:ilvl="3" w:tentative="0">
      <w:start w:val="1"/>
      <w:numFmt w:val="decimal"/>
      <w:lvlText w:val="%4."/>
      <w:lvlJc w:val="left"/>
      <w:pPr>
        <w:ind w:left="2519" w:hanging="420"/>
      </w:pPr>
    </w:lvl>
    <w:lvl w:ilvl="4" w:tentative="0">
      <w:start w:val="1"/>
      <w:numFmt w:val="lowerLetter"/>
      <w:lvlText w:val="%5)"/>
      <w:lvlJc w:val="left"/>
      <w:pPr>
        <w:ind w:left="2939" w:hanging="420"/>
      </w:pPr>
    </w:lvl>
    <w:lvl w:ilvl="5" w:tentative="0">
      <w:start w:val="1"/>
      <w:numFmt w:val="lowerRoman"/>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abstractNum w:abstractNumId="42">
    <w:nsid w:val="7AED19D9"/>
    <w:multiLevelType w:val="singleLevel"/>
    <w:tmpl w:val="7AED19D9"/>
    <w:lvl w:ilvl="0" w:tentative="0">
      <w:start w:val="1"/>
      <w:numFmt w:val="decimal"/>
      <w:lvlText w:val="%1."/>
      <w:lvlJc w:val="left"/>
      <w:pPr>
        <w:tabs>
          <w:tab w:val="left" w:pos="312"/>
        </w:tabs>
      </w:pPr>
    </w:lvl>
  </w:abstractNum>
  <w:abstractNum w:abstractNumId="43">
    <w:nsid w:val="7BF64CA9"/>
    <w:multiLevelType w:val="multilevel"/>
    <w:tmpl w:val="7BF64CA9"/>
    <w:lvl w:ilvl="0" w:tentative="0">
      <w:start w:val="1"/>
      <w:numFmt w:val="chineseCountingThousand"/>
      <w:lvlText w:val="(%1)"/>
      <w:lvlJc w:val="left"/>
      <w:pPr>
        <w:ind w:left="922" w:hanging="420"/>
      </w:pPr>
      <w:rPr>
        <w:b w:val="0"/>
      </w:rPr>
    </w:lvl>
    <w:lvl w:ilvl="1" w:tentative="0">
      <w:start w:val="1"/>
      <w:numFmt w:val="lowerLetter"/>
      <w:lvlText w:val="%2)"/>
      <w:lvlJc w:val="left"/>
      <w:pPr>
        <w:ind w:left="1342" w:hanging="420"/>
      </w:pPr>
    </w:lvl>
    <w:lvl w:ilvl="2" w:tentative="0">
      <w:start w:val="1"/>
      <w:numFmt w:val="lowerRoman"/>
      <w:lvlText w:val="%3."/>
      <w:lvlJc w:val="right"/>
      <w:pPr>
        <w:ind w:left="1762" w:hanging="420"/>
      </w:pPr>
    </w:lvl>
    <w:lvl w:ilvl="3" w:tentative="0">
      <w:start w:val="1"/>
      <w:numFmt w:val="decimal"/>
      <w:lvlText w:val="%4."/>
      <w:lvlJc w:val="left"/>
      <w:pPr>
        <w:ind w:left="2182" w:hanging="420"/>
      </w:pPr>
    </w:lvl>
    <w:lvl w:ilvl="4" w:tentative="0">
      <w:start w:val="1"/>
      <w:numFmt w:val="lowerLetter"/>
      <w:lvlText w:val="%5)"/>
      <w:lvlJc w:val="left"/>
      <w:pPr>
        <w:ind w:left="2602" w:hanging="420"/>
      </w:pPr>
    </w:lvl>
    <w:lvl w:ilvl="5" w:tentative="0">
      <w:start w:val="1"/>
      <w:numFmt w:val="lowerRoman"/>
      <w:lvlText w:val="%6."/>
      <w:lvlJc w:val="right"/>
      <w:pPr>
        <w:ind w:left="3022" w:hanging="420"/>
      </w:pPr>
    </w:lvl>
    <w:lvl w:ilvl="6" w:tentative="0">
      <w:start w:val="1"/>
      <w:numFmt w:val="decimal"/>
      <w:lvlText w:val="%7."/>
      <w:lvlJc w:val="left"/>
      <w:pPr>
        <w:ind w:left="3442" w:hanging="420"/>
      </w:pPr>
    </w:lvl>
    <w:lvl w:ilvl="7" w:tentative="0">
      <w:start w:val="1"/>
      <w:numFmt w:val="lowerLetter"/>
      <w:lvlText w:val="%8)"/>
      <w:lvlJc w:val="left"/>
      <w:pPr>
        <w:ind w:left="3862" w:hanging="420"/>
      </w:pPr>
    </w:lvl>
    <w:lvl w:ilvl="8" w:tentative="0">
      <w:start w:val="1"/>
      <w:numFmt w:val="lowerRoman"/>
      <w:lvlText w:val="%9."/>
      <w:lvlJc w:val="right"/>
      <w:pPr>
        <w:ind w:left="4282" w:hanging="420"/>
      </w:pPr>
    </w:lvl>
  </w:abstractNum>
  <w:num w:numId="1">
    <w:abstractNumId w:val="19"/>
  </w:num>
  <w:num w:numId="2">
    <w:abstractNumId w:val="15"/>
  </w:num>
  <w:num w:numId="3">
    <w:abstractNumId w:val="12"/>
  </w:num>
  <w:num w:numId="4">
    <w:abstractNumId w:val="24"/>
  </w:num>
  <w:num w:numId="5">
    <w:abstractNumId w:val="3"/>
  </w:num>
  <w:num w:numId="6">
    <w:abstractNumId w:val="43"/>
  </w:num>
  <w:num w:numId="7">
    <w:abstractNumId w:val="18"/>
  </w:num>
  <w:num w:numId="8">
    <w:abstractNumId w:val="38"/>
  </w:num>
  <w:num w:numId="9">
    <w:abstractNumId w:val="23"/>
  </w:num>
  <w:num w:numId="10">
    <w:abstractNumId w:val="25"/>
  </w:num>
  <w:num w:numId="11">
    <w:abstractNumId w:val="9"/>
  </w:num>
  <w:num w:numId="12">
    <w:abstractNumId w:val="14"/>
  </w:num>
  <w:num w:numId="13">
    <w:abstractNumId w:val="30"/>
  </w:num>
  <w:num w:numId="14">
    <w:abstractNumId w:val="22"/>
  </w:num>
  <w:num w:numId="15">
    <w:abstractNumId w:val="33"/>
  </w:num>
  <w:num w:numId="16">
    <w:abstractNumId w:val="28"/>
  </w:num>
  <w:num w:numId="17">
    <w:abstractNumId w:val="31"/>
  </w:num>
  <w:num w:numId="18">
    <w:abstractNumId w:val="4"/>
  </w:num>
  <w:num w:numId="19">
    <w:abstractNumId w:val="6"/>
  </w:num>
  <w:num w:numId="20">
    <w:abstractNumId w:val="13"/>
  </w:num>
  <w:num w:numId="21">
    <w:abstractNumId w:val="20"/>
  </w:num>
  <w:num w:numId="22">
    <w:abstractNumId w:val="5"/>
  </w:num>
  <w:num w:numId="23">
    <w:abstractNumId w:val="8"/>
  </w:num>
  <w:num w:numId="24">
    <w:abstractNumId w:val="21"/>
  </w:num>
  <w:num w:numId="25">
    <w:abstractNumId w:val="34"/>
  </w:num>
  <w:num w:numId="26">
    <w:abstractNumId w:val="26"/>
  </w:num>
  <w:num w:numId="27">
    <w:abstractNumId w:val="11"/>
  </w:num>
  <w:num w:numId="28">
    <w:abstractNumId w:val="2"/>
  </w:num>
  <w:num w:numId="29">
    <w:abstractNumId w:val="16"/>
  </w:num>
  <w:num w:numId="30">
    <w:abstractNumId w:val="39"/>
  </w:num>
  <w:num w:numId="31">
    <w:abstractNumId w:val="10"/>
  </w:num>
  <w:num w:numId="32">
    <w:abstractNumId w:val="41"/>
  </w:num>
  <w:num w:numId="33">
    <w:abstractNumId w:val="17"/>
  </w:num>
  <w:num w:numId="34">
    <w:abstractNumId w:val="40"/>
  </w:num>
  <w:num w:numId="35">
    <w:abstractNumId w:val="42"/>
  </w:num>
  <w:num w:numId="36">
    <w:abstractNumId w:val="1"/>
  </w:num>
  <w:num w:numId="37">
    <w:abstractNumId w:val="35"/>
  </w:num>
  <w:num w:numId="38">
    <w:abstractNumId w:val="0"/>
  </w:num>
  <w:num w:numId="39">
    <w:abstractNumId w:val="27"/>
  </w:num>
  <w:num w:numId="40">
    <w:abstractNumId w:val="36"/>
  </w:num>
  <w:num w:numId="41">
    <w:abstractNumId w:val="37"/>
  </w:num>
  <w:num w:numId="42">
    <w:abstractNumId w:val="7"/>
  </w:num>
  <w:num w:numId="43">
    <w:abstractNumId w:val="32"/>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9191B"/>
    <w:rsid w:val="000015AA"/>
    <w:rsid w:val="000019C8"/>
    <w:rsid w:val="00001AC1"/>
    <w:rsid w:val="00010AD7"/>
    <w:rsid w:val="00022ABE"/>
    <w:rsid w:val="0002542E"/>
    <w:rsid w:val="00026F90"/>
    <w:rsid w:val="0003146D"/>
    <w:rsid w:val="00035596"/>
    <w:rsid w:val="00035FA1"/>
    <w:rsid w:val="000373C0"/>
    <w:rsid w:val="00042467"/>
    <w:rsid w:val="00043365"/>
    <w:rsid w:val="000436D6"/>
    <w:rsid w:val="00043956"/>
    <w:rsid w:val="0004402B"/>
    <w:rsid w:val="00044681"/>
    <w:rsid w:val="0005211C"/>
    <w:rsid w:val="00053FBC"/>
    <w:rsid w:val="000577C5"/>
    <w:rsid w:val="000600CC"/>
    <w:rsid w:val="000626A4"/>
    <w:rsid w:val="00070ADD"/>
    <w:rsid w:val="00075F92"/>
    <w:rsid w:val="00080BC3"/>
    <w:rsid w:val="00082699"/>
    <w:rsid w:val="00084DC6"/>
    <w:rsid w:val="00095E5D"/>
    <w:rsid w:val="000966E2"/>
    <w:rsid w:val="00096D94"/>
    <w:rsid w:val="000A1757"/>
    <w:rsid w:val="000A771A"/>
    <w:rsid w:val="000B1323"/>
    <w:rsid w:val="000B4064"/>
    <w:rsid w:val="000D0AAE"/>
    <w:rsid w:val="000E1842"/>
    <w:rsid w:val="000E26C1"/>
    <w:rsid w:val="0010642C"/>
    <w:rsid w:val="0011352F"/>
    <w:rsid w:val="00123526"/>
    <w:rsid w:val="00130DFC"/>
    <w:rsid w:val="001317CE"/>
    <w:rsid w:val="00135CED"/>
    <w:rsid w:val="00142134"/>
    <w:rsid w:val="00143047"/>
    <w:rsid w:val="00145910"/>
    <w:rsid w:val="00146DE1"/>
    <w:rsid w:val="0015613F"/>
    <w:rsid w:val="001571FF"/>
    <w:rsid w:val="00160A40"/>
    <w:rsid w:val="001627DB"/>
    <w:rsid w:val="00165573"/>
    <w:rsid w:val="00165AC7"/>
    <w:rsid w:val="00172F8D"/>
    <w:rsid w:val="00173280"/>
    <w:rsid w:val="0017699E"/>
    <w:rsid w:val="00177929"/>
    <w:rsid w:val="001819F2"/>
    <w:rsid w:val="0018368B"/>
    <w:rsid w:val="001856D1"/>
    <w:rsid w:val="00187F9B"/>
    <w:rsid w:val="00196A07"/>
    <w:rsid w:val="001A66F8"/>
    <w:rsid w:val="001B0DF3"/>
    <w:rsid w:val="001B6543"/>
    <w:rsid w:val="001C0D1A"/>
    <w:rsid w:val="001C6CEE"/>
    <w:rsid w:val="001D0D6A"/>
    <w:rsid w:val="001D454E"/>
    <w:rsid w:val="001D5B06"/>
    <w:rsid w:val="001D6AA9"/>
    <w:rsid w:val="001D75A9"/>
    <w:rsid w:val="001D7776"/>
    <w:rsid w:val="001E19C1"/>
    <w:rsid w:val="001F2FEB"/>
    <w:rsid w:val="002016D0"/>
    <w:rsid w:val="0020271D"/>
    <w:rsid w:val="002045B9"/>
    <w:rsid w:val="0020530C"/>
    <w:rsid w:val="0020704F"/>
    <w:rsid w:val="0020712C"/>
    <w:rsid w:val="00207600"/>
    <w:rsid w:val="00221125"/>
    <w:rsid w:val="0022355D"/>
    <w:rsid w:val="002354EF"/>
    <w:rsid w:val="00257D51"/>
    <w:rsid w:val="00261E96"/>
    <w:rsid w:val="002708C6"/>
    <w:rsid w:val="002712D1"/>
    <w:rsid w:val="00273A98"/>
    <w:rsid w:val="00284033"/>
    <w:rsid w:val="00285609"/>
    <w:rsid w:val="00285C7D"/>
    <w:rsid w:val="002970DC"/>
    <w:rsid w:val="002A1A50"/>
    <w:rsid w:val="002B5747"/>
    <w:rsid w:val="002C1F28"/>
    <w:rsid w:val="002C3EB7"/>
    <w:rsid w:val="002C5578"/>
    <w:rsid w:val="002C6A1A"/>
    <w:rsid w:val="002C769A"/>
    <w:rsid w:val="002D734C"/>
    <w:rsid w:val="002E370B"/>
    <w:rsid w:val="002E6DBF"/>
    <w:rsid w:val="002E708F"/>
    <w:rsid w:val="002F0BAD"/>
    <w:rsid w:val="002F2157"/>
    <w:rsid w:val="00303C5B"/>
    <w:rsid w:val="00310F5A"/>
    <w:rsid w:val="00314028"/>
    <w:rsid w:val="00314633"/>
    <w:rsid w:val="003211B5"/>
    <w:rsid w:val="003454C0"/>
    <w:rsid w:val="00353A96"/>
    <w:rsid w:val="003629C8"/>
    <w:rsid w:val="00364FE7"/>
    <w:rsid w:val="00376DE6"/>
    <w:rsid w:val="0038005D"/>
    <w:rsid w:val="00382513"/>
    <w:rsid w:val="00384A39"/>
    <w:rsid w:val="00385BA8"/>
    <w:rsid w:val="00393405"/>
    <w:rsid w:val="00393A6A"/>
    <w:rsid w:val="00394405"/>
    <w:rsid w:val="003A23D2"/>
    <w:rsid w:val="003B4362"/>
    <w:rsid w:val="003C136D"/>
    <w:rsid w:val="003C1AEF"/>
    <w:rsid w:val="003C608D"/>
    <w:rsid w:val="003C73E1"/>
    <w:rsid w:val="003C7712"/>
    <w:rsid w:val="003E122B"/>
    <w:rsid w:val="003E2EF5"/>
    <w:rsid w:val="003E3FF7"/>
    <w:rsid w:val="003E4256"/>
    <w:rsid w:val="003E6599"/>
    <w:rsid w:val="003E7A7C"/>
    <w:rsid w:val="003F24F0"/>
    <w:rsid w:val="003F6E17"/>
    <w:rsid w:val="00403CEE"/>
    <w:rsid w:val="00411266"/>
    <w:rsid w:val="00412F0F"/>
    <w:rsid w:val="00416695"/>
    <w:rsid w:val="00416982"/>
    <w:rsid w:val="00417342"/>
    <w:rsid w:val="00421266"/>
    <w:rsid w:val="00421EDE"/>
    <w:rsid w:val="00422106"/>
    <w:rsid w:val="00425D95"/>
    <w:rsid w:val="0043299A"/>
    <w:rsid w:val="004330C5"/>
    <w:rsid w:val="00440897"/>
    <w:rsid w:val="004505C7"/>
    <w:rsid w:val="00451FD9"/>
    <w:rsid w:val="00452461"/>
    <w:rsid w:val="004606EA"/>
    <w:rsid w:val="0047002F"/>
    <w:rsid w:val="0047083D"/>
    <w:rsid w:val="0047658D"/>
    <w:rsid w:val="00483194"/>
    <w:rsid w:val="00492A13"/>
    <w:rsid w:val="00493069"/>
    <w:rsid w:val="004A0549"/>
    <w:rsid w:val="004A0847"/>
    <w:rsid w:val="004A1492"/>
    <w:rsid w:val="004B1314"/>
    <w:rsid w:val="004B4FE0"/>
    <w:rsid w:val="004C00D3"/>
    <w:rsid w:val="004C19C1"/>
    <w:rsid w:val="004C20F7"/>
    <w:rsid w:val="004D4FC7"/>
    <w:rsid w:val="004E1C80"/>
    <w:rsid w:val="004E1E2D"/>
    <w:rsid w:val="004E353B"/>
    <w:rsid w:val="00510D43"/>
    <w:rsid w:val="005122C4"/>
    <w:rsid w:val="0051764B"/>
    <w:rsid w:val="00522862"/>
    <w:rsid w:val="0052607B"/>
    <w:rsid w:val="0053564B"/>
    <w:rsid w:val="00537787"/>
    <w:rsid w:val="005502F5"/>
    <w:rsid w:val="005509B8"/>
    <w:rsid w:val="00550F37"/>
    <w:rsid w:val="00554A1C"/>
    <w:rsid w:val="00555D89"/>
    <w:rsid w:val="00560101"/>
    <w:rsid w:val="005854D3"/>
    <w:rsid w:val="00595A91"/>
    <w:rsid w:val="005972BA"/>
    <w:rsid w:val="005A06D7"/>
    <w:rsid w:val="005A08D5"/>
    <w:rsid w:val="005A3643"/>
    <w:rsid w:val="005A44BB"/>
    <w:rsid w:val="005C0409"/>
    <w:rsid w:val="005C6AB6"/>
    <w:rsid w:val="005C6E8B"/>
    <w:rsid w:val="005D10C3"/>
    <w:rsid w:val="005D4A93"/>
    <w:rsid w:val="005D5A53"/>
    <w:rsid w:val="005D7593"/>
    <w:rsid w:val="005E177E"/>
    <w:rsid w:val="005E3EA4"/>
    <w:rsid w:val="005E4B16"/>
    <w:rsid w:val="005F04E5"/>
    <w:rsid w:val="005F55C6"/>
    <w:rsid w:val="00617F97"/>
    <w:rsid w:val="006264CC"/>
    <w:rsid w:val="0063164A"/>
    <w:rsid w:val="00652834"/>
    <w:rsid w:val="006713F9"/>
    <w:rsid w:val="0067498B"/>
    <w:rsid w:val="00675CA7"/>
    <w:rsid w:val="00676744"/>
    <w:rsid w:val="00676753"/>
    <w:rsid w:val="006808D4"/>
    <w:rsid w:val="00682482"/>
    <w:rsid w:val="00684922"/>
    <w:rsid w:val="00685D58"/>
    <w:rsid w:val="006957ED"/>
    <w:rsid w:val="00695D2E"/>
    <w:rsid w:val="006A0666"/>
    <w:rsid w:val="006A08B9"/>
    <w:rsid w:val="006A4B90"/>
    <w:rsid w:val="006A63EA"/>
    <w:rsid w:val="006A6F59"/>
    <w:rsid w:val="006B2CF1"/>
    <w:rsid w:val="006B2E49"/>
    <w:rsid w:val="006B6D46"/>
    <w:rsid w:val="006C0756"/>
    <w:rsid w:val="006C4D11"/>
    <w:rsid w:val="006C4D47"/>
    <w:rsid w:val="006C5911"/>
    <w:rsid w:val="006C771D"/>
    <w:rsid w:val="006D13ED"/>
    <w:rsid w:val="006D2280"/>
    <w:rsid w:val="006D2F58"/>
    <w:rsid w:val="006D4BEE"/>
    <w:rsid w:val="006D4D75"/>
    <w:rsid w:val="006F34B1"/>
    <w:rsid w:val="007100B7"/>
    <w:rsid w:val="00710B68"/>
    <w:rsid w:val="00712860"/>
    <w:rsid w:val="0071299D"/>
    <w:rsid w:val="00712E88"/>
    <w:rsid w:val="00713107"/>
    <w:rsid w:val="007158A0"/>
    <w:rsid w:val="007219D5"/>
    <w:rsid w:val="00724BBE"/>
    <w:rsid w:val="00724E05"/>
    <w:rsid w:val="0074242E"/>
    <w:rsid w:val="00744F3A"/>
    <w:rsid w:val="00746351"/>
    <w:rsid w:val="00747E47"/>
    <w:rsid w:val="00751C1F"/>
    <w:rsid w:val="007546BC"/>
    <w:rsid w:val="00754B59"/>
    <w:rsid w:val="00762D2A"/>
    <w:rsid w:val="00783C0B"/>
    <w:rsid w:val="00786141"/>
    <w:rsid w:val="00786D2D"/>
    <w:rsid w:val="007A0556"/>
    <w:rsid w:val="007A0F64"/>
    <w:rsid w:val="007B1433"/>
    <w:rsid w:val="007B1AC3"/>
    <w:rsid w:val="007B2BD1"/>
    <w:rsid w:val="007C3909"/>
    <w:rsid w:val="007C72B2"/>
    <w:rsid w:val="007D4A52"/>
    <w:rsid w:val="007E0F44"/>
    <w:rsid w:val="007F16E8"/>
    <w:rsid w:val="007F716E"/>
    <w:rsid w:val="00805E60"/>
    <w:rsid w:val="008068DD"/>
    <w:rsid w:val="00807B93"/>
    <w:rsid w:val="00814E0D"/>
    <w:rsid w:val="00815D12"/>
    <w:rsid w:val="0082035A"/>
    <w:rsid w:val="00823E8F"/>
    <w:rsid w:val="0082512D"/>
    <w:rsid w:val="00830700"/>
    <w:rsid w:val="00841A9B"/>
    <w:rsid w:val="00842C79"/>
    <w:rsid w:val="00857DB5"/>
    <w:rsid w:val="00861001"/>
    <w:rsid w:val="00872368"/>
    <w:rsid w:val="00877464"/>
    <w:rsid w:val="00896988"/>
    <w:rsid w:val="008A3ECB"/>
    <w:rsid w:val="008A7963"/>
    <w:rsid w:val="008B209E"/>
    <w:rsid w:val="008B2B68"/>
    <w:rsid w:val="008C315F"/>
    <w:rsid w:val="008D0065"/>
    <w:rsid w:val="008D2FAC"/>
    <w:rsid w:val="008D3D1A"/>
    <w:rsid w:val="008E1FAA"/>
    <w:rsid w:val="008E672C"/>
    <w:rsid w:val="00903206"/>
    <w:rsid w:val="00903266"/>
    <w:rsid w:val="009113CA"/>
    <w:rsid w:val="00920FC0"/>
    <w:rsid w:val="00921F1F"/>
    <w:rsid w:val="00921F44"/>
    <w:rsid w:val="009240CD"/>
    <w:rsid w:val="0092443F"/>
    <w:rsid w:val="00925039"/>
    <w:rsid w:val="00926C17"/>
    <w:rsid w:val="009304E1"/>
    <w:rsid w:val="00934745"/>
    <w:rsid w:val="00941332"/>
    <w:rsid w:val="00941CF3"/>
    <w:rsid w:val="00941F04"/>
    <w:rsid w:val="0094653A"/>
    <w:rsid w:val="0094680A"/>
    <w:rsid w:val="0094721D"/>
    <w:rsid w:val="00953A19"/>
    <w:rsid w:val="00953D52"/>
    <w:rsid w:val="00964CBE"/>
    <w:rsid w:val="009672EC"/>
    <w:rsid w:val="009777CE"/>
    <w:rsid w:val="00980075"/>
    <w:rsid w:val="0098060E"/>
    <w:rsid w:val="009820E6"/>
    <w:rsid w:val="00983D35"/>
    <w:rsid w:val="00987308"/>
    <w:rsid w:val="00990AC3"/>
    <w:rsid w:val="0099216B"/>
    <w:rsid w:val="00992B1A"/>
    <w:rsid w:val="00997B94"/>
    <w:rsid w:val="00997D5C"/>
    <w:rsid w:val="009A2C1C"/>
    <w:rsid w:val="009B1EF0"/>
    <w:rsid w:val="009B48A4"/>
    <w:rsid w:val="009C57B0"/>
    <w:rsid w:val="009C6CB7"/>
    <w:rsid w:val="009D15E2"/>
    <w:rsid w:val="009D5EAE"/>
    <w:rsid w:val="009D69A0"/>
    <w:rsid w:val="009F19D0"/>
    <w:rsid w:val="009F5580"/>
    <w:rsid w:val="009F5954"/>
    <w:rsid w:val="009F7183"/>
    <w:rsid w:val="009F7E29"/>
    <w:rsid w:val="00A0072B"/>
    <w:rsid w:val="00A0143C"/>
    <w:rsid w:val="00A024B7"/>
    <w:rsid w:val="00A05625"/>
    <w:rsid w:val="00A05A01"/>
    <w:rsid w:val="00A05FC3"/>
    <w:rsid w:val="00A07202"/>
    <w:rsid w:val="00A07207"/>
    <w:rsid w:val="00A148C6"/>
    <w:rsid w:val="00A15D25"/>
    <w:rsid w:val="00A20696"/>
    <w:rsid w:val="00A6064F"/>
    <w:rsid w:val="00A60C12"/>
    <w:rsid w:val="00A64AEB"/>
    <w:rsid w:val="00A83F23"/>
    <w:rsid w:val="00A90258"/>
    <w:rsid w:val="00A971CE"/>
    <w:rsid w:val="00AA172C"/>
    <w:rsid w:val="00AA32F6"/>
    <w:rsid w:val="00AA36AD"/>
    <w:rsid w:val="00AA3B5A"/>
    <w:rsid w:val="00AA5A6C"/>
    <w:rsid w:val="00AB2196"/>
    <w:rsid w:val="00AB6D47"/>
    <w:rsid w:val="00AD158E"/>
    <w:rsid w:val="00AD1765"/>
    <w:rsid w:val="00AD38B9"/>
    <w:rsid w:val="00AD6257"/>
    <w:rsid w:val="00AD6680"/>
    <w:rsid w:val="00AE02FE"/>
    <w:rsid w:val="00AE5660"/>
    <w:rsid w:val="00AE6318"/>
    <w:rsid w:val="00AF0653"/>
    <w:rsid w:val="00AF0E88"/>
    <w:rsid w:val="00AF144D"/>
    <w:rsid w:val="00B011B4"/>
    <w:rsid w:val="00B04D98"/>
    <w:rsid w:val="00B04E30"/>
    <w:rsid w:val="00B10262"/>
    <w:rsid w:val="00B10E1F"/>
    <w:rsid w:val="00B1124F"/>
    <w:rsid w:val="00B1127F"/>
    <w:rsid w:val="00B31DA1"/>
    <w:rsid w:val="00B37D62"/>
    <w:rsid w:val="00B44BEB"/>
    <w:rsid w:val="00B45BB5"/>
    <w:rsid w:val="00B511C3"/>
    <w:rsid w:val="00B517AF"/>
    <w:rsid w:val="00B603DB"/>
    <w:rsid w:val="00B64E2F"/>
    <w:rsid w:val="00B67613"/>
    <w:rsid w:val="00B708FF"/>
    <w:rsid w:val="00B83D79"/>
    <w:rsid w:val="00B844C1"/>
    <w:rsid w:val="00B86FB6"/>
    <w:rsid w:val="00B87D5F"/>
    <w:rsid w:val="00B947D8"/>
    <w:rsid w:val="00B9603E"/>
    <w:rsid w:val="00BA0A43"/>
    <w:rsid w:val="00BA249C"/>
    <w:rsid w:val="00BA6E80"/>
    <w:rsid w:val="00BB2662"/>
    <w:rsid w:val="00BC2336"/>
    <w:rsid w:val="00BC345C"/>
    <w:rsid w:val="00BC3981"/>
    <w:rsid w:val="00BC4C38"/>
    <w:rsid w:val="00BD0783"/>
    <w:rsid w:val="00BE39B8"/>
    <w:rsid w:val="00BE528E"/>
    <w:rsid w:val="00BE563E"/>
    <w:rsid w:val="00BF0744"/>
    <w:rsid w:val="00C0586F"/>
    <w:rsid w:val="00C071D7"/>
    <w:rsid w:val="00C16558"/>
    <w:rsid w:val="00C1780D"/>
    <w:rsid w:val="00C20537"/>
    <w:rsid w:val="00C21858"/>
    <w:rsid w:val="00C23EA1"/>
    <w:rsid w:val="00C35B1E"/>
    <w:rsid w:val="00C35FBF"/>
    <w:rsid w:val="00C4630D"/>
    <w:rsid w:val="00C52BC0"/>
    <w:rsid w:val="00C54871"/>
    <w:rsid w:val="00C61247"/>
    <w:rsid w:val="00C642CD"/>
    <w:rsid w:val="00C82354"/>
    <w:rsid w:val="00CA0248"/>
    <w:rsid w:val="00CA3975"/>
    <w:rsid w:val="00CB17AD"/>
    <w:rsid w:val="00CB5C7E"/>
    <w:rsid w:val="00CC7102"/>
    <w:rsid w:val="00CD4D46"/>
    <w:rsid w:val="00CD66C0"/>
    <w:rsid w:val="00CE2AB7"/>
    <w:rsid w:val="00CE55EC"/>
    <w:rsid w:val="00CF0CA8"/>
    <w:rsid w:val="00CF2877"/>
    <w:rsid w:val="00CF52C0"/>
    <w:rsid w:val="00CF672F"/>
    <w:rsid w:val="00D01443"/>
    <w:rsid w:val="00D15BD9"/>
    <w:rsid w:val="00D1645B"/>
    <w:rsid w:val="00D178A2"/>
    <w:rsid w:val="00D230CA"/>
    <w:rsid w:val="00D24289"/>
    <w:rsid w:val="00D24A6A"/>
    <w:rsid w:val="00D25F08"/>
    <w:rsid w:val="00D319E7"/>
    <w:rsid w:val="00D4110B"/>
    <w:rsid w:val="00D41B21"/>
    <w:rsid w:val="00D533B1"/>
    <w:rsid w:val="00D56C05"/>
    <w:rsid w:val="00D57B57"/>
    <w:rsid w:val="00D600C7"/>
    <w:rsid w:val="00D60C61"/>
    <w:rsid w:val="00D61174"/>
    <w:rsid w:val="00D71A40"/>
    <w:rsid w:val="00D747D0"/>
    <w:rsid w:val="00D8283B"/>
    <w:rsid w:val="00D87EE3"/>
    <w:rsid w:val="00D9191B"/>
    <w:rsid w:val="00D95C84"/>
    <w:rsid w:val="00DA3502"/>
    <w:rsid w:val="00DA7B20"/>
    <w:rsid w:val="00DB0020"/>
    <w:rsid w:val="00DB7036"/>
    <w:rsid w:val="00DC03B0"/>
    <w:rsid w:val="00DC08BD"/>
    <w:rsid w:val="00DD7DC5"/>
    <w:rsid w:val="00DE3191"/>
    <w:rsid w:val="00DE5BCA"/>
    <w:rsid w:val="00DF6B59"/>
    <w:rsid w:val="00E03673"/>
    <w:rsid w:val="00E16E61"/>
    <w:rsid w:val="00E20C45"/>
    <w:rsid w:val="00E24A10"/>
    <w:rsid w:val="00E41BF3"/>
    <w:rsid w:val="00E431FC"/>
    <w:rsid w:val="00E44548"/>
    <w:rsid w:val="00E50784"/>
    <w:rsid w:val="00E622E2"/>
    <w:rsid w:val="00E7372D"/>
    <w:rsid w:val="00E75593"/>
    <w:rsid w:val="00E80D54"/>
    <w:rsid w:val="00E81908"/>
    <w:rsid w:val="00E84513"/>
    <w:rsid w:val="00E85C0F"/>
    <w:rsid w:val="00E872AC"/>
    <w:rsid w:val="00E87849"/>
    <w:rsid w:val="00E933F9"/>
    <w:rsid w:val="00E93FA0"/>
    <w:rsid w:val="00EA63B7"/>
    <w:rsid w:val="00EB4F68"/>
    <w:rsid w:val="00EB7742"/>
    <w:rsid w:val="00EC3360"/>
    <w:rsid w:val="00ED2053"/>
    <w:rsid w:val="00EF5C38"/>
    <w:rsid w:val="00F03E7B"/>
    <w:rsid w:val="00F13633"/>
    <w:rsid w:val="00F201B0"/>
    <w:rsid w:val="00F2150E"/>
    <w:rsid w:val="00F24AEC"/>
    <w:rsid w:val="00F25683"/>
    <w:rsid w:val="00F30158"/>
    <w:rsid w:val="00F357EA"/>
    <w:rsid w:val="00F41809"/>
    <w:rsid w:val="00F43893"/>
    <w:rsid w:val="00F46396"/>
    <w:rsid w:val="00F5292E"/>
    <w:rsid w:val="00F5340B"/>
    <w:rsid w:val="00F56619"/>
    <w:rsid w:val="00F571BE"/>
    <w:rsid w:val="00F73010"/>
    <w:rsid w:val="00F7384C"/>
    <w:rsid w:val="00F77561"/>
    <w:rsid w:val="00F834CA"/>
    <w:rsid w:val="00F85857"/>
    <w:rsid w:val="00F946C9"/>
    <w:rsid w:val="00FA105E"/>
    <w:rsid w:val="00FA43FB"/>
    <w:rsid w:val="00FA44D1"/>
    <w:rsid w:val="00FB6950"/>
    <w:rsid w:val="00FB7371"/>
    <w:rsid w:val="00FC3B5A"/>
    <w:rsid w:val="00FC6DB6"/>
    <w:rsid w:val="00FC6FC2"/>
    <w:rsid w:val="00FD16EB"/>
    <w:rsid w:val="00FD16EC"/>
    <w:rsid w:val="00FD6DB2"/>
    <w:rsid w:val="00FE6F01"/>
    <w:rsid w:val="00FE76D2"/>
    <w:rsid w:val="00FF0749"/>
    <w:rsid w:val="00FF1308"/>
    <w:rsid w:val="00FF3A5C"/>
    <w:rsid w:val="00FF509E"/>
    <w:rsid w:val="0259258D"/>
    <w:rsid w:val="02DE7117"/>
    <w:rsid w:val="039368A0"/>
    <w:rsid w:val="04271811"/>
    <w:rsid w:val="05FD28DC"/>
    <w:rsid w:val="069825C8"/>
    <w:rsid w:val="087E441C"/>
    <w:rsid w:val="0A6F0FC6"/>
    <w:rsid w:val="0AA50A6F"/>
    <w:rsid w:val="0AF05E5C"/>
    <w:rsid w:val="0CBE2C03"/>
    <w:rsid w:val="0CE75337"/>
    <w:rsid w:val="0F627CFB"/>
    <w:rsid w:val="11797268"/>
    <w:rsid w:val="12A41014"/>
    <w:rsid w:val="12DC0F38"/>
    <w:rsid w:val="13554320"/>
    <w:rsid w:val="13796E08"/>
    <w:rsid w:val="154E4F12"/>
    <w:rsid w:val="16493AE8"/>
    <w:rsid w:val="17BB0499"/>
    <w:rsid w:val="1C4E36D5"/>
    <w:rsid w:val="1C546F1B"/>
    <w:rsid w:val="1CCD0CDC"/>
    <w:rsid w:val="1E3D7775"/>
    <w:rsid w:val="1EFB5D4E"/>
    <w:rsid w:val="20313EF8"/>
    <w:rsid w:val="21512CC7"/>
    <w:rsid w:val="236C4E90"/>
    <w:rsid w:val="24C1394A"/>
    <w:rsid w:val="24DC5CBC"/>
    <w:rsid w:val="27B514FE"/>
    <w:rsid w:val="27D340EB"/>
    <w:rsid w:val="29664C36"/>
    <w:rsid w:val="29EB3D08"/>
    <w:rsid w:val="29F81B6C"/>
    <w:rsid w:val="2A657DCB"/>
    <w:rsid w:val="2AC55383"/>
    <w:rsid w:val="2D6410DF"/>
    <w:rsid w:val="31593E34"/>
    <w:rsid w:val="31F21B91"/>
    <w:rsid w:val="34926A02"/>
    <w:rsid w:val="34A9544E"/>
    <w:rsid w:val="35B2683C"/>
    <w:rsid w:val="382725B9"/>
    <w:rsid w:val="387E1BB5"/>
    <w:rsid w:val="39C018CD"/>
    <w:rsid w:val="3D4475A8"/>
    <w:rsid w:val="3E407244"/>
    <w:rsid w:val="3F910052"/>
    <w:rsid w:val="404D41DB"/>
    <w:rsid w:val="40EA1721"/>
    <w:rsid w:val="412A1199"/>
    <w:rsid w:val="41332E49"/>
    <w:rsid w:val="41B86CF4"/>
    <w:rsid w:val="43576EB6"/>
    <w:rsid w:val="43A237CE"/>
    <w:rsid w:val="43AE4585"/>
    <w:rsid w:val="459F0B31"/>
    <w:rsid w:val="46C93DED"/>
    <w:rsid w:val="472B6D15"/>
    <w:rsid w:val="47F3104A"/>
    <w:rsid w:val="4B08477A"/>
    <w:rsid w:val="4BCA7A8E"/>
    <w:rsid w:val="4E9E222C"/>
    <w:rsid w:val="4FE27F14"/>
    <w:rsid w:val="519D1229"/>
    <w:rsid w:val="523051F5"/>
    <w:rsid w:val="53907DD7"/>
    <w:rsid w:val="54A33F73"/>
    <w:rsid w:val="58B26CE1"/>
    <w:rsid w:val="59760F2C"/>
    <w:rsid w:val="59962688"/>
    <w:rsid w:val="59B73D03"/>
    <w:rsid w:val="5CB71C92"/>
    <w:rsid w:val="5D1B407A"/>
    <w:rsid w:val="5D9F642B"/>
    <w:rsid w:val="5E7434A9"/>
    <w:rsid w:val="60920433"/>
    <w:rsid w:val="60E3616D"/>
    <w:rsid w:val="62833A5D"/>
    <w:rsid w:val="629A5290"/>
    <w:rsid w:val="640318A4"/>
    <w:rsid w:val="64371CE3"/>
    <w:rsid w:val="650C21CE"/>
    <w:rsid w:val="665E1239"/>
    <w:rsid w:val="66EE64F9"/>
    <w:rsid w:val="68A4316F"/>
    <w:rsid w:val="68C13AD1"/>
    <w:rsid w:val="68D94415"/>
    <w:rsid w:val="69982A44"/>
    <w:rsid w:val="6A5247CA"/>
    <w:rsid w:val="6A5358DE"/>
    <w:rsid w:val="6D483F17"/>
    <w:rsid w:val="6D87406C"/>
    <w:rsid w:val="6DA95C85"/>
    <w:rsid w:val="7041168C"/>
    <w:rsid w:val="7208435A"/>
    <w:rsid w:val="72196E49"/>
    <w:rsid w:val="721F638D"/>
    <w:rsid w:val="747A458D"/>
    <w:rsid w:val="760A0510"/>
    <w:rsid w:val="76CD253D"/>
    <w:rsid w:val="76F74D46"/>
    <w:rsid w:val="77800361"/>
    <w:rsid w:val="7AD76B72"/>
    <w:rsid w:val="7BAF011A"/>
    <w:rsid w:val="7BF84B60"/>
    <w:rsid w:val="7C9F0093"/>
    <w:rsid w:val="7CF30AE4"/>
    <w:rsid w:val="7DB14419"/>
    <w:rsid w:val="7DC94DB3"/>
    <w:rsid w:val="7DCD7C7B"/>
    <w:rsid w:val="7F2E3C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6"/>
    <w:qFormat/>
    <w:uiPriority w:val="0"/>
    <w:pPr>
      <w:keepNext/>
      <w:keepLines/>
      <w:numPr>
        <w:ilvl w:val="0"/>
        <w:numId w:val="1"/>
      </w:numPr>
      <w:spacing w:before="340" w:after="330" w:line="400" w:lineRule="exact"/>
      <w:jc w:val="center"/>
      <w:outlineLvl w:val="0"/>
    </w:pPr>
    <w:rPr>
      <w:rFonts w:ascii="宋体" w:hAnsi="宋体"/>
      <w:b/>
      <w:bCs/>
      <w:spacing w:val="-20"/>
      <w:kern w:val="44"/>
      <w:sz w:val="32"/>
      <w:szCs w:val="32"/>
    </w:rPr>
  </w:style>
  <w:style w:type="paragraph" w:styleId="4">
    <w:name w:val="heading 2"/>
    <w:basedOn w:val="1"/>
    <w:next w:val="1"/>
    <w:link w:val="57"/>
    <w:qFormat/>
    <w:uiPriority w:val="0"/>
    <w:pPr>
      <w:keepNext/>
      <w:keepLines/>
      <w:numPr>
        <w:ilvl w:val="1"/>
        <w:numId w:val="1"/>
      </w:numPr>
      <w:spacing w:before="260" w:after="260" w:line="360" w:lineRule="auto"/>
      <w:jc w:val="left"/>
      <w:outlineLvl w:val="1"/>
    </w:pPr>
    <w:rPr>
      <w:rFonts w:ascii="宋体" w:hAnsi="宋体"/>
      <w:b/>
      <w:bCs/>
      <w:sz w:val="28"/>
      <w:szCs w:val="28"/>
    </w:rPr>
  </w:style>
  <w:style w:type="paragraph" w:styleId="5">
    <w:name w:val="heading 3"/>
    <w:basedOn w:val="1"/>
    <w:next w:val="1"/>
    <w:link w:val="58"/>
    <w:qFormat/>
    <w:uiPriority w:val="0"/>
    <w:pPr>
      <w:keepNext/>
      <w:keepLines/>
      <w:numPr>
        <w:ilvl w:val="2"/>
        <w:numId w:val="1"/>
      </w:numPr>
      <w:spacing w:line="360" w:lineRule="auto"/>
      <w:ind w:left="0" w:firstLine="0"/>
      <w:outlineLvl w:val="2"/>
    </w:pPr>
    <w:rPr>
      <w:rFonts w:ascii="宋体" w:hAnsi="宋体"/>
      <w:bCs/>
      <w:snapToGrid w:val="0"/>
      <w:color w:val="000000"/>
      <w:kern w:val="0"/>
      <w:sz w:val="24"/>
      <w:szCs w:val="21"/>
    </w:rPr>
  </w:style>
  <w:style w:type="paragraph" w:styleId="6">
    <w:name w:val="heading 4"/>
    <w:basedOn w:val="1"/>
    <w:next w:val="1"/>
    <w:link w:val="59"/>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60"/>
    <w:qFormat/>
    <w:uiPriority w:val="0"/>
    <w:pPr>
      <w:numPr>
        <w:ilvl w:val="4"/>
        <w:numId w:val="2"/>
      </w:numPr>
      <w:tabs>
        <w:tab w:val="left" w:pos="1134"/>
        <w:tab w:val="clear" w:pos="1560"/>
      </w:tabs>
      <w:spacing w:before="280" w:after="290" w:line="360" w:lineRule="auto"/>
      <w:outlineLvl w:val="4"/>
    </w:pPr>
    <w:rPr>
      <w:b/>
      <w:bCs/>
      <w:kern w:val="0"/>
      <w:sz w:val="28"/>
      <w:szCs w:val="28"/>
    </w:rPr>
  </w:style>
  <w:style w:type="paragraph" w:styleId="8">
    <w:name w:val="heading 6"/>
    <w:basedOn w:val="1"/>
    <w:next w:val="1"/>
    <w:link w:val="61"/>
    <w:qFormat/>
    <w:uiPriority w:val="0"/>
    <w:pPr>
      <w:keepNext/>
      <w:keepLines/>
      <w:numPr>
        <w:ilvl w:val="5"/>
        <w:numId w:val="2"/>
      </w:numPr>
      <w:spacing w:before="240" w:after="64" w:line="316" w:lineRule="auto"/>
      <w:outlineLvl w:val="5"/>
    </w:pPr>
    <w:rPr>
      <w:rFonts w:ascii="Arial" w:hAnsi="Arial"/>
      <w:b/>
      <w:bCs/>
      <w:kern w:val="0"/>
      <w:sz w:val="28"/>
      <w:szCs w:val="18"/>
    </w:rPr>
  </w:style>
  <w:style w:type="paragraph" w:styleId="9">
    <w:name w:val="heading 7"/>
    <w:basedOn w:val="1"/>
    <w:next w:val="1"/>
    <w:link w:val="62"/>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63"/>
    <w:qFormat/>
    <w:uiPriority w:val="0"/>
    <w:pPr>
      <w:keepNext/>
      <w:keepLines/>
      <w:spacing w:before="240" w:after="64" w:line="316" w:lineRule="auto"/>
      <w:outlineLvl w:val="7"/>
    </w:pPr>
    <w:rPr>
      <w:rFonts w:ascii="Arial" w:hAnsi="Arial" w:eastAsia="黑体"/>
      <w:kern w:val="0"/>
      <w:sz w:val="24"/>
      <w:szCs w:val="24"/>
    </w:rPr>
  </w:style>
  <w:style w:type="paragraph" w:styleId="11">
    <w:name w:val="heading 9"/>
    <w:basedOn w:val="1"/>
    <w:next w:val="1"/>
    <w:link w:val="64"/>
    <w:qFormat/>
    <w:uiPriority w:val="0"/>
    <w:pPr>
      <w:keepNext/>
      <w:keepLines/>
      <w:spacing w:before="240" w:after="64" w:line="316" w:lineRule="auto"/>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 w:hAnsi="......." w:eastAsia="......." w:cs="Times New Roman"/>
      <w:color w:val="000000"/>
      <w:sz w:val="24"/>
      <w:szCs w:val="24"/>
      <w:lang w:val="en-US" w:eastAsia="zh-CN" w:bidi="ar-SA"/>
    </w:rPr>
  </w:style>
  <w:style w:type="paragraph" w:styleId="12">
    <w:name w:val="toc 7"/>
    <w:basedOn w:val="1"/>
    <w:next w:val="1"/>
    <w:qFormat/>
    <w:uiPriority w:val="0"/>
    <w:pPr>
      <w:ind w:left="2520" w:leftChars="1200"/>
    </w:pPr>
    <w:rPr>
      <w:rFonts w:ascii="Times New Roman" w:hAnsi="Times New Roman"/>
      <w:szCs w:val="24"/>
    </w:rPr>
  </w:style>
  <w:style w:type="paragraph" w:styleId="13">
    <w:name w:val="Normal Indent"/>
    <w:basedOn w:val="1"/>
    <w:link w:val="191"/>
    <w:qFormat/>
    <w:uiPriority w:val="0"/>
    <w:pPr>
      <w:spacing w:after="180" w:line="309" w:lineRule="auto"/>
      <w:ind w:firstLine="420"/>
    </w:pPr>
    <w:rPr>
      <w:rFonts w:ascii="Times New Roman" w:hAnsi="Times New Roman"/>
      <w:szCs w:val="20"/>
    </w:rPr>
  </w:style>
  <w:style w:type="paragraph" w:styleId="14">
    <w:name w:val="caption"/>
    <w:basedOn w:val="1"/>
    <w:next w:val="1"/>
    <w:qFormat/>
    <w:uiPriority w:val="0"/>
    <w:pPr>
      <w:spacing w:before="152" w:after="160" w:line="360" w:lineRule="auto"/>
    </w:pPr>
    <w:rPr>
      <w:rFonts w:ascii="Arial" w:hAnsi="Arial" w:eastAsia="黑体" w:cs="Arial"/>
      <w:sz w:val="20"/>
      <w:szCs w:val="20"/>
    </w:rPr>
  </w:style>
  <w:style w:type="paragraph" w:styleId="15">
    <w:name w:val="Document Map"/>
    <w:basedOn w:val="1"/>
    <w:link w:val="69"/>
    <w:qFormat/>
    <w:uiPriority w:val="0"/>
    <w:pPr>
      <w:shd w:val="clear" w:color="auto" w:fill="000080"/>
    </w:pPr>
    <w:rPr>
      <w:rFonts w:ascii="Times New Roman" w:hAnsi="Times New Roman"/>
      <w:kern w:val="0"/>
      <w:sz w:val="18"/>
      <w:szCs w:val="18"/>
    </w:rPr>
  </w:style>
  <w:style w:type="paragraph" w:styleId="16">
    <w:name w:val="annotation text"/>
    <w:basedOn w:val="1"/>
    <w:link w:val="65"/>
    <w:unhideWhenUsed/>
    <w:qFormat/>
    <w:uiPriority w:val="0"/>
    <w:pPr>
      <w:jc w:val="left"/>
    </w:pPr>
  </w:style>
  <w:style w:type="paragraph" w:styleId="17">
    <w:name w:val="Body Text 3"/>
    <w:basedOn w:val="1"/>
    <w:link w:val="70"/>
    <w:qFormat/>
    <w:uiPriority w:val="0"/>
    <w:pPr>
      <w:jc w:val="center"/>
    </w:pPr>
    <w:rPr>
      <w:rFonts w:ascii="Times New Roman" w:hAnsi="Times New Roman" w:eastAsia="黑体"/>
      <w:sz w:val="44"/>
      <w:szCs w:val="24"/>
    </w:rPr>
  </w:style>
  <w:style w:type="paragraph" w:styleId="18">
    <w:name w:val="Body Text"/>
    <w:basedOn w:val="1"/>
    <w:link w:val="67"/>
    <w:unhideWhenUsed/>
    <w:qFormat/>
    <w:uiPriority w:val="99"/>
    <w:pPr>
      <w:spacing w:after="120"/>
    </w:pPr>
  </w:style>
  <w:style w:type="paragraph" w:styleId="19">
    <w:name w:val="Body Text Indent"/>
    <w:basedOn w:val="1"/>
    <w:link w:val="71"/>
    <w:qFormat/>
    <w:uiPriority w:val="0"/>
    <w:pPr>
      <w:spacing w:after="120"/>
      <w:ind w:left="420" w:leftChars="200"/>
    </w:pPr>
    <w:rPr>
      <w:rFonts w:ascii="Times New Roman" w:hAnsi="Times New Roman"/>
      <w:kern w:val="0"/>
      <w:sz w:val="20"/>
      <w:szCs w:val="24"/>
    </w:rPr>
  </w:style>
  <w:style w:type="paragraph" w:styleId="20">
    <w:name w:val="Block Text"/>
    <w:basedOn w:val="1"/>
    <w:qFormat/>
    <w:uiPriority w:val="0"/>
    <w:pPr>
      <w:ind w:left="-540" w:leftChars="-257" w:right="-334" w:rightChars="-159" w:firstLine="540" w:firstLineChars="180"/>
    </w:pPr>
    <w:rPr>
      <w:rFonts w:ascii="Times New Roman" w:hAnsi="Times New Roman"/>
      <w:sz w:val="30"/>
      <w:szCs w:val="24"/>
    </w:rPr>
  </w:style>
  <w:style w:type="paragraph" w:styleId="21">
    <w:name w:val="toc 5"/>
    <w:basedOn w:val="1"/>
    <w:next w:val="1"/>
    <w:qFormat/>
    <w:uiPriority w:val="0"/>
    <w:pPr>
      <w:ind w:left="1680" w:leftChars="800"/>
    </w:pPr>
    <w:rPr>
      <w:rFonts w:ascii="Times New Roman" w:hAnsi="Times New Roman"/>
      <w:sz w:val="18"/>
      <w:szCs w:val="18"/>
    </w:rPr>
  </w:style>
  <w:style w:type="paragraph" w:styleId="22">
    <w:name w:val="toc 3"/>
    <w:basedOn w:val="1"/>
    <w:next w:val="1"/>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3">
    <w:name w:val="Plain Text"/>
    <w:basedOn w:val="1"/>
    <w:link w:val="115"/>
    <w:qFormat/>
    <w:uiPriority w:val="0"/>
    <w:rPr>
      <w:rFonts w:ascii="宋体" w:hAnsi="Courier New"/>
      <w:kern w:val="0"/>
      <w:sz w:val="20"/>
      <w:szCs w:val="18"/>
    </w:rPr>
  </w:style>
  <w:style w:type="paragraph" w:styleId="24">
    <w:name w:val="toc 8"/>
    <w:basedOn w:val="1"/>
    <w:next w:val="1"/>
    <w:qFormat/>
    <w:uiPriority w:val="0"/>
    <w:pPr>
      <w:ind w:left="2940" w:leftChars="1400"/>
    </w:pPr>
    <w:rPr>
      <w:rFonts w:ascii="Times New Roman" w:hAnsi="Times New Roman"/>
      <w:szCs w:val="24"/>
    </w:rPr>
  </w:style>
  <w:style w:type="paragraph" w:styleId="25">
    <w:name w:val="Date"/>
    <w:basedOn w:val="1"/>
    <w:next w:val="1"/>
    <w:link w:val="73"/>
    <w:qFormat/>
    <w:uiPriority w:val="0"/>
    <w:pPr>
      <w:ind w:left="100" w:leftChars="2500"/>
    </w:pPr>
    <w:rPr>
      <w:rFonts w:ascii="Times New Roman" w:hAnsi="Times New Roman"/>
      <w:kern w:val="0"/>
      <w:sz w:val="24"/>
      <w:szCs w:val="24"/>
    </w:rPr>
  </w:style>
  <w:style w:type="paragraph" w:styleId="26">
    <w:name w:val="Body Text Indent 2"/>
    <w:basedOn w:val="1"/>
    <w:link w:val="74"/>
    <w:qFormat/>
    <w:uiPriority w:val="0"/>
    <w:pPr>
      <w:spacing w:after="120" w:line="480" w:lineRule="auto"/>
      <w:ind w:left="420" w:leftChars="200"/>
    </w:pPr>
  </w:style>
  <w:style w:type="paragraph" w:styleId="27">
    <w:name w:val="endnote text"/>
    <w:basedOn w:val="1"/>
    <w:link w:val="75"/>
    <w:unhideWhenUsed/>
    <w:qFormat/>
    <w:uiPriority w:val="99"/>
    <w:pPr>
      <w:snapToGrid w:val="0"/>
      <w:jc w:val="left"/>
    </w:pPr>
  </w:style>
  <w:style w:type="paragraph" w:styleId="28">
    <w:name w:val="Balloon Text"/>
    <w:basedOn w:val="1"/>
    <w:link w:val="76"/>
    <w:qFormat/>
    <w:uiPriority w:val="0"/>
    <w:rPr>
      <w:rFonts w:ascii="Times New Roman" w:hAnsi="Times New Roman"/>
      <w:kern w:val="0"/>
      <w:sz w:val="18"/>
      <w:szCs w:val="18"/>
    </w:rPr>
  </w:style>
  <w:style w:type="paragraph" w:styleId="29">
    <w:name w:val="footer"/>
    <w:basedOn w:val="1"/>
    <w:link w:val="55"/>
    <w:unhideWhenUsed/>
    <w:qFormat/>
    <w:uiPriority w:val="99"/>
    <w:pPr>
      <w:tabs>
        <w:tab w:val="center" w:pos="4153"/>
        <w:tab w:val="right" w:pos="8306"/>
      </w:tabs>
      <w:snapToGrid w:val="0"/>
      <w:jc w:val="left"/>
    </w:pPr>
    <w:rPr>
      <w:sz w:val="18"/>
      <w:szCs w:val="18"/>
    </w:rPr>
  </w:style>
  <w:style w:type="paragraph" w:styleId="30">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2">
    <w:name w:val="toc 4"/>
    <w:basedOn w:val="1"/>
    <w:next w:val="1"/>
    <w:qFormat/>
    <w:uiPriority w:val="0"/>
    <w:pPr>
      <w:ind w:left="1260" w:leftChars="600"/>
    </w:pPr>
    <w:rPr>
      <w:rFonts w:ascii="Times New Roman" w:hAnsi="Times New Roman"/>
      <w:sz w:val="18"/>
      <w:szCs w:val="18"/>
    </w:rPr>
  </w:style>
  <w:style w:type="paragraph" w:styleId="33">
    <w:name w:val="Subtitle"/>
    <w:basedOn w:val="1"/>
    <w:next w:val="1"/>
    <w:link w:val="77"/>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78"/>
    <w:semiHidden/>
    <w:qFormat/>
    <w:uiPriority w:val="0"/>
    <w:pPr>
      <w:snapToGrid w:val="0"/>
      <w:jc w:val="left"/>
    </w:pPr>
    <w:rPr>
      <w:sz w:val="18"/>
      <w:szCs w:val="18"/>
    </w:rPr>
  </w:style>
  <w:style w:type="paragraph" w:styleId="35">
    <w:name w:val="toc 6"/>
    <w:basedOn w:val="1"/>
    <w:next w:val="1"/>
    <w:qFormat/>
    <w:uiPriority w:val="0"/>
    <w:pPr>
      <w:ind w:left="2100" w:leftChars="1000"/>
    </w:pPr>
    <w:rPr>
      <w:rFonts w:ascii="Times New Roman" w:hAnsi="Times New Roman"/>
      <w:szCs w:val="24"/>
    </w:rPr>
  </w:style>
  <w:style w:type="paragraph" w:styleId="36">
    <w:name w:val="Body Text Indent 3"/>
    <w:basedOn w:val="1"/>
    <w:link w:val="79"/>
    <w:qFormat/>
    <w:uiPriority w:val="0"/>
    <w:pPr>
      <w:spacing w:line="360" w:lineRule="auto"/>
      <w:ind w:left="153" w:leftChars="85" w:firstLine="560" w:firstLineChars="200"/>
    </w:pPr>
    <w:rPr>
      <w:rFonts w:ascii="宋体" w:hAnsi="宋体"/>
      <w:kern w:val="0"/>
      <w:sz w:val="28"/>
      <w:szCs w:val="28"/>
    </w:rPr>
  </w:style>
  <w:style w:type="paragraph" w:styleId="37">
    <w:name w:val="toc 2"/>
    <w:basedOn w:val="1"/>
    <w:next w:val="1"/>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8">
    <w:name w:val="toc 9"/>
    <w:basedOn w:val="1"/>
    <w:next w:val="1"/>
    <w:qFormat/>
    <w:uiPriority w:val="0"/>
    <w:pPr>
      <w:ind w:left="3360" w:leftChars="1600"/>
    </w:pPr>
    <w:rPr>
      <w:rFonts w:ascii="Times New Roman" w:hAnsi="Times New Roman"/>
      <w:szCs w:val="24"/>
    </w:rPr>
  </w:style>
  <w:style w:type="paragraph" w:styleId="39">
    <w:name w:val="Body Text 2"/>
    <w:basedOn w:val="1"/>
    <w:link w:val="80"/>
    <w:qFormat/>
    <w:uiPriority w:val="0"/>
    <w:pPr>
      <w:spacing w:after="120" w:line="480" w:lineRule="auto"/>
    </w:pPr>
    <w:rPr>
      <w:rFonts w:ascii="Times New Roman" w:hAnsi="Times New Roman"/>
      <w:kern w:val="0"/>
      <w:sz w:val="18"/>
      <w:szCs w:val="18"/>
    </w:rPr>
  </w:style>
  <w:style w:type="paragraph" w:styleId="40">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41">
    <w:name w:val="Title"/>
    <w:basedOn w:val="1"/>
    <w:next w:val="1"/>
    <w:link w:val="81"/>
    <w:qFormat/>
    <w:uiPriority w:val="0"/>
    <w:pPr>
      <w:spacing w:before="240" w:after="240"/>
      <w:jc w:val="center"/>
      <w:outlineLvl w:val="1"/>
    </w:pPr>
    <w:rPr>
      <w:rFonts w:ascii="宋体" w:hAnsi="宋体"/>
      <w:b/>
      <w:sz w:val="30"/>
      <w:szCs w:val="30"/>
    </w:rPr>
  </w:style>
  <w:style w:type="paragraph" w:styleId="42">
    <w:name w:val="annotation subject"/>
    <w:basedOn w:val="16"/>
    <w:next w:val="16"/>
    <w:link w:val="66"/>
    <w:semiHidden/>
    <w:qFormat/>
    <w:uiPriority w:val="0"/>
    <w:rPr>
      <w:b/>
      <w:bCs/>
    </w:rPr>
  </w:style>
  <w:style w:type="paragraph" w:styleId="43">
    <w:name w:val="Body Text First Indent"/>
    <w:basedOn w:val="18"/>
    <w:link w:val="68"/>
    <w:qFormat/>
    <w:uiPriority w:val="0"/>
    <w:pPr>
      <w:ind w:firstLine="420" w:firstLineChars="100"/>
    </w:pPr>
    <w:rPr>
      <w:rFonts w:ascii="Times New Roman" w:hAnsi="Times New Roman"/>
      <w:kern w:val="0"/>
      <w:sz w:val="18"/>
      <w:szCs w:val="18"/>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unhideWhenUsed/>
    <w:qFormat/>
    <w:uiPriority w:val="99"/>
    <w:rPr>
      <w:vertAlign w:val="superscript"/>
    </w:rPr>
  </w:style>
  <w:style w:type="character" w:styleId="49">
    <w:name w:val="page number"/>
    <w:basedOn w:val="46"/>
    <w:qFormat/>
    <w:uiPriority w:val="0"/>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styleId="52">
    <w:name w:val="footnote reference"/>
    <w:semiHidden/>
    <w:qFormat/>
    <w:uiPriority w:val="0"/>
    <w:rPr>
      <w:vertAlign w:val="superscript"/>
    </w:rPr>
  </w:style>
  <w:style w:type="character" w:styleId="53">
    <w:name w:val="HTML Sample"/>
    <w:basedOn w:val="46"/>
    <w:semiHidden/>
    <w:unhideWhenUsed/>
    <w:qFormat/>
    <w:uiPriority w:val="99"/>
    <w:rPr>
      <w:rFonts w:ascii="Courier New" w:hAnsi="Courier New"/>
    </w:rPr>
  </w:style>
  <w:style w:type="character" w:customStyle="1" w:styleId="54">
    <w:name w:val="页眉 Char"/>
    <w:basedOn w:val="46"/>
    <w:link w:val="30"/>
    <w:qFormat/>
    <w:uiPriority w:val="99"/>
    <w:rPr>
      <w:sz w:val="18"/>
      <w:szCs w:val="18"/>
    </w:rPr>
  </w:style>
  <w:style w:type="character" w:customStyle="1" w:styleId="55">
    <w:name w:val="页脚 Char"/>
    <w:basedOn w:val="46"/>
    <w:link w:val="29"/>
    <w:qFormat/>
    <w:uiPriority w:val="99"/>
    <w:rPr>
      <w:sz w:val="18"/>
      <w:szCs w:val="18"/>
    </w:rPr>
  </w:style>
  <w:style w:type="character" w:customStyle="1" w:styleId="56">
    <w:name w:val="标题 1 Char"/>
    <w:basedOn w:val="46"/>
    <w:link w:val="3"/>
    <w:qFormat/>
    <w:uiPriority w:val="0"/>
    <w:rPr>
      <w:rFonts w:ascii="宋体" w:hAnsi="宋体" w:eastAsia="宋体" w:cs="Times New Roman"/>
      <w:b/>
      <w:bCs/>
      <w:spacing w:val="-20"/>
      <w:kern w:val="44"/>
      <w:sz w:val="32"/>
      <w:szCs w:val="32"/>
    </w:rPr>
  </w:style>
  <w:style w:type="character" w:customStyle="1" w:styleId="57">
    <w:name w:val="标题 2 Char"/>
    <w:basedOn w:val="46"/>
    <w:link w:val="4"/>
    <w:qFormat/>
    <w:uiPriority w:val="0"/>
    <w:rPr>
      <w:rFonts w:ascii="宋体" w:hAnsi="宋体" w:eastAsia="宋体" w:cs="Times New Roman"/>
      <w:b/>
      <w:bCs/>
      <w:sz w:val="28"/>
      <w:szCs w:val="28"/>
    </w:rPr>
  </w:style>
  <w:style w:type="character" w:customStyle="1" w:styleId="58">
    <w:name w:val="标题 3 Char"/>
    <w:basedOn w:val="46"/>
    <w:link w:val="5"/>
    <w:qFormat/>
    <w:uiPriority w:val="0"/>
    <w:rPr>
      <w:rFonts w:ascii="宋体" w:hAnsi="宋体" w:eastAsia="宋体" w:cs="Times New Roman"/>
      <w:bCs/>
      <w:snapToGrid w:val="0"/>
      <w:color w:val="000000"/>
      <w:kern w:val="0"/>
      <w:sz w:val="24"/>
      <w:szCs w:val="21"/>
    </w:rPr>
  </w:style>
  <w:style w:type="character" w:customStyle="1" w:styleId="59">
    <w:name w:val="标题 4 Char"/>
    <w:basedOn w:val="46"/>
    <w:link w:val="6"/>
    <w:qFormat/>
    <w:uiPriority w:val="9"/>
    <w:rPr>
      <w:rFonts w:ascii="Arial" w:hAnsi="Arial" w:eastAsia="宋体" w:cs="Times New Roman"/>
      <w:b/>
      <w:bCs/>
      <w:kern w:val="0"/>
      <w:sz w:val="28"/>
      <w:szCs w:val="28"/>
    </w:rPr>
  </w:style>
  <w:style w:type="character" w:customStyle="1" w:styleId="60">
    <w:name w:val="标题 5 Char"/>
    <w:basedOn w:val="46"/>
    <w:link w:val="7"/>
    <w:qFormat/>
    <w:uiPriority w:val="0"/>
    <w:rPr>
      <w:rFonts w:ascii="Calibri" w:hAnsi="Calibri" w:eastAsia="宋体" w:cs="Times New Roman"/>
      <w:b/>
      <w:bCs/>
      <w:kern w:val="0"/>
      <w:sz w:val="28"/>
      <w:szCs w:val="28"/>
    </w:rPr>
  </w:style>
  <w:style w:type="character" w:customStyle="1" w:styleId="61">
    <w:name w:val="标题 6 Char"/>
    <w:basedOn w:val="46"/>
    <w:link w:val="8"/>
    <w:qFormat/>
    <w:uiPriority w:val="0"/>
    <w:rPr>
      <w:rFonts w:ascii="Arial" w:hAnsi="Arial" w:eastAsia="宋体" w:cs="Times New Roman"/>
      <w:b/>
      <w:bCs/>
      <w:kern w:val="0"/>
      <w:sz w:val="28"/>
      <w:szCs w:val="18"/>
    </w:rPr>
  </w:style>
  <w:style w:type="character" w:customStyle="1" w:styleId="62">
    <w:name w:val="标题 7 Char"/>
    <w:basedOn w:val="46"/>
    <w:link w:val="9"/>
    <w:qFormat/>
    <w:uiPriority w:val="0"/>
    <w:rPr>
      <w:rFonts w:ascii="Arial Narrow" w:hAnsi="Arial Narrow" w:eastAsia="宋体" w:cs="Times New Roman"/>
      <w:b/>
      <w:bCs/>
      <w:iCs/>
      <w:kern w:val="0"/>
      <w:sz w:val="20"/>
      <w:szCs w:val="24"/>
      <w:lang w:eastAsia="en-US"/>
    </w:rPr>
  </w:style>
  <w:style w:type="character" w:customStyle="1" w:styleId="63">
    <w:name w:val="标题 8 Char"/>
    <w:basedOn w:val="46"/>
    <w:link w:val="10"/>
    <w:qFormat/>
    <w:uiPriority w:val="0"/>
    <w:rPr>
      <w:rFonts w:ascii="Arial" w:hAnsi="Arial" w:eastAsia="黑体" w:cs="Times New Roman"/>
      <w:kern w:val="0"/>
      <w:sz w:val="24"/>
      <w:szCs w:val="24"/>
    </w:rPr>
  </w:style>
  <w:style w:type="character" w:customStyle="1" w:styleId="64">
    <w:name w:val="标题 9 Char"/>
    <w:basedOn w:val="46"/>
    <w:link w:val="11"/>
    <w:qFormat/>
    <w:uiPriority w:val="0"/>
    <w:rPr>
      <w:rFonts w:ascii="Arial" w:hAnsi="Arial" w:eastAsia="黑体" w:cs="Times New Roman"/>
      <w:kern w:val="0"/>
      <w:sz w:val="20"/>
      <w:szCs w:val="21"/>
    </w:rPr>
  </w:style>
  <w:style w:type="character" w:customStyle="1" w:styleId="65">
    <w:name w:val="批注文字 Char"/>
    <w:basedOn w:val="46"/>
    <w:link w:val="16"/>
    <w:qFormat/>
    <w:uiPriority w:val="0"/>
    <w:rPr>
      <w:rFonts w:ascii="Calibri" w:hAnsi="Calibri" w:eastAsia="宋体" w:cs="Times New Roman"/>
    </w:rPr>
  </w:style>
  <w:style w:type="character" w:customStyle="1" w:styleId="66">
    <w:name w:val="批注主题 Char"/>
    <w:basedOn w:val="65"/>
    <w:link w:val="42"/>
    <w:semiHidden/>
    <w:qFormat/>
    <w:uiPriority w:val="0"/>
    <w:rPr>
      <w:rFonts w:ascii="Calibri" w:hAnsi="Calibri" w:eastAsia="宋体" w:cs="Times New Roman"/>
      <w:b/>
      <w:bCs/>
    </w:rPr>
  </w:style>
  <w:style w:type="character" w:customStyle="1" w:styleId="67">
    <w:name w:val="正文文本 Char"/>
    <w:basedOn w:val="46"/>
    <w:link w:val="18"/>
    <w:qFormat/>
    <w:uiPriority w:val="99"/>
    <w:rPr>
      <w:rFonts w:ascii="Calibri" w:hAnsi="Calibri" w:eastAsia="宋体" w:cs="Times New Roman"/>
    </w:rPr>
  </w:style>
  <w:style w:type="character" w:customStyle="1" w:styleId="68">
    <w:name w:val="正文首行缩进 Char"/>
    <w:basedOn w:val="67"/>
    <w:link w:val="43"/>
    <w:qFormat/>
    <w:uiPriority w:val="0"/>
    <w:rPr>
      <w:rFonts w:ascii="Times New Roman" w:hAnsi="Times New Roman" w:eastAsia="宋体" w:cs="Times New Roman"/>
      <w:kern w:val="0"/>
      <w:sz w:val="18"/>
      <w:szCs w:val="18"/>
    </w:rPr>
  </w:style>
  <w:style w:type="character" w:customStyle="1" w:styleId="69">
    <w:name w:val="文档结构图 Char"/>
    <w:basedOn w:val="46"/>
    <w:link w:val="15"/>
    <w:qFormat/>
    <w:uiPriority w:val="0"/>
    <w:rPr>
      <w:rFonts w:ascii="Times New Roman" w:hAnsi="Times New Roman" w:eastAsia="宋体" w:cs="Times New Roman"/>
      <w:kern w:val="0"/>
      <w:sz w:val="18"/>
      <w:szCs w:val="18"/>
      <w:shd w:val="clear" w:color="auto" w:fill="000080"/>
    </w:rPr>
  </w:style>
  <w:style w:type="character" w:customStyle="1" w:styleId="70">
    <w:name w:val="正文文本 3 Char"/>
    <w:basedOn w:val="46"/>
    <w:link w:val="17"/>
    <w:qFormat/>
    <w:uiPriority w:val="0"/>
    <w:rPr>
      <w:rFonts w:ascii="Times New Roman" w:hAnsi="Times New Roman" w:eastAsia="黑体" w:cs="Times New Roman"/>
      <w:sz w:val="44"/>
      <w:szCs w:val="24"/>
    </w:rPr>
  </w:style>
  <w:style w:type="character" w:customStyle="1" w:styleId="71">
    <w:name w:val="正文文本缩进 Char"/>
    <w:basedOn w:val="46"/>
    <w:link w:val="19"/>
    <w:qFormat/>
    <w:uiPriority w:val="0"/>
    <w:rPr>
      <w:rFonts w:ascii="Times New Roman" w:hAnsi="Times New Roman" w:eastAsia="宋体" w:cs="Times New Roman"/>
      <w:kern w:val="0"/>
      <w:sz w:val="20"/>
      <w:szCs w:val="24"/>
    </w:rPr>
  </w:style>
  <w:style w:type="character" w:customStyle="1" w:styleId="72">
    <w:name w:val="纯文本 Char"/>
    <w:basedOn w:val="46"/>
    <w:qFormat/>
    <w:uiPriority w:val="0"/>
    <w:rPr>
      <w:rFonts w:ascii="宋体" w:hAnsi="Courier New" w:eastAsia="宋体" w:cs="Courier New"/>
      <w:szCs w:val="21"/>
    </w:rPr>
  </w:style>
  <w:style w:type="character" w:customStyle="1" w:styleId="73">
    <w:name w:val="日期 Char"/>
    <w:basedOn w:val="46"/>
    <w:link w:val="25"/>
    <w:qFormat/>
    <w:uiPriority w:val="0"/>
    <w:rPr>
      <w:rFonts w:ascii="Times New Roman" w:hAnsi="Times New Roman" w:eastAsia="宋体" w:cs="Times New Roman"/>
      <w:kern w:val="0"/>
      <w:sz w:val="24"/>
      <w:szCs w:val="24"/>
    </w:rPr>
  </w:style>
  <w:style w:type="character" w:customStyle="1" w:styleId="74">
    <w:name w:val="正文文本缩进 2 Char"/>
    <w:basedOn w:val="46"/>
    <w:link w:val="26"/>
    <w:qFormat/>
    <w:uiPriority w:val="0"/>
    <w:rPr>
      <w:rFonts w:ascii="Calibri" w:hAnsi="Calibri" w:eastAsia="宋体" w:cs="Times New Roman"/>
    </w:rPr>
  </w:style>
  <w:style w:type="character" w:customStyle="1" w:styleId="75">
    <w:name w:val="尾注文本 Char"/>
    <w:basedOn w:val="46"/>
    <w:link w:val="27"/>
    <w:qFormat/>
    <w:uiPriority w:val="99"/>
    <w:rPr>
      <w:rFonts w:ascii="Calibri" w:hAnsi="Calibri" w:eastAsia="宋体" w:cs="Times New Roman"/>
    </w:rPr>
  </w:style>
  <w:style w:type="character" w:customStyle="1" w:styleId="76">
    <w:name w:val="批注框文本 Char"/>
    <w:basedOn w:val="46"/>
    <w:link w:val="28"/>
    <w:qFormat/>
    <w:uiPriority w:val="0"/>
    <w:rPr>
      <w:rFonts w:ascii="Times New Roman" w:hAnsi="Times New Roman" w:eastAsia="宋体" w:cs="Times New Roman"/>
      <w:kern w:val="0"/>
      <w:sz w:val="18"/>
      <w:szCs w:val="18"/>
    </w:rPr>
  </w:style>
  <w:style w:type="character" w:customStyle="1" w:styleId="77">
    <w:name w:val="副标题 Char"/>
    <w:basedOn w:val="46"/>
    <w:link w:val="33"/>
    <w:qFormat/>
    <w:uiPriority w:val="0"/>
    <w:rPr>
      <w:rFonts w:ascii="Cambria" w:hAnsi="Cambria" w:eastAsia="宋体" w:cs="Times New Roman"/>
      <w:b/>
      <w:bCs/>
      <w:kern w:val="28"/>
      <w:sz w:val="32"/>
      <w:szCs w:val="32"/>
    </w:rPr>
  </w:style>
  <w:style w:type="character" w:customStyle="1" w:styleId="78">
    <w:name w:val="脚注文本 Char"/>
    <w:basedOn w:val="46"/>
    <w:link w:val="34"/>
    <w:semiHidden/>
    <w:qFormat/>
    <w:uiPriority w:val="0"/>
    <w:rPr>
      <w:rFonts w:ascii="Calibri" w:hAnsi="Calibri" w:eastAsia="宋体" w:cs="Times New Roman"/>
      <w:sz w:val="18"/>
      <w:szCs w:val="18"/>
    </w:rPr>
  </w:style>
  <w:style w:type="character" w:customStyle="1" w:styleId="79">
    <w:name w:val="正文文本缩进 3 Char"/>
    <w:basedOn w:val="46"/>
    <w:link w:val="36"/>
    <w:qFormat/>
    <w:uiPriority w:val="0"/>
    <w:rPr>
      <w:rFonts w:ascii="宋体" w:hAnsi="宋体" w:eastAsia="宋体" w:cs="Times New Roman"/>
      <w:kern w:val="0"/>
      <w:sz w:val="28"/>
      <w:szCs w:val="28"/>
    </w:rPr>
  </w:style>
  <w:style w:type="character" w:customStyle="1" w:styleId="80">
    <w:name w:val="正文文本 2 Char"/>
    <w:basedOn w:val="46"/>
    <w:link w:val="39"/>
    <w:qFormat/>
    <w:uiPriority w:val="0"/>
    <w:rPr>
      <w:rFonts w:ascii="Times New Roman" w:hAnsi="Times New Roman" w:eastAsia="宋体" w:cs="Times New Roman"/>
      <w:kern w:val="0"/>
      <w:sz w:val="18"/>
      <w:szCs w:val="18"/>
    </w:rPr>
  </w:style>
  <w:style w:type="character" w:customStyle="1" w:styleId="81">
    <w:name w:val="标题 Char"/>
    <w:basedOn w:val="46"/>
    <w:link w:val="41"/>
    <w:qFormat/>
    <w:uiPriority w:val="0"/>
    <w:rPr>
      <w:rFonts w:ascii="宋体" w:hAnsi="宋体" w:eastAsia="宋体" w:cs="Times New Roman"/>
      <w:b/>
      <w:sz w:val="30"/>
      <w:szCs w:val="30"/>
    </w:rPr>
  </w:style>
  <w:style w:type="character" w:customStyle="1" w:styleId="82">
    <w:name w:val="Char Char8"/>
    <w:qFormat/>
    <w:uiPriority w:val="0"/>
    <w:rPr>
      <w:rFonts w:hint="eastAsia" w:ascii="宋体" w:hAnsi="宋体" w:eastAsia="宋体"/>
      <w:kern w:val="2"/>
      <w:sz w:val="28"/>
      <w:szCs w:val="28"/>
    </w:rPr>
  </w:style>
  <w:style w:type="character" w:customStyle="1" w:styleId="83">
    <w:name w:val="Char Char5"/>
    <w:qFormat/>
    <w:uiPriority w:val="0"/>
    <w:rPr>
      <w:kern w:val="2"/>
      <w:sz w:val="21"/>
      <w:szCs w:val="24"/>
    </w:rPr>
  </w:style>
  <w:style w:type="character" w:customStyle="1" w:styleId="84">
    <w:name w:val="列出段落 Char Char"/>
    <w:qFormat/>
    <w:uiPriority w:val="0"/>
    <w:rPr>
      <w:rFonts w:hint="default" w:ascii="Calibri" w:hAnsi="Calibri" w:cs="Calibri"/>
      <w:kern w:val="2"/>
      <w:sz w:val="21"/>
      <w:szCs w:val="22"/>
    </w:rPr>
  </w:style>
  <w:style w:type="character" w:customStyle="1" w:styleId="85">
    <w:name w:val="正文文本 Char Char"/>
    <w:qFormat/>
    <w:uiPriority w:val="0"/>
    <w:rPr>
      <w:kern w:val="2"/>
      <w:sz w:val="21"/>
      <w:szCs w:val="24"/>
    </w:rPr>
  </w:style>
  <w:style w:type="character" w:customStyle="1" w:styleId="86">
    <w:name w:val="Char Char11"/>
    <w:qFormat/>
    <w:uiPriority w:val="0"/>
    <w:rPr>
      <w:rFonts w:hint="default" w:ascii="Arial Narrow" w:hAnsi="Arial Narrow"/>
      <w:b/>
      <w:bCs/>
      <w:iCs/>
      <w:szCs w:val="24"/>
      <w:lang w:eastAsia="en-US"/>
    </w:rPr>
  </w:style>
  <w:style w:type="character" w:customStyle="1" w:styleId="87">
    <w:name w:val="标书（正文） Char Char"/>
    <w:qFormat/>
    <w:uiPriority w:val="0"/>
    <w:rPr>
      <w:rFonts w:hint="eastAsia" w:ascii="宋体" w:hAnsi="宋体" w:eastAsia="宋体"/>
      <w:b/>
      <w:kern w:val="10"/>
      <w:sz w:val="21"/>
      <w:szCs w:val="21"/>
      <w:lang w:val="en-US" w:eastAsia="zh-CN" w:bidi="ar-SA"/>
    </w:rPr>
  </w:style>
  <w:style w:type="character" w:customStyle="1" w:styleId="88">
    <w:name w:val="line2"/>
    <w:basedOn w:val="46"/>
    <w:qFormat/>
    <w:uiPriority w:val="0"/>
  </w:style>
  <w:style w:type="character" w:customStyle="1" w:styleId="89">
    <w:name w:val="Char Char10"/>
    <w:qFormat/>
    <w:uiPriority w:val="0"/>
    <w:rPr>
      <w:kern w:val="2"/>
      <w:sz w:val="24"/>
      <w:szCs w:val="24"/>
    </w:rPr>
  </w:style>
  <w:style w:type="character" w:customStyle="1" w:styleId="90">
    <w:name w:val="MM Topic 4 Char Char"/>
    <w:qFormat/>
    <w:uiPriority w:val="0"/>
    <w:rPr>
      <w:rFonts w:hint="default" w:ascii="Arial" w:hAnsi="Arial" w:cs="Arial"/>
      <w:b/>
      <w:bCs/>
      <w:kern w:val="2"/>
      <w:sz w:val="28"/>
      <w:szCs w:val="28"/>
    </w:rPr>
  </w:style>
  <w:style w:type="character" w:customStyle="1" w:styleId="91">
    <w:name w:val="标书正文:  0.74 厘米 Char Char"/>
    <w:qFormat/>
    <w:uiPriority w:val="0"/>
    <w:rPr>
      <w:kern w:val="2"/>
      <w:sz w:val="24"/>
    </w:rPr>
  </w:style>
  <w:style w:type="character" w:customStyle="1" w:styleId="92">
    <w:name w:val="访问过的超链接1"/>
    <w:unhideWhenUsed/>
    <w:qFormat/>
    <w:uiPriority w:val="99"/>
    <w:rPr>
      <w:color w:val="800080"/>
      <w:u w:val="single"/>
    </w:rPr>
  </w:style>
  <w:style w:type="character" w:customStyle="1" w:styleId="93">
    <w:name w:val="标题 3 Char Char Char"/>
    <w:qFormat/>
    <w:uiPriority w:val="0"/>
    <w:rPr>
      <w:rFonts w:eastAsia="宋体"/>
      <w:b/>
      <w:kern w:val="2"/>
      <w:sz w:val="32"/>
      <w:lang w:val="en-US" w:eastAsia="zh-CN" w:bidi="ar-SA"/>
    </w:rPr>
  </w:style>
  <w:style w:type="character" w:customStyle="1" w:styleId="94">
    <w:name w:val="（符号）邀请函中一、"/>
    <w:qFormat/>
    <w:uiPriority w:val="0"/>
    <w:rPr>
      <w:rFonts w:ascii="黑体" w:hAnsi="黑体" w:eastAsia="黑体"/>
      <w:b/>
      <w:bCs/>
      <w:sz w:val="24"/>
    </w:rPr>
  </w:style>
  <w:style w:type="character" w:customStyle="1" w:styleId="95">
    <w:name w:val="tt Char"/>
    <w:qFormat/>
    <w:uiPriority w:val="0"/>
    <w:rPr>
      <w:rFonts w:hint="default" w:ascii="Arial" w:hAnsi="Arial" w:eastAsia="黑体" w:cs="Arial"/>
      <w:kern w:val="2"/>
      <w:sz w:val="21"/>
      <w:szCs w:val="21"/>
    </w:rPr>
  </w:style>
  <w:style w:type="character" w:customStyle="1" w:styleId="96">
    <w:name w:val="Char Char9"/>
    <w:qFormat/>
    <w:uiPriority w:val="0"/>
    <w:rPr>
      <w:kern w:val="2"/>
      <w:sz w:val="18"/>
      <w:szCs w:val="18"/>
    </w:rPr>
  </w:style>
  <w:style w:type="character" w:customStyle="1" w:styleId="97">
    <w:name w:val="MM Topic 3 Char Char"/>
    <w:qFormat/>
    <w:uiPriority w:val="0"/>
    <w:rPr>
      <w:rFonts w:hint="eastAsia" w:ascii="宋体" w:hAnsi="宋体" w:eastAsia="宋体"/>
      <w:b/>
      <w:bCs/>
      <w:color w:val="000000"/>
      <w:kern w:val="2"/>
      <w:sz w:val="28"/>
      <w:szCs w:val="28"/>
    </w:rPr>
  </w:style>
  <w:style w:type="character" w:customStyle="1" w:styleId="98">
    <w:name w:val="样式 小四2 Char Char"/>
    <w:qFormat/>
    <w:uiPriority w:val="0"/>
    <w:rPr>
      <w:rFonts w:hint="eastAsia" w:ascii="宋体" w:hAnsi="宋体" w:eastAsia="宋体"/>
      <w:kern w:val="2"/>
      <w:sz w:val="24"/>
      <w:szCs w:val="24"/>
    </w:rPr>
  </w:style>
  <w:style w:type="character" w:customStyle="1" w:styleId="99">
    <w:name w:val="Char Char7"/>
    <w:qFormat/>
    <w:uiPriority w:val="0"/>
    <w:rPr>
      <w:kern w:val="2"/>
      <w:sz w:val="18"/>
      <w:szCs w:val="18"/>
    </w:rPr>
  </w:style>
  <w:style w:type="character" w:customStyle="1" w:styleId="100">
    <w:name w:val="Char Char3"/>
    <w:qFormat/>
    <w:uiPriority w:val="0"/>
    <w:rPr>
      <w:b/>
      <w:bCs/>
      <w:kern w:val="2"/>
      <w:sz w:val="18"/>
      <w:szCs w:val="18"/>
    </w:rPr>
  </w:style>
  <w:style w:type="character" w:customStyle="1" w:styleId="101">
    <w:name w:val="apple-style-span"/>
    <w:basedOn w:val="46"/>
    <w:qFormat/>
    <w:uiPriority w:val="0"/>
  </w:style>
  <w:style w:type="character" w:customStyle="1" w:styleId="102">
    <w:name w:val="Char Char4"/>
    <w:qFormat/>
    <w:uiPriority w:val="0"/>
    <w:rPr>
      <w:kern w:val="2"/>
      <w:sz w:val="18"/>
      <w:szCs w:val="18"/>
    </w:rPr>
  </w:style>
  <w:style w:type="character" w:customStyle="1" w:styleId="103">
    <w:name w:val="副标题 Char1"/>
    <w:qFormat/>
    <w:uiPriority w:val="11"/>
    <w:rPr>
      <w:rFonts w:ascii="Cambria" w:hAnsi="Cambria" w:cs="Times New Roman"/>
      <w:b/>
      <w:bCs/>
      <w:kern w:val="28"/>
      <w:sz w:val="32"/>
      <w:szCs w:val="32"/>
    </w:rPr>
  </w:style>
  <w:style w:type="character" w:customStyle="1" w:styleId="104">
    <w:name w:val="small"/>
    <w:basedOn w:val="46"/>
    <w:qFormat/>
    <w:uiPriority w:val="0"/>
  </w:style>
  <w:style w:type="character" w:customStyle="1" w:styleId="105">
    <w:name w:val="Legal Level 1.1.1. Char"/>
    <w:qFormat/>
    <w:uiPriority w:val="0"/>
    <w:rPr>
      <w:rFonts w:hint="default" w:ascii="Arial" w:hAnsi="Arial" w:eastAsia="黑体" w:cs="Arial"/>
      <w:kern w:val="2"/>
      <w:sz w:val="24"/>
      <w:szCs w:val="24"/>
    </w:rPr>
  </w:style>
  <w:style w:type="character" w:customStyle="1" w:styleId="106">
    <w:name w:val="文章正文 Char Char"/>
    <w:qFormat/>
    <w:uiPriority w:val="0"/>
    <w:rPr>
      <w:rFonts w:hint="eastAsia" w:ascii="宋体" w:hAnsi="宋体" w:eastAsia="宋体"/>
      <w:kern w:val="2"/>
      <w:sz w:val="24"/>
      <w:szCs w:val="24"/>
      <w:lang w:val="en-US" w:eastAsia="zh-CN" w:bidi="ar-SA"/>
    </w:rPr>
  </w:style>
  <w:style w:type="character" w:customStyle="1" w:styleId="107">
    <w:name w:val="正文文本 Char1"/>
    <w:qFormat/>
    <w:uiPriority w:val="0"/>
    <w:rPr>
      <w:rFonts w:ascii="Times New Roman" w:hAnsi="Times New Roman" w:eastAsia="宋体" w:cs="Times New Roman"/>
      <w:kern w:val="0"/>
      <w:sz w:val="18"/>
      <w:szCs w:val="18"/>
    </w:rPr>
  </w:style>
  <w:style w:type="character" w:customStyle="1" w:styleId="108">
    <w:name w:val="正文文本 Char2"/>
    <w:basedOn w:val="46"/>
    <w:qFormat/>
    <w:uiPriority w:val="0"/>
  </w:style>
  <w:style w:type="character" w:customStyle="1" w:styleId="109">
    <w:name w:val="CD正文 Char Char"/>
    <w:qFormat/>
    <w:uiPriority w:val="0"/>
    <w:rPr>
      <w:rFonts w:hint="eastAsia" w:ascii="宋体" w:hAnsi="宋体" w:eastAsia="宋体"/>
      <w:kern w:val="2"/>
      <w:sz w:val="30"/>
      <w:szCs w:val="28"/>
      <w:lang w:val="en-US" w:eastAsia="zh-CN" w:bidi="ar-SA"/>
    </w:rPr>
  </w:style>
  <w:style w:type="character" w:customStyle="1" w:styleId="110">
    <w:name w:val="Char Char2"/>
    <w:qFormat/>
    <w:uiPriority w:val="0"/>
    <w:rPr>
      <w:kern w:val="2"/>
      <w:sz w:val="18"/>
      <w:szCs w:val="18"/>
    </w:rPr>
  </w:style>
  <w:style w:type="character" w:customStyle="1" w:styleId="111">
    <w:name w:val="标题 1 Char1"/>
    <w:qFormat/>
    <w:uiPriority w:val="0"/>
    <w:rPr>
      <w:b/>
      <w:bCs/>
      <w:kern w:val="44"/>
      <w:sz w:val="44"/>
      <w:szCs w:val="44"/>
    </w:rPr>
  </w:style>
  <w:style w:type="character" w:customStyle="1" w:styleId="112">
    <w:name w:val="表正文 Char1"/>
    <w:qFormat/>
    <w:uiPriority w:val="0"/>
    <w:rPr>
      <w:rFonts w:hint="eastAsia" w:ascii="宋体" w:hAnsi="宋体" w:eastAsia="宋体"/>
      <w:kern w:val="2"/>
      <w:sz w:val="21"/>
      <w:lang w:val="en-US" w:eastAsia="zh-CN" w:bidi="ar-SA"/>
    </w:rPr>
  </w:style>
  <w:style w:type="character" w:customStyle="1" w:styleId="113">
    <w:name w:val="彩色列表 - 强调文字颜色 1 Char"/>
    <w:link w:val="114"/>
    <w:qFormat/>
    <w:uiPriority w:val="0"/>
    <w:rPr>
      <w:rFonts w:ascii="Calibri" w:hAnsi="Calibri"/>
    </w:rPr>
  </w:style>
  <w:style w:type="paragraph" w:customStyle="1" w:styleId="114">
    <w:name w:val="彩色列表 - 强调文字颜色 11"/>
    <w:basedOn w:val="1"/>
    <w:link w:val="113"/>
    <w:qFormat/>
    <w:uiPriority w:val="0"/>
    <w:pPr>
      <w:ind w:firstLine="420" w:firstLineChars="200"/>
    </w:pPr>
    <w:rPr>
      <w:rFonts w:eastAsiaTheme="minorEastAsia" w:cstheme="minorBidi"/>
    </w:rPr>
  </w:style>
  <w:style w:type="character" w:customStyle="1" w:styleId="115">
    <w:name w:val="纯文本 Char1"/>
    <w:link w:val="23"/>
    <w:qFormat/>
    <w:uiPriority w:val="0"/>
    <w:rPr>
      <w:rFonts w:ascii="宋体" w:hAnsi="Courier New" w:eastAsia="宋体" w:cs="Times New Roman"/>
      <w:kern w:val="0"/>
      <w:sz w:val="20"/>
      <w:szCs w:val="18"/>
    </w:rPr>
  </w:style>
  <w:style w:type="character" w:customStyle="1" w:styleId="116">
    <w:name w:val="Char Char Char"/>
    <w:qFormat/>
    <w:uiPriority w:val="0"/>
    <w:rPr>
      <w:rFonts w:hint="eastAsia" w:ascii="宋体" w:hAnsi="宋体" w:eastAsia="宋体"/>
      <w:kern w:val="2"/>
      <w:sz w:val="18"/>
      <w:szCs w:val="18"/>
      <w:lang w:val="en-US" w:eastAsia="zh-CN" w:bidi="ar-SA"/>
    </w:rPr>
  </w:style>
  <w:style w:type="character" w:customStyle="1" w:styleId="117">
    <w:name w:val="Char Char6"/>
    <w:qFormat/>
    <w:uiPriority w:val="0"/>
    <w:rPr>
      <w:kern w:val="2"/>
      <w:sz w:val="21"/>
      <w:szCs w:val="24"/>
    </w:rPr>
  </w:style>
  <w:style w:type="paragraph" w:customStyle="1" w:styleId="118">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119">
    <w:name w:val="MM Title"/>
    <w:basedOn w:val="1"/>
    <w:qFormat/>
    <w:uiPriority w:val="0"/>
    <w:pPr>
      <w:spacing w:before="240" w:after="60"/>
      <w:jc w:val="center"/>
      <w:outlineLvl w:val="0"/>
    </w:pPr>
    <w:rPr>
      <w:rFonts w:ascii="Arial" w:hAnsi="Arial" w:cs="Arial"/>
      <w:b/>
      <w:bCs/>
      <w:sz w:val="32"/>
      <w:szCs w:val="32"/>
    </w:rPr>
  </w:style>
  <w:style w:type="paragraph" w:customStyle="1" w:styleId="120">
    <w:name w:val="项目符号：一级"/>
    <w:basedOn w:val="121"/>
    <w:next w:val="121"/>
    <w:qFormat/>
    <w:uiPriority w:val="0"/>
  </w:style>
  <w:style w:type="paragraph" w:customStyle="1" w:styleId="121">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122">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23">
    <w:name w:val="gb_master正文"/>
    <w:basedOn w:val="1"/>
    <w:qFormat/>
    <w:uiPriority w:val="0"/>
    <w:pPr>
      <w:ind w:firstLine="200" w:firstLineChars="200"/>
    </w:pPr>
    <w:rPr>
      <w:rFonts w:ascii="Times New Roman" w:hAnsi="Times New Roman"/>
      <w:szCs w:val="24"/>
    </w:rPr>
  </w:style>
  <w:style w:type="paragraph" w:customStyle="1" w:styleId="12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5">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126">
    <w:name w:val="Char2 Char Char Char"/>
    <w:basedOn w:val="1"/>
    <w:qFormat/>
    <w:uiPriority w:val="0"/>
    <w:rPr>
      <w:rFonts w:ascii="仿宋_GB2312" w:hAnsi="Times New Roman"/>
      <w:b/>
      <w:sz w:val="30"/>
      <w:szCs w:val="32"/>
    </w:rPr>
  </w:style>
  <w:style w:type="paragraph" w:customStyle="1" w:styleId="127">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textAlignment w:val="baseline"/>
      <w:outlineLvl w:val="1"/>
    </w:pPr>
    <w:rPr>
      <w:rFonts w:ascii="宋体" w:hAnsi="宋体" w:cs="宋体"/>
      <w:color w:val="000000"/>
      <w:kern w:val="0"/>
      <w:szCs w:val="20"/>
    </w:rPr>
  </w:style>
  <w:style w:type="paragraph" w:customStyle="1" w:styleId="12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29">
    <w:name w:val="默认段落字体 Para Char"/>
    <w:basedOn w:val="1"/>
    <w:qFormat/>
    <w:uiPriority w:val="0"/>
    <w:rPr>
      <w:rFonts w:ascii="Tahoma" w:hAnsi="Tahoma"/>
      <w:sz w:val="24"/>
      <w:szCs w:val="20"/>
    </w:rPr>
  </w:style>
  <w:style w:type="paragraph" w:customStyle="1" w:styleId="130">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1">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132">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133">
    <w:name w:val="表格文字"/>
    <w:basedOn w:val="1"/>
    <w:qFormat/>
    <w:uiPriority w:val="0"/>
    <w:pPr>
      <w:spacing w:beforeLines="25"/>
    </w:pPr>
    <w:rPr>
      <w:rFonts w:ascii="Times New (W1)" w:hAnsi="Times New (W1)"/>
      <w:spacing w:val="10"/>
      <w:szCs w:val="24"/>
    </w:rPr>
  </w:style>
  <w:style w:type="paragraph" w:customStyle="1" w:styleId="134">
    <w:name w:val="CD正文"/>
    <w:basedOn w:val="135"/>
    <w:qFormat/>
    <w:uiPriority w:val="0"/>
  </w:style>
  <w:style w:type="paragraph" w:customStyle="1" w:styleId="135">
    <w:name w:val="文章正文"/>
    <w:basedOn w:val="1"/>
    <w:qFormat/>
    <w:uiPriority w:val="0"/>
    <w:pPr>
      <w:spacing w:line="360" w:lineRule="auto"/>
      <w:ind w:firstLine="420"/>
    </w:pPr>
    <w:rPr>
      <w:rFonts w:ascii="Times New Roman" w:hAnsi="Times New Roman"/>
      <w:sz w:val="24"/>
      <w:szCs w:val="24"/>
    </w:rPr>
  </w:style>
  <w:style w:type="paragraph" w:customStyle="1" w:styleId="136">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37">
    <w:name w:val="默认段落字体 Para Char Char"/>
    <w:basedOn w:val="1"/>
    <w:qFormat/>
    <w:uiPriority w:val="0"/>
    <w:rPr>
      <w:rFonts w:ascii="Times New Roman" w:hAnsi="Times New Roman"/>
      <w:szCs w:val="24"/>
    </w:rPr>
  </w:style>
  <w:style w:type="paragraph" w:customStyle="1" w:styleId="138">
    <w:name w:val="MM Topic 6"/>
    <w:basedOn w:val="8"/>
    <w:qFormat/>
    <w:uiPriority w:val="0"/>
    <w:pPr>
      <w:tabs>
        <w:tab w:val="left" w:pos="3260"/>
        <w:tab w:val="clear" w:pos="1702"/>
      </w:tabs>
      <w:ind w:left="0" w:firstLine="0"/>
    </w:pPr>
    <w:rPr>
      <w:rFonts w:eastAsia="黑体"/>
    </w:rPr>
  </w:style>
  <w:style w:type="paragraph" w:customStyle="1" w:styleId="139">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4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41">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42">
    <w:name w:val="标题 5 + 首行缩进:  2 字符"/>
    <w:basedOn w:val="7"/>
    <w:next w:val="19"/>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43">
    <w:name w:val="Char2 Char Char Char Char Char Char"/>
    <w:basedOn w:val="1"/>
    <w:qFormat/>
    <w:uiPriority w:val="0"/>
    <w:rPr>
      <w:rFonts w:ascii="仿宋_GB2312" w:hAnsi="Times New Roman"/>
      <w:b/>
      <w:sz w:val="30"/>
      <w:szCs w:val="32"/>
    </w:rPr>
  </w:style>
  <w:style w:type="paragraph" w:customStyle="1" w:styleId="144">
    <w:name w:val="MM Topic 2"/>
    <w:basedOn w:val="4"/>
    <w:qFormat/>
    <w:uiPriority w:val="0"/>
    <w:pPr>
      <w:numPr>
        <w:numId w:val="0"/>
      </w:numPr>
      <w:tabs>
        <w:tab w:val="left" w:pos="992"/>
      </w:tabs>
    </w:pPr>
  </w:style>
  <w:style w:type="paragraph" w:customStyle="1" w:styleId="145">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46">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47">
    <w:name w:val="MM Topic 8"/>
    <w:basedOn w:val="10"/>
    <w:qFormat/>
    <w:uiPriority w:val="0"/>
    <w:pPr>
      <w:tabs>
        <w:tab w:val="left" w:pos="4394"/>
      </w:tabs>
    </w:pPr>
  </w:style>
  <w:style w:type="paragraph" w:customStyle="1" w:styleId="148">
    <w:name w:val="Char1 Char Char Char Char Char Char"/>
    <w:basedOn w:val="1"/>
    <w:qFormat/>
    <w:uiPriority w:val="0"/>
    <w:rPr>
      <w:rFonts w:ascii="Tahoma" w:hAnsi="Tahoma"/>
      <w:sz w:val="24"/>
      <w:szCs w:val="20"/>
    </w:rPr>
  </w:style>
  <w:style w:type="paragraph" w:customStyle="1" w:styleId="149">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50">
    <w:name w:val="样式 小四2"/>
    <w:basedOn w:val="1"/>
    <w:qFormat/>
    <w:uiPriority w:val="0"/>
    <w:rPr>
      <w:rFonts w:ascii="宋体" w:hAnsi="宋体"/>
      <w:sz w:val="24"/>
      <w:szCs w:val="24"/>
    </w:rPr>
  </w:style>
  <w:style w:type="paragraph" w:customStyle="1" w:styleId="15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52">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5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5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55">
    <w:name w:val="文章正文 Char Char1"/>
    <w:basedOn w:val="1"/>
    <w:qFormat/>
    <w:uiPriority w:val="0"/>
    <w:pPr>
      <w:spacing w:line="360" w:lineRule="auto"/>
      <w:ind w:firstLine="420"/>
    </w:pPr>
    <w:rPr>
      <w:rFonts w:ascii="Times New Roman" w:hAnsi="Times New Roman"/>
      <w:sz w:val="24"/>
      <w:szCs w:val="24"/>
    </w:rPr>
  </w:style>
  <w:style w:type="paragraph" w:customStyle="1" w:styleId="156">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57">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58">
    <w:name w:val="图"/>
    <w:basedOn w:val="1"/>
    <w:qFormat/>
    <w:uiPriority w:val="0"/>
    <w:pPr>
      <w:widowControl/>
      <w:adjustRightInd w:val="0"/>
      <w:snapToGrid w:val="0"/>
      <w:jc w:val="center"/>
    </w:pPr>
    <w:rPr>
      <w:rFonts w:ascii="宋体" w:hAnsi="宋体"/>
      <w:bCs/>
      <w:szCs w:val="24"/>
    </w:rPr>
  </w:style>
  <w:style w:type="paragraph" w:customStyle="1" w:styleId="159">
    <w:name w:val="Char1 Char Char Char Char Char Char_0"/>
    <w:basedOn w:val="1"/>
    <w:qFormat/>
    <w:uiPriority w:val="0"/>
    <w:rPr>
      <w:rFonts w:ascii="Tahoma" w:hAnsi="Tahoma"/>
      <w:sz w:val="24"/>
      <w:szCs w:val="20"/>
    </w:rPr>
  </w:style>
  <w:style w:type="paragraph" w:customStyle="1" w:styleId="160">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6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62">
    <w:name w:val="MM Topic 1"/>
    <w:basedOn w:val="3"/>
    <w:qFormat/>
    <w:uiPriority w:val="0"/>
    <w:pPr>
      <w:tabs>
        <w:tab w:val="left" w:pos="425"/>
      </w:tabs>
    </w:pPr>
    <w:rPr>
      <w:sz w:val="44"/>
    </w:rPr>
  </w:style>
  <w:style w:type="paragraph" w:customStyle="1" w:styleId="163">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164">
    <w:name w:val="我的正文"/>
    <w:basedOn w:val="1"/>
    <w:qFormat/>
    <w:uiPriority w:val="0"/>
    <w:pPr>
      <w:spacing w:line="360" w:lineRule="auto"/>
      <w:ind w:firstLine="420" w:firstLineChars="200"/>
    </w:pPr>
    <w:rPr>
      <w:rFonts w:ascii="宋体" w:hAnsi="宋体"/>
      <w:szCs w:val="24"/>
    </w:rPr>
  </w:style>
  <w:style w:type="paragraph" w:customStyle="1" w:styleId="165">
    <w:name w:val="MM Topic 7"/>
    <w:basedOn w:val="9"/>
    <w:qFormat/>
    <w:uiPriority w:val="0"/>
    <w:pPr>
      <w:keepLines/>
      <w:widowControl w:val="0"/>
      <w:tabs>
        <w:tab w:val="left" w:pos="3827"/>
        <w:tab w:val="clear" w:pos="3600"/>
      </w:tabs>
      <w:spacing w:before="240" w:after="64" w:line="316" w:lineRule="auto"/>
      <w:jc w:val="both"/>
    </w:pPr>
    <w:rPr>
      <w:rFonts w:ascii="Times New Roman" w:hAnsi="Times New Roman"/>
      <w:iCs w:val="0"/>
      <w:kern w:val="2"/>
      <w:sz w:val="24"/>
      <w:lang w:eastAsia="zh-CN"/>
    </w:rPr>
  </w:style>
  <w:style w:type="paragraph" w:customStyle="1" w:styleId="166">
    <w:name w:val="标书（正文）"/>
    <w:basedOn w:val="1"/>
    <w:qFormat/>
    <w:uiPriority w:val="0"/>
    <w:pPr>
      <w:spacing w:line="360" w:lineRule="auto"/>
      <w:ind w:firstLine="560" w:firstLineChars="200"/>
    </w:pPr>
    <w:rPr>
      <w:rFonts w:ascii="宋体" w:hAnsi="宋体"/>
      <w:kern w:val="10"/>
      <w:sz w:val="28"/>
      <w:szCs w:val="28"/>
    </w:rPr>
  </w:style>
  <w:style w:type="paragraph" w:customStyle="1" w:styleId="167">
    <w:name w:val="样式 标题 3 + (西文) 仿宋_GB2312 (中文) 仿宋_GB2312 四号"/>
    <w:basedOn w:val="5"/>
    <w:qFormat/>
    <w:uiPriority w:val="0"/>
    <w:pPr>
      <w:numPr>
        <w:numId w:val="0"/>
      </w:numPr>
      <w:tabs>
        <w:tab w:val="left" w:pos="-1991"/>
      </w:tabs>
      <w:snapToGrid w:val="0"/>
      <w:spacing w:beforeLines="50" w:line="412" w:lineRule="auto"/>
      <w:ind w:right="180" w:rightChars="100"/>
    </w:pPr>
    <w:rPr>
      <w:rFonts w:ascii="仿宋_GB2312" w:hAnsi="仿宋_GB2312" w:eastAsia="仿宋_GB2312"/>
      <w:color w:val="auto"/>
    </w:rPr>
  </w:style>
  <w:style w:type="paragraph" w:customStyle="1" w:styleId="168">
    <w:name w:val="论文正文"/>
    <w:basedOn w:val="1"/>
    <w:qFormat/>
    <w:uiPriority w:val="0"/>
    <w:pPr>
      <w:spacing w:line="360" w:lineRule="auto"/>
      <w:ind w:firstLine="700" w:firstLineChars="250"/>
    </w:pPr>
    <w:rPr>
      <w:rFonts w:ascii="宋体" w:hAnsi="宋体"/>
      <w:bCs/>
      <w:sz w:val="28"/>
      <w:szCs w:val="28"/>
    </w:rPr>
  </w:style>
  <w:style w:type="paragraph" w:customStyle="1" w:styleId="169">
    <w:name w:val="样式1"/>
    <w:basedOn w:val="1"/>
    <w:qFormat/>
    <w:uiPriority w:val="0"/>
    <w:rPr>
      <w:rFonts w:ascii="Times New Roman" w:hAnsi="Times New Roman" w:eastAsia="隶书"/>
      <w:i/>
      <w:dstrike/>
      <w:sz w:val="28"/>
      <w:szCs w:val="18"/>
    </w:rPr>
  </w:style>
  <w:style w:type="paragraph" w:customStyle="1" w:styleId="170">
    <w:name w:val="表格"/>
    <w:basedOn w:val="1"/>
    <w:qFormat/>
    <w:uiPriority w:val="0"/>
    <w:pPr>
      <w:spacing w:line="400" w:lineRule="exact"/>
    </w:pPr>
    <w:rPr>
      <w:rFonts w:ascii="Times New Roman" w:hAnsi="Times New Roman"/>
      <w:sz w:val="24"/>
      <w:szCs w:val="24"/>
    </w:rPr>
  </w:style>
  <w:style w:type="paragraph" w:customStyle="1" w:styleId="171">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7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73">
    <w:name w:val="Char Char Char Char Char Char Char Char Char Char Char Char Char"/>
    <w:basedOn w:val="15"/>
    <w:qFormat/>
    <w:uiPriority w:val="0"/>
    <w:rPr>
      <w:rFonts w:ascii="Tahoma" w:hAnsi="Tahoma"/>
      <w:sz w:val="24"/>
      <w:szCs w:val="24"/>
    </w:rPr>
  </w:style>
  <w:style w:type="paragraph" w:customStyle="1" w:styleId="174">
    <w:name w:val="MM Topic 3"/>
    <w:basedOn w:val="5"/>
    <w:qFormat/>
    <w:uiPriority w:val="0"/>
    <w:pPr>
      <w:numPr>
        <w:numId w:val="0"/>
      </w:numPr>
      <w:tabs>
        <w:tab w:val="left" w:pos="1418"/>
      </w:tabs>
    </w:pPr>
  </w:style>
  <w:style w:type="paragraph" w:customStyle="1" w:styleId="17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76">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77">
    <w:name w:val="Char Char Char Char"/>
    <w:basedOn w:val="1"/>
    <w:qFormat/>
    <w:uiPriority w:val="0"/>
    <w:rPr>
      <w:rFonts w:ascii="Tahoma" w:hAnsi="Tahoma"/>
      <w:sz w:val="24"/>
      <w:szCs w:val="20"/>
    </w:rPr>
  </w:style>
  <w:style w:type="paragraph" w:customStyle="1" w:styleId="178">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79">
    <w:name w:val="MM Topic 9"/>
    <w:basedOn w:val="11"/>
    <w:qFormat/>
    <w:uiPriority w:val="0"/>
    <w:pPr>
      <w:tabs>
        <w:tab w:val="left" w:pos="5102"/>
      </w:tabs>
    </w:pPr>
  </w:style>
  <w:style w:type="paragraph" w:customStyle="1" w:styleId="180">
    <w:name w:val="MM Topic 5"/>
    <w:basedOn w:val="7"/>
    <w:qFormat/>
    <w:uiPriority w:val="0"/>
    <w:pPr>
      <w:tabs>
        <w:tab w:val="left" w:pos="2551"/>
        <w:tab w:val="clear" w:pos="1134"/>
      </w:tabs>
      <w:ind w:left="0" w:firstLine="0"/>
    </w:pPr>
  </w:style>
  <w:style w:type="paragraph" w:customStyle="1" w:styleId="181">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82">
    <w:name w:val="MM Topic 4"/>
    <w:basedOn w:val="6"/>
    <w:qFormat/>
    <w:uiPriority w:val="0"/>
    <w:pPr>
      <w:tabs>
        <w:tab w:val="left" w:pos="1984"/>
      </w:tabs>
      <w:ind w:left="0" w:firstLine="0"/>
    </w:pPr>
  </w:style>
  <w:style w:type="paragraph" w:customStyle="1" w:styleId="18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85">
    <w:name w:val="样式 标题 2H2第一章 标题 2Heading 2 HiddenHeading 2 CCBSheading 2h2..."/>
    <w:basedOn w:val="4"/>
    <w:qFormat/>
    <w:uiPriority w:val="0"/>
    <w:pPr>
      <w:tabs>
        <w:tab w:val="left" w:pos="-2493"/>
      </w:tabs>
    </w:pPr>
    <w:rPr>
      <w:szCs w:val="20"/>
    </w:rPr>
  </w:style>
  <w:style w:type="paragraph" w:customStyle="1" w:styleId="186">
    <w:name w:val="正文首行缩进两字符"/>
    <w:basedOn w:val="1"/>
    <w:link w:val="205"/>
    <w:qFormat/>
    <w:uiPriority w:val="0"/>
    <w:pPr>
      <w:spacing w:line="360" w:lineRule="auto"/>
      <w:ind w:firstLine="200" w:firstLineChars="200"/>
    </w:pPr>
    <w:rPr>
      <w:rFonts w:ascii="Times New Roman" w:hAnsi="Times New Roman"/>
      <w:szCs w:val="24"/>
    </w:rPr>
  </w:style>
  <w:style w:type="paragraph" w:customStyle="1" w:styleId="187">
    <w:name w:val="列出段落2"/>
    <w:basedOn w:val="1"/>
    <w:qFormat/>
    <w:uiPriority w:val="0"/>
    <w:pPr>
      <w:ind w:firstLine="420" w:firstLineChars="200"/>
    </w:pPr>
  </w:style>
  <w:style w:type="paragraph" w:customStyle="1" w:styleId="188">
    <w:name w:val="列出段落1"/>
    <w:basedOn w:val="1"/>
    <w:link w:val="189"/>
    <w:qFormat/>
    <w:uiPriority w:val="34"/>
    <w:pPr>
      <w:ind w:firstLine="420" w:firstLineChars="200"/>
    </w:pPr>
  </w:style>
  <w:style w:type="character" w:customStyle="1" w:styleId="189">
    <w:name w:val="列出段落 Char"/>
    <w:link w:val="188"/>
    <w:qFormat/>
    <w:uiPriority w:val="34"/>
    <w:rPr>
      <w:rFonts w:ascii="Calibri" w:hAnsi="Calibri" w:eastAsia="宋体" w:cs="Times New Roman"/>
    </w:rPr>
  </w:style>
  <w:style w:type="paragraph" w:customStyle="1" w:styleId="190">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91">
    <w:name w:val="正文缩进 Char"/>
    <w:link w:val="13"/>
    <w:qFormat/>
    <w:uiPriority w:val="0"/>
    <w:rPr>
      <w:rFonts w:ascii="Times New Roman" w:hAnsi="Times New Roman" w:eastAsia="宋体" w:cs="Times New Roman"/>
      <w:szCs w:val="20"/>
    </w:rPr>
  </w:style>
  <w:style w:type="paragraph" w:customStyle="1" w:styleId="192">
    <w:name w:val="列出段落4"/>
    <w:basedOn w:val="1"/>
    <w:qFormat/>
    <w:uiPriority w:val="34"/>
    <w:pPr>
      <w:ind w:firstLine="420" w:firstLineChars="200"/>
    </w:pPr>
    <w:rPr>
      <w:rFonts w:ascii="Times New Roman" w:hAnsi="Times New Roman"/>
      <w:szCs w:val="24"/>
    </w:rPr>
  </w:style>
  <w:style w:type="paragraph" w:customStyle="1" w:styleId="193">
    <w:name w:val="列出段落12"/>
    <w:basedOn w:val="1"/>
    <w:qFormat/>
    <w:uiPriority w:val="34"/>
    <w:pPr>
      <w:ind w:firstLine="420" w:firstLineChars="200"/>
    </w:pPr>
  </w:style>
  <w:style w:type="paragraph" w:customStyle="1" w:styleId="194">
    <w:name w:val="正常1"/>
    <w:qFormat/>
    <w:uiPriority w:val="0"/>
    <w:pPr>
      <w:widowControl w:val="0"/>
      <w:jc w:val="both"/>
    </w:pPr>
    <w:rPr>
      <w:rFonts w:ascii="Calibri" w:hAnsi="Arial Unicode MS" w:eastAsia="Times New Roman" w:cs="Arial Unicode MS"/>
      <w:color w:val="000000"/>
      <w:sz w:val="21"/>
      <w:szCs w:val="21"/>
      <w:u w:color="000000"/>
      <w:lang w:val="en-US" w:eastAsia="zh-CN" w:bidi="ar-SA"/>
    </w:rPr>
  </w:style>
  <w:style w:type="paragraph" w:customStyle="1" w:styleId="195">
    <w:name w:val="正常"/>
    <w:qFormat/>
    <w:uiPriority w:val="0"/>
    <w:pPr>
      <w:suppressAutoHyphens/>
      <w:spacing w:line="360" w:lineRule="auto"/>
      <w:ind w:firstLine="482"/>
    </w:pPr>
    <w:rPr>
      <w:rFonts w:ascii="宋体" w:hAnsi="宋体" w:eastAsia="宋体" w:cs="宋体"/>
      <w:color w:val="000000"/>
      <w:sz w:val="24"/>
      <w:szCs w:val="24"/>
      <w:u w:color="000000"/>
      <w:lang w:val="en-US" w:eastAsia="zh-CN" w:bidi="ar-SA"/>
    </w:rPr>
  </w:style>
  <w:style w:type="paragraph" w:customStyle="1" w:styleId="196">
    <w:name w:val="修订1"/>
    <w:hidden/>
    <w:semiHidden/>
    <w:qFormat/>
    <w:uiPriority w:val="99"/>
    <w:rPr>
      <w:rFonts w:ascii="Calibri" w:hAnsi="Calibri" w:eastAsia="宋体" w:cs="Times New Roman"/>
      <w:kern w:val="2"/>
      <w:sz w:val="21"/>
      <w:szCs w:val="22"/>
      <w:lang w:val="en-US" w:eastAsia="zh-CN" w:bidi="ar-SA"/>
    </w:rPr>
  </w:style>
  <w:style w:type="paragraph" w:customStyle="1" w:styleId="197">
    <w:name w:val="正文 A"/>
    <w:qFormat/>
    <w:uiPriority w:val="0"/>
    <w:pPr>
      <w:widowControl w:val="0"/>
      <w:jc w:val="both"/>
    </w:pPr>
    <w:rPr>
      <w:rFonts w:ascii="Times New Roman" w:hAnsi="Times New Roman" w:eastAsia="Times New Roman" w:cs="Times New Roman"/>
      <w:color w:val="000000"/>
      <w:kern w:val="2"/>
      <w:sz w:val="32"/>
      <w:szCs w:val="32"/>
      <w:lang w:val="en-US" w:eastAsia="zh-CN" w:bidi="ar-SA"/>
    </w:rPr>
  </w:style>
  <w:style w:type="paragraph" w:customStyle="1" w:styleId="198">
    <w:name w:val="表格样式 2 A"/>
    <w:qFormat/>
    <w:uiPriority w:val="0"/>
    <w:pPr>
      <w:framePr w:wrap="around" w:vAnchor="margin" w:hAnchor="text" w:y="1"/>
      <w:spacing w:after="200"/>
    </w:pPr>
    <w:rPr>
      <w:rFonts w:hint="eastAsia" w:ascii="Arial Unicode MS" w:hAnsi="Arial Unicode MS" w:eastAsia="Helvetica" w:cs="Arial Unicode MS"/>
      <w:color w:val="000000"/>
      <w:u w:color="000000"/>
      <w:lang w:val="en-US" w:eastAsia="zh-CN" w:bidi="ar-SA"/>
    </w:rPr>
  </w:style>
  <w:style w:type="paragraph" w:styleId="199">
    <w:name w:val="List Paragraph"/>
    <w:basedOn w:val="1"/>
    <w:unhideWhenUsed/>
    <w:qFormat/>
    <w:uiPriority w:val="0"/>
    <w:pPr>
      <w:ind w:firstLine="420" w:firstLineChars="200"/>
    </w:pPr>
  </w:style>
  <w:style w:type="paragraph" w:customStyle="1" w:styleId="200">
    <w:name w:val="标题 5（有编号）（绿盟科技）"/>
    <w:basedOn w:val="1"/>
    <w:next w:val="1"/>
    <w:qFormat/>
    <w:uiPriority w:val="0"/>
    <w:pPr>
      <w:keepNext/>
      <w:keepLines/>
      <w:spacing w:before="280" w:after="156" w:line="376" w:lineRule="auto"/>
      <w:jc w:val="left"/>
      <w:outlineLvl w:val="4"/>
    </w:pPr>
    <w:rPr>
      <w:rFonts w:ascii="Arial" w:hAnsi="Arial" w:eastAsia="黑体"/>
      <w:b/>
      <w:kern w:val="0"/>
      <w:sz w:val="24"/>
      <w:szCs w:val="28"/>
    </w:rPr>
  </w:style>
  <w:style w:type="paragraph" w:customStyle="1" w:styleId="20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02">
    <w:name w:val="列出段落3"/>
    <w:basedOn w:val="1"/>
    <w:qFormat/>
    <w:uiPriority w:val="34"/>
    <w:pPr>
      <w:ind w:firstLine="420" w:firstLineChars="200"/>
    </w:pPr>
  </w:style>
  <w:style w:type="paragraph" w:customStyle="1" w:styleId="203">
    <w:name w:val="列出段落11"/>
    <w:basedOn w:val="1"/>
    <w:qFormat/>
    <w:uiPriority w:val="0"/>
    <w:pPr>
      <w:ind w:firstLine="420" w:firstLineChars="200"/>
    </w:pPr>
    <w:rPr>
      <w:rFonts w:ascii="Times New Roman" w:hAnsi="Times New Roman"/>
    </w:rPr>
  </w:style>
  <w:style w:type="paragraph" w:customStyle="1" w:styleId="204">
    <w:name w:val="（符号）目录2"/>
    <w:basedOn w:val="1"/>
    <w:qFormat/>
    <w:uiPriority w:val="0"/>
    <w:pPr>
      <w:spacing w:line="500" w:lineRule="exact"/>
      <w:ind w:left="480"/>
    </w:pPr>
    <w:rPr>
      <w:rFonts w:ascii="Times New Roman" w:hAnsi="Times New Roman" w:cs="宋体"/>
      <w:sz w:val="24"/>
      <w:szCs w:val="20"/>
    </w:rPr>
  </w:style>
  <w:style w:type="character" w:customStyle="1" w:styleId="205">
    <w:name w:val="正文首行缩进两字符 Char Char"/>
    <w:link w:val="186"/>
    <w:qFormat/>
    <w:uiPriority w:val="0"/>
    <w:rPr>
      <w:rFonts w:ascii="Times New Roman" w:hAnsi="Times New Roman" w:eastAsia="宋体" w:cs="Times New Roman"/>
      <w:szCs w:val="24"/>
    </w:rPr>
  </w:style>
  <w:style w:type="paragraph" w:customStyle="1" w:styleId="206">
    <w:name w:val="Heading #2|1"/>
    <w:basedOn w:val="1"/>
    <w:qFormat/>
    <w:uiPriority w:val="0"/>
    <w:pPr>
      <w:spacing w:after="720" w:line="648" w:lineRule="exact"/>
      <w:ind w:firstLine="310"/>
      <w:jc w:val="center"/>
      <w:outlineLvl w:val="1"/>
    </w:pPr>
    <w:rPr>
      <w:rFonts w:ascii="宋体" w:hAnsi="宋体" w:cs="宋体"/>
      <w:sz w:val="42"/>
      <w:szCs w:val="42"/>
      <w:lang w:val="zh-TW" w:eastAsia="zh-TW" w:bidi="zh-TW"/>
    </w:rPr>
  </w:style>
  <w:style w:type="paragraph" w:customStyle="1" w:styleId="207">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20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80CA3A-8E99-435E-A3F5-F7A3A6D110B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66</Pages>
  <Words>34592</Words>
  <Characters>35354</Characters>
  <Lines>39</Lines>
  <Paragraphs>78</Paragraphs>
  <TotalTime>25</TotalTime>
  <ScaleCrop>false</ScaleCrop>
  <LinksUpToDate>false</LinksUpToDate>
  <CharactersWithSpaces>36311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2021-07-23T05:50:00Z</dcterms:created>
  <dc:creator>Administrator</dc:creator>
  <cp:lastModifiedBy>叶美女</cp:lastModifiedBy>
  <cp:lastPrinted>2021-07-23T04:36:00Z</cp:lastPrinted>
  <dcterms:modified xsi:type="dcterms:W3CDTF">2021-07-27T04:34:02Z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B72F59D054B64BCA8F8A677F0288735D</vt:lpwstr>
  </property>
</Properties>
</file>