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hint="eastAsia" w:ascii="仿宋" w:hAnsi="仿宋" w:eastAsia="仿宋" w:cs="仿宋"/>
          <w:color w:val="auto"/>
          <w:sz w:val="30"/>
          <w:szCs w:val="30"/>
          <w:highlight w:val="none"/>
        </w:rPr>
      </w:pPr>
    </w:p>
    <w:p>
      <w:pPr>
        <w:spacing w:line="40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rPr>
        <w:t>采购项目编号：</w:t>
      </w:r>
      <w:r>
        <w:rPr>
          <w:rFonts w:hint="eastAsia" w:ascii="仿宋" w:hAnsi="仿宋" w:eastAsia="仿宋" w:cs="仿宋"/>
          <w:b/>
          <w:bCs/>
          <w:color w:val="auto"/>
          <w:sz w:val="32"/>
          <w:szCs w:val="32"/>
          <w:highlight w:val="none"/>
          <w:lang w:eastAsia="zh-CN"/>
        </w:rPr>
        <w:t>510188202100191</w:t>
      </w:r>
    </w:p>
    <w:p>
      <w:pPr>
        <w:pStyle w:val="9"/>
        <w:rPr>
          <w:rFonts w:hint="eastAsia" w:ascii="仿宋" w:hAnsi="仿宋" w:eastAsia="仿宋" w:cs="仿宋"/>
          <w:color w:val="auto"/>
          <w:highlight w:val="none"/>
        </w:rPr>
      </w:pPr>
    </w:p>
    <w:p>
      <w:pPr>
        <w:jc w:val="center"/>
        <w:rPr>
          <w:rFonts w:hint="eastAsia" w:ascii="仿宋" w:hAnsi="仿宋" w:eastAsia="仿宋" w:cs="仿宋"/>
          <w:color w:val="auto"/>
          <w:sz w:val="52"/>
          <w:szCs w:val="52"/>
          <w:highlight w:val="none"/>
          <w:lang w:eastAsia="zh-CN"/>
        </w:rPr>
      </w:pPr>
      <w:r>
        <w:rPr>
          <w:rFonts w:hint="eastAsia" w:ascii="仿宋" w:hAnsi="仿宋" w:eastAsia="仿宋" w:cs="仿宋"/>
          <w:b/>
          <w:bCs/>
          <w:color w:val="auto"/>
          <w:sz w:val="52"/>
          <w:szCs w:val="52"/>
          <w:highlight w:val="none"/>
          <w:lang w:eastAsia="zh-CN"/>
        </w:rPr>
        <w:t>成都高新技术产业开发区肖家河街道办事处南片区生活区公共区域及道路清扫保洁、垃圾清运服务项目</w:t>
      </w:r>
    </w:p>
    <w:p>
      <w:pPr>
        <w:pStyle w:val="9"/>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center"/>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pPr>
        <w:pStyle w:val="9"/>
        <w:rPr>
          <w:rFonts w:hint="eastAsia" w:ascii="仿宋" w:hAnsi="仿宋" w:eastAsia="仿宋" w:cs="仿宋"/>
          <w:color w:val="auto"/>
          <w:highlight w:val="none"/>
        </w:rPr>
      </w:pPr>
    </w:p>
    <w:p>
      <w:pPr>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pPr>
        <w:pStyle w:val="9"/>
        <w:rPr>
          <w:rFonts w:hint="eastAsia" w:ascii="仿宋" w:hAnsi="仿宋" w:eastAsia="仿宋" w:cs="仿宋"/>
          <w:color w:val="auto"/>
          <w:highlight w:val="none"/>
        </w:rPr>
      </w:pPr>
    </w:p>
    <w:p>
      <w:pPr>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pPr>
        <w:pStyle w:val="9"/>
        <w:rPr>
          <w:rFonts w:hint="eastAsia" w:ascii="仿宋" w:hAnsi="仿宋" w:eastAsia="仿宋" w:cs="仿宋"/>
          <w:b/>
          <w:color w:val="auto"/>
          <w:szCs w:val="21"/>
          <w:highlight w:val="none"/>
        </w:rPr>
      </w:pPr>
    </w:p>
    <w:p>
      <w:pPr>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件</w:t>
      </w:r>
    </w:p>
    <w:p>
      <w:pPr>
        <w:rPr>
          <w:rFonts w:hint="eastAsia" w:ascii="仿宋" w:hAnsi="仿宋" w:eastAsia="仿宋" w:cs="仿宋"/>
          <w:b/>
          <w:color w:val="auto"/>
          <w:sz w:val="10"/>
          <w:szCs w:val="10"/>
          <w:highlight w:val="none"/>
        </w:rPr>
      </w:pPr>
    </w:p>
    <w:p>
      <w:pPr>
        <w:pStyle w:val="9"/>
        <w:rPr>
          <w:rFonts w:hint="eastAsia" w:ascii="仿宋" w:hAnsi="仿宋" w:eastAsia="仿宋" w:cs="仿宋"/>
          <w:b/>
          <w:color w:val="auto"/>
          <w:sz w:val="10"/>
          <w:szCs w:val="10"/>
          <w:highlight w:val="none"/>
        </w:rPr>
      </w:pPr>
    </w:p>
    <w:p>
      <w:pPr>
        <w:rPr>
          <w:rFonts w:hint="eastAsia" w:ascii="仿宋" w:hAnsi="仿宋" w:eastAsia="仿宋" w:cs="仿宋"/>
          <w:b/>
          <w:color w:val="auto"/>
          <w:sz w:val="10"/>
          <w:szCs w:val="10"/>
          <w:highlight w:val="none"/>
        </w:rPr>
      </w:pPr>
    </w:p>
    <w:p>
      <w:pPr>
        <w:pStyle w:val="9"/>
        <w:rPr>
          <w:rFonts w:hint="eastAsia" w:ascii="仿宋" w:hAnsi="仿宋" w:eastAsia="仿宋" w:cs="仿宋"/>
          <w:b/>
          <w:color w:val="auto"/>
          <w:sz w:val="10"/>
          <w:szCs w:val="10"/>
          <w:highlight w:val="none"/>
        </w:rPr>
      </w:pPr>
    </w:p>
    <w:p>
      <w:pPr>
        <w:rPr>
          <w:rFonts w:hint="eastAsia" w:ascii="仿宋" w:hAnsi="仿宋" w:eastAsia="仿宋" w:cs="仿宋"/>
          <w:b/>
          <w:color w:val="auto"/>
          <w:sz w:val="10"/>
          <w:szCs w:val="10"/>
          <w:highlight w:val="none"/>
        </w:rPr>
      </w:pPr>
    </w:p>
    <w:p>
      <w:pPr>
        <w:pStyle w:val="9"/>
        <w:rPr>
          <w:rFonts w:hint="eastAsia" w:ascii="仿宋" w:hAnsi="仿宋" w:eastAsia="仿宋" w:cs="仿宋"/>
          <w:b/>
          <w:color w:val="auto"/>
          <w:sz w:val="10"/>
          <w:szCs w:val="10"/>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center"/>
        <w:rPr>
          <w:rFonts w:hint="eastAsia" w:ascii="仿宋" w:hAnsi="仿宋" w:eastAsia="仿宋" w:cs="仿宋"/>
          <w:b/>
          <w:color w:val="auto"/>
          <w:sz w:val="10"/>
          <w:szCs w:val="10"/>
          <w:highlight w:val="none"/>
        </w:rPr>
      </w:pPr>
    </w:p>
    <w:p>
      <w:p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中国·四川</w:t>
      </w:r>
    </w:p>
    <w:p>
      <w:p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4899660</wp:posOffset>
                </wp:positionH>
                <wp:positionV relativeFrom="paragraph">
                  <wp:posOffset>92075</wp:posOffset>
                </wp:positionV>
                <wp:extent cx="1030605" cy="400685"/>
                <wp:effectExtent l="0" t="0" r="17145" b="18415"/>
                <wp:wrapNone/>
                <wp:docPr id="2" name="文本框 2"/>
                <wp:cNvGraphicFramePr/>
                <a:graphic xmlns:a="http://schemas.openxmlformats.org/drawingml/2006/main">
                  <a:graphicData uri="http://schemas.microsoft.com/office/word/2010/wordprocessingShape">
                    <wps:wsp>
                      <wps:cNvSpPr txBox="1"/>
                      <wps:spPr>
                        <a:xfrm>
                          <a:off x="0" y="0"/>
                          <a:ext cx="1030605" cy="400685"/>
                        </a:xfrm>
                        <a:prstGeom prst="rect">
                          <a:avLst/>
                        </a:prstGeom>
                        <a:solidFill>
                          <a:srgbClr val="FFFFFF"/>
                        </a:solidFill>
                        <a:ln>
                          <a:noFill/>
                        </a:ln>
                      </wps:spPr>
                      <wps:txbx>
                        <w:txbxContent>
                          <w:p>
                            <w:pPr>
                              <w:rPr>
                                <w:rFonts w:hint="eastAsia" w:ascii="仿宋" w:hAnsi="仿宋" w:eastAsia="仿宋" w:cs="仿宋"/>
                              </w:rPr>
                            </w:pPr>
                            <w:r>
                              <w:rPr>
                                <w:rFonts w:hint="eastAsia" w:ascii="仿宋" w:hAnsi="仿宋" w:eastAsia="仿宋" w:cs="仿宋"/>
                                <w:b/>
                                <w:sz w:val="30"/>
                                <w:szCs w:val="30"/>
                              </w:rPr>
                              <w:t>共同编制</w:t>
                            </w:r>
                          </w:p>
                          <w:p/>
                        </w:txbxContent>
                      </wps:txbx>
                      <wps:bodyPr wrap="square" upright="1"/>
                    </wps:wsp>
                  </a:graphicData>
                </a:graphic>
              </wp:anchor>
            </w:drawing>
          </mc:Choice>
          <mc:Fallback>
            <w:pict>
              <v:shape id="_x0000_s1026" o:spid="_x0000_s1026" o:spt="202" type="#_x0000_t202" style="position:absolute;left:0pt;margin-left:385.8pt;margin-top:7.25pt;height:31.55pt;width:81.15pt;z-index:251659264;mso-width-relative:page;mso-height-relative:page;" fillcolor="#FFFFFF" filled="t" stroked="f" coordsize="21600,21600" o:gfxdata="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IHb1gAAAAkBAAAPAAAAAAAAAAEAIAAAACIAAABkcnMvZG93&#10;bnJldi54bWxQSwECFAAUAAAACACHTuJAnbymIMkBAACFAwAADgAAAAAAAAABACAAAAAlAQAAZHJz&#10;L2Uyb0RvYy54bWxQSwUGAAAAAAYABgBZAQAAYAUAAAAA&#10;">
                <v:fill on="t" focussize="0,0"/>
                <v:stroke on="f"/>
                <v:imagedata o:title=""/>
                <o:lock v:ext="edit" aspectratio="f"/>
                <v:textbox>
                  <w:txbxContent>
                    <w:p>
                      <w:pPr>
                        <w:rPr>
                          <w:rFonts w:hint="eastAsia" w:ascii="仿宋" w:hAnsi="仿宋" w:eastAsia="仿宋" w:cs="仿宋"/>
                        </w:rPr>
                      </w:pPr>
                      <w:r>
                        <w:rPr>
                          <w:rFonts w:hint="eastAsia" w:ascii="仿宋" w:hAnsi="仿宋" w:eastAsia="仿宋" w:cs="仿宋"/>
                          <w:b/>
                          <w:sz w:val="30"/>
                          <w:szCs w:val="30"/>
                        </w:rPr>
                        <w:t>共同编制</w:t>
                      </w:r>
                    </w:p>
                    <w:p/>
                  </w:txbxContent>
                </v:textbox>
              </v:shape>
            </w:pict>
          </mc:Fallback>
        </mc:AlternateContent>
      </w:r>
      <w:r>
        <w:rPr>
          <w:rFonts w:hint="eastAsia" w:ascii="仿宋" w:hAnsi="仿宋" w:eastAsia="仿宋" w:cs="仿宋"/>
          <w:b/>
          <w:bCs/>
          <w:color w:val="auto"/>
          <w:sz w:val="32"/>
          <w:szCs w:val="32"/>
          <w:highlight w:val="none"/>
        </w:rPr>
        <w:t>四川致恒招标代理有限公司</w:t>
      </w:r>
    </w:p>
    <w:p>
      <w:pPr>
        <w:jc w:val="center"/>
        <w:rPr>
          <w:rFonts w:hint="eastAsia" w:ascii="仿宋" w:hAnsi="仿宋" w:eastAsia="仿宋" w:cs="仿宋"/>
          <w:b/>
          <w:bCs/>
          <w:color w:val="auto"/>
          <w:spacing w:val="12"/>
          <w:sz w:val="32"/>
          <w:szCs w:val="32"/>
          <w:highlight w:val="none"/>
          <w:lang w:eastAsia="zh-CN"/>
        </w:rPr>
      </w:pPr>
      <w:r>
        <w:rPr>
          <w:rFonts w:hint="eastAsia" w:ascii="仿宋" w:hAnsi="仿宋" w:eastAsia="仿宋" w:cs="仿宋"/>
          <w:b/>
          <w:bCs/>
          <w:color w:val="auto"/>
          <w:sz w:val="32"/>
          <w:szCs w:val="32"/>
          <w:highlight w:val="none"/>
          <w:lang w:eastAsia="zh-CN"/>
        </w:rPr>
        <w:t>成都高新技术产业开发区肖家河街道办事处</w:t>
      </w:r>
    </w:p>
    <w:p>
      <w:pPr>
        <w:jc w:val="center"/>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rPr>
        <w:t>2021年</w:t>
      </w:r>
      <w:r>
        <w:rPr>
          <w:rFonts w:hint="eastAsia" w:ascii="仿宋" w:hAnsi="仿宋" w:eastAsia="仿宋" w:cs="仿宋"/>
          <w:b/>
          <w:bCs/>
          <w:color w:val="auto"/>
          <w:sz w:val="30"/>
          <w:szCs w:val="30"/>
          <w:highlight w:val="none"/>
          <w:lang w:val="en-US" w:eastAsia="zh-CN"/>
        </w:rPr>
        <w:t>8</w:t>
      </w:r>
      <w:r>
        <w:rPr>
          <w:rFonts w:hint="eastAsia" w:ascii="仿宋" w:hAnsi="仿宋" w:eastAsia="仿宋" w:cs="仿宋"/>
          <w:b/>
          <w:bCs/>
          <w:color w:val="auto"/>
          <w:sz w:val="30"/>
          <w:szCs w:val="30"/>
          <w:highlight w:val="none"/>
        </w:rPr>
        <w:t>月</w:t>
      </w:r>
    </w:p>
    <w:p>
      <w:pPr>
        <w:jc w:val="center"/>
        <w:rPr>
          <w:rFonts w:hint="eastAsia" w:ascii="仿宋" w:hAnsi="仿宋" w:eastAsia="仿宋" w:cs="仿宋"/>
          <w:color w:val="auto"/>
          <w:sz w:val="30"/>
          <w:szCs w:val="30"/>
          <w:highlight w:val="none"/>
        </w:rPr>
      </w:pPr>
    </w:p>
    <w:p>
      <w:pPr>
        <w:jc w:val="center"/>
        <w:rPr>
          <w:rFonts w:hint="eastAsia" w:ascii="仿宋" w:hAnsi="仿宋" w:eastAsia="仿宋" w:cs="仿宋"/>
          <w:bCs/>
          <w:color w:val="auto"/>
          <w:sz w:val="32"/>
          <w:szCs w:val="32"/>
          <w:highlight w:val="none"/>
          <w:lang w:val="zh-CN"/>
        </w:rPr>
      </w:pPr>
    </w:p>
    <w:p>
      <w:pPr>
        <w:jc w:val="center"/>
        <w:rPr>
          <w:rFonts w:hint="eastAsia" w:ascii="仿宋" w:hAnsi="仿宋" w:eastAsia="仿宋" w:cs="仿宋"/>
          <w:color w:val="auto"/>
          <w:sz w:val="32"/>
          <w:highlight w:val="none"/>
          <w:lang w:val="en-US" w:eastAsia="zh-CN"/>
        </w:rPr>
        <w:sectPr>
          <w:headerReference r:id="rId3" w:type="default"/>
          <w:footerReference r:id="rId5" w:type="default"/>
          <w:headerReference r:id="rId4" w:type="even"/>
          <w:footerReference r:id="rId6" w:type="even"/>
          <w:pgSz w:w="11907" w:h="16840"/>
          <w:pgMar w:top="1418" w:right="1361" w:bottom="1418" w:left="1361" w:header="851" w:footer="992" w:gutter="0"/>
          <w:pgNumType w:start="0"/>
          <w:cols w:space="720" w:num="1"/>
          <w:docGrid w:linePitch="312" w:charSpace="0"/>
        </w:sectPr>
      </w:pPr>
      <w:r>
        <w:rPr>
          <w:rFonts w:hint="eastAsia" w:ascii="仿宋" w:hAnsi="仿宋" w:eastAsia="仿宋" w:cs="仿宋"/>
          <w:b/>
          <w:bCs w:val="0"/>
          <w:color w:val="auto"/>
          <w:sz w:val="24"/>
          <w:highlight w:val="none"/>
        </w:rPr>
        <w:t>代理机构备案编号：</w:t>
      </w:r>
      <w:r>
        <w:rPr>
          <w:rFonts w:hint="eastAsia" w:ascii="仿宋" w:hAnsi="仿宋" w:eastAsia="仿宋" w:cs="仿宋"/>
          <w:b/>
          <w:bCs w:val="0"/>
          <w:color w:val="auto"/>
          <w:sz w:val="24"/>
          <w:highlight w:val="none"/>
          <w:lang w:eastAsia="zh-CN"/>
        </w:rPr>
        <w:t>2068-2141ZHBC-1452</w:t>
      </w:r>
    </w:p>
    <w:p>
      <w:pPr>
        <w:pStyle w:val="2"/>
        <w:spacing w:line="400" w:lineRule="exact"/>
        <w:jc w:val="center"/>
        <w:rPr>
          <w:rFonts w:hint="eastAsia" w:ascii="仿宋" w:hAnsi="仿宋" w:eastAsia="仿宋" w:cs="仿宋"/>
          <w:bCs w:val="0"/>
          <w:color w:val="auto"/>
          <w:sz w:val="36"/>
          <w:highlight w:val="none"/>
        </w:rPr>
      </w:pPr>
      <w:bookmarkStart w:id="0" w:name="_Hlt101233737"/>
      <w:bookmarkEnd w:id="0"/>
      <w:bookmarkStart w:id="1" w:name="_Hlt101843627"/>
      <w:bookmarkEnd w:id="1"/>
      <w:r>
        <w:rPr>
          <w:rFonts w:hint="eastAsia" w:ascii="仿宋" w:hAnsi="仿宋" w:eastAsia="仿宋" w:cs="仿宋"/>
          <w:bCs w:val="0"/>
          <w:color w:val="auto"/>
          <w:sz w:val="36"/>
          <w:highlight w:val="none"/>
        </w:rPr>
        <w:t>目    录</w:t>
      </w:r>
    </w:p>
    <w:p>
      <w:pPr>
        <w:spacing w:line="400" w:lineRule="exact"/>
        <w:rPr>
          <w:rFonts w:hint="eastAsia" w:ascii="仿宋" w:hAnsi="仿宋" w:eastAsia="仿宋" w:cs="仿宋"/>
          <w:color w:val="auto"/>
          <w:highlight w:val="none"/>
        </w:rPr>
      </w:pPr>
    </w:p>
    <w:p>
      <w:pPr>
        <w:pStyle w:val="17"/>
        <w:tabs>
          <w:tab w:val="right" w:leader="dot" w:pos="9174"/>
        </w:tabs>
        <w:spacing w:line="400" w:lineRule="exact"/>
        <w:rPr>
          <w:rFonts w:hint="eastAsia" w:ascii="仿宋" w:hAnsi="仿宋" w:eastAsia="仿宋" w:cs="仿宋"/>
          <w:color w:val="auto"/>
          <w:sz w:val="24"/>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"1-1"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"_Toc25840562"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第一章  投标邀请</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PAGEREF _Toc25840562 \h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2</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fldChar w:fldCharType="end"/>
      </w:r>
    </w:p>
    <w:p>
      <w:pPr>
        <w:pStyle w:val="17"/>
        <w:tabs>
          <w:tab w:val="right" w:leader="dot" w:pos="9174"/>
        </w:tabs>
        <w:spacing w:line="400" w:lineRule="exact"/>
        <w:rPr>
          <w:rFonts w:hint="eastAsia" w:ascii="仿宋" w:hAnsi="仿宋" w:eastAsia="仿宋" w:cs="仿宋"/>
          <w:color w:val="auto"/>
          <w:sz w:val="24"/>
          <w:szCs w:val="2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"_Toc25840563"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第二章  投标人须知</w:t>
      </w:r>
      <w:r>
        <w:rPr>
          <w:rFonts w:hint="eastAsia" w:ascii="仿宋" w:hAnsi="仿宋" w:eastAsia="仿宋" w:cs="仿宋"/>
          <w:color w:val="auto"/>
          <w:sz w:val="24"/>
          <w:highlight w:val="none"/>
        </w:rPr>
        <w:tab/>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fldChar w:fldCharType="end"/>
      </w:r>
    </w:p>
    <w:p>
      <w:pPr>
        <w:pStyle w:val="17"/>
        <w:tabs>
          <w:tab w:val="right" w:leader="dot" w:pos="9174"/>
        </w:tabs>
        <w:spacing w:line="400" w:lineRule="exact"/>
        <w:rPr>
          <w:rFonts w:hint="eastAsia" w:ascii="仿宋" w:hAnsi="仿宋" w:eastAsia="仿宋" w:cs="仿宋"/>
          <w:color w:val="auto"/>
          <w:sz w:val="24"/>
          <w:szCs w:val="2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"_Toc25840564"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第三章  投标文件格式</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PAGEREF _Toc25840564 \h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24</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fldChar w:fldCharType="end"/>
      </w:r>
    </w:p>
    <w:p>
      <w:pPr>
        <w:pStyle w:val="17"/>
        <w:tabs>
          <w:tab w:val="right" w:leader="dot" w:pos="9174"/>
        </w:tabs>
        <w:spacing w:line="400" w:lineRule="exact"/>
        <w:rPr>
          <w:rFonts w:hint="eastAsia" w:ascii="仿宋" w:hAnsi="仿宋" w:eastAsia="仿宋" w:cs="仿宋"/>
          <w:color w:val="auto"/>
          <w:sz w:val="24"/>
          <w:szCs w:val="22"/>
          <w:highlight w:val="none"/>
          <w:lang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"_Toc25840565"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第四章  投标人和</w:t>
      </w:r>
      <w:bookmarkStart w:id="2" w:name="_Hlt32227047"/>
      <w:bookmarkStart w:id="3" w:name="_Hlt32227046"/>
      <w:r>
        <w:rPr>
          <w:rStyle w:val="35"/>
          <w:rFonts w:hint="eastAsia" w:ascii="仿宋" w:hAnsi="仿宋" w:eastAsia="仿宋" w:cs="仿宋"/>
          <w:color w:val="auto"/>
          <w:sz w:val="24"/>
          <w:highlight w:val="none"/>
        </w:rPr>
        <w:t>投</w:t>
      </w:r>
      <w:bookmarkEnd w:id="2"/>
      <w:bookmarkEnd w:id="3"/>
      <w:r>
        <w:rPr>
          <w:rStyle w:val="35"/>
          <w:rFonts w:hint="eastAsia" w:ascii="仿宋" w:hAnsi="仿宋" w:eastAsia="仿宋" w:cs="仿宋"/>
          <w:color w:val="auto"/>
          <w:sz w:val="24"/>
          <w:highlight w:val="none"/>
        </w:rPr>
        <w:t>标产品的资格、资质性及其他类似效力要求</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lang w:val="en-US" w:eastAsia="zh-CN"/>
        </w:rPr>
        <w:t>3</w:t>
      </w:r>
    </w:p>
    <w:p>
      <w:pPr>
        <w:pStyle w:val="17"/>
        <w:tabs>
          <w:tab w:val="right" w:leader="dot" w:pos="9174"/>
        </w:tabs>
        <w:spacing w:line="400" w:lineRule="exact"/>
        <w:rPr>
          <w:rFonts w:hint="eastAsia" w:ascii="仿宋" w:hAnsi="仿宋" w:eastAsia="仿宋" w:cs="仿宋"/>
          <w:color w:val="auto"/>
          <w:sz w:val="24"/>
          <w:szCs w:val="22"/>
          <w:highlight w:val="none"/>
          <w:lang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"_Toc25840566"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第五章  投标人应当提供的资格、资质性及其他类似效力要求的相关证明材料</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lang w:val="en-US" w:eastAsia="zh-CN"/>
        </w:rPr>
        <w:t>4</w:t>
      </w:r>
    </w:p>
    <w:p>
      <w:pPr>
        <w:pStyle w:val="17"/>
        <w:tabs>
          <w:tab w:val="right" w:leader="dot" w:pos="9174"/>
        </w:tabs>
        <w:spacing w:line="400" w:lineRule="exact"/>
        <w:rPr>
          <w:rFonts w:hint="eastAsia" w:ascii="仿宋" w:hAnsi="仿宋" w:eastAsia="仿宋" w:cs="仿宋"/>
          <w:color w:val="auto"/>
          <w:sz w:val="24"/>
          <w:szCs w:val="22"/>
          <w:highlight w:val="none"/>
          <w:lang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"_Toc25840567"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第六章  招标项目技术、服务及其他要求</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lang w:val="en-US" w:eastAsia="zh-CN"/>
        </w:rPr>
        <w:t>6</w:t>
      </w:r>
    </w:p>
    <w:p>
      <w:pPr>
        <w:pStyle w:val="17"/>
        <w:tabs>
          <w:tab w:val="right" w:leader="dot" w:pos="9174"/>
        </w:tabs>
        <w:spacing w:line="400" w:lineRule="exact"/>
        <w:rPr>
          <w:rFonts w:hint="eastAsia" w:ascii="仿宋" w:hAnsi="仿宋" w:eastAsia="仿宋" w:cs="仿宋"/>
          <w:color w:val="auto"/>
          <w:sz w:val="24"/>
          <w:szCs w:val="22"/>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"_Toc25840568"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第七章  评标办法</w:t>
      </w:r>
      <w:bookmarkStart w:id="4" w:name="_Hlt25840793"/>
      <w:bookmarkStart w:id="5" w:name="_Hlt25840794"/>
      <w:r>
        <w:rPr>
          <w:rFonts w:hint="eastAsia" w:ascii="仿宋" w:hAnsi="仿宋" w:eastAsia="仿宋" w:cs="仿宋"/>
          <w:color w:val="auto"/>
          <w:sz w:val="24"/>
          <w:highlight w:val="none"/>
        </w:rPr>
        <w:tab/>
      </w:r>
      <w:bookmarkEnd w:id="4"/>
      <w:bookmarkEnd w:id="5"/>
      <w:r>
        <w:rPr>
          <w:rFonts w:hint="eastAsia" w:ascii="仿宋" w:hAnsi="仿宋" w:eastAsia="仿宋" w:cs="仿宋"/>
          <w:color w:val="auto"/>
          <w:sz w:val="24"/>
          <w:highlight w:val="none"/>
        </w:rPr>
        <w:t>6</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lang w:val="en-US" w:eastAsia="zh-CN"/>
        </w:rPr>
        <w:t>4</w:t>
      </w:r>
    </w:p>
    <w:p>
      <w:pPr>
        <w:pStyle w:val="17"/>
        <w:tabs>
          <w:tab w:val="right" w:leader="dot" w:pos="9174"/>
        </w:tabs>
        <w:spacing w:line="400" w:lineRule="exact"/>
        <w:rPr>
          <w:rFonts w:hint="eastAsia" w:ascii="仿宋" w:hAnsi="仿宋" w:eastAsia="仿宋" w:cs="仿宋"/>
          <w:color w:val="auto"/>
          <w:sz w:val="24"/>
          <w:szCs w:val="22"/>
          <w:highlight w:val="none"/>
          <w:lang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"_Toc25840570" </w:instrText>
      </w:r>
      <w:r>
        <w:rPr>
          <w:rFonts w:hint="eastAsia" w:ascii="仿宋" w:hAnsi="仿宋" w:eastAsia="仿宋" w:cs="仿宋"/>
          <w:color w:val="auto"/>
          <w:highlight w:val="none"/>
        </w:rPr>
        <w:fldChar w:fldCharType="separate"/>
      </w:r>
      <w:r>
        <w:rPr>
          <w:rStyle w:val="35"/>
          <w:rFonts w:hint="eastAsia" w:ascii="仿宋" w:hAnsi="仿宋" w:eastAsia="仿宋" w:cs="仿宋"/>
          <w:color w:val="auto"/>
          <w:sz w:val="24"/>
          <w:highlight w:val="none"/>
        </w:rPr>
        <w:t>第八章  合同主要条款（合同草案）</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7</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lang w:val="en-US" w:eastAsia="zh-CN"/>
        </w:rPr>
        <w:t>6</w:t>
      </w:r>
    </w:p>
    <w:p>
      <w:pPr>
        <w:spacing w:before="156" w:beforeLines="50" w:after="312" w:afterLines="100" w:line="400" w:lineRule="exact"/>
        <w:ind w:firstLine="480" w:firstLineChars="200"/>
        <w:jc w:val="center"/>
        <w:rPr>
          <w:rFonts w:hint="eastAsia" w:ascii="仿宋" w:hAnsi="仿宋" w:eastAsia="仿宋" w:cs="仿宋"/>
          <w:bCs/>
          <w:color w:val="auto"/>
          <w:sz w:val="36"/>
          <w:szCs w:val="36"/>
          <w:highlight w:val="none"/>
        </w:rPr>
      </w:pPr>
      <w:r>
        <w:rPr>
          <w:rFonts w:hint="eastAsia" w:ascii="仿宋" w:hAnsi="仿宋" w:eastAsia="仿宋" w:cs="仿宋"/>
          <w:color w:val="auto"/>
          <w:sz w:val="24"/>
          <w:highlight w:val="none"/>
        </w:rPr>
        <w:fldChar w:fldCharType="end"/>
      </w:r>
      <w:r>
        <w:rPr>
          <w:rFonts w:hint="eastAsia" w:ascii="仿宋" w:hAnsi="仿宋" w:eastAsia="仿宋" w:cs="仿宋"/>
          <w:bCs/>
          <w:color w:val="auto"/>
          <w:sz w:val="24"/>
          <w:highlight w:val="none"/>
        </w:rPr>
        <w:br w:type="page"/>
      </w:r>
      <w:bookmarkStart w:id="6" w:name="_Toc25840562"/>
      <w:r>
        <w:rPr>
          <w:rFonts w:hint="eastAsia" w:ascii="仿宋" w:hAnsi="仿宋" w:eastAsia="仿宋" w:cs="仿宋"/>
          <w:b/>
          <w:bCs w:val="0"/>
          <w:color w:val="auto"/>
          <w:sz w:val="36"/>
          <w:szCs w:val="36"/>
          <w:highlight w:val="none"/>
        </w:rPr>
        <w:t>第一章  投标邀请</w:t>
      </w:r>
      <w:bookmarkEnd w:id="6"/>
    </w:p>
    <w:p>
      <w:pPr>
        <w:spacing w:before="156" w:beforeLines="50" w:after="156" w:afterLines="50" w:line="400" w:lineRule="exact"/>
        <w:ind w:firstLine="723" w:firstLineChars="3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项目概况：</w:t>
      </w:r>
    </w:p>
    <w:p>
      <w:pPr>
        <w:spacing w:line="40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u w:val="single"/>
          <w:lang w:eastAsia="zh-CN"/>
        </w:rPr>
        <w:t>成都高新技术产业开发区肖家河街道办事处南片区生活区公共区域及道路清扫保洁、垃圾清运服务项目</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的潜在投标人应在</w:t>
      </w:r>
      <w:r>
        <w:rPr>
          <w:rFonts w:hint="eastAsia" w:ascii="仿宋" w:hAnsi="仿宋" w:eastAsia="仿宋" w:cs="仿宋"/>
          <w:color w:val="auto"/>
          <w:sz w:val="24"/>
          <w:szCs w:val="28"/>
          <w:highlight w:val="none"/>
          <w:u w:val="single"/>
        </w:rPr>
        <w:t>成都市武侯区星狮路818号大合仓星商界4栋4单元801</w:t>
      </w:r>
      <w:r>
        <w:rPr>
          <w:rFonts w:hint="eastAsia" w:ascii="仿宋" w:hAnsi="仿宋" w:eastAsia="仿宋" w:cs="仿宋"/>
          <w:color w:val="auto"/>
          <w:sz w:val="24"/>
          <w:szCs w:val="28"/>
          <w:highlight w:val="none"/>
        </w:rPr>
        <w:t>获取招标文件</w:t>
      </w:r>
      <w:r>
        <w:rPr>
          <w:rFonts w:hint="eastAsia" w:ascii="仿宋" w:hAnsi="仿宋" w:eastAsia="仿宋" w:cs="仿宋"/>
          <w:color w:val="auto"/>
          <w:sz w:val="24"/>
          <w:highlight w:val="none"/>
        </w:rPr>
        <w:t>，并于</w:t>
      </w:r>
      <w:r>
        <w:rPr>
          <w:rFonts w:hint="eastAsia" w:ascii="仿宋" w:hAnsi="仿宋" w:eastAsia="仿宋" w:cs="仿宋"/>
          <w:color w:val="auto"/>
          <w:sz w:val="24"/>
          <w:highlight w:val="none"/>
          <w:u w:val="single"/>
        </w:rPr>
        <w:t>2021年</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22</w:t>
      </w:r>
      <w:r>
        <w:rPr>
          <w:rFonts w:hint="eastAsia" w:ascii="仿宋" w:hAnsi="仿宋" w:eastAsia="仿宋" w:cs="仿宋"/>
          <w:color w:val="auto"/>
          <w:sz w:val="24"/>
          <w:highlight w:val="none"/>
          <w:u w:val="single"/>
        </w:rPr>
        <w:t>日10点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w:t>
      </w:r>
      <w:r>
        <w:rPr>
          <w:rFonts w:hint="eastAsia" w:ascii="仿宋" w:hAnsi="仿宋" w:eastAsia="仿宋" w:cs="仿宋"/>
          <w:color w:val="auto"/>
          <w:sz w:val="24"/>
          <w:highlight w:val="none"/>
        </w:rPr>
        <w:t>（北京时间）前递交投标文件。</w:t>
      </w:r>
    </w:p>
    <w:p>
      <w:pPr>
        <w:tabs>
          <w:tab w:val="left" w:pos="5403"/>
        </w:tabs>
        <w:spacing w:before="156" w:beforeLines="50" w:after="156" w:afterLines="50"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pPr>
        <w:tabs>
          <w:tab w:val="left" w:pos="5403"/>
        </w:tabs>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采购</w:t>
      </w: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510188202100191</w:t>
      </w:r>
      <w:r>
        <w:rPr>
          <w:rFonts w:hint="eastAsia" w:ascii="仿宋" w:hAnsi="仿宋" w:eastAsia="仿宋" w:cs="仿宋"/>
          <w:bCs/>
          <w:color w:val="auto"/>
          <w:sz w:val="24"/>
          <w:highlight w:val="none"/>
        </w:rPr>
        <w:tab/>
      </w:r>
    </w:p>
    <w:p>
      <w:pPr>
        <w:spacing w:line="400" w:lineRule="exact"/>
        <w:ind w:firstLine="480" w:firstLineChars="200"/>
        <w:rPr>
          <w:rFonts w:hint="eastAsia" w:ascii="仿宋" w:hAnsi="仿宋" w:eastAsia="仿宋" w:cs="仿宋"/>
          <w:b/>
          <w:bCs/>
          <w:color w:val="auto"/>
          <w:sz w:val="24"/>
          <w:highlight w:val="none"/>
          <w:lang w:eastAsia="zh-CN"/>
        </w:rPr>
      </w:pPr>
      <w:r>
        <w:rPr>
          <w:rFonts w:hint="eastAsia" w:ascii="仿宋" w:hAnsi="仿宋" w:eastAsia="仿宋" w:cs="仿宋"/>
          <w:bCs/>
          <w:color w:val="auto"/>
          <w:sz w:val="24"/>
          <w:highlight w:val="none"/>
        </w:rPr>
        <w:t>政府采购计划：</w:t>
      </w:r>
      <w:r>
        <w:rPr>
          <w:rFonts w:hint="eastAsia" w:ascii="仿宋" w:hAnsi="仿宋" w:eastAsia="仿宋" w:cs="仿宋"/>
          <w:bCs/>
          <w:color w:val="auto"/>
          <w:sz w:val="24"/>
          <w:highlight w:val="none"/>
          <w:lang w:val="en-US" w:eastAsia="zh-CN"/>
        </w:rPr>
        <w:t>高新区政府采购计划备案表，编号：(2021)1015号</w:t>
      </w:r>
      <w:r>
        <w:rPr>
          <w:rFonts w:hint="eastAsia" w:ascii="仿宋" w:hAnsi="仿宋" w:eastAsia="仿宋" w:cs="仿宋"/>
          <w:bCs/>
          <w:color w:val="auto"/>
          <w:sz w:val="24"/>
          <w:highlight w:val="none"/>
          <w:lang w:eastAsia="zh-CN"/>
        </w:rPr>
        <w:t>。</w:t>
      </w:r>
    </w:p>
    <w:p>
      <w:pPr>
        <w:spacing w:line="40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bCs/>
          <w:color w:val="auto"/>
          <w:sz w:val="24"/>
          <w:highlight w:val="none"/>
        </w:rPr>
        <w:t>2.</w:t>
      </w: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成都高新技术产业开发区肖家河街道办事处南片区生活区公共区域及道路清扫保洁、垃圾清运服务项目</w:t>
      </w:r>
    </w:p>
    <w:p>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3.预算金额：</w:t>
      </w:r>
      <w:r>
        <w:rPr>
          <w:rFonts w:hint="eastAsia" w:ascii="仿宋" w:hAnsi="仿宋" w:eastAsia="仿宋" w:cs="仿宋"/>
          <w:bCs/>
          <w:color w:val="auto"/>
          <w:sz w:val="24"/>
          <w:highlight w:val="none"/>
          <w:lang w:val="en-US" w:eastAsia="zh-CN"/>
        </w:rPr>
        <w:t>952800元</w:t>
      </w:r>
      <w:r>
        <w:rPr>
          <w:rFonts w:hint="eastAsia" w:ascii="仿宋" w:hAnsi="仿宋" w:eastAsia="仿宋" w:cs="仿宋"/>
          <w:color w:val="auto"/>
          <w:sz w:val="24"/>
          <w:highlight w:val="none"/>
        </w:rPr>
        <w:t>。</w:t>
      </w:r>
    </w:p>
    <w:p>
      <w:pPr>
        <w:spacing w:line="40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4.最高限价：</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4870"/>
        <w:gridCol w:w="189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vertAlign w:val="baseline"/>
                <w:lang w:val="en-US" w:eastAsia="zh-CN" w:bidi="ar-SA"/>
              </w:rPr>
              <w:t>序号</w:t>
            </w:r>
          </w:p>
        </w:tc>
        <w:tc>
          <w:tcPr>
            <w:tcW w:w="487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
                <w:i w:val="0"/>
                <w:color w:val="auto"/>
                <w:kern w:val="0"/>
                <w:sz w:val="24"/>
                <w:szCs w:val="24"/>
                <w:highlight w:val="none"/>
                <w:u w:val="none"/>
                <w:lang w:val="en-US" w:eastAsia="zh-CN" w:bidi="ar"/>
              </w:rPr>
              <w:t>项目名称</w:t>
            </w:r>
          </w:p>
        </w:tc>
        <w:tc>
          <w:tcPr>
            <w:tcW w:w="189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vertAlign w:val="baseline"/>
                <w:lang w:val="en-US" w:eastAsia="zh-CN" w:bidi="ar-SA"/>
              </w:rPr>
              <w:t>单价限价</w:t>
            </w:r>
          </w:p>
        </w:tc>
        <w:tc>
          <w:tcPr>
            <w:tcW w:w="84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vertAlign w:val="baseline"/>
                <w:lang w:val="en-US" w:eastAsia="zh-CN" w:bidi="ar-SA"/>
              </w:rPr>
              <w:t>1</w:t>
            </w:r>
          </w:p>
        </w:tc>
        <w:tc>
          <w:tcPr>
            <w:tcW w:w="487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lang w:val="en-US" w:eastAsia="zh-CN" w:bidi="ar-SA"/>
              </w:rPr>
              <w:t>游园清扫、保洁（包含配电箱、座椅、游园设施、公益广告牌保洁）</w:t>
            </w:r>
          </w:p>
        </w:tc>
        <w:tc>
          <w:tcPr>
            <w:tcW w:w="189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lang w:val="en-US" w:eastAsia="zh-CN" w:bidi="ar-SA"/>
              </w:rPr>
              <w:t>1.79元/㎡/月</w:t>
            </w:r>
          </w:p>
        </w:tc>
        <w:tc>
          <w:tcPr>
            <w:tcW w:w="84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vertAlign w:val="baseline"/>
                <w:lang w:val="en-US" w:eastAsia="zh-CN" w:bidi="ar-SA"/>
              </w:rPr>
              <w:t>2</w:t>
            </w:r>
          </w:p>
        </w:tc>
        <w:tc>
          <w:tcPr>
            <w:tcW w:w="487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lang w:val="en-US" w:eastAsia="zh-CN" w:bidi="ar-SA"/>
              </w:rPr>
              <w:t>二类道路清扫、保洁（包含配电箱、座椅、游园设施、公益广告牌保洁）</w:t>
            </w:r>
          </w:p>
        </w:tc>
        <w:tc>
          <w:tcPr>
            <w:tcW w:w="189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lang w:val="en-US" w:eastAsia="zh-CN" w:bidi="ar-SA"/>
              </w:rPr>
              <w:t>1.22元/㎡/月</w:t>
            </w:r>
          </w:p>
        </w:tc>
        <w:tc>
          <w:tcPr>
            <w:tcW w:w="84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vertAlign w:val="baseline"/>
                <w:lang w:val="en-US" w:eastAsia="zh-CN" w:bidi="ar-SA"/>
              </w:rPr>
              <w:t>3</w:t>
            </w:r>
          </w:p>
        </w:tc>
        <w:tc>
          <w:tcPr>
            <w:tcW w:w="487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lang w:val="en-US" w:eastAsia="zh-CN" w:bidi="ar-SA"/>
              </w:rPr>
              <w:t>垃圾运输</w:t>
            </w:r>
          </w:p>
        </w:tc>
        <w:tc>
          <w:tcPr>
            <w:tcW w:w="1890"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lang w:val="en-US" w:eastAsia="zh-CN" w:bidi="ar-SA"/>
              </w:rPr>
              <w:t>126.7元/吨</w:t>
            </w:r>
          </w:p>
        </w:tc>
        <w:tc>
          <w:tcPr>
            <w:tcW w:w="841" w:type="dxa"/>
            <w:noWrap w:val="0"/>
            <w:vAlign w:val="center"/>
          </w:tcPr>
          <w:p>
            <w:pPr>
              <w:pStyle w:val="9"/>
              <w:spacing w:line="360" w:lineRule="auto"/>
              <w:jc w:val="center"/>
              <w:rPr>
                <w:rFonts w:hint="eastAsia" w:ascii="仿宋" w:hAnsi="仿宋" w:eastAsia="仿宋" w:cs="仿宋"/>
                <w:bCs/>
                <w:color w:val="auto"/>
                <w:kern w:val="2"/>
                <w:sz w:val="24"/>
                <w:szCs w:val="24"/>
                <w:highlight w:val="none"/>
                <w:vertAlign w:val="baseline"/>
                <w:lang w:val="en-US" w:eastAsia="zh-CN" w:bidi="ar-SA"/>
              </w:rPr>
            </w:pPr>
          </w:p>
        </w:tc>
      </w:tr>
    </w:tbl>
    <w:p>
      <w:pPr>
        <w:spacing w:after="156" w:afterLines="50" w:line="40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5.采购需求：</w:t>
      </w:r>
      <w:r>
        <w:rPr>
          <w:rFonts w:hint="eastAsia" w:ascii="仿宋" w:hAnsi="仿宋" w:eastAsia="仿宋" w:cs="仿宋"/>
          <w:b w:val="0"/>
          <w:bCs/>
          <w:color w:val="auto"/>
          <w:sz w:val="24"/>
          <w:highlight w:val="none"/>
        </w:rPr>
        <w:t>南片区生活区公共区域及道路清扫保洁、垃圾清运服务</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(采购</w:t>
      </w:r>
      <w:r>
        <w:rPr>
          <w:rFonts w:hint="eastAsia" w:ascii="仿宋" w:hAnsi="仿宋" w:eastAsia="仿宋" w:cs="仿宋"/>
          <w:b w:val="0"/>
          <w:bCs/>
          <w:color w:val="auto"/>
          <w:spacing w:val="-4"/>
          <w:sz w:val="24"/>
          <w:highlight w:val="none"/>
        </w:rPr>
        <w:t>需求详见招标文件第</w:t>
      </w:r>
      <w:r>
        <w:rPr>
          <w:rFonts w:hint="eastAsia" w:ascii="仿宋" w:hAnsi="仿宋" w:eastAsia="仿宋" w:cs="仿宋"/>
          <w:bCs/>
          <w:color w:val="auto"/>
          <w:spacing w:val="-4"/>
          <w:sz w:val="24"/>
          <w:highlight w:val="none"/>
        </w:rPr>
        <w:t>六章。）</w:t>
      </w:r>
    </w:p>
    <w:p>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6.合同履行期限：</w:t>
      </w:r>
      <w:r>
        <w:rPr>
          <w:rFonts w:hint="eastAsia" w:ascii="仿宋" w:hAnsi="仿宋" w:eastAsia="仿宋" w:cs="仿宋"/>
          <w:b w:val="0"/>
          <w:bCs w:val="0"/>
          <w:color w:val="auto"/>
          <w:sz w:val="24"/>
          <w:highlight w:val="none"/>
        </w:rPr>
        <w:t>2021年10月11日-2021年12月31日。</w:t>
      </w:r>
    </w:p>
    <w:p>
      <w:pPr>
        <w:spacing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7.本项目不接受联合体投标。</w:t>
      </w:r>
    </w:p>
    <w:p>
      <w:pPr>
        <w:spacing w:before="156" w:beforeLines="50" w:after="156" w:afterLines="50"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二、申请人的资格要求：</w:t>
      </w:r>
    </w:p>
    <w:p>
      <w:pPr>
        <w:spacing w:line="400" w:lineRule="exact"/>
        <w:ind w:firstLine="464" w:firstLineChars="200"/>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1.满足《中华人民共和国政府采购法》第二十二条规定：</w:t>
      </w:r>
    </w:p>
    <w:p>
      <w:pPr>
        <w:spacing w:line="400" w:lineRule="exact"/>
        <w:ind w:firstLine="464" w:firstLineChars="200"/>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2.落实政府采购政策需满足的资格条件：本项目专门面向中小企业采购。</w:t>
      </w:r>
    </w:p>
    <w:p>
      <w:pPr>
        <w:pStyle w:val="9"/>
        <w:spacing w:line="400" w:lineRule="exact"/>
        <w:ind w:firstLine="464" w:firstLineChars="200"/>
        <w:rPr>
          <w:rFonts w:hint="eastAsia" w:ascii="仿宋" w:hAnsi="仿宋" w:eastAsia="仿宋" w:cs="仿宋"/>
          <w:color w:val="auto"/>
          <w:highlight w:val="none"/>
        </w:rPr>
      </w:pPr>
      <w:r>
        <w:rPr>
          <w:rFonts w:hint="eastAsia" w:ascii="仿宋" w:hAnsi="仿宋" w:eastAsia="仿宋" w:cs="仿宋"/>
          <w:color w:val="auto"/>
          <w:spacing w:val="-4"/>
          <w:sz w:val="24"/>
          <w:highlight w:val="none"/>
        </w:rPr>
        <w:t>3.本项目的特定资格要求：</w:t>
      </w:r>
    </w:p>
    <w:p>
      <w:pPr>
        <w:spacing w:line="400" w:lineRule="exact"/>
        <w:ind w:firstLine="464" w:firstLineChars="200"/>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3.1参加本政府采购活动的</w:t>
      </w:r>
      <w:r>
        <w:rPr>
          <w:rFonts w:hint="eastAsia" w:ascii="仿宋" w:hAnsi="仿宋" w:eastAsia="仿宋" w:cs="仿宋"/>
          <w:color w:val="auto"/>
          <w:spacing w:val="-4"/>
          <w:sz w:val="24"/>
          <w:highlight w:val="none"/>
          <w:lang w:eastAsia="zh-CN"/>
        </w:rPr>
        <w:t>投标人</w:t>
      </w:r>
      <w:r>
        <w:rPr>
          <w:rFonts w:hint="eastAsia" w:ascii="仿宋" w:hAnsi="仿宋" w:eastAsia="仿宋" w:cs="仿宋"/>
          <w:color w:val="auto"/>
          <w:spacing w:val="-4"/>
          <w:sz w:val="24"/>
          <w:highlight w:val="none"/>
        </w:rPr>
        <w:t>、法定代表人、主要负责人在前三年内不得具有行贿犯罪记录；</w:t>
      </w:r>
    </w:p>
    <w:p>
      <w:pPr>
        <w:spacing w:line="400" w:lineRule="exact"/>
        <w:ind w:firstLine="464" w:firstLineChars="200"/>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3.2本项目不允许联合体参与采购活动。</w:t>
      </w:r>
    </w:p>
    <w:p>
      <w:pPr>
        <w:spacing w:before="156" w:beforeLines="50" w:after="156" w:afterLines="50"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pPr>
        <w:pStyle w:val="9"/>
        <w:spacing w:line="400" w:lineRule="exact"/>
        <w:ind w:firstLine="480" w:firstLineChars="20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rPr>
        <w:t>1.时间：</w:t>
      </w:r>
      <w:r>
        <w:rPr>
          <w:rFonts w:hint="eastAsia" w:ascii="仿宋" w:hAnsi="仿宋" w:eastAsia="仿宋" w:cs="仿宋"/>
          <w:bCs/>
          <w:color w:val="auto"/>
          <w:sz w:val="24"/>
          <w:highlight w:val="none"/>
          <w:lang w:val="zh-CN"/>
        </w:rPr>
        <w:t>202</w:t>
      </w: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zh-CN"/>
        </w:rPr>
        <w:t>年</w:t>
      </w:r>
      <w:r>
        <w:rPr>
          <w:rFonts w:hint="eastAsia" w:ascii="仿宋" w:hAnsi="仿宋" w:eastAsia="仿宋" w:cs="仿宋"/>
          <w:bCs/>
          <w:color w:val="auto"/>
          <w:sz w:val="24"/>
          <w:highlight w:val="none"/>
          <w:lang w:val="en-US" w:eastAsia="zh-CN"/>
        </w:rPr>
        <w:t>08</w:t>
      </w:r>
      <w:r>
        <w:rPr>
          <w:rFonts w:hint="eastAsia" w:ascii="仿宋" w:hAnsi="仿宋" w:eastAsia="仿宋" w:cs="仿宋"/>
          <w:bCs/>
          <w:color w:val="auto"/>
          <w:sz w:val="24"/>
          <w:highlight w:val="none"/>
          <w:lang w:val="zh-CN"/>
        </w:rPr>
        <w:t>月</w:t>
      </w:r>
      <w:r>
        <w:rPr>
          <w:rFonts w:hint="eastAsia" w:ascii="仿宋" w:hAnsi="仿宋" w:eastAsia="仿宋" w:cs="仿宋"/>
          <w:bCs/>
          <w:color w:val="auto"/>
          <w:sz w:val="24"/>
          <w:highlight w:val="none"/>
          <w:lang w:val="en-US" w:eastAsia="zh-CN"/>
        </w:rPr>
        <w:t>31</w:t>
      </w:r>
      <w:r>
        <w:rPr>
          <w:rFonts w:hint="eastAsia" w:ascii="仿宋" w:hAnsi="仿宋" w:eastAsia="仿宋" w:cs="仿宋"/>
          <w:bCs/>
          <w:color w:val="auto"/>
          <w:sz w:val="24"/>
          <w:highlight w:val="none"/>
          <w:lang w:val="zh-CN"/>
        </w:rPr>
        <w:t>日至202</w:t>
      </w: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zh-CN"/>
        </w:rPr>
        <w:t>年</w:t>
      </w:r>
      <w:r>
        <w:rPr>
          <w:rFonts w:hint="eastAsia" w:ascii="仿宋" w:hAnsi="仿宋" w:eastAsia="仿宋" w:cs="仿宋"/>
          <w:bCs/>
          <w:color w:val="auto"/>
          <w:sz w:val="24"/>
          <w:highlight w:val="none"/>
          <w:lang w:val="en-US" w:eastAsia="zh-CN"/>
        </w:rPr>
        <w:t>09</w:t>
      </w:r>
      <w:r>
        <w:rPr>
          <w:rFonts w:hint="eastAsia" w:ascii="仿宋" w:hAnsi="仿宋" w:eastAsia="仿宋" w:cs="仿宋"/>
          <w:bCs/>
          <w:color w:val="auto"/>
          <w:sz w:val="24"/>
          <w:highlight w:val="none"/>
          <w:lang w:val="zh-CN"/>
        </w:rPr>
        <w:t>月</w:t>
      </w:r>
      <w:r>
        <w:rPr>
          <w:rFonts w:hint="eastAsia" w:ascii="仿宋" w:hAnsi="仿宋" w:eastAsia="仿宋" w:cs="仿宋"/>
          <w:bCs/>
          <w:color w:val="auto"/>
          <w:sz w:val="24"/>
          <w:highlight w:val="none"/>
          <w:lang w:val="en-US" w:eastAsia="zh-CN"/>
        </w:rPr>
        <w:t>07</w:t>
      </w:r>
      <w:r>
        <w:rPr>
          <w:rFonts w:hint="eastAsia" w:ascii="仿宋" w:hAnsi="仿宋" w:eastAsia="仿宋" w:cs="仿宋"/>
          <w:bCs/>
          <w:color w:val="auto"/>
          <w:sz w:val="24"/>
          <w:highlight w:val="none"/>
          <w:lang w:val="zh-CN"/>
        </w:rPr>
        <w:t>日（北京时间，法定节假日除外）</w:t>
      </w:r>
      <w:bookmarkStart w:id="190" w:name="_GoBack"/>
      <w:bookmarkEnd w:id="190"/>
    </w:p>
    <w:p>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2.地点：成都市武侯区星狮路818号大合仓星商界4幢4单元801。</w:t>
      </w:r>
    </w:p>
    <w:p>
      <w:pPr>
        <w:spacing w:line="40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3.方式：投标人从“政府采购云平台”获取采购文件（网址：</w:t>
      </w:r>
      <w:r>
        <w:rPr>
          <w:rFonts w:hint="eastAsia" w:ascii="仿宋" w:hAnsi="仿宋" w:eastAsia="仿宋" w:cs="仿宋"/>
          <w:bCs/>
          <w:color w:val="auto"/>
          <w:sz w:val="24"/>
          <w:highlight w:val="none"/>
        </w:rPr>
        <w:fldChar w:fldCharType="begin"/>
      </w:r>
      <w:r>
        <w:rPr>
          <w:rFonts w:hint="eastAsia" w:ascii="仿宋" w:hAnsi="仿宋" w:eastAsia="仿宋" w:cs="仿宋"/>
          <w:bCs/>
          <w:color w:val="auto"/>
          <w:sz w:val="24"/>
          <w:highlight w:val="none"/>
        </w:rPr>
        <w:instrText xml:space="preserve"> HYPERLINK "https://www.zcygov.cn）。登录政府采购云平台—项目采购—获取采购文件—申请获取采购文件。" </w:instrText>
      </w:r>
      <w:r>
        <w:rPr>
          <w:rFonts w:hint="eastAsia" w:ascii="仿宋" w:hAnsi="仿宋" w:eastAsia="仿宋" w:cs="仿宋"/>
          <w:bCs/>
          <w:color w:val="auto"/>
          <w:sz w:val="24"/>
          <w:highlight w:val="none"/>
        </w:rPr>
        <w:fldChar w:fldCharType="separate"/>
      </w:r>
      <w:r>
        <w:rPr>
          <w:rStyle w:val="35"/>
          <w:rFonts w:hint="eastAsia" w:ascii="仿宋" w:hAnsi="仿宋" w:eastAsia="仿宋" w:cs="仿宋"/>
          <w:bCs/>
          <w:sz w:val="24"/>
          <w:highlight w:val="none"/>
        </w:rPr>
        <w:t>https://www.zcygov.cn）。登录政府采购云平台—项目采购—获取采购文件—申请获取采购文件</w:t>
      </w:r>
      <w:r>
        <w:rPr>
          <w:rStyle w:val="35"/>
          <w:rFonts w:hint="eastAsia" w:ascii="仿宋" w:hAnsi="仿宋" w:eastAsia="仿宋" w:cs="仿宋"/>
          <w:bCs/>
          <w:sz w:val="24"/>
          <w:highlight w:val="none"/>
          <w:lang w:eastAsia="zh-CN"/>
        </w:rPr>
        <w:t>。</w:t>
      </w:r>
      <w:r>
        <w:rPr>
          <w:rFonts w:hint="eastAsia" w:ascii="仿宋" w:hAnsi="仿宋" w:eastAsia="仿宋" w:cs="仿宋"/>
          <w:bCs/>
          <w:color w:val="auto"/>
          <w:sz w:val="24"/>
          <w:highlight w:val="none"/>
        </w:rPr>
        <w:fldChar w:fldCharType="end"/>
      </w:r>
    </w:p>
    <w:p>
      <w:pPr>
        <w:spacing w:line="400" w:lineRule="exact"/>
        <w:ind w:firstLine="482" w:firstLineChars="200"/>
        <w:rPr>
          <w:rStyle w:val="35"/>
          <w:rFonts w:hint="eastAsia" w:ascii="仿宋" w:hAnsi="仿宋" w:eastAsia="仿宋" w:cs="仿宋"/>
          <w:b/>
          <w:bCs w:val="0"/>
          <w:sz w:val="24"/>
          <w:highlight w:val="none"/>
          <w:lang w:val="en-US" w:eastAsia="zh-CN"/>
        </w:rPr>
      </w:pPr>
      <w:r>
        <w:rPr>
          <w:rStyle w:val="35"/>
          <w:rFonts w:hint="eastAsia" w:ascii="仿宋" w:hAnsi="仿宋" w:eastAsia="仿宋" w:cs="仿宋"/>
          <w:b/>
          <w:bCs w:val="0"/>
          <w:sz w:val="24"/>
          <w:highlight w:val="none"/>
          <w:lang w:val="en-US" w:eastAsia="zh-CN"/>
        </w:rPr>
        <w:t>注：投标人只有在“政府采购云平台”完成获取招标文件申请并下载招标文件后才视作依法参与本项目。如未在“政府采购云平台”内完成相关流程，引起的投标无效责任自负。</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.售价</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rPr>
        <w:t>元/份。</w:t>
      </w:r>
    </w:p>
    <w:p>
      <w:pPr>
        <w:pStyle w:val="9"/>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1.提交投标文件截止时间、开标时间：2021年09月22日10点30分（北京时间），投标文件必须在投标截止时间前送达开标地点。逾期送达的投标文件不予接收。本次招标不接受邮寄的投标文件。</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2.地点：成都市武侯区星狮路818号大合仓星商界4幢4单元801～802 四川致恒招标代理有限公司。</w:t>
      </w:r>
    </w:p>
    <w:p>
      <w:pPr>
        <w:pStyle w:val="9"/>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五、公告期限：自本项目采购公告发布之日起5个工作日。</w:t>
      </w:r>
    </w:p>
    <w:p>
      <w:pPr>
        <w:spacing w:after="156" w:afterLines="50" w:line="400" w:lineRule="exact"/>
        <w:ind w:firstLine="482" w:firstLineChars="200"/>
        <w:rPr>
          <w:rFonts w:hint="eastAsia" w:ascii="仿宋" w:hAnsi="仿宋" w:eastAsia="仿宋" w:cs="仿宋"/>
          <w:color w:val="auto"/>
          <w:highlight w:val="none"/>
        </w:rPr>
      </w:pPr>
      <w:r>
        <w:rPr>
          <w:rFonts w:hint="eastAsia" w:ascii="仿宋" w:hAnsi="仿宋" w:eastAsia="仿宋" w:cs="仿宋"/>
          <w:b/>
          <w:color w:val="auto"/>
          <w:sz w:val="24"/>
          <w:highlight w:val="none"/>
        </w:rPr>
        <w:t>六、其他补充事宜：</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1.采购项目需要落实的政府采购政策：促进中小企业发展,促进监狱企业发展,促进残疾人福利性单位发展。</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2.拒绝参加本次政府采购活动的</w:t>
      </w:r>
      <w:r>
        <w:rPr>
          <w:rFonts w:hint="eastAsia" w:ascii="仿宋" w:hAnsi="仿宋" w:eastAsia="仿宋" w:cs="仿宋"/>
          <w:bCs/>
          <w:color w:val="auto"/>
          <w:sz w:val="24"/>
          <w:highlight w:val="none"/>
          <w:lang w:eastAsia="zh-CN"/>
        </w:rPr>
        <w:t>投标人</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2.1根据《关于在政府采购活动中查询及使用信用记录有关问题的通知》（财库〔2016〕125号）的要求，代理机构将</w:t>
      </w:r>
      <w:r>
        <w:rPr>
          <w:rFonts w:hint="eastAsia" w:ascii="仿宋" w:hAnsi="仿宋" w:eastAsia="仿宋" w:cs="仿宋"/>
          <w:bCs/>
          <w:color w:val="auto"/>
          <w:sz w:val="24"/>
          <w:highlight w:val="none"/>
          <w:lang w:eastAsia="zh-CN"/>
        </w:rPr>
        <w:t>在提交投标文件截止时间前一个工作日内</w:t>
      </w:r>
      <w:r>
        <w:rPr>
          <w:rFonts w:hint="eastAsia" w:ascii="仿宋" w:hAnsi="仿宋" w:eastAsia="仿宋" w:cs="仿宋"/>
          <w:bCs/>
          <w:color w:val="auto"/>
          <w:sz w:val="24"/>
          <w:highlight w:val="none"/>
        </w:rPr>
        <w:t>通过“信用中国”网站（www.creditchina.gov.cn）、“中国政府采购网”网站（www.ccgp.gov.cn）查询投标人在</w:t>
      </w:r>
      <w:r>
        <w:rPr>
          <w:rFonts w:hint="eastAsia" w:ascii="仿宋" w:hAnsi="仿宋" w:eastAsia="仿宋" w:cs="仿宋"/>
          <w:bCs/>
          <w:color w:val="auto"/>
          <w:sz w:val="24"/>
          <w:highlight w:val="none"/>
          <w:lang w:eastAsia="zh-CN"/>
        </w:rPr>
        <w:t>参加本次政府采购活动前三年内</w:t>
      </w:r>
      <w:r>
        <w:rPr>
          <w:rFonts w:hint="eastAsia" w:ascii="仿宋" w:hAnsi="仿宋" w:eastAsia="仿宋" w:cs="仿宋"/>
          <w:bCs/>
          <w:color w:val="auto"/>
          <w:sz w:val="24"/>
          <w:highlight w:val="none"/>
        </w:rPr>
        <w:t>的信用记录并保存信用记录结果网页截图，拒绝列入失信被执行人、重大税收违法案件当事人名单、政府采购严重违法失信行为记录名单及其他不符合《中华人民共和国政府采购法》第二十二条规定条件的投标人报名参加本项目的政府采购活动。</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2.2为采购项目提供整体设计、规范编制或者项目管理、监理、检测等服务的</w:t>
      </w:r>
      <w:r>
        <w:rPr>
          <w:rFonts w:hint="eastAsia" w:ascii="仿宋" w:hAnsi="仿宋" w:eastAsia="仿宋" w:cs="仿宋"/>
          <w:bCs/>
          <w:color w:val="auto"/>
          <w:sz w:val="24"/>
          <w:highlight w:val="none"/>
          <w:lang w:eastAsia="zh-CN"/>
        </w:rPr>
        <w:t>投标人</w:t>
      </w:r>
      <w:r>
        <w:rPr>
          <w:rFonts w:hint="eastAsia" w:ascii="仿宋" w:hAnsi="仿宋" w:eastAsia="仿宋" w:cs="仿宋"/>
          <w:bCs/>
          <w:color w:val="auto"/>
          <w:sz w:val="24"/>
          <w:highlight w:val="none"/>
        </w:rPr>
        <w:t>，不得参加本采购项目</w:t>
      </w:r>
      <w:r>
        <w:rPr>
          <w:rFonts w:hint="eastAsia" w:ascii="仿宋" w:hAnsi="仿宋" w:eastAsia="仿宋" w:cs="仿宋"/>
          <w:bCs/>
          <w:color w:val="auto"/>
          <w:sz w:val="24"/>
          <w:highlight w:val="none"/>
          <w:lang w:eastAsia="zh-CN"/>
        </w:rPr>
        <w:t>的其他采购活动</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投标人</w:t>
      </w:r>
      <w:r>
        <w:rPr>
          <w:rFonts w:hint="eastAsia" w:ascii="仿宋" w:hAnsi="仿宋" w:eastAsia="仿宋" w:cs="仿宋"/>
          <w:bCs/>
          <w:color w:val="auto"/>
          <w:sz w:val="24"/>
          <w:highlight w:val="none"/>
        </w:rPr>
        <w:t>为采购人、采购代理机构在确定采购需求、编制招标文件过程中提供咨询论证，其提供的咨询论证意见成为招标文件中规定的</w:t>
      </w:r>
      <w:r>
        <w:rPr>
          <w:rFonts w:hint="eastAsia" w:ascii="仿宋" w:hAnsi="仿宋" w:eastAsia="仿宋" w:cs="仿宋"/>
          <w:bCs/>
          <w:color w:val="auto"/>
          <w:sz w:val="24"/>
          <w:highlight w:val="none"/>
          <w:lang w:eastAsia="zh-CN"/>
        </w:rPr>
        <w:t>投标人</w:t>
      </w:r>
      <w:r>
        <w:rPr>
          <w:rFonts w:hint="eastAsia" w:ascii="仿宋" w:hAnsi="仿宋" w:eastAsia="仿宋" w:cs="仿宋"/>
          <w:bCs/>
          <w:color w:val="auto"/>
          <w:sz w:val="24"/>
          <w:highlight w:val="none"/>
        </w:rPr>
        <w:t>资格条件、技术服务商务要求、评审因素和标准、政府采购合同等实质性内容条款的，视同为采购项目提供规范编制。</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3.资格审查</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本项目</w:t>
      </w:r>
      <w:r>
        <w:rPr>
          <w:rFonts w:hint="eastAsia" w:ascii="仿宋" w:hAnsi="仿宋" w:eastAsia="仿宋" w:cs="仿宋"/>
          <w:bCs/>
          <w:color w:val="auto"/>
          <w:sz w:val="24"/>
          <w:highlight w:val="none"/>
          <w:lang w:eastAsia="zh-CN"/>
        </w:rPr>
        <w:t>投标人</w:t>
      </w:r>
      <w:r>
        <w:rPr>
          <w:rFonts w:hint="eastAsia" w:ascii="仿宋" w:hAnsi="仿宋" w:eastAsia="仿宋" w:cs="仿宋"/>
          <w:bCs/>
          <w:color w:val="auto"/>
          <w:sz w:val="24"/>
          <w:highlight w:val="none"/>
        </w:rPr>
        <w:t>的资格条件在开标后进行审查。</w:t>
      </w:r>
      <w:r>
        <w:rPr>
          <w:rFonts w:hint="eastAsia" w:ascii="仿宋" w:hAnsi="仿宋" w:eastAsia="仿宋" w:cs="仿宋"/>
          <w:bCs/>
          <w:color w:val="auto"/>
          <w:sz w:val="24"/>
          <w:highlight w:val="none"/>
          <w:lang w:eastAsia="zh-CN"/>
        </w:rPr>
        <w:t>投标人</w:t>
      </w:r>
      <w:r>
        <w:rPr>
          <w:rFonts w:hint="eastAsia" w:ascii="仿宋" w:hAnsi="仿宋" w:eastAsia="仿宋" w:cs="仿宋"/>
          <w:bCs/>
          <w:color w:val="auto"/>
          <w:sz w:val="24"/>
          <w:highlight w:val="none"/>
        </w:rPr>
        <w:t>应在投标文件中按招标文件的规定和要求附上所有的资格证明文件，若提供的资格证明文件无效、不全或不实，将导致其投标或中标资格被取消。</w:t>
      </w:r>
    </w:p>
    <w:p>
      <w:pPr>
        <w:pStyle w:val="9"/>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4.本投标邀请在四川政府采购网上以公告形式发布。</w:t>
      </w:r>
    </w:p>
    <w:p>
      <w:pPr>
        <w:pStyle w:val="63"/>
        <w:spacing w:before="156" w:beforeLines="50" w:after="156" w:afterLines="50" w:line="400" w:lineRule="exact"/>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七、对本次招标提出询问，请按以下方式联系。</w:t>
      </w:r>
    </w:p>
    <w:p>
      <w:pPr>
        <w:pStyle w:val="63"/>
        <w:spacing w:line="400" w:lineRule="exact"/>
        <w:ind w:firstLine="1195" w:firstLineChars="4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1.采购人信息：</w:t>
      </w:r>
    </w:p>
    <w:p>
      <w:pPr>
        <w:pStyle w:val="63"/>
        <w:spacing w:line="400" w:lineRule="exact"/>
        <w:ind w:firstLine="1195" w:firstLineChars="4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采购人：</w:t>
      </w:r>
      <w:r>
        <w:rPr>
          <w:rFonts w:hint="eastAsia" w:ascii="仿宋" w:hAnsi="仿宋" w:eastAsia="仿宋" w:cs="仿宋"/>
          <w:b/>
          <w:color w:val="auto"/>
          <w:sz w:val="24"/>
          <w:highlight w:val="none"/>
          <w:lang w:eastAsia="zh-CN"/>
        </w:rPr>
        <w:t>成都高新技术产业开发区肖家河街道办事处</w:t>
      </w:r>
      <w:r>
        <w:rPr>
          <w:rFonts w:hint="eastAsia" w:ascii="仿宋" w:hAnsi="仿宋" w:eastAsia="仿宋" w:cs="仿宋"/>
          <w:b/>
          <w:color w:val="auto"/>
          <w:sz w:val="24"/>
          <w:highlight w:val="none"/>
        </w:rPr>
        <w:t xml:space="preserve"> </w:t>
      </w:r>
    </w:p>
    <w:p>
      <w:pPr>
        <w:pStyle w:val="63"/>
        <w:spacing w:line="400" w:lineRule="exact"/>
        <w:ind w:firstLine="1200" w:firstLineChars="5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地</w:t>
      </w:r>
      <w:r>
        <w:rPr>
          <w:rFonts w:hint="eastAsia" w:ascii="仿宋" w:hAnsi="仿宋" w:eastAsia="仿宋" w:cs="仿宋"/>
          <w:bCs/>
          <w:color w:val="auto"/>
          <w:sz w:val="24"/>
          <w:highlight w:val="none"/>
          <w:lang w:val="en-US" w:eastAsia="zh-CN"/>
        </w:rPr>
        <w:t xml:space="preserve">  </w:t>
      </w:r>
      <w:r>
        <w:rPr>
          <w:rFonts w:hint="eastAsia" w:ascii="仿宋" w:hAnsi="仿宋" w:eastAsia="仿宋" w:cs="仿宋"/>
          <w:bCs/>
          <w:color w:val="auto"/>
          <w:sz w:val="24"/>
          <w:highlight w:val="none"/>
        </w:rPr>
        <w:t>址：成都高新区新乐中街79号</w:t>
      </w:r>
    </w:p>
    <w:p>
      <w:pPr>
        <w:pStyle w:val="63"/>
        <w:spacing w:line="400" w:lineRule="exact"/>
        <w:ind w:firstLine="1200" w:firstLineChars="5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联系人：唐帅</w:t>
      </w:r>
    </w:p>
    <w:p>
      <w:pPr>
        <w:pStyle w:val="63"/>
        <w:spacing w:line="400" w:lineRule="exact"/>
        <w:ind w:firstLine="1200" w:firstLineChars="5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联系方式：028-85153474</w:t>
      </w:r>
    </w:p>
    <w:p>
      <w:pPr>
        <w:pStyle w:val="63"/>
        <w:spacing w:line="400" w:lineRule="exact"/>
        <w:ind w:firstLine="1205" w:firstLineChars="5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2.采购代理机构信息</w:t>
      </w:r>
    </w:p>
    <w:p>
      <w:pPr>
        <w:pStyle w:val="63"/>
        <w:spacing w:line="400" w:lineRule="exact"/>
        <w:ind w:firstLine="1205" w:firstLineChars="5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采购代理机构名称：四川致恒招标代理有限公司</w:t>
      </w:r>
    </w:p>
    <w:p>
      <w:pPr>
        <w:pStyle w:val="63"/>
        <w:spacing w:line="4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地址：</w:t>
      </w:r>
      <w:r>
        <w:rPr>
          <w:rFonts w:hint="eastAsia" w:ascii="仿宋" w:hAnsi="仿宋" w:eastAsia="仿宋" w:cs="仿宋"/>
          <w:color w:val="auto"/>
          <w:sz w:val="24"/>
          <w:szCs w:val="28"/>
          <w:highlight w:val="none"/>
        </w:rPr>
        <w:t xml:space="preserve">成都市武侯区星狮路818号大合仓星商界4栋4单元801-802 </w:t>
      </w:r>
    </w:p>
    <w:p>
      <w:pPr>
        <w:pStyle w:val="63"/>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联系人/采购项目联系人：</w:t>
      </w:r>
      <w:r>
        <w:rPr>
          <w:rFonts w:hint="eastAsia" w:ascii="仿宋" w:hAnsi="仿宋" w:eastAsia="仿宋" w:cs="仿宋"/>
          <w:color w:val="auto"/>
          <w:sz w:val="24"/>
          <w:highlight w:val="none"/>
          <w:lang w:val="en-US" w:eastAsia="zh-CN"/>
        </w:rPr>
        <w:t>李性雅</w:t>
      </w:r>
      <w:r>
        <w:rPr>
          <w:rFonts w:hint="eastAsia" w:ascii="仿宋" w:hAnsi="仿宋" w:eastAsia="仿宋" w:cs="仿宋"/>
          <w:color w:val="auto"/>
          <w:sz w:val="24"/>
          <w:highlight w:val="none"/>
        </w:rPr>
        <w:t xml:space="preserve"> </w:t>
      </w:r>
    </w:p>
    <w:p>
      <w:pPr>
        <w:pStyle w:val="63"/>
        <w:spacing w:line="400" w:lineRule="exact"/>
        <w:ind w:firstLine="48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联系电话：028-83388382-8</w:t>
      </w:r>
      <w:r>
        <w:rPr>
          <w:rFonts w:hint="eastAsia" w:ascii="仿宋" w:hAnsi="仿宋" w:eastAsia="仿宋" w:cs="仿宋"/>
          <w:color w:val="auto"/>
          <w:sz w:val="24"/>
          <w:highlight w:val="none"/>
          <w:lang w:val="en-US" w:eastAsia="zh-CN"/>
        </w:rPr>
        <w:t>20</w:t>
      </w:r>
    </w:p>
    <w:p>
      <w:pPr>
        <w:pStyle w:val="63"/>
        <w:spacing w:line="400" w:lineRule="exact"/>
        <w:ind w:firstLine="1200" w:firstLineChars="5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3.项目联系方式：</w:t>
      </w:r>
    </w:p>
    <w:p>
      <w:pPr>
        <w:pStyle w:val="63"/>
        <w:spacing w:line="400" w:lineRule="exact"/>
        <w:ind w:firstLine="1200" w:firstLineChars="500"/>
        <w:rPr>
          <w:rFonts w:hint="default"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项目联系人：</w:t>
      </w:r>
      <w:r>
        <w:rPr>
          <w:rFonts w:hint="eastAsia" w:ascii="仿宋" w:hAnsi="仿宋" w:eastAsia="仿宋" w:cs="仿宋"/>
          <w:color w:val="auto"/>
          <w:sz w:val="24"/>
          <w:szCs w:val="28"/>
          <w:highlight w:val="none"/>
          <w:lang w:val="en-US" w:eastAsia="zh-CN"/>
        </w:rPr>
        <w:t>李性雅</w:t>
      </w:r>
    </w:p>
    <w:p>
      <w:pPr>
        <w:pStyle w:val="63"/>
        <w:spacing w:line="400" w:lineRule="exact"/>
        <w:ind w:firstLine="960" w:firstLineChars="400"/>
        <w:rPr>
          <w:rFonts w:hint="default"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 xml:space="preserve">  联系电话：028-83388382-8</w:t>
      </w:r>
      <w:r>
        <w:rPr>
          <w:rFonts w:hint="eastAsia" w:ascii="仿宋" w:hAnsi="仿宋" w:eastAsia="仿宋" w:cs="仿宋"/>
          <w:color w:val="auto"/>
          <w:sz w:val="24"/>
          <w:szCs w:val="28"/>
          <w:highlight w:val="none"/>
          <w:lang w:val="en-US" w:eastAsia="zh-CN"/>
        </w:rPr>
        <w:t>20</w:t>
      </w:r>
    </w:p>
    <w:p>
      <w:pPr>
        <w:pStyle w:val="63"/>
        <w:spacing w:line="400" w:lineRule="exact"/>
        <w:ind w:firstLine="960" w:firstLineChars="4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传    真：028-83388382-802</w:t>
      </w:r>
    </w:p>
    <w:p>
      <w:pPr>
        <w:pStyle w:val="63"/>
        <w:spacing w:line="400" w:lineRule="exact"/>
        <w:ind w:firstLine="960" w:firstLineChars="4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电子邮件：</w:t>
      </w:r>
      <w:r>
        <w:rPr>
          <w:rFonts w:hint="eastAsia" w:ascii="仿宋" w:hAnsi="仿宋" w:eastAsia="仿宋" w:cs="仿宋"/>
          <w:color w:val="auto"/>
          <w:sz w:val="24"/>
          <w:szCs w:val="28"/>
          <w:highlight w:val="none"/>
          <w:lang w:val="en-US" w:eastAsia="zh-CN"/>
        </w:rPr>
        <w:fldChar w:fldCharType="begin"/>
      </w:r>
      <w:r>
        <w:rPr>
          <w:rFonts w:hint="eastAsia" w:ascii="仿宋" w:hAnsi="仿宋" w:eastAsia="仿宋" w:cs="仿宋"/>
          <w:color w:val="auto"/>
          <w:sz w:val="24"/>
          <w:szCs w:val="28"/>
          <w:highlight w:val="none"/>
          <w:lang w:val="en-US" w:eastAsia="zh-CN"/>
        </w:rPr>
        <w:instrText xml:space="preserve"> HYPERLINK "mailto:424453541@qq.com" </w:instrText>
      </w:r>
      <w:r>
        <w:rPr>
          <w:rFonts w:hint="eastAsia" w:ascii="仿宋" w:hAnsi="仿宋" w:eastAsia="仿宋" w:cs="仿宋"/>
          <w:color w:val="auto"/>
          <w:sz w:val="24"/>
          <w:szCs w:val="28"/>
          <w:highlight w:val="none"/>
          <w:lang w:val="en-US" w:eastAsia="zh-CN"/>
        </w:rPr>
        <w:fldChar w:fldCharType="separate"/>
      </w:r>
      <w:r>
        <w:rPr>
          <w:rStyle w:val="35"/>
          <w:rFonts w:hint="eastAsia" w:ascii="仿宋" w:hAnsi="仿宋" w:eastAsia="仿宋" w:cs="仿宋"/>
          <w:sz w:val="24"/>
          <w:szCs w:val="28"/>
          <w:highlight w:val="none"/>
          <w:lang w:val="en-US" w:eastAsia="zh-CN"/>
        </w:rPr>
        <w:t>424453541</w:t>
      </w:r>
      <w:r>
        <w:rPr>
          <w:rStyle w:val="35"/>
          <w:rFonts w:hint="eastAsia" w:ascii="仿宋" w:hAnsi="仿宋" w:eastAsia="仿宋" w:cs="仿宋"/>
          <w:sz w:val="24"/>
          <w:szCs w:val="28"/>
          <w:highlight w:val="none"/>
        </w:rPr>
        <w:t>@qq.com</w:t>
      </w:r>
      <w:r>
        <w:rPr>
          <w:rFonts w:hint="eastAsia" w:ascii="仿宋" w:hAnsi="仿宋" w:eastAsia="仿宋" w:cs="仿宋"/>
          <w:color w:val="auto"/>
          <w:sz w:val="24"/>
          <w:szCs w:val="28"/>
          <w:highlight w:val="none"/>
          <w:lang w:val="en-US" w:eastAsia="zh-CN"/>
        </w:rPr>
        <w:fldChar w:fldCharType="end"/>
      </w:r>
    </w:p>
    <w:p>
      <w:pPr>
        <w:pStyle w:val="63"/>
        <w:spacing w:line="400" w:lineRule="exact"/>
        <w:ind w:firstLine="960" w:firstLineChars="400"/>
        <w:rPr>
          <w:rFonts w:hint="eastAsia" w:ascii="仿宋" w:hAnsi="仿宋" w:eastAsia="仿宋" w:cs="仿宋"/>
          <w:color w:val="auto"/>
          <w:highlight w:val="none"/>
        </w:rPr>
      </w:pPr>
      <w:r>
        <w:rPr>
          <w:rFonts w:hint="eastAsia" w:ascii="仿宋" w:hAnsi="仿宋" w:eastAsia="仿宋" w:cs="仿宋"/>
          <w:color w:val="auto"/>
          <w:sz w:val="24"/>
          <w:szCs w:val="28"/>
          <w:highlight w:val="none"/>
        </w:rPr>
        <w:t xml:space="preserve">      </w:t>
      </w:r>
      <w:r>
        <w:rPr>
          <w:rFonts w:hint="eastAsia" w:ascii="仿宋" w:hAnsi="仿宋" w:eastAsia="仿宋" w:cs="仿宋"/>
          <w:color w:val="auto"/>
          <w:highlight w:val="none"/>
        </w:rPr>
        <w:t xml:space="preserve">   </w:t>
      </w:r>
    </w:p>
    <w:p>
      <w:pPr>
        <w:pStyle w:val="9"/>
        <w:spacing w:after="0" w:line="400" w:lineRule="exact"/>
        <w:jc w:val="both"/>
        <w:rPr>
          <w:rFonts w:hint="eastAsia" w:ascii="仿宋" w:hAnsi="仿宋" w:eastAsia="仿宋" w:cs="仿宋"/>
          <w:bCs/>
          <w:color w:val="auto"/>
          <w:sz w:val="36"/>
          <w:szCs w:val="36"/>
          <w:highlight w:val="none"/>
          <w:lang w:val="en-US" w:eastAsia="zh-CN"/>
        </w:rPr>
      </w:pPr>
      <w:bookmarkStart w:id="7" w:name="_Toc25840563"/>
      <w:r>
        <w:rPr>
          <w:rFonts w:hint="eastAsia" w:ascii="仿宋" w:hAnsi="仿宋" w:eastAsia="仿宋" w:cs="仿宋"/>
          <w:bCs/>
          <w:color w:val="auto"/>
          <w:sz w:val="36"/>
          <w:szCs w:val="36"/>
          <w:highlight w:val="none"/>
          <w:lang w:val="en-US" w:eastAsia="zh-CN"/>
        </w:rPr>
        <w:t xml:space="preserve"> </w:t>
      </w:r>
    </w:p>
    <w:p>
      <w:pPr>
        <w:rPr>
          <w:rFonts w:hint="eastAsia" w:ascii="仿宋" w:hAnsi="仿宋" w:eastAsia="仿宋" w:cs="仿宋"/>
          <w:bCs/>
          <w:color w:val="auto"/>
          <w:sz w:val="36"/>
          <w:szCs w:val="36"/>
          <w:highlight w:val="none"/>
          <w:lang w:val="en-US" w:eastAsia="zh-CN"/>
        </w:rPr>
      </w:pPr>
    </w:p>
    <w:p>
      <w:pPr>
        <w:pStyle w:val="2"/>
        <w:rPr>
          <w:rFonts w:hint="eastAsia"/>
          <w:lang w:val="en-US" w:eastAsia="zh-CN"/>
        </w:rPr>
      </w:pPr>
    </w:p>
    <w:p>
      <w:pPr>
        <w:pStyle w:val="9"/>
        <w:spacing w:after="0" w:line="400" w:lineRule="exact"/>
        <w:jc w:val="center"/>
        <w:rPr>
          <w:rFonts w:hint="eastAsia" w:ascii="仿宋" w:hAnsi="仿宋" w:eastAsia="仿宋" w:cs="仿宋"/>
          <w:bCs/>
          <w:color w:val="auto"/>
          <w:sz w:val="36"/>
          <w:szCs w:val="36"/>
          <w:highlight w:val="none"/>
        </w:rPr>
      </w:pPr>
      <w:r>
        <w:rPr>
          <w:rFonts w:hint="eastAsia" w:ascii="仿宋" w:hAnsi="仿宋" w:eastAsia="仿宋" w:cs="仿宋"/>
          <w:b/>
          <w:bCs w:val="0"/>
          <w:color w:val="auto"/>
          <w:sz w:val="36"/>
          <w:szCs w:val="36"/>
          <w:highlight w:val="none"/>
        </w:rPr>
        <w:t>第二章  投标人须知</w:t>
      </w:r>
      <w:bookmarkEnd w:id="7"/>
    </w:p>
    <w:p>
      <w:pPr>
        <w:pStyle w:val="2"/>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一、</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须知前附表</w:t>
      </w:r>
    </w:p>
    <w:tbl>
      <w:tblPr>
        <w:tblStyle w:val="24"/>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7"/>
        <w:gridCol w:w="2510"/>
        <w:gridCol w:w="670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697" w:type="dxa"/>
            <w:noWrap w:val="0"/>
            <w:vAlign w:val="center"/>
          </w:tcPr>
          <w:p>
            <w:pPr>
              <w:pStyle w:val="79"/>
              <w:spacing w:line="400" w:lineRule="exact"/>
              <w:ind w:left="9"/>
              <w:jc w:val="center"/>
              <w:rPr>
                <w:rFonts w:hint="eastAsia" w:ascii="仿宋" w:hAnsi="仿宋" w:eastAsia="仿宋" w:cs="仿宋"/>
                <w:color w:val="auto"/>
                <w:kern w:val="2"/>
                <w:szCs w:val="28"/>
                <w:highlight w:val="none"/>
              </w:rPr>
            </w:pPr>
            <w:r>
              <w:rPr>
                <w:rFonts w:hint="eastAsia" w:ascii="仿宋" w:hAnsi="仿宋" w:eastAsia="仿宋" w:cs="仿宋"/>
                <w:color w:val="auto"/>
                <w:kern w:val="2"/>
                <w:szCs w:val="28"/>
                <w:highlight w:val="none"/>
              </w:rPr>
              <w:t xml:space="preserve">序号 </w:t>
            </w:r>
          </w:p>
        </w:tc>
        <w:tc>
          <w:tcPr>
            <w:tcW w:w="2510" w:type="dxa"/>
            <w:noWrap w:val="0"/>
            <w:vAlign w:val="center"/>
          </w:tcPr>
          <w:p>
            <w:pPr>
              <w:pStyle w:val="79"/>
              <w:spacing w:line="400" w:lineRule="exact"/>
              <w:ind w:left="38"/>
              <w:jc w:val="center"/>
              <w:rPr>
                <w:rFonts w:hint="eastAsia" w:ascii="仿宋" w:hAnsi="仿宋" w:eastAsia="仿宋" w:cs="仿宋"/>
                <w:color w:val="auto"/>
                <w:kern w:val="2"/>
                <w:szCs w:val="28"/>
                <w:highlight w:val="none"/>
              </w:rPr>
            </w:pPr>
            <w:r>
              <w:rPr>
                <w:rFonts w:hint="eastAsia" w:ascii="仿宋" w:hAnsi="仿宋" w:eastAsia="仿宋" w:cs="仿宋"/>
                <w:color w:val="auto"/>
                <w:kern w:val="2"/>
                <w:szCs w:val="28"/>
                <w:highlight w:val="none"/>
              </w:rPr>
              <w:t>条款名称</w:t>
            </w:r>
          </w:p>
        </w:tc>
        <w:tc>
          <w:tcPr>
            <w:tcW w:w="6701" w:type="dxa"/>
            <w:noWrap w:val="0"/>
            <w:vAlign w:val="center"/>
          </w:tcPr>
          <w:p>
            <w:pPr>
              <w:pStyle w:val="79"/>
              <w:spacing w:line="400" w:lineRule="exact"/>
              <w:jc w:val="center"/>
              <w:rPr>
                <w:rFonts w:hint="eastAsia" w:ascii="仿宋" w:hAnsi="仿宋" w:eastAsia="仿宋" w:cs="仿宋"/>
                <w:color w:val="auto"/>
                <w:kern w:val="2"/>
                <w:szCs w:val="28"/>
                <w:highlight w:val="none"/>
              </w:rPr>
            </w:pPr>
            <w:r>
              <w:rPr>
                <w:rFonts w:hint="eastAsia" w:ascii="仿宋" w:hAnsi="仿宋" w:eastAsia="仿宋" w:cs="仿宋"/>
                <w:color w:val="auto"/>
                <w:kern w:val="2"/>
                <w:szCs w:val="28"/>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2" w:hRule="atLeast"/>
          <w:jc w:val="center"/>
        </w:trPr>
        <w:tc>
          <w:tcPr>
            <w:tcW w:w="697" w:type="dxa"/>
            <w:tcBorders>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w:t>
            </w:r>
          </w:p>
        </w:tc>
        <w:tc>
          <w:tcPr>
            <w:tcW w:w="2510" w:type="dxa"/>
            <w:tcBorders>
              <w:bottom w:val="single" w:color="auto" w:sz="4" w:space="0"/>
            </w:tcBorders>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采购人</w:t>
            </w:r>
          </w:p>
        </w:tc>
        <w:tc>
          <w:tcPr>
            <w:tcW w:w="6701" w:type="dxa"/>
            <w:tcBorders>
              <w:bottom w:val="single" w:color="auto" w:sz="4" w:space="0"/>
            </w:tcBorders>
            <w:noWrap w:val="0"/>
            <w:vAlign w:val="center"/>
          </w:tcPr>
          <w:p>
            <w:pPr>
              <w:pStyle w:val="79"/>
              <w:spacing w:line="400" w:lineRule="exact"/>
              <w:rPr>
                <w:rFonts w:hint="eastAsia" w:ascii="仿宋" w:hAnsi="仿宋" w:eastAsia="仿宋" w:cs="仿宋"/>
                <w:color w:val="auto"/>
                <w:highlight w:val="none"/>
              </w:rPr>
            </w:pPr>
            <w:r>
              <w:rPr>
                <w:rFonts w:hint="eastAsia" w:ascii="仿宋" w:hAnsi="仿宋" w:eastAsia="仿宋" w:cs="仿宋"/>
                <w:color w:val="auto"/>
                <w:highlight w:val="none"/>
                <w:lang w:eastAsia="zh-CN"/>
              </w:rPr>
              <w:t>成都高新技术产业开发区肖家河街道办事处</w:t>
            </w:r>
            <w:r>
              <w:rPr>
                <w:rFonts w:hint="eastAsia" w:ascii="仿宋" w:hAnsi="仿宋" w:eastAsia="仿宋" w:cs="仿宋"/>
                <w:color w:val="auto"/>
                <w:highlight w:val="none"/>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0" w:hRule="atLeast"/>
          <w:jc w:val="center"/>
        </w:trPr>
        <w:tc>
          <w:tcPr>
            <w:tcW w:w="697" w:type="dxa"/>
            <w:tcBorders>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w:t>
            </w:r>
          </w:p>
        </w:tc>
        <w:tc>
          <w:tcPr>
            <w:tcW w:w="2510" w:type="dxa"/>
            <w:tcBorders>
              <w:bottom w:val="single" w:color="auto" w:sz="4" w:space="0"/>
            </w:tcBorders>
            <w:noWrap w:val="0"/>
            <w:vAlign w:val="center"/>
          </w:tcPr>
          <w:p>
            <w:pPr>
              <w:pStyle w:val="79"/>
              <w:spacing w:line="400" w:lineRule="exact"/>
              <w:ind w:left="38"/>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采购代理机构</w:t>
            </w:r>
          </w:p>
        </w:tc>
        <w:tc>
          <w:tcPr>
            <w:tcW w:w="6701" w:type="dxa"/>
            <w:tcBorders>
              <w:bottom w:val="single" w:color="auto" w:sz="4" w:space="0"/>
            </w:tcBorders>
            <w:noWrap w:val="0"/>
            <w:vAlign w:val="center"/>
          </w:tcPr>
          <w:p>
            <w:pPr>
              <w:pStyle w:val="79"/>
              <w:spacing w:line="400" w:lineRule="exact"/>
              <w:rPr>
                <w:rFonts w:hint="eastAsia" w:ascii="仿宋" w:hAnsi="仿宋" w:eastAsia="仿宋" w:cs="仿宋"/>
                <w:color w:val="auto"/>
                <w:highlight w:val="none"/>
              </w:rPr>
            </w:pPr>
            <w:r>
              <w:rPr>
                <w:rFonts w:hint="eastAsia" w:ascii="仿宋" w:hAnsi="仿宋" w:eastAsia="仿宋" w:cs="仿宋"/>
                <w:color w:val="auto"/>
                <w:highlight w:val="none"/>
              </w:rPr>
              <w:t>四川致恒招标代理有限公司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3" w:hRule="atLeast"/>
          <w:jc w:val="center"/>
        </w:trPr>
        <w:tc>
          <w:tcPr>
            <w:tcW w:w="697" w:type="dxa"/>
            <w:tcBorders>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3</w:t>
            </w:r>
          </w:p>
        </w:tc>
        <w:tc>
          <w:tcPr>
            <w:tcW w:w="2510" w:type="dxa"/>
            <w:tcBorders>
              <w:bottom w:val="single" w:color="auto" w:sz="4" w:space="0"/>
            </w:tcBorders>
            <w:noWrap w:val="0"/>
            <w:vAlign w:val="center"/>
          </w:tcPr>
          <w:p>
            <w:pPr>
              <w:pStyle w:val="79"/>
              <w:spacing w:line="400" w:lineRule="exact"/>
              <w:ind w:left="38"/>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项目名称</w:t>
            </w:r>
          </w:p>
        </w:tc>
        <w:tc>
          <w:tcPr>
            <w:tcW w:w="6701" w:type="dxa"/>
            <w:tcBorders>
              <w:bottom w:val="single" w:color="auto" w:sz="4" w:space="0"/>
            </w:tcBorders>
            <w:noWrap w:val="0"/>
            <w:vAlign w:val="center"/>
          </w:tcPr>
          <w:p>
            <w:pPr>
              <w:pStyle w:val="79"/>
              <w:spacing w:line="400" w:lineRule="exact"/>
              <w:ind w:left="38"/>
              <w:jc w:val="both"/>
              <w:rPr>
                <w:rFonts w:hint="eastAsia" w:ascii="仿宋" w:hAnsi="仿宋" w:eastAsia="仿宋" w:cs="仿宋"/>
                <w:bCs/>
                <w:color w:val="auto"/>
                <w:highlight w:val="none"/>
                <w:lang w:val="zh-CN"/>
              </w:rPr>
            </w:pPr>
            <w:r>
              <w:rPr>
                <w:rFonts w:hint="eastAsia" w:ascii="仿宋" w:hAnsi="仿宋" w:eastAsia="仿宋" w:cs="仿宋"/>
                <w:bCs/>
                <w:color w:val="auto"/>
                <w:highlight w:val="none"/>
                <w:lang w:val="zh-CN"/>
              </w:rPr>
              <w:t>成都高新技术产业开发区肖家河街道办事处南片区生活区公共区域及道路清扫保洁、垃圾清运服务项目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5" w:hRule="atLeast"/>
          <w:jc w:val="center"/>
        </w:trPr>
        <w:tc>
          <w:tcPr>
            <w:tcW w:w="697" w:type="dxa"/>
            <w:tcBorders>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4</w:t>
            </w:r>
          </w:p>
        </w:tc>
        <w:tc>
          <w:tcPr>
            <w:tcW w:w="2510" w:type="dxa"/>
            <w:tcBorders>
              <w:bottom w:val="single" w:color="auto" w:sz="4" w:space="0"/>
            </w:tcBorders>
            <w:noWrap w:val="0"/>
            <w:vAlign w:val="center"/>
          </w:tcPr>
          <w:p>
            <w:pPr>
              <w:pStyle w:val="79"/>
              <w:spacing w:line="400" w:lineRule="exact"/>
              <w:ind w:left="38"/>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采购项目编号</w:t>
            </w:r>
          </w:p>
        </w:tc>
        <w:tc>
          <w:tcPr>
            <w:tcW w:w="6701" w:type="dxa"/>
            <w:tcBorders>
              <w:bottom w:val="single" w:color="auto" w:sz="4" w:space="0"/>
            </w:tcBorders>
            <w:noWrap w:val="0"/>
            <w:vAlign w:val="center"/>
          </w:tcPr>
          <w:p>
            <w:pPr>
              <w:pStyle w:val="79"/>
              <w:spacing w:line="400" w:lineRule="exact"/>
              <w:ind w:left="38"/>
              <w:jc w:val="both"/>
              <w:rPr>
                <w:rFonts w:hint="eastAsia" w:ascii="仿宋" w:hAnsi="仿宋" w:eastAsia="仿宋" w:cs="仿宋"/>
                <w:bCs/>
                <w:color w:val="auto"/>
                <w:highlight w:val="none"/>
                <w:lang w:val="zh-CN"/>
              </w:rPr>
            </w:pPr>
            <w:r>
              <w:rPr>
                <w:rFonts w:hint="eastAsia" w:ascii="仿宋" w:hAnsi="仿宋" w:eastAsia="仿宋" w:cs="仿宋"/>
                <w:bCs/>
                <w:color w:val="auto"/>
                <w:highlight w:val="none"/>
                <w:lang w:val="zh-CN"/>
              </w:rPr>
              <w:t>510188202100191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3" w:hRule="atLeast"/>
          <w:jc w:val="center"/>
        </w:trPr>
        <w:tc>
          <w:tcPr>
            <w:tcW w:w="697" w:type="dxa"/>
            <w:tcBorders>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5</w:t>
            </w:r>
          </w:p>
        </w:tc>
        <w:tc>
          <w:tcPr>
            <w:tcW w:w="2510" w:type="dxa"/>
            <w:tcBorders>
              <w:bottom w:val="single" w:color="auto" w:sz="4" w:space="0"/>
            </w:tcBorders>
            <w:noWrap w:val="0"/>
            <w:vAlign w:val="center"/>
          </w:tcPr>
          <w:p>
            <w:pPr>
              <w:pStyle w:val="79"/>
              <w:spacing w:line="400" w:lineRule="exact"/>
              <w:ind w:left="38"/>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资金来源</w:t>
            </w:r>
          </w:p>
        </w:tc>
        <w:tc>
          <w:tcPr>
            <w:tcW w:w="6701" w:type="dxa"/>
            <w:tcBorders>
              <w:bottom w:val="single" w:color="auto" w:sz="4" w:space="0"/>
            </w:tcBorders>
            <w:noWrap w:val="0"/>
            <w:vAlign w:val="center"/>
          </w:tcPr>
          <w:p>
            <w:pPr>
              <w:spacing w:line="400" w:lineRule="exact"/>
              <w:rPr>
                <w:rFonts w:hint="eastAsia" w:ascii="仿宋" w:hAnsi="仿宋" w:eastAsia="仿宋" w:cs="仿宋"/>
                <w:bCs/>
                <w:color w:val="auto"/>
                <w:kern w:val="0"/>
                <w:sz w:val="24"/>
                <w:highlight w:val="none"/>
                <w:lang w:val="zh-CN"/>
              </w:rPr>
            </w:pPr>
            <w:r>
              <w:rPr>
                <w:rFonts w:hint="eastAsia" w:ascii="仿宋" w:hAnsi="仿宋" w:eastAsia="仿宋" w:cs="仿宋"/>
                <w:bCs/>
                <w:color w:val="auto"/>
                <w:kern w:val="0"/>
                <w:sz w:val="24"/>
                <w:highlight w:val="none"/>
                <w:lang w:val="zh-CN"/>
              </w:rPr>
              <w:t>财政资金，已落实。</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8" w:hRule="atLeast"/>
          <w:jc w:val="center"/>
        </w:trPr>
        <w:tc>
          <w:tcPr>
            <w:tcW w:w="697" w:type="dxa"/>
            <w:tcBorders>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6</w:t>
            </w:r>
          </w:p>
        </w:tc>
        <w:tc>
          <w:tcPr>
            <w:tcW w:w="2510" w:type="dxa"/>
            <w:tcBorders>
              <w:bottom w:val="single" w:color="auto" w:sz="4" w:space="0"/>
            </w:tcBorders>
            <w:noWrap w:val="0"/>
            <w:vAlign w:val="center"/>
          </w:tcPr>
          <w:p>
            <w:pPr>
              <w:pStyle w:val="79"/>
              <w:spacing w:line="400" w:lineRule="exact"/>
              <w:ind w:left="38"/>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采购方式</w:t>
            </w:r>
          </w:p>
        </w:tc>
        <w:tc>
          <w:tcPr>
            <w:tcW w:w="6701" w:type="dxa"/>
            <w:tcBorders>
              <w:bottom w:val="single" w:color="auto" w:sz="4" w:space="0"/>
            </w:tcBorders>
            <w:noWrap w:val="0"/>
            <w:vAlign w:val="center"/>
          </w:tcPr>
          <w:p>
            <w:pPr>
              <w:pStyle w:val="79"/>
              <w:spacing w:line="400" w:lineRule="exact"/>
              <w:ind w:left="38"/>
              <w:jc w:val="both"/>
              <w:rPr>
                <w:rFonts w:hint="eastAsia" w:ascii="仿宋" w:hAnsi="仿宋" w:eastAsia="仿宋" w:cs="仿宋"/>
                <w:bCs/>
                <w:color w:val="auto"/>
                <w:highlight w:val="none"/>
                <w:lang w:val="zh-CN"/>
              </w:rPr>
            </w:pPr>
            <w:r>
              <w:rPr>
                <w:rFonts w:hint="eastAsia" w:ascii="仿宋" w:hAnsi="仿宋" w:eastAsia="仿宋" w:cs="仿宋"/>
                <w:bCs/>
                <w:color w:val="auto"/>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Merge w:val="restart"/>
            <w:tcBorders>
              <w:top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7</w:t>
            </w:r>
          </w:p>
        </w:tc>
        <w:tc>
          <w:tcPr>
            <w:tcW w:w="2510" w:type="dxa"/>
            <w:tcBorders>
              <w:top w:val="single" w:color="auto" w:sz="4" w:space="0"/>
              <w:bottom w:val="single" w:color="auto" w:sz="4" w:space="0"/>
            </w:tcBorders>
            <w:noWrap w:val="0"/>
            <w:vAlign w:val="center"/>
          </w:tcPr>
          <w:p>
            <w:pPr>
              <w:pStyle w:val="79"/>
              <w:spacing w:line="400" w:lineRule="exact"/>
              <w:ind w:left="38"/>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采购预算</w:t>
            </w:r>
          </w:p>
          <w:p>
            <w:pPr>
              <w:pStyle w:val="79"/>
              <w:spacing w:line="400" w:lineRule="exact"/>
              <w:ind w:left="38"/>
              <w:jc w:val="center"/>
              <w:rPr>
                <w:rFonts w:hint="eastAsia" w:ascii="仿宋" w:hAnsi="仿宋" w:eastAsia="仿宋" w:cs="仿宋"/>
                <w:b/>
                <w:color w:val="auto"/>
                <w:kern w:val="2"/>
                <w:highlight w:val="none"/>
              </w:rPr>
            </w:pPr>
            <w:r>
              <w:rPr>
                <w:rFonts w:hint="eastAsia" w:ascii="仿宋" w:hAnsi="仿宋" w:eastAsia="仿宋" w:cs="仿宋"/>
                <w:b/>
                <w:color w:val="auto"/>
                <w:highlight w:val="none"/>
              </w:rPr>
              <w:t>（实质性要求）</w:t>
            </w:r>
          </w:p>
        </w:tc>
        <w:tc>
          <w:tcPr>
            <w:tcW w:w="6701" w:type="dxa"/>
            <w:tcBorders>
              <w:bottom w:val="single" w:color="auto" w:sz="4" w:space="0"/>
            </w:tcBorders>
            <w:noWrap w:val="0"/>
            <w:vAlign w:val="center"/>
          </w:tcPr>
          <w:p>
            <w:pPr>
              <w:pStyle w:val="79"/>
              <w:spacing w:line="400" w:lineRule="exact"/>
              <w:jc w:val="both"/>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采购预算：</w:t>
            </w:r>
            <w:r>
              <w:rPr>
                <w:rFonts w:hint="eastAsia" w:ascii="仿宋" w:hAnsi="仿宋" w:eastAsia="仿宋" w:cs="仿宋"/>
                <w:b/>
                <w:color w:val="auto"/>
                <w:kern w:val="2"/>
                <w:highlight w:val="none"/>
                <w:lang w:val="en-US" w:eastAsia="zh-CN"/>
              </w:rPr>
              <w:t>952800元</w:t>
            </w:r>
            <w:r>
              <w:rPr>
                <w:rFonts w:hint="eastAsia" w:ascii="仿宋" w:hAnsi="仿宋" w:eastAsia="仿宋" w:cs="仿宋"/>
                <w:b/>
                <w:color w:val="auto"/>
                <w:kern w:val="2"/>
                <w:highlight w:val="none"/>
              </w:rPr>
              <w:t>；超过采购预算的报价无效。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6" w:hRule="atLeast"/>
          <w:jc w:val="center"/>
        </w:trPr>
        <w:tc>
          <w:tcPr>
            <w:tcW w:w="697" w:type="dxa"/>
            <w:vMerge w:val="continue"/>
            <w:noWrap w:val="0"/>
            <w:vAlign w:val="center"/>
          </w:tcPr>
          <w:p>
            <w:pPr>
              <w:pStyle w:val="79"/>
              <w:spacing w:line="400" w:lineRule="exact"/>
              <w:ind w:right="230"/>
              <w:jc w:val="center"/>
              <w:rPr>
                <w:rFonts w:hint="eastAsia" w:ascii="仿宋" w:hAnsi="仿宋" w:eastAsia="仿宋" w:cs="仿宋"/>
                <w:color w:val="auto"/>
                <w:kern w:val="2"/>
                <w:highlight w:val="none"/>
              </w:rPr>
            </w:pPr>
          </w:p>
        </w:tc>
        <w:tc>
          <w:tcPr>
            <w:tcW w:w="2510" w:type="dxa"/>
            <w:tcBorders>
              <w:top w:val="single" w:color="auto" w:sz="4" w:space="0"/>
            </w:tcBorders>
            <w:noWrap w:val="0"/>
            <w:vAlign w:val="center"/>
          </w:tcPr>
          <w:p>
            <w:pPr>
              <w:pStyle w:val="79"/>
              <w:spacing w:line="400" w:lineRule="exact"/>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最高限价</w:t>
            </w:r>
          </w:p>
          <w:p>
            <w:pPr>
              <w:pStyle w:val="79"/>
              <w:spacing w:line="400" w:lineRule="exact"/>
              <w:jc w:val="center"/>
              <w:rPr>
                <w:rFonts w:hint="eastAsia" w:ascii="仿宋" w:hAnsi="仿宋" w:eastAsia="仿宋" w:cs="仿宋"/>
                <w:bCs/>
                <w:color w:val="auto"/>
                <w:kern w:val="2"/>
                <w:highlight w:val="none"/>
              </w:rPr>
            </w:pPr>
            <w:r>
              <w:rPr>
                <w:rFonts w:hint="eastAsia" w:ascii="仿宋" w:hAnsi="仿宋" w:eastAsia="仿宋" w:cs="仿宋"/>
                <w:b/>
                <w:color w:val="auto"/>
                <w:highlight w:val="none"/>
              </w:rPr>
              <w:t>（实质性要求）</w:t>
            </w:r>
          </w:p>
        </w:tc>
        <w:tc>
          <w:tcPr>
            <w:tcW w:w="6701" w:type="dxa"/>
            <w:tcBorders>
              <w:top w:val="single" w:color="auto" w:sz="4" w:space="0"/>
            </w:tcBorders>
            <w:noWrap w:val="0"/>
            <w:vAlign w:val="center"/>
          </w:tcPr>
          <w:p>
            <w:pPr>
              <w:pStyle w:val="79"/>
              <w:ind w:firstLine="241" w:firstLineChars="100"/>
              <w:jc w:val="both"/>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最高限价</w:t>
            </w:r>
            <w:r>
              <w:rPr>
                <w:rFonts w:hint="eastAsia" w:ascii="仿宋" w:hAnsi="仿宋" w:eastAsia="仿宋" w:cs="仿宋"/>
                <w:b/>
                <w:bCs/>
                <w:color w:val="auto"/>
                <w:highlight w:val="none"/>
              </w:rPr>
              <w:t>：</w:t>
            </w:r>
            <w:r>
              <w:rPr>
                <w:rFonts w:hint="eastAsia" w:ascii="仿宋" w:hAnsi="仿宋" w:eastAsia="仿宋" w:cs="仿宋"/>
                <w:b/>
                <w:bCs/>
                <w:color w:val="auto"/>
                <w:highlight w:val="none"/>
                <w:lang w:val="zh-CN"/>
              </w:rPr>
              <w:t>游园清扫、保洁（包含配电箱、座椅、游园设施、公益广告牌保洁）：1.79元/㎡/月；</w:t>
            </w:r>
          </w:p>
          <w:p>
            <w:pPr>
              <w:pStyle w:val="79"/>
              <w:ind w:firstLine="241" w:firstLineChars="100"/>
              <w:jc w:val="both"/>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二类道路清扫、保洁（包含配电箱、座椅、游园设施、公益广告牌保洁）：1.22元/㎡/月；</w:t>
            </w:r>
          </w:p>
          <w:p>
            <w:pPr>
              <w:pStyle w:val="79"/>
              <w:ind w:firstLine="241" w:firstLineChars="100"/>
              <w:jc w:val="both"/>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垃圾运输：126.7元/吨。</w:t>
            </w:r>
          </w:p>
          <w:p>
            <w:pPr>
              <w:pStyle w:val="79"/>
              <w:ind w:firstLine="241" w:firstLineChars="100"/>
              <w:jc w:val="both"/>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超过最高限价的报价无效。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8"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8</w:t>
            </w:r>
          </w:p>
        </w:tc>
        <w:tc>
          <w:tcPr>
            <w:tcW w:w="2510" w:type="dxa"/>
            <w:noWrap w:val="0"/>
            <w:vAlign w:val="center"/>
          </w:tcPr>
          <w:p>
            <w:pPr>
              <w:pStyle w:val="79"/>
              <w:spacing w:line="400" w:lineRule="exact"/>
              <w:ind w:left="38"/>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低于成本价不正当</w:t>
            </w:r>
          </w:p>
          <w:p>
            <w:pPr>
              <w:pStyle w:val="79"/>
              <w:spacing w:line="400" w:lineRule="exact"/>
              <w:ind w:left="38"/>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竞争预防措施</w:t>
            </w:r>
          </w:p>
          <w:p>
            <w:pPr>
              <w:pStyle w:val="79"/>
              <w:spacing w:line="400" w:lineRule="exact"/>
              <w:ind w:left="38"/>
              <w:jc w:val="center"/>
              <w:rPr>
                <w:rFonts w:hint="eastAsia" w:ascii="仿宋" w:hAnsi="仿宋" w:eastAsia="仿宋" w:cs="仿宋"/>
                <w:b/>
                <w:color w:val="auto"/>
                <w:kern w:val="2"/>
                <w:highlight w:val="none"/>
              </w:rPr>
            </w:pPr>
            <w:r>
              <w:rPr>
                <w:rFonts w:hint="eastAsia" w:ascii="仿宋" w:hAnsi="仿宋" w:eastAsia="仿宋" w:cs="仿宋"/>
                <w:b/>
                <w:color w:val="auto"/>
                <w:highlight w:val="none"/>
              </w:rPr>
              <w:t>（实质性要求）</w:t>
            </w:r>
          </w:p>
        </w:tc>
        <w:tc>
          <w:tcPr>
            <w:tcW w:w="6701" w:type="dxa"/>
            <w:noWrap w:val="0"/>
            <w:vAlign w:val="center"/>
          </w:tcPr>
          <w:p>
            <w:pPr>
              <w:pStyle w:val="79"/>
              <w:spacing w:line="400" w:lineRule="exact"/>
              <w:jc w:val="both"/>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评标委员会认为投标人的报价明显低于其他通过符合性审查投标人的报价，有可能影响</w:t>
            </w:r>
            <w:r>
              <w:rPr>
                <w:rFonts w:hint="eastAsia" w:ascii="仿宋" w:hAnsi="仿宋" w:eastAsia="仿宋" w:cs="仿宋"/>
                <w:b/>
                <w:color w:val="auto"/>
                <w:kern w:val="2"/>
                <w:highlight w:val="none"/>
                <w:lang w:eastAsia="zh-CN"/>
              </w:rPr>
              <w:t>服务</w:t>
            </w:r>
            <w:r>
              <w:rPr>
                <w:rFonts w:hint="eastAsia" w:ascii="仿宋" w:hAnsi="仿宋" w:eastAsia="仿宋" w:cs="仿宋"/>
                <w:b/>
                <w:color w:val="auto"/>
                <w:kern w:val="2"/>
                <w:highlight w:val="none"/>
              </w:rPr>
              <w:t>质量或者不能诚信履约的，应当要求其在评标现场合理的时间内提供书面说明，必要时提交相关证明材料；投标人不能证明其报价合理性的，评标委员会应当将其作为无效投标处理。</w:t>
            </w:r>
          </w:p>
          <w:p>
            <w:pPr>
              <w:pStyle w:val="79"/>
              <w:spacing w:line="400" w:lineRule="exact"/>
              <w:jc w:val="both"/>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书面说明应当按照国家财务会计制度的规定要求，逐项就</w:t>
            </w:r>
            <w:r>
              <w:rPr>
                <w:rFonts w:hint="eastAsia" w:ascii="仿宋" w:hAnsi="仿宋" w:eastAsia="仿宋" w:cs="仿宋"/>
                <w:b/>
                <w:color w:val="auto"/>
                <w:kern w:val="2"/>
                <w:highlight w:val="none"/>
                <w:lang w:eastAsia="zh-CN"/>
              </w:rPr>
              <w:t>投标人</w:t>
            </w:r>
            <w:r>
              <w:rPr>
                <w:rFonts w:hint="eastAsia" w:ascii="仿宋" w:hAnsi="仿宋" w:eastAsia="仿宋" w:cs="仿宋"/>
                <w:b/>
                <w:color w:val="auto"/>
                <w:kern w:val="2"/>
                <w:highlight w:val="none"/>
              </w:rPr>
              <w:t>提供服务的主营业务成本（应根据</w:t>
            </w:r>
            <w:r>
              <w:rPr>
                <w:rFonts w:hint="eastAsia" w:ascii="仿宋" w:hAnsi="仿宋" w:eastAsia="仿宋" w:cs="仿宋"/>
                <w:b/>
                <w:bCs w:val="0"/>
                <w:color w:val="auto"/>
                <w:sz w:val="24"/>
                <w:highlight w:val="none"/>
                <w:lang w:eastAsia="zh-CN"/>
              </w:rPr>
              <w:t>投标人</w:t>
            </w:r>
            <w:r>
              <w:rPr>
                <w:rFonts w:hint="eastAsia" w:ascii="仿宋" w:hAnsi="仿宋" w:eastAsia="仿宋" w:cs="仿宋"/>
                <w:b/>
                <w:color w:val="auto"/>
                <w:kern w:val="2"/>
                <w:highlight w:val="none"/>
              </w:rPr>
              <w:t>企业类型予以区别）、税金及附加、销售费用、管理费用、财务费用等成本构成事项详细陈述。</w:t>
            </w:r>
          </w:p>
          <w:p>
            <w:pPr>
              <w:pStyle w:val="79"/>
              <w:spacing w:line="400" w:lineRule="exact"/>
              <w:jc w:val="both"/>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投标人书面说明应当签字确认或者加盖公章，否则无效。</w:t>
            </w:r>
          </w:p>
          <w:p>
            <w:pPr>
              <w:pStyle w:val="79"/>
              <w:spacing w:line="400" w:lineRule="exact"/>
              <w:jc w:val="both"/>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审委员会应当将其投标文件作为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55"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9</w:t>
            </w:r>
          </w:p>
        </w:tc>
        <w:tc>
          <w:tcPr>
            <w:tcW w:w="2510" w:type="dxa"/>
            <w:noWrap w:val="0"/>
            <w:vAlign w:val="center"/>
          </w:tcPr>
          <w:p>
            <w:pPr>
              <w:pStyle w:val="79"/>
              <w:spacing w:line="400" w:lineRule="exact"/>
              <w:ind w:left="38"/>
              <w:jc w:val="center"/>
              <w:rPr>
                <w:rFonts w:hint="eastAsia" w:ascii="仿宋" w:hAnsi="仿宋" w:eastAsia="仿宋" w:cs="仿宋"/>
                <w:b/>
                <w:color w:val="auto"/>
                <w:highlight w:val="none"/>
              </w:rPr>
            </w:pPr>
            <w:r>
              <w:rPr>
                <w:rFonts w:hint="eastAsia" w:ascii="仿宋" w:hAnsi="仿宋" w:eastAsia="仿宋" w:cs="仿宋"/>
                <w:b/>
                <w:color w:val="auto"/>
                <w:highlight w:val="none"/>
                <w:lang w:eastAsia="zh-CN"/>
              </w:rPr>
              <w:t>服务期限</w:t>
            </w:r>
            <w:r>
              <w:rPr>
                <w:rFonts w:hint="eastAsia" w:ascii="仿宋" w:hAnsi="仿宋" w:eastAsia="仿宋" w:cs="仿宋"/>
                <w:b/>
                <w:color w:val="auto"/>
                <w:highlight w:val="none"/>
              </w:rPr>
              <w:t>限、地点（实质性要求）</w:t>
            </w:r>
          </w:p>
        </w:tc>
        <w:tc>
          <w:tcPr>
            <w:tcW w:w="6701" w:type="dxa"/>
            <w:noWrap w:val="0"/>
            <w:vAlign w:val="center"/>
          </w:tcPr>
          <w:p>
            <w:pPr>
              <w:pStyle w:val="79"/>
              <w:spacing w:line="400" w:lineRule="exact"/>
              <w:jc w:val="both"/>
              <w:rPr>
                <w:rFonts w:hint="eastAsia" w:ascii="仿宋" w:hAnsi="仿宋" w:eastAsia="仿宋" w:cs="仿宋"/>
                <w:b/>
                <w:color w:val="auto"/>
                <w:highlight w:val="none"/>
              </w:rPr>
            </w:pPr>
            <w:r>
              <w:rPr>
                <w:rFonts w:hint="eastAsia" w:ascii="仿宋" w:hAnsi="仿宋" w:eastAsia="仿宋" w:cs="仿宋"/>
                <w:b/>
                <w:color w:val="auto"/>
                <w:highlight w:val="none"/>
              </w:rPr>
              <w:t>详见第六章商务要求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51"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10</w:t>
            </w:r>
          </w:p>
        </w:tc>
        <w:tc>
          <w:tcPr>
            <w:tcW w:w="2510" w:type="dxa"/>
            <w:noWrap w:val="0"/>
            <w:vAlign w:val="center"/>
          </w:tcPr>
          <w:p>
            <w:pPr>
              <w:pStyle w:val="79"/>
              <w:spacing w:line="400" w:lineRule="exact"/>
              <w:jc w:val="center"/>
              <w:rPr>
                <w:rFonts w:hint="eastAsia" w:ascii="仿宋" w:hAnsi="仿宋" w:eastAsia="仿宋" w:cs="仿宋"/>
                <w:color w:val="auto"/>
                <w:kern w:val="2"/>
                <w:highlight w:val="none"/>
              </w:rPr>
            </w:pPr>
            <w:r>
              <w:rPr>
                <w:rFonts w:hint="eastAsia" w:ascii="仿宋" w:hAnsi="仿宋" w:eastAsia="仿宋" w:cs="仿宋"/>
                <w:color w:val="auto"/>
                <w:highlight w:val="none"/>
              </w:rPr>
              <w:t>政府采购政策落实情况</w:t>
            </w:r>
          </w:p>
        </w:tc>
        <w:tc>
          <w:tcPr>
            <w:tcW w:w="6701" w:type="dxa"/>
            <w:noWrap w:val="0"/>
            <w:vAlign w:val="center"/>
          </w:tcPr>
          <w:p>
            <w:pPr>
              <w:pStyle w:val="79"/>
              <w:spacing w:line="400" w:lineRule="exact"/>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w:t>
            </w:r>
            <w:r>
              <w:rPr>
                <w:rFonts w:hint="eastAsia" w:ascii="仿宋" w:hAnsi="仿宋" w:eastAsia="仿宋" w:cs="仿宋"/>
                <w:b/>
                <w:bCs/>
                <w:color w:val="auto"/>
                <w:highlight w:val="none"/>
                <w:lang w:val="zh-CN"/>
              </w:rPr>
              <w:t>小微企业（监狱企业、残疾人福利性单位视同小微企业）价格扣除</w:t>
            </w:r>
          </w:p>
          <w:p>
            <w:pPr>
              <w:pStyle w:val="79"/>
              <w:spacing w:line="400" w:lineRule="exact"/>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根据《关于印发&lt;政府采购促进中小企业发展管理办法&gt;的通知》(财库〔2020〕46号的规定，本项目专门面向中小企业采购(供应商须为中小微企业，监狱企业、残疾人福利性单位视同小微企业)。</w:t>
            </w: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节能、环保产品政府采购政策</w:t>
            </w:r>
            <w:r>
              <w:rPr>
                <w:rFonts w:hint="eastAsia" w:ascii="仿宋" w:hAnsi="仿宋" w:eastAsia="仿宋" w:cs="仿宋"/>
                <w:color w:val="auto"/>
                <w:sz w:val="24"/>
                <w:highlight w:val="none"/>
              </w:rPr>
              <w:t>：本项目为服务项目，不适用。</w:t>
            </w:r>
          </w:p>
          <w:p>
            <w:pPr>
              <w:pStyle w:val="9"/>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（三）</w:t>
            </w:r>
            <w:r>
              <w:rPr>
                <w:rFonts w:hint="eastAsia" w:ascii="仿宋" w:hAnsi="仿宋" w:eastAsia="仿宋" w:cs="仿宋"/>
                <w:b/>
                <w:bCs/>
                <w:color w:val="auto"/>
                <w:sz w:val="24"/>
                <w:highlight w:val="none"/>
                <w:lang w:val="en-US" w:eastAsia="zh-CN"/>
              </w:rPr>
              <w:t>无线局域网产品政府采购政策</w:t>
            </w:r>
            <w:r>
              <w:rPr>
                <w:rFonts w:hint="eastAsia" w:ascii="仿宋" w:hAnsi="仿宋" w:eastAsia="仿宋" w:cs="仿宋"/>
                <w:color w:val="auto"/>
                <w:sz w:val="24"/>
                <w:highlight w:val="none"/>
                <w:lang w:val="en-US" w:eastAsia="zh-CN"/>
              </w:rPr>
              <w:t>：本项目为服务项目，不适用。</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rPr>
              <w:t>）</w:t>
            </w:r>
            <w:r>
              <w:rPr>
                <w:rFonts w:hint="eastAsia" w:ascii="仿宋" w:hAnsi="仿宋" w:eastAsia="仿宋" w:cs="仿宋"/>
                <w:b/>
                <w:bCs/>
                <w:color w:val="auto"/>
                <w:highlight w:val="none"/>
              </w:rPr>
              <w:t>不发达地区或少数民族地区政府采购政策</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rPr>
              <w:t>得分、投标报价及量化指标评审得分亦相同的，符合不发达地区或少数民族地区企业标准的优先排序（投标人提供注册地工商部门颁发的营业执照证明文件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highlight w:val="none"/>
              </w:rPr>
              <w:t>。</w:t>
            </w:r>
          </w:p>
          <w:p>
            <w:pPr>
              <w:pStyle w:val="79"/>
              <w:spacing w:line="400" w:lineRule="exact"/>
              <w:jc w:val="both"/>
              <w:rPr>
                <w:rFonts w:hint="eastAsia" w:ascii="仿宋" w:hAnsi="仿宋" w:eastAsia="仿宋" w:cs="仿宋"/>
                <w:color w:val="auto"/>
                <w:highlight w:val="none"/>
                <w:lang w:val="zh-CN"/>
              </w:rPr>
            </w:pPr>
            <w:r>
              <w:rPr>
                <w:rFonts w:hint="eastAsia" w:ascii="仿宋" w:hAnsi="仿宋" w:eastAsia="仿宋" w:cs="仿宋"/>
                <w:color w:val="auto"/>
                <w:sz w:val="24"/>
                <w:szCs w:val="24"/>
                <w:highlight w:val="none"/>
              </w:rPr>
              <w:t>（五）贫困地区农副产品及聘用建档立卡贫困人员物业公司提供的物业服务优先政策：不适用。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11</w:t>
            </w:r>
          </w:p>
        </w:tc>
        <w:tc>
          <w:tcPr>
            <w:tcW w:w="2510" w:type="dxa"/>
            <w:noWrap w:val="0"/>
            <w:vAlign w:val="center"/>
          </w:tcPr>
          <w:p>
            <w:pPr>
              <w:pStyle w:val="79"/>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联合体投标</w:t>
            </w:r>
          </w:p>
        </w:tc>
        <w:tc>
          <w:tcPr>
            <w:tcW w:w="6701" w:type="dxa"/>
            <w:noWrap w:val="0"/>
            <w:vAlign w:val="center"/>
          </w:tcPr>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本次政府采购活动不接受联合体参与采购活动。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2"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12</w:t>
            </w:r>
          </w:p>
        </w:tc>
        <w:tc>
          <w:tcPr>
            <w:tcW w:w="2510" w:type="dxa"/>
            <w:noWrap w:val="0"/>
            <w:vAlign w:val="center"/>
          </w:tcPr>
          <w:p>
            <w:pPr>
              <w:pStyle w:val="79"/>
              <w:spacing w:line="400" w:lineRule="exact"/>
              <w:ind w:left="96"/>
              <w:jc w:val="center"/>
              <w:rPr>
                <w:rFonts w:hint="eastAsia" w:ascii="仿宋" w:hAnsi="仿宋" w:eastAsia="仿宋" w:cs="仿宋"/>
                <w:b/>
                <w:color w:val="auto"/>
                <w:highlight w:val="none"/>
                <w:lang w:val="zh-CN"/>
              </w:rPr>
            </w:pPr>
            <w:r>
              <w:rPr>
                <w:rFonts w:hint="eastAsia" w:ascii="仿宋" w:hAnsi="仿宋" w:eastAsia="仿宋" w:cs="仿宋"/>
                <w:b/>
                <w:color w:val="auto"/>
                <w:highlight w:val="none"/>
                <w:lang w:val="zh-CN"/>
              </w:rPr>
              <w:t>投标保证金</w:t>
            </w:r>
          </w:p>
          <w:p>
            <w:pPr>
              <w:pStyle w:val="79"/>
              <w:spacing w:line="400" w:lineRule="exact"/>
              <w:ind w:left="96"/>
              <w:jc w:val="center"/>
              <w:rPr>
                <w:rFonts w:hint="eastAsia" w:ascii="仿宋" w:hAnsi="仿宋" w:eastAsia="仿宋" w:cs="仿宋"/>
                <w:b/>
                <w:color w:val="auto"/>
                <w:highlight w:val="none"/>
                <w:lang w:val="zh-CN"/>
              </w:rPr>
            </w:pPr>
            <w:r>
              <w:rPr>
                <w:rFonts w:hint="eastAsia" w:ascii="仿宋" w:hAnsi="仿宋" w:eastAsia="仿宋" w:cs="仿宋"/>
                <w:b/>
                <w:color w:val="auto"/>
                <w:highlight w:val="none"/>
                <w:lang w:val="zh-CN"/>
              </w:rPr>
              <w:t>（实质性要求）</w:t>
            </w:r>
          </w:p>
        </w:tc>
        <w:tc>
          <w:tcPr>
            <w:tcW w:w="6701" w:type="dxa"/>
            <w:noWrap w:val="0"/>
            <w:vAlign w:val="center"/>
          </w:tcPr>
          <w:p>
            <w:pPr>
              <w:pStyle w:val="79"/>
              <w:spacing w:line="400" w:lineRule="exact"/>
              <w:jc w:val="both"/>
              <w:rPr>
                <w:rFonts w:hint="eastAsia" w:ascii="仿宋" w:hAnsi="仿宋" w:eastAsia="仿宋" w:cs="仿宋"/>
                <w:b/>
                <w:color w:val="auto"/>
                <w:highlight w:val="none"/>
              </w:rPr>
            </w:pPr>
            <w:r>
              <w:rPr>
                <w:rFonts w:hint="eastAsia" w:ascii="仿宋" w:hAnsi="仿宋" w:eastAsia="仿宋" w:cs="仿宋"/>
                <w:b/>
                <w:color w:val="auto"/>
                <w:highlight w:val="none"/>
              </w:rPr>
              <w:t>本项目不要求交纳投标保证金。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4"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13</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考察现场、标前答疑会</w:t>
            </w:r>
          </w:p>
        </w:tc>
        <w:tc>
          <w:tcPr>
            <w:tcW w:w="6701" w:type="dxa"/>
            <w:noWrap w:val="0"/>
            <w:vAlign w:val="center"/>
          </w:tcPr>
          <w:p>
            <w:pPr>
              <w:pStyle w:val="79"/>
              <w:spacing w:line="400" w:lineRule="exact"/>
              <w:ind w:firstLine="120" w:firstLineChars="50"/>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招标人认为有必要，另行书面通知。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14</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bCs/>
                <w:color w:val="auto"/>
                <w:sz w:val="24"/>
                <w:highlight w:val="none"/>
                <w:lang w:eastAsia="zh-CN"/>
              </w:rPr>
              <w:t>投标人</w:t>
            </w:r>
            <w:r>
              <w:rPr>
                <w:rFonts w:hint="eastAsia" w:ascii="仿宋" w:hAnsi="仿宋" w:eastAsia="仿宋" w:cs="仿宋"/>
                <w:color w:val="auto"/>
                <w:highlight w:val="none"/>
                <w:lang w:val="zh-CN"/>
              </w:rPr>
              <w:t>对招标文件提出质疑的时间</w:t>
            </w:r>
          </w:p>
        </w:tc>
        <w:tc>
          <w:tcPr>
            <w:tcW w:w="6701" w:type="dxa"/>
            <w:noWrap w:val="0"/>
            <w:vAlign w:val="center"/>
          </w:tcPr>
          <w:p>
            <w:pPr>
              <w:pStyle w:val="79"/>
              <w:spacing w:line="400" w:lineRule="exact"/>
              <w:ind w:firstLine="120" w:firstLineChars="50"/>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自招标文件发售时间截止之日起七个工作日内。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2"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15</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构成招标文件的其他文件</w:t>
            </w:r>
          </w:p>
        </w:tc>
        <w:tc>
          <w:tcPr>
            <w:tcW w:w="6701" w:type="dxa"/>
            <w:noWrap w:val="0"/>
            <w:vAlign w:val="center"/>
          </w:tcPr>
          <w:p>
            <w:pPr>
              <w:pStyle w:val="79"/>
              <w:spacing w:line="400" w:lineRule="exact"/>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1"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16</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投标有效期</w:t>
            </w:r>
          </w:p>
        </w:tc>
        <w:tc>
          <w:tcPr>
            <w:tcW w:w="6701" w:type="dxa"/>
            <w:noWrap w:val="0"/>
            <w:vAlign w:val="center"/>
          </w:tcPr>
          <w:p>
            <w:pPr>
              <w:pStyle w:val="79"/>
              <w:spacing w:line="400" w:lineRule="exact"/>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w:t>
            </w:r>
            <w:r>
              <w:rPr>
                <w:rFonts w:hint="eastAsia" w:ascii="仿宋" w:hAnsi="仿宋" w:eastAsia="仿宋" w:cs="仿宋"/>
                <w:bCs/>
                <w:color w:val="auto"/>
                <w:highlight w:val="none"/>
              </w:rPr>
              <w:t>投标截止时间届满后90天</w:t>
            </w:r>
            <w:r>
              <w:rPr>
                <w:rFonts w:hint="eastAsia" w:ascii="仿宋" w:hAnsi="仿宋" w:eastAsia="仿宋" w:cs="仿宋"/>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0"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17</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备选投标方案和报价</w:t>
            </w:r>
          </w:p>
        </w:tc>
        <w:tc>
          <w:tcPr>
            <w:tcW w:w="6701" w:type="dxa"/>
            <w:noWrap w:val="0"/>
            <w:vAlign w:val="center"/>
          </w:tcPr>
          <w:p>
            <w:pPr>
              <w:pStyle w:val="79"/>
              <w:spacing w:line="400" w:lineRule="exact"/>
              <w:ind w:firstLine="120" w:firstLineChars="50"/>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1"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18</w:t>
            </w:r>
          </w:p>
        </w:tc>
        <w:tc>
          <w:tcPr>
            <w:tcW w:w="2510" w:type="dxa"/>
            <w:noWrap w:val="0"/>
            <w:vAlign w:val="center"/>
          </w:tcPr>
          <w:p>
            <w:pPr>
              <w:pStyle w:val="79"/>
              <w:spacing w:line="400" w:lineRule="exact"/>
              <w:jc w:val="center"/>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签字盖章（实质性要求）</w:t>
            </w:r>
          </w:p>
        </w:tc>
        <w:tc>
          <w:tcPr>
            <w:tcW w:w="6701" w:type="dxa"/>
            <w:noWrap w:val="0"/>
            <w:vAlign w:val="center"/>
          </w:tcPr>
          <w:p>
            <w:pPr>
              <w:autoSpaceDE w:val="0"/>
              <w:autoSpaceDN w:val="0"/>
              <w:spacing w:line="400" w:lineRule="exact"/>
              <w:rPr>
                <w:rFonts w:hint="eastAsia" w:ascii="仿宋" w:hAnsi="仿宋" w:eastAsia="仿宋" w:cs="仿宋"/>
                <w:b/>
                <w:bCs/>
                <w:color w:val="auto"/>
                <w:kern w:val="0"/>
                <w:sz w:val="24"/>
                <w:highlight w:val="none"/>
                <w:lang w:val="zh-CN"/>
              </w:rPr>
            </w:pPr>
            <w:r>
              <w:rPr>
                <w:rFonts w:hint="eastAsia" w:ascii="仿宋" w:hAnsi="仿宋" w:eastAsia="仿宋" w:cs="仿宋"/>
                <w:b/>
                <w:bCs w:val="0"/>
                <w:color w:val="auto"/>
                <w:sz w:val="24"/>
                <w:highlight w:val="none"/>
                <w:lang w:eastAsia="zh-CN"/>
              </w:rPr>
              <w:t>投标人</w:t>
            </w:r>
            <w:r>
              <w:rPr>
                <w:rFonts w:hint="eastAsia" w:ascii="仿宋" w:hAnsi="仿宋" w:eastAsia="仿宋" w:cs="仿宋"/>
                <w:b/>
                <w:bCs/>
                <w:color w:val="auto"/>
                <w:kern w:val="0"/>
                <w:sz w:val="24"/>
                <w:highlight w:val="none"/>
                <w:lang w:val="zh-CN"/>
              </w:rPr>
              <w:t>必须按照招标文件的规定和要求签字、盖章（文件中所有标注“签字”处均指书写签字或个人印鉴）。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8"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19</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投标文件组成及份数</w:t>
            </w:r>
          </w:p>
        </w:tc>
        <w:tc>
          <w:tcPr>
            <w:tcW w:w="6701" w:type="dxa"/>
            <w:noWrap w:val="0"/>
            <w:vAlign w:val="center"/>
          </w:tcPr>
          <w:p>
            <w:pPr>
              <w:autoSpaceDE w:val="0"/>
              <w:autoSpaceDN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文件一：资格性投标文件（正本1份，副本2份）。</w:t>
            </w:r>
          </w:p>
          <w:p>
            <w:pPr>
              <w:autoSpaceDE w:val="0"/>
              <w:autoSpaceDN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文件二：技术、商务投标文件（正本1份，副本4份）。</w:t>
            </w:r>
          </w:p>
          <w:p>
            <w:pPr>
              <w:pStyle w:val="9"/>
              <w:spacing w:after="0" w:line="400" w:lineRule="exact"/>
              <w:rPr>
                <w:rFonts w:hint="eastAsia" w:ascii="仿宋" w:hAnsi="仿宋" w:eastAsia="仿宋" w:cs="仿宋"/>
                <w:color w:val="auto"/>
                <w:kern w:val="0"/>
                <w:sz w:val="24"/>
                <w:highlight w:val="none"/>
                <w:lang w:val="zh-CN" w:eastAsia="zh-CN"/>
              </w:rPr>
            </w:pPr>
            <w:r>
              <w:rPr>
                <w:rFonts w:hint="eastAsia" w:ascii="仿宋" w:hAnsi="仿宋" w:eastAsia="仿宋" w:cs="仿宋"/>
                <w:color w:val="auto"/>
                <w:kern w:val="0"/>
                <w:sz w:val="24"/>
                <w:highlight w:val="none"/>
                <w:lang w:val="zh-CN" w:eastAsia="zh-CN"/>
              </w:rPr>
              <w:t>文件三：用于唱标的“开标一览表”1份。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20</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投标文件的装订及密封</w:t>
            </w:r>
          </w:p>
        </w:tc>
        <w:tc>
          <w:tcPr>
            <w:tcW w:w="6701" w:type="dxa"/>
            <w:noWrap w:val="0"/>
            <w:vAlign w:val="center"/>
          </w:tcPr>
          <w:p>
            <w:pPr>
              <w:pStyle w:val="79"/>
              <w:spacing w:line="400" w:lineRule="exact"/>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正本（资格性投标文件与技术商务投标文件应分别装订、分别密封）、副本（资格性投标文件与技术商务投标文件应分别装订、分别密封）、用于唱标的“开标一览表”分别装订，不得密封在同一个密封袋内。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21</w:t>
            </w:r>
          </w:p>
        </w:tc>
        <w:tc>
          <w:tcPr>
            <w:tcW w:w="2510" w:type="dxa"/>
            <w:noWrap w:val="0"/>
            <w:vAlign w:val="center"/>
          </w:tcPr>
          <w:p>
            <w:pPr>
              <w:spacing w:line="400" w:lineRule="exact"/>
              <w:ind w:left="105" w:leftChars="50" w:right="105" w:rightChars="5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评标情况公告</w:t>
            </w:r>
          </w:p>
        </w:tc>
        <w:tc>
          <w:tcPr>
            <w:tcW w:w="6701" w:type="dxa"/>
            <w:noWrap w:val="0"/>
            <w:vAlign w:val="center"/>
          </w:tcPr>
          <w:p>
            <w:pPr>
              <w:widowControl/>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所有</w:t>
            </w:r>
            <w:r>
              <w:rPr>
                <w:rFonts w:hint="eastAsia" w:ascii="仿宋" w:hAnsi="仿宋" w:eastAsia="仿宋" w:cs="仿宋"/>
                <w:bCs/>
                <w:color w:val="auto"/>
                <w:sz w:val="24"/>
                <w:highlight w:val="none"/>
                <w:lang w:eastAsia="zh-CN"/>
              </w:rPr>
              <w:t>投标人</w:t>
            </w:r>
            <w:r>
              <w:rPr>
                <w:rFonts w:hint="eastAsia" w:ascii="仿宋" w:hAnsi="仿宋" w:eastAsia="仿宋" w:cs="仿宋"/>
                <w:color w:val="auto"/>
                <w:kern w:val="0"/>
                <w:sz w:val="24"/>
                <w:highlight w:val="none"/>
              </w:rPr>
              <w:t>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22</w:t>
            </w:r>
          </w:p>
        </w:tc>
        <w:tc>
          <w:tcPr>
            <w:tcW w:w="2510" w:type="dxa"/>
            <w:noWrap w:val="0"/>
            <w:vAlign w:val="center"/>
          </w:tcPr>
          <w:p>
            <w:pPr>
              <w:pStyle w:val="79"/>
              <w:spacing w:line="400" w:lineRule="exact"/>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招标服务费</w:t>
            </w:r>
          </w:p>
        </w:tc>
        <w:tc>
          <w:tcPr>
            <w:tcW w:w="6701" w:type="dxa"/>
            <w:noWrap w:val="0"/>
            <w:vAlign w:val="center"/>
          </w:tcPr>
          <w:p>
            <w:pPr>
              <w:pStyle w:val="79"/>
              <w:jc w:val="both"/>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依照成本加合理利润的原则,</w:t>
            </w:r>
            <w:r>
              <w:rPr>
                <w:rFonts w:hint="eastAsia" w:ascii="仿宋" w:hAnsi="仿宋" w:eastAsia="仿宋" w:cs="仿宋"/>
                <w:color w:val="auto"/>
                <w:highlight w:val="none"/>
                <w:lang w:val="en-US" w:eastAsia="zh-CN"/>
              </w:rPr>
              <w:t>以成交金额为依据，</w:t>
            </w:r>
            <w:r>
              <w:rPr>
                <w:rFonts w:hint="eastAsia" w:ascii="仿宋" w:hAnsi="仿宋" w:eastAsia="仿宋" w:cs="仿宋"/>
                <w:color w:val="auto"/>
                <w:highlight w:val="none"/>
                <w:lang w:val="zh-CN"/>
              </w:rPr>
              <w:t>招标代理服务收费</w:t>
            </w:r>
            <w:r>
              <w:rPr>
                <w:rFonts w:hint="eastAsia" w:ascii="仿宋" w:hAnsi="仿宋" w:eastAsia="仿宋" w:cs="仿宋"/>
                <w:color w:val="auto"/>
                <w:highlight w:val="none"/>
              </w:rPr>
              <w:t>按下表所列费率</w:t>
            </w:r>
            <w:r>
              <w:rPr>
                <w:rFonts w:hint="eastAsia" w:ascii="仿宋" w:hAnsi="仿宋" w:eastAsia="仿宋" w:cs="仿宋"/>
                <w:color w:val="auto"/>
                <w:highlight w:val="none"/>
                <w:lang w:val="en-US" w:eastAsia="zh-CN"/>
              </w:rPr>
              <w:t>下浮20%</w:t>
            </w:r>
            <w:r>
              <w:rPr>
                <w:rFonts w:hint="eastAsia" w:ascii="仿宋" w:hAnsi="仿宋" w:eastAsia="仿宋" w:cs="仿宋"/>
                <w:color w:val="auto"/>
                <w:highlight w:val="none"/>
                <w:lang w:val="zh-CN"/>
              </w:rPr>
              <w:t>收取，由中标人支付：</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5"/>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成交</w:t>
                  </w:r>
                  <w:r>
                    <w:rPr>
                      <w:rFonts w:hint="eastAsia" w:ascii="仿宋" w:hAnsi="仿宋" w:eastAsia="仿宋" w:cs="仿宋"/>
                      <w:b/>
                      <w:color w:val="auto"/>
                      <w:sz w:val="24"/>
                      <w:highlight w:val="none"/>
                    </w:rPr>
                    <w:t>金额（万元）</w:t>
                  </w:r>
                </w:p>
              </w:tc>
              <w:tc>
                <w:tcPr>
                  <w:tcW w:w="21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服务费收取比例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100以下</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100-500</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500-1000</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1000-5000</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5000-10000</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10000-100000</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9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1000000以上</w:t>
                  </w:r>
                </w:p>
              </w:tc>
              <w:tc>
                <w:tcPr>
                  <w:tcW w:w="21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0.01%</w:t>
                  </w:r>
                </w:p>
              </w:tc>
            </w:tr>
          </w:tbl>
          <w:p>
            <w:pPr>
              <w:pStyle w:val="79"/>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注: </w:t>
            </w:r>
          </w:p>
          <w:p>
            <w:pPr>
              <w:pStyle w:val="79"/>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val="zh-CN"/>
              </w:rPr>
              <w:t>按本表费率计算的收费为招标代理服务全过程的收费基准价格。</w:t>
            </w:r>
          </w:p>
          <w:p>
            <w:pPr>
              <w:pStyle w:val="79"/>
              <w:numPr>
                <w:ilvl w:val="0"/>
                <w:numId w:val="0"/>
              </w:numPr>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val="zh-CN"/>
              </w:rPr>
              <w:t>招标代理服务收费按差额定率累进法计算。</w:t>
            </w:r>
          </w:p>
          <w:p>
            <w:pPr>
              <w:pStyle w:val="79"/>
              <w:rPr>
                <w:rFonts w:hint="eastAsia" w:ascii="仿宋" w:hAnsi="仿宋" w:eastAsia="仿宋" w:cs="仿宋"/>
                <w:color w:val="auto"/>
                <w:highlight w:val="none"/>
              </w:rPr>
            </w:pPr>
            <w:r>
              <w:rPr>
                <w:rFonts w:hint="eastAsia" w:ascii="仿宋" w:hAnsi="仿宋" w:eastAsia="仿宋" w:cs="仿宋"/>
                <w:color w:val="auto"/>
                <w:highlight w:val="none"/>
              </w:rPr>
              <w:t>附：</w:t>
            </w:r>
          </w:p>
          <w:p>
            <w:pPr>
              <w:pStyle w:val="79"/>
              <w:jc w:val="both"/>
              <w:rPr>
                <w:rFonts w:hint="eastAsia" w:ascii="仿宋" w:hAnsi="仿宋" w:eastAsia="仿宋" w:cs="仿宋"/>
                <w:color w:val="auto"/>
                <w:highlight w:val="none"/>
              </w:rPr>
            </w:pPr>
            <w:r>
              <w:rPr>
                <w:rFonts w:hint="eastAsia" w:ascii="仿宋" w:hAnsi="仿宋" w:eastAsia="仿宋" w:cs="仿宋"/>
                <w:color w:val="auto"/>
                <w:highlight w:val="none"/>
              </w:rPr>
              <w:t>收款单位：四川致恒招标代理有限公司；</w:t>
            </w:r>
          </w:p>
          <w:p>
            <w:pPr>
              <w:pStyle w:val="79"/>
              <w:jc w:val="both"/>
              <w:rPr>
                <w:rFonts w:hint="eastAsia" w:ascii="仿宋" w:hAnsi="仿宋" w:eastAsia="仿宋" w:cs="仿宋"/>
                <w:color w:val="auto"/>
                <w:highlight w:val="none"/>
              </w:rPr>
            </w:pPr>
            <w:r>
              <w:rPr>
                <w:rFonts w:hint="eastAsia" w:ascii="仿宋" w:hAnsi="仿宋" w:eastAsia="仿宋" w:cs="仿宋"/>
                <w:color w:val="auto"/>
                <w:highlight w:val="none"/>
              </w:rPr>
              <w:t>开户行：中国工商银行成都剑南大道支行；</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银行账号：4402203209100011202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4"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23</w:t>
            </w:r>
          </w:p>
        </w:tc>
        <w:tc>
          <w:tcPr>
            <w:tcW w:w="2510" w:type="dxa"/>
            <w:noWrap w:val="0"/>
            <w:vAlign w:val="center"/>
          </w:tcPr>
          <w:p>
            <w:pPr>
              <w:pStyle w:val="79"/>
              <w:spacing w:line="400" w:lineRule="exact"/>
              <w:ind w:left="96"/>
              <w:jc w:val="center"/>
              <w:rPr>
                <w:rFonts w:hint="eastAsia" w:ascii="仿宋" w:hAnsi="仿宋" w:eastAsia="仿宋" w:cs="仿宋"/>
                <w:b/>
                <w:bCs/>
                <w:color w:val="auto"/>
                <w:highlight w:val="none"/>
                <w:lang w:val="zh-CN"/>
              </w:rPr>
            </w:pPr>
            <w:r>
              <w:rPr>
                <w:rFonts w:hint="eastAsia" w:ascii="仿宋" w:hAnsi="仿宋" w:eastAsia="仿宋" w:cs="仿宋"/>
                <w:b/>
                <w:bCs/>
                <w:color w:val="auto"/>
                <w:highlight w:val="none"/>
                <w:lang w:val="zh-CN"/>
              </w:rPr>
              <w:t>履约保证金</w:t>
            </w:r>
          </w:p>
          <w:p>
            <w:pPr>
              <w:pStyle w:val="79"/>
              <w:spacing w:line="400" w:lineRule="exact"/>
              <w:ind w:left="96"/>
              <w:jc w:val="center"/>
              <w:rPr>
                <w:rFonts w:hint="eastAsia" w:ascii="仿宋" w:hAnsi="仿宋" w:eastAsia="仿宋" w:cs="仿宋"/>
                <w:color w:val="auto"/>
                <w:highlight w:val="none"/>
                <w:lang w:val="zh-CN"/>
              </w:rPr>
            </w:pPr>
            <w:r>
              <w:rPr>
                <w:rFonts w:hint="eastAsia" w:ascii="仿宋" w:hAnsi="仿宋" w:eastAsia="仿宋" w:cs="仿宋"/>
                <w:b/>
                <w:bCs/>
                <w:color w:val="auto"/>
                <w:highlight w:val="none"/>
                <w:lang w:val="zh-CN"/>
              </w:rPr>
              <w:t>（实质性要求）</w:t>
            </w:r>
          </w:p>
        </w:tc>
        <w:tc>
          <w:tcPr>
            <w:tcW w:w="6701" w:type="dxa"/>
            <w:noWrap w:val="0"/>
            <w:vAlign w:val="center"/>
          </w:tcPr>
          <w:p>
            <w:pPr>
              <w:pStyle w:val="79"/>
              <w:spacing w:line="400" w:lineRule="exact"/>
              <w:jc w:val="both"/>
              <w:rPr>
                <w:rFonts w:hint="default" w:ascii="仿宋" w:hAnsi="仿宋" w:eastAsia="仿宋" w:cs="仿宋"/>
                <w:color w:val="auto"/>
                <w:highlight w:val="none"/>
                <w:lang w:val="en-US" w:eastAsia="zh-CN"/>
              </w:rPr>
            </w:pPr>
            <w:r>
              <w:rPr>
                <w:rFonts w:hint="eastAsia" w:ascii="仿宋" w:hAnsi="仿宋" w:eastAsia="仿宋" w:cs="仿宋"/>
                <w:color w:val="auto"/>
                <w:highlight w:val="none"/>
              </w:rPr>
              <w:t>金额：</w:t>
            </w:r>
            <w:r>
              <w:rPr>
                <w:rFonts w:hint="eastAsia" w:ascii="仿宋" w:hAnsi="仿宋" w:eastAsia="仿宋" w:cs="仿宋"/>
                <w:color w:val="auto"/>
                <w:highlight w:val="none"/>
                <w:lang w:val="en-US" w:eastAsia="zh-CN"/>
              </w:rPr>
              <w:t>成交金额的5%。</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交款方式：履约保证金可以以支票、汇票、本票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网银转账，电汇或保函等非现金形式提交。</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收款单位：成都高新技术产业开发区肖家河街道办事处</w:t>
            </w:r>
          </w:p>
          <w:p>
            <w:pPr>
              <w:pStyle w:val="79"/>
              <w:spacing w:line="400" w:lineRule="exact"/>
              <w:jc w:val="both"/>
              <w:rPr>
                <w:rFonts w:hint="default" w:ascii="仿宋" w:hAnsi="仿宋" w:eastAsia="仿宋" w:cs="仿宋"/>
                <w:color w:val="auto"/>
                <w:highlight w:val="none"/>
                <w:lang w:val="en-US" w:eastAsia="zh-CN"/>
              </w:rPr>
            </w:pPr>
            <w:r>
              <w:rPr>
                <w:rFonts w:hint="eastAsia" w:ascii="仿宋" w:hAnsi="仿宋" w:eastAsia="仿宋" w:cs="仿宋"/>
                <w:color w:val="auto"/>
                <w:highlight w:val="none"/>
              </w:rPr>
              <w:t>开户行：</w:t>
            </w:r>
            <w:r>
              <w:rPr>
                <w:rFonts w:hint="eastAsia" w:ascii="仿宋" w:hAnsi="仿宋" w:eastAsia="仿宋" w:cs="仿宋"/>
                <w:color w:val="auto"/>
                <w:highlight w:val="none"/>
                <w:lang w:val="en-US" w:eastAsia="zh-CN"/>
              </w:rPr>
              <w:t>成都银行高新支行</w:t>
            </w:r>
          </w:p>
          <w:p>
            <w:pPr>
              <w:pStyle w:val="79"/>
              <w:spacing w:line="400" w:lineRule="exact"/>
              <w:jc w:val="both"/>
              <w:rPr>
                <w:rFonts w:hint="default" w:ascii="仿宋" w:hAnsi="仿宋" w:eastAsia="仿宋" w:cs="仿宋"/>
                <w:color w:val="auto"/>
                <w:highlight w:val="none"/>
                <w:lang w:val="en-US" w:eastAsia="zh-CN"/>
              </w:rPr>
            </w:pPr>
            <w:r>
              <w:rPr>
                <w:rFonts w:hint="eastAsia" w:ascii="仿宋" w:hAnsi="仿宋" w:eastAsia="仿宋" w:cs="仿宋"/>
                <w:color w:val="auto"/>
                <w:highlight w:val="none"/>
              </w:rPr>
              <w:t>银行账号：</w:t>
            </w:r>
            <w:r>
              <w:rPr>
                <w:rFonts w:hint="eastAsia" w:ascii="仿宋" w:hAnsi="仿宋" w:eastAsia="仿宋" w:cs="仿宋"/>
                <w:color w:val="auto"/>
                <w:highlight w:val="none"/>
                <w:lang w:val="en-US" w:eastAsia="zh-CN"/>
              </w:rPr>
              <w:t>20012012207122000019</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交款时间：成交通知书发放后，采购合同签订前。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24</w:t>
            </w:r>
          </w:p>
        </w:tc>
        <w:tc>
          <w:tcPr>
            <w:tcW w:w="2510" w:type="dxa"/>
            <w:noWrap w:val="0"/>
            <w:vAlign w:val="center"/>
          </w:tcPr>
          <w:p>
            <w:pPr>
              <w:pStyle w:val="79"/>
              <w:spacing w:line="400" w:lineRule="exact"/>
              <w:jc w:val="center"/>
              <w:rPr>
                <w:rFonts w:hint="eastAsia" w:ascii="仿宋" w:hAnsi="仿宋" w:eastAsia="仿宋" w:cs="仿宋"/>
                <w:bCs/>
                <w:color w:val="auto"/>
                <w:highlight w:val="none"/>
                <w:lang w:val="zh-CN"/>
              </w:rPr>
            </w:pPr>
            <w:r>
              <w:rPr>
                <w:rFonts w:hint="eastAsia" w:ascii="仿宋" w:hAnsi="仿宋" w:eastAsia="仿宋" w:cs="仿宋"/>
                <w:b/>
                <w:bCs/>
                <w:color w:val="auto"/>
                <w:highlight w:val="none"/>
                <w:lang w:val="zh-CN"/>
              </w:rPr>
              <w:t>付款方式（实质性要求）</w:t>
            </w:r>
          </w:p>
        </w:tc>
        <w:tc>
          <w:tcPr>
            <w:tcW w:w="6701" w:type="dxa"/>
            <w:noWrap w:val="0"/>
            <w:vAlign w:val="center"/>
          </w:tcPr>
          <w:p>
            <w:pPr>
              <w:pStyle w:val="9"/>
              <w:spacing w:line="400" w:lineRule="exact"/>
              <w:rPr>
                <w:rFonts w:hint="eastAsia" w:ascii="仿宋" w:hAnsi="仿宋" w:eastAsia="仿宋" w:cs="仿宋"/>
                <w:color w:val="auto"/>
                <w:highlight w:val="none"/>
                <w:lang w:val="zh-CN" w:eastAsia="zh-CN"/>
              </w:rPr>
            </w:pPr>
            <w:r>
              <w:rPr>
                <w:rFonts w:hint="eastAsia" w:ascii="仿宋" w:hAnsi="仿宋" w:eastAsia="仿宋" w:cs="仿宋"/>
                <w:b/>
                <w:bCs/>
                <w:color w:val="auto"/>
                <w:kern w:val="0"/>
                <w:sz w:val="24"/>
                <w:szCs w:val="22"/>
                <w:highlight w:val="none"/>
                <w:lang w:val="zh-CN" w:eastAsia="zh-CN"/>
              </w:rPr>
              <w:t>详见招标文件第六章。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25</w:t>
            </w:r>
          </w:p>
        </w:tc>
        <w:tc>
          <w:tcPr>
            <w:tcW w:w="2510" w:type="dxa"/>
            <w:noWrap w:val="0"/>
            <w:vAlign w:val="center"/>
          </w:tcPr>
          <w:p>
            <w:pPr>
              <w:pStyle w:val="79"/>
              <w:spacing w:line="400" w:lineRule="exact"/>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lang w:eastAsia="zh-CN"/>
              </w:rPr>
              <w:t>招标文件</w:t>
            </w:r>
            <w:r>
              <w:rPr>
                <w:rFonts w:hint="eastAsia" w:ascii="仿宋" w:hAnsi="仿宋" w:eastAsia="仿宋" w:cs="仿宋"/>
                <w:color w:val="auto"/>
                <w:kern w:val="2"/>
                <w:highlight w:val="none"/>
              </w:rPr>
              <w:t>咨询</w:t>
            </w:r>
          </w:p>
        </w:tc>
        <w:tc>
          <w:tcPr>
            <w:tcW w:w="6701" w:type="dxa"/>
            <w:noWrap w:val="0"/>
            <w:vAlign w:val="center"/>
          </w:tcPr>
          <w:p>
            <w:pPr>
              <w:spacing w:line="400" w:lineRule="exact"/>
              <w:ind w:right="105" w:right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李性雅</w:t>
            </w:r>
            <w:r>
              <w:rPr>
                <w:rFonts w:hint="eastAsia" w:ascii="仿宋" w:hAnsi="仿宋" w:eastAsia="仿宋" w:cs="仿宋"/>
                <w:color w:val="auto"/>
                <w:sz w:val="24"/>
                <w:highlight w:val="none"/>
              </w:rPr>
              <w:t>。</w:t>
            </w:r>
          </w:p>
          <w:p>
            <w:pPr>
              <w:spacing w:line="400" w:lineRule="exact"/>
              <w:ind w:right="105" w:right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联系电话：028-83388382 81133382-8</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26</w:t>
            </w:r>
          </w:p>
        </w:tc>
        <w:tc>
          <w:tcPr>
            <w:tcW w:w="2510" w:type="dxa"/>
            <w:noWrap w:val="0"/>
            <w:vAlign w:val="center"/>
          </w:tcPr>
          <w:p>
            <w:pPr>
              <w:pStyle w:val="79"/>
              <w:spacing w:line="400" w:lineRule="exact"/>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开标、评标工作咨询</w:t>
            </w:r>
          </w:p>
        </w:tc>
        <w:tc>
          <w:tcPr>
            <w:tcW w:w="6701" w:type="dxa"/>
            <w:noWrap w:val="0"/>
            <w:vAlign w:val="center"/>
          </w:tcPr>
          <w:p>
            <w:pPr>
              <w:spacing w:line="400" w:lineRule="exact"/>
              <w:ind w:right="105" w:right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李性雅</w:t>
            </w:r>
            <w:r>
              <w:rPr>
                <w:rFonts w:hint="eastAsia" w:ascii="仿宋" w:hAnsi="仿宋" w:eastAsia="仿宋" w:cs="仿宋"/>
                <w:color w:val="auto"/>
                <w:sz w:val="24"/>
                <w:highlight w:val="none"/>
              </w:rPr>
              <w:t>。</w:t>
            </w:r>
          </w:p>
          <w:p>
            <w:pPr>
              <w:spacing w:line="400" w:lineRule="exact"/>
              <w:ind w:right="105" w:right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联系电话：028-83388382 81133382-8</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27</w:t>
            </w:r>
          </w:p>
        </w:tc>
        <w:tc>
          <w:tcPr>
            <w:tcW w:w="2510" w:type="dxa"/>
            <w:noWrap w:val="0"/>
            <w:vAlign w:val="center"/>
          </w:tcPr>
          <w:p>
            <w:pPr>
              <w:spacing w:line="400" w:lineRule="exact"/>
              <w:ind w:left="105" w:leftChars="50" w:right="105" w:rightChar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中标通知书领取</w:t>
            </w:r>
          </w:p>
        </w:tc>
        <w:tc>
          <w:tcPr>
            <w:tcW w:w="6701" w:type="dxa"/>
            <w:noWrap w:val="0"/>
            <w:vAlign w:val="center"/>
          </w:tcPr>
          <w:p>
            <w:pPr>
              <w:tabs>
                <w:tab w:val="left" w:pos="766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中标结果公告在四川政府采购网上公告后，请中标人凭有效身份证明证件到</w:t>
            </w:r>
            <w:r>
              <w:rPr>
                <w:rFonts w:hint="eastAsia" w:ascii="仿宋" w:hAnsi="仿宋" w:eastAsia="仿宋" w:cs="仿宋"/>
                <w:color w:val="auto"/>
                <w:sz w:val="24"/>
                <w:highlight w:val="none"/>
                <w:lang w:val="zh-CN"/>
              </w:rPr>
              <w:t>四川致恒招标代理有限公司</w:t>
            </w:r>
            <w:r>
              <w:rPr>
                <w:rFonts w:hint="eastAsia" w:ascii="仿宋" w:hAnsi="仿宋" w:eastAsia="仿宋" w:cs="仿宋"/>
                <w:color w:val="auto"/>
                <w:sz w:val="24"/>
                <w:highlight w:val="none"/>
              </w:rPr>
              <w:t>领取中标通知书，逾期将以快递（到付）方式按</w:t>
            </w:r>
            <w:r>
              <w:rPr>
                <w:rFonts w:hint="eastAsia" w:ascii="仿宋" w:hAnsi="仿宋" w:eastAsia="仿宋" w:cs="仿宋"/>
                <w:bCs/>
                <w:color w:val="auto"/>
                <w:sz w:val="24"/>
                <w:highlight w:val="none"/>
                <w:lang w:eastAsia="zh-CN"/>
              </w:rPr>
              <w:t>投标人</w:t>
            </w:r>
            <w:r>
              <w:rPr>
                <w:rFonts w:hint="eastAsia" w:ascii="仿宋" w:hAnsi="仿宋" w:eastAsia="仿宋" w:cs="仿宋"/>
                <w:color w:val="auto"/>
                <w:sz w:val="24"/>
                <w:highlight w:val="none"/>
              </w:rPr>
              <w:t>投标文件中填写的地址发出。</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联系人：黄珊。</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联系电话：028-83388382</w:t>
            </w:r>
            <w:r>
              <w:rPr>
                <w:rFonts w:hint="eastAsia" w:ascii="仿宋" w:hAnsi="仿宋" w:eastAsia="仿宋" w:cs="仿宋"/>
                <w:color w:val="auto"/>
                <w:sz w:val="24"/>
                <w:highlight w:val="none"/>
              </w:rPr>
              <w:t xml:space="preserve"> 81133382</w:t>
            </w:r>
            <w:r>
              <w:rPr>
                <w:rFonts w:hint="eastAsia" w:ascii="仿宋" w:hAnsi="仿宋" w:eastAsia="仿宋" w:cs="仿宋"/>
                <w:color w:val="auto"/>
                <w:sz w:val="24"/>
                <w:highlight w:val="none"/>
                <w:lang w:val="zh-CN"/>
              </w:rPr>
              <w:t>-801。</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地址：</w:t>
            </w:r>
            <w:r>
              <w:rPr>
                <w:rFonts w:hint="eastAsia" w:ascii="仿宋" w:hAnsi="仿宋" w:eastAsia="仿宋" w:cs="仿宋"/>
                <w:bCs/>
                <w:color w:val="auto"/>
                <w:sz w:val="24"/>
                <w:szCs w:val="28"/>
                <w:highlight w:val="none"/>
              </w:rPr>
              <w:t xml:space="preserve">成都市武侯区星狮路818号大合仓星商界4栋4单元801-802 </w:t>
            </w:r>
            <w:r>
              <w:rPr>
                <w:rFonts w:hint="eastAsia" w:ascii="仿宋" w:hAnsi="仿宋" w:eastAsia="仿宋" w:cs="仿宋"/>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28</w:t>
            </w:r>
          </w:p>
        </w:tc>
        <w:tc>
          <w:tcPr>
            <w:tcW w:w="2510" w:type="dxa"/>
            <w:noWrap w:val="0"/>
            <w:vAlign w:val="center"/>
          </w:tcPr>
          <w:p>
            <w:pPr>
              <w:pStyle w:val="79"/>
              <w:spacing w:line="400" w:lineRule="exact"/>
              <w:jc w:val="center"/>
              <w:rPr>
                <w:rFonts w:hint="eastAsia" w:ascii="仿宋" w:hAnsi="仿宋" w:eastAsia="仿宋" w:cs="仿宋"/>
                <w:color w:val="auto"/>
                <w:kern w:val="2"/>
                <w:highlight w:val="none"/>
              </w:rPr>
            </w:pPr>
            <w:r>
              <w:rPr>
                <w:rFonts w:hint="eastAsia" w:ascii="仿宋" w:hAnsi="仿宋" w:eastAsia="仿宋" w:cs="仿宋"/>
                <w:bCs/>
                <w:color w:val="auto"/>
                <w:sz w:val="24"/>
                <w:highlight w:val="none"/>
                <w:lang w:eastAsia="zh-CN"/>
              </w:rPr>
              <w:t>投标人</w:t>
            </w:r>
            <w:r>
              <w:rPr>
                <w:rFonts w:hint="eastAsia" w:ascii="仿宋" w:hAnsi="仿宋" w:eastAsia="仿宋" w:cs="仿宋"/>
                <w:color w:val="auto"/>
                <w:kern w:val="2"/>
                <w:highlight w:val="none"/>
              </w:rPr>
              <w:t>询问</w:t>
            </w:r>
          </w:p>
        </w:tc>
        <w:tc>
          <w:tcPr>
            <w:tcW w:w="6701" w:type="dxa"/>
            <w:noWrap w:val="0"/>
            <w:vAlign w:val="center"/>
          </w:tcPr>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根据委托代理协议约定：针对招标文件技术条款和除</w:t>
            </w:r>
            <w:r>
              <w:rPr>
                <w:rFonts w:hint="eastAsia" w:ascii="仿宋" w:hAnsi="仿宋" w:eastAsia="仿宋" w:cs="仿宋"/>
                <w:color w:val="auto"/>
                <w:sz w:val="24"/>
                <w:highlight w:val="none"/>
                <w:lang w:val="en-US" w:eastAsia="zh-CN"/>
              </w:rPr>
              <w:t>中华人民共和国</w:t>
            </w:r>
            <w:r>
              <w:rPr>
                <w:rFonts w:hint="eastAsia" w:ascii="仿宋" w:hAnsi="仿宋" w:eastAsia="仿宋" w:cs="仿宋"/>
                <w:color w:val="auto"/>
                <w:sz w:val="24"/>
                <w:highlight w:val="none"/>
              </w:rPr>
              <w:t>政府采购法第二十二条之外的其他资格条件、专业技术和商务条件、评审办法的询问由采购人进行答复，针对招标过程及招标文件其他内容提出的询问由采购代理机构进行答复</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联系人：莫尼克。</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联系电话：028-83388382</w:t>
            </w:r>
            <w:r>
              <w:rPr>
                <w:rFonts w:hint="eastAsia" w:ascii="仿宋" w:hAnsi="仿宋" w:eastAsia="仿宋" w:cs="仿宋"/>
                <w:color w:val="auto"/>
                <w:sz w:val="24"/>
                <w:highlight w:val="none"/>
              </w:rPr>
              <w:t xml:space="preserve"> 81133382</w:t>
            </w:r>
            <w:r>
              <w:rPr>
                <w:rFonts w:hint="eastAsia" w:ascii="仿宋" w:hAnsi="仿宋" w:eastAsia="仿宋" w:cs="仿宋"/>
                <w:color w:val="auto"/>
                <w:sz w:val="24"/>
                <w:highlight w:val="none"/>
                <w:lang w:val="zh-CN"/>
              </w:rPr>
              <w:t>-8</w:t>
            </w: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地址：</w:t>
            </w:r>
            <w:r>
              <w:rPr>
                <w:rFonts w:hint="eastAsia" w:ascii="仿宋" w:hAnsi="仿宋" w:eastAsia="仿宋" w:cs="仿宋"/>
                <w:bCs/>
                <w:color w:val="auto"/>
                <w:sz w:val="24"/>
                <w:szCs w:val="28"/>
                <w:highlight w:val="none"/>
              </w:rPr>
              <w:t>成都市武侯区星狮路818号大合仓星商界4栋4单元801-802</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lang w:val="zh-CN"/>
              </w:rPr>
              <w:t>61004</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tcBorders>
              <w:top w:val="single" w:color="auto" w:sz="4" w:space="0"/>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29</w:t>
            </w:r>
          </w:p>
        </w:tc>
        <w:tc>
          <w:tcPr>
            <w:tcW w:w="2510" w:type="dxa"/>
            <w:tcBorders>
              <w:top w:val="single" w:color="auto" w:sz="4" w:space="0"/>
              <w:bottom w:val="single" w:color="auto" w:sz="4" w:space="0"/>
            </w:tcBorders>
            <w:noWrap w:val="0"/>
            <w:vAlign w:val="center"/>
          </w:tcPr>
          <w:p>
            <w:pPr>
              <w:pStyle w:val="79"/>
              <w:spacing w:line="400" w:lineRule="exact"/>
              <w:jc w:val="center"/>
              <w:rPr>
                <w:rFonts w:hint="eastAsia" w:ascii="仿宋" w:hAnsi="仿宋" w:eastAsia="仿宋" w:cs="仿宋"/>
                <w:color w:val="auto"/>
                <w:kern w:val="2"/>
                <w:highlight w:val="none"/>
              </w:rPr>
            </w:pPr>
            <w:r>
              <w:rPr>
                <w:rFonts w:hint="eastAsia" w:ascii="仿宋" w:hAnsi="仿宋" w:eastAsia="仿宋" w:cs="仿宋"/>
                <w:bCs/>
                <w:color w:val="auto"/>
                <w:sz w:val="24"/>
                <w:highlight w:val="none"/>
                <w:lang w:eastAsia="zh-CN"/>
              </w:rPr>
              <w:t>投标人</w:t>
            </w:r>
            <w:r>
              <w:rPr>
                <w:rFonts w:hint="eastAsia" w:ascii="仿宋" w:hAnsi="仿宋" w:eastAsia="仿宋" w:cs="仿宋"/>
                <w:color w:val="auto"/>
                <w:kern w:val="2"/>
                <w:highlight w:val="none"/>
              </w:rPr>
              <w:t>质疑</w:t>
            </w:r>
          </w:p>
        </w:tc>
        <w:tc>
          <w:tcPr>
            <w:tcW w:w="6701" w:type="dxa"/>
            <w:tcBorders>
              <w:top w:val="single" w:color="auto" w:sz="4" w:space="0"/>
              <w:bottom w:val="single" w:color="auto" w:sz="4" w:space="0"/>
            </w:tcBorders>
            <w:noWrap w:val="0"/>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根据委托代理协议约定：针对招标文件技术条款和除</w:t>
            </w:r>
            <w:r>
              <w:rPr>
                <w:rFonts w:hint="eastAsia" w:ascii="仿宋" w:hAnsi="仿宋" w:eastAsia="仿宋" w:cs="仿宋"/>
                <w:color w:val="auto"/>
                <w:sz w:val="24"/>
                <w:highlight w:val="none"/>
                <w:lang w:val="en-US" w:eastAsia="zh-CN"/>
              </w:rPr>
              <w:t>中华人民共和国</w:t>
            </w:r>
            <w:r>
              <w:rPr>
                <w:rFonts w:hint="eastAsia" w:ascii="仿宋" w:hAnsi="仿宋" w:eastAsia="仿宋" w:cs="仿宋"/>
                <w:color w:val="auto"/>
                <w:sz w:val="24"/>
                <w:highlight w:val="none"/>
              </w:rPr>
              <w:t>政府采购法第二十二条之外的其他资格条件、专业技术和商务条件、评审办法的询问由采购人进行答复，针对招标过程及招标文件其他内容提出的询问由采购代理机构进行答复。</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w:t>
            </w:r>
            <w:r>
              <w:rPr>
                <w:rFonts w:hint="eastAsia" w:ascii="仿宋" w:hAnsi="仿宋" w:eastAsia="仿宋" w:cs="仿宋"/>
                <w:color w:val="auto"/>
                <w:sz w:val="24"/>
                <w:highlight w:val="none"/>
              </w:rPr>
              <w:t>郭强</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联系电话：028-83388382</w:t>
            </w:r>
            <w:r>
              <w:rPr>
                <w:rFonts w:hint="eastAsia" w:ascii="仿宋" w:hAnsi="仿宋" w:eastAsia="仿宋" w:cs="仿宋"/>
                <w:color w:val="auto"/>
                <w:sz w:val="24"/>
                <w:highlight w:val="none"/>
              </w:rPr>
              <w:t xml:space="preserve"> 81133382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806</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地址：</w:t>
            </w:r>
            <w:r>
              <w:rPr>
                <w:rFonts w:hint="eastAsia" w:ascii="仿宋" w:hAnsi="仿宋" w:eastAsia="仿宋" w:cs="仿宋"/>
                <w:color w:val="auto"/>
                <w:sz w:val="24"/>
                <w:highlight w:val="none"/>
              </w:rPr>
              <w:t xml:space="preserve">成都市武侯区星狮路818号大合仓星商界4栋4单元801-802 </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lang w:val="zh-CN"/>
              </w:rPr>
              <w:t>61004</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w:t>
            </w:r>
          </w:p>
          <w:p>
            <w:pPr>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注：1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根据《中华人民共和国政府采购法》相关规定，</w:t>
            </w:r>
            <w:r>
              <w:rPr>
                <w:rFonts w:hint="eastAsia" w:ascii="仿宋" w:hAnsi="仿宋" w:eastAsia="仿宋" w:cs="仿宋"/>
                <w:bCs/>
                <w:color w:val="auto"/>
                <w:sz w:val="24"/>
                <w:highlight w:val="none"/>
                <w:lang w:eastAsia="zh-CN"/>
              </w:rPr>
              <w:t>投标人</w:t>
            </w:r>
            <w:r>
              <w:rPr>
                <w:rFonts w:hint="eastAsia" w:ascii="仿宋" w:hAnsi="仿宋" w:eastAsia="仿宋" w:cs="仿宋"/>
                <w:color w:val="auto"/>
                <w:sz w:val="24"/>
                <w:highlight w:val="none"/>
                <w:lang w:val="zh-CN"/>
              </w:rPr>
              <w:t>质疑不得超出招标文件、采购过程、采购结果的范围。</w:t>
            </w:r>
          </w:p>
          <w:p>
            <w:pPr>
              <w:spacing w:line="400" w:lineRule="exact"/>
              <w:rPr>
                <w:rFonts w:hint="eastAsia" w:ascii="仿宋" w:hAnsi="仿宋" w:eastAsia="仿宋" w:cs="仿宋"/>
                <w:color w:val="auto"/>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根据《</w:t>
            </w:r>
            <w:r>
              <w:rPr>
                <w:rFonts w:hint="eastAsia" w:ascii="仿宋" w:hAnsi="仿宋" w:eastAsia="仿宋" w:cs="仿宋"/>
                <w:color w:val="auto"/>
                <w:sz w:val="24"/>
                <w:highlight w:val="none"/>
              </w:rPr>
              <w:t>政府采购质疑和投诉办法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（财政部令第94号）</w:t>
            </w:r>
            <w:r>
              <w:rPr>
                <w:rFonts w:hint="eastAsia" w:ascii="仿宋" w:hAnsi="仿宋" w:eastAsia="仿宋" w:cs="仿宋"/>
                <w:color w:val="auto"/>
                <w:sz w:val="24"/>
                <w:highlight w:val="none"/>
                <w:lang w:val="zh-CN"/>
              </w:rPr>
              <w:t>相关规定，</w:t>
            </w:r>
            <w:r>
              <w:rPr>
                <w:rFonts w:hint="eastAsia" w:ascii="仿宋" w:hAnsi="仿宋" w:eastAsia="仿宋" w:cs="仿宋"/>
                <w:bCs/>
                <w:color w:val="auto"/>
                <w:sz w:val="24"/>
                <w:highlight w:val="none"/>
                <w:lang w:eastAsia="zh-CN"/>
              </w:rPr>
              <w:t>投标人</w:t>
            </w:r>
            <w:r>
              <w:rPr>
                <w:rFonts w:hint="eastAsia" w:ascii="仿宋" w:hAnsi="仿宋" w:eastAsia="仿宋" w:cs="仿宋"/>
                <w:color w:val="auto"/>
                <w:sz w:val="24"/>
                <w:highlight w:val="none"/>
              </w:rPr>
              <w:t>提出质疑应当提交质疑函和必要的证明材料，且应当在法定质疑期内一次性提出针对同一采购程序环节的质疑。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tcBorders>
              <w:top w:val="single" w:color="auto" w:sz="4" w:space="0"/>
              <w:bottom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30</w:t>
            </w:r>
          </w:p>
        </w:tc>
        <w:tc>
          <w:tcPr>
            <w:tcW w:w="2510" w:type="dxa"/>
            <w:tcBorders>
              <w:top w:val="single" w:color="auto" w:sz="4" w:space="0"/>
              <w:bottom w:val="single" w:color="auto" w:sz="4" w:space="0"/>
            </w:tcBorders>
            <w:noWrap w:val="0"/>
            <w:vAlign w:val="center"/>
          </w:tcPr>
          <w:p>
            <w:pPr>
              <w:pStyle w:val="79"/>
              <w:spacing w:line="400" w:lineRule="exact"/>
              <w:jc w:val="center"/>
              <w:rPr>
                <w:rFonts w:hint="eastAsia" w:ascii="仿宋" w:hAnsi="仿宋" w:eastAsia="仿宋" w:cs="仿宋"/>
                <w:color w:val="auto"/>
                <w:kern w:val="2"/>
                <w:highlight w:val="none"/>
              </w:rPr>
            </w:pPr>
            <w:r>
              <w:rPr>
                <w:rFonts w:hint="eastAsia" w:ascii="仿宋" w:hAnsi="仿宋" w:eastAsia="仿宋" w:cs="仿宋"/>
                <w:bCs/>
                <w:color w:val="auto"/>
                <w:sz w:val="24"/>
                <w:highlight w:val="none"/>
                <w:lang w:eastAsia="zh-CN"/>
              </w:rPr>
              <w:t>投标人</w:t>
            </w:r>
            <w:r>
              <w:rPr>
                <w:rFonts w:hint="eastAsia" w:ascii="仿宋" w:hAnsi="仿宋" w:eastAsia="仿宋" w:cs="仿宋"/>
                <w:color w:val="auto"/>
                <w:kern w:val="2"/>
                <w:highlight w:val="none"/>
              </w:rPr>
              <w:t>投诉</w:t>
            </w:r>
          </w:p>
        </w:tc>
        <w:tc>
          <w:tcPr>
            <w:tcW w:w="6701" w:type="dxa"/>
            <w:tcBorders>
              <w:top w:val="single" w:color="auto" w:sz="4" w:space="0"/>
              <w:bottom w:val="single" w:color="auto" w:sz="4" w:space="0"/>
            </w:tcBorders>
            <w:noWrap w:val="0"/>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投诉受理单位：本采购项目同级财政部门，即</w:t>
            </w:r>
            <w:r>
              <w:rPr>
                <w:rFonts w:hint="eastAsia" w:ascii="仿宋" w:hAnsi="仿宋" w:eastAsia="仿宋" w:cs="仿宋"/>
                <w:color w:val="auto"/>
                <w:sz w:val="24"/>
                <w:highlight w:val="none"/>
                <w:lang w:val="en-US" w:eastAsia="zh-CN"/>
              </w:rPr>
              <w:t>成都高新技术产业开发区财政金融局</w:t>
            </w:r>
            <w:r>
              <w:rPr>
                <w:rFonts w:hint="eastAsia" w:ascii="仿宋" w:hAnsi="仿宋" w:eastAsia="仿宋" w:cs="仿宋"/>
                <w:color w:val="auto"/>
                <w:sz w:val="24"/>
                <w:highlight w:val="none"/>
                <w:lang w:val="zh-CN"/>
              </w:rPr>
              <w:t>。</w:t>
            </w:r>
          </w:p>
          <w:p>
            <w:pPr>
              <w:pStyle w:val="79"/>
              <w:spacing w:line="40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注：1</w:t>
            </w:r>
            <w:r>
              <w:rPr>
                <w:rFonts w:hint="eastAsia" w:ascii="仿宋" w:hAnsi="仿宋" w:eastAsia="仿宋" w:cs="仿宋"/>
                <w:color w:val="auto"/>
                <w:highlight w:val="none"/>
              </w:rPr>
              <w:t>.投诉人投诉时,应当提交投诉书和必要的证明材料</w:t>
            </w:r>
            <w:r>
              <w:rPr>
                <w:rFonts w:hint="eastAsia" w:ascii="仿宋" w:hAnsi="仿宋" w:eastAsia="仿宋" w:cs="仿宋"/>
                <w:color w:val="auto"/>
                <w:highlight w:val="none"/>
                <w:lang w:val="zh-CN"/>
              </w:rPr>
              <w:t>。</w:t>
            </w: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2</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lang w:eastAsia="zh-CN"/>
              </w:rPr>
              <w:t>投标人</w:t>
            </w:r>
            <w:r>
              <w:rPr>
                <w:rFonts w:hint="eastAsia" w:ascii="仿宋" w:hAnsi="仿宋" w:eastAsia="仿宋" w:cs="仿宋"/>
                <w:color w:val="auto"/>
                <w:sz w:val="24"/>
                <w:highlight w:val="none"/>
              </w:rPr>
              <w:t>投诉的事项不得超出已质疑事项的范围，但基于质疑答复内容提出的投诉事项除外</w:t>
            </w:r>
            <w:r>
              <w:rPr>
                <w:rFonts w:hint="eastAsia" w:ascii="仿宋" w:hAnsi="仿宋" w:eastAsia="仿宋" w:cs="仿宋"/>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34" w:hRule="atLeast"/>
          <w:jc w:val="center"/>
        </w:trPr>
        <w:tc>
          <w:tcPr>
            <w:tcW w:w="697" w:type="dxa"/>
            <w:tcBorders>
              <w:top w:val="single" w:color="auto" w:sz="4" w:space="0"/>
            </w:tcBorders>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31</w:t>
            </w:r>
          </w:p>
        </w:tc>
        <w:tc>
          <w:tcPr>
            <w:tcW w:w="2510" w:type="dxa"/>
            <w:tcBorders>
              <w:top w:val="single" w:color="auto" w:sz="4" w:space="0"/>
            </w:tcBorders>
            <w:noWrap w:val="0"/>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政府采购合同</w:t>
            </w:r>
          </w:p>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公告备案</w:t>
            </w:r>
          </w:p>
        </w:tc>
        <w:tc>
          <w:tcPr>
            <w:tcW w:w="6701" w:type="dxa"/>
            <w:tcBorders>
              <w:top w:val="single" w:color="auto" w:sz="4" w:space="0"/>
            </w:tcBorders>
            <w:noWrap w:val="0"/>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政府采购合同签订之日起2个工作日内，政府采购合同将在四川政府采购网公告；政府采购合同签订之日起七个工作日内，政府采购合同将向本采购项目同级财政部门</w:t>
            </w:r>
            <w:r>
              <w:rPr>
                <w:rFonts w:hint="eastAsia" w:ascii="仿宋" w:hAnsi="仿宋" w:eastAsia="仿宋" w:cs="仿宋"/>
                <w:color w:val="auto"/>
                <w:sz w:val="24"/>
                <w:highlight w:val="none"/>
                <w:lang w:eastAsia="zh-CN"/>
              </w:rPr>
              <w:t>备案</w:t>
            </w:r>
            <w:r>
              <w:rPr>
                <w:rFonts w:hint="eastAsia" w:ascii="仿宋" w:hAnsi="仿宋" w:eastAsia="仿宋" w:cs="仿宋"/>
                <w:color w:val="auto"/>
                <w:sz w:val="24"/>
                <w:highlight w:val="none"/>
              </w:rPr>
              <w:t>，即</w:t>
            </w:r>
            <w:r>
              <w:rPr>
                <w:rFonts w:hint="eastAsia" w:ascii="仿宋" w:hAnsi="仿宋" w:eastAsia="仿宋" w:cs="仿宋"/>
                <w:color w:val="auto"/>
                <w:sz w:val="24"/>
                <w:highlight w:val="none"/>
                <w:lang w:eastAsia="zh-CN"/>
              </w:rPr>
              <w:t>成都高新技术产业开发区财政金融局</w:t>
            </w:r>
            <w:r>
              <w:rPr>
                <w:rFonts w:hint="eastAsia" w:ascii="仿宋" w:hAnsi="仿宋" w:eastAsia="仿宋" w:cs="仿宋"/>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32</w:t>
            </w:r>
          </w:p>
        </w:tc>
        <w:tc>
          <w:tcPr>
            <w:tcW w:w="2510" w:type="dxa"/>
            <w:tcBorders>
              <w:right w:val="single" w:color="auto" w:sz="4" w:space="0"/>
            </w:tcBorders>
            <w:noWrap w:val="0"/>
            <w:vAlign w:val="center"/>
          </w:tcPr>
          <w:p>
            <w:pPr>
              <w:pStyle w:val="79"/>
              <w:spacing w:line="400" w:lineRule="exact"/>
              <w:ind w:left="33" w:firstLine="240" w:firstLineChars="100"/>
              <w:jc w:val="center"/>
              <w:rPr>
                <w:rFonts w:hint="eastAsia" w:ascii="仿宋" w:hAnsi="仿宋" w:eastAsia="仿宋" w:cs="仿宋"/>
                <w:color w:val="auto"/>
                <w:highlight w:val="none"/>
              </w:rPr>
            </w:pPr>
            <w:r>
              <w:rPr>
                <w:rFonts w:hint="eastAsia" w:ascii="仿宋" w:hAnsi="仿宋" w:eastAsia="仿宋" w:cs="仿宋"/>
                <w:color w:val="auto"/>
                <w:highlight w:val="none"/>
              </w:rPr>
              <w:t>特别提示</w:t>
            </w:r>
          </w:p>
        </w:tc>
        <w:tc>
          <w:tcPr>
            <w:tcW w:w="6701" w:type="dxa"/>
            <w:tcBorders>
              <w:left w:val="single" w:color="auto" w:sz="4" w:space="0"/>
            </w:tcBorders>
            <w:noWrap w:val="0"/>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w:t>
            </w:r>
          </w:p>
          <w:p>
            <w:pPr>
              <w:spacing w:line="400" w:lineRule="exact"/>
              <w:rPr>
                <w:rFonts w:hint="eastAsia" w:ascii="仿宋" w:hAnsi="仿宋" w:eastAsia="仿宋" w:cs="仿宋"/>
                <w:color w:val="auto"/>
                <w:highlight w:val="none"/>
              </w:rPr>
            </w:pPr>
            <w:r>
              <w:rPr>
                <w:rFonts w:hint="eastAsia" w:ascii="仿宋" w:hAnsi="仿宋" w:eastAsia="仿宋" w:cs="仿宋"/>
                <w:color w:val="auto"/>
                <w:sz w:val="24"/>
                <w:highlight w:val="none"/>
              </w:rPr>
              <w:t>2.疫情防控期间，参加本项目现场获取</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或者开标的供应商授权代表应全程佩戴好口罩并积极配合代理机构进行体温检测，未正确佩戴口罩或体温检测超过37.3℃的供应商授权代表将被拒绝进入活动现场。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0" w:hRule="atLeast"/>
          <w:jc w:val="center"/>
        </w:trPr>
        <w:tc>
          <w:tcPr>
            <w:tcW w:w="697" w:type="dxa"/>
            <w:noWrap w:val="0"/>
            <w:vAlign w:val="center"/>
          </w:tcPr>
          <w:p>
            <w:pPr>
              <w:pStyle w:val="79"/>
              <w:spacing w:line="400" w:lineRule="exact"/>
              <w:ind w:right="23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33</w:t>
            </w:r>
          </w:p>
        </w:tc>
        <w:tc>
          <w:tcPr>
            <w:tcW w:w="2510" w:type="dxa"/>
            <w:tcBorders>
              <w:right w:val="single" w:color="auto" w:sz="4" w:space="0"/>
            </w:tcBorders>
            <w:noWrap w:val="0"/>
            <w:vAlign w:val="center"/>
          </w:tcPr>
          <w:p>
            <w:pPr>
              <w:pStyle w:val="79"/>
              <w:spacing w:line="400" w:lineRule="exact"/>
              <w:ind w:left="33" w:firstLine="240" w:firstLineChars="100"/>
              <w:jc w:val="center"/>
              <w:rPr>
                <w:rFonts w:hint="eastAsia" w:ascii="仿宋" w:hAnsi="仿宋" w:eastAsia="仿宋" w:cs="仿宋"/>
                <w:color w:val="auto"/>
                <w:highlight w:val="none"/>
              </w:rPr>
            </w:pPr>
            <w:r>
              <w:rPr>
                <w:rFonts w:hint="eastAsia" w:ascii="仿宋" w:hAnsi="仿宋" w:eastAsia="仿宋" w:cs="仿宋"/>
                <w:color w:val="auto"/>
                <w:highlight w:val="none"/>
              </w:rPr>
              <w:t>本项目所属行业</w:t>
            </w:r>
          </w:p>
        </w:tc>
        <w:tc>
          <w:tcPr>
            <w:tcW w:w="6701" w:type="dxa"/>
            <w:tcBorders>
              <w:left w:val="single" w:color="auto" w:sz="4" w:space="0"/>
            </w:tcBorders>
            <w:noWrap w:val="0"/>
            <w:vAlign w:val="center"/>
          </w:tcPr>
          <w:p>
            <w:pPr>
              <w:pStyle w:val="63"/>
              <w:spacing w:line="400" w:lineRule="exact"/>
              <w:ind w:firstLine="0" w:firstLineChars="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 xml:space="preserve">   本项目属于服务业</w:t>
            </w:r>
          </w:p>
        </w:tc>
      </w:tr>
    </w:tbl>
    <w:p>
      <w:pPr>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注：本前附表以外关于其他内容是对</w:t>
      </w:r>
      <w:r>
        <w:rPr>
          <w:rFonts w:hint="eastAsia" w:ascii="仿宋" w:hAnsi="仿宋" w:eastAsia="仿宋" w:cs="仿宋"/>
          <w:b/>
          <w:bCs/>
          <w:color w:val="auto"/>
          <w:sz w:val="24"/>
          <w:highlight w:val="none"/>
          <w:lang w:eastAsia="zh-CN"/>
        </w:rPr>
        <w:t>供应商</w:t>
      </w:r>
      <w:r>
        <w:rPr>
          <w:rFonts w:hint="eastAsia" w:ascii="仿宋" w:hAnsi="仿宋" w:eastAsia="仿宋" w:cs="仿宋"/>
          <w:b/>
          <w:bCs/>
          <w:color w:val="auto"/>
          <w:sz w:val="24"/>
          <w:highlight w:val="none"/>
        </w:rPr>
        <w:t>须知的具体补充，如有矛盾，以本前附表为准。</w:t>
      </w:r>
    </w:p>
    <w:p>
      <w:pPr>
        <w:pStyle w:val="2"/>
        <w:spacing w:before="312" w:beforeLines="100" w:after="312" w:afterLines="100" w:line="400" w:lineRule="exact"/>
        <w:jc w:val="center"/>
        <w:rPr>
          <w:rFonts w:hint="eastAsia" w:ascii="仿宋" w:hAnsi="仿宋" w:eastAsia="仿宋" w:cs="仿宋"/>
          <w:bCs w:val="0"/>
          <w:color w:val="auto"/>
          <w:highlight w:val="none"/>
        </w:rPr>
      </w:pPr>
    </w:p>
    <w:p>
      <w:pPr>
        <w:pStyle w:val="2"/>
        <w:spacing w:before="312" w:beforeLines="100" w:after="312" w:afterLines="100" w:line="400" w:lineRule="exact"/>
        <w:jc w:val="center"/>
        <w:rPr>
          <w:rFonts w:hint="eastAsia" w:ascii="仿宋" w:hAnsi="仿宋" w:eastAsia="仿宋" w:cs="仿宋"/>
          <w:bCs w:val="0"/>
          <w:color w:val="auto"/>
          <w:highlight w:val="none"/>
        </w:rPr>
      </w:pPr>
      <w:r>
        <w:rPr>
          <w:rFonts w:hint="eastAsia" w:ascii="仿宋" w:hAnsi="仿宋" w:eastAsia="仿宋" w:cs="仿宋"/>
          <w:bCs w:val="0"/>
          <w:color w:val="auto"/>
          <w:highlight w:val="none"/>
        </w:rPr>
        <w:t>二、总  则</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8" w:name="_Toc183682342"/>
      <w:bookmarkStart w:id="9" w:name="_Toc183582205"/>
      <w:bookmarkStart w:id="10" w:name="_Toc217446034"/>
      <w:r>
        <w:rPr>
          <w:rFonts w:hint="eastAsia" w:ascii="仿宋" w:hAnsi="仿宋" w:eastAsia="仿宋" w:cs="仿宋"/>
          <w:color w:val="auto"/>
          <w:sz w:val="24"/>
          <w:szCs w:val="24"/>
          <w:highlight w:val="none"/>
        </w:rPr>
        <w:t>1.</w:t>
      </w:r>
      <w:bookmarkEnd w:id="8"/>
      <w:bookmarkEnd w:id="9"/>
      <w:r>
        <w:rPr>
          <w:rFonts w:hint="eastAsia" w:ascii="仿宋" w:hAnsi="仿宋" w:eastAsia="仿宋" w:cs="仿宋"/>
          <w:color w:val="auto"/>
          <w:sz w:val="24"/>
          <w:szCs w:val="24"/>
          <w:highlight w:val="none"/>
        </w:rPr>
        <w:t xml:space="preserve"> 适用范围</w:t>
      </w:r>
      <w:bookmarkEnd w:id="10"/>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本招标文件仅适用于本次公开招标采购项目。</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11" w:name="_Toc183682343"/>
      <w:bookmarkStart w:id="12" w:name="_Toc183582206"/>
      <w:bookmarkStart w:id="13" w:name="_Toc217446035"/>
      <w:r>
        <w:rPr>
          <w:rFonts w:hint="eastAsia" w:ascii="仿宋" w:hAnsi="仿宋" w:eastAsia="仿宋" w:cs="仿宋"/>
          <w:color w:val="auto"/>
          <w:sz w:val="24"/>
          <w:szCs w:val="24"/>
          <w:highlight w:val="none"/>
        </w:rPr>
        <w:t xml:space="preserve">2. </w:t>
      </w:r>
      <w:bookmarkEnd w:id="11"/>
      <w:bookmarkEnd w:id="12"/>
      <w:r>
        <w:rPr>
          <w:rFonts w:hint="eastAsia" w:ascii="仿宋" w:hAnsi="仿宋" w:eastAsia="仿宋" w:cs="仿宋"/>
          <w:color w:val="auto"/>
          <w:sz w:val="24"/>
          <w:szCs w:val="24"/>
          <w:highlight w:val="none"/>
        </w:rPr>
        <w:t>有关定义</w:t>
      </w:r>
      <w:bookmarkEnd w:id="13"/>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“采购人”系指依法进行政府采购的国家机关、事业单位、团体组织。本次招标的采购人是</w:t>
      </w:r>
      <w:r>
        <w:rPr>
          <w:rFonts w:hint="eastAsia" w:ascii="仿宋" w:hAnsi="仿宋" w:eastAsia="仿宋" w:cs="仿宋"/>
          <w:color w:val="auto"/>
          <w:sz w:val="24"/>
          <w:highlight w:val="none"/>
          <w:u w:val="single"/>
          <w:lang w:eastAsia="zh-CN"/>
        </w:rPr>
        <w:t>成都高新技术产业开发区肖家河街道办事处</w:t>
      </w:r>
      <w:r>
        <w:rPr>
          <w:rFonts w:hint="eastAsia" w:ascii="仿宋" w:hAnsi="仿宋" w:eastAsia="仿宋" w:cs="仿宋"/>
          <w:color w:val="auto"/>
          <w:sz w:val="24"/>
          <w:highlight w:val="none"/>
        </w:rPr>
        <w:t>。</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 ，同代理机构，系指根据采购人的委托依法办理招标事宜的采购机构。本次招标的采购代理机构是</w:t>
      </w:r>
      <w:r>
        <w:rPr>
          <w:rFonts w:hint="eastAsia" w:ascii="仿宋" w:hAnsi="仿宋" w:eastAsia="仿宋" w:cs="仿宋"/>
          <w:color w:val="auto"/>
          <w:sz w:val="24"/>
          <w:highlight w:val="none"/>
          <w:u w:val="single"/>
        </w:rPr>
        <w:t>四川致恒招标代理有限公司</w:t>
      </w:r>
      <w:r>
        <w:rPr>
          <w:rFonts w:hint="eastAsia" w:ascii="仿宋" w:hAnsi="仿宋" w:eastAsia="仿宋" w:cs="仿宋"/>
          <w:color w:val="auto"/>
          <w:sz w:val="24"/>
          <w:highlight w:val="none"/>
        </w:rPr>
        <w:t>。</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“招标人”系指“采购人”和“采购代理机构”的统称。</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“投标人”，同供应商，系指购买了招标文件拟参加投标和向采购人提供</w:t>
      </w:r>
      <w:r>
        <w:rPr>
          <w:rFonts w:hint="eastAsia" w:ascii="仿宋" w:hAnsi="仿宋" w:eastAsia="仿宋" w:cs="仿宋"/>
          <w:color w:val="auto"/>
          <w:sz w:val="24"/>
          <w:highlight w:val="none"/>
          <w:lang w:eastAsia="zh-CN"/>
        </w:rPr>
        <w:t>相应</w:t>
      </w:r>
      <w:r>
        <w:rPr>
          <w:rFonts w:hint="eastAsia" w:ascii="仿宋" w:hAnsi="仿宋" w:eastAsia="仿宋" w:cs="仿宋"/>
          <w:color w:val="auto"/>
          <w:sz w:val="24"/>
          <w:highlight w:val="none"/>
        </w:rPr>
        <w:t>服务的法人、其他组织或者自然人。</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14" w:name="_Toc217390843"/>
      <w:bookmarkStart w:id="15" w:name="_Toc183582207"/>
      <w:bookmarkStart w:id="16" w:name="_Toc217446036"/>
      <w:bookmarkStart w:id="17" w:name="_Toc183682344"/>
      <w:r>
        <w:rPr>
          <w:rFonts w:hint="eastAsia" w:ascii="仿宋" w:hAnsi="仿宋" w:eastAsia="仿宋" w:cs="仿宋"/>
          <w:color w:val="auto"/>
          <w:sz w:val="24"/>
          <w:szCs w:val="24"/>
          <w:highlight w:val="none"/>
        </w:rPr>
        <w:t>3. 合格的投标人</w:t>
      </w:r>
      <w:bookmarkEnd w:id="14"/>
      <w:bookmarkEnd w:id="15"/>
      <w:bookmarkEnd w:id="16"/>
      <w:bookmarkEnd w:id="17"/>
      <w:r>
        <w:rPr>
          <w:rFonts w:hint="eastAsia" w:ascii="仿宋" w:hAnsi="仿宋" w:eastAsia="仿宋" w:cs="仿宋"/>
          <w:color w:val="auto"/>
          <w:sz w:val="24"/>
          <w:szCs w:val="24"/>
          <w:highlight w:val="none"/>
        </w:rPr>
        <w:t>（实质性要求）</w:t>
      </w:r>
    </w:p>
    <w:p>
      <w:pPr>
        <w:tabs>
          <w:tab w:val="left" w:pos="7665"/>
        </w:tabs>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3.1 </w:t>
      </w:r>
      <w:r>
        <w:rPr>
          <w:rFonts w:hint="eastAsia" w:ascii="仿宋" w:hAnsi="仿宋" w:eastAsia="仿宋" w:cs="仿宋"/>
          <w:color w:val="auto"/>
          <w:sz w:val="24"/>
          <w:highlight w:val="none"/>
        </w:rPr>
        <w:t>合格的投标人应具备以下条件：</w:t>
      </w:r>
    </w:p>
    <w:p>
      <w:pPr>
        <w:tabs>
          <w:tab w:val="left" w:pos="7665"/>
        </w:tabs>
        <w:spacing w:line="400" w:lineRule="exact"/>
        <w:ind w:firstLine="480" w:firstLineChars="200"/>
        <w:rPr>
          <w:rFonts w:hint="eastAsia" w:ascii="仿宋" w:hAnsi="仿宋" w:eastAsia="仿宋" w:cs="仿宋"/>
          <w:color w:val="auto"/>
          <w:spacing w:val="-4"/>
          <w:sz w:val="24"/>
          <w:highlight w:val="none"/>
        </w:rPr>
      </w:pPr>
      <w:r>
        <w:rPr>
          <w:rFonts w:hint="eastAsia" w:ascii="仿宋" w:hAnsi="仿宋" w:eastAsia="仿宋" w:cs="仿宋"/>
          <w:color w:val="auto"/>
          <w:sz w:val="24"/>
          <w:highlight w:val="none"/>
        </w:rPr>
        <w:t>3.1.1本招标文件“投标邀请”第</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条规定的条件</w:t>
      </w:r>
      <w:r>
        <w:rPr>
          <w:rFonts w:hint="eastAsia" w:ascii="仿宋" w:hAnsi="仿宋" w:eastAsia="仿宋" w:cs="仿宋"/>
          <w:color w:val="auto"/>
          <w:spacing w:val="-4"/>
          <w:sz w:val="24"/>
          <w:highlight w:val="none"/>
        </w:rPr>
        <w:t>；</w:t>
      </w:r>
    </w:p>
    <w:p>
      <w:pPr>
        <w:tabs>
          <w:tab w:val="left" w:pos="766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3.1.2遵守国家</w:t>
      </w:r>
      <w:r>
        <w:rPr>
          <w:rFonts w:hint="eastAsia" w:ascii="仿宋" w:hAnsi="仿宋" w:eastAsia="仿宋" w:cs="仿宋"/>
          <w:color w:val="auto"/>
          <w:sz w:val="24"/>
          <w:highlight w:val="none"/>
          <w:lang w:eastAsia="zh-CN"/>
        </w:rPr>
        <w:t>相关</w:t>
      </w:r>
      <w:r>
        <w:rPr>
          <w:rFonts w:hint="eastAsia" w:ascii="仿宋" w:hAnsi="仿宋" w:eastAsia="仿宋" w:cs="仿宋"/>
          <w:color w:val="auto"/>
          <w:sz w:val="24"/>
          <w:highlight w:val="none"/>
        </w:rPr>
        <w:t>的法律、法规、规章和其他政策制度；</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3.1.3向采购代理机构购买了招标文件并登记备案。</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18" w:name="_Toc183682345"/>
      <w:bookmarkStart w:id="19" w:name="_Toc183582208"/>
      <w:bookmarkStart w:id="20" w:name="_Toc217446037"/>
      <w:r>
        <w:rPr>
          <w:rFonts w:hint="eastAsia" w:ascii="仿宋" w:hAnsi="仿宋" w:eastAsia="仿宋" w:cs="仿宋"/>
          <w:color w:val="auto"/>
          <w:sz w:val="24"/>
          <w:szCs w:val="24"/>
          <w:highlight w:val="none"/>
        </w:rPr>
        <w:t>4. 投标费用</w:t>
      </w:r>
      <w:bookmarkEnd w:id="18"/>
      <w:bookmarkEnd w:id="19"/>
      <w:bookmarkEnd w:id="20"/>
      <w:r>
        <w:rPr>
          <w:rFonts w:hint="eastAsia" w:ascii="仿宋" w:hAnsi="仿宋" w:eastAsia="仿宋" w:cs="仿宋"/>
          <w:color w:val="auto"/>
          <w:sz w:val="24"/>
          <w:szCs w:val="24"/>
          <w:highlight w:val="none"/>
        </w:rPr>
        <w:t>（实质性要求）</w:t>
      </w:r>
    </w:p>
    <w:p>
      <w:pPr>
        <w:tabs>
          <w:tab w:val="left" w:pos="7665"/>
        </w:tabs>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4.1 投标人应自行承担所有与准备和参加投标有关的费用。不论投标的结果如何，招标人均无义务和责任承担这些费用。</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5.充分、公平竞争保障措施（实质性要求）</w:t>
      </w:r>
    </w:p>
    <w:p>
      <w:pPr>
        <w:pStyle w:val="77"/>
        <w:spacing w:line="400" w:lineRule="exact"/>
        <w:ind w:firstLine="480" w:firstLineChars="200"/>
        <w:rPr>
          <w:rFonts w:hint="eastAsia" w:ascii="仿宋" w:hAnsi="仿宋" w:eastAsia="仿宋" w:cs="仿宋"/>
          <w:color w:val="auto"/>
          <w:sz w:val="28"/>
          <w:szCs w:val="28"/>
          <w:highlight w:val="none"/>
        </w:rPr>
      </w:pPr>
      <w:r>
        <w:rPr>
          <w:rFonts w:hint="eastAsia" w:ascii="仿宋" w:hAnsi="仿宋" w:eastAsia="仿宋" w:cs="仿宋"/>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5.2利害关系授权代表处理。两家以上的供应商不得在同一合同项下的采购项目中，委托同一个自然人、同一家庭的人员、同一单位的人员作为其授权代表，否则，其投标文件作为无效处理。</w:t>
      </w:r>
    </w:p>
    <w:p>
      <w:pPr>
        <w:spacing w:line="400" w:lineRule="exact"/>
        <w:ind w:firstLine="480" w:firstLineChars="200"/>
        <w:textAlignment w:val="center"/>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5.3为采购项目提供整体设计、规范编制或者项目管理、监理、检测等服务的供应商，不得再参加本</w:t>
      </w:r>
      <w:r>
        <w:rPr>
          <w:rFonts w:hint="eastAsia" w:ascii="仿宋" w:hAnsi="仿宋" w:eastAsia="仿宋" w:cs="仿宋"/>
          <w:color w:val="auto"/>
          <w:kern w:val="0"/>
          <w:sz w:val="24"/>
          <w:szCs w:val="20"/>
          <w:highlight w:val="none"/>
          <w:lang w:eastAsia="zh-CN"/>
        </w:rPr>
        <w:t>采购</w:t>
      </w:r>
      <w:r>
        <w:rPr>
          <w:rFonts w:hint="eastAsia" w:ascii="仿宋" w:hAnsi="仿宋" w:eastAsia="仿宋" w:cs="仿宋"/>
          <w:color w:val="auto"/>
          <w:kern w:val="0"/>
          <w:sz w:val="24"/>
          <w:szCs w:val="20"/>
          <w:highlight w:val="none"/>
        </w:rPr>
        <w:t>项目</w:t>
      </w:r>
      <w:r>
        <w:rPr>
          <w:rFonts w:hint="eastAsia" w:ascii="仿宋" w:hAnsi="仿宋" w:eastAsia="仿宋" w:cs="仿宋"/>
          <w:color w:val="auto"/>
          <w:kern w:val="0"/>
          <w:sz w:val="24"/>
          <w:szCs w:val="20"/>
          <w:highlight w:val="none"/>
          <w:lang w:eastAsia="zh-CN"/>
        </w:rPr>
        <w:t>的其他采购</w:t>
      </w:r>
      <w:r>
        <w:rPr>
          <w:rFonts w:hint="eastAsia" w:ascii="仿宋" w:hAnsi="仿宋" w:eastAsia="仿宋" w:cs="仿宋"/>
          <w:color w:val="auto"/>
          <w:kern w:val="0"/>
          <w:sz w:val="24"/>
          <w:szCs w:val="20"/>
          <w:highlight w:val="none"/>
        </w:rPr>
        <w:t>活动。有前述供应商的，采购人应当在发售投标文件前或者开标、评审前，将供应商名称书面告知采购代理机构或者评审委员会。告知采购代理机构的，采购代理机构应当在评审前书面告知评审委员会。</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供应商为采购人、采购代理机构在确定采购需求、编制</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过程中提供咨询论证，其提供的咨询论证意见成为</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中规定的供应商资格条件、技术服务商务要求、评审因素和标准、政府采购合同等实质性内容条款的，视同为采购项目提供规范编制。</w:t>
      </w:r>
    </w:p>
    <w:p>
      <w:pPr>
        <w:pStyle w:val="62"/>
        <w:spacing w:line="400" w:lineRule="exact"/>
        <w:ind w:firstLine="480" w:firstLineChars="200"/>
        <w:rPr>
          <w:rFonts w:hint="eastAsia" w:ascii="仿宋" w:hAnsi="仿宋" w:eastAsia="仿宋" w:cs="仿宋"/>
          <w:b/>
          <w:bCs/>
          <w:color w:val="auto"/>
          <w:sz w:val="24"/>
          <w:szCs w:val="22"/>
          <w:highlight w:val="none"/>
        </w:rPr>
      </w:pPr>
      <w:r>
        <w:rPr>
          <w:rFonts w:hint="eastAsia" w:ascii="仿宋" w:hAnsi="仿宋" w:eastAsia="仿宋" w:cs="仿宋"/>
          <w:color w:val="auto"/>
          <w:sz w:val="24"/>
          <w:highlight w:val="none"/>
        </w:rPr>
        <w:t>5.4提供相同品牌产品处理：本项目为服务项目，不适用。</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5.5供应商实际控制人或者中高级管理人员，同时是采购代理机构工作人员，不得参与本项目政府采购活动。</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5.6同一母公司的两家以上的子公司不得以不同供应商身份同时参加本项目同一合同项下的采购活动。</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5.7供应商与采购代理机构存在关联关系，或者是采购代理机构的母公司或子公司，不得参加本项目政府采购活动。</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5.8回避。政府采购活动中，采购人员及相关人员与供应商有下列利害关系之一的，应当回避：</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5.8.1参加</w:t>
      </w:r>
      <w:r>
        <w:rPr>
          <w:rFonts w:hint="eastAsia" w:ascii="仿宋" w:hAnsi="仿宋" w:eastAsia="仿宋" w:cs="仿宋"/>
          <w:color w:val="auto"/>
          <w:sz w:val="24"/>
          <w:highlight w:val="none"/>
          <w:lang w:eastAsia="zh-CN"/>
        </w:rPr>
        <w:t>本次</w:t>
      </w:r>
      <w:r>
        <w:rPr>
          <w:rFonts w:hint="eastAsia" w:ascii="仿宋" w:hAnsi="仿宋" w:eastAsia="仿宋" w:cs="仿宋"/>
          <w:color w:val="auto"/>
          <w:sz w:val="24"/>
          <w:highlight w:val="none"/>
        </w:rPr>
        <w:t>采购活动前3年内与供应商存在劳动关系；</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5.8.2参加</w:t>
      </w:r>
      <w:r>
        <w:rPr>
          <w:rFonts w:hint="eastAsia" w:ascii="仿宋" w:hAnsi="仿宋" w:eastAsia="仿宋" w:cs="仿宋"/>
          <w:color w:val="auto"/>
          <w:sz w:val="24"/>
          <w:highlight w:val="none"/>
          <w:lang w:eastAsia="zh-CN"/>
        </w:rPr>
        <w:t>本次</w:t>
      </w:r>
      <w:r>
        <w:rPr>
          <w:rFonts w:hint="eastAsia" w:ascii="仿宋" w:hAnsi="仿宋" w:eastAsia="仿宋" w:cs="仿宋"/>
          <w:color w:val="auto"/>
          <w:sz w:val="24"/>
          <w:highlight w:val="none"/>
        </w:rPr>
        <w:t>采购活动前3年内担任供应商的董事、监事；</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5.8.3参加</w:t>
      </w:r>
      <w:r>
        <w:rPr>
          <w:rFonts w:hint="eastAsia" w:ascii="仿宋" w:hAnsi="仿宋" w:eastAsia="仿宋" w:cs="仿宋"/>
          <w:color w:val="auto"/>
          <w:sz w:val="24"/>
          <w:highlight w:val="none"/>
          <w:lang w:eastAsia="zh-CN"/>
        </w:rPr>
        <w:t>本次</w:t>
      </w:r>
      <w:r>
        <w:rPr>
          <w:rFonts w:hint="eastAsia" w:ascii="仿宋" w:hAnsi="仿宋" w:eastAsia="仿宋" w:cs="仿宋"/>
          <w:color w:val="auto"/>
          <w:sz w:val="24"/>
          <w:highlight w:val="none"/>
        </w:rPr>
        <w:t>采购活动前3年内是供应商的控股股东或者实际控制人；</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5.8.4与供应商的法定代表人或者负责人有夫妻、直系血亲、三代以内旁系血亲或者近姻亲关系；</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5.8.5与供应商有其他可能影响政府采购活动公平、公正进行的关系。</w:t>
      </w:r>
    </w:p>
    <w:p>
      <w:pPr>
        <w:pStyle w:val="7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pPr>
        <w:pStyle w:val="67"/>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2"/>
        <w:spacing w:before="312" w:beforeLines="100" w:after="312" w:afterLines="100" w:line="400" w:lineRule="exact"/>
        <w:jc w:val="center"/>
        <w:rPr>
          <w:rFonts w:hint="eastAsia" w:ascii="仿宋" w:hAnsi="仿宋" w:eastAsia="仿宋" w:cs="仿宋"/>
          <w:bCs w:val="0"/>
          <w:color w:val="auto"/>
          <w:highlight w:val="none"/>
        </w:rPr>
      </w:pPr>
      <w:bookmarkStart w:id="21" w:name="_Toc183582209"/>
      <w:bookmarkStart w:id="22" w:name="_Toc77400779"/>
      <w:bookmarkStart w:id="23" w:name="_Toc89075875"/>
      <w:bookmarkStart w:id="24" w:name="_Toc183682346"/>
      <w:bookmarkStart w:id="25" w:name="_Toc217446038"/>
      <w:r>
        <w:rPr>
          <w:rFonts w:hint="eastAsia" w:ascii="仿宋" w:hAnsi="仿宋" w:eastAsia="仿宋" w:cs="仿宋"/>
          <w:bCs w:val="0"/>
          <w:color w:val="auto"/>
          <w:highlight w:val="none"/>
        </w:rPr>
        <w:t>三、招标文件</w:t>
      </w:r>
      <w:bookmarkEnd w:id="21"/>
      <w:bookmarkEnd w:id="22"/>
      <w:bookmarkEnd w:id="23"/>
      <w:bookmarkEnd w:id="24"/>
      <w:bookmarkEnd w:id="25"/>
    </w:p>
    <w:p>
      <w:pPr>
        <w:pStyle w:val="4"/>
        <w:spacing w:before="0" w:after="156" w:afterLines="50" w:line="400" w:lineRule="exact"/>
        <w:ind w:firstLine="482" w:firstLineChars="200"/>
        <w:rPr>
          <w:rFonts w:hint="eastAsia" w:ascii="仿宋" w:hAnsi="仿宋" w:eastAsia="仿宋" w:cs="仿宋"/>
          <w:color w:val="auto"/>
          <w:sz w:val="24"/>
          <w:szCs w:val="24"/>
          <w:highlight w:val="none"/>
        </w:rPr>
      </w:pPr>
      <w:bookmarkStart w:id="26" w:name="_Toc183582210"/>
      <w:bookmarkStart w:id="27" w:name="_Toc217446039"/>
      <w:bookmarkStart w:id="28" w:name="_Toc183682347"/>
      <w:r>
        <w:rPr>
          <w:rFonts w:hint="eastAsia" w:ascii="仿宋" w:hAnsi="仿宋" w:eastAsia="仿宋" w:cs="仿宋"/>
          <w:color w:val="auto"/>
          <w:sz w:val="24"/>
          <w:szCs w:val="24"/>
          <w:highlight w:val="none"/>
        </w:rPr>
        <w:t>6．招标文件的构成</w:t>
      </w:r>
      <w:bookmarkEnd w:id="26"/>
      <w:bookmarkEnd w:id="27"/>
      <w:bookmarkEnd w:id="28"/>
    </w:p>
    <w:p>
      <w:pPr>
        <w:tabs>
          <w:tab w:val="left" w:pos="766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1 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6.1.1投标邀请；</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6.1.2投标人须知；</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6.1.3投标文件格式；</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6.1.4投标人和投标产品的资格、资质性及其他类似效力要求；</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6.1.5投标人应当提供的资格、资质性及其他类似效力要求的相关证明材料；</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6.1.6招标项目技术、商务及其他要求；</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6.1.7评标办法；</w:t>
      </w:r>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6.1.8合同主要条款</w:t>
      </w:r>
      <w:r>
        <w:rPr>
          <w:rFonts w:hint="eastAsia" w:ascii="仿宋" w:hAnsi="仿宋" w:eastAsia="仿宋" w:cs="仿宋"/>
          <w:color w:val="auto"/>
          <w:sz w:val="24"/>
          <w:highlight w:val="none"/>
          <w:lang w:eastAsia="zh-CN"/>
        </w:rPr>
        <w:t>（合同草案）</w:t>
      </w:r>
      <w:r>
        <w:rPr>
          <w:rFonts w:hint="eastAsia" w:ascii="仿宋" w:hAnsi="仿宋" w:eastAsia="仿宋" w:cs="仿宋"/>
          <w:color w:val="auto"/>
          <w:sz w:val="24"/>
          <w:highlight w:val="none"/>
        </w:rPr>
        <w:t>。</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2 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29" w:name="_Toc183582211"/>
      <w:bookmarkStart w:id="30" w:name="_Toc183682348"/>
      <w:bookmarkStart w:id="31" w:name="_Toc217446040"/>
      <w:r>
        <w:rPr>
          <w:rFonts w:hint="eastAsia" w:ascii="仿宋" w:hAnsi="仿宋" w:eastAsia="仿宋" w:cs="仿宋"/>
          <w:color w:val="auto"/>
          <w:sz w:val="24"/>
          <w:szCs w:val="24"/>
          <w:highlight w:val="none"/>
        </w:rPr>
        <w:t>7. 招标文件的澄清</w:t>
      </w:r>
      <w:bookmarkEnd w:id="29"/>
      <w:bookmarkEnd w:id="30"/>
      <w:r>
        <w:rPr>
          <w:rFonts w:hint="eastAsia" w:ascii="仿宋" w:hAnsi="仿宋" w:eastAsia="仿宋" w:cs="仿宋"/>
          <w:color w:val="auto"/>
          <w:sz w:val="24"/>
          <w:szCs w:val="24"/>
          <w:highlight w:val="none"/>
        </w:rPr>
        <w:t>和修改</w:t>
      </w:r>
      <w:bookmarkEnd w:id="31"/>
    </w:p>
    <w:p>
      <w:pPr>
        <w:tabs>
          <w:tab w:val="left" w:pos="720"/>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 招标人可以依法对已发出的招标文件进行澄清或者修改。</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 招标人对已发出的招标文件进行澄清或者修改，将在招标文件要求的提交投标文件截止时间十五日前进行，并以书面形式将澄清或者修改的内容通知所有购买了招标文件的供应商，同时在四川政府采购网上发布更正公告。该澄清或者修改的内容为招标文件的组成部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3 投标人要求对招标文件进行澄清的，均应按招标文件中的联系方式，以书面形式通知采购代理机构。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7.4 澄清或者修改的内容可能影响投标文件编制且不足十五日的，应当顺延提交投标文件的截止时间。</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7.5如需终止招标时，在四川政府采购网上发布终止公告，以书面形式通知已经获取招标文件、资格预审文件或者被邀请的潜在投标人，并将项目实施情况和采购任务取消原因报告同级财政局。已经收取招标文件费用的，在终止采购活动后5个工作日内，退还所收取的招标文件费用。</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32" w:name="_Toc217446041"/>
      <w:bookmarkStart w:id="33" w:name="_Toc208848971"/>
      <w:r>
        <w:rPr>
          <w:rFonts w:hint="eastAsia" w:ascii="仿宋" w:hAnsi="仿宋" w:eastAsia="仿宋" w:cs="仿宋"/>
          <w:color w:val="auto"/>
          <w:sz w:val="24"/>
          <w:szCs w:val="24"/>
          <w:highlight w:val="none"/>
        </w:rPr>
        <w:t>8. 答疑会和现场考察</w:t>
      </w:r>
      <w:bookmarkEnd w:id="32"/>
      <w:bookmarkEnd w:id="33"/>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8.1 根据采购项目和具体情况，招标人认为有必要，可以组织召开标前答疑会或组织投标人对项目现场进行考察。答疑会或进行现场考察的时间，招标人将以书面形式通知所有购买了招标文件的供应商。</w:t>
      </w:r>
    </w:p>
    <w:p>
      <w:pPr>
        <w:adjustRightInd w:val="0"/>
        <w:snapToGrid w:val="0"/>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8.2 供应商考察现场所发生的一切费用由供应商自己承担。</w:t>
      </w:r>
    </w:p>
    <w:p>
      <w:pPr>
        <w:pStyle w:val="9"/>
        <w:spacing w:after="0" w:line="400" w:lineRule="exact"/>
        <w:rPr>
          <w:rFonts w:hint="eastAsia" w:ascii="仿宋" w:hAnsi="仿宋" w:eastAsia="仿宋" w:cs="仿宋"/>
          <w:color w:val="auto"/>
          <w:highlight w:val="none"/>
        </w:rPr>
      </w:pPr>
    </w:p>
    <w:p>
      <w:pPr>
        <w:pStyle w:val="2"/>
        <w:spacing w:before="0" w:after="312" w:afterLines="100" w:line="400" w:lineRule="exact"/>
        <w:jc w:val="center"/>
        <w:rPr>
          <w:rFonts w:hint="eastAsia" w:ascii="仿宋" w:hAnsi="仿宋" w:eastAsia="仿宋" w:cs="仿宋"/>
          <w:bCs w:val="0"/>
          <w:color w:val="auto"/>
          <w:highlight w:val="none"/>
        </w:rPr>
      </w:pPr>
      <w:bookmarkStart w:id="34" w:name="_Toc183582214"/>
      <w:bookmarkStart w:id="35" w:name="_Toc183682351"/>
      <w:bookmarkStart w:id="36" w:name="_Toc77400780"/>
      <w:bookmarkStart w:id="37" w:name="_Toc89075876"/>
      <w:bookmarkStart w:id="38" w:name="_Toc217446042"/>
      <w:r>
        <w:rPr>
          <w:rFonts w:hint="eastAsia" w:ascii="仿宋" w:hAnsi="仿宋" w:eastAsia="仿宋" w:cs="仿宋"/>
          <w:bCs w:val="0"/>
          <w:color w:val="auto"/>
          <w:highlight w:val="none"/>
        </w:rPr>
        <w:t>四、投标文件</w:t>
      </w:r>
      <w:bookmarkEnd w:id="34"/>
      <w:bookmarkEnd w:id="35"/>
      <w:bookmarkEnd w:id="36"/>
      <w:bookmarkEnd w:id="37"/>
      <w:bookmarkEnd w:id="38"/>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39" w:name="_Toc183582215"/>
      <w:bookmarkStart w:id="40" w:name="_Toc183682352"/>
      <w:bookmarkStart w:id="41" w:name="_Toc217446043"/>
      <w:r>
        <w:rPr>
          <w:rFonts w:hint="eastAsia" w:ascii="仿宋" w:hAnsi="仿宋" w:eastAsia="仿宋" w:cs="仿宋"/>
          <w:bCs w:val="0"/>
          <w:color w:val="auto"/>
          <w:sz w:val="24"/>
          <w:szCs w:val="24"/>
          <w:highlight w:val="none"/>
        </w:rPr>
        <w:t>9．投标文件的语言</w:t>
      </w:r>
      <w:bookmarkEnd w:id="39"/>
      <w:bookmarkEnd w:id="40"/>
      <w:bookmarkEnd w:id="41"/>
      <w:r>
        <w:rPr>
          <w:rFonts w:hint="eastAsia" w:ascii="仿宋" w:hAnsi="仿宋" w:eastAsia="仿宋" w:cs="仿宋"/>
          <w:bCs w:val="0"/>
          <w:color w:val="auto"/>
          <w:sz w:val="24"/>
          <w:szCs w:val="24"/>
          <w:highlight w:val="none"/>
        </w:rPr>
        <w:t>（实质性要求）</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 投标人提交的投标文件以及投标人与招标人就有关投标的所有来往书面文件均须使用中文。投标文件中如附有外文资料，应逐一对应翻译成中文并加盖投标人公章后附在相关外文资料后面，否则，所提供的外文资料将可能被视为无效材料（说明：供应商的法定代表人为外籍人士的，法定代表人的签字和护照除外）。</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 翻译的中文资料与外文资料如果出现差异和矛盾时，以中文为准。但不能故意错误翻译，否则，投标人的投标文件将作为无效投标处理，涉嫌虚假响应的按照相关法律法规处理。</w:t>
      </w:r>
    </w:p>
    <w:p>
      <w:pPr>
        <w:pStyle w:val="4"/>
        <w:spacing w:before="156" w:beforeLines="50" w:after="0" w:line="400" w:lineRule="exact"/>
        <w:ind w:firstLine="482" w:firstLineChars="200"/>
        <w:rPr>
          <w:rFonts w:hint="eastAsia" w:ascii="仿宋" w:hAnsi="仿宋" w:eastAsia="仿宋" w:cs="仿宋"/>
          <w:bCs w:val="0"/>
          <w:color w:val="auto"/>
          <w:sz w:val="24"/>
          <w:szCs w:val="24"/>
          <w:highlight w:val="none"/>
        </w:rPr>
      </w:pPr>
      <w:bookmarkStart w:id="42" w:name="_Toc183682353"/>
      <w:bookmarkStart w:id="43" w:name="_Toc217446044"/>
      <w:bookmarkStart w:id="44" w:name="_Toc183582216"/>
      <w:r>
        <w:rPr>
          <w:rFonts w:hint="eastAsia" w:ascii="仿宋" w:hAnsi="仿宋" w:eastAsia="仿宋" w:cs="仿宋"/>
          <w:bCs w:val="0"/>
          <w:color w:val="auto"/>
          <w:sz w:val="24"/>
          <w:szCs w:val="24"/>
          <w:highlight w:val="none"/>
        </w:rPr>
        <w:t>10．计量单位</w:t>
      </w:r>
      <w:bookmarkEnd w:id="42"/>
      <w:bookmarkEnd w:id="43"/>
      <w:bookmarkEnd w:id="44"/>
      <w:r>
        <w:rPr>
          <w:rFonts w:hint="eastAsia" w:ascii="仿宋" w:hAnsi="仿宋" w:eastAsia="仿宋" w:cs="仿宋"/>
          <w:bCs w:val="0"/>
          <w:color w:val="auto"/>
          <w:sz w:val="24"/>
          <w:szCs w:val="24"/>
          <w:highlight w:val="none"/>
        </w:rPr>
        <w:t>（实质性要求）</w:t>
      </w:r>
    </w:p>
    <w:p>
      <w:pPr>
        <w:spacing w:line="400" w:lineRule="exact"/>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除技术规格及要求中另有规定外，本采购项下的投标均采用</w:t>
      </w:r>
      <w:r>
        <w:rPr>
          <w:rFonts w:hint="eastAsia" w:ascii="仿宋" w:hAnsi="仿宋" w:eastAsia="仿宋" w:cs="仿宋"/>
          <w:b/>
          <w:color w:val="auto"/>
          <w:sz w:val="24"/>
          <w:highlight w:val="none"/>
          <w:lang w:eastAsia="zh-CN"/>
        </w:rPr>
        <w:t>中华人民共和国</w:t>
      </w:r>
      <w:r>
        <w:rPr>
          <w:rFonts w:hint="eastAsia" w:ascii="仿宋" w:hAnsi="仿宋" w:eastAsia="仿宋" w:cs="仿宋"/>
          <w:b/>
          <w:color w:val="auto"/>
          <w:sz w:val="24"/>
          <w:highlight w:val="none"/>
        </w:rPr>
        <w:t>法定计量单位。</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45" w:name="_Toc217446045"/>
      <w:r>
        <w:rPr>
          <w:rFonts w:hint="eastAsia" w:ascii="仿宋" w:hAnsi="仿宋" w:eastAsia="仿宋" w:cs="仿宋"/>
          <w:bCs w:val="0"/>
          <w:color w:val="auto"/>
          <w:sz w:val="24"/>
          <w:szCs w:val="24"/>
          <w:highlight w:val="none"/>
        </w:rPr>
        <w:t>11. 投标货币</w:t>
      </w:r>
      <w:bookmarkEnd w:id="45"/>
      <w:r>
        <w:rPr>
          <w:rFonts w:hint="eastAsia" w:ascii="仿宋" w:hAnsi="仿宋" w:eastAsia="仿宋" w:cs="仿宋"/>
          <w:bCs w:val="0"/>
          <w:color w:val="auto"/>
          <w:sz w:val="24"/>
          <w:szCs w:val="24"/>
          <w:highlight w:val="none"/>
        </w:rPr>
        <w:t>（实质性要求）</w:t>
      </w:r>
    </w:p>
    <w:p>
      <w:pPr>
        <w:tabs>
          <w:tab w:val="left" w:pos="7665"/>
        </w:tabs>
        <w:spacing w:line="400" w:lineRule="exact"/>
        <w:ind w:firstLine="345" w:firstLineChars="143"/>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本次招标项目的投标均以人民币报价。</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46" w:name="_Toc217446046"/>
      <w:r>
        <w:rPr>
          <w:rFonts w:hint="eastAsia" w:ascii="仿宋" w:hAnsi="仿宋" w:eastAsia="仿宋" w:cs="仿宋"/>
          <w:bCs w:val="0"/>
          <w:color w:val="auto"/>
          <w:sz w:val="24"/>
          <w:szCs w:val="24"/>
          <w:highlight w:val="none"/>
        </w:rPr>
        <w:t>12. 联合体投标</w:t>
      </w:r>
      <w:bookmarkEnd w:id="46"/>
      <w:r>
        <w:rPr>
          <w:rFonts w:hint="eastAsia" w:ascii="仿宋" w:hAnsi="仿宋" w:eastAsia="仿宋" w:cs="仿宋"/>
          <w:bCs w:val="0"/>
          <w:color w:val="auto"/>
          <w:sz w:val="24"/>
          <w:szCs w:val="24"/>
          <w:highlight w:val="none"/>
        </w:rPr>
        <w:t>（实质性要求）</w:t>
      </w:r>
    </w:p>
    <w:p>
      <w:pPr>
        <w:pStyle w:val="10"/>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本项目不接受联合体投标</w:t>
      </w:r>
      <w:r>
        <w:rPr>
          <w:rFonts w:hint="eastAsia" w:ascii="仿宋" w:hAnsi="仿宋" w:eastAsia="仿宋" w:cs="仿宋"/>
          <w:b/>
          <w:color w:val="auto"/>
          <w:sz w:val="24"/>
          <w:szCs w:val="24"/>
          <w:highlight w:val="none"/>
        </w:rPr>
        <w:t>。</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47" w:name="_Toc217446047"/>
      <w:r>
        <w:rPr>
          <w:rFonts w:hint="eastAsia" w:ascii="仿宋" w:hAnsi="仿宋" w:eastAsia="仿宋" w:cs="仿宋"/>
          <w:bCs w:val="0"/>
          <w:color w:val="auto"/>
          <w:sz w:val="24"/>
          <w:szCs w:val="24"/>
          <w:highlight w:val="none"/>
        </w:rPr>
        <w:t>13. 知识产权</w:t>
      </w:r>
      <w:bookmarkEnd w:id="47"/>
      <w:r>
        <w:rPr>
          <w:rFonts w:hint="eastAsia" w:ascii="仿宋" w:hAnsi="仿宋" w:eastAsia="仿宋" w:cs="仿宋"/>
          <w:bCs w:val="0"/>
          <w:color w:val="auto"/>
          <w:sz w:val="24"/>
          <w:szCs w:val="24"/>
          <w:highlight w:val="none"/>
        </w:rPr>
        <w:t>（实质性要求）</w:t>
      </w:r>
    </w:p>
    <w:p>
      <w:pPr>
        <w:pStyle w:val="10"/>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13.2 采购人享有本项目实施过程中产生的知识成果及知识产权。</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pPr>
        <w:spacing w:line="400" w:lineRule="exact"/>
        <w:ind w:firstLine="463" w:firstLineChars="19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13.4 如采用投标人所不拥有的知识产权，则在投标报价中必须包括合法获取该知识产权的相关费用。 </w:t>
      </w:r>
    </w:p>
    <w:p>
      <w:pPr>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13.5 供应商需将投标文件中涉及知识产权和商业秘密的内容进行标注和说明。若未进行标注和说明的，视为无知识产权及商业秘密方面问题，相关内容均可公布，采购人或采购代理机构对此不承担任何责任。</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48" w:name="_Toc183582217"/>
      <w:bookmarkStart w:id="49" w:name="_Toc217446048"/>
      <w:bookmarkStart w:id="50" w:name="_Toc183682354"/>
      <w:r>
        <w:rPr>
          <w:rFonts w:hint="eastAsia" w:ascii="仿宋" w:hAnsi="仿宋" w:eastAsia="仿宋" w:cs="仿宋"/>
          <w:color w:val="auto"/>
          <w:sz w:val="24"/>
          <w:szCs w:val="24"/>
          <w:highlight w:val="none"/>
        </w:rPr>
        <w:t>14．投标文件的组成</w:t>
      </w:r>
      <w:bookmarkEnd w:id="48"/>
      <w:bookmarkEnd w:id="49"/>
      <w:bookmarkEnd w:id="50"/>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投标人应按照招标文件的规定和要求编制投标文件。投标人拟在中标后将中标项目的非主体、非关键性工作交由他人完成的，应当在投标文件中载明。投标人编写的投标文件应包括下列部分：</w:t>
      </w:r>
    </w:p>
    <w:p>
      <w:pPr>
        <w:spacing w:line="400" w:lineRule="exact"/>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14.1 资格性投标文件（单独装订，由</w:t>
      </w:r>
      <w:r>
        <w:rPr>
          <w:rFonts w:hint="eastAsia" w:ascii="仿宋" w:hAnsi="仿宋" w:eastAsia="仿宋" w:cs="仿宋"/>
          <w:b/>
          <w:bCs/>
          <w:color w:val="auto"/>
          <w:sz w:val="24"/>
          <w:highlight w:val="none"/>
        </w:rPr>
        <w:t>采购人或代理机构负责审查</w:t>
      </w:r>
      <w:r>
        <w:rPr>
          <w:rFonts w:hint="eastAsia" w:ascii="仿宋" w:hAnsi="仿宋" w:eastAsia="仿宋" w:cs="仿宋"/>
          <w:b/>
          <w:color w:val="auto"/>
          <w:sz w:val="24"/>
          <w:highlight w:val="none"/>
        </w:rPr>
        <w:t>）：</w:t>
      </w:r>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bCs/>
          <w:color w:val="auto"/>
          <w:sz w:val="24"/>
          <w:highlight w:val="none"/>
        </w:rPr>
        <w:t>投标人</w:t>
      </w:r>
      <w:r>
        <w:rPr>
          <w:rFonts w:hint="eastAsia" w:ascii="仿宋" w:hAnsi="仿宋" w:eastAsia="仿宋" w:cs="仿宋"/>
          <w:color w:val="auto"/>
          <w:sz w:val="24"/>
          <w:highlight w:val="none"/>
        </w:rPr>
        <w:t>按照招标文件要求提供的有关证明材料证明其满足本项目招标文件所要求的关于投标人的全部资格条件。包括但不限于以下内容：</w:t>
      </w:r>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14.1.1具有独立承担民事责任的能力证明（详见第五章要求）；</w:t>
      </w:r>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14.1.2法定代表人授权书（原件，非法定代表人直接投标适用）；</w:t>
      </w:r>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14.1.3法定代表人和授权代表身份证复印件；</w:t>
      </w:r>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14.1.4财务状况报告，依法缴纳税收和社会保障资金的相关材料（详见第五章要求）；</w:t>
      </w:r>
    </w:p>
    <w:p>
      <w:pPr>
        <w:pStyle w:val="9"/>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14.1.5根据采购项目提出的特殊条件（如适用，详见第五章要求）；</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14.1.6投标人认为需要提供的其他文件和资料。</w:t>
      </w:r>
    </w:p>
    <w:p>
      <w:pPr>
        <w:spacing w:line="400" w:lineRule="exact"/>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14.2 技术、商务投标文件（单独装订，由</w:t>
      </w:r>
      <w:r>
        <w:rPr>
          <w:rFonts w:hint="eastAsia" w:ascii="仿宋" w:hAnsi="仿宋" w:eastAsia="仿宋" w:cs="仿宋"/>
          <w:b/>
          <w:bCs/>
          <w:color w:val="auto"/>
          <w:sz w:val="24"/>
          <w:highlight w:val="none"/>
        </w:rPr>
        <w:t>评标委员会负责审查</w:t>
      </w:r>
      <w:r>
        <w:rPr>
          <w:rFonts w:hint="eastAsia" w:ascii="仿宋" w:hAnsi="仿宋" w:eastAsia="仿宋" w:cs="仿宋"/>
          <w:b/>
          <w:color w:val="auto"/>
          <w:sz w:val="24"/>
          <w:highlight w:val="none"/>
        </w:rPr>
        <w:t>）：</w:t>
      </w:r>
    </w:p>
    <w:p>
      <w:pPr>
        <w:pStyle w:val="9"/>
        <w:spacing w:after="0"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14.2.1 报价部分。</w:t>
      </w:r>
      <w:r>
        <w:rPr>
          <w:rFonts w:hint="eastAsia" w:ascii="仿宋" w:hAnsi="仿宋" w:eastAsia="仿宋" w:cs="仿宋"/>
          <w:b/>
          <w:bCs/>
          <w:color w:val="auto"/>
          <w:sz w:val="24"/>
          <w:highlight w:val="none"/>
        </w:rPr>
        <w:t>投标人按照招标文件要求填写的“开标一览表”。 本次招标报价要求（实质性要求）：</w:t>
      </w:r>
    </w:p>
    <w:p>
      <w:pPr>
        <w:pStyle w:val="9"/>
        <w:spacing w:after="0"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（1）投标人的报价是投标人响应招标项目要求的全部工作内容的价格体现，包括投标人完成本项目所需的一切</w:t>
      </w:r>
      <w:r>
        <w:rPr>
          <w:rFonts w:hint="eastAsia" w:ascii="仿宋" w:hAnsi="仿宋" w:eastAsia="仿宋" w:cs="仿宋"/>
          <w:b/>
          <w:bCs/>
          <w:color w:val="auto"/>
          <w:sz w:val="24"/>
          <w:highlight w:val="none"/>
          <w:lang w:eastAsia="zh-CN"/>
        </w:rPr>
        <w:t>含税</w:t>
      </w:r>
      <w:r>
        <w:rPr>
          <w:rFonts w:hint="eastAsia" w:ascii="仿宋" w:hAnsi="仿宋" w:eastAsia="仿宋" w:cs="仿宋"/>
          <w:b/>
          <w:bCs/>
          <w:color w:val="auto"/>
          <w:sz w:val="24"/>
          <w:highlight w:val="none"/>
        </w:rPr>
        <w:t>费用。</w:t>
      </w:r>
    </w:p>
    <w:p>
      <w:pPr>
        <w:pStyle w:val="9"/>
        <w:spacing w:after="0"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（2）投标人提供所有服务，每项服务只允许对应一个报价，并且在合同履行过程中是固定不变的，任何有选择或可调整的报价将不予接受，并按无效投标处理。</w:t>
      </w:r>
    </w:p>
    <w:p>
      <w:pPr>
        <w:tabs>
          <w:tab w:val="left" w:pos="540"/>
        </w:tabs>
        <w:spacing w:line="400" w:lineRule="exact"/>
        <w:ind w:firstLine="472" w:firstLineChars="196"/>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14.2.2 技术部分。</w:t>
      </w:r>
      <w:r>
        <w:rPr>
          <w:rFonts w:hint="eastAsia" w:ascii="仿宋" w:hAnsi="仿宋" w:eastAsia="仿宋" w:cs="仿宋"/>
          <w:bCs/>
          <w:color w:val="auto"/>
          <w:sz w:val="24"/>
          <w:highlight w:val="none"/>
        </w:rPr>
        <w:t>投标人</w:t>
      </w:r>
      <w:r>
        <w:rPr>
          <w:rFonts w:hint="eastAsia" w:ascii="仿宋" w:hAnsi="仿宋" w:eastAsia="仿宋" w:cs="仿宋"/>
          <w:color w:val="auto"/>
          <w:sz w:val="24"/>
          <w:highlight w:val="none"/>
        </w:rPr>
        <w:t>按照招标文件要求做出的技术应答，主要是针对招标项目的技术指标、参数和技术要求做出的实质性响应和满足。投标人的技术应答应包括下列内容：</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（1）服务方案；</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（2）技术服务要求应答表；</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（3）投标人认为需要提供的文件和资料（若有）。</w:t>
      </w:r>
    </w:p>
    <w:p>
      <w:pPr>
        <w:spacing w:line="400" w:lineRule="exact"/>
        <w:ind w:firstLine="354" w:firstLineChars="147"/>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14.2.3 商务部分。</w:t>
      </w:r>
      <w:r>
        <w:rPr>
          <w:rFonts w:hint="eastAsia" w:ascii="仿宋" w:hAnsi="仿宋" w:eastAsia="仿宋" w:cs="仿宋"/>
          <w:bCs/>
          <w:color w:val="auto"/>
          <w:sz w:val="24"/>
          <w:highlight w:val="none"/>
        </w:rPr>
        <w:t>投标人</w:t>
      </w:r>
      <w:r>
        <w:rPr>
          <w:rFonts w:hint="eastAsia" w:ascii="仿宋" w:hAnsi="仿宋" w:eastAsia="仿宋" w:cs="仿宋"/>
          <w:color w:val="auto"/>
          <w:sz w:val="24"/>
          <w:highlight w:val="none"/>
        </w:rPr>
        <w:t>按照招标文件要求提供的有关证明材料及优惠承诺。包括以下内容：</w:t>
      </w:r>
    </w:p>
    <w:p>
      <w:pPr>
        <w:spacing w:line="400" w:lineRule="exact"/>
        <w:ind w:left="508" w:leftChars="169" w:hanging="153" w:hangingChars="6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（1）投标函；</w:t>
      </w:r>
    </w:p>
    <w:p>
      <w:pPr>
        <w:spacing w:line="400" w:lineRule="exact"/>
        <w:ind w:left="508" w:leftChars="169" w:hanging="153" w:hangingChars="6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（2）商务应答表； </w:t>
      </w:r>
    </w:p>
    <w:p>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（3）承诺函（实质性要求）</w:t>
      </w:r>
      <w:r>
        <w:rPr>
          <w:rFonts w:hint="eastAsia" w:ascii="仿宋" w:hAnsi="仿宋" w:eastAsia="仿宋" w:cs="仿宋"/>
          <w:color w:val="auto"/>
          <w:sz w:val="24"/>
          <w:highlight w:val="none"/>
        </w:rPr>
        <w:t>；</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rPr>
        <w:t>（4）</w:t>
      </w:r>
      <w:r>
        <w:rPr>
          <w:rFonts w:hint="eastAsia" w:ascii="仿宋" w:hAnsi="仿宋" w:eastAsia="仿宋" w:cs="仿宋"/>
          <w:color w:val="auto"/>
          <w:sz w:val="24"/>
          <w:highlight w:val="none"/>
        </w:rPr>
        <w:t>其他承诺函；</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）证明投标人业绩和荣誉的有关材料；</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）投标人承诺给予招标人的各种优惠条件（优惠条件事项不能包括采购项目本身所包含的采购事项。投标人不能以“赠送、赠予”等任何名义提供货物</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服务以规避招标文件的约束。否则，投标人提供的投标文件将作为无效投标处理，即使中标也将取消中标资格）；</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）投标人认为需要提供的其他文件和资料（若有） </w:t>
      </w:r>
    </w:p>
    <w:p>
      <w:pPr>
        <w:spacing w:line="40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t>14.2.4其他部分。</w:t>
      </w:r>
      <w:r>
        <w:rPr>
          <w:rFonts w:hint="eastAsia" w:ascii="仿宋" w:hAnsi="仿宋" w:eastAsia="仿宋" w:cs="仿宋"/>
          <w:bCs/>
          <w:color w:val="auto"/>
          <w:sz w:val="24"/>
          <w:highlight w:val="none"/>
        </w:rPr>
        <w:t>投标人按照招标文件要求作出的其他说明和承诺。</w:t>
      </w:r>
      <w:bookmarkStart w:id="51" w:name="_Toc183582218"/>
      <w:bookmarkStart w:id="52" w:name="_Toc183682355"/>
      <w:bookmarkStart w:id="53" w:name="_Toc217446049"/>
    </w:p>
    <w:p>
      <w:pPr>
        <w:spacing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特别提醒：投标人编制投标文件时，属于资格性投标文件的资料应在资格性文件中提供；属于其他响应性投标文件的资料应在其他响应性投标文件中提供；两部分均需要的资料应两部分都分别提供。采购代理机构和采购人审查资格性投标文件内容。评标委员会评审其他响应性文件内容。因资格性投标文件内容装入其他响应性投标文件，或者其他响应性投标文件内容装入资格性投标文件中导致的对投标人不利评审结果，由投标人自行承担。</w:t>
      </w:r>
    </w:p>
    <w:p>
      <w:pPr>
        <w:pStyle w:val="4"/>
        <w:tabs>
          <w:tab w:val="left" w:pos="3480"/>
        </w:tabs>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15．投标文件格式</w:t>
      </w:r>
      <w:bookmarkEnd w:id="51"/>
      <w:bookmarkEnd w:id="52"/>
      <w:bookmarkEnd w:id="53"/>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投标人应执行招标文件第三章的规定要求。投标人如按“投标文件格式”规定之外的方式编制投标文件，应保证相关内容包含招标文件中关于“投标文件格式”的规定要求，因格式形式导致的投标文件规范性负偏离判定或格式内容不齐全判定实质性负偏离从而导致的废标结果由相关供应商自行承担。</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15.2对于没有格式要求的投标文件由投标人根据其实际情况自行编写。</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54" w:name="_Toc183582223"/>
      <w:bookmarkStart w:id="55" w:name="_Toc217446050"/>
      <w:bookmarkStart w:id="56" w:name="_Toc183682360"/>
      <w:r>
        <w:rPr>
          <w:rFonts w:hint="eastAsia" w:ascii="仿宋" w:hAnsi="仿宋" w:eastAsia="仿宋" w:cs="仿宋"/>
          <w:bCs w:val="0"/>
          <w:color w:val="auto"/>
          <w:sz w:val="24"/>
          <w:szCs w:val="24"/>
          <w:highlight w:val="none"/>
        </w:rPr>
        <w:t>16．投标保证金</w:t>
      </w:r>
      <w:bookmarkEnd w:id="54"/>
      <w:bookmarkEnd w:id="55"/>
      <w:bookmarkEnd w:id="56"/>
      <w:r>
        <w:rPr>
          <w:rFonts w:hint="eastAsia" w:ascii="仿宋" w:hAnsi="仿宋" w:eastAsia="仿宋" w:cs="仿宋"/>
          <w:bCs w:val="0"/>
          <w:color w:val="auto"/>
          <w:sz w:val="24"/>
          <w:szCs w:val="24"/>
          <w:highlight w:val="none"/>
        </w:rPr>
        <w:t>（实质性要求）</w:t>
      </w:r>
    </w:p>
    <w:p>
      <w:pPr>
        <w:pStyle w:val="9"/>
        <w:spacing w:line="400" w:lineRule="exact"/>
        <w:ind w:firstLine="482" w:firstLineChars="200"/>
        <w:rPr>
          <w:rFonts w:hint="eastAsia" w:ascii="仿宋" w:hAnsi="仿宋" w:eastAsia="仿宋" w:cs="仿宋"/>
          <w:b/>
          <w:color w:val="auto"/>
          <w:highlight w:val="none"/>
        </w:rPr>
      </w:pPr>
      <w:bookmarkStart w:id="57" w:name="_Toc183582224"/>
      <w:bookmarkStart w:id="58" w:name="_Toc217446051"/>
      <w:bookmarkStart w:id="59" w:name="_Toc183682361"/>
      <w:r>
        <w:rPr>
          <w:rFonts w:hint="eastAsia" w:ascii="仿宋" w:hAnsi="仿宋" w:eastAsia="仿宋" w:cs="仿宋"/>
          <w:b/>
          <w:color w:val="auto"/>
          <w:sz w:val="24"/>
          <w:highlight w:val="none"/>
        </w:rPr>
        <w:t>16.1本项目不要求交纳投标保证金。</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17．投标有效期</w:t>
      </w:r>
      <w:bookmarkEnd w:id="57"/>
      <w:bookmarkEnd w:id="58"/>
      <w:bookmarkEnd w:id="59"/>
      <w:r>
        <w:rPr>
          <w:rFonts w:hint="eastAsia" w:ascii="仿宋" w:hAnsi="仿宋" w:eastAsia="仿宋" w:cs="仿宋"/>
          <w:bCs w:val="0"/>
          <w:color w:val="auto"/>
          <w:sz w:val="24"/>
          <w:szCs w:val="24"/>
          <w:highlight w:val="none"/>
        </w:rPr>
        <w:t>（实质性要求）</w:t>
      </w:r>
    </w:p>
    <w:p>
      <w:pPr>
        <w:tabs>
          <w:tab w:val="left" w:pos="7665"/>
        </w:tabs>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17.1 本项目投标有效期以《投标人须知前附表》中投标有效期为准。投标文件中载明的投标有效期可以长于招标文件规定的期限，但不得短于招标文件规定的期限。否则，其投标文件将作为无效投标处理。</w:t>
      </w:r>
    </w:p>
    <w:p>
      <w:pPr>
        <w:tabs>
          <w:tab w:val="left" w:pos="7665"/>
        </w:tabs>
        <w:spacing w:line="400" w:lineRule="exact"/>
        <w:ind w:firstLine="361" w:firstLineChars="15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firstLine="602" w:firstLineChars="250"/>
        <w:rPr>
          <w:rFonts w:hint="eastAsia" w:ascii="仿宋" w:hAnsi="仿宋" w:eastAsia="仿宋" w:cs="仿宋"/>
          <w:color w:val="auto"/>
          <w:sz w:val="24"/>
          <w:highlight w:val="none"/>
        </w:rPr>
      </w:pPr>
      <w:r>
        <w:rPr>
          <w:rFonts w:hint="eastAsia" w:ascii="仿宋" w:hAnsi="仿宋" w:eastAsia="仿宋" w:cs="仿宋"/>
          <w:b/>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60" w:name="_Toc183682362"/>
      <w:bookmarkStart w:id="61" w:name="_Toc217446052"/>
      <w:bookmarkStart w:id="62" w:name="_Toc183582225"/>
      <w:r>
        <w:rPr>
          <w:rFonts w:hint="eastAsia" w:ascii="仿宋" w:hAnsi="仿宋" w:eastAsia="仿宋" w:cs="仿宋"/>
          <w:bCs w:val="0"/>
          <w:color w:val="auto"/>
          <w:sz w:val="24"/>
          <w:szCs w:val="24"/>
          <w:highlight w:val="none"/>
        </w:rPr>
        <w:t>18．投标文件的印制和签署</w:t>
      </w:r>
      <w:bookmarkEnd w:id="60"/>
      <w:bookmarkEnd w:id="61"/>
      <w:bookmarkEnd w:id="62"/>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18.1 投标人应当准备投标文件正本1份(包括分别装订及密封的资格性投标文件及技术、商务投标文件)、副本(包括分别装订及密封的资格性投标文件副本2份及技术、商务投标文件副本4份)，以及用于开标唱标单独提交的“开标一览表”（壹份，密封）。投标文件的正本和副本应在其封面右上角清楚地标明“正本”或“副本”字样。若正本和副本有不一致的内容，以正本书面投标文件为准。</w:t>
      </w:r>
    </w:p>
    <w:p>
      <w:pPr>
        <w:tabs>
          <w:tab w:val="left" w:pos="1095"/>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18.2 投标文件的正本和副本均需打印或用不褪色、不变质的墨水书写，并由投标人的法定代表人或其授权代表在规定签章处签字和盖章。投标文件副本可采用正本的复印件。用于开标唱标单独提交的“开标一览表”应为原件。</w:t>
      </w:r>
    </w:p>
    <w:p>
      <w:pPr>
        <w:tabs>
          <w:tab w:val="left" w:pos="1080"/>
        </w:tabs>
        <w:spacing w:line="400" w:lineRule="exact"/>
        <w:ind w:firstLine="463" w:firstLineChars="19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18.3 投标文件的打印和书写应清楚工整，任何行间插字、涂改或增删，必须由投标人的法定代表人或其授权代表签字或盖个人印鉴。字迹潦草、表达不清或可能导致非唯一理解的投标文件可能视为无效投标。</w:t>
      </w:r>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18.4 投标文件正本和副本必须装订成册并编码（分册装订的应标明分册号），不得散装或者活页装订，否则因相关资料缺失或遗漏</w:t>
      </w:r>
      <w:r>
        <w:rPr>
          <w:rFonts w:hint="eastAsia" w:ascii="仿宋" w:hAnsi="仿宋" w:eastAsia="仿宋" w:cs="仿宋"/>
          <w:color w:val="auto"/>
          <w:sz w:val="24"/>
          <w:highlight w:val="none"/>
          <w:lang w:eastAsia="zh-CN"/>
        </w:rPr>
        <w:t>而造成投标文件被认定无效</w:t>
      </w:r>
      <w:r>
        <w:rPr>
          <w:rFonts w:hint="eastAsia" w:ascii="仿宋" w:hAnsi="仿宋" w:eastAsia="仿宋" w:cs="仿宋"/>
          <w:color w:val="auto"/>
          <w:sz w:val="24"/>
          <w:highlight w:val="none"/>
        </w:rPr>
        <w:t>的风险由供应商自行承担。</w:t>
      </w:r>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18.5 投标文件应根据招标文件的要求制作。招标文件要求的签署、盖章和内容应完整，如有遗漏，将按招标文件相关规定认定。</w:t>
      </w:r>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18.6 投标文件统一用A4幅面纸印制。</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63" w:name="_Toc77400781"/>
      <w:bookmarkStart w:id="64" w:name="_Toc183682363"/>
      <w:bookmarkStart w:id="65" w:name="_Toc89075877"/>
      <w:bookmarkStart w:id="66" w:name="_Toc183582226"/>
      <w:bookmarkStart w:id="67" w:name="_Toc217446053"/>
      <w:r>
        <w:rPr>
          <w:rFonts w:hint="eastAsia" w:ascii="仿宋" w:hAnsi="仿宋" w:eastAsia="仿宋" w:cs="仿宋"/>
          <w:bCs w:val="0"/>
          <w:color w:val="auto"/>
          <w:sz w:val="24"/>
          <w:szCs w:val="24"/>
          <w:highlight w:val="none"/>
        </w:rPr>
        <w:t xml:space="preserve">19. </w:t>
      </w:r>
      <w:r>
        <w:rPr>
          <w:rFonts w:hint="eastAsia" w:ascii="仿宋" w:hAnsi="仿宋" w:eastAsia="仿宋" w:cs="仿宋"/>
          <w:color w:val="auto"/>
          <w:sz w:val="24"/>
          <w:szCs w:val="24"/>
          <w:highlight w:val="none"/>
        </w:rPr>
        <w:t>投标文件的密封和标</w:t>
      </w:r>
      <w:bookmarkEnd w:id="63"/>
      <w:bookmarkEnd w:id="64"/>
      <w:bookmarkEnd w:id="65"/>
      <w:bookmarkEnd w:id="66"/>
      <w:r>
        <w:rPr>
          <w:rFonts w:hint="eastAsia" w:ascii="仿宋" w:hAnsi="仿宋" w:eastAsia="仿宋" w:cs="仿宋"/>
          <w:color w:val="auto"/>
          <w:sz w:val="24"/>
          <w:szCs w:val="24"/>
          <w:highlight w:val="none"/>
        </w:rPr>
        <w:t>注</w:t>
      </w:r>
      <w:bookmarkEnd w:id="67"/>
    </w:p>
    <w:p>
      <w:pPr>
        <w:tabs>
          <w:tab w:val="left" w:pos="1080"/>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19.1投标人应在投标文件正本和所有副本的封面上注明投标人名称、采购项目编号、项目名称、包号（如有），同时投标文件应注明是资格性投标文件或者技术、商务投标文件。</w:t>
      </w:r>
    </w:p>
    <w:p>
      <w:pPr>
        <w:tabs>
          <w:tab w:val="left" w:pos="1080"/>
        </w:tabs>
        <w:spacing w:line="400" w:lineRule="exact"/>
        <w:ind w:firstLine="480"/>
        <w:rPr>
          <w:rFonts w:hint="eastAsia" w:ascii="仿宋" w:hAnsi="仿宋" w:eastAsia="仿宋" w:cs="仿宋"/>
          <w:b/>
          <w:color w:val="auto"/>
          <w:sz w:val="24"/>
          <w:highlight w:val="none"/>
        </w:rPr>
      </w:pPr>
      <w:r>
        <w:rPr>
          <w:rFonts w:hint="eastAsia" w:ascii="仿宋" w:hAnsi="仿宋" w:eastAsia="仿宋" w:cs="仿宋"/>
          <w:color w:val="auto"/>
          <w:sz w:val="24"/>
          <w:highlight w:val="none"/>
        </w:rPr>
        <w:t>19.2 投标文件包括正本、副本和用于开标唱标单独提交的“开标一览表”。投标文件应当密封，其中，“开标一览表”单独密封。投标文件的密封袋上应当注明投标人名称、采购项目编号、项目名称</w:t>
      </w:r>
      <w:r>
        <w:rPr>
          <w:rFonts w:hint="eastAsia" w:ascii="仿宋" w:hAnsi="仿宋" w:eastAsia="仿宋" w:cs="仿宋"/>
          <w:b/>
          <w:color w:val="auto"/>
          <w:sz w:val="24"/>
          <w:highlight w:val="none"/>
        </w:rPr>
        <w:t>（注：根据密封要求，投标文件至少应有五个密封袋；分别为：</w:t>
      </w:r>
    </w:p>
    <w:p>
      <w:pPr>
        <w:tabs>
          <w:tab w:val="left" w:pos="1080"/>
        </w:tabs>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（1）资格性投标文件（正本）；</w:t>
      </w:r>
    </w:p>
    <w:p>
      <w:pPr>
        <w:tabs>
          <w:tab w:val="left" w:pos="1080"/>
        </w:tabs>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（2）资格性投标文件（副本）；</w:t>
      </w:r>
    </w:p>
    <w:p>
      <w:pPr>
        <w:tabs>
          <w:tab w:val="left" w:pos="1080"/>
        </w:tabs>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（3）技术、商务投标文件（正本）；</w:t>
      </w:r>
    </w:p>
    <w:p>
      <w:pPr>
        <w:tabs>
          <w:tab w:val="left" w:pos="1080"/>
        </w:tabs>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（4）技术、商务投标文件（副本）；</w:t>
      </w:r>
    </w:p>
    <w:p>
      <w:pPr>
        <w:tabs>
          <w:tab w:val="left" w:pos="1080"/>
        </w:tabs>
        <w:spacing w:line="40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（5）开标一览表；相关文件一个密封袋无法装下时，可以分装为多个，但均应密封）。</w:t>
      </w:r>
    </w:p>
    <w:p>
      <w:pPr>
        <w:tabs>
          <w:tab w:val="left" w:pos="1080"/>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19.3所有外层密封袋的封口处应粘贴牢固，并加盖密封章或投标人印章。</w:t>
      </w:r>
    </w:p>
    <w:p>
      <w:pPr>
        <w:tabs>
          <w:tab w:val="left" w:pos="1080"/>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19.4未按以上要求进行密封和标注的投标文件将被拒绝。</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68" w:name="_Toc183582227"/>
      <w:bookmarkStart w:id="69" w:name="_Toc183682364"/>
      <w:bookmarkStart w:id="70" w:name="_Toc217446054"/>
      <w:r>
        <w:rPr>
          <w:rFonts w:hint="eastAsia" w:ascii="仿宋" w:hAnsi="仿宋" w:eastAsia="仿宋" w:cs="仿宋"/>
          <w:bCs w:val="0"/>
          <w:color w:val="auto"/>
          <w:sz w:val="24"/>
          <w:szCs w:val="24"/>
          <w:highlight w:val="none"/>
        </w:rPr>
        <w:t>20．投标文件的</w:t>
      </w:r>
      <w:bookmarkEnd w:id="68"/>
      <w:bookmarkEnd w:id="69"/>
      <w:r>
        <w:rPr>
          <w:rFonts w:hint="eastAsia" w:ascii="仿宋" w:hAnsi="仿宋" w:eastAsia="仿宋" w:cs="仿宋"/>
          <w:bCs w:val="0"/>
          <w:color w:val="auto"/>
          <w:sz w:val="24"/>
          <w:szCs w:val="24"/>
          <w:highlight w:val="none"/>
        </w:rPr>
        <w:t>递交</w:t>
      </w:r>
      <w:bookmarkEnd w:id="70"/>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20.1投标人应当在招标文件要求提交投标文件的截止时间前，将投标文件密封送达投标地点。代理机构收到投标文件后，应当如实记载投标文件的送达时间和密封情况，签收保存，并向投标人出具签收回执。任何单位和个人不得在开标前开启投标文件。</w:t>
      </w:r>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逾期送达或者未按照招标文件要求密封的投标文件，招标人应当拒收。</w:t>
      </w:r>
    </w:p>
    <w:p>
      <w:pPr>
        <w:tabs>
          <w:tab w:val="left" w:pos="1080"/>
        </w:tabs>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20.2递交投标文件时，报名供应商名称和招标文件的采购项目编号应当与投标供应商名称和招标文件的采购项目编号一致。但是，投标文件实质内容与报名供应商名称和招标文件的采购项目编号一致，只是封面有明显文字错误的，可以在评标过程中书面予以澄清，以有效的澄清材料作为认定投标文件是否有效的依据。采购项目分包的，应注明分包号。</w:t>
      </w:r>
    </w:p>
    <w:p>
      <w:pPr>
        <w:pStyle w:val="6"/>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20.3本次招标不接收邮寄的投标文件。</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71" w:name="_Toc183682365"/>
      <w:bookmarkStart w:id="72" w:name="_Toc183582228"/>
      <w:bookmarkStart w:id="73" w:name="_Toc217446055"/>
      <w:r>
        <w:rPr>
          <w:rFonts w:hint="eastAsia" w:ascii="仿宋" w:hAnsi="仿宋" w:eastAsia="仿宋" w:cs="仿宋"/>
          <w:bCs w:val="0"/>
          <w:color w:val="auto"/>
          <w:sz w:val="24"/>
          <w:szCs w:val="24"/>
          <w:highlight w:val="none"/>
        </w:rPr>
        <w:t>21．投标文件的修改和撤</w:t>
      </w:r>
      <w:bookmarkEnd w:id="71"/>
      <w:bookmarkEnd w:id="72"/>
      <w:r>
        <w:rPr>
          <w:rFonts w:hint="eastAsia" w:ascii="仿宋" w:hAnsi="仿宋" w:eastAsia="仿宋" w:cs="仿宋"/>
          <w:bCs w:val="0"/>
          <w:color w:val="auto"/>
          <w:sz w:val="24"/>
          <w:szCs w:val="24"/>
          <w:highlight w:val="none"/>
        </w:rPr>
        <w:t>回</w:t>
      </w:r>
      <w:bookmarkEnd w:id="73"/>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21.1投标人在</w:t>
      </w:r>
      <w:r>
        <w:rPr>
          <w:rFonts w:hint="eastAsia" w:ascii="仿宋" w:hAnsi="仿宋" w:eastAsia="仿宋" w:cs="仿宋"/>
          <w:color w:val="auto"/>
          <w:sz w:val="24"/>
          <w:highlight w:val="none"/>
          <w:lang w:eastAsia="zh-CN"/>
        </w:rPr>
        <w:t>提交</w:t>
      </w: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截止时间前，可以对所递交的投标文件进行补充、修改或者撤回，并书面通知采购人或者采购代理机构。补充、修改的内容应当按照招标文件要求签署、盖章、密封后，作为投标文件的组成部分。</w:t>
      </w:r>
    </w:p>
    <w:p>
      <w:pPr>
        <w:spacing w:line="400" w:lineRule="exact"/>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21.2 投标人如需撤回其投标文件的，投标人的撤回通知书，应由其法定代表人或授权代表签署并盖单位印章。</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21.3 在</w:t>
      </w:r>
      <w:r>
        <w:rPr>
          <w:rFonts w:hint="eastAsia" w:ascii="仿宋" w:hAnsi="仿宋" w:eastAsia="仿宋" w:cs="仿宋"/>
          <w:color w:val="auto"/>
          <w:sz w:val="24"/>
          <w:highlight w:val="none"/>
          <w:lang w:eastAsia="zh-CN"/>
        </w:rPr>
        <w:t>提交</w:t>
      </w: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截止时间之后，投标人不得对其</w:t>
      </w:r>
      <w:r>
        <w:rPr>
          <w:rFonts w:hint="eastAsia" w:ascii="仿宋" w:hAnsi="仿宋" w:eastAsia="仿宋" w:cs="仿宋"/>
          <w:color w:val="auto"/>
          <w:sz w:val="24"/>
          <w:highlight w:val="none"/>
          <w:lang w:eastAsia="zh-CN"/>
        </w:rPr>
        <w:t>提</w:t>
      </w:r>
      <w:r>
        <w:rPr>
          <w:rFonts w:hint="eastAsia" w:ascii="仿宋" w:hAnsi="仿宋" w:eastAsia="仿宋" w:cs="仿宋"/>
          <w:color w:val="auto"/>
          <w:sz w:val="24"/>
          <w:highlight w:val="none"/>
        </w:rPr>
        <w:t>交的投标文件做任何修改或撤回投标。</w:t>
      </w:r>
    </w:p>
    <w:p>
      <w:pPr>
        <w:pStyle w:val="21"/>
        <w:spacing w:before="0" w:beforeAutospacing="0" w:after="0" w:afterAutospacing="0" w:line="40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21.4开标一览表出现前后不一致的情况，按照下列规定修正：</w:t>
      </w:r>
    </w:p>
    <w:p>
      <w:pPr>
        <w:pStyle w:val="21"/>
        <w:spacing w:before="0" w:beforeAutospacing="0" w:after="0" w:afterAutospacing="0"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21.4.1大写金额和小写金额不一致的，以大写金额为准；</w:t>
      </w:r>
    </w:p>
    <w:p>
      <w:pPr>
        <w:pStyle w:val="21"/>
        <w:spacing w:before="0" w:beforeAutospacing="0" w:after="0" w:afterAutospacing="0"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21.4.2单价金额小数点或者百分比有明显错位的，以开标一览表的总价为准，并修改单价；</w:t>
      </w:r>
    </w:p>
    <w:p>
      <w:pPr>
        <w:pStyle w:val="21"/>
        <w:spacing w:before="0" w:beforeAutospacing="0" w:after="0" w:afterAutospacing="0"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21.4.3总价金额与按单价汇总金额不一致的，以单价金额计算结果为准。</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同时出现两种以上不一致的，按照前款规定的顺序修正。修正后的报价经投标人确认后产生约束力，确认应当采用书面形式，并加盖公章，或者由法定代表人或其授权的代表签字。投标人不确认的，其投标无效。</w:t>
      </w:r>
    </w:p>
    <w:p>
      <w:pPr>
        <w:pStyle w:val="9"/>
        <w:spacing w:after="0" w:line="400" w:lineRule="exact"/>
        <w:rPr>
          <w:rFonts w:hint="eastAsia" w:ascii="仿宋" w:hAnsi="仿宋" w:eastAsia="仿宋" w:cs="仿宋"/>
          <w:color w:val="auto"/>
          <w:highlight w:val="none"/>
        </w:rPr>
      </w:pPr>
    </w:p>
    <w:p>
      <w:pPr>
        <w:pStyle w:val="2"/>
        <w:spacing w:before="0" w:after="312" w:afterLines="100" w:line="400" w:lineRule="exact"/>
        <w:jc w:val="center"/>
        <w:rPr>
          <w:rFonts w:hint="eastAsia" w:ascii="仿宋" w:hAnsi="仿宋" w:eastAsia="仿宋" w:cs="仿宋"/>
          <w:color w:val="auto"/>
          <w:highlight w:val="none"/>
        </w:rPr>
      </w:pPr>
      <w:bookmarkStart w:id="74" w:name="_Toc183682368"/>
      <w:bookmarkStart w:id="75" w:name="_Toc77400782"/>
      <w:bookmarkStart w:id="76" w:name="_Toc89075878"/>
      <w:bookmarkStart w:id="77" w:name="_Toc183582231"/>
      <w:bookmarkStart w:id="78" w:name="_Toc217446056"/>
      <w:r>
        <w:rPr>
          <w:rFonts w:hint="eastAsia" w:ascii="仿宋" w:hAnsi="仿宋" w:eastAsia="仿宋" w:cs="仿宋"/>
          <w:color w:val="auto"/>
          <w:highlight w:val="none"/>
        </w:rPr>
        <w:t>五、开标和中标</w:t>
      </w:r>
      <w:bookmarkEnd w:id="74"/>
      <w:bookmarkEnd w:id="75"/>
      <w:bookmarkEnd w:id="76"/>
      <w:bookmarkEnd w:id="77"/>
      <w:bookmarkEnd w:id="78"/>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79" w:name="_Toc183582232"/>
      <w:bookmarkStart w:id="80" w:name="_Toc183682369"/>
      <w:bookmarkStart w:id="81" w:name="_Toc217446057"/>
      <w:r>
        <w:rPr>
          <w:rFonts w:hint="eastAsia" w:ascii="仿宋" w:hAnsi="仿宋" w:eastAsia="仿宋" w:cs="仿宋"/>
          <w:bCs w:val="0"/>
          <w:color w:val="auto"/>
          <w:sz w:val="24"/>
          <w:szCs w:val="24"/>
          <w:highlight w:val="none"/>
        </w:rPr>
        <w:t>22．开标</w:t>
      </w:r>
      <w:bookmarkEnd w:id="79"/>
      <w:bookmarkEnd w:id="80"/>
      <w:bookmarkEnd w:id="81"/>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22.1采购代理机构在招标文件规定的时间和地点组织公开开标，采购人、投标人须派代表参加并签到以证明其出席。开标由采购代理机构主持，采购人、投标人代表参加。评标专家不参加开标活动。</w:t>
      </w:r>
    </w:p>
    <w:p>
      <w:pPr>
        <w:pStyle w:val="9"/>
        <w:spacing w:after="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 开标时，可能根据具体情况邀请有关监督管理部门对开标活动进行现场监督。</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 开标时，由投标人或者其推选的代表先检查其自己递交的投标文件的密封情况，经确认无误后，由招标工作人员将投标人单独递交用于唱标的“开标一览表”当众</w:t>
      </w:r>
      <w:r>
        <w:rPr>
          <w:rFonts w:hint="eastAsia" w:ascii="仿宋" w:hAnsi="仿宋" w:eastAsia="仿宋" w:cs="仿宋"/>
          <w:color w:val="auto"/>
          <w:sz w:val="24"/>
          <w:highlight w:val="none"/>
          <w:lang w:eastAsia="zh-CN"/>
        </w:rPr>
        <w:t>按任意顺序</w:t>
      </w:r>
      <w:r>
        <w:rPr>
          <w:rFonts w:hint="eastAsia" w:ascii="仿宋" w:hAnsi="仿宋" w:eastAsia="仿宋" w:cs="仿宋"/>
          <w:color w:val="auto"/>
          <w:sz w:val="24"/>
          <w:highlight w:val="none"/>
        </w:rPr>
        <w:t>拆封，并由唱标人员按照招标文件规定的内容进行宣读。</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投标人不足3家的，不得开标，投标文件不得退回。采购人如需采用其他采购方式采购的，采购人应当依法报财政部门批准，将财政部门审批意见通知递交标书的投标人，并按财政部门审批意见开展相关活动。</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 开标时，唱标的“开标一览表”中的大写金额与小写金额不一致的，以大写金额为准；总价金额与按单价计算的汇总金额不一致的，以单价计算的汇总金额为准；单价金额有明显小数点错误的，以总价为准，并修改单价。</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 投标文件中有关内容与唱标的“开标一览表”不一致的，以唱标的“开标一览表”为准。对不同文字文本投标文件的解释发生异议的，以中文文本为准。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 所有投标唱标完毕，如投标人代表对宣读的“开标一览表”上的内容有异议的，应在获得开标会主持人同意后当场提出。如确实属于唱标人员宣读错了的，经现场监督人员核实后，当场予以更正。</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82" w:name="_Toc217446058"/>
      <w:r>
        <w:rPr>
          <w:rFonts w:hint="eastAsia" w:ascii="仿宋" w:hAnsi="仿宋" w:eastAsia="仿宋" w:cs="仿宋"/>
          <w:bCs w:val="0"/>
          <w:color w:val="auto"/>
          <w:sz w:val="24"/>
          <w:szCs w:val="24"/>
          <w:highlight w:val="none"/>
        </w:rPr>
        <w:t>23. 开标程序</w:t>
      </w:r>
      <w:bookmarkEnd w:id="82"/>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开标会主持人按照招标文件规定的开标时间宣布开标，按照规定要求主持开标会。开标将按以下程序进行：</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23.1宣布开标会开始。开标时间到，主持人宣布开标会开始并致辞，宣布会场纪律和有关注意事项。</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23.2当众宣布参加开标会的现场监督人员（如适用）、主持人、唱标、监标、会议记录等招标工作人员，根据“供应商签到表”宣布参加投标的供应商名单。</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23.3当众宣布检查投标文件的密封情况。</w:t>
      </w:r>
    </w:p>
    <w:p>
      <w:pPr>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23.4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23.5宣布开标会结束。主持人宣布开标会结束后，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before="156" w:beforeLines="50" w:after="156" w:afterLines="50" w:line="400" w:lineRule="exact"/>
        <w:ind w:firstLine="482" w:firstLineChars="200"/>
        <w:rPr>
          <w:rFonts w:hint="eastAsia" w:ascii="仿宋" w:hAnsi="仿宋" w:eastAsia="仿宋" w:cs="仿宋"/>
          <w:bCs w:val="0"/>
          <w:color w:val="auto"/>
          <w:sz w:val="24"/>
          <w:highlight w:val="none"/>
        </w:rPr>
      </w:pPr>
      <w:r>
        <w:rPr>
          <w:rFonts w:hint="eastAsia" w:ascii="仿宋" w:hAnsi="仿宋" w:eastAsia="仿宋" w:cs="仿宋"/>
          <w:bCs w:val="0"/>
          <w:color w:val="auto"/>
          <w:sz w:val="24"/>
          <w:highlight w:val="none"/>
        </w:rPr>
        <w:t>24．开评标过程存档</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开标和评标过程进行全过程电子监控，并将电子监控资料存储介质留存归档。</w:t>
      </w:r>
    </w:p>
    <w:p>
      <w:pPr>
        <w:pStyle w:val="4"/>
        <w:spacing w:before="156" w:beforeLines="50" w:after="156" w:afterLines="50" w:line="400" w:lineRule="exact"/>
        <w:ind w:firstLine="482" w:firstLineChars="200"/>
        <w:rPr>
          <w:rFonts w:hint="eastAsia" w:ascii="仿宋" w:hAnsi="仿宋" w:eastAsia="仿宋" w:cs="仿宋"/>
          <w:bCs w:val="0"/>
          <w:color w:val="auto"/>
          <w:sz w:val="24"/>
          <w:highlight w:val="none"/>
        </w:rPr>
      </w:pPr>
      <w:r>
        <w:rPr>
          <w:rFonts w:hint="eastAsia" w:ascii="仿宋" w:hAnsi="仿宋" w:eastAsia="仿宋" w:cs="仿宋"/>
          <w:bCs w:val="0"/>
          <w:color w:val="auto"/>
          <w:sz w:val="24"/>
          <w:highlight w:val="none"/>
        </w:rPr>
        <w:t>25.中标公告</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25.1所有供应商投标文件资格性、符合性检查情况、采用综合评分法时的总得分和分项汇总得分情况、评标结果等将在四川政府采购网上采购结果公告栏中予以公告。</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中标公告期限为1个工作日。</w:t>
      </w:r>
    </w:p>
    <w:p>
      <w:pPr>
        <w:pStyle w:val="4"/>
        <w:spacing w:before="156" w:beforeLines="50" w:after="156" w:afterLines="50" w:line="400" w:lineRule="exact"/>
        <w:ind w:firstLine="482" w:firstLineChars="200"/>
        <w:rPr>
          <w:rFonts w:hint="eastAsia" w:ascii="仿宋" w:hAnsi="仿宋" w:eastAsia="仿宋" w:cs="仿宋"/>
          <w:bCs w:val="0"/>
          <w:color w:val="auto"/>
          <w:sz w:val="24"/>
          <w:szCs w:val="24"/>
          <w:highlight w:val="none"/>
        </w:rPr>
      </w:pPr>
      <w:bookmarkStart w:id="83" w:name="_Toc183682375"/>
      <w:bookmarkStart w:id="84" w:name="_Toc183582238"/>
      <w:bookmarkStart w:id="85" w:name="_Toc217446063"/>
      <w:r>
        <w:rPr>
          <w:rFonts w:hint="eastAsia" w:ascii="仿宋" w:hAnsi="仿宋" w:eastAsia="仿宋" w:cs="仿宋"/>
          <w:bCs w:val="0"/>
          <w:color w:val="auto"/>
          <w:sz w:val="24"/>
          <w:szCs w:val="24"/>
          <w:highlight w:val="none"/>
        </w:rPr>
        <w:t>26．中标通知</w:t>
      </w:r>
      <w:bookmarkEnd w:id="83"/>
      <w:bookmarkEnd w:id="84"/>
      <w:r>
        <w:rPr>
          <w:rFonts w:hint="eastAsia" w:ascii="仿宋" w:hAnsi="仿宋" w:eastAsia="仿宋" w:cs="仿宋"/>
          <w:bCs w:val="0"/>
          <w:color w:val="auto"/>
          <w:sz w:val="24"/>
          <w:szCs w:val="24"/>
          <w:highlight w:val="none"/>
        </w:rPr>
        <w:t>书</w:t>
      </w:r>
      <w:bookmarkEnd w:id="85"/>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1 中标通知书为签订政府采购合同的依据之一，是合同的有效组成部分。</w:t>
      </w:r>
    </w:p>
    <w:p>
      <w:pPr>
        <w:tabs>
          <w:tab w:val="left" w:pos="7665"/>
        </w:tabs>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投标人中标后，拒绝领取中标通知书的，招标人将于中标供应商确定之日起两个工作日内采取邮寄</w:t>
      </w:r>
      <w:r>
        <w:rPr>
          <w:rFonts w:hint="eastAsia" w:ascii="仿宋" w:hAnsi="仿宋" w:eastAsia="仿宋" w:cs="仿宋"/>
          <w:color w:val="auto"/>
          <w:sz w:val="24"/>
          <w:highlight w:val="none"/>
          <w:lang w:eastAsia="zh-CN"/>
        </w:rPr>
        <w:t>（到付）</w:t>
      </w:r>
      <w:r>
        <w:rPr>
          <w:rFonts w:hint="eastAsia" w:ascii="仿宋" w:hAnsi="仿宋" w:eastAsia="仿宋" w:cs="仿宋"/>
          <w:color w:val="auto"/>
          <w:sz w:val="24"/>
          <w:highlight w:val="none"/>
        </w:rPr>
        <w:t>、快递</w:t>
      </w:r>
      <w:r>
        <w:rPr>
          <w:rFonts w:hint="eastAsia" w:ascii="仿宋" w:hAnsi="仿宋" w:eastAsia="仿宋" w:cs="仿宋"/>
          <w:color w:val="auto"/>
          <w:sz w:val="24"/>
          <w:highlight w:val="none"/>
          <w:lang w:eastAsia="zh-CN"/>
        </w:rPr>
        <w:t>（到付）</w:t>
      </w:r>
      <w:r>
        <w:rPr>
          <w:rFonts w:hint="eastAsia" w:ascii="仿宋" w:hAnsi="仿宋" w:eastAsia="仿宋" w:cs="仿宋"/>
          <w:color w:val="auto"/>
          <w:sz w:val="24"/>
          <w:highlight w:val="none"/>
        </w:rPr>
        <w:t>方式按照投标人投标文件中的地址发出中标通知书。</w:t>
      </w:r>
    </w:p>
    <w:p>
      <w:pPr>
        <w:tabs>
          <w:tab w:val="left" w:pos="7665"/>
        </w:tabs>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26.3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26．4中标人的投标文件本应作为无效投标处理或者有政府采购法律法规规章制度规定的中标无效情形的，招标人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26.5中标公告发出后，中标供应商自行领取中标通知书的，可凭有效身份证明证件到成都市武侯区星狮路818号大合仓星商界4栋4单元801-802  四川致恒招标代理有限公司领取中标通知书。联系人：黄小姐，联系电话：028-83388382-801。</w:t>
      </w:r>
    </w:p>
    <w:p>
      <w:pPr>
        <w:tabs>
          <w:tab w:val="left" w:pos="7665"/>
        </w:tabs>
        <w:spacing w:line="400" w:lineRule="exact"/>
        <w:ind w:firstLine="480"/>
        <w:rPr>
          <w:rFonts w:hint="eastAsia" w:ascii="仿宋" w:hAnsi="仿宋" w:eastAsia="仿宋" w:cs="仿宋"/>
          <w:color w:val="auto"/>
          <w:sz w:val="24"/>
          <w:highlight w:val="none"/>
        </w:rPr>
      </w:pPr>
    </w:p>
    <w:p>
      <w:pPr>
        <w:tabs>
          <w:tab w:val="left" w:pos="7665"/>
        </w:tabs>
        <w:spacing w:after="312" w:afterLines="100" w:line="400" w:lineRule="exact"/>
        <w:jc w:val="center"/>
        <w:rPr>
          <w:rFonts w:hint="eastAsia" w:ascii="仿宋" w:hAnsi="仿宋" w:eastAsia="仿宋" w:cs="仿宋"/>
          <w:b/>
          <w:color w:val="auto"/>
          <w:sz w:val="32"/>
          <w:szCs w:val="32"/>
          <w:highlight w:val="none"/>
        </w:rPr>
      </w:pPr>
      <w:bookmarkStart w:id="86" w:name="_Toc217446064"/>
      <w:bookmarkStart w:id="87" w:name="_Toc183582240"/>
      <w:bookmarkStart w:id="88" w:name="_Toc183682377"/>
      <w:r>
        <w:rPr>
          <w:rFonts w:hint="eastAsia" w:ascii="仿宋" w:hAnsi="仿宋" w:eastAsia="仿宋" w:cs="仿宋"/>
          <w:b/>
          <w:color w:val="auto"/>
          <w:sz w:val="32"/>
          <w:szCs w:val="32"/>
          <w:highlight w:val="none"/>
        </w:rPr>
        <w:t>六、签订及履行合同和验收</w:t>
      </w:r>
      <w:bookmarkEnd w:id="86"/>
    </w:p>
    <w:p>
      <w:pPr>
        <w:pStyle w:val="2"/>
        <w:spacing w:before="156" w:beforeLines="50" w:after="156" w:afterLines="50" w:line="400" w:lineRule="exact"/>
        <w:ind w:firstLine="472" w:firstLineChars="196"/>
        <w:rPr>
          <w:rFonts w:hint="eastAsia" w:ascii="仿宋" w:hAnsi="仿宋" w:eastAsia="仿宋" w:cs="仿宋"/>
          <w:color w:val="auto"/>
          <w:sz w:val="24"/>
          <w:szCs w:val="24"/>
          <w:highlight w:val="none"/>
        </w:rPr>
      </w:pPr>
      <w:bookmarkStart w:id="89" w:name="_Toc217446065"/>
      <w:r>
        <w:rPr>
          <w:rFonts w:hint="eastAsia" w:ascii="仿宋" w:hAnsi="仿宋" w:eastAsia="仿宋" w:cs="仿宋"/>
          <w:color w:val="auto"/>
          <w:sz w:val="24"/>
          <w:szCs w:val="24"/>
          <w:highlight w:val="none"/>
        </w:rPr>
        <w:t>27. 签订合同</w:t>
      </w:r>
      <w:bookmarkEnd w:id="89"/>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采购人应当自中标通知书发出之日起30日内，按照招标文件和中标人投标文件的规定，与中标人签订书面合同。所签订的合同不得对招标文件确定的事项和中标人投标文件作实质性修改。由于中标人的原因逾期未与采购人签订采购合同的，将视为放弃中标，取消其中标资格并将按相关规定进行处理。</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27.2 采购人不得向中标人提出任何不合理的要求，作为签订合同的条件，不得与中标人私下订立背离合同实质性内容的任何协议，所签订的合同不得对招标文件和中标人投标文件作实质性修改。</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27.3 中标人因不可抗力原因不能履行采购合同或放弃中标的，采购人可以与排在中标人之后第一位的中标候选人签订采购合同，以此类推。</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27.4中标人在合同签订之后2个工作日内，将签订的合同（一份）送达</w:t>
      </w:r>
      <w:r>
        <w:rPr>
          <w:rFonts w:hint="eastAsia" w:ascii="仿宋" w:hAnsi="仿宋" w:eastAsia="仿宋" w:cs="仿宋"/>
          <w:color w:val="auto"/>
          <w:sz w:val="24"/>
          <w:highlight w:val="none"/>
          <w:u w:val="single"/>
        </w:rPr>
        <w:t>四川致恒招标代理有限公司</w:t>
      </w:r>
      <w:r>
        <w:rPr>
          <w:rFonts w:hint="eastAsia" w:ascii="仿宋" w:hAnsi="仿宋" w:eastAsia="仿宋" w:cs="仿宋"/>
          <w:color w:val="auto"/>
          <w:sz w:val="24"/>
          <w:highlight w:val="none"/>
        </w:rPr>
        <w:t>。联系人：莫尼克，联系电话：028-83388382-818。</w:t>
      </w:r>
    </w:p>
    <w:p>
      <w:pPr>
        <w:pStyle w:val="4"/>
        <w:spacing w:before="0" w:after="156" w:afterLines="50" w:line="400" w:lineRule="exact"/>
        <w:ind w:firstLine="482" w:firstLineChars="200"/>
        <w:rPr>
          <w:rFonts w:hint="eastAsia" w:ascii="仿宋" w:hAnsi="仿宋" w:eastAsia="仿宋" w:cs="仿宋"/>
          <w:color w:val="auto"/>
          <w:sz w:val="24"/>
          <w:highlight w:val="none"/>
        </w:rPr>
      </w:pPr>
      <w:bookmarkStart w:id="90" w:name="_Toc217446068"/>
      <w:r>
        <w:rPr>
          <w:rFonts w:hint="eastAsia" w:ascii="仿宋" w:hAnsi="仿宋" w:eastAsia="仿宋" w:cs="仿宋"/>
          <w:color w:val="auto"/>
          <w:sz w:val="24"/>
          <w:highlight w:val="none"/>
        </w:rPr>
        <w:t>28.履约保证金</w:t>
      </w:r>
      <w:bookmarkEnd w:id="90"/>
      <w:r>
        <w:rPr>
          <w:rFonts w:hint="eastAsia" w:ascii="仿宋" w:hAnsi="仿宋" w:eastAsia="仿宋" w:cs="仿宋"/>
          <w:color w:val="auto"/>
          <w:sz w:val="24"/>
          <w:highlight w:val="none"/>
        </w:rPr>
        <w:t>（实质性要求）</w:t>
      </w:r>
    </w:p>
    <w:p>
      <w:pPr>
        <w:pStyle w:val="4"/>
        <w:spacing w:before="0" w:after="156" w:afterLines="50"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详见投标人须知前附表</w:t>
      </w:r>
      <w:r>
        <w:rPr>
          <w:rFonts w:hint="eastAsia" w:ascii="仿宋" w:hAnsi="仿宋" w:eastAsia="仿宋" w:cs="仿宋"/>
          <w:color w:val="auto"/>
          <w:sz w:val="24"/>
          <w:highlight w:val="none"/>
        </w:rPr>
        <w:t>。</w:t>
      </w:r>
    </w:p>
    <w:p>
      <w:pPr>
        <w:pStyle w:val="4"/>
        <w:spacing w:before="0" w:after="156" w:afterLines="50" w:line="400" w:lineRule="exact"/>
        <w:ind w:firstLine="482" w:firstLineChars="200"/>
        <w:rPr>
          <w:rFonts w:hint="eastAsia" w:ascii="仿宋" w:hAnsi="仿宋" w:eastAsia="仿宋" w:cs="仿宋"/>
          <w:color w:val="auto"/>
          <w:sz w:val="24"/>
          <w:highlight w:val="none"/>
        </w:rPr>
      </w:pPr>
      <w:bookmarkStart w:id="91" w:name="_Toc217446066"/>
      <w:r>
        <w:rPr>
          <w:rFonts w:hint="eastAsia" w:ascii="仿宋" w:hAnsi="仿宋" w:eastAsia="仿宋" w:cs="仿宋"/>
          <w:color w:val="auto"/>
          <w:sz w:val="24"/>
          <w:highlight w:val="none"/>
        </w:rPr>
        <w:t>29. 合同分包</w:t>
      </w:r>
      <w:bookmarkEnd w:id="91"/>
      <w:r>
        <w:rPr>
          <w:rFonts w:hint="eastAsia" w:ascii="仿宋" w:hAnsi="仿宋" w:eastAsia="仿宋" w:cs="仿宋"/>
          <w:color w:val="auto"/>
          <w:sz w:val="24"/>
          <w:highlight w:val="none"/>
        </w:rPr>
        <w:t>（实质性要求）</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29.1 经采购人同意，中标人可以依法采取分包方式履行合同。这种要求应当在合同签订之前征得采购人同意，并且分包供应商履行的分包项目的品牌、规格型号及技术要求等，必须与中标的一致。</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分包履行合同的部分应当为采购项目的非主体、非关键性工作，不属于中标人的主要合同义务。</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29.2 采购合同实行分包履行的，中标人就采购项目和分包项目向采购人负责，分包供应商就分包项目承担责任。</w:t>
      </w:r>
    </w:p>
    <w:p>
      <w:pPr>
        <w:spacing w:line="400" w:lineRule="exact"/>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29.3 根据《关于印发&lt;政府采购促进中小企业发展管理办法&gt;的通知》(财库〔2020〕46号的规定享受扶持政策获得政府采购合同的，小微企业不得将合同分包给大中型企业，中型企业不得将合同分包给大型企业。</w:t>
      </w:r>
    </w:p>
    <w:p>
      <w:pPr>
        <w:pStyle w:val="2"/>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30.合同转包（实质性要求）</w:t>
      </w:r>
    </w:p>
    <w:p>
      <w:pPr>
        <w:spacing w:line="4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30.1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49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30.2 中标人转包的，视同拒绝履行政府采购合同义务，将依法追究法律责任。</w:t>
      </w:r>
    </w:p>
    <w:p>
      <w:pPr>
        <w:pStyle w:val="2"/>
        <w:spacing w:before="0" w:after="0" w:line="400" w:lineRule="exact"/>
        <w:ind w:firstLine="482" w:firstLineChars="200"/>
        <w:rPr>
          <w:rFonts w:hint="eastAsia" w:ascii="仿宋" w:hAnsi="仿宋" w:eastAsia="仿宋" w:cs="仿宋"/>
          <w:color w:val="auto"/>
          <w:sz w:val="24"/>
          <w:szCs w:val="24"/>
          <w:highlight w:val="none"/>
        </w:rPr>
      </w:pPr>
      <w:bookmarkStart w:id="92" w:name="_Toc217446067"/>
      <w:r>
        <w:rPr>
          <w:rFonts w:hint="eastAsia" w:ascii="仿宋" w:hAnsi="仿宋" w:eastAsia="仿宋" w:cs="仿宋"/>
          <w:color w:val="auto"/>
          <w:sz w:val="24"/>
          <w:szCs w:val="24"/>
          <w:highlight w:val="none"/>
        </w:rPr>
        <w:t>31. 采购人增加合同标的权</w:t>
      </w:r>
      <w:bookmarkEnd w:id="92"/>
      <w:r>
        <w:rPr>
          <w:rFonts w:hint="eastAsia" w:ascii="仿宋" w:hAnsi="仿宋" w:eastAsia="仿宋" w:cs="仿宋"/>
          <w:color w:val="auto"/>
          <w:sz w:val="24"/>
          <w:szCs w:val="24"/>
          <w:highlight w:val="none"/>
        </w:rPr>
        <w:t>利</w:t>
      </w:r>
    </w:p>
    <w:p>
      <w:pPr>
        <w:spacing w:line="400" w:lineRule="exact"/>
        <w:ind w:firstLine="495"/>
        <w:rPr>
          <w:rFonts w:hint="eastAsia" w:ascii="仿宋" w:hAnsi="仿宋" w:eastAsia="仿宋" w:cs="仿宋"/>
          <w:color w:val="auto"/>
          <w:sz w:val="24"/>
          <w:highlight w:val="none"/>
        </w:rPr>
      </w:pPr>
      <w:r>
        <w:rPr>
          <w:rFonts w:hint="eastAsia" w:ascii="仿宋" w:hAnsi="仿宋" w:eastAsia="仿宋" w:cs="仿宋"/>
          <w:color w:val="auto"/>
          <w:sz w:val="24"/>
          <w:highlight w:val="none"/>
        </w:rPr>
        <w:t>31.1 采购合同履行过程中，采购人需要追加与合同标的相同的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服务的名称、价格、履约方式、验收标准等必须与原政府采购合同一致。</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32.合同公告</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 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33.合同备案</w:t>
      </w:r>
    </w:p>
    <w:p>
      <w:pPr>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33.1 采购人应当将政府采购合同副本自签订（双方当事人均已签字盖章）之日起七个工作日内通过四川政府采购网报同级财政部门备案。</w:t>
      </w:r>
    </w:p>
    <w:p>
      <w:pPr>
        <w:pStyle w:val="2"/>
        <w:spacing w:before="156" w:beforeLines="50" w:after="156" w:afterLines="50" w:line="400" w:lineRule="exact"/>
        <w:ind w:firstLine="482" w:firstLineChars="200"/>
        <w:rPr>
          <w:rFonts w:hint="eastAsia" w:ascii="仿宋" w:hAnsi="仿宋" w:eastAsia="仿宋" w:cs="仿宋"/>
          <w:color w:val="auto"/>
          <w:sz w:val="24"/>
          <w:szCs w:val="24"/>
          <w:highlight w:val="none"/>
        </w:rPr>
      </w:pPr>
      <w:bookmarkStart w:id="93" w:name="_Toc217446069"/>
      <w:r>
        <w:rPr>
          <w:rFonts w:hint="eastAsia" w:ascii="仿宋" w:hAnsi="仿宋" w:eastAsia="仿宋" w:cs="仿宋"/>
          <w:color w:val="auto"/>
          <w:sz w:val="24"/>
          <w:szCs w:val="24"/>
          <w:highlight w:val="none"/>
        </w:rPr>
        <w:t>34. 履行合同</w:t>
      </w:r>
      <w:bookmarkEnd w:id="93"/>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34.1 中标人与采购人签订合同后，合同双方应严格执行合同条款，履行合同规定的义务，保证合同的顺利完成。</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34.2 在合同履行过程中，如发生合同纠纷，合同双方应按照《</w:t>
      </w:r>
      <w:r>
        <w:rPr>
          <w:rFonts w:hint="eastAsia" w:ascii="仿宋" w:hAnsi="仿宋" w:eastAsia="仿宋" w:cs="仿宋"/>
          <w:color w:val="auto"/>
          <w:sz w:val="24"/>
          <w:highlight w:val="none"/>
          <w:lang w:eastAsia="zh-CN"/>
        </w:rPr>
        <w:t>中华人民共和国民法典</w:t>
      </w:r>
      <w:r>
        <w:rPr>
          <w:rFonts w:hint="eastAsia" w:ascii="仿宋" w:hAnsi="仿宋" w:eastAsia="仿宋" w:cs="仿宋"/>
          <w:color w:val="auto"/>
          <w:sz w:val="24"/>
          <w:highlight w:val="none"/>
        </w:rPr>
        <w:t>》的有关规定进行处理。</w:t>
      </w:r>
    </w:p>
    <w:p>
      <w:pPr>
        <w:pStyle w:val="9"/>
        <w:spacing w:line="400" w:lineRule="exact"/>
        <w:ind w:firstLine="480"/>
        <w:rPr>
          <w:rFonts w:hint="eastAsia" w:ascii="仿宋" w:hAnsi="仿宋" w:eastAsia="仿宋" w:cs="仿宋"/>
          <w:color w:val="auto"/>
          <w:highlight w:val="none"/>
        </w:rPr>
      </w:pPr>
      <w:r>
        <w:rPr>
          <w:rFonts w:hint="eastAsia" w:ascii="仿宋" w:hAnsi="仿宋" w:eastAsia="仿宋" w:cs="仿宋"/>
          <w:color w:val="auto"/>
          <w:sz w:val="24"/>
          <w:highlight w:val="none"/>
        </w:rPr>
        <w:t>34.3 在合同履行过程中，中标人擅自变更、中止或终止采购合同的，按照《</w:t>
      </w:r>
      <w:r>
        <w:rPr>
          <w:rFonts w:hint="eastAsia" w:ascii="仿宋" w:hAnsi="仿宋" w:eastAsia="仿宋" w:cs="仿宋"/>
          <w:color w:val="auto"/>
          <w:sz w:val="24"/>
          <w:highlight w:val="none"/>
          <w:lang w:eastAsia="zh-CN"/>
        </w:rPr>
        <w:t>中华人民共和国</w:t>
      </w:r>
      <w:r>
        <w:rPr>
          <w:rFonts w:hint="eastAsia" w:ascii="仿宋" w:hAnsi="仿宋" w:eastAsia="仿宋" w:cs="仿宋"/>
          <w:color w:val="auto"/>
          <w:sz w:val="24"/>
          <w:highlight w:val="none"/>
        </w:rPr>
        <w:t>政府采购法》的有关规定进行处理。</w:t>
      </w:r>
    </w:p>
    <w:p>
      <w:pPr>
        <w:pStyle w:val="2"/>
        <w:spacing w:before="0" w:after="156" w:afterLines="50" w:line="400" w:lineRule="exact"/>
        <w:ind w:firstLine="482" w:firstLineChars="200"/>
        <w:rPr>
          <w:rFonts w:hint="eastAsia" w:ascii="仿宋" w:hAnsi="仿宋" w:eastAsia="仿宋" w:cs="仿宋"/>
          <w:color w:val="auto"/>
          <w:sz w:val="24"/>
          <w:szCs w:val="24"/>
          <w:highlight w:val="none"/>
        </w:rPr>
      </w:pPr>
      <w:bookmarkStart w:id="94" w:name="_Toc217446070"/>
      <w:r>
        <w:rPr>
          <w:rFonts w:hint="eastAsia" w:ascii="仿宋" w:hAnsi="仿宋" w:eastAsia="仿宋" w:cs="仿宋"/>
          <w:color w:val="auto"/>
          <w:sz w:val="24"/>
          <w:szCs w:val="24"/>
          <w:highlight w:val="none"/>
        </w:rPr>
        <w:t>35. 验收</w:t>
      </w:r>
      <w:bookmarkEnd w:id="94"/>
    </w:p>
    <w:p>
      <w:pPr>
        <w:spacing w:line="400" w:lineRule="exact"/>
        <w:ind w:firstLine="480" w:firstLineChars="200"/>
        <w:rPr>
          <w:rFonts w:hint="eastAsia" w:ascii="仿宋" w:hAnsi="仿宋" w:eastAsia="仿宋" w:cs="仿宋"/>
          <w:color w:val="auto"/>
          <w:sz w:val="24"/>
          <w:highlight w:val="none"/>
        </w:rPr>
      </w:pPr>
      <w:bookmarkStart w:id="95" w:name="_Toc217446071"/>
      <w:r>
        <w:rPr>
          <w:rFonts w:hint="eastAsia" w:ascii="仿宋" w:hAnsi="仿宋" w:eastAsia="仿宋" w:cs="仿宋"/>
          <w:color w:val="auto"/>
          <w:sz w:val="24"/>
          <w:highlight w:val="none"/>
        </w:rPr>
        <w:t>35.1严格按照《财政部关于</w:t>
      </w:r>
      <w:r>
        <w:rPr>
          <w:rFonts w:hint="eastAsia" w:ascii="仿宋" w:hAnsi="仿宋" w:eastAsia="仿宋" w:cs="仿宋"/>
          <w:color w:val="auto"/>
          <w:sz w:val="24"/>
          <w:highlight w:val="none"/>
          <w:lang w:eastAsia="zh-CN"/>
        </w:rPr>
        <w:t>进一步</w:t>
      </w:r>
      <w:r>
        <w:rPr>
          <w:rFonts w:hint="eastAsia" w:ascii="仿宋" w:hAnsi="仿宋" w:eastAsia="仿宋" w:cs="仿宋"/>
          <w:color w:val="auto"/>
          <w:sz w:val="24"/>
          <w:highlight w:val="none"/>
        </w:rPr>
        <w:t>加强政府采购需求和履约验收管理的指导意见》（财库〔2016〕205号）的要求进行验收。</w:t>
      </w:r>
    </w:p>
    <w:p>
      <w:pPr>
        <w:pStyle w:val="6"/>
        <w:spacing w:line="400" w:lineRule="exact"/>
        <w:ind w:firstLine="480"/>
        <w:rPr>
          <w:rFonts w:hint="eastAsia" w:ascii="仿宋" w:hAnsi="仿宋" w:eastAsia="仿宋" w:cs="仿宋"/>
          <w:color w:val="auto"/>
          <w:sz w:val="24"/>
          <w:highlight w:val="none"/>
        </w:rPr>
      </w:pPr>
    </w:p>
    <w:bookmarkEnd w:id="87"/>
    <w:bookmarkEnd w:id="88"/>
    <w:bookmarkEnd w:id="95"/>
    <w:p>
      <w:pPr>
        <w:pStyle w:val="2"/>
        <w:spacing w:before="0" w:after="312" w:afterLines="100" w:line="400" w:lineRule="exact"/>
        <w:jc w:val="center"/>
        <w:rPr>
          <w:rFonts w:hint="eastAsia" w:ascii="仿宋" w:hAnsi="仿宋" w:eastAsia="仿宋" w:cs="仿宋"/>
          <w:color w:val="auto"/>
          <w:highlight w:val="none"/>
        </w:rPr>
      </w:pPr>
      <w:bookmarkStart w:id="96" w:name="_Toc217446074"/>
      <w:bookmarkStart w:id="97" w:name="_Toc183682380"/>
      <w:bookmarkStart w:id="98" w:name="_Toc183582243"/>
      <w:r>
        <w:rPr>
          <w:rFonts w:hint="eastAsia" w:ascii="仿宋" w:hAnsi="仿宋" w:eastAsia="仿宋" w:cs="仿宋"/>
          <w:color w:val="auto"/>
          <w:highlight w:val="none"/>
        </w:rPr>
        <w:t>七、投标纪律要求</w:t>
      </w:r>
      <w:bookmarkEnd w:id="96"/>
    </w:p>
    <w:p>
      <w:pPr>
        <w:pStyle w:val="4"/>
        <w:spacing w:before="0" w:after="156" w:afterLines="50" w:line="400" w:lineRule="exact"/>
        <w:ind w:firstLine="482" w:firstLineChars="200"/>
        <w:rPr>
          <w:rFonts w:hint="eastAsia" w:ascii="仿宋" w:hAnsi="仿宋" w:eastAsia="仿宋" w:cs="仿宋"/>
          <w:bCs w:val="0"/>
          <w:color w:val="auto"/>
          <w:sz w:val="24"/>
          <w:szCs w:val="24"/>
          <w:highlight w:val="none"/>
        </w:rPr>
      </w:pPr>
      <w:bookmarkStart w:id="99" w:name="_Toc217446075"/>
      <w:r>
        <w:rPr>
          <w:rFonts w:hint="eastAsia" w:ascii="仿宋" w:hAnsi="仿宋" w:eastAsia="仿宋" w:cs="仿宋"/>
          <w:color w:val="auto"/>
          <w:sz w:val="24"/>
          <w:szCs w:val="24"/>
          <w:highlight w:val="none"/>
        </w:rPr>
        <w:t xml:space="preserve">36. </w:t>
      </w:r>
      <w:r>
        <w:rPr>
          <w:rFonts w:hint="eastAsia" w:ascii="仿宋" w:hAnsi="仿宋" w:eastAsia="仿宋" w:cs="仿宋"/>
          <w:bCs w:val="0"/>
          <w:color w:val="auto"/>
          <w:sz w:val="24"/>
          <w:szCs w:val="24"/>
          <w:highlight w:val="none"/>
        </w:rPr>
        <w:t>投标人不得具有的情形</w:t>
      </w:r>
      <w:bookmarkEnd w:id="99"/>
    </w:p>
    <w:p>
      <w:pPr>
        <w:pStyle w:val="6"/>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投标人参加本项目投标不得有下列情形：</w:t>
      </w:r>
    </w:p>
    <w:p>
      <w:pPr>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（1）提供虚假材料谋取中标；</w:t>
      </w:r>
    </w:p>
    <w:p>
      <w:pPr>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（2）采取不正当手段诋毁、排挤其他投标人；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（3）与招标人、其他投标人恶意串通；</w:t>
      </w: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（4）向招标人、评标委员会成员行贿或者提供其他不正当利益；</w:t>
      </w:r>
    </w:p>
    <w:p>
      <w:pPr>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（5）在招标过程中与招标人进行协商谈判；</w:t>
      </w:r>
    </w:p>
    <w:p>
      <w:pPr>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（6）中标或者成交后无正当理由拒不与采购人签订政府采购合同；</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（7）未按照</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确定的事项签订政府采购合同；</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（8）将政府采购合同转包或者违规分包；</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（9）提供假冒伪劣产品；</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（10）擅自变更、中止或者终止政府采购合同；</w:t>
      </w:r>
    </w:p>
    <w:p>
      <w:pPr>
        <w:spacing w:line="400" w:lineRule="exact"/>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（11）拒绝有关部门的监督检查或者向监督检查部门提供虚假情况；</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（12）法律法规规定的其他情形。</w:t>
      </w:r>
    </w:p>
    <w:p>
      <w:pPr>
        <w:pStyle w:val="6"/>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投标人有上述情形的，按照规定追究法律责任，具备（1）-（12）条情形之一的，同时将取消中标资格或者认定中标无效。</w:t>
      </w:r>
    </w:p>
    <w:p>
      <w:pPr>
        <w:pStyle w:val="6"/>
        <w:spacing w:line="400" w:lineRule="exact"/>
        <w:ind w:firstLine="480"/>
        <w:rPr>
          <w:rFonts w:hint="eastAsia" w:ascii="仿宋" w:hAnsi="仿宋" w:eastAsia="仿宋" w:cs="仿宋"/>
          <w:color w:val="auto"/>
          <w:sz w:val="24"/>
          <w:highlight w:val="none"/>
        </w:rPr>
      </w:pPr>
    </w:p>
    <w:p>
      <w:pPr>
        <w:pStyle w:val="2"/>
        <w:spacing w:before="0" w:after="312" w:afterLines="100" w:line="400" w:lineRule="exact"/>
        <w:jc w:val="center"/>
        <w:rPr>
          <w:rFonts w:hint="eastAsia" w:ascii="仿宋" w:hAnsi="仿宋" w:eastAsia="仿宋" w:cs="仿宋"/>
          <w:b w:val="0"/>
          <w:bCs w:val="0"/>
          <w:color w:val="auto"/>
          <w:highlight w:val="none"/>
        </w:rPr>
      </w:pPr>
      <w:bookmarkStart w:id="100" w:name="_Toc217446076"/>
      <w:r>
        <w:rPr>
          <w:rFonts w:hint="eastAsia" w:ascii="仿宋" w:hAnsi="仿宋" w:eastAsia="仿宋" w:cs="仿宋"/>
          <w:color w:val="auto"/>
          <w:highlight w:val="none"/>
        </w:rPr>
        <w:t>八、支付货款</w:t>
      </w:r>
      <w:bookmarkEnd w:id="100"/>
    </w:p>
    <w:p>
      <w:pPr>
        <w:pStyle w:val="2"/>
        <w:spacing w:before="0" w:after="0" w:line="400" w:lineRule="exact"/>
        <w:ind w:firstLine="482" w:firstLineChars="200"/>
        <w:rPr>
          <w:rFonts w:hint="eastAsia" w:ascii="仿宋" w:hAnsi="仿宋" w:eastAsia="仿宋" w:cs="仿宋"/>
          <w:b w:val="0"/>
          <w:color w:val="auto"/>
          <w:sz w:val="24"/>
          <w:szCs w:val="24"/>
          <w:highlight w:val="none"/>
        </w:rPr>
      </w:pPr>
      <w:bookmarkStart w:id="101" w:name="_Toc217446077"/>
      <w:r>
        <w:rPr>
          <w:rFonts w:hint="eastAsia" w:ascii="仿宋" w:hAnsi="仿宋" w:eastAsia="仿宋" w:cs="仿宋"/>
          <w:color w:val="auto"/>
          <w:sz w:val="24"/>
          <w:szCs w:val="24"/>
          <w:highlight w:val="none"/>
        </w:rPr>
        <w:t>37.支付</w:t>
      </w:r>
      <w:bookmarkEnd w:id="101"/>
      <w:r>
        <w:rPr>
          <w:rFonts w:hint="eastAsia" w:ascii="仿宋" w:hAnsi="仿宋" w:eastAsia="仿宋" w:cs="仿宋"/>
          <w:color w:val="auto"/>
          <w:sz w:val="24"/>
          <w:szCs w:val="24"/>
          <w:highlight w:val="none"/>
        </w:rPr>
        <w:t>方式：</w:t>
      </w:r>
      <w:r>
        <w:rPr>
          <w:rFonts w:hint="eastAsia" w:ascii="仿宋" w:hAnsi="仿宋" w:eastAsia="仿宋" w:cs="仿宋"/>
          <w:b w:val="0"/>
          <w:bCs w:val="0"/>
          <w:color w:val="auto"/>
          <w:sz w:val="24"/>
          <w:szCs w:val="24"/>
          <w:highlight w:val="none"/>
        </w:rPr>
        <w:t>详见招标文件第六章。</w:t>
      </w:r>
    </w:p>
    <w:p>
      <w:pPr>
        <w:spacing w:line="400" w:lineRule="exact"/>
        <w:rPr>
          <w:rFonts w:hint="eastAsia" w:ascii="仿宋" w:hAnsi="仿宋" w:eastAsia="仿宋" w:cs="仿宋"/>
          <w:color w:val="auto"/>
          <w:highlight w:val="none"/>
        </w:rPr>
      </w:pPr>
    </w:p>
    <w:p>
      <w:pPr>
        <w:pStyle w:val="13"/>
        <w:spacing w:after="312" w:afterLines="100" w:line="400" w:lineRule="exact"/>
        <w:ind w:left="0" w:leftChars="0"/>
        <w:jc w:val="center"/>
        <w:rPr>
          <w:rFonts w:hint="eastAsia" w:ascii="仿宋" w:hAnsi="仿宋" w:eastAsia="仿宋" w:cs="仿宋"/>
          <w:b/>
          <w:bCs/>
          <w:color w:val="auto"/>
          <w:sz w:val="32"/>
          <w:szCs w:val="32"/>
          <w:highlight w:val="none"/>
        </w:rPr>
      </w:pPr>
      <w:bookmarkStart w:id="102" w:name="_Toc217446078"/>
      <w:r>
        <w:rPr>
          <w:rFonts w:hint="eastAsia" w:ascii="仿宋" w:hAnsi="仿宋" w:eastAsia="仿宋" w:cs="仿宋"/>
          <w:b/>
          <w:bCs/>
          <w:color w:val="auto"/>
          <w:sz w:val="32"/>
          <w:szCs w:val="32"/>
          <w:highlight w:val="none"/>
        </w:rPr>
        <w:t>九、询问、质疑和投诉</w:t>
      </w:r>
      <w:bookmarkEnd w:id="102"/>
      <w:bookmarkStart w:id="103" w:name="_Toc217446079"/>
    </w:p>
    <w:p>
      <w:pPr>
        <w:pStyle w:val="2"/>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bookmarkEnd w:id="103"/>
      <w:r>
        <w:rPr>
          <w:rFonts w:hint="eastAsia" w:ascii="仿宋" w:hAnsi="仿宋" w:eastAsia="仿宋" w:cs="仿宋"/>
          <w:color w:val="auto"/>
          <w:sz w:val="24"/>
          <w:szCs w:val="24"/>
          <w:highlight w:val="none"/>
        </w:rPr>
        <w:t>8．</w:t>
      </w:r>
      <w:bookmarkEnd w:id="97"/>
      <w:bookmarkEnd w:id="98"/>
      <w:r>
        <w:rPr>
          <w:rFonts w:hint="eastAsia" w:ascii="仿宋" w:hAnsi="仿宋" w:eastAsia="仿宋" w:cs="仿宋"/>
          <w:color w:val="auto"/>
          <w:sz w:val="24"/>
          <w:szCs w:val="24"/>
          <w:highlight w:val="none"/>
        </w:rPr>
        <w:t>询问、质疑和投诉</w:t>
      </w:r>
    </w:p>
    <w:p>
      <w:pPr>
        <w:pStyle w:val="13"/>
        <w:spacing w:after="0" w:line="40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38.1 </w:t>
      </w:r>
      <w:r>
        <w:rPr>
          <w:rFonts w:hint="eastAsia" w:ascii="仿宋" w:hAnsi="仿宋" w:eastAsia="仿宋" w:cs="仿宋"/>
          <w:color w:val="auto"/>
          <w:kern w:val="0"/>
          <w:sz w:val="24"/>
          <w:highlight w:val="none"/>
        </w:rPr>
        <w:t>询问、质疑、投诉的接收和处理严格按照《中华人民共和国政府采购法》、《中华人民共和国政府采购法实施条例》、《政府采购货物和服务招标投标管理办法》（财政部令第87号）、《政府采购质疑和投诉办法》（财政部令第94号）和《四川省政府采购供应商投诉处理工作规程》（川财采[2007]13号）的规定办理（详细规定请在四川政府采购网政策法规模块查询）。根据本项目委托代理协议的约定：针对招标文件技术条款和除</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中华人民共和国</w:t>
      </w:r>
      <w:r>
        <w:rPr>
          <w:rFonts w:hint="eastAsia" w:ascii="仿宋" w:hAnsi="仿宋" w:eastAsia="仿宋" w:cs="仿宋"/>
          <w:color w:val="auto"/>
          <w:sz w:val="24"/>
          <w:highlight w:val="none"/>
        </w:rPr>
        <w:t>政府采购法》</w:t>
      </w:r>
      <w:r>
        <w:rPr>
          <w:rFonts w:hint="eastAsia" w:ascii="仿宋" w:hAnsi="仿宋" w:eastAsia="仿宋" w:cs="仿宋"/>
          <w:color w:val="auto"/>
          <w:kern w:val="0"/>
          <w:sz w:val="24"/>
          <w:highlight w:val="none"/>
        </w:rPr>
        <w:t>第二十二条之外的其他资格条件、专业技术和商务条件、评审办法的询问和质疑由采购人进行答复，针对招标过程及招标文件其他内容提出的询问和质疑由采购代理机构进行答复。</w:t>
      </w:r>
    </w:p>
    <w:p>
      <w:pPr>
        <w:pStyle w:val="13"/>
        <w:spacing w:after="0" w:line="400" w:lineRule="exact"/>
        <w:ind w:left="0" w:leftChars="0" w:firstLine="480" w:firstLineChars="200"/>
        <w:rPr>
          <w:rFonts w:hint="eastAsia" w:ascii="仿宋" w:hAnsi="仿宋" w:eastAsia="仿宋" w:cs="仿宋"/>
          <w:color w:val="auto"/>
          <w:sz w:val="24"/>
          <w:highlight w:val="none"/>
        </w:rPr>
      </w:pPr>
    </w:p>
    <w:p>
      <w:pPr>
        <w:pStyle w:val="2"/>
        <w:spacing w:before="0" w:after="312" w:afterLines="100" w:line="400" w:lineRule="exact"/>
        <w:jc w:val="center"/>
        <w:rPr>
          <w:rFonts w:hint="eastAsia" w:ascii="仿宋" w:hAnsi="仿宋" w:eastAsia="仿宋" w:cs="仿宋"/>
          <w:bCs w:val="0"/>
          <w:color w:val="auto"/>
          <w:highlight w:val="none"/>
        </w:rPr>
      </w:pPr>
      <w:r>
        <w:rPr>
          <w:rFonts w:hint="eastAsia" w:ascii="仿宋" w:hAnsi="仿宋" w:eastAsia="仿宋" w:cs="仿宋"/>
          <w:bCs w:val="0"/>
          <w:color w:val="auto"/>
          <w:highlight w:val="none"/>
        </w:rPr>
        <w:t>十、招标文件内容有效补充</w:t>
      </w:r>
    </w:p>
    <w:p>
      <w:pPr>
        <w:spacing w:before="156" w:beforeLines="50" w:after="156" w:afterLines="50"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39.招标文件内容冲突的解决及优先适用次序</w:t>
      </w:r>
    </w:p>
    <w:p>
      <w:pPr>
        <w:topLinePunct/>
        <w:spacing w:line="40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39.1 招标文件编制的内容前后有矛盾或不一致时，有时间先后顺序的，以时间在后的修改、澄清或补正文件为准；没有时间先后顺序的，按有利于供应商的原则进行处理。</w:t>
      </w:r>
    </w:p>
    <w:p>
      <w:pPr>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39.2 招标文件的解释</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对招标文件的解释，由采购代理机构负责。</w:t>
      </w:r>
    </w:p>
    <w:p>
      <w:pPr>
        <w:pStyle w:val="2"/>
        <w:spacing w:before="0" w:after="312" w:afterLines="100" w:line="400" w:lineRule="exact"/>
        <w:jc w:val="center"/>
        <w:rPr>
          <w:rFonts w:hint="eastAsia" w:ascii="仿宋" w:hAnsi="仿宋" w:eastAsia="仿宋" w:cs="仿宋"/>
          <w:bCs w:val="0"/>
          <w:color w:val="auto"/>
          <w:szCs w:val="28"/>
          <w:highlight w:val="none"/>
        </w:rPr>
      </w:pPr>
    </w:p>
    <w:p>
      <w:pPr>
        <w:pStyle w:val="2"/>
        <w:spacing w:before="0" w:after="312" w:afterLines="100" w:line="400" w:lineRule="exact"/>
        <w:jc w:val="center"/>
        <w:rPr>
          <w:rFonts w:hint="eastAsia" w:ascii="仿宋" w:hAnsi="仿宋" w:eastAsia="仿宋" w:cs="仿宋"/>
          <w:bCs w:val="0"/>
          <w:color w:val="auto"/>
          <w:szCs w:val="28"/>
          <w:highlight w:val="none"/>
        </w:rPr>
      </w:pPr>
      <w:r>
        <w:rPr>
          <w:rFonts w:hint="eastAsia" w:ascii="仿宋" w:hAnsi="仿宋" w:eastAsia="仿宋" w:cs="仿宋"/>
          <w:bCs w:val="0"/>
          <w:color w:val="auto"/>
          <w:szCs w:val="28"/>
          <w:highlight w:val="none"/>
        </w:rPr>
        <w:t>十一、其他</w:t>
      </w:r>
    </w:p>
    <w:p>
      <w:pPr>
        <w:pStyle w:val="2"/>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 时间计算</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本招标文件规定按日计算期间的，开始当天不计入，从次日开始计算。期限的最后一日是国家法定节假日的，顺延到节假日后的次日为期限的最后一日。</w:t>
      </w:r>
    </w:p>
    <w:p>
      <w:pPr>
        <w:pStyle w:val="2"/>
        <w:spacing w:before="156" w:beforeLines="50" w:after="156" w:afterLines="5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本数计算</w:t>
      </w:r>
    </w:p>
    <w:p>
      <w:pPr>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本招标文件所称的“以上”、“以下”、“内”、“以内”，包括本数；所称的“不足”，不包括本数。</w:t>
      </w:r>
    </w:p>
    <w:p>
      <w:pPr>
        <w:pStyle w:val="2"/>
        <w:spacing w:before="0" w:after="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42.其他</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42.1</w:t>
      </w:r>
      <w:r>
        <w:rPr>
          <w:rFonts w:hint="eastAsia" w:ascii="仿宋" w:hAnsi="仿宋" w:eastAsia="仿宋" w:cs="仿宋"/>
          <w:color w:val="auto"/>
          <w:sz w:val="24"/>
          <w:highlight w:val="none"/>
        </w:rPr>
        <w:t>本招标文件中所引相关法律制度规定，在政府采购中有变化的，按照变化后的相关法律制度规定执行。本章和第七章中“1.总则、</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.评标方法、</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.评标程序”规定的内容条款，在本项目投标截止时间届满后，因相关法律制度规定的变化导致不符合相关法律制度规定的，直接按照变化后的相关法律制度规定执行，本招标文件不再做调整。</w:t>
      </w:r>
      <w:bookmarkStart w:id="104" w:name="_Toc25840564"/>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42.2</w:t>
      </w:r>
      <w:r>
        <w:rPr>
          <w:rFonts w:hint="eastAsia" w:ascii="仿宋" w:hAnsi="仿宋" w:eastAsia="仿宋" w:cs="仿宋"/>
          <w:color w:val="auto"/>
          <w:sz w:val="24"/>
          <w:highlight w:val="none"/>
        </w:rPr>
        <w:t>国家或行业主管部门对供应商和采购产品的技术标准、质量标准和资格资质条件等有强制性规定的，即使本</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文件中未明示，但也必须承诺符合相关要求，并在签定合同前向采购人提供相关证明（或者在</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文件中提供相关证明）。</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文件各项条款，如涉及有相关强制性要求的，该条款如未标注为实质性要求，也应作为实质性要求，不再作为一般性要求或评分因素进行评审。</w:t>
      </w:r>
    </w:p>
    <w:p>
      <w:pPr>
        <w:spacing w:line="400" w:lineRule="exact"/>
        <w:ind w:firstLine="480" w:firstLineChars="200"/>
        <w:rPr>
          <w:rFonts w:hint="eastAsia" w:ascii="仿宋" w:hAnsi="仿宋" w:eastAsia="仿宋" w:cs="仿宋"/>
          <w:color w:val="auto"/>
          <w:sz w:val="24"/>
          <w:highlight w:val="none"/>
        </w:rPr>
      </w:pPr>
    </w:p>
    <w:p>
      <w:pPr>
        <w:spacing w:line="400" w:lineRule="exact"/>
        <w:ind w:firstLine="480" w:firstLineChars="200"/>
        <w:rPr>
          <w:rFonts w:hint="eastAsia" w:ascii="仿宋" w:hAnsi="仿宋" w:eastAsia="仿宋" w:cs="仿宋"/>
          <w:color w:val="auto"/>
          <w:sz w:val="24"/>
          <w:highlight w:val="none"/>
        </w:rPr>
      </w:pPr>
    </w:p>
    <w:p>
      <w:pPr>
        <w:spacing w:line="400" w:lineRule="exact"/>
        <w:ind w:firstLine="480" w:firstLineChars="200"/>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9"/>
        <w:rPr>
          <w:rFonts w:hint="eastAsia" w:ascii="仿宋" w:hAnsi="仿宋" w:eastAsia="仿宋" w:cs="仿宋"/>
          <w:color w:val="auto"/>
          <w:sz w:val="24"/>
          <w:highlight w:val="none"/>
        </w:rPr>
      </w:pPr>
    </w:p>
    <w:p>
      <w:pPr>
        <w:rPr>
          <w:rFonts w:hint="eastAsia"/>
          <w:color w:val="auto"/>
          <w:highlight w:val="none"/>
        </w:rPr>
      </w:pPr>
    </w:p>
    <w:p>
      <w:pPr>
        <w:pStyle w:val="3"/>
        <w:spacing w:line="400" w:lineRule="exact"/>
        <w:jc w:val="center"/>
        <w:rPr>
          <w:rFonts w:hint="eastAsia" w:ascii="仿宋" w:hAnsi="仿宋" w:eastAsia="仿宋" w:cs="仿宋"/>
          <w:b w:val="0"/>
          <w:color w:val="auto"/>
          <w:sz w:val="36"/>
          <w:szCs w:val="36"/>
          <w:highlight w:val="none"/>
        </w:rPr>
      </w:pPr>
      <w:r>
        <w:rPr>
          <w:rFonts w:hint="eastAsia" w:ascii="仿宋" w:hAnsi="仿宋" w:eastAsia="仿宋" w:cs="仿宋"/>
          <w:b/>
          <w:bCs w:val="0"/>
          <w:color w:val="auto"/>
          <w:sz w:val="36"/>
          <w:szCs w:val="36"/>
          <w:highlight w:val="none"/>
        </w:rPr>
        <w:t>第三章 投标文件格式</w:t>
      </w:r>
      <w:bookmarkEnd w:id="104"/>
    </w:p>
    <w:p>
      <w:pPr>
        <w:spacing w:line="400" w:lineRule="exact"/>
        <w:rPr>
          <w:rFonts w:hint="eastAsia" w:ascii="仿宋" w:hAnsi="仿宋" w:eastAsia="仿宋" w:cs="仿宋"/>
          <w:color w:val="auto"/>
          <w:highlight w:val="none"/>
        </w:rPr>
      </w:pPr>
    </w:p>
    <w:p>
      <w:pPr>
        <w:widowControl/>
        <w:spacing w:line="400" w:lineRule="exact"/>
        <w:ind w:firstLine="470" w:firstLineChars="196"/>
        <w:outlineLvl w:val="1"/>
        <w:rPr>
          <w:rFonts w:hint="eastAsia" w:ascii="仿宋" w:hAnsi="仿宋" w:eastAsia="仿宋" w:cs="仿宋"/>
          <w:color w:val="auto"/>
          <w:sz w:val="24"/>
          <w:highlight w:val="none"/>
        </w:rPr>
      </w:pPr>
      <w:bookmarkStart w:id="105" w:name="_Toc217446082"/>
      <w:r>
        <w:rPr>
          <w:rFonts w:hint="eastAsia" w:ascii="仿宋" w:hAnsi="仿宋" w:eastAsia="仿宋" w:cs="仿宋"/>
          <w:color w:val="auto"/>
          <w:sz w:val="24"/>
          <w:highlight w:val="none"/>
        </w:rPr>
        <w:t>一、本章所制投标文件格式，除格式中明确将该格式作为实质性要求的，一律不具有强制性；但是，投标人投标文件相关资料和本章所制格式不一致时，属于实质性要求的将无法通过资格性或符合性检查。</w:t>
      </w:r>
    </w:p>
    <w:p>
      <w:pPr>
        <w:widowControl/>
        <w:spacing w:line="400" w:lineRule="exact"/>
        <w:ind w:firstLine="470" w:firstLineChars="196"/>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二、本章所制投标文件格式有关表格中的备注栏，由投标人根据自身投标情况作解释性说明，不作为必填项。未填写的，视为接受备注要求并对投标人具有约束力，否则投标人应在技术或商务应答表中作出明显的说明或应答。</w:t>
      </w:r>
    </w:p>
    <w:p>
      <w:pPr>
        <w:widowControl/>
        <w:spacing w:line="400" w:lineRule="exact"/>
        <w:ind w:firstLine="470" w:firstLineChars="196"/>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三、本章所制投标文件格式中需要填写的相关内容事项，可能会与本采购项目无关，在不改变投标文件原义、不影响本项目采购需求的情况下，投标人可以不予填写，但应当注明。</w:t>
      </w:r>
    </w:p>
    <w:p>
      <w:pPr>
        <w:pStyle w:val="9"/>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四、 格式中需要承诺或声明相关内容事项，可以逐项承诺或声明，也可以统一进行承诺或声明。</w:t>
      </w:r>
    </w:p>
    <w:p>
      <w:pPr>
        <w:tabs>
          <w:tab w:val="left" w:pos="900"/>
        </w:tabs>
        <w:spacing w:line="400" w:lineRule="exact"/>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 xml:space="preserve"> </w:t>
      </w:r>
      <w:r>
        <w:rPr>
          <w:rFonts w:hint="eastAsia" w:ascii="仿宋" w:hAnsi="仿宋" w:eastAsia="仿宋" w:cs="仿宋"/>
          <w:color w:val="auto"/>
          <w:sz w:val="24"/>
          <w:highlight w:val="none"/>
        </w:rPr>
        <w:t xml:space="preserve">  五、 投标文件分资格性投标文件和技术、商务投标文件两部分，应分开装订并密封。</w:t>
      </w:r>
    </w:p>
    <w:p>
      <w:pPr>
        <w:tabs>
          <w:tab w:val="left" w:pos="900"/>
        </w:tabs>
        <w:spacing w:line="400" w:lineRule="exact"/>
        <w:rPr>
          <w:rFonts w:hint="eastAsia" w:ascii="仿宋" w:hAnsi="仿宋" w:eastAsia="仿宋" w:cs="仿宋"/>
          <w:color w:val="auto"/>
          <w:sz w:val="24"/>
          <w:highlight w:val="none"/>
        </w:rPr>
      </w:pPr>
    </w:p>
    <w:p>
      <w:pPr>
        <w:tabs>
          <w:tab w:val="left" w:pos="900"/>
        </w:tabs>
        <w:spacing w:line="400" w:lineRule="exact"/>
        <w:rPr>
          <w:rFonts w:hint="eastAsia" w:ascii="仿宋" w:hAnsi="仿宋" w:eastAsia="仿宋" w:cs="仿宋"/>
          <w:b/>
          <w:color w:val="auto"/>
          <w:sz w:val="28"/>
          <w:szCs w:val="28"/>
          <w:highlight w:val="none"/>
        </w:rPr>
      </w:pPr>
    </w:p>
    <w:p>
      <w:pPr>
        <w:tabs>
          <w:tab w:val="left" w:pos="900"/>
        </w:tabs>
        <w:spacing w:line="400" w:lineRule="exact"/>
        <w:rPr>
          <w:rFonts w:hint="eastAsia" w:ascii="仿宋" w:hAnsi="仿宋" w:eastAsia="仿宋" w:cs="仿宋"/>
          <w:b/>
          <w:color w:val="auto"/>
          <w:sz w:val="28"/>
          <w:szCs w:val="28"/>
          <w:highlight w:val="none"/>
        </w:rPr>
      </w:pPr>
    </w:p>
    <w:p>
      <w:pPr>
        <w:tabs>
          <w:tab w:val="left" w:pos="900"/>
        </w:tabs>
        <w:spacing w:line="400" w:lineRule="exact"/>
        <w:rPr>
          <w:rFonts w:hint="eastAsia" w:ascii="仿宋" w:hAnsi="仿宋" w:eastAsia="仿宋" w:cs="仿宋"/>
          <w:b/>
          <w:color w:val="auto"/>
          <w:sz w:val="28"/>
          <w:szCs w:val="28"/>
          <w:highlight w:val="none"/>
        </w:rPr>
      </w:pPr>
    </w:p>
    <w:p>
      <w:pPr>
        <w:tabs>
          <w:tab w:val="left" w:pos="900"/>
        </w:tabs>
        <w:spacing w:line="400" w:lineRule="exact"/>
        <w:rPr>
          <w:rFonts w:hint="eastAsia" w:ascii="仿宋" w:hAnsi="仿宋" w:eastAsia="仿宋" w:cs="仿宋"/>
          <w:b/>
          <w:color w:val="auto"/>
          <w:sz w:val="28"/>
          <w:szCs w:val="28"/>
          <w:highlight w:val="none"/>
        </w:rPr>
      </w:pPr>
    </w:p>
    <w:p>
      <w:pPr>
        <w:tabs>
          <w:tab w:val="left" w:pos="900"/>
        </w:tabs>
        <w:spacing w:line="400" w:lineRule="exact"/>
        <w:rPr>
          <w:rFonts w:hint="eastAsia" w:ascii="仿宋" w:hAnsi="仿宋" w:eastAsia="仿宋" w:cs="仿宋"/>
          <w:b/>
          <w:color w:val="auto"/>
          <w:sz w:val="28"/>
          <w:szCs w:val="28"/>
          <w:highlight w:val="none"/>
        </w:rPr>
      </w:pPr>
    </w:p>
    <w:p>
      <w:pPr>
        <w:pStyle w:val="9"/>
        <w:spacing w:line="400" w:lineRule="exact"/>
        <w:rPr>
          <w:rFonts w:hint="eastAsia" w:ascii="仿宋" w:hAnsi="仿宋" w:eastAsia="仿宋" w:cs="仿宋"/>
          <w:b/>
          <w:color w:val="auto"/>
          <w:sz w:val="28"/>
          <w:szCs w:val="28"/>
          <w:highlight w:val="none"/>
        </w:rPr>
      </w:pPr>
    </w:p>
    <w:p>
      <w:pPr>
        <w:pStyle w:val="9"/>
        <w:spacing w:line="400" w:lineRule="exact"/>
        <w:rPr>
          <w:rFonts w:hint="eastAsia" w:ascii="仿宋" w:hAnsi="仿宋" w:eastAsia="仿宋" w:cs="仿宋"/>
          <w:b/>
          <w:color w:val="auto"/>
          <w:sz w:val="28"/>
          <w:szCs w:val="28"/>
          <w:highlight w:val="none"/>
        </w:rPr>
      </w:pPr>
    </w:p>
    <w:p>
      <w:pPr>
        <w:pStyle w:val="9"/>
        <w:spacing w:line="400" w:lineRule="exact"/>
        <w:rPr>
          <w:rFonts w:hint="eastAsia" w:ascii="仿宋" w:hAnsi="仿宋" w:eastAsia="仿宋" w:cs="仿宋"/>
          <w:b/>
          <w:color w:val="auto"/>
          <w:sz w:val="28"/>
          <w:szCs w:val="28"/>
          <w:highlight w:val="none"/>
        </w:rPr>
      </w:pPr>
    </w:p>
    <w:p>
      <w:pPr>
        <w:tabs>
          <w:tab w:val="left" w:pos="900"/>
        </w:tabs>
        <w:spacing w:line="400" w:lineRule="exact"/>
        <w:jc w:val="center"/>
        <w:rPr>
          <w:rFonts w:hint="eastAsia" w:ascii="仿宋" w:hAnsi="仿宋" w:eastAsia="仿宋" w:cs="仿宋"/>
          <w:b/>
          <w:color w:val="auto"/>
          <w:sz w:val="44"/>
          <w:szCs w:val="44"/>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tabs>
          <w:tab w:val="left" w:pos="900"/>
        </w:tabs>
        <w:spacing w:line="400"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r>
        <w:rPr>
          <w:rFonts w:hint="eastAsia" w:ascii="仿宋" w:hAnsi="仿宋" w:eastAsia="仿宋" w:cs="仿宋"/>
          <w:b/>
          <w:bCs/>
          <w:color w:val="auto"/>
          <w:sz w:val="44"/>
          <w:szCs w:val="44"/>
          <w:highlight w:val="none"/>
        </w:rPr>
        <w:t>第一部分  资格性投标文件</w:t>
      </w: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color w:val="auto"/>
          <w:highlight w:val="none"/>
        </w:rPr>
      </w:pPr>
    </w:p>
    <w:p>
      <w:pPr>
        <w:pStyle w:val="9"/>
        <w:spacing w:line="400" w:lineRule="exact"/>
        <w:rPr>
          <w:rFonts w:hint="eastAsia" w:ascii="仿宋" w:hAnsi="仿宋" w:eastAsia="仿宋" w:cs="仿宋"/>
          <w:color w:val="auto"/>
          <w:highlight w:val="none"/>
        </w:rPr>
      </w:pPr>
    </w:p>
    <w:p>
      <w:pPr>
        <w:pStyle w:val="2"/>
        <w:spacing w:line="400" w:lineRule="exact"/>
        <w:jc w:val="center"/>
        <w:rPr>
          <w:rFonts w:hint="eastAsia" w:ascii="仿宋" w:hAnsi="仿宋" w:eastAsia="仿宋" w:cs="仿宋"/>
          <w:bCs w:val="0"/>
          <w:color w:val="auto"/>
          <w:kern w:val="0"/>
          <w:highlight w:val="none"/>
        </w:rPr>
      </w:pPr>
      <w:r>
        <w:rPr>
          <w:rFonts w:hint="eastAsia" w:ascii="仿宋" w:hAnsi="仿宋" w:eastAsia="仿宋" w:cs="仿宋"/>
          <w:bCs w:val="0"/>
          <w:color w:val="auto"/>
          <w:kern w:val="0"/>
          <w:highlight w:val="none"/>
        </w:rPr>
        <w:t>一、投标人基本情况表</w:t>
      </w:r>
    </w:p>
    <w:tbl>
      <w:tblPr>
        <w:tblStyle w:val="24"/>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830"/>
        <w:gridCol w:w="304"/>
        <w:gridCol w:w="907"/>
        <w:gridCol w:w="1250"/>
        <w:gridCol w:w="8"/>
        <w:gridCol w:w="1319"/>
        <w:gridCol w:w="485"/>
        <w:gridCol w:w="688"/>
        <w:gridCol w:w="106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p>
        </w:tc>
        <w:tc>
          <w:tcPr>
            <w:tcW w:w="6854" w:type="dxa"/>
            <w:gridSpan w:val="9"/>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注册地址</w:t>
            </w:r>
          </w:p>
        </w:tc>
        <w:tc>
          <w:tcPr>
            <w:tcW w:w="3299" w:type="dxa"/>
            <w:gridSpan w:val="5"/>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319"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邮政编码</w:t>
            </w:r>
          </w:p>
        </w:tc>
        <w:tc>
          <w:tcPr>
            <w:tcW w:w="2236"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42" w:hRule="atLeast"/>
          <w:jc w:val="center"/>
        </w:trPr>
        <w:tc>
          <w:tcPr>
            <w:tcW w:w="1668" w:type="dxa"/>
            <w:vMerge w:val="restart"/>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联系方式</w:t>
            </w:r>
          </w:p>
        </w:tc>
        <w:tc>
          <w:tcPr>
            <w:tcW w:w="1134"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联系人</w:t>
            </w:r>
          </w:p>
        </w:tc>
        <w:tc>
          <w:tcPr>
            <w:tcW w:w="215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32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tc>
        <w:tc>
          <w:tcPr>
            <w:tcW w:w="2236"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668" w:type="dxa"/>
            <w:vMerge w:val="continue"/>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134"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tc>
        <w:tc>
          <w:tcPr>
            <w:tcW w:w="215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32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网址</w:t>
            </w:r>
          </w:p>
        </w:tc>
        <w:tc>
          <w:tcPr>
            <w:tcW w:w="2236"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组织结构</w:t>
            </w:r>
          </w:p>
        </w:tc>
        <w:tc>
          <w:tcPr>
            <w:tcW w:w="6854" w:type="dxa"/>
            <w:gridSpan w:val="9"/>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p>
        </w:tc>
        <w:tc>
          <w:tcPr>
            <w:tcW w:w="830"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1211"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技术职称</w:t>
            </w:r>
          </w:p>
        </w:tc>
        <w:tc>
          <w:tcPr>
            <w:tcW w:w="132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173"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tc>
        <w:tc>
          <w:tcPr>
            <w:tcW w:w="1063" w:type="dxa"/>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46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主要负责人</w:t>
            </w:r>
          </w:p>
        </w:tc>
        <w:tc>
          <w:tcPr>
            <w:tcW w:w="830"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1211"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技术职称</w:t>
            </w:r>
          </w:p>
        </w:tc>
        <w:tc>
          <w:tcPr>
            <w:tcW w:w="132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173"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tc>
        <w:tc>
          <w:tcPr>
            <w:tcW w:w="1063" w:type="dxa"/>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技术负责人</w:t>
            </w:r>
          </w:p>
        </w:tc>
        <w:tc>
          <w:tcPr>
            <w:tcW w:w="830"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1211"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技术职称</w:t>
            </w:r>
          </w:p>
        </w:tc>
        <w:tc>
          <w:tcPr>
            <w:tcW w:w="1327"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173" w:type="dxa"/>
            <w:gridSpan w:val="2"/>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tc>
        <w:tc>
          <w:tcPr>
            <w:tcW w:w="1063" w:type="dxa"/>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p>
        </w:tc>
        <w:tc>
          <w:tcPr>
            <w:tcW w:w="2041"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4813" w:type="dxa"/>
            <w:gridSpan w:val="6"/>
            <w:noWrap w:val="0"/>
            <w:vAlign w:val="center"/>
          </w:tcPr>
          <w:p>
            <w:pPr>
              <w:autoSpaceDE w:val="0"/>
              <w:autoSpaceDN w:val="0"/>
              <w:adjustRightInd w:val="0"/>
              <w:spacing w:line="400" w:lineRule="exact"/>
              <w:ind w:firstLine="1680" w:firstLineChars="7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企业资质等级</w:t>
            </w:r>
          </w:p>
        </w:tc>
        <w:tc>
          <w:tcPr>
            <w:tcW w:w="2041"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vMerge w:val="restart"/>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其中</w:t>
            </w:r>
          </w:p>
        </w:tc>
        <w:tc>
          <w:tcPr>
            <w:tcW w:w="1812"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项目经理</w:t>
            </w:r>
          </w:p>
        </w:tc>
        <w:tc>
          <w:tcPr>
            <w:tcW w:w="1751" w:type="dxa"/>
            <w:gridSpan w:val="2"/>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营业执照号</w:t>
            </w:r>
          </w:p>
        </w:tc>
        <w:tc>
          <w:tcPr>
            <w:tcW w:w="2041"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vMerge w:val="continue"/>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812"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高级职称人员</w:t>
            </w:r>
          </w:p>
        </w:tc>
        <w:tc>
          <w:tcPr>
            <w:tcW w:w="1751" w:type="dxa"/>
            <w:gridSpan w:val="2"/>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注册资金</w:t>
            </w:r>
          </w:p>
        </w:tc>
        <w:tc>
          <w:tcPr>
            <w:tcW w:w="2041"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vMerge w:val="continue"/>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812"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中级职称人员</w:t>
            </w:r>
          </w:p>
        </w:tc>
        <w:tc>
          <w:tcPr>
            <w:tcW w:w="1751" w:type="dxa"/>
            <w:gridSpan w:val="2"/>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tc>
        <w:tc>
          <w:tcPr>
            <w:tcW w:w="2041"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vMerge w:val="continue"/>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812"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初级职称人员</w:t>
            </w:r>
          </w:p>
        </w:tc>
        <w:tc>
          <w:tcPr>
            <w:tcW w:w="1751" w:type="dxa"/>
            <w:gridSpan w:val="2"/>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账号</w:t>
            </w:r>
          </w:p>
        </w:tc>
        <w:tc>
          <w:tcPr>
            <w:tcW w:w="2041"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250" w:type="dxa"/>
            <w:vMerge w:val="continue"/>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p>
        </w:tc>
        <w:tc>
          <w:tcPr>
            <w:tcW w:w="1812" w:type="dxa"/>
            <w:gridSpan w:val="3"/>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技工</w:t>
            </w:r>
          </w:p>
        </w:tc>
        <w:tc>
          <w:tcPr>
            <w:tcW w:w="1751" w:type="dxa"/>
            <w:gridSpan w:val="2"/>
            <w:noWrap w:val="0"/>
            <w:vAlign w:val="center"/>
          </w:tcPr>
          <w:p>
            <w:pPr>
              <w:autoSpaceDE w:val="0"/>
              <w:autoSpaceDN w:val="0"/>
              <w:adjustRightInd w:val="0"/>
              <w:spacing w:line="400" w:lineRule="exact"/>
              <w:jc w:val="center"/>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748" w:hRule="atLeast"/>
          <w:jc w:val="center"/>
        </w:trPr>
        <w:tc>
          <w:tcPr>
            <w:tcW w:w="1668" w:type="dxa"/>
            <w:noWrap w:val="0"/>
            <w:vAlign w:val="center"/>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经营范围</w:t>
            </w:r>
          </w:p>
        </w:tc>
        <w:tc>
          <w:tcPr>
            <w:tcW w:w="6854" w:type="dxa"/>
            <w:gridSpan w:val="9"/>
            <w:noWrap w:val="0"/>
            <w:vAlign w:val="center"/>
          </w:tcPr>
          <w:p>
            <w:pPr>
              <w:autoSpaceDE w:val="0"/>
              <w:autoSpaceDN w:val="0"/>
              <w:adjustRightInd w:val="0"/>
              <w:spacing w:line="400" w:lineRule="exact"/>
              <w:rPr>
                <w:rFonts w:hint="eastAsia" w:ascii="仿宋" w:hAnsi="仿宋" w:eastAsia="仿宋" w:cs="仿宋"/>
                <w:b/>
                <w:bCs/>
                <w:color w:val="auto"/>
                <w:kern w:val="0"/>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28" w:hRule="atLeast"/>
          <w:jc w:val="center"/>
        </w:trPr>
        <w:tc>
          <w:tcPr>
            <w:tcW w:w="1668" w:type="dxa"/>
            <w:noWrap w:val="0"/>
            <w:vAlign w:val="top"/>
          </w:tcPr>
          <w:p>
            <w:pPr>
              <w:autoSpaceDE w:val="0"/>
              <w:autoSpaceDN w:val="0"/>
              <w:adjustRightInd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c>
          <w:tcPr>
            <w:tcW w:w="6854" w:type="dxa"/>
            <w:gridSpan w:val="9"/>
            <w:noWrap w:val="0"/>
            <w:vAlign w:val="top"/>
          </w:tcPr>
          <w:p>
            <w:pPr>
              <w:autoSpaceDE w:val="0"/>
              <w:autoSpaceDN w:val="0"/>
              <w:adjustRightInd w:val="0"/>
              <w:spacing w:line="400" w:lineRule="exact"/>
              <w:jc w:val="left"/>
              <w:rPr>
                <w:rFonts w:hint="eastAsia" w:ascii="仿宋" w:hAnsi="仿宋" w:eastAsia="仿宋" w:cs="仿宋"/>
                <w:color w:val="auto"/>
                <w:kern w:val="0"/>
                <w:sz w:val="24"/>
                <w:highlight w:val="none"/>
              </w:rPr>
            </w:pPr>
          </w:p>
        </w:tc>
      </w:tr>
    </w:tbl>
    <w:p>
      <w:pPr>
        <w:adjustRightInd w:val="0"/>
        <w:spacing w:line="400" w:lineRule="exact"/>
        <w:ind w:firstLine="420" w:firstLineChars="175"/>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        （盖章）</w:t>
      </w:r>
    </w:p>
    <w:p>
      <w:pPr>
        <w:adjustRightInd w:val="0"/>
        <w:spacing w:line="400" w:lineRule="exact"/>
        <w:ind w:firstLine="420" w:firstLineChars="175"/>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法定代表人或授权代表（签字）</w:t>
      </w:r>
      <w:r>
        <w:rPr>
          <w:rFonts w:hint="eastAsia" w:ascii="仿宋" w:hAnsi="仿宋" w:eastAsia="仿宋" w:cs="仿宋"/>
          <w:bCs/>
          <w:color w:val="auto"/>
          <w:sz w:val="24"/>
          <w:highlight w:val="none"/>
        </w:rPr>
        <w:t>：</w:t>
      </w:r>
    </w:p>
    <w:p>
      <w:pPr>
        <w:widowControl/>
        <w:spacing w:line="400" w:lineRule="exact"/>
        <w:ind w:firstLine="470" w:firstLineChars="196"/>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      年   月   日</w:t>
      </w:r>
    </w:p>
    <w:p>
      <w:pPr>
        <w:pStyle w:val="9"/>
        <w:spacing w:line="400" w:lineRule="exact"/>
        <w:rPr>
          <w:rFonts w:hint="eastAsia" w:ascii="仿宋" w:hAnsi="仿宋" w:eastAsia="仿宋" w:cs="仿宋"/>
          <w:color w:val="auto"/>
          <w:highlight w:val="none"/>
        </w:rPr>
      </w:pPr>
    </w:p>
    <w:p>
      <w:pPr>
        <w:spacing w:line="400" w:lineRule="exact"/>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注：1.后附营业执照；其它形式的供应商提供具有法律效力的资质证明。</w:t>
      </w:r>
    </w:p>
    <w:p>
      <w:pPr>
        <w:pStyle w:val="9"/>
        <w:spacing w:line="40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 xml:space="preserve">    2.投标人应准确详细填写地址及联系方式等信息，因填写的地址及联系方式错误导致因需采取邮寄</w:t>
      </w:r>
      <w:r>
        <w:rPr>
          <w:rFonts w:hint="eastAsia" w:ascii="仿宋" w:hAnsi="仿宋" w:eastAsia="仿宋" w:cs="仿宋"/>
          <w:b/>
          <w:color w:val="auto"/>
          <w:sz w:val="24"/>
          <w:highlight w:val="none"/>
          <w:lang w:eastAsia="zh-CN"/>
        </w:rPr>
        <w:t>（到付）</w:t>
      </w:r>
      <w:r>
        <w:rPr>
          <w:rFonts w:hint="eastAsia" w:ascii="仿宋" w:hAnsi="仿宋" w:eastAsia="仿宋" w:cs="仿宋"/>
          <w:b/>
          <w:color w:val="auto"/>
          <w:sz w:val="24"/>
          <w:highlight w:val="none"/>
        </w:rPr>
        <w:t>或快递</w:t>
      </w:r>
      <w:r>
        <w:rPr>
          <w:rFonts w:hint="eastAsia" w:ascii="仿宋" w:hAnsi="仿宋" w:eastAsia="仿宋" w:cs="仿宋"/>
          <w:b/>
          <w:color w:val="auto"/>
          <w:sz w:val="24"/>
          <w:highlight w:val="none"/>
          <w:lang w:eastAsia="zh-CN"/>
        </w:rPr>
        <w:t>（到付）</w:t>
      </w:r>
      <w:r>
        <w:rPr>
          <w:rFonts w:hint="eastAsia" w:ascii="仿宋" w:hAnsi="仿宋" w:eastAsia="仿宋" w:cs="仿宋"/>
          <w:b/>
          <w:color w:val="auto"/>
          <w:sz w:val="24"/>
          <w:highlight w:val="none"/>
        </w:rPr>
        <w:t>方式发出的资料无法收取的责任由其自行承担。</w:t>
      </w:r>
    </w:p>
    <w:p>
      <w:pPr>
        <w:pStyle w:val="9"/>
        <w:spacing w:line="400" w:lineRule="exact"/>
        <w:rPr>
          <w:rFonts w:hint="eastAsia" w:ascii="仿宋" w:hAnsi="仿宋" w:eastAsia="仿宋" w:cs="仿宋"/>
          <w:color w:val="auto"/>
          <w:highlight w:val="none"/>
        </w:rPr>
      </w:pPr>
      <w:bookmarkStart w:id="106" w:name="_Toc217446083"/>
    </w:p>
    <w:p>
      <w:pPr>
        <w:pStyle w:val="2"/>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二、法定代表人授权书</w:t>
      </w:r>
      <w:bookmarkEnd w:id="106"/>
    </w:p>
    <w:p>
      <w:pPr>
        <w:spacing w:line="400" w:lineRule="exact"/>
        <w:jc w:val="center"/>
        <w:rPr>
          <w:rFonts w:hint="eastAsia" w:ascii="仿宋" w:hAnsi="仿宋" w:eastAsia="仿宋" w:cs="仿宋"/>
          <w:b/>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__________________（采购代理机构名称）：</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本授权声明：（投标人名称）（法定代表人姓名、职务）授权（被授权人姓名、职务）为我方 “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项目（采购项目编号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）投标活动的合法代表，以我方名义全权处理该项目有关投标、签订合同以及执行合同等一切事宜。</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pPr>
        <w:spacing w:line="400" w:lineRule="exact"/>
        <w:ind w:firstLine="480" w:firstLineChars="200"/>
        <w:rPr>
          <w:rFonts w:hint="eastAsia" w:ascii="仿宋" w:hAnsi="仿宋" w:eastAsia="仿宋" w:cs="仿宋"/>
          <w:color w:val="auto"/>
          <w:sz w:val="24"/>
          <w:highlight w:val="none"/>
        </w:rPr>
      </w:pP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授权代表签字：</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（盖章）</w:t>
      </w:r>
    </w:p>
    <w:p>
      <w:pPr>
        <w:widowControl/>
        <w:spacing w:line="400" w:lineRule="exact"/>
        <w:ind w:firstLine="470" w:firstLineChars="196"/>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widowControl/>
        <w:spacing w:line="40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附：法定代表人身份证（复印件或扫描件，具有正反面，加盖投标人鲜章）</w:t>
      </w:r>
    </w:p>
    <w:p>
      <w:pPr>
        <w:widowControl/>
        <w:spacing w:line="400" w:lineRule="exact"/>
        <w:ind w:firstLine="482" w:firstLineChars="20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授权代表身份证（复印件或扫描件，具有正反面，加盖投标人鲜章）</w:t>
      </w:r>
    </w:p>
    <w:p>
      <w:pPr>
        <w:widowControl/>
        <w:spacing w:line="40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p>
    <w:p>
      <w:pPr>
        <w:widowControl/>
        <w:spacing w:line="40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授权书应根据供应商营业执照（或具有经营权限的登记证书等证照）实际载明内容进行调整，营业执照（或具有经营权限的登记证书等证照）载明为主要负责人、负责人或经营者等时，本授权书应为相应人员的授权。</w:t>
      </w:r>
    </w:p>
    <w:p>
      <w:pPr>
        <w:widowControl/>
        <w:spacing w:line="400" w:lineRule="exact"/>
        <w:ind w:firstLine="470" w:firstLineChars="196"/>
        <w:outlineLvl w:val="1"/>
        <w:rPr>
          <w:rFonts w:hint="eastAsia" w:ascii="仿宋" w:hAnsi="仿宋" w:eastAsia="仿宋" w:cs="仿宋"/>
          <w:color w:val="auto"/>
          <w:sz w:val="24"/>
          <w:highlight w:val="none"/>
        </w:rPr>
      </w:pPr>
    </w:p>
    <w:p>
      <w:pPr>
        <w:spacing w:line="400" w:lineRule="exact"/>
        <w:ind w:right="480"/>
        <w:rPr>
          <w:rFonts w:hint="eastAsia" w:ascii="仿宋" w:hAnsi="仿宋" w:eastAsia="仿宋" w:cs="仿宋"/>
          <w:b/>
          <w:color w:val="auto"/>
          <w:sz w:val="24"/>
          <w:highlight w:val="none"/>
        </w:rPr>
      </w:pPr>
    </w:p>
    <w:p>
      <w:pPr>
        <w:spacing w:line="400" w:lineRule="exact"/>
        <w:ind w:right="480"/>
        <w:rPr>
          <w:rFonts w:hint="eastAsia" w:ascii="仿宋" w:hAnsi="仿宋" w:eastAsia="仿宋" w:cs="仿宋"/>
          <w:b/>
          <w:color w:val="auto"/>
          <w:sz w:val="24"/>
          <w:highlight w:val="none"/>
        </w:rPr>
      </w:pPr>
    </w:p>
    <w:p>
      <w:pPr>
        <w:spacing w:line="400" w:lineRule="exact"/>
        <w:ind w:right="480"/>
        <w:rPr>
          <w:rFonts w:hint="eastAsia" w:ascii="仿宋" w:hAnsi="仿宋" w:eastAsia="仿宋" w:cs="仿宋"/>
          <w:b/>
          <w:color w:val="auto"/>
          <w:sz w:val="24"/>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2"/>
        <w:spacing w:line="4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三、声明、承诺函（实质性要求）</w:t>
      </w:r>
    </w:p>
    <w:p>
      <w:pPr>
        <w:widowControl/>
        <w:spacing w:line="400" w:lineRule="exact"/>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四川致恒招标代理有限公司：</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我公司作为本次采购项目的投标人，根据招标文件要求，现郑重声明及承诺如下：</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一、具备《中华人民共和国政府采购法》第二十二条第一款和本项目规定的特殊条件，包括但不限于：</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（一）具有独立承担民事责任的能力； </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（二）具有良好的商业信誉和健全的财务会计制度； </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（三）具有履行合同所必需的设备和专业技术能力； </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（四）有依法缴纳税收和社会保障资金的良好记录； </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（五）参加</w:t>
      </w:r>
      <w:r>
        <w:rPr>
          <w:rFonts w:hint="eastAsia" w:ascii="仿宋" w:hAnsi="仿宋" w:eastAsia="仿宋" w:cs="仿宋"/>
          <w:color w:val="auto"/>
          <w:sz w:val="24"/>
          <w:highlight w:val="none"/>
          <w:lang w:eastAsia="zh-CN"/>
        </w:rPr>
        <w:t>本次</w:t>
      </w:r>
      <w:r>
        <w:rPr>
          <w:rFonts w:hint="eastAsia" w:ascii="仿宋" w:hAnsi="仿宋" w:eastAsia="仿宋" w:cs="仿宋"/>
          <w:color w:val="auto"/>
          <w:sz w:val="24"/>
          <w:highlight w:val="none"/>
        </w:rPr>
        <w:t>政府采购活动前三年内，在经营活动中没有重大违法记录；</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二、完全接受和满足本项目招标文件中规定的实质性要求，如对招标文件有异议，已经在</w:t>
      </w:r>
      <w:r>
        <w:rPr>
          <w:rFonts w:hint="eastAsia" w:ascii="仿宋" w:hAnsi="仿宋" w:eastAsia="仿宋" w:cs="仿宋"/>
          <w:color w:val="auto"/>
          <w:sz w:val="24"/>
          <w:highlight w:val="none"/>
          <w:lang w:eastAsia="zh-CN"/>
        </w:rPr>
        <w:t>提交</w:t>
      </w: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截止时间届满前依法进行维权救济，不存在对招标文件有异议的同时又参加投标以求侥幸中标或者为实现其他非法目的的行为。</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三、参加本次招标采购活动，不存在与单位负责人为同一人或者存在直接控股、管理关系的其他供应商参与同一合同项下的政府采购活动的行为。</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四、未对本次采购项目提供过整体设计、规范编制或者项目管理、监理、检测等服务。</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五、参加本次招标采购活动，不存在和其他供应商在同一合同项下的采购项目中，同时委托同一个自然人、同一家庭的人员、同一单位的人员作为代理人的行为。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六、参加本次招标采购活动，不存在和其他供应商在同一合同项下的采购项目中，为同一母公司的两家以上的子公司。</w:t>
      </w:r>
    </w:p>
    <w:p>
      <w:pPr>
        <w:pStyle w:val="62"/>
        <w:spacing w:line="400" w:lineRule="exact"/>
        <w:ind w:left="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sz w:val="24"/>
          <w:highlight w:val="none"/>
        </w:rPr>
        <w:t>七、参加本次招标采购活动，</w:t>
      </w:r>
      <w:r>
        <w:rPr>
          <w:rFonts w:hint="eastAsia" w:ascii="仿宋" w:hAnsi="仿宋" w:eastAsia="仿宋" w:cs="仿宋"/>
          <w:color w:val="auto"/>
          <w:kern w:val="2"/>
          <w:sz w:val="24"/>
          <w:szCs w:val="24"/>
          <w:highlight w:val="none"/>
        </w:rPr>
        <w:t>不存在实际控制人或者中高级管理人员，同时是采购代理机构工作人员的行为。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八、参加本次招标采购活动，不存在与采购代理机构存在关联关系，或者是采购代理机构的母公司或子公司的行为。</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九、投标文件中提供的能够给予我公司带来优惠、好处的任何材料资料和技术、服务、商务等响应承诺情况都是真实的、有效的、合法的。</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十一、我公司及公司法定代表人、主要负责人在参加</w:t>
      </w:r>
      <w:r>
        <w:rPr>
          <w:rFonts w:hint="eastAsia" w:ascii="仿宋" w:hAnsi="仿宋" w:eastAsia="仿宋" w:cs="仿宋"/>
          <w:color w:val="auto"/>
          <w:sz w:val="24"/>
          <w:highlight w:val="none"/>
          <w:lang w:eastAsia="zh-CN"/>
        </w:rPr>
        <w:t>本次</w:t>
      </w:r>
      <w:r>
        <w:rPr>
          <w:rFonts w:hint="eastAsia" w:ascii="仿宋" w:hAnsi="仿宋" w:eastAsia="仿宋" w:cs="仿宋"/>
          <w:color w:val="auto"/>
          <w:sz w:val="24"/>
          <w:highlight w:val="none"/>
        </w:rPr>
        <w:t>政府采购活动前三年内，无行贿犯罪记录。</w:t>
      </w:r>
    </w:p>
    <w:p>
      <w:pPr>
        <w:widowControl/>
        <w:spacing w:line="40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十二、我公司没有被列入失信被执行人、重大税收违法案件当事人名单，我公司也没有政府采购严重违法失信行为记录。</w:t>
      </w:r>
    </w:p>
    <w:p>
      <w:pPr>
        <w:pStyle w:val="9"/>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本公司对上述声明或承诺的内容事项真实性负责。如经查实上述声明或承诺的内容事项存在虚假，我公司愿意接受以提供虚假材料谋取中标追究法律责任。</w:t>
      </w:r>
    </w:p>
    <w:p>
      <w:pPr>
        <w:widowControl/>
        <w:spacing w:line="400" w:lineRule="exact"/>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     （单位公章）。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法定代表人或授权代表（签字或加盖个人名章）： </w:t>
      </w:r>
    </w:p>
    <w:p>
      <w:pPr>
        <w:widowControl/>
        <w:spacing w:line="400" w:lineRule="exact"/>
        <w:ind w:firstLine="470" w:firstLineChars="196"/>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spacing w:line="400" w:lineRule="exact"/>
        <w:ind w:firstLine="480" w:firstLineChars="200"/>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            四、</w:t>
      </w:r>
      <w:bookmarkEnd w:id="105"/>
      <w:r>
        <w:rPr>
          <w:rFonts w:hint="eastAsia" w:ascii="仿宋" w:hAnsi="仿宋" w:eastAsia="仿宋" w:cs="仿宋"/>
          <w:b/>
          <w:color w:val="auto"/>
          <w:sz w:val="32"/>
          <w:szCs w:val="32"/>
          <w:highlight w:val="none"/>
        </w:rPr>
        <w:t>具有健全的财务会计制度证明</w:t>
      </w:r>
    </w:p>
    <w:p>
      <w:pPr>
        <w:pStyle w:val="9"/>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（格式不限）</w:t>
      </w:r>
    </w:p>
    <w:p>
      <w:pPr>
        <w:pStyle w:val="9"/>
        <w:spacing w:line="400" w:lineRule="exact"/>
        <w:rPr>
          <w:rFonts w:hint="eastAsia" w:ascii="仿宋" w:hAnsi="仿宋" w:eastAsia="仿宋" w:cs="仿宋"/>
          <w:bCs/>
          <w:color w:val="auto"/>
          <w:sz w:val="24"/>
          <w:highlight w:val="none"/>
        </w:rPr>
      </w:pPr>
    </w:p>
    <w:p>
      <w:pPr>
        <w:spacing w:line="400" w:lineRule="exact"/>
        <w:rPr>
          <w:rFonts w:hint="eastAsia" w:ascii="仿宋" w:hAnsi="仿宋" w:eastAsia="仿宋" w:cs="仿宋"/>
          <w:b/>
          <w:color w:val="auto"/>
          <w:sz w:val="28"/>
          <w:szCs w:val="28"/>
          <w:highlight w:val="none"/>
        </w:rPr>
      </w:pPr>
      <w:r>
        <w:rPr>
          <w:rFonts w:hint="eastAsia" w:ascii="仿宋" w:hAnsi="仿宋" w:eastAsia="仿宋" w:cs="仿宋"/>
          <w:bCs/>
          <w:color w:val="auto"/>
          <w:sz w:val="24"/>
          <w:highlight w:val="none"/>
        </w:rPr>
        <w:t xml:space="preserve">    要求：具有健全的财务会计制度证明(以下任选其一)：①提供2018～ 2020任一年度经审计的财务报告复印件（包含审计报告和审计报告中所涉及的财务报表和报表附注），②提供2018～ 2020任一年度供应商内部自行编制的财务报表（至少包含资产负债表），③截至投标文件递交截止日一年内银行出具的资信证明；④供应商工商注册时间至投标文件递交截止时间不足一年的，可提供：已在银行开户的相关证明材料或加盖工商备案主管部门印章的公司章程。</w:t>
      </w: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68"/>
        <w:spacing w:line="400" w:lineRule="exact"/>
        <w:rPr>
          <w:rFonts w:hint="eastAsia" w:ascii="仿宋" w:hAnsi="仿宋" w:eastAsia="仿宋" w:cs="仿宋"/>
          <w:color w:val="auto"/>
          <w:highlight w:val="none"/>
        </w:rPr>
      </w:pPr>
    </w:p>
    <w:p>
      <w:pPr>
        <w:pStyle w:val="69"/>
        <w:spacing w:line="400" w:lineRule="exact"/>
        <w:rPr>
          <w:rFonts w:hint="eastAsia" w:ascii="仿宋" w:hAnsi="仿宋" w:eastAsia="仿宋" w:cs="仿宋"/>
          <w:color w:val="auto"/>
          <w:highlight w:val="none"/>
        </w:rPr>
      </w:pPr>
    </w:p>
    <w:p>
      <w:pPr>
        <w:pStyle w:val="6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spacing w:line="400" w:lineRule="exact"/>
        <w:jc w:val="both"/>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五、具有良好的商业信誉的声明或承诺</w:t>
      </w:r>
    </w:p>
    <w:p>
      <w:pPr>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Cs/>
          <w:color w:val="auto"/>
          <w:sz w:val="24"/>
          <w:highlight w:val="none"/>
        </w:rPr>
        <w:t>（格式不限，在承诺函中作出明确的承诺或声明</w:t>
      </w:r>
      <w:r>
        <w:rPr>
          <w:rFonts w:hint="eastAsia" w:ascii="仿宋" w:hAnsi="仿宋" w:eastAsia="仿宋" w:cs="仿宋"/>
          <w:color w:val="auto"/>
          <w:sz w:val="24"/>
          <w:highlight w:val="none"/>
        </w:rPr>
        <w:t>）</w:t>
      </w: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p>
    <w:p>
      <w:pPr>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六、具有履行合同所必须的设备和专业技术能力的承诺或声明</w:t>
      </w:r>
    </w:p>
    <w:p>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（格式不限，在承诺函中作出明确的承诺或声明</w:t>
      </w:r>
      <w:r>
        <w:rPr>
          <w:rFonts w:hint="eastAsia" w:ascii="仿宋" w:hAnsi="仿宋" w:eastAsia="仿宋" w:cs="仿宋"/>
          <w:color w:val="auto"/>
          <w:sz w:val="24"/>
          <w:highlight w:val="none"/>
        </w:rPr>
        <w:t>）</w:t>
      </w: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七、具有依法缴纳税收的良好记录证明</w:t>
      </w:r>
    </w:p>
    <w:p>
      <w:pPr>
        <w:pStyle w:val="9"/>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（格式不限）</w:t>
      </w:r>
    </w:p>
    <w:p>
      <w:pPr>
        <w:pStyle w:val="9"/>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要求：提供下列证明材料之一：①法人企业提供税务审计报告或银行纳税回单或税务局出具的纳税证明或存在纳税的发票；②依法免税的供应商应提供相应文件证明其依法免税；③在声明或承诺函中作出明确的承诺或声明（承诺或声明应为原件）</w:t>
      </w: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both"/>
        <w:rPr>
          <w:rFonts w:hint="eastAsia" w:ascii="仿宋" w:hAnsi="仿宋" w:eastAsia="仿宋" w:cs="仿宋"/>
          <w:color w:val="auto"/>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八、具有依法缴纳社会保障资金的良好记录证明</w:t>
      </w:r>
    </w:p>
    <w:p>
      <w:pPr>
        <w:pStyle w:val="9"/>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（格式不限）</w:t>
      </w:r>
    </w:p>
    <w:p>
      <w:pPr>
        <w:pStyle w:val="9"/>
        <w:spacing w:line="400" w:lineRule="exact"/>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要求：提供下列证明材料之一：①法人企业提供银行社保缴纳回单或社保交纳凭据（专用收据或社会保险缴纳清单等）；②依法不需要缴纳社会保障资金的供应商应提供相应文件证明其依法不需要缴纳社会保障资金；③在声明或承诺函中作出明确的承诺或声明（承诺或声明应为原件）。</w:t>
      </w: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400" w:lineRule="exact"/>
        <w:rPr>
          <w:rFonts w:hint="eastAsia" w:ascii="仿宋" w:hAnsi="仿宋" w:eastAsia="仿宋" w:cs="仿宋"/>
          <w:b/>
          <w:color w:val="auto"/>
          <w:sz w:val="32"/>
          <w:szCs w:val="32"/>
          <w:highlight w:val="none"/>
        </w:rPr>
      </w:pPr>
    </w:p>
    <w:p>
      <w:pPr>
        <w:pStyle w:val="9"/>
        <w:spacing w:line="400" w:lineRule="exact"/>
        <w:rPr>
          <w:rFonts w:hint="eastAsia" w:ascii="仿宋" w:hAnsi="仿宋" w:eastAsia="仿宋" w:cs="仿宋"/>
          <w:b/>
          <w:color w:val="auto"/>
          <w:sz w:val="32"/>
          <w:szCs w:val="32"/>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九、参加本次政府采购活动前三年内，在经营活动中没有重大违法记录的声明或承诺</w:t>
      </w:r>
    </w:p>
    <w:p>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（提供</w:t>
      </w:r>
      <w:r>
        <w:rPr>
          <w:rFonts w:hint="eastAsia" w:ascii="仿宋" w:hAnsi="仿宋" w:eastAsia="仿宋" w:cs="仿宋"/>
          <w:color w:val="auto"/>
          <w:sz w:val="24"/>
          <w:highlight w:val="none"/>
        </w:rPr>
        <w:t>原件，</w:t>
      </w:r>
      <w:r>
        <w:rPr>
          <w:rFonts w:hint="eastAsia" w:ascii="仿宋" w:hAnsi="仿宋" w:eastAsia="仿宋" w:cs="仿宋"/>
          <w:bCs/>
          <w:color w:val="auto"/>
          <w:sz w:val="24"/>
          <w:highlight w:val="none"/>
        </w:rPr>
        <w:t>格式不限，</w:t>
      </w:r>
      <w:r>
        <w:rPr>
          <w:rFonts w:hint="eastAsia" w:ascii="仿宋" w:hAnsi="仿宋" w:eastAsia="仿宋" w:cs="仿宋"/>
          <w:color w:val="auto"/>
          <w:sz w:val="24"/>
          <w:highlight w:val="none"/>
        </w:rPr>
        <w:t>可在声明或承诺函中直接承诺或声明）</w:t>
      </w: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注： 1.所称重大违法记录，是指供应商因违法经营受到刑事处罚或者责令停产停业、吊销许可证或者执照、较大数额罚款等行政处罚。</w:t>
      </w: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2.本项目确定供应商重大违法记录中较大数额罚款的金额标准为：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以四川省人民政府规定的行政处罚罚款听证标准金额为准：对非经营活动中公民的违法行为处以罚款或者没收财产2000元以上、法人或者其他组织的违法行为处以罚款或者没收财产2万元以上；对在经营活动中的违法行为处以罚款或者没收财产5万元以上。</w:t>
      </w: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3.供应商在参加</w:t>
      </w:r>
      <w:r>
        <w:rPr>
          <w:rFonts w:hint="eastAsia" w:ascii="仿宋" w:hAnsi="仿宋" w:eastAsia="仿宋" w:cs="仿宋"/>
          <w:bCs/>
          <w:color w:val="auto"/>
          <w:sz w:val="24"/>
          <w:highlight w:val="none"/>
          <w:lang w:eastAsia="zh-CN"/>
        </w:rPr>
        <w:t>本次</w:t>
      </w:r>
      <w:r>
        <w:rPr>
          <w:rFonts w:hint="eastAsia" w:ascii="仿宋" w:hAnsi="仿宋" w:eastAsia="仿宋" w:cs="仿宋"/>
          <w:bCs/>
          <w:color w:val="auto"/>
          <w:sz w:val="24"/>
          <w:highlight w:val="none"/>
        </w:rPr>
        <w:t>政府采购活动前3年内因违法经营被禁止在一定期限内参加政府采购活动，期限届满的，可以参加政府采购活动。</w:t>
      </w: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4.供应商参加本次政府采购活动前三年内代理业务工作中若有行政处罚、违法情况（包含工作人员违法）的公示信息在政府网站上被查询到过而虚假承诺或未进行情况说明，则视为虚假响应作无效投标处理。</w:t>
      </w:r>
    </w:p>
    <w:p>
      <w:pPr>
        <w:pStyle w:val="9"/>
        <w:spacing w:line="400" w:lineRule="exact"/>
        <w:rPr>
          <w:rFonts w:hint="eastAsia" w:ascii="仿宋" w:hAnsi="仿宋" w:eastAsia="仿宋" w:cs="仿宋"/>
          <w:bCs/>
          <w:color w:val="auto"/>
          <w:sz w:val="24"/>
          <w:highlight w:val="none"/>
        </w:rPr>
      </w:pPr>
    </w:p>
    <w:p>
      <w:pPr>
        <w:pStyle w:val="9"/>
        <w:spacing w:line="400" w:lineRule="exact"/>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    </w:t>
      </w: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spacing w:line="400" w:lineRule="exact"/>
        <w:jc w:val="center"/>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十、无行贿犯罪记录承诺函（实质性要求）</w:t>
      </w:r>
    </w:p>
    <w:p>
      <w:pPr>
        <w:pStyle w:val="21"/>
        <w:spacing w:line="400" w:lineRule="exact"/>
        <w:rPr>
          <w:rFonts w:hint="eastAsia" w:ascii="仿宋" w:hAnsi="仿宋" w:eastAsia="仿宋" w:cs="仿宋"/>
          <w:color w:val="auto"/>
          <w:sz w:val="28"/>
          <w:szCs w:val="28"/>
          <w:highlight w:val="none"/>
        </w:rPr>
      </w:pPr>
    </w:p>
    <w:p>
      <w:pPr>
        <w:pStyle w:val="21"/>
        <w:spacing w:before="0" w:beforeAutospacing="0" w:after="0" w:afterAutospacing="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致：四川致恒招标代理有限公司</w:t>
      </w:r>
    </w:p>
    <w:p>
      <w:pPr>
        <w:pStyle w:val="21"/>
        <w:spacing w:before="0" w:beforeAutospacing="0" w:after="0" w:afterAutospacing="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本投标人</w:t>
      </w:r>
      <w:r>
        <w:rPr>
          <w:rFonts w:hint="eastAsia" w:ascii="仿宋" w:hAnsi="仿宋" w:eastAsia="仿宋" w:cs="仿宋"/>
          <w:color w:val="auto"/>
          <w:sz w:val="24"/>
          <w:szCs w:val="24"/>
          <w:highlight w:val="none"/>
          <w:u w:val="single"/>
        </w:rPr>
        <w:t xml:space="preserve">                   （全称）</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）的投标活动，现承诺：</w:t>
      </w:r>
    </w:p>
    <w:p>
      <w:pPr>
        <w:pStyle w:val="21"/>
        <w:spacing w:before="0" w:beforeAutospacing="0" w:after="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本供应商、法定代表人以及主要负责人在前三年内无行贿犯罪记录。</w:t>
      </w:r>
    </w:p>
    <w:p>
      <w:pPr>
        <w:pStyle w:val="21"/>
        <w:spacing w:before="0" w:beforeAutospacing="0" w:after="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本投标人对上述承诺的内容事项真实性负责，如经查实上述承诺的内容事项存在虚假，本投标人愿意接受以提供虚假材料谋取中标追究法律责任。</w:t>
      </w:r>
    </w:p>
    <w:p>
      <w:pPr>
        <w:pStyle w:val="21"/>
        <w:spacing w:before="0" w:beforeAutospacing="0" w:after="0" w:afterAutospacing="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特此承诺。</w:t>
      </w:r>
    </w:p>
    <w:p>
      <w:pPr>
        <w:pStyle w:val="9"/>
        <w:spacing w:after="0" w:line="400" w:lineRule="exact"/>
        <w:rPr>
          <w:rFonts w:hint="eastAsia" w:ascii="仿宋" w:hAnsi="仿宋" w:eastAsia="仿宋" w:cs="仿宋"/>
          <w:bCs/>
          <w:color w:val="auto"/>
          <w:sz w:val="24"/>
          <w:highlight w:val="none"/>
        </w:rPr>
      </w:pPr>
    </w:p>
    <w:p>
      <w:pPr>
        <w:spacing w:line="400" w:lineRule="exact"/>
        <w:rPr>
          <w:rFonts w:hint="eastAsia" w:ascii="仿宋" w:hAnsi="仿宋" w:eastAsia="仿宋" w:cs="仿宋"/>
          <w:color w:val="auto"/>
          <w:highlight w:val="none"/>
        </w:rPr>
      </w:pP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     （单位公章）。</w:t>
      </w: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法定代表人或授权代表（签字或加盖个人名章）： </w:t>
      </w:r>
    </w:p>
    <w:p>
      <w:pPr>
        <w:pStyle w:val="9"/>
        <w:spacing w:after="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日    期：      年   月   日</w:t>
      </w: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keepNext w:val="0"/>
        <w:keepLines w:val="0"/>
        <w:widowControl/>
        <w:suppressLineNumbers w:val="0"/>
        <w:spacing w:line="360" w:lineRule="auto"/>
        <w:jc w:val="center"/>
        <w:rPr>
          <w:rFonts w:hint="eastAsia" w:ascii="仿宋" w:hAnsi="仿宋" w:eastAsia="仿宋" w:cs="仿宋"/>
          <w:i w:val="0"/>
          <w:iCs w:val="0"/>
          <w:color w:val="auto"/>
          <w:highlight w:val="none"/>
        </w:rPr>
      </w:pPr>
      <w:r>
        <w:rPr>
          <w:rFonts w:hint="eastAsia" w:ascii="仿宋" w:hAnsi="仿宋" w:eastAsia="仿宋" w:cs="仿宋"/>
          <w:b/>
          <w:color w:val="auto"/>
          <w:sz w:val="32"/>
          <w:szCs w:val="32"/>
          <w:highlight w:val="none"/>
          <w:lang w:val="en-US" w:eastAsia="zh-CN"/>
        </w:rPr>
        <w:t>十一、</w:t>
      </w:r>
      <w:r>
        <w:rPr>
          <w:rFonts w:hint="eastAsia" w:ascii="仿宋" w:hAnsi="仿宋" w:eastAsia="仿宋" w:cs="仿宋"/>
          <w:b/>
          <w:bCs/>
          <w:i w:val="0"/>
          <w:iCs w:val="0"/>
          <w:color w:val="auto"/>
          <w:kern w:val="2"/>
          <w:sz w:val="32"/>
          <w:szCs w:val="28"/>
          <w:highlight w:val="none"/>
          <w:lang w:val="en-US" w:eastAsia="zh-CN" w:bidi="ar-SA"/>
        </w:rPr>
        <w:t>中小企业声明函</w:t>
      </w:r>
    </w:p>
    <w:p>
      <w:pPr>
        <w:keepNext w:val="0"/>
        <w:keepLines w:val="0"/>
        <w:widowControl/>
        <w:suppressLineNumbers w:val="0"/>
        <w:spacing w:line="360" w:lineRule="auto"/>
        <w:jc w:val="left"/>
        <w:rPr>
          <w:rFonts w:hint="eastAsia" w:ascii="仿宋" w:hAnsi="仿宋" w:eastAsia="仿宋" w:cs="仿宋"/>
          <w:i w:val="0"/>
          <w:iCs w:val="0"/>
          <w:color w:val="auto"/>
          <w:kern w:val="0"/>
          <w:sz w:val="31"/>
          <w:szCs w:val="31"/>
          <w:highlight w:val="none"/>
          <w:lang w:val="en-US" w:eastAsia="zh-CN" w:bidi="ar"/>
        </w:rPr>
      </w:pPr>
    </w:p>
    <w:p>
      <w:pPr>
        <w:keepNext w:val="0"/>
        <w:keepLines w:val="0"/>
        <w:widowControl/>
        <w:suppressLineNumbers w:val="0"/>
        <w:spacing w:line="360" w:lineRule="auto"/>
        <w:ind w:firstLine="480" w:firstLineChars="200"/>
        <w:jc w:val="left"/>
        <w:rPr>
          <w:rFonts w:hint="eastAsia" w:ascii="仿宋" w:hAnsi="仿宋" w:eastAsia="仿宋" w:cs="仿宋"/>
          <w:i w:val="0"/>
          <w:iCs w:val="0"/>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lang w:val="en-US" w:eastAsia="zh-CN" w:bidi="ar"/>
        </w:rPr>
        <w:t>本公司郑重声明，根据《政府采购促进中小企业发展管理办法》（财库﹝2020﹞46 号）的规定，本公司参加</w:t>
      </w:r>
      <w:r>
        <w:rPr>
          <w:rFonts w:hint="eastAsia" w:ascii="仿宋" w:hAnsi="仿宋" w:eastAsia="仿宋" w:cs="仿宋"/>
          <w:i w:val="0"/>
          <w:iCs w:val="0"/>
          <w:color w:val="auto"/>
          <w:kern w:val="0"/>
          <w:sz w:val="24"/>
          <w:szCs w:val="24"/>
          <w:highlight w:val="none"/>
          <w:u w:val="single"/>
          <w:lang w:val="en-US" w:eastAsia="zh-CN" w:bidi="ar"/>
        </w:rPr>
        <w:t>（采购人名称）</w:t>
      </w:r>
      <w:r>
        <w:rPr>
          <w:rFonts w:hint="eastAsia" w:ascii="仿宋" w:hAnsi="仿宋" w:eastAsia="仿宋" w:cs="仿宋"/>
          <w:i w:val="0"/>
          <w:iCs w:val="0"/>
          <w:color w:val="auto"/>
          <w:kern w:val="0"/>
          <w:sz w:val="24"/>
          <w:szCs w:val="24"/>
          <w:highlight w:val="none"/>
          <w:lang w:val="en-US" w:eastAsia="zh-CN" w:bidi="ar"/>
        </w:rPr>
        <w:t>的</w:t>
      </w:r>
      <w:r>
        <w:rPr>
          <w:rFonts w:hint="eastAsia" w:ascii="仿宋" w:hAnsi="仿宋" w:eastAsia="仿宋" w:cs="仿宋"/>
          <w:i w:val="0"/>
          <w:iCs w:val="0"/>
          <w:color w:val="auto"/>
          <w:kern w:val="0"/>
          <w:sz w:val="24"/>
          <w:szCs w:val="24"/>
          <w:highlight w:val="none"/>
          <w:u w:val="single"/>
          <w:lang w:val="en-US" w:eastAsia="zh-CN" w:bidi="ar"/>
        </w:rPr>
        <w:t>（项目名称）</w:t>
      </w:r>
      <w:r>
        <w:rPr>
          <w:rFonts w:hint="eastAsia" w:ascii="仿宋" w:hAnsi="仿宋" w:eastAsia="仿宋" w:cs="仿宋"/>
          <w:i w:val="0"/>
          <w:iCs w:val="0"/>
          <w:color w:val="auto"/>
          <w:kern w:val="0"/>
          <w:sz w:val="24"/>
          <w:szCs w:val="24"/>
          <w:highlight w:val="none"/>
          <w:lang w:val="en-US" w:eastAsia="zh-CN" w:bidi="ar"/>
        </w:rPr>
        <w:t>采购活动，服务全部由符合政策要求的中小企业承接。具体情况如下：</w:t>
      </w:r>
    </w:p>
    <w:p>
      <w:pPr>
        <w:keepNext w:val="0"/>
        <w:keepLines w:val="0"/>
        <w:widowControl/>
        <w:suppressLineNumbers w:val="0"/>
        <w:spacing w:line="360" w:lineRule="auto"/>
        <w:ind w:firstLine="480" w:firstLineChars="200"/>
        <w:jc w:val="left"/>
        <w:rPr>
          <w:rFonts w:hint="eastAsia" w:ascii="仿宋" w:hAnsi="仿宋" w:eastAsia="仿宋" w:cs="仿宋"/>
          <w:i w:val="0"/>
          <w:iCs w:val="0"/>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single"/>
          <w:lang w:val="en-US" w:eastAsia="zh-CN" w:bidi="ar"/>
        </w:rPr>
        <w:t xml:space="preserve">（标的名称） </w:t>
      </w:r>
      <w:r>
        <w:rPr>
          <w:rFonts w:hint="eastAsia" w:ascii="仿宋" w:hAnsi="仿宋" w:eastAsia="仿宋" w:cs="仿宋"/>
          <w:i w:val="0"/>
          <w:iCs w:val="0"/>
          <w:color w:val="auto"/>
          <w:kern w:val="0"/>
          <w:sz w:val="24"/>
          <w:szCs w:val="24"/>
          <w:highlight w:val="none"/>
          <w:lang w:val="en-US" w:eastAsia="zh-CN" w:bidi="ar"/>
        </w:rPr>
        <w:t>，属于</w:t>
      </w:r>
      <w:r>
        <w:rPr>
          <w:rFonts w:hint="eastAsia" w:ascii="仿宋" w:hAnsi="仿宋" w:eastAsia="仿宋" w:cs="仿宋"/>
          <w:i w:val="0"/>
          <w:iCs w:val="0"/>
          <w:color w:val="auto"/>
          <w:kern w:val="0"/>
          <w:sz w:val="24"/>
          <w:szCs w:val="24"/>
          <w:highlight w:val="none"/>
          <w:u w:val="single"/>
          <w:lang w:val="en-US" w:eastAsia="zh-CN" w:bidi="ar"/>
        </w:rPr>
        <w:t xml:space="preserve">          </w:t>
      </w:r>
      <w:r>
        <w:rPr>
          <w:rFonts w:hint="eastAsia" w:ascii="仿宋" w:hAnsi="仿宋" w:eastAsia="仿宋" w:cs="仿宋"/>
          <w:i w:val="0"/>
          <w:iCs w:val="0"/>
          <w:color w:val="auto"/>
          <w:kern w:val="0"/>
          <w:sz w:val="24"/>
          <w:szCs w:val="24"/>
          <w:highlight w:val="none"/>
          <w:lang w:val="en-US" w:eastAsia="zh-CN" w:bidi="ar"/>
        </w:rPr>
        <w:t xml:space="preserve">（招标文件中明确的所属行业）；承接企业为   </w:t>
      </w:r>
      <w:r>
        <w:rPr>
          <w:rFonts w:hint="eastAsia" w:ascii="仿宋" w:hAnsi="仿宋" w:eastAsia="仿宋" w:cs="仿宋"/>
          <w:i w:val="0"/>
          <w:iCs w:val="0"/>
          <w:color w:val="auto"/>
          <w:kern w:val="0"/>
          <w:sz w:val="24"/>
          <w:szCs w:val="24"/>
          <w:highlight w:val="none"/>
          <w:u w:val="single"/>
          <w:lang w:val="en-US" w:eastAsia="zh-CN" w:bidi="ar"/>
        </w:rPr>
        <w:t xml:space="preserve">（供应商名称）  </w:t>
      </w:r>
      <w:r>
        <w:rPr>
          <w:rFonts w:hint="eastAsia" w:ascii="仿宋" w:hAnsi="仿宋" w:eastAsia="仿宋" w:cs="仿宋"/>
          <w:i w:val="0"/>
          <w:iCs w:val="0"/>
          <w:color w:val="auto"/>
          <w:kern w:val="0"/>
          <w:sz w:val="24"/>
          <w:szCs w:val="24"/>
          <w:highlight w:val="none"/>
          <w:lang w:val="en-US" w:eastAsia="zh-CN" w:bidi="ar"/>
        </w:rPr>
        <w:t>，从业人员</w:t>
      </w:r>
      <w:r>
        <w:rPr>
          <w:rFonts w:hint="eastAsia" w:ascii="仿宋" w:hAnsi="仿宋" w:eastAsia="仿宋" w:cs="仿宋"/>
          <w:i w:val="0"/>
          <w:iCs w:val="0"/>
          <w:color w:val="auto"/>
          <w:kern w:val="0"/>
          <w:sz w:val="24"/>
          <w:szCs w:val="24"/>
          <w:highlight w:val="none"/>
          <w:u w:val="single"/>
          <w:lang w:val="en-US" w:eastAsia="zh-CN" w:bidi="ar"/>
        </w:rPr>
        <w:t xml:space="preserve">    </w:t>
      </w:r>
      <w:r>
        <w:rPr>
          <w:rFonts w:hint="eastAsia" w:ascii="仿宋" w:hAnsi="仿宋" w:eastAsia="仿宋" w:cs="仿宋"/>
          <w:i w:val="0"/>
          <w:iCs w:val="0"/>
          <w:color w:val="auto"/>
          <w:kern w:val="0"/>
          <w:sz w:val="24"/>
          <w:szCs w:val="24"/>
          <w:highlight w:val="none"/>
          <w:lang w:val="en-US" w:eastAsia="zh-CN" w:bidi="ar"/>
        </w:rPr>
        <w:t>人，营业收入为</w:t>
      </w:r>
      <w:r>
        <w:rPr>
          <w:rFonts w:hint="eastAsia" w:ascii="仿宋" w:hAnsi="仿宋" w:eastAsia="仿宋" w:cs="仿宋"/>
          <w:i w:val="0"/>
          <w:iCs w:val="0"/>
          <w:color w:val="auto"/>
          <w:kern w:val="0"/>
          <w:sz w:val="24"/>
          <w:szCs w:val="24"/>
          <w:highlight w:val="none"/>
          <w:u w:val="single"/>
          <w:lang w:val="en-US" w:eastAsia="zh-CN" w:bidi="ar"/>
        </w:rPr>
        <w:t xml:space="preserve">       </w:t>
      </w:r>
      <w:r>
        <w:rPr>
          <w:rFonts w:hint="eastAsia" w:ascii="仿宋" w:hAnsi="仿宋" w:eastAsia="仿宋" w:cs="仿宋"/>
          <w:i w:val="0"/>
          <w:iCs w:val="0"/>
          <w:color w:val="auto"/>
          <w:kern w:val="0"/>
          <w:sz w:val="24"/>
          <w:szCs w:val="24"/>
          <w:highlight w:val="none"/>
          <w:lang w:val="en-US" w:eastAsia="zh-CN" w:bidi="ar"/>
        </w:rPr>
        <w:t>万元，资产总额为</w:t>
      </w:r>
      <w:r>
        <w:rPr>
          <w:rFonts w:hint="eastAsia" w:ascii="仿宋" w:hAnsi="仿宋" w:eastAsia="仿宋" w:cs="仿宋"/>
          <w:i w:val="0"/>
          <w:iCs w:val="0"/>
          <w:color w:val="auto"/>
          <w:kern w:val="0"/>
          <w:sz w:val="24"/>
          <w:szCs w:val="24"/>
          <w:highlight w:val="none"/>
          <w:u w:val="single"/>
          <w:lang w:val="en-US" w:eastAsia="zh-CN" w:bidi="ar"/>
        </w:rPr>
        <w:t xml:space="preserve">        </w:t>
      </w:r>
      <w:r>
        <w:rPr>
          <w:rFonts w:hint="eastAsia" w:ascii="仿宋" w:hAnsi="仿宋" w:eastAsia="仿宋" w:cs="仿宋"/>
          <w:i w:val="0"/>
          <w:iCs w:val="0"/>
          <w:color w:val="auto"/>
          <w:kern w:val="0"/>
          <w:sz w:val="24"/>
          <w:szCs w:val="24"/>
          <w:highlight w:val="none"/>
          <w:lang w:val="en-US" w:eastAsia="zh-CN" w:bidi="ar"/>
        </w:rPr>
        <w:t>万元，属于</w:t>
      </w:r>
      <w:r>
        <w:rPr>
          <w:rFonts w:hint="eastAsia" w:ascii="仿宋" w:hAnsi="仿宋" w:eastAsia="仿宋" w:cs="仿宋"/>
          <w:i w:val="0"/>
          <w:iCs w:val="0"/>
          <w:color w:val="auto"/>
          <w:kern w:val="0"/>
          <w:sz w:val="24"/>
          <w:szCs w:val="24"/>
          <w:highlight w:val="none"/>
          <w:u w:val="single"/>
          <w:lang w:val="en-US" w:eastAsia="zh-CN" w:bidi="ar"/>
        </w:rPr>
        <w:t xml:space="preserve">        </w:t>
      </w:r>
      <w:r>
        <w:rPr>
          <w:rFonts w:hint="eastAsia" w:ascii="仿宋" w:hAnsi="仿宋" w:eastAsia="仿宋" w:cs="仿宋"/>
          <w:i w:val="0"/>
          <w:iCs w:val="0"/>
          <w:color w:val="auto"/>
          <w:kern w:val="0"/>
          <w:sz w:val="24"/>
          <w:szCs w:val="24"/>
          <w:highlight w:val="none"/>
          <w:lang w:val="en-US" w:eastAsia="zh-CN" w:bidi="ar"/>
        </w:rPr>
        <w:t>（中型企业、小型企业、微型企业）；</w:t>
      </w:r>
    </w:p>
    <w:p>
      <w:pPr>
        <w:keepNext w:val="0"/>
        <w:keepLines w:val="0"/>
        <w:widowControl/>
        <w:suppressLineNumbers w:val="0"/>
        <w:spacing w:line="360" w:lineRule="auto"/>
        <w:ind w:firstLine="480" w:firstLineChars="200"/>
        <w:jc w:val="left"/>
        <w:rPr>
          <w:rFonts w:hint="eastAsia" w:ascii="仿宋" w:hAnsi="仿宋" w:eastAsia="仿宋" w:cs="仿宋"/>
          <w:i w:val="0"/>
          <w:iCs w:val="0"/>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pacing w:line="360" w:lineRule="auto"/>
        <w:ind w:firstLine="480" w:firstLineChars="200"/>
        <w:jc w:val="left"/>
        <w:rPr>
          <w:rFonts w:hint="eastAsia" w:ascii="仿宋" w:hAnsi="仿宋" w:eastAsia="仿宋" w:cs="仿宋"/>
          <w:i w:val="0"/>
          <w:iCs w:val="0"/>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lang w:val="en-US" w:eastAsia="zh-CN" w:bidi="ar"/>
        </w:rPr>
        <w:t xml:space="preserve">本企业对上述声明内容的真实性负责。如有虚假，将依法承担相应责任。 </w:t>
      </w:r>
    </w:p>
    <w:p>
      <w:pPr>
        <w:keepNext w:val="0"/>
        <w:keepLines w:val="0"/>
        <w:widowControl/>
        <w:suppressLineNumbers w:val="0"/>
        <w:spacing w:line="360" w:lineRule="auto"/>
        <w:ind w:firstLine="480" w:firstLineChars="200"/>
        <w:jc w:val="left"/>
        <w:rPr>
          <w:rFonts w:hint="eastAsia" w:ascii="仿宋" w:hAnsi="仿宋" w:eastAsia="仿宋" w:cs="仿宋"/>
          <w:i w:val="0"/>
          <w:iCs w:val="0"/>
          <w:color w:val="auto"/>
          <w:kern w:val="0"/>
          <w:sz w:val="24"/>
          <w:szCs w:val="24"/>
          <w:highlight w:val="none"/>
          <w:lang w:val="en-US" w:eastAsia="zh-CN" w:bidi="ar"/>
        </w:rPr>
      </w:pPr>
    </w:p>
    <w:p>
      <w:pPr>
        <w:keepNext w:val="0"/>
        <w:keepLines w:val="0"/>
        <w:widowControl/>
        <w:suppressLineNumbers w:val="0"/>
        <w:spacing w:line="360" w:lineRule="auto"/>
        <w:ind w:firstLine="480" w:firstLineChars="200"/>
        <w:jc w:val="left"/>
        <w:rPr>
          <w:rFonts w:hint="eastAsia" w:ascii="仿宋" w:hAnsi="仿宋" w:eastAsia="仿宋" w:cs="仿宋"/>
          <w:i w:val="0"/>
          <w:iCs w:val="0"/>
          <w:color w:val="auto"/>
          <w:kern w:val="0"/>
          <w:sz w:val="24"/>
          <w:szCs w:val="24"/>
          <w:highlight w:val="none"/>
          <w:lang w:val="en-US" w:eastAsia="zh-CN" w:bidi="ar"/>
        </w:rPr>
      </w:pPr>
    </w:p>
    <w:p>
      <w:pPr>
        <w:keepNext w:val="0"/>
        <w:keepLines w:val="0"/>
        <w:widowControl/>
        <w:suppressLineNumbers w:val="0"/>
        <w:spacing w:line="360" w:lineRule="auto"/>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kern w:val="0"/>
          <w:sz w:val="24"/>
          <w:szCs w:val="24"/>
          <w:highlight w:val="none"/>
          <w:lang w:val="en-US" w:eastAsia="zh-CN" w:bidi="ar"/>
        </w:rPr>
        <w:t xml:space="preserve">企业名称（盖章）： </w:t>
      </w:r>
    </w:p>
    <w:p>
      <w:pPr>
        <w:keepNext w:val="0"/>
        <w:keepLines w:val="0"/>
        <w:widowControl/>
        <w:suppressLineNumbers w:val="0"/>
        <w:spacing w:line="360" w:lineRule="auto"/>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kern w:val="0"/>
          <w:sz w:val="24"/>
          <w:szCs w:val="24"/>
          <w:highlight w:val="none"/>
          <w:lang w:val="en-US" w:eastAsia="zh-CN" w:bidi="ar"/>
        </w:rPr>
        <w:t>日 期：</w:t>
      </w:r>
    </w:p>
    <w:p>
      <w:pPr>
        <w:spacing w:line="360" w:lineRule="auto"/>
        <w:rPr>
          <w:rFonts w:hint="eastAsia" w:ascii="仿宋" w:hAnsi="仿宋" w:eastAsia="仿宋" w:cs="仿宋"/>
          <w:b/>
          <w:bCs/>
          <w:i w:val="0"/>
          <w:iCs w:val="0"/>
          <w:color w:val="auto"/>
          <w:sz w:val="24"/>
          <w:highlight w:val="none"/>
        </w:rPr>
      </w:pPr>
    </w:p>
    <w:p>
      <w:pPr>
        <w:spacing w:line="360"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注：1</w:t>
      </w:r>
      <w:r>
        <w:rPr>
          <w:rFonts w:hint="eastAsia" w:ascii="仿宋" w:hAnsi="仿宋" w:eastAsia="仿宋" w:cs="仿宋"/>
          <w:b/>
          <w:bCs/>
          <w:i w:val="0"/>
          <w:iCs w:val="0"/>
          <w:color w:val="auto"/>
          <w:sz w:val="24"/>
          <w:highlight w:val="none"/>
          <w:lang w:val="en-US" w:eastAsia="zh-CN"/>
        </w:rPr>
        <w:t>.</w:t>
      </w:r>
      <w:r>
        <w:rPr>
          <w:rFonts w:hint="eastAsia" w:ascii="仿宋" w:hAnsi="仿宋" w:eastAsia="仿宋" w:cs="仿宋"/>
          <w:b/>
          <w:bCs/>
          <w:i w:val="0"/>
          <w:iCs w:val="0"/>
          <w:color w:val="auto"/>
          <w:sz w:val="24"/>
          <w:highlight w:val="none"/>
          <w:lang w:eastAsia="zh-CN"/>
        </w:rPr>
        <w:t>供应商</w:t>
      </w:r>
      <w:r>
        <w:rPr>
          <w:rFonts w:hint="eastAsia" w:ascii="仿宋" w:hAnsi="仿宋" w:eastAsia="仿宋" w:cs="仿宋"/>
          <w:b/>
          <w:bCs/>
          <w:i w:val="0"/>
          <w:iCs w:val="0"/>
          <w:color w:val="auto"/>
          <w:sz w:val="24"/>
          <w:highlight w:val="none"/>
        </w:rPr>
        <w:t>符合《关于印发&lt;政府采购促进中小企业发展管理办法&gt;的通知》(财库〔2020〕46号规定的划分标准为中小型企业适用。</w:t>
      </w:r>
    </w:p>
    <w:p>
      <w:pPr>
        <w:spacing w:line="360" w:lineRule="auto"/>
        <w:jc w:val="left"/>
        <w:rPr>
          <w:rFonts w:hint="eastAsia" w:ascii="仿宋" w:hAnsi="仿宋" w:eastAsia="仿宋" w:cs="仿宋"/>
          <w:b/>
          <w:bCs/>
          <w:i w:val="0"/>
          <w:iCs w:val="0"/>
          <w:color w:val="auto"/>
          <w:sz w:val="24"/>
          <w:highlight w:val="none"/>
          <w:lang w:val="en-US" w:eastAsia="zh-CN"/>
        </w:rPr>
      </w:pPr>
      <w:r>
        <w:rPr>
          <w:rFonts w:hint="eastAsia" w:ascii="仿宋" w:hAnsi="仿宋" w:eastAsia="仿宋" w:cs="仿宋"/>
          <w:b/>
          <w:bCs/>
          <w:i w:val="0"/>
          <w:iCs w:val="0"/>
          <w:color w:val="auto"/>
          <w:sz w:val="24"/>
          <w:highlight w:val="none"/>
        </w:rPr>
        <w:t>2</w:t>
      </w:r>
      <w:r>
        <w:rPr>
          <w:rFonts w:hint="eastAsia" w:ascii="仿宋" w:hAnsi="仿宋" w:eastAsia="仿宋" w:cs="仿宋"/>
          <w:b/>
          <w:bCs/>
          <w:i w:val="0"/>
          <w:iCs w:val="0"/>
          <w:color w:val="auto"/>
          <w:sz w:val="24"/>
          <w:highlight w:val="none"/>
          <w:lang w:val="en-US" w:eastAsia="zh-CN"/>
        </w:rPr>
        <w:t>.从业人员、营业收入、资产总额填报上一年度数据，无上一年度数据的新成立企业可不填报。</w:t>
      </w:r>
    </w:p>
    <w:p>
      <w:pPr>
        <w:pStyle w:val="9"/>
        <w:rPr>
          <w:rFonts w:hint="eastAsia"/>
          <w:color w:val="auto"/>
          <w:highlight w:val="none"/>
          <w:lang w:val="en-US" w:eastAsia="zh-CN"/>
        </w:rPr>
      </w:pPr>
    </w:p>
    <w:p>
      <w:pPr>
        <w:pStyle w:val="89"/>
        <w:rPr>
          <w:rFonts w:hint="eastAsia"/>
          <w:color w:val="auto"/>
          <w:highlight w:val="none"/>
          <w:lang w:val="en-US" w:eastAsia="zh-CN"/>
        </w:rPr>
      </w:pPr>
    </w:p>
    <w:p>
      <w:pPr>
        <w:rPr>
          <w:rFonts w:hint="eastAsia"/>
          <w:color w:val="auto"/>
          <w:highlight w:val="none"/>
          <w:lang w:val="en-US" w:eastAsia="zh-CN"/>
        </w:rPr>
      </w:pPr>
    </w:p>
    <w:p>
      <w:pPr>
        <w:pStyle w:val="9"/>
        <w:rPr>
          <w:rFonts w:hint="eastAsia"/>
          <w:color w:val="auto"/>
          <w:highlight w:val="none"/>
          <w:lang w:val="en-US" w:eastAsia="zh-CN"/>
        </w:rPr>
      </w:pPr>
    </w:p>
    <w:p>
      <w:pPr>
        <w:pStyle w:val="89"/>
        <w:rPr>
          <w:rFonts w:hint="eastAsia"/>
          <w:color w:val="auto"/>
          <w:highlight w:val="none"/>
          <w:lang w:val="en-US" w:eastAsia="zh-CN"/>
        </w:rPr>
      </w:pPr>
    </w:p>
    <w:p>
      <w:pPr>
        <w:rPr>
          <w:rFonts w:hint="eastAsia"/>
          <w:color w:val="auto"/>
          <w:highlight w:val="none"/>
          <w:lang w:val="en-US" w:eastAsia="zh-CN"/>
        </w:rPr>
      </w:pPr>
    </w:p>
    <w:p>
      <w:pPr>
        <w:pStyle w:val="9"/>
        <w:rPr>
          <w:rFonts w:hint="eastAsia"/>
          <w:color w:val="auto"/>
          <w:highlight w:val="none"/>
          <w:lang w:val="en-US" w:eastAsia="zh-CN"/>
        </w:rPr>
      </w:pPr>
    </w:p>
    <w:p>
      <w:pPr>
        <w:pStyle w:val="89"/>
        <w:rPr>
          <w:rFonts w:hint="eastAsia"/>
          <w:color w:val="auto"/>
          <w:highlight w:val="none"/>
          <w:lang w:val="en-US" w:eastAsia="zh-CN"/>
        </w:rPr>
      </w:pPr>
    </w:p>
    <w:p>
      <w:pPr>
        <w:rPr>
          <w:rFonts w:hint="eastAsia"/>
          <w:color w:val="auto"/>
          <w:highlight w:val="none"/>
          <w:lang w:val="en-US" w:eastAsia="zh-CN"/>
        </w:rPr>
      </w:pPr>
    </w:p>
    <w:p>
      <w:pPr>
        <w:spacing w:line="360" w:lineRule="auto"/>
        <w:jc w:val="center"/>
        <w:rPr>
          <w:rFonts w:hint="eastAsia" w:ascii="仿宋" w:hAnsi="仿宋" w:eastAsia="仿宋" w:cs="仿宋"/>
          <w:color w:val="auto"/>
          <w:highlight w:val="none"/>
        </w:rPr>
      </w:pPr>
      <w:r>
        <w:rPr>
          <w:rFonts w:hint="eastAsia" w:ascii="仿宋" w:hAnsi="仿宋" w:eastAsia="仿宋" w:cs="仿宋"/>
          <w:b/>
          <w:bCs/>
          <w:i w:val="0"/>
          <w:iCs w:val="0"/>
          <w:color w:val="auto"/>
          <w:kern w:val="2"/>
          <w:sz w:val="32"/>
          <w:szCs w:val="28"/>
          <w:highlight w:val="none"/>
          <w:lang w:val="en-US" w:eastAsia="zh-CN" w:bidi="ar-SA"/>
        </w:rPr>
        <w:t>十二、残疾人福利性单位声明函</w:t>
      </w:r>
    </w:p>
    <w:p>
      <w:pPr>
        <w:pStyle w:val="9"/>
        <w:rPr>
          <w:rFonts w:hint="eastAsia" w:ascii="仿宋" w:hAnsi="仿宋" w:eastAsia="仿宋" w:cs="仿宋"/>
          <w:color w:val="auto"/>
          <w:highlight w:val="none"/>
        </w:rPr>
      </w:pPr>
    </w:p>
    <w:p>
      <w:pPr>
        <w:spacing w:line="588" w:lineRule="exact"/>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w:t>
      </w:r>
    </w:p>
    <w:p>
      <w:pPr>
        <w:spacing w:line="588" w:lineRule="exact"/>
        <w:ind w:firstLine="504"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本单位参加</w:t>
      </w:r>
      <w:r>
        <w:rPr>
          <w:rFonts w:hint="eastAsia" w:ascii="仿宋" w:hAnsi="仿宋" w:eastAsia="仿宋" w:cs="仿宋"/>
          <w:color w:val="auto"/>
          <w:spacing w:val="6"/>
          <w:sz w:val="24"/>
          <w:highlight w:val="none"/>
          <w:u w:val="single"/>
        </w:rPr>
        <w:t>XXXX</w:t>
      </w:r>
      <w:r>
        <w:rPr>
          <w:rFonts w:hint="eastAsia" w:ascii="仿宋" w:hAnsi="仿宋" w:eastAsia="仿宋" w:cs="仿宋"/>
          <w:color w:val="auto"/>
          <w:spacing w:val="6"/>
          <w:sz w:val="24"/>
          <w:highlight w:val="none"/>
        </w:rPr>
        <w:t>单位的</w:t>
      </w:r>
      <w:r>
        <w:rPr>
          <w:rFonts w:hint="eastAsia" w:ascii="仿宋" w:hAnsi="仿宋" w:eastAsia="仿宋" w:cs="仿宋"/>
          <w:color w:val="auto"/>
          <w:spacing w:val="6"/>
          <w:sz w:val="24"/>
          <w:highlight w:val="none"/>
          <w:u w:val="single"/>
        </w:rPr>
        <w:t>XXXX</w:t>
      </w:r>
      <w:r>
        <w:rPr>
          <w:rFonts w:hint="eastAsia" w:ascii="仿宋" w:hAnsi="仿宋" w:eastAsia="仿宋" w:cs="仿宋"/>
          <w:color w:val="auto"/>
          <w:spacing w:val="6"/>
          <w:sz w:val="24"/>
          <w:highlight w:val="none"/>
        </w:rPr>
        <w:t>项目（采购项目编号</w:t>
      </w:r>
      <w:r>
        <w:rPr>
          <w:rFonts w:hint="eastAsia" w:ascii="仿宋" w:hAnsi="仿宋" w:eastAsia="仿宋" w:cs="仿宋"/>
          <w:color w:val="auto"/>
          <w:spacing w:val="6"/>
          <w:sz w:val="24"/>
          <w:highlight w:val="none"/>
          <w:u w:val="single"/>
        </w:rPr>
        <w:t>XXXX</w:t>
      </w:r>
      <w:r>
        <w:rPr>
          <w:rFonts w:hint="eastAsia" w:ascii="仿宋" w:hAnsi="仿宋" w:eastAsia="仿宋" w:cs="仿宋"/>
          <w:color w:val="auto"/>
          <w:spacing w:val="6"/>
          <w:sz w:val="24"/>
          <w:highlight w:val="none"/>
        </w:rPr>
        <w:t>）采购活动。根据《财政部 民政部 中国残疾人联合会关于促进残疾人就业政府采购政策的通知》（财库〔2017〕141号）的规定，本公司为本项目提供的服务，为该服务所属行业的符合条件的残疾人福利性单位。</w:t>
      </w:r>
    </w:p>
    <w:p>
      <w:pPr>
        <w:spacing w:line="588" w:lineRule="exact"/>
        <w:ind w:firstLine="504"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pPr>
        <w:spacing w:line="588" w:lineRule="exact"/>
        <w:ind w:firstLine="504" w:firstLineChars="200"/>
        <w:rPr>
          <w:rFonts w:hint="eastAsia" w:ascii="仿宋" w:hAnsi="仿宋" w:eastAsia="仿宋" w:cs="仿宋"/>
          <w:color w:val="auto"/>
          <w:spacing w:val="6"/>
          <w:sz w:val="24"/>
          <w:highlight w:val="none"/>
        </w:rPr>
      </w:pPr>
    </w:p>
    <w:p>
      <w:pPr>
        <w:spacing w:line="588" w:lineRule="exact"/>
        <w:ind w:firstLine="504" w:firstLineChars="200"/>
        <w:rPr>
          <w:rFonts w:hint="eastAsia" w:ascii="仿宋" w:hAnsi="仿宋" w:eastAsia="仿宋" w:cs="仿宋"/>
          <w:color w:val="auto"/>
          <w:spacing w:val="6"/>
          <w:sz w:val="24"/>
          <w:highlight w:val="none"/>
        </w:rPr>
      </w:pPr>
    </w:p>
    <w:p>
      <w:pPr>
        <w:spacing w:line="588" w:lineRule="exact"/>
        <w:ind w:firstLine="504" w:firstLineChars="200"/>
        <w:rPr>
          <w:rFonts w:hint="eastAsia" w:ascii="仿宋" w:hAnsi="仿宋" w:eastAsia="仿宋" w:cs="仿宋"/>
          <w:color w:val="auto"/>
          <w:spacing w:val="6"/>
          <w:sz w:val="24"/>
          <w:highlight w:val="none"/>
        </w:rPr>
      </w:pPr>
    </w:p>
    <w:p>
      <w:pPr>
        <w:spacing w:line="588" w:lineRule="exact"/>
        <w:ind w:firstLine="504" w:firstLineChars="200"/>
        <w:rPr>
          <w:rFonts w:hint="eastAsia" w:ascii="仿宋" w:hAnsi="仿宋" w:eastAsia="仿宋" w:cs="仿宋"/>
          <w:color w:val="auto"/>
          <w:spacing w:val="6"/>
          <w:sz w:val="24"/>
          <w:highlight w:val="none"/>
        </w:rPr>
      </w:pPr>
    </w:p>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企业名称（盖章）：</w:t>
      </w:r>
    </w:p>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pStyle w:val="9"/>
        <w:rPr>
          <w:rFonts w:hint="eastAsia" w:ascii="仿宋" w:hAnsi="仿宋" w:eastAsia="仿宋" w:cs="仿宋"/>
          <w:bCs/>
          <w:color w:val="auto"/>
          <w:sz w:val="24"/>
          <w:highlight w:val="none"/>
        </w:rPr>
      </w:pPr>
    </w:p>
    <w:p>
      <w:pPr>
        <w:jc w:val="center"/>
        <w:rPr>
          <w:rFonts w:hint="eastAsia" w:ascii="仿宋" w:hAnsi="仿宋" w:eastAsia="仿宋" w:cs="仿宋"/>
          <w:b/>
          <w:bCs/>
          <w:color w:val="auto"/>
          <w:sz w:val="32"/>
          <w:szCs w:val="32"/>
          <w:highlight w:val="none"/>
        </w:rPr>
      </w:pPr>
    </w:p>
    <w:p>
      <w:pPr>
        <w:pStyle w:val="2"/>
        <w:spacing w:before="0" w:after="0" w:line="360" w:lineRule="auto"/>
        <w:jc w:val="both"/>
        <w:rPr>
          <w:rFonts w:hint="eastAsia" w:ascii="仿宋" w:hAnsi="仿宋" w:eastAsia="仿宋" w:cs="仿宋"/>
          <w:b w:val="0"/>
          <w:color w:val="auto"/>
          <w:sz w:val="32"/>
          <w:szCs w:val="32"/>
          <w:highlight w:val="none"/>
        </w:rPr>
      </w:pPr>
    </w:p>
    <w:p>
      <w:pPr>
        <w:rPr>
          <w:rFonts w:hint="eastAsia" w:ascii="仿宋" w:hAnsi="仿宋" w:eastAsia="仿宋" w:cs="仿宋"/>
          <w:b w:val="0"/>
          <w:color w:val="auto"/>
          <w:sz w:val="32"/>
          <w:szCs w:val="32"/>
          <w:highlight w:val="none"/>
        </w:rPr>
      </w:pPr>
    </w:p>
    <w:p>
      <w:pPr>
        <w:pStyle w:val="9"/>
        <w:rPr>
          <w:rFonts w:hint="eastAsia" w:ascii="仿宋" w:hAnsi="仿宋" w:eastAsia="仿宋" w:cs="仿宋"/>
          <w:b w:val="0"/>
          <w:color w:val="auto"/>
          <w:sz w:val="32"/>
          <w:szCs w:val="32"/>
          <w:highlight w:val="none"/>
        </w:rPr>
      </w:pPr>
    </w:p>
    <w:p>
      <w:pPr>
        <w:rPr>
          <w:rFonts w:hint="eastAsia"/>
          <w:color w:val="auto"/>
          <w:highlight w:val="none"/>
        </w:rPr>
      </w:pPr>
    </w:p>
    <w:p>
      <w:pPr>
        <w:rPr>
          <w:rFonts w:hint="eastAsia" w:ascii="仿宋" w:hAnsi="仿宋" w:eastAsia="仿宋" w:cs="仿宋"/>
          <w:b w:val="0"/>
          <w:color w:val="auto"/>
          <w:sz w:val="32"/>
          <w:szCs w:val="32"/>
          <w:highlight w:val="none"/>
        </w:rPr>
      </w:pPr>
    </w:p>
    <w:p>
      <w:pPr>
        <w:pStyle w:val="9"/>
        <w:rPr>
          <w:rFonts w:hint="eastAsia"/>
          <w:color w:val="auto"/>
          <w:highlight w:val="none"/>
        </w:rPr>
      </w:pPr>
    </w:p>
    <w:p>
      <w:pPr>
        <w:pStyle w:val="89"/>
        <w:rPr>
          <w:rFonts w:hint="eastAsia"/>
          <w:color w:val="auto"/>
          <w:highlight w:val="none"/>
        </w:rPr>
      </w:pPr>
    </w:p>
    <w:p>
      <w:pPr>
        <w:rPr>
          <w:rFonts w:hint="eastAsia"/>
          <w:color w:val="auto"/>
          <w:highlight w:val="none"/>
        </w:rPr>
      </w:pPr>
    </w:p>
    <w:p>
      <w:pPr>
        <w:pStyle w:val="9"/>
        <w:rPr>
          <w:rFonts w:hint="eastAsia"/>
          <w:color w:val="auto"/>
          <w:highlight w:val="none"/>
        </w:rPr>
      </w:pPr>
    </w:p>
    <w:p>
      <w:pPr>
        <w:pStyle w:val="2"/>
        <w:spacing w:before="0" w:after="0"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Cs w:val="0"/>
          <w:color w:val="auto"/>
          <w:szCs w:val="28"/>
          <w:highlight w:val="none"/>
          <w:lang w:val="en-US" w:eastAsia="zh-CN"/>
        </w:rPr>
        <w:t>十三</w:t>
      </w:r>
      <w:r>
        <w:rPr>
          <w:rFonts w:hint="eastAsia" w:ascii="仿宋" w:hAnsi="仿宋" w:eastAsia="仿宋" w:cs="仿宋"/>
          <w:bCs w:val="0"/>
          <w:color w:val="auto"/>
          <w:szCs w:val="28"/>
          <w:highlight w:val="none"/>
        </w:rPr>
        <w:t>、监狱企业声明函</w:t>
      </w:r>
    </w:p>
    <w:p>
      <w:pPr>
        <w:spacing w:line="360" w:lineRule="auto"/>
        <w:jc w:val="center"/>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格式自拟</w:t>
      </w:r>
      <w:r>
        <w:rPr>
          <w:rFonts w:hint="eastAsia" w:ascii="仿宋" w:hAnsi="仿宋" w:eastAsia="仿宋" w:cs="仿宋"/>
          <w:b w:val="0"/>
          <w:bCs w:val="0"/>
          <w:color w:val="auto"/>
          <w:sz w:val="24"/>
          <w:highlight w:val="none"/>
          <w:lang w:eastAsia="zh-CN"/>
        </w:rPr>
        <w:t>）</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说明：</w:t>
      </w: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lang w:eastAsia="zh-CN"/>
        </w:rPr>
        <w:t>供应商</w:t>
      </w:r>
      <w:r>
        <w:rPr>
          <w:rFonts w:hint="eastAsia" w:ascii="仿宋" w:hAnsi="仿宋" w:eastAsia="仿宋" w:cs="仿宋"/>
          <w:b/>
          <w:bCs/>
          <w:color w:val="auto"/>
          <w:sz w:val="24"/>
          <w:highlight w:val="none"/>
        </w:rPr>
        <w:t>符合《政府采购支持监狱企业发展有关问题的通知》（财库〔2014〕68号）规定的划分标准为监狱企业适用。</w:t>
      </w:r>
    </w:p>
    <w:p>
      <w:pPr>
        <w:pStyle w:val="9"/>
        <w:spacing w:line="400" w:lineRule="exact"/>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
          <w:color w:val="auto"/>
          <w:sz w:val="32"/>
          <w:szCs w:val="32"/>
          <w:highlight w:val="none"/>
        </w:rPr>
      </w:pPr>
    </w:p>
    <w:p>
      <w:pPr>
        <w:pStyle w:val="9"/>
        <w:spacing w:line="400" w:lineRule="exact"/>
        <w:jc w:val="center"/>
        <w:rPr>
          <w:rFonts w:hint="eastAsia" w:ascii="仿宋" w:hAnsi="仿宋" w:eastAsia="仿宋" w:cs="仿宋"/>
          <w:bCs/>
          <w:color w:val="auto"/>
          <w:sz w:val="24"/>
          <w:highlight w:val="none"/>
        </w:rPr>
      </w:pPr>
      <w:r>
        <w:rPr>
          <w:rFonts w:hint="eastAsia" w:ascii="仿宋" w:hAnsi="仿宋" w:eastAsia="仿宋" w:cs="仿宋"/>
          <w:b/>
          <w:color w:val="auto"/>
          <w:sz w:val="32"/>
          <w:szCs w:val="32"/>
          <w:highlight w:val="none"/>
        </w:rPr>
        <w:t>十</w:t>
      </w: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rPr>
        <w:t>、根据采购项目提出的特殊条件</w:t>
      </w:r>
    </w:p>
    <w:p>
      <w:pPr>
        <w:pStyle w:val="9"/>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（如有，格式不限）</w:t>
      </w:r>
    </w:p>
    <w:p>
      <w:pPr>
        <w:pStyle w:val="9"/>
        <w:spacing w:line="400" w:lineRule="exact"/>
        <w:rPr>
          <w:rFonts w:hint="eastAsia" w:ascii="仿宋" w:hAnsi="仿宋" w:eastAsia="仿宋" w:cs="仿宋"/>
          <w:b/>
          <w:color w:val="auto"/>
          <w:sz w:val="32"/>
          <w:szCs w:val="32"/>
          <w:highlight w:val="none"/>
        </w:rPr>
      </w:pPr>
    </w:p>
    <w:p>
      <w:pPr>
        <w:spacing w:after="50" w:line="400" w:lineRule="exact"/>
        <w:ind w:firstLine="420" w:firstLineChars="200"/>
        <w:rPr>
          <w:rFonts w:hint="eastAsia" w:ascii="仿宋" w:hAnsi="仿宋" w:eastAsia="仿宋" w:cs="仿宋"/>
          <w:color w:val="auto"/>
          <w:highlight w:val="none"/>
        </w:rPr>
      </w:pPr>
    </w:p>
    <w:p>
      <w:pPr>
        <w:pStyle w:val="9"/>
        <w:spacing w:line="400" w:lineRule="exact"/>
        <w:ind w:firstLine="480"/>
        <w:rPr>
          <w:rFonts w:hint="eastAsia" w:ascii="仿宋" w:hAnsi="仿宋" w:eastAsia="仿宋" w:cs="仿宋"/>
          <w:b/>
          <w:color w:val="auto"/>
          <w:sz w:val="24"/>
          <w:highlight w:val="none"/>
          <w:lang w:val="zh-CN"/>
        </w:rPr>
      </w:pPr>
    </w:p>
    <w:p>
      <w:pPr>
        <w:pStyle w:val="9"/>
        <w:spacing w:line="400" w:lineRule="exact"/>
        <w:ind w:firstLine="480"/>
        <w:rPr>
          <w:rFonts w:hint="eastAsia" w:ascii="仿宋" w:hAnsi="仿宋" w:eastAsia="仿宋" w:cs="仿宋"/>
          <w:b/>
          <w:color w:val="auto"/>
          <w:sz w:val="24"/>
          <w:highlight w:val="none"/>
          <w:lang w:val="zh-CN"/>
        </w:rPr>
      </w:pPr>
    </w:p>
    <w:p>
      <w:pPr>
        <w:pStyle w:val="9"/>
        <w:spacing w:line="400" w:lineRule="exact"/>
        <w:ind w:firstLine="480"/>
        <w:rPr>
          <w:rFonts w:hint="eastAsia" w:ascii="仿宋" w:hAnsi="仿宋" w:eastAsia="仿宋" w:cs="仿宋"/>
          <w:b/>
          <w:color w:val="auto"/>
          <w:sz w:val="24"/>
          <w:highlight w:val="none"/>
          <w:lang w:val="zh-CN"/>
        </w:rPr>
      </w:pPr>
    </w:p>
    <w:p>
      <w:pPr>
        <w:pStyle w:val="18"/>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pStyle w:val="9"/>
        <w:rPr>
          <w:rFonts w:hint="eastAsia" w:ascii="仿宋" w:hAnsi="仿宋" w:eastAsia="仿宋" w:cs="仿宋"/>
          <w:color w:val="auto"/>
          <w:highlight w:val="none"/>
          <w:lang w:val="zh-CN"/>
        </w:rPr>
      </w:pPr>
    </w:p>
    <w:p>
      <w:pPr>
        <w:rPr>
          <w:rFonts w:hint="eastAsia"/>
          <w:color w:val="auto"/>
          <w:highlight w:val="none"/>
          <w:lang w:val="zh-CN"/>
        </w:rPr>
      </w:pP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pStyle w:val="9"/>
        <w:spacing w:line="400" w:lineRule="exact"/>
        <w:rPr>
          <w:rFonts w:hint="eastAsia" w:ascii="仿宋" w:hAnsi="仿宋" w:eastAsia="仿宋" w:cs="仿宋"/>
          <w:bCs/>
          <w:color w:val="auto"/>
          <w:sz w:val="24"/>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十</w:t>
      </w:r>
      <w:r>
        <w:rPr>
          <w:rFonts w:hint="eastAsia" w:ascii="仿宋" w:hAnsi="仿宋" w:eastAsia="仿宋" w:cs="仿宋"/>
          <w:b/>
          <w:color w:val="auto"/>
          <w:sz w:val="32"/>
          <w:szCs w:val="32"/>
          <w:highlight w:val="none"/>
          <w:lang w:val="en-US" w:eastAsia="zh-CN"/>
        </w:rPr>
        <w:t>五</w:t>
      </w:r>
      <w:r>
        <w:rPr>
          <w:rFonts w:hint="eastAsia" w:ascii="仿宋" w:hAnsi="仿宋" w:eastAsia="仿宋" w:cs="仿宋"/>
          <w:b/>
          <w:color w:val="auto"/>
          <w:sz w:val="32"/>
          <w:szCs w:val="32"/>
          <w:highlight w:val="none"/>
        </w:rPr>
        <w:t>、供应商认为满足本项目资格要求还应提供的其它资料</w:t>
      </w:r>
      <w:r>
        <w:rPr>
          <w:rFonts w:hint="eastAsia" w:ascii="仿宋" w:hAnsi="仿宋" w:eastAsia="仿宋" w:cs="仿宋"/>
          <w:bCs/>
          <w:color w:val="auto"/>
          <w:sz w:val="24"/>
          <w:highlight w:val="none"/>
        </w:rPr>
        <w:t>（如有，格式不限）</w:t>
      </w:r>
    </w:p>
    <w:p>
      <w:pPr>
        <w:spacing w:line="400" w:lineRule="exact"/>
        <w:rPr>
          <w:rFonts w:hint="eastAsia" w:ascii="仿宋" w:hAnsi="仿宋" w:eastAsia="仿宋" w:cs="仿宋"/>
          <w:color w:val="auto"/>
          <w:sz w:val="24"/>
          <w:highlight w:val="none"/>
          <w:u w:val="single"/>
        </w:rPr>
      </w:pPr>
    </w:p>
    <w:p>
      <w:pPr>
        <w:pStyle w:val="2"/>
        <w:spacing w:before="0" w:after="0" w:line="400" w:lineRule="exact"/>
        <w:jc w:val="center"/>
        <w:rPr>
          <w:rFonts w:hint="eastAsia" w:ascii="仿宋" w:hAnsi="仿宋" w:eastAsia="仿宋" w:cs="仿宋"/>
          <w:bCs w:val="0"/>
          <w:color w:val="auto"/>
          <w:szCs w:val="28"/>
          <w:highlight w:val="none"/>
        </w:rPr>
      </w:pPr>
    </w:p>
    <w:p>
      <w:pPr>
        <w:spacing w:line="400" w:lineRule="exact"/>
        <w:rPr>
          <w:rFonts w:hint="eastAsia" w:ascii="仿宋" w:hAnsi="仿宋" w:eastAsia="仿宋" w:cs="仿宋"/>
          <w:color w:val="auto"/>
          <w:szCs w:val="28"/>
          <w:highlight w:val="none"/>
        </w:rPr>
      </w:pPr>
    </w:p>
    <w:p>
      <w:pPr>
        <w:pStyle w:val="9"/>
        <w:spacing w:line="400" w:lineRule="exact"/>
        <w:rPr>
          <w:rFonts w:hint="eastAsia" w:ascii="仿宋" w:hAnsi="仿宋" w:eastAsia="仿宋" w:cs="仿宋"/>
          <w:color w:val="auto"/>
          <w:szCs w:val="28"/>
          <w:highlight w:val="none"/>
        </w:rPr>
      </w:pPr>
    </w:p>
    <w:p>
      <w:pPr>
        <w:spacing w:line="400" w:lineRule="exact"/>
        <w:rPr>
          <w:rFonts w:hint="eastAsia" w:ascii="仿宋" w:hAnsi="仿宋" w:eastAsia="仿宋" w:cs="仿宋"/>
          <w:color w:val="auto"/>
          <w:sz w:val="24"/>
          <w:highlight w:val="none"/>
          <w:u w:val="singl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tabs>
          <w:tab w:val="left" w:pos="900"/>
        </w:tabs>
        <w:spacing w:line="400"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第二部分 技术、商务投标文件</w:t>
      </w:r>
    </w:p>
    <w:p>
      <w:pPr>
        <w:tabs>
          <w:tab w:val="left" w:pos="900"/>
        </w:tabs>
        <w:spacing w:line="400" w:lineRule="exact"/>
        <w:jc w:val="center"/>
        <w:rPr>
          <w:rFonts w:hint="eastAsia" w:ascii="仿宋" w:hAnsi="仿宋" w:eastAsia="仿宋" w:cs="仿宋"/>
          <w:b/>
          <w:color w:val="auto"/>
          <w:sz w:val="24"/>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color w:val="auto"/>
          <w:highlight w:val="none"/>
        </w:rPr>
        <w:br w:type="page"/>
      </w:r>
      <w:r>
        <w:rPr>
          <w:rFonts w:hint="eastAsia" w:ascii="仿宋" w:hAnsi="仿宋" w:eastAsia="仿宋" w:cs="仿宋"/>
          <w:b/>
          <w:color w:val="auto"/>
          <w:sz w:val="32"/>
          <w:szCs w:val="32"/>
          <w:highlight w:val="none"/>
        </w:rPr>
        <w:t>一、投 标 函</w:t>
      </w:r>
    </w:p>
    <w:p>
      <w:pPr>
        <w:pStyle w:val="13"/>
        <w:spacing w:line="400" w:lineRule="exact"/>
        <w:ind w:left="0" w:lef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__________________（采购代理机构名称）：</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我方全面研究了 “</w:t>
      </w:r>
      <w:r>
        <w:rPr>
          <w:rFonts w:hint="eastAsia" w:ascii="仿宋" w:hAnsi="仿宋" w:eastAsia="仿宋" w:cs="仿宋"/>
          <w:bCs/>
          <w:color w:val="auto"/>
          <w:sz w:val="24"/>
          <w:highlight w:val="none"/>
          <w:u w:val="single"/>
        </w:rPr>
        <w:t xml:space="preserve">                       项目 </w:t>
      </w:r>
      <w:r>
        <w:rPr>
          <w:rFonts w:hint="eastAsia" w:ascii="仿宋" w:hAnsi="仿宋" w:eastAsia="仿宋" w:cs="仿宋"/>
          <w:bCs/>
          <w:color w:val="auto"/>
          <w:sz w:val="24"/>
          <w:highlight w:val="none"/>
        </w:rPr>
        <w:t>”招标文件（采购项目编号：</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），决定参加贵单位组织的本项目的投标。我方授权</w:t>
      </w:r>
      <w:r>
        <w:rPr>
          <w:rFonts w:hint="eastAsia" w:ascii="仿宋" w:hAnsi="仿宋" w:eastAsia="仿宋" w:cs="仿宋"/>
          <w:bCs/>
          <w:color w:val="auto"/>
          <w:sz w:val="24"/>
          <w:highlight w:val="none"/>
          <w:u w:val="single"/>
        </w:rPr>
        <w:t xml:space="preserve">  （姓名、职务） </w:t>
      </w:r>
      <w:r>
        <w:rPr>
          <w:rFonts w:hint="eastAsia" w:ascii="仿宋" w:hAnsi="仿宋" w:eastAsia="仿宋" w:cs="仿宋"/>
          <w:bCs/>
          <w:color w:val="auto"/>
          <w:sz w:val="24"/>
          <w:highlight w:val="none"/>
        </w:rPr>
        <w:t xml:space="preserve">代表我方 </w:t>
      </w:r>
      <w:r>
        <w:rPr>
          <w:rFonts w:hint="eastAsia" w:ascii="仿宋" w:hAnsi="仿宋" w:eastAsia="仿宋" w:cs="仿宋"/>
          <w:bCs/>
          <w:color w:val="auto"/>
          <w:sz w:val="24"/>
          <w:highlight w:val="none"/>
          <w:u w:val="single"/>
        </w:rPr>
        <w:t xml:space="preserve">  （投标单位的名称）  </w:t>
      </w:r>
      <w:r>
        <w:rPr>
          <w:rFonts w:hint="eastAsia" w:ascii="仿宋" w:hAnsi="仿宋" w:eastAsia="仿宋" w:cs="仿宋"/>
          <w:bCs/>
          <w:color w:val="auto"/>
          <w:sz w:val="24"/>
          <w:highlight w:val="none"/>
        </w:rPr>
        <w:t>全权处理本项目投标的有关事宜。</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1.我方自愿按照招标文件规定的各项要求向采购人提供所需服务，投标报价详见开标一览表。</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2.一旦我方中标，我方将严格履行合同规定的责任和义务。</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3.投标文件中提供的能够给予我公司带来优惠、好处的任何材料资料和技术、服务、商务等响应承诺情况都是真实的、有效的、合法的。</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我方愿意提供贵公司可能另外要求的，与投标有关的文件资料，并保证我方已提供和将要提供的文件资料是真实、准确的。</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我方同意本次招标的投标有效期为投标截止时间届满后</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天。</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rPr>
        <w:t>.如我方中标，我方承诺将按照本项目招标文件规定的招标服务费收取标准在领取中标通知书前向采购代理机构如数交纳招标服务费。</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rPr>
        <w:t>.我方完全理解采购人不一定将合同授予最低报价的投标人的行为。</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本公司对上述投标函内容真实性负责。如经查实投标函的内容存在虚假，我公司愿意接受以提供虚假材料谋取中标追究法律责任。</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        （盖章）</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法定代表人或授权代表（签字）：</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通讯地址：                          邮政编码：</w:t>
      </w:r>
    </w:p>
    <w:p>
      <w:pPr>
        <w:pStyle w:val="13"/>
        <w:spacing w:line="400" w:lineRule="exact"/>
        <w:ind w:left="0" w:lef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联系电话：                         传    真：</w:t>
      </w:r>
    </w:p>
    <w:p>
      <w:pPr>
        <w:widowControl/>
        <w:spacing w:line="400" w:lineRule="exact"/>
        <w:ind w:firstLine="470" w:firstLineChars="196"/>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widowControl/>
        <w:spacing w:line="400" w:lineRule="exact"/>
        <w:jc w:val="center"/>
        <w:outlineLvl w:val="1"/>
        <w:rPr>
          <w:rFonts w:hint="eastAsia" w:ascii="仿宋" w:hAnsi="仿宋" w:eastAsia="仿宋" w:cs="仿宋"/>
          <w:b/>
          <w:color w:val="auto"/>
          <w:sz w:val="32"/>
          <w:szCs w:val="32"/>
          <w:highlight w:val="none"/>
        </w:rPr>
      </w:pPr>
      <w:bookmarkStart w:id="107" w:name="_Toc217446085"/>
    </w:p>
    <w:p>
      <w:pPr>
        <w:widowControl/>
        <w:spacing w:line="400" w:lineRule="exact"/>
        <w:jc w:val="center"/>
        <w:outlineLvl w:val="1"/>
        <w:rPr>
          <w:rFonts w:hint="eastAsia" w:ascii="仿宋" w:hAnsi="仿宋" w:eastAsia="仿宋" w:cs="仿宋"/>
          <w:b/>
          <w:color w:val="auto"/>
          <w:sz w:val="32"/>
          <w:szCs w:val="32"/>
          <w:highlight w:val="none"/>
        </w:rPr>
      </w:pPr>
    </w:p>
    <w:p>
      <w:pPr>
        <w:widowControl/>
        <w:spacing w:line="400" w:lineRule="exact"/>
        <w:jc w:val="center"/>
        <w:outlineLvl w:val="1"/>
        <w:rPr>
          <w:rFonts w:hint="eastAsia" w:ascii="仿宋" w:hAnsi="仿宋" w:eastAsia="仿宋" w:cs="仿宋"/>
          <w:b/>
          <w:color w:val="auto"/>
          <w:sz w:val="32"/>
          <w:szCs w:val="32"/>
          <w:highlight w:val="none"/>
        </w:rPr>
      </w:pPr>
    </w:p>
    <w:p>
      <w:pPr>
        <w:widowControl/>
        <w:spacing w:line="400" w:lineRule="exact"/>
        <w:jc w:val="center"/>
        <w:outlineLvl w:val="1"/>
        <w:rPr>
          <w:rFonts w:hint="eastAsia" w:ascii="仿宋" w:hAnsi="仿宋" w:eastAsia="仿宋" w:cs="仿宋"/>
          <w:b/>
          <w:color w:val="auto"/>
          <w:sz w:val="32"/>
          <w:szCs w:val="32"/>
          <w:highlight w:val="none"/>
        </w:rPr>
      </w:pPr>
    </w:p>
    <w:p>
      <w:pPr>
        <w:widowControl/>
        <w:spacing w:line="400" w:lineRule="exact"/>
        <w:jc w:val="center"/>
        <w:outlineLvl w:val="1"/>
        <w:rPr>
          <w:rFonts w:hint="eastAsia" w:ascii="仿宋" w:hAnsi="仿宋" w:eastAsia="仿宋" w:cs="仿宋"/>
          <w:b/>
          <w:color w:val="auto"/>
          <w:sz w:val="32"/>
          <w:szCs w:val="32"/>
          <w:highlight w:val="none"/>
        </w:rPr>
      </w:pPr>
    </w:p>
    <w:p>
      <w:pPr>
        <w:widowControl/>
        <w:spacing w:line="400" w:lineRule="exact"/>
        <w:jc w:val="center"/>
        <w:outlineLvl w:val="1"/>
        <w:rPr>
          <w:rFonts w:hint="eastAsia" w:ascii="仿宋" w:hAnsi="仿宋" w:eastAsia="仿宋" w:cs="仿宋"/>
          <w:b/>
          <w:color w:val="auto"/>
          <w:sz w:val="32"/>
          <w:szCs w:val="32"/>
          <w:highlight w:val="none"/>
        </w:rPr>
      </w:pPr>
    </w:p>
    <w:p>
      <w:pPr>
        <w:widowControl/>
        <w:spacing w:line="400" w:lineRule="exact"/>
        <w:jc w:val="center"/>
        <w:outlineLvl w:val="1"/>
        <w:rPr>
          <w:rFonts w:hint="eastAsia" w:ascii="仿宋" w:hAnsi="仿宋" w:eastAsia="仿宋" w:cs="仿宋"/>
          <w:b/>
          <w:color w:val="auto"/>
          <w:sz w:val="32"/>
          <w:szCs w:val="32"/>
          <w:highlight w:val="none"/>
        </w:rPr>
      </w:pPr>
    </w:p>
    <w:p>
      <w:pPr>
        <w:widowControl/>
        <w:spacing w:line="400" w:lineRule="exact"/>
        <w:jc w:val="center"/>
        <w:outlineLvl w:val="1"/>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二、承诺函</w:t>
      </w:r>
      <w:r>
        <w:rPr>
          <w:rFonts w:hint="eastAsia" w:ascii="仿宋" w:hAnsi="仿宋" w:eastAsia="仿宋" w:cs="仿宋"/>
          <w:b/>
          <w:bCs/>
          <w:color w:val="auto"/>
          <w:sz w:val="32"/>
          <w:szCs w:val="32"/>
          <w:highlight w:val="none"/>
        </w:rPr>
        <w:t>（实质性要求）</w:t>
      </w:r>
    </w:p>
    <w:p>
      <w:pPr>
        <w:widowControl/>
        <w:spacing w:line="400" w:lineRule="exact"/>
        <w:jc w:val="center"/>
        <w:outlineLvl w:val="1"/>
        <w:rPr>
          <w:rFonts w:hint="eastAsia" w:ascii="仿宋" w:hAnsi="仿宋" w:eastAsia="仿宋" w:cs="仿宋"/>
          <w:b/>
          <w:color w:val="auto"/>
          <w:sz w:val="24"/>
          <w:highlight w:val="none"/>
        </w:rPr>
      </w:pPr>
    </w:p>
    <w:p>
      <w:pPr>
        <w:widowControl/>
        <w:spacing w:line="400" w:lineRule="exact"/>
        <w:jc w:val="left"/>
        <w:outlineLvl w:val="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XXXX（采购代理机构名称）：</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我方作为本次采购项目的投标人，根据招标文件要求，现郑重承诺如下：</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二、参加本次招标采购活动，不存在与单位负责人为同一人或者存在直接控股、管理关系的其他供应商参与同一合同项下的政府采购活动的行为。</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三、为采购项目提供整体设计、规范编制或者项目管理、监理、检测等服务的供应商，不得再参加该采购项目的其他采购活动，我方承诺不属于此类禁止参加本项目的供应商。</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四、参加本次招标采购活动，不存在和其他供应商在同一合同项下的采购项目中，同时委托同一个自然人、同一家庭的人员、同一单位的人员作为代理人的行为。</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五、参加本次招标采购活动，不存在和其他供应商在同一合同项下的采购项目中，为同一母公司的两家以上的子公司。</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六、参加本次招标采购活动，不存在实际控制人或者中高级管理人员，同时是采购代理机构工作人员的行为。</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七、参加本次招标采购活动，不存在与采购代理机构存在关联关系，或者是采购代理机构的母公司或子公司的行为。</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八、投标文件中提供的能够给予我方带来优惠、好处的任何材料资料和技术、服务、商务、响应产品等响应承诺情况都是真实的、有效的、合法的。</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九</w:t>
      </w:r>
      <w:r>
        <w:rPr>
          <w:rFonts w:hint="eastAsia" w:ascii="仿宋" w:hAnsi="仿宋" w:eastAsia="仿宋" w:cs="仿宋"/>
          <w:color w:val="auto"/>
          <w:sz w:val="24"/>
          <w:highlight w:val="none"/>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十、国家或行业主管部门对采购产品的技术标准、质量标准和资格资质条件等有强制性规定的，我方承诺符合其要求。</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w:t>
      </w: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rPr>
        <w:t>、参加本次招标采购活动，我方完全同意招标文件第二章关于“投标费用”、“合同分包”、“合同转包”的实质性要求，并承诺严格按照招标文件要求履行。</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我方对上述承诺的内容事项真实性负责。如经查实上述承诺的内容事项存在虚假，我方愿意接受以提供虚假材料谋取中标追究法律责任。</w:t>
      </w:r>
    </w:p>
    <w:p>
      <w:pPr>
        <w:pStyle w:val="13"/>
        <w:spacing w:line="400" w:lineRule="exact"/>
        <w:ind w:firstLine="480" w:firstLineChars="200"/>
        <w:rPr>
          <w:rFonts w:hint="eastAsia" w:ascii="仿宋" w:hAnsi="仿宋" w:eastAsia="仿宋" w:cs="仿宋"/>
          <w:color w:val="auto"/>
          <w:sz w:val="24"/>
          <w:highlight w:val="none"/>
        </w:rPr>
      </w:pP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投标人名称：XXXX（单位公章）。</w:t>
      </w:r>
    </w:p>
    <w:p>
      <w:pPr>
        <w:pStyle w:val="13"/>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pStyle w:val="2"/>
        <w:spacing w:line="400" w:lineRule="exact"/>
        <w:ind w:firstLine="960" w:firstLineChars="400"/>
        <w:jc w:val="left"/>
        <w:rPr>
          <w:rFonts w:hint="eastAsia" w:ascii="仿宋" w:hAnsi="仿宋" w:eastAsia="仿宋" w:cs="仿宋"/>
          <w:bCs w:val="0"/>
          <w:color w:val="auto"/>
          <w:highlight w:val="none"/>
        </w:rPr>
      </w:pPr>
      <w:r>
        <w:rPr>
          <w:rFonts w:hint="eastAsia" w:ascii="仿宋" w:hAnsi="仿宋" w:eastAsia="仿宋" w:cs="仿宋"/>
          <w:b w:val="0"/>
          <w:bCs w:val="0"/>
          <w:color w:val="auto"/>
          <w:sz w:val="24"/>
          <w:highlight w:val="none"/>
        </w:rPr>
        <w:t>日    期：      年   月   日</w:t>
      </w:r>
    </w:p>
    <w:p>
      <w:pPr>
        <w:pStyle w:val="2"/>
        <w:spacing w:line="400" w:lineRule="exact"/>
        <w:jc w:val="center"/>
        <w:rPr>
          <w:rFonts w:hint="eastAsia" w:ascii="仿宋" w:hAnsi="仿宋" w:eastAsia="仿宋" w:cs="仿宋"/>
          <w:bCs w:val="0"/>
          <w:color w:val="auto"/>
          <w:highlight w:val="none"/>
        </w:rPr>
      </w:pPr>
    </w:p>
    <w:p>
      <w:pPr>
        <w:spacing w:line="400" w:lineRule="exact"/>
        <w:rPr>
          <w:rFonts w:hint="eastAsia" w:ascii="仿宋" w:hAnsi="仿宋" w:eastAsia="仿宋" w:cs="仿宋"/>
          <w:color w:val="auto"/>
          <w:highlight w:val="none"/>
        </w:rPr>
      </w:pPr>
    </w:p>
    <w:p>
      <w:pPr>
        <w:pStyle w:val="2"/>
        <w:spacing w:line="400" w:lineRule="exact"/>
        <w:jc w:val="center"/>
        <w:rPr>
          <w:rFonts w:hint="eastAsia" w:ascii="仿宋" w:hAnsi="仿宋" w:eastAsia="仿宋" w:cs="仿宋"/>
          <w:bCs w:val="0"/>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spacing w:line="400" w:lineRule="exact"/>
        <w:jc w:val="center"/>
        <w:rPr>
          <w:rFonts w:hint="eastAsia" w:ascii="仿宋" w:hAnsi="仿宋" w:eastAsia="仿宋" w:cs="仿宋"/>
          <w:bCs w:val="0"/>
          <w:color w:val="auto"/>
          <w:highlight w:val="none"/>
        </w:rPr>
      </w:pPr>
      <w:r>
        <w:rPr>
          <w:rFonts w:hint="eastAsia" w:ascii="仿宋" w:hAnsi="仿宋" w:eastAsia="仿宋" w:cs="仿宋"/>
          <w:bCs w:val="0"/>
          <w:color w:val="auto"/>
          <w:highlight w:val="none"/>
        </w:rPr>
        <w:t>三、开标一览表</w:t>
      </w:r>
      <w:bookmarkEnd w:id="107"/>
    </w:p>
    <w:p>
      <w:pPr>
        <w:pStyle w:val="9"/>
        <w:spacing w:line="400" w:lineRule="exact"/>
        <w:rPr>
          <w:rFonts w:hint="eastAsia" w:ascii="仿宋" w:hAnsi="仿宋" w:eastAsia="仿宋" w:cs="仿宋"/>
          <w:color w:val="auto"/>
          <w:sz w:val="24"/>
          <w:highlight w:val="none"/>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207"/>
        <w:gridCol w:w="2890"/>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744" w:type="dxa"/>
            <w:noWrap w:val="0"/>
            <w:vAlign w:val="center"/>
          </w:tcPr>
          <w:p>
            <w:pPr>
              <w:widowControl/>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采购</w:t>
            </w:r>
            <w:r>
              <w:rPr>
                <w:rFonts w:hint="eastAsia" w:ascii="仿宋" w:hAnsi="仿宋" w:eastAsia="仿宋" w:cs="仿宋"/>
                <w:b/>
                <w:color w:val="auto"/>
                <w:sz w:val="24"/>
                <w:highlight w:val="none"/>
              </w:rPr>
              <w:t>项目名称</w:t>
            </w:r>
          </w:p>
        </w:tc>
        <w:tc>
          <w:tcPr>
            <w:tcW w:w="7092" w:type="dxa"/>
            <w:gridSpan w:val="3"/>
            <w:noWrap w:val="0"/>
            <w:vAlign w:val="center"/>
          </w:tcPr>
          <w:p>
            <w:pPr>
              <w:widowControl/>
              <w:spacing w:line="24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成都高新技术产业开发区肖家河街道办事处南片区生活区公共区域及道路清扫保洁、垃圾清运服务项目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744" w:type="dxa"/>
            <w:noWrap w:val="0"/>
            <w:vAlign w:val="center"/>
          </w:tcPr>
          <w:p>
            <w:pPr>
              <w:widowControl/>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采购</w:t>
            </w:r>
            <w:r>
              <w:rPr>
                <w:rFonts w:hint="eastAsia" w:ascii="仿宋" w:hAnsi="仿宋" w:eastAsia="仿宋" w:cs="仿宋"/>
                <w:b/>
                <w:color w:val="auto"/>
                <w:sz w:val="24"/>
                <w:highlight w:val="none"/>
              </w:rPr>
              <w:t>项目编号</w:t>
            </w:r>
          </w:p>
        </w:tc>
        <w:tc>
          <w:tcPr>
            <w:tcW w:w="7092" w:type="dxa"/>
            <w:gridSpan w:val="3"/>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 xml:space="preserve">510xxx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744" w:type="dxa"/>
            <w:noWrap w:val="0"/>
            <w:vAlign w:val="center"/>
          </w:tcPr>
          <w:p>
            <w:pPr>
              <w:widowControl/>
              <w:spacing w:line="24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服务期限</w:t>
            </w:r>
          </w:p>
        </w:tc>
        <w:tc>
          <w:tcPr>
            <w:tcW w:w="7092" w:type="dxa"/>
            <w:gridSpan w:val="3"/>
            <w:noWrap w:val="0"/>
            <w:vAlign w:val="center"/>
          </w:tcPr>
          <w:p>
            <w:pPr>
              <w:widowControl/>
              <w:spacing w:line="240" w:lineRule="auto"/>
              <w:jc w:val="center"/>
              <w:rPr>
                <w:rFonts w:hint="eastAsia" w:ascii="仿宋" w:hAnsi="仿宋" w:eastAsia="仿宋" w:cs="仿宋"/>
                <w:b/>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744" w:type="dxa"/>
            <w:noWrap w:val="0"/>
            <w:vAlign w:val="center"/>
          </w:tcPr>
          <w:p>
            <w:pPr>
              <w:widowControl/>
              <w:spacing w:line="24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服务地点</w:t>
            </w:r>
          </w:p>
        </w:tc>
        <w:tc>
          <w:tcPr>
            <w:tcW w:w="7092" w:type="dxa"/>
            <w:gridSpan w:val="3"/>
            <w:noWrap w:val="0"/>
            <w:vAlign w:val="center"/>
          </w:tcPr>
          <w:p>
            <w:pPr>
              <w:widowControl/>
              <w:spacing w:line="240" w:lineRule="auto"/>
              <w:jc w:val="center"/>
              <w:rPr>
                <w:rFonts w:hint="eastAsia" w:ascii="仿宋" w:hAnsi="仿宋" w:eastAsia="仿宋" w:cs="仿宋"/>
                <w:b/>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744" w:type="dxa"/>
            <w:noWrap w:val="0"/>
            <w:vAlign w:val="center"/>
          </w:tcPr>
          <w:p>
            <w:pPr>
              <w:widowControl/>
              <w:spacing w:line="24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服务内容</w:t>
            </w:r>
          </w:p>
        </w:tc>
        <w:tc>
          <w:tcPr>
            <w:tcW w:w="2207" w:type="dxa"/>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游园清扫、保洁（包含配电箱、座椅、游园设施、公益广告牌保洁）</w:t>
            </w:r>
          </w:p>
        </w:tc>
        <w:tc>
          <w:tcPr>
            <w:tcW w:w="2890" w:type="dxa"/>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二类道路清扫、保洁（包含配电箱、座椅、游园设施、公益广告牌保洁）</w:t>
            </w:r>
          </w:p>
        </w:tc>
        <w:tc>
          <w:tcPr>
            <w:tcW w:w="1995" w:type="dxa"/>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垃圾运输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744" w:type="dxa"/>
            <w:noWrap w:val="0"/>
            <w:vAlign w:val="center"/>
          </w:tcPr>
          <w:p>
            <w:pPr>
              <w:widowControl/>
              <w:spacing w:line="24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报价</w:t>
            </w:r>
          </w:p>
        </w:tc>
        <w:tc>
          <w:tcPr>
            <w:tcW w:w="2207" w:type="dxa"/>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Cs/>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元/㎡/月</w:t>
            </w:r>
          </w:p>
        </w:tc>
        <w:tc>
          <w:tcPr>
            <w:tcW w:w="2890" w:type="dxa"/>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Cs/>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元/㎡/月</w:t>
            </w:r>
          </w:p>
        </w:tc>
        <w:tc>
          <w:tcPr>
            <w:tcW w:w="1995" w:type="dxa"/>
            <w:noWrap w:val="0"/>
            <w:vAlign w:val="center"/>
          </w:tcPr>
          <w:p>
            <w:pPr>
              <w:widowControl/>
              <w:spacing w:line="24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Cs/>
                <w:color w:val="auto"/>
                <w:kern w:val="2"/>
                <w:sz w:val="24"/>
                <w:szCs w:val="24"/>
                <w:highlight w:val="none"/>
                <w:u w:val="single"/>
                <w:lang w:val="en-US" w:eastAsia="zh-CN" w:bidi="ar-SA"/>
              </w:rPr>
              <w:t xml:space="preserve">      </w:t>
            </w:r>
            <w:r>
              <w:rPr>
                <w:rFonts w:hint="eastAsia" w:ascii="仿宋" w:hAnsi="仿宋" w:eastAsia="仿宋" w:cs="仿宋"/>
                <w:bCs/>
                <w:color w:val="auto"/>
                <w:kern w:val="2"/>
                <w:sz w:val="24"/>
                <w:szCs w:val="24"/>
                <w:highlight w:val="none"/>
                <w:lang w:val="en-US" w:eastAsia="zh-CN" w:bidi="ar-SA"/>
              </w:rPr>
              <w:t>元/吨</w:t>
            </w:r>
          </w:p>
        </w:tc>
      </w:tr>
    </w:tbl>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r>
        <w:rPr>
          <w:rFonts w:hint="eastAsia" w:ascii="仿宋" w:hAnsi="仿宋" w:eastAsia="仿宋" w:cs="仿宋"/>
          <w:color w:val="auto"/>
          <w:sz w:val="24"/>
          <w:highlight w:val="none"/>
          <w:lang w:val="en-US" w:eastAsia="zh-CN"/>
        </w:rPr>
        <w:t>投标人的</w:t>
      </w:r>
      <w:r>
        <w:rPr>
          <w:rFonts w:hint="eastAsia" w:ascii="仿宋" w:hAnsi="仿宋" w:eastAsia="仿宋" w:cs="仿宋"/>
          <w:color w:val="auto"/>
          <w:sz w:val="24"/>
          <w:highlight w:val="none"/>
        </w:rPr>
        <w:t>报价应是最终用户验收合格后的</w:t>
      </w:r>
      <w:r>
        <w:rPr>
          <w:rFonts w:hint="eastAsia" w:ascii="仿宋" w:hAnsi="仿宋" w:eastAsia="仿宋" w:cs="仿宋"/>
          <w:color w:val="auto"/>
          <w:sz w:val="24"/>
          <w:highlight w:val="none"/>
          <w:lang w:eastAsia="zh-CN"/>
        </w:rPr>
        <w:t>含税价格</w:t>
      </w:r>
      <w:r>
        <w:rPr>
          <w:rFonts w:hint="eastAsia" w:ascii="仿宋" w:hAnsi="仿宋" w:eastAsia="仿宋" w:cs="仿宋"/>
          <w:color w:val="auto"/>
          <w:sz w:val="24"/>
          <w:highlight w:val="none"/>
        </w:rPr>
        <w:t>，包括实施和完成本项目所需的劳务、管理、材料、</w:t>
      </w:r>
      <w:r>
        <w:rPr>
          <w:rFonts w:hint="eastAsia" w:ascii="仿宋" w:hAnsi="仿宋" w:eastAsia="仿宋" w:cs="仿宋"/>
          <w:color w:val="auto"/>
          <w:sz w:val="24"/>
          <w:highlight w:val="none"/>
          <w:lang w:eastAsia="zh-CN"/>
        </w:rPr>
        <w:t>设备、保险、</w:t>
      </w:r>
      <w:r>
        <w:rPr>
          <w:rFonts w:hint="eastAsia" w:ascii="仿宋" w:hAnsi="仿宋" w:eastAsia="仿宋" w:cs="仿宋"/>
          <w:color w:val="auto"/>
          <w:sz w:val="24"/>
          <w:highlight w:val="none"/>
        </w:rPr>
        <w:t>差旅、税金、利润等完成本项目所需的一切费用、税金及本</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规定的其它</w:t>
      </w:r>
      <w:r>
        <w:rPr>
          <w:rFonts w:hint="eastAsia" w:ascii="仿宋" w:hAnsi="仿宋" w:eastAsia="仿宋" w:cs="仿宋"/>
          <w:color w:val="auto"/>
          <w:sz w:val="24"/>
          <w:highlight w:val="none"/>
          <w:lang w:eastAsia="zh-CN"/>
        </w:rPr>
        <w:t>含税</w:t>
      </w:r>
      <w:r>
        <w:rPr>
          <w:rFonts w:hint="eastAsia" w:ascii="仿宋" w:hAnsi="仿宋" w:eastAsia="仿宋" w:cs="仿宋"/>
          <w:color w:val="auto"/>
          <w:sz w:val="24"/>
          <w:highlight w:val="none"/>
        </w:rPr>
        <w:t>费用，</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后</w:t>
      </w:r>
      <w:r>
        <w:rPr>
          <w:rFonts w:hint="eastAsia" w:ascii="仿宋" w:hAnsi="仿宋" w:eastAsia="仿宋" w:cs="仿宋"/>
          <w:color w:val="auto"/>
          <w:sz w:val="24"/>
          <w:highlight w:val="none"/>
          <w:lang w:eastAsia="zh-CN"/>
        </w:rPr>
        <w:t>此表报价</w:t>
      </w:r>
      <w:r>
        <w:rPr>
          <w:rFonts w:hint="eastAsia" w:ascii="仿宋" w:hAnsi="仿宋" w:eastAsia="仿宋" w:cs="仿宋"/>
          <w:color w:val="auto"/>
          <w:sz w:val="24"/>
          <w:highlight w:val="none"/>
        </w:rPr>
        <w:t>不做调整。</w:t>
      </w:r>
    </w:p>
    <w:p>
      <w:pPr>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2.诺因政策、规划等造成的服务内容及工作量调整，按成交</w:t>
      </w:r>
      <w:r>
        <w:rPr>
          <w:rFonts w:hint="eastAsia" w:ascii="仿宋" w:hAnsi="仿宋" w:eastAsia="仿宋" w:cs="仿宋"/>
          <w:color w:val="auto"/>
          <w:sz w:val="24"/>
          <w:highlight w:val="none"/>
          <w:lang w:eastAsia="zh-CN"/>
        </w:rPr>
        <w:t>报价</w:t>
      </w:r>
      <w:r>
        <w:rPr>
          <w:rFonts w:hint="eastAsia" w:ascii="仿宋" w:hAnsi="仿宋" w:eastAsia="仿宋" w:cs="仿宋"/>
          <w:color w:val="auto"/>
          <w:sz w:val="24"/>
          <w:highlight w:val="none"/>
        </w:rPr>
        <w:t>和工作量据实结算。若涉及到未报价项目，由采购人和中标供应商友好协商价格，但不能高于同期市场价。</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3.投标人提供所有服务，每项服务只允许对应一个报价</w:t>
      </w:r>
      <w:r>
        <w:rPr>
          <w:rFonts w:hint="eastAsia" w:ascii="仿宋" w:hAnsi="仿宋" w:eastAsia="仿宋" w:cs="仿宋"/>
          <w:color w:val="auto"/>
          <w:sz w:val="24"/>
          <w:highlight w:val="none"/>
        </w:rPr>
        <w:t>，并且在合同履行过程中是固定不变的，任何有选择或可调整的报价将不予接受，并按无效投标处理。</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“开标一览表”为多页的，每页均需由法定代表人或授权代表签字并盖投标人印章。</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．单独递交用于唱标的“开标一览表”属实质性要求。</w:t>
      </w:r>
    </w:p>
    <w:p>
      <w:pPr>
        <w:adjustRightInd w:val="0"/>
        <w:spacing w:line="400" w:lineRule="exact"/>
        <w:ind w:firstLine="480" w:firstLineChars="200"/>
        <w:jc w:val="left"/>
        <w:rPr>
          <w:rFonts w:hint="eastAsia" w:ascii="仿宋" w:hAnsi="仿宋" w:eastAsia="仿宋" w:cs="仿宋"/>
          <w:color w:val="auto"/>
          <w:sz w:val="24"/>
          <w:highlight w:val="none"/>
        </w:rPr>
      </w:pPr>
    </w:p>
    <w:p>
      <w:pPr>
        <w:adjustRightIn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（盖章）</w:t>
      </w:r>
    </w:p>
    <w:p>
      <w:pPr>
        <w:adjustRightIn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adjustRightInd w:val="0"/>
        <w:spacing w:line="400" w:lineRule="exact"/>
        <w:jc w:val="left"/>
        <w:rPr>
          <w:rFonts w:hint="eastAsia" w:ascii="仿宋" w:hAnsi="仿宋" w:eastAsia="仿宋" w:cs="仿宋"/>
          <w:color w:val="auto"/>
          <w:highlight w:val="none"/>
        </w:rPr>
      </w:pPr>
      <w:bookmarkStart w:id="108" w:name="_Toc217446087"/>
    </w:p>
    <w:p>
      <w:pPr>
        <w:adjustRightInd w:val="0"/>
        <w:spacing w:line="400" w:lineRule="exact"/>
        <w:jc w:val="left"/>
        <w:rPr>
          <w:rFonts w:hint="eastAsia" w:ascii="仿宋" w:hAnsi="仿宋" w:eastAsia="仿宋" w:cs="仿宋"/>
          <w:color w:val="auto"/>
          <w:highlight w:val="none"/>
        </w:rPr>
      </w:pPr>
    </w:p>
    <w:p>
      <w:pPr>
        <w:pStyle w:val="2"/>
        <w:spacing w:line="400" w:lineRule="exact"/>
        <w:jc w:val="center"/>
        <w:rPr>
          <w:rFonts w:hint="eastAsia" w:ascii="仿宋" w:hAnsi="仿宋" w:eastAsia="仿宋" w:cs="仿宋"/>
          <w:bCs w:val="0"/>
          <w:color w:val="auto"/>
          <w:highlight w:val="none"/>
        </w:rPr>
      </w:pPr>
      <w:r>
        <w:rPr>
          <w:rFonts w:hint="eastAsia" w:ascii="仿宋" w:hAnsi="仿宋" w:eastAsia="仿宋" w:cs="仿宋"/>
          <w:bCs w:val="0"/>
          <w:color w:val="auto"/>
          <w:highlight w:val="none"/>
        </w:rPr>
        <w:t>四、商务应答表</w:t>
      </w:r>
      <w:bookmarkEnd w:id="108"/>
    </w:p>
    <w:p>
      <w:pPr>
        <w:spacing w:line="400" w:lineRule="exact"/>
        <w:ind w:firstLine="241" w:firstLineChars="100"/>
        <w:rPr>
          <w:rFonts w:hint="eastAsia" w:ascii="仿宋" w:hAnsi="仿宋" w:eastAsia="仿宋" w:cs="仿宋"/>
          <w:b/>
          <w:color w:val="auto"/>
          <w:sz w:val="24"/>
          <w:highlight w:val="none"/>
        </w:rPr>
      </w:pPr>
      <w:bookmarkStart w:id="109" w:name="_Toc217446088"/>
      <w:r>
        <w:rPr>
          <w:rFonts w:hint="eastAsia" w:ascii="仿宋" w:hAnsi="仿宋" w:eastAsia="仿宋" w:cs="仿宋"/>
          <w:b/>
          <w:color w:val="auto"/>
          <w:sz w:val="24"/>
          <w:highlight w:val="none"/>
        </w:rPr>
        <w:t>项目名称：</w:t>
      </w:r>
    </w:p>
    <w:p>
      <w:pPr>
        <w:spacing w:line="400" w:lineRule="exact"/>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采购项目编号：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338"/>
        <w:gridCol w:w="3612"/>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59"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338"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招标要求</w:t>
            </w:r>
          </w:p>
        </w:tc>
        <w:tc>
          <w:tcPr>
            <w:tcW w:w="3612"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投标应答</w:t>
            </w:r>
          </w:p>
        </w:tc>
        <w:tc>
          <w:tcPr>
            <w:tcW w:w="1647"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059"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33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61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47"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059"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33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61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47"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059"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33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61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47"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059"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33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361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47"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bl>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注：投标人不得虚假应答，否则将取消其投标或中标资格。如投标文件与招标文件商务</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相关条款无偏离（包括正偏离和负偏离），可以无须逐条应答。如有偏离条款，请将偏离条款逐条应答。未明确应答时（包括本章格式所附的“注”），均视为接受及满足招标文件要求，并对投标人的投标文件具有约束力。</w:t>
      </w:r>
    </w:p>
    <w:p>
      <w:pPr>
        <w:pStyle w:val="9"/>
        <w:spacing w:line="400" w:lineRule="exact"/>
        <w:rPr>
          <w:rFonts w:hint="eastAsia" w:ascii="仿宋" w:hAnsi="仿宋" w:eastAsia="仿宋" w:cs="仿宋"/>
          <w:color w:val="auto"/>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投标人名称：（单位公章）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法定代表人或授权代表（签字或加盖个人名章）：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bookmarkEnd w:id="109"/>
    <w:p>
      <w:pPr>
        <w:pStyle w:val="2"/>
        <w:spacing w:line="400" w:lineRule="exact"/>
        <w:jc w:val="center"/>
        <w:rPr>
          <w:rFonts w:hint="eastAsia" w:ascii="仿宋" w:hAnsi="仿宋" w:eastAsia="仿宋" w:cs="仿宋"/>
          <w:bCs w:val="0"/>
          <w:color w:val="auto"/>
          <w:highlight w:val="none"/>
        </w:rPr>
      </w:pPr>
      <w:bookmarkStart w:id="110" w:name="_Toc217446089"/>
      <w:r>
        <w:rPr>
          <w:rFonts w:hint="eastAsia" w:ascii="仿宋" w:hAnsi="仿宋" w:eastAsia="仿宋" w:cs="仿宋"/>
          <w:bCs w:val="0"/>
          <w:color w:val="auto"/>
          <w:highlight w:val="none"/>
        </w:rPr>
        <w:t>五、投标人类似项目业绩一览表</w:t>
      </w:r>
      <w:bookmarkEnd w:id="110"/>
    </w:p>
    <w:p>
      <w:pPr>
        <w:spacing w:line="400" w:lineRule="exact"/>
        <w:ind w:firstLine="241" w:firstLineChars="100"/>
        <w:rPr>
          <w:rFonts w:hint="eastAsia" w:ascii="仿宋" w:hAnsi="仿宋" w:eastAsia="仿宋" w:cs="仿宋"/>
          <w:b/>
          <w:color w:val="auto"/>
          <w:sz w:val="24"/>
          <w:highlight w:val="none"/>
        </w:rPr>
      </w:pPr>
      <w:bookmarkStart w:id="111" w:name="_Toc217446090"/>
      <w:r>
        <w:rPr>
          <w:rFonts w:hint="eastAsia" w:ascii="仿宋" w:hAnsi="仿宋" w:eastAsia="仿宋" w:cs="仿宋"/>
          <w:b/>
          <w:color w:val="auto"/>
          <w:sz w:val="24"/>
          <w:highlight w:val="none"/>
        </w:rPr>
        <w:t>项目名称：</w:t>
      </w:r>
    </w:p>
    <w:p>
      <w:pPr>
        <w:spacing w:line="400" w:lineRule="exact"/>
        <w:ind w:firstLine="241" w:firstLineChars="100"/>
        <w:rPr>
          <w:rFonts w:hint="eastAsia" w:ascii="仿宋" w:hAnsi="仿宋" w:eastAsia="仿宋" w:cs="仿宋"/>
          <w:color w:val="auto"/>
          <w:highlight w:val="none"/>
        </w:rPr>
      </w:pPr>
      <w:r>
        <w:rPr>
          <w:rFonts w:hint="eastAsia" w:ascii="仿宋" w:hAnsi="仿宋" w:eastAsia="仿宋" w:cs="仿宋"/>
          <w:b/>
          <w:color w:val="auto"/>
          <w:sz w:val="24"/>
          <w:highlight w:val="none"/>
        </w:rPr>
        <w:t>采购项目编号：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53"/>
        <w:gridCol w:w="1707"/>
        <w:gridCol w:w="1564"/>
        <w:gridCol w:w="1376"/>
        <w:gridCol w:w="1493"/>
        <w:gridCol w:w="11"/>
        <w:gridCol w:w="1607"/>
        <w:gridCol w:w="10"/>
        <w:gridCol w:w="9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tcBorders>
              <w:top w:val="single" w:color="auto" w:sz="4" w:space="0"/>
            </w:tcBorders>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707"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用户名称</w:t>
            </w:r>
          </w:p>
        </w:tc>
        <w:tc>
          <w:tcPr>
            <w:tcW w:w="1564"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376"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完成时间</w:t>
            </w:r>
          </w:p>
        </w:tc>
        <w:tc>
          <w:tcPr>
            <w:tcW w:w="1493"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合同金额</w:t>
            </w:r>
          </w:p>
        </w:tc>
        <w:tc>
          <w:tcPr>
            <w:tcW w:w="1628" w:type="dxa"/>
            <w:gridSpan w:val="3"/>
            <w:tcBorders>
              <w:right w:val="single" w:color="auto" w:sz="4" w:space="0"/>
            </w:tcBorders>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是否通过</w:t>
            </w:r>
          </w:p>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验收</w:t>
            </w:r>
          </w:p>
        </w:tc>
        <w:tc>
          <w:tcPr>
            <w:tcW w:w="927" w:type="dxa"/>
            <w:tcBorders>
              <w:left w:val="single" w:color="auto" w:sz="4" w:space="0"/>
            </w:tcBorders>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49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28" w:type="dxa"/>
            <w:gridSpan w:val="3"/>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27" w:type="dxa"/>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49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28" w:type="dxa"/>
            <w:gridSpan w:val="3"/>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27" w:type="dxa"/>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49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28" w:type="dxa"/>
            <w:gridSpan w:val="3"/>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27" w:type="dxa"/>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49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28" w:type="dxa"/>
            <w:gridSpan w:val="3"/>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27" w:type="dxa"/>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04" w:type="dxa"/>
            <w:gridSpan w:val="2"/>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17" w:type="dxa"/>
            <w:gridSpan w:val="2"/>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27" w:type="dxa"/>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04" w:type="dxa"/>
            <w:gridSpan w:val="2"/>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07" w:type="dxa"/>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37" w:type="dxa"/>
            <w:gridSpan w:val="2"/>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04" w:type="dxa"/>
            <w:gridSpan w:val="2"/>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07" w:type="dxa"/>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37" w:type="dxa"/>
            <w:gridSpan w:val="2"/>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53"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04" w:type="dxa"/>
            <w:gridSpan w:val="2"/>
            <w:tcBorders>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07" w:type="dxa"/>
            <w:tcBorders>
              <w:left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37" w:type="dxa"/>
            <w:gridSpan w:val="2"/>
            <w:tcBorders>
              <w:lef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853" w:type="dxa"/>
            <w:tcBorders>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tcBorders>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tcBorders>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tcBorders>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04" w:type="dxa"/>
            <w:gridSpan w:val="2"/>
            <w:tcBorders>
              <w:bottom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07" w:type="dxa"/>
            <w:tcBorders>
              <w:left w:val="single" w:color="auto" w:sz="4" w:space="0"/>
              <w:bottom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37" w:type="dxa"/>
            <w:gridSpan w:val="2"/>
            <w:tcBorders>
              <w:left w:val="single" w:color="auto" w:sz="4" w:space="0"/>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53" w:type="dxa"/>
            <w:tcBorders>
              <w:top w:val="single" w:color="auto" w:sz="4" w:space="0"/>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707" w:type="dxa"/>
            <w:tcBorders>
              <w:top w:val="single" w:color="auto" w:sz="4" w:space="0"/>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64" w:type="dxa"/>
            <w:tcBorders>
              <w:top w:val="single" w:color="auto" w:sz="4" w:space="0"/>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6" w:type="dxa"/>
            <w:tcBorders>
              <w:top w:val="single" w:color="auto" w:sz="4" w:space="0"/>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504" w:type="dxa"/>
            <w:gridSpan w:val="2"/>
            <w:tcBorders>
              <w:top w:val="single" w:color="auto" w:sz="4" w:space="0"/>
              <w:bottom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937" w:type="dxa"/>
            <w:gridSpan w:val="2"/>
            <w:tcBorders>
              <w:top w:val="single" w:color="auto" w:sz="4" w:space="0"/>
              <w:left w:val="single" w:color="auto" w:sz="4" w:space="0"/>
              <w:bottom w:val="single" w:color="auto" w:sz="4" w:space="0"/>
            </w:tcBorders>
            <w:noWrap w:val="0"/>
            <w:vAlign w:val="center"/>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bl>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注：投标人（仅限于投标人自己实施的）以上业绩需提供合同书面证明材料。</w:t>
      </w: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投标人名称：（单位公章）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法定代表人或授权代表（签字或加盖个人名章）：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widowControl/>
        <w:spacing w:line="400" w:lineRule="exact"/>
        <w:ind w:firstLine="470" w:firstLineChars="196"/>
        <w:jc w:val="left"/>
        <w:outlineLvl w:val="1"/>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highlight w:val="none"/>
        </w:rPr>
      </w:pPr>
    </w:p>
    <w:p>
      <w:pPr>
        <w:pStyle w:val="18"/>
        <w:rPr>
          <w:rFonts w:hint="eastAsia" w:ascii="仿宋" w:hAnsi="仿宋" w:eastAsia="仿宋" w:cs="仿宋"/>
          <w:color w:val="auto"/>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pStyle w:val="2"/>
        <w:spacing w:line="400" w:lineRule="exact"/>
        <w:jc w:val="center"/>
        <w:rPr>
          <w:rFonts w:hint="eastAsia" w:ascii="仿宋" w:hAnsi="仿宋" w:eastAsia="仿宋" w:cs="仿宋"/>
          <w:bCs w:val="0"/>
          <w:color w:val="auto"/>
          <w:kern w:val="0"/>
          <w:highlight w:val="none"/>
        </w:rPr>
      </w:pPr>
      <w:r>
        <w:rPr>
          <w:rFonts w:hint="eastAsia" w:ascii="仿宋" w:hAnsi="仿宋" w:eastAsia="仿宋" w:cs="仿宋"/>
          <w:bCs w:val="0"/>
          <w:color w:val="auto"/>
          <w:kern w:val="0"/>
          <w:highlight w:val="none"/>
        </w:rPr>
        <w:t>六、技术服务要求应答表</w:t>
      </w:r>
      <w:bookmarkEnd w:id="111"/>
    </w:p>
    <w:p>
      <w:pPr>
        <w:spacing w:line="400" w:lineRule="exact"/>
        <w:ind w:firstLine="241" w:firstLineChars="100"/>
        <w:rPr>
          <w:rFonts w:hint="eastAsia" w:ascii="仿宋" w:hAnsi="仿宋" w:eastAsia="仿宋" w:cs="仿宋"/>
          <w:b/>
          <w:color w:val="auto"/>
          <w:sz w:val="24"/>
          <w:highlight w:val="none"/>
          <w:u w:val="single"/>
        </w:rPr>
      </w:pPr>
      <w:bookmarkStart w:id="112" w:name="_Toc217446091"/>
      <w:r>
        <w:rPr>
          <w:rFonts w:hint="eastAsia" w:ascii="仿宋" w:hAnsi="仿宋" w:eastAsia="仿宋" w:cs="仿宋"/>
          <w:b/>
          <w:color w:val="auto"/>
          <w:sz w:val="24"/>
          <w:highlight w:val="none"/>
        </w:rPr>
        <w:t>项目名称：</w:t>
      </w:r>
    </w:p>
    <w:p>
      <w:pPr>
        <w:spacing w:line="400" w:lineRule="exact"/>
        <w:ind w:firstLine="241" w:firstLineChars="100"/>
        <w:rPr>
          <w:rFonts w:hint="eastAsia" w:ascii="仿宋" w:hAnsi="仿宋" w:eastAsia="仿宋" w:cs="仿宋"/>
          <w:color w:val="auto"/>
          <w:highlight w:val="none"/>
        </w:rPr>
      </w:pPr>
      <w:r>
        <w:rPr>
          <w:rFonts w:hint="eastAsia" w:ascii="仿宋" w:hAnsi="仿宋" w:eastAsia="仿宋" w:cs="仿宋"/>
          <w:b/>
          <w:color w:val="auto"/>
          <w:sz w:val="24"/>
          <w:highlight w:val="none"/>
        </w:rPr>
        <w:t>采购项目编号：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051"/>
        <w:gridCol w:w="2753"/>
        <w:gridCol w:w="2693"/>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服务项目</w:t>
            </w:r>
          </w:p>
        </w:tc>
        <w:tc>
          <w:tcPr>
            <w:tcW w:w="1051"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2753"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2693"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服务应答</w:t>
            </w:r>
          </w:p>
        </w:tc>
        <w:tc>
          <w:tcPr>
            <w:tcW w:w="1378" w:type="dxa"/>
            <w:noWrap w:val="0"/>
            <w:vAlign w:val="center"/>
          </w:tcPr>
          <w:p>
            <w:pPr>
              <w:widowControl/>
              <w:spacing w:line="400" w:lineRule="exact"/>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center"/>
          </w:tcPr>
          <w:p>
            <w:pPr>
              <w:widowControl/>
              <w:spacing w:line="400" w:lineRule="exact"/>
              <w:jc w:val="center"/>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051"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75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2693"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c>
          <w:tcPr>
            <w:tcW w:w="1378" w:type="dxa"/>
            <w:noWrap w:val="0"/>
            <w:vAlign w:val="top"/>
          </w:tcPr>
          <w:p>
            <w:pPr>
              <w:widowControl/>
              <w:spacing w:line="400" w:lineRule="exact"/>
              <w:ind w:firstLine="470" w:firstLineChars="196"/>
              <w:jc w:val="left"/>
              <w:outlineLvl w:val="1"/>
              <w:rPr>
                <w:rFonts w:hint="eastAsia" w:ascii="仿宋" w:hAnsi="仿宋" w:eastAsia="仿宋" w:cs="仿宋"/>
                <w:color w:val="auto"/>
                <w:sz w:val="24"/>
                <w:highlight w:val="none"/>
              </w:rPr>
            </w:pPr>
          </w:p>
        </w:tc>
      </w:tr>
    </w:tbl>
    <w:p>
      <w:pPr>
        <w:widowControl/>
        <w:spacing w:line="360" w:lineRule="atLeas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如投标文件与招标文件技术服务要求相关条款无偏离（包括正偏离和负偏离），可以无须逐条应答。如有偏离条款，请将偏离条款逐条应答。未明确应答时（包括本章格式所附的“注”），均视为接受及满足招标文件要求，并对投标人的投标文件具有约束力。</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．供应商必须据实填写，不得虚假填写，否则将取消其</w:t>
      </w:r>
      <w:r>
        <w:rPr>
          <w:rFonts w:hint="eastAsia" w:ascii="仿宋" w:hAnsi="仿宋" w:eastAsia="仿宋" w:cs="仿宋"/>
          <w:color w:val="auto"/>
          <w:sz w:val="24"/>
          <w:highlight w:val="none"/>
          <w:lang w:eastAsia="zh-CN"/>
        </w:rPr>
        <w:t>投标</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lang w:eastAsia="zh-CN"/>
        </w:rPr>
        <w:t>，并承担相应的法律责任</w:t>
      </w:r>
      <w:r>
        <w:rPr>
          <w:rFonts w:hint="eastAsia" w:ascii="仿宋" w:hAnsi="仿宋" w:eastAsia="仿宋" w:cs="仿宋"/>
          <w:color w:val="auto"/>
          <w:sz w:val="24"/>
          <w:highlight w:val="none"/>
        </w:rPr>
        <w:t>。</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3. 此表为多页的，</w:t>
      </w:r>
      <w:r>
        <w:rPr>
          <w:rFonts w:hint="eastAsia" w:ascii="仿宋" w:hAnsi="仿宋" w:eastAsia="仿宋" w:cs="仿宋"/>
          <w:color w:val="auto"/>
          <w:sz w:val="24"/>
          <w:highlight w:val="none"/>
        </w:rPr>
        <w:t>每页均需由法定代表人或授权代表签字并加盖供应商印章。</w:t>
      </w:r>
    </w:p>
    <w:p>
      <w:pPr>
        <w:pStyle w:val="9"/>
        <w:rPr>
          <w:rFonts w:hint="default" w:eastAsia="仿宋"/>
          <w:color w:val="auto"/>
          <w:highlight w:val="none"/>
          <w:lang w:val="en-US" w:eastAsia="zh-CN"/>
        </w:rPr>
      </w:pPr>
    </w:p>
    <w:p>
      <w:pPr>
        <w:pStyle w:val="9"/>
        <w:spacing w:line="400" w:lineRule="exact"/>
        <w:rPr>
          <w:rFonts w:hint="eastAsia" w:ascii="仿宋" w:hAnsi="仿宋" w:eastAsia="仿宋" w:cs="仿宋"/>
          <w:color w:val="auto"/>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投标人名称：（单位公章）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法定代表人或授权代表（签字或加盖个人名章）：</w:t>
      </w:r>
    </w:p>
    <w:p>
      <w:pPr>
        <w:widowControl/>
        <w:spacing w:line="400" w:lineRule="exact"/>
        <w:ind w:firstLine="470" w:firstLineChars="196"/>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pStyle w:val="9"/>
        <w:rPr>
          <w:rFonts w:hint="eastAsia"/>
          <w:color w:val="auto"/>
          <w:highlight w:val="none"/>
        </w:rPr>
      </w:pPr>
    </w:p>
    <w:p>
      <w:pPr>
        <w:widowControl/>
        <w:spacing w:line="400" w:lineRule="exact"/>
        <w:ind w:firstLine="470" w:firstLineChars="196"/>
        <w:jc w:val="left"/>
        <w:outlineLvl w:val="1"/>
        <w:rPr>
          <w:rFonts w:hint="eastAsia" w:ascii="仿宋" w:hAnsi="仿宋" w:eastAsia="仿宋" w:cs="仿宋"/>
          <w:color w:val="auto"/>
          <w:sz w:val="24"/>
          <w:highlight w:val="none"/>
        </w:rPr>
      </w:pPr>
    </w:p>
    <w:p>
      <w:pPr>
        <w:pStyle w:val="9"/>
        <w:spacing w:line="400" w:lineRule="exact"/>
        <w:rPr>
          <w:rFonts w:hint="eastAsia" w:ascii="仿宋" w:hAnsi="仿宋" w:eastAsia="仿宋" w:cs="仿宋"/>
          <w:color w:val="auto"/>
          <w:highlight w:val="none"/>
        </w:rPr>
      </w:pPr>
    </w:p>
    <w:bookmarkEnd w:id="112"/>
    <w:p>
      <w:pPr>
        <w:pStyle w:val="9"/>
        <w:spacing w:line="400" w:lineRule="exact"/>
        <w:rPr>
          <w:rFonts w:hint="eastAsia" w:ascii="仿宋" w:hAnsi="仿宋" w:eastAsia="仿宋" w:cs="仿宋"/>
          <w:b/>
          <w:color w:val="auto"/>
          <w:sz w:val="32"/>
          <w:szCs w:val="28"/>
          <w:highlight w:val="none"/>
        </w:rPr>
      </w:pPr>
    </w:p>
    <w:p>
      <w:pPr>
        <w:pStyle w:val="9"/>
        <w:spacing w:line="400" w:lineRule="exact"/>
        <w:jc w:val="center"/>
        <w:rPr>
          <w:rFonts w:hint="eastAsia" w:ascii="仿宋" w:hAnsi="仿宋" w:eastAsia="仿宋" w:cs="仿宋"/>
          <w:b/>
          <w:color w:val="auto"/>
          <w:sz w:val="32"/>
          <w:szCs w:val="28"/>
          <w:highlight w:val="none"/>
        </w:rPr>
      </w:pPr>
      <w:r>
        <w:rPr>
          <w:rFonts w:hint="eastAsia" w:ascii="仿宋" w:hAnsi="仿宋" w:eastAsia="仿宋" w:cs="仿宋"/>
          <w:b/>
          <w:color w:val="auto"/>
          <w:sz w:val="32"/>
          <w:szCs w:val="28"/>
          <w:highlight w:val="none"/>
          <w:lang w:val="en-US" w:eastAsia="zh-CN"/>
        </w:rPr>
        <w:t>七</w:t>
      </w:r>
      <w:r>
        <w:rPr>
          <w:rFonts w:hint="eastAsia" w:ascii="仿宋" w:hAnsi="仿宋" w:eastAsia="仿宋" w:cs="仿宋"/>
          <w:b/>
          <w:color w:val="auto"/>
          <w:sz w:val="32"/>
          <w:szCs w:val="28"/>
          <w:highlight w:val="none"/>
        </w:rPr>
        <w:t>、投标人认为满足本项目技术、商务要求提供的其它证明或说明文件。</w:t>
      </w:r>
    </w:p>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（格式不限）</w:t>
      </w: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pStyle w:val="9"/>
        <w:spacing w:line="400" w:lineRule="exact"/>
        <w:rPr>
          <w:rFonts w:hint="eastAsia" w:ascii="仿宋" w:hAnsi="仿宋" w:eastAsia="仿宋" w:cs="仿宋"/>
          <w:color w:val="auto"/>
          <w:highlight w:val="none"/>
        </w:rPr>
      </w:pPr>
    </w:p>
    <w:p>
      <w:pPr>
        <w:spacing w:line="40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注：本章所有投标文件格式要求为原件的，供应商必须提供原件，无原件要求的，可提供原件或加盖供应商公章的复印件（或截图、扫描件等）。</w:t>
      </w:r>
    </w:p>
    <w:p>
      <w:pPr>
        <w:pStyle w:val="2"/>
        <w:spacing w:line="400" w:lineRule="exact"/>
        <w:jc w:val="center"/>
        <w:rPr>
          <w:rFonts w:hint="eastAsia" w:ascii="仿宋" w:hAnsi="仿宋" w:eastAsia="仿宋" w:cs="仿宋"/>
          <w:color w:val="auto"/>
          <w:sz w:val="36"/>
          <w:szCs w:val="36"/>
          <w:highlight w:val="none"/>
        </w:rPr>
      </w:pPr>
    </w:p>
    <w:p>
      <w:pPr>
        <w:spacing w:line="400" w:lineRule="exact"/>
        <w:rPr>
          <w:rFonts w:hint="eastAsia" w:ascii="仿宋" w:hAnsi="仿宋" w:eastAsia="仿宋" w:cs="仿宋"/>
          <w:color w:val="auto"/>
          <w:sz w:val="36"/>
          <w:szCs w:val="36"/>
          <w:highlight w:val="none"/>
        </w:rPr>
      </w:pPr>
    </w:p>
    <w:p>
      <w:pPr>
        <w:pStyle w:val="9"/>
        <w:spacing w:line="400" w:lineRule="exact"/>
        <w:rPr>
          <w:rFonts w:hint="eastAsia" w:ascii="仿宋" w:hAnsi="仿宋" w:eastAsia="仿宋" w:cs="仿宋"/>
          <w:color w:val="auto"/>
          <w:sz w:val="36"/>
          <w:szCs w:val="36"/>
          <w:highlight w:val="none"/>
        </w:rPr>
      </w:pPr>
    </w:p>
    <w:p>
      <w:pPr>
        <w:spacing w:line="400" w:lineRule="exact"/>
        <w:rPr>
          <w:rFonts w:hint="eastAsia" w:ascii="仿宋" w:hAnsi="仿宋" w:eastAsia="仿宋" w:cs="仿宋"/>
          <w:color w:val="auto"/>
          <w:sz w:val="36"/>
          <w:szCs w:val="36"/>
          <w:highlight w:val="none"/>
        </w:rPr>
      </w:pPr>
    </w:p>
    <w:p>
      <w:pPr>
        <w:pStyle w:val="9"/>
        <w:spacing w:line="400" w:lineRule="exact"/>
        <w:rPr>
          <w:rFonts w:hint="eastAsia" w:ascii="仿宋" w:hAnsi="仿宋" w:eastAsia="仿宋" w:cs="仿宋"/>
          <w:color w:val="auto"/>
          <w:sz w:val="36"/>
          <w:szCs w:val="36"/>
          <w:highlight w:val="none"/>
        </w:rPr>
      </w:pPr>
    </w:p>
    <w:p>
      <w:pPr>
        <w:spacing w:line="400" w:lineRule="exact"/>
        <w:rPr>
          <w:rFonts w:hint="eastAsia" w:ascii="仿宋" w:hAnsi="仿宋" w:eastAsia="仿宋" w:cs="仿宋"/>
          <w:color w:val="auto"/>
          <w:sz w:val="36"/>
          <w:szCs w:val="36"/>
          <w:highlight w:val="none"/>
        </w:rPr>
      </w:pPr>
    </w:p>
    <w:p>
      <w:pPr>
        <w:pStyle w:val="9"/>
        <w:spacing w:line="400" w:lineRule="exact"/>
        <w:rPr>
          <w:rFonts w:hint="eastAsia" w:ascii="仿宋" w:hAnsi="仿宋" w:eastAsia="仿宋" w:cs="仿宋"/>
          <w:color w:val="auto"/>
          <w:sz w:val="36"/>
          <w:szCs w:val="36"/>
          <w:highlight w:val="none"/>
        </w:rPr>
      </w:pPr>
    </w:p>
    <w:p>
      <w:pPr>
        <w:spacing w:line="400" w:lineRule="exact"/>
        <w:rPr>
          <w:rFonts w:hint="eastAsia" w:ascii="仿宋" w:hAnsi="仿宋" w:eastAsia="仿宋" w:cs="仿宋"/>
          <w:color w:val="auto"/>
          <w:sz w:val="36"/>
          <w:szCs w:val="36"/>
          <w:highlight w:val="none"/>
        </w:rPr>
      </w:pPr>
    </w:p>
    <w:p>
      <w:pPr>
        <w:pStyle w:val="9"/>
        <w:spacing w:line="400" w:lineRule="exact"/>
        <w:rPr>
          <w:rFonts w:hint="eastAsia" w:ascii="仿宋" w:hAnsi="仿宋" w:eastAsia="仿宋" w:cs="仿宋"/>
          <w:color w:val="auto"/>
          <w:sz w:val="36"/>
          <w:szCs w:val="36"/>
          <w:highlight w:val="none"/>
        </w:rPr>
      </w:pPr>
    </w:p>
    <w:p>
      <w:pPr>
        <w:pStyle w:val="18"/>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spacing w:line="400" w:lineRule="exact"/>
        <w:jc w:val="center"/>
        <w:rPr>
          <w:rFonts w:hint="eastAsia" w:ascii="仿宋" w:hAnsi="仿宋" w:eastAsia="仿宋" w:cs="仿宋"/>
          <w:b/>
          <w:bCs w:val="0"/>
          <w:color w:val="auto"/>
          <w:spacing w:val="-20"/>
          <w:sz w:val="36"/>
          <w:szCs w:val="36"/>
          <w:highlight w:val="none"/>
        </w:rPr>
      </w:pPr>
      <w:bookmarkStart w:id="113" w:name="_Toc25840565"/>
      <w:r>
        <w:rPr>
          <w:rFonts w:hint="eastAsia" w:ascii="仿宋" w:hAnsi="仿宋" w:eastAsia="仿宋" w:cs="仿宋"/>
          <w:b/>
          <w:bCs w:val="0"/>
          <w:color w:val="auto"/>
          <w:sz w:val="36"/>
          <w:szCs w:val="36"/>
          <w:highlight w:val="none"/>
        </w:rPr>
        <w:t xml:space="preserve">第四章  </w:t>
      </w:r>
      <w:r>
        <w:rPr>
          <w:rFonts w:hint="eastAsia" w:ascii="仿宋" w:hAnsi="仿宋" w:eastAsia="仿宋" w:cs="仿宋"/>
          <w:b/>
          <w:bCs w:val="0"/>
          <w:color w:val="auto"/>
          <w:spacing w:val="-20"/>
          <w:sz w:val="36"/>
          <w:szCs w:val="36"/>
          <w:highlight w:val="none"/>
        </w:rPr>
        <w:t>投标人和投标产品的资格、资质性</w:t>
      </w:r>
    </w:p>
    <w:p>
      <w:pPr>
        <w:pStyle w:val="3"/>
        <w:spacing w:line="400" w:lineRule="exact"/>
        <w:jc w:val="center"/>
        <w:rPr>
          <w:rFonts w:hint="eastAsia" w:ascii="仿宋" w:hAnsi="仿宋" w:eastAsia="仿宋" w:cs="仿宋"/>
          <w:b w:val="0"/>
          <w:color w:val="auto"/>
          <w:spacing w:val="-20"/>
          <w:sz w:val="36"/>
          <w:szCs w:val="36"/>
          <w:highlight w:val="none"/>
        </w:rPr>
      </w:pPr>
      <w:r>
        <w:rPr>
          <w:rFonts w:hint="eastAsia" w:ascii="仿宋" w:hAnsi="仿宋" w:eastAsia="仿宋" w:cs="仿宋"/>
          <w:b/>
          <w:bCs w:val="0"/>
          <w:color w:val="auto"/>
          <w:spacing w:val="-20"/>
          <w:sz w:val="36"/>
          <w:szCs w:val="36"/>
          <w:highlight w:val="none"/>
        </w:rPr>
        <w:t>及其他类似效力要求</w:t>
      </w:r>
      <w:bookmarkEnd w:id="113"/>
    </w:p>
    <w:p>
      <w:pPr>
        <w:pStyle w:val="63"/>
        <w:spacing w:line="40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（一）《中华人民共和国政府采购法》第二十二条第一款第（一）至（五）规定的条件：</w:t>
      </w:r>
    </w:p>
    <w:p>
      <w:pPr>
        <w:pStyle w:val="63"/>
        <w:spacing w:line="40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3.具有履行合同所必须的设备和专业技术能力；</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4.具有依法缴纳税收和社会保障资金的良好记录；</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5.参加本次政府采购活动前三年内，在经营活动中没有重大违法记录。</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w:t>
      </w:r>
      <w:r>
        <w:rPr>
          <w:rFonts w:hint="eastAsia" w:ascii="仿宋" w:hAnsi="仿宋" w:eastAsia="仿宋" w:cs="仿宋"/>
          <w:color w:val="auto"/>
          <w:spacing w:val="-4"/>
          <w:sz w:val="24"/>
          <w:highlight w:val="none"/>
        </w:rPr>
        <w:t>落实政府采购政策需满足的资格条件：本项目专门面向中小企业采购。</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根据采购项目提出的特殊条件：</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1.供应商、法定代表人以及主要负责人在</w:t>
      </w:r>
      <w:r>
        <w:rPr>
          <w:rFonts w:hint="eastAsia" w:ascii="仿宋" w:hAnsi="仿宋" w:eastAsia="仿宋" w:cs="仿宋"/>
          <w:color w:val="auto"/>
          <w:sz w:val="24"/>
          <w:highlight w:val="none"/>
          <w:lang w:eastAsia="zh-CN"/>
        </w:rPr>
        <w:t>参加本次政府采购活动</w:t>
      </w:r>
      <w:r>
        <w:rPr>
          <w:rFonts w:hint="eastAsia" w:ascii="仿宋" w:hAnsi="仿宋" w:eastAsia="仿宋" w:cs="仿宋"/>
          <w:color w:val="auto"/>
          <w:sz w:val="24"/>
          <w:highlight w:val="none"/>
        </w:rPr>
        <w:t>前三年内无行贿犯罪记录；</w:t>
      </w:r>
    </w:p>
    <w:p>
      <w:pPr>
        <w:tabs>
          <w:tab w:val="left" w:pos="7665"/>
        </w:tabs>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2.本次政府采购活动不接受联合体参与采购活动；</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）法律、行政法规规定的其他条件：</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文件中如有涉及中华人民共和国其他相关强制性标准或条件的，即使</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文件中未明示，供应商也应在资格性响应文件中提供相关有效的证明文件。</w:t>
      </w:r>
    </w:p>
    <w:p>
      <w:pPr>
        <w:tabs>
          <w:tab w:val="left" w:pos="7665"/>
        </w:tabs>
        <w:spacing w:line="400" w:lineRule="exact"/>
        <w:ind w:firstLine="482" w:firstLineChars="200"/>
        <w:jc w:val="left"/>
        <w:rPr>
          <w:rFonts w:hint="eastAsia" w:ascii="仿宋" w:hAnsi="仿宋" w:eastAsia="仿宋" w:cs="仿宋"/>
          <w:b/>
          <w:color w:val="auto"/>
          <w:sz w:val="24"/>
          <w:highlight w:val="none"/>
        </w:rPr>
      </w:pPr>
    </w:p>
    <w:p>
      <w:pPr>
        <w:pStyle w:val="63"/>
        <w:spacing w:line="400" w:lineRule="exact"/>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1.本项目确定供应商重大违法记录中较大数额罚款的金额标准为：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对非经营活动中公民的违法行为处以罚款或者没收财产2000元以上、法人或者其他组织的违法行为处以罚款或者没收财产2万元以上；对在经营活动中的违法行为处以罚款或者没收财产5万元以上。</w:t>
      </w:r>
    </w:p>
    <w:p>
      <w:pPr>
        <w:pStyle w:val="63"/>
        <w:spacing w:line="400" w:lineRule="exact"/>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2.供应商在参加</w:t>
      </w:r>
      <w:r>
        <w:rPr>
          <w:rFonts w:hint="eastAsia" w:ascii="仿宋" w:hAnsi="仿宋" w:eastAsia="仿宋" w:cs="仿宋"/>
          <w:b/>
          <w:color w:val="auto"/>
          <w:sz w:val="24"/>
          <w:highlight w:val="none"/>
          <w:lang w:eastAsia="zh-CN"/>
        </w:rPr>
        <w:t>本次</w:t>
      </w:r>
      <w:r>
        <w:rPr>
          <w:rFonts w:hint="eastAsia" w:ascii="仿宋" w:hAnsi="仿宋" w:eastAsia="仿宋" w:cs="仿宋"/>
          <w:b/>
          <w:color w:val="auto"/>
          <w:sz w:val="24"/>
          <w:highlight w:val="none"/>
        </w:rPr>
        <w:t>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9"/>
        <w:spacing w:line="400" w:lineRule="exact"/>
        <w:ind w:firstLine="420" w:firstLineChars="200"/>
        <w:rPr>
          <w:rFonts w:hint="eastAsia" w:ascii="仿宋" w:hAnsi="仿宋" w:eastAsia="仿宋" w:cs="仿宋"/>
          <w:color w:val="auto"/>
          <w:highlight w:val="none"/>
        </w:rPr>
      </w:pPr>
    </w:p>
    <w:p>
      <w:pPr>
        <w:pStyle w:val="18"/>
        <w:rPr>
          <w:rFonts w:hint="eastAsia" w:ascii="仿宋" w:hAnsi="仿宋" w:eastAsia="仿宋" w:cs="仿宋"/>
          <w:color w:val="auto"/>
          <w:highlight w:val="none"/>
        </w:rPr>
      </w:pPr>
    </w:p>
    <w:p>
      <w:pPr>
        <w:pStyle w:val="3"/>
        <w:spacing w:line="400" w:lineRule="exact"/>
        <w:jc w:val="center"/>
        <w:rPr>
          <w:rFonts w:hint="eastAsia" w:ascii="仿宋" w:hAnsi="仿宋" w:eastAsia="仿宋" w:cs="仿宋"/>
          <w:b/>
          <w:bCs w:val="0"/>
          <w:color w:val="auto"/>
          <w:sz w:val="36"/>
          <w:szCs w:val="36"/>
          <w:highlight w:val="none"/>
        </w:rPr>
      </w:pPr>
      <w:bookmarkStart w:id="114" w:name="_Toc25840566"/>
      <w:r>
        <w:rPr>
          <w:rFonts w:hint="eastAsia" w:ascii="仿宋" w:hAnsi="仿宋" w:eastAsia="仿宋" w:cs="仿宋"/>
          <w:b/>
          <w:bCs w:val="0"/>
          <w:color w:val="auto"/>
          <w:sz w:val="36"/>
          <w:szCs w:val="36"/>
          <w:highlight w:val="none"/>
        </w:rPr>
        <w:t>第五章 投标人应当提供的资格、资质性</w:t>
      </w:r>
    </w:p>
    <w:p>
      <w:pPr>
        <w:pStyle w:val="3"/>
        <w:spacing w:line="400" w:lineRule="exact"/>
        <w:jc w:val="center"/>
        <w:rPr>
          <w:rFonts w:hint="eastAsia" w:ascii="仿宋" w:hAnsi="仿宋" w:eastAsia="仿宋" w:cs="仿宋"/>
          <w:b/>
          <w:bCs w:val="0"/>
          <w:color w:val="auto"/>
          <w:sz w:val="36"/>
          <w:szCs w:val="36"/>
          <w:highlight w:val="none"/>
        </w:rPr>
      </w:pPr>
      <w:r>
        <w:rPr>
          <w:rFonts w:hint="eastAsia" w:ascii="仿宋" w:hAnsi="仿宋" w:eastAsia="仿宋" w:cs="仿宋"/>
          <w:b/>
          <w:bCs w:val="0"/>
          <w:color w:val="auto"/>
          <w:sz w:val="36"/>
          <w:szCs w:val="36"/>
          <w:highlight w:val="none"/>
        </w:rPr>
        <w:t>及其他类似效力要求的相关证明材料</w:t>
      </w:r>
      <w:bookmarkEnd w:id="114"/>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1.声明、承诺函（原件）。</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独立承担民事责任能力的证明（企业法人提供具有统一社会信用代码的营业执照；事业单位提供法人证书；民办非企业机构提供由民政部门颁发的民办非企业单位登记证书；自然人提供身份证；其它形式的供应商提供具有法律效力的资质证明；（该项均提供复印件或扫描件）</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3.法定代表人授权书（非法定代表人投标适用&lt;投标人非法人企业或组织的，法定代表人即企业负责人&gt;，原件）；</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4.法定代表人身份证；</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5.授权代表身份证（非法定代表人直接投标适用）；</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6.具有良好的商业信誉的声明或承诺（在承诺函中作出明确的承诺或声明）。</w:t>
      </w:r>
    </w:p>
    <w:p>
      <w:pPr>
        <w:spacing w:line="4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7.具有健全的</w:t>
      </w:r>
      <w:r>
        <w:rPr>
          <w:rFonts w:hint="eastAsia" w:ascii="仿宋" w:hAnsi="仿宋" w:eastAsia="仿宋" w:cs="仿宋"/>
          <w:bCs/>
          <w:color w:val="auto"/>
          <w:sz w:val="24"/>
          <w:highlight w:val="none"/>
        </w:rPr>
        <w:t>财务会计制度证明</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(以下任选其一)：①提供2018～ 2020任一年度经审计的财务报告复印件（包含审计报告和审计报告中所涉及的财务报表和报表附注），②提供2018～ 2020任一年度供应商内部自行编制的财务报表（至少包含资产负债表），③截至投标文件递交截止日一年内银行出具的资信证明；④供应商工商注册时间至投标文件递交截止时间不足一年的，可提供：已在银行开户的相关证明材料或加盖工商备案主管部门印章的公司章程。</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8.具有履行合同所必须的设备和专业技术能力的承诺或声明（在承诺函中作出明确的承诺或声明）。</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9.具有依法缴纳税收的良好记录证明</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供应商</w:t>
      </w:r>
      <w:r>
        <w:rPr>
          <w:rFonts w:hint="eastAsia" w:ascii="仿宋" w:hAnsi="仿宋" w:eastAsia="仿宋" w:cs="仿宋"/>
          <w:color w:val="auto"/>
          <w:sz w:val="24"/>
          <w:highlight w:val="none"/>
        </w:rPr>
        <w:t>提供下列证明材料之一：①法人企业提供税务审计报告或银行纳税回单或税务局出具的纳税证明或存在纳税的发票；②依法免税的供应商应提供相应文件证明其依法免税；③在声明或承诺函中作出明确的承诺或声明，承诺或声明应为原件。</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10.具有依法缴纳社会保障资金的良好记录证明</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供应商</w:t>
      </w:r>
      <w:r>
        <w:rPr>
          <w:rFonts w:hint="eastAsia" w:ascii="仿宋" w:hAnsi="仿宋" w:eastAsia="仿宋" w:cs="仿宋"/>
          <w:color w:val="auto"/>
          <w:sz w:val="24"/>
          <w:highlight w:val="none"/>
        </w:rPr>
        <w:t>提供下列证明材料之一：①法人企业提供银行社保缴纳回单或社保交纳凭据&lt;专用收据或社会保险缴纳清单等&gt;；②依法不需要缴纳社会保障资金的供应商应提供相应文件证明其依法不需要缴纳社会保障资金；③在声明或承诺函中作出明确的承诺或声明，承诺或声明应为原件。</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11.参加本次政府采购活动前三年内，在经营活动中没有重大违法记录的证明（可以在投标文件声明或承诺函中作出明确的承诺或声明（承诺或声明应为原件）。</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12.供应商、法定代表人以及主要负责人在</w:t>
      </w:r>
      <w:r>
        <w:rPr>
          <w:rFonts w:hint="eastAsia" w:ascii="仿宋" w:hAnsi="仿宋" w:eastAsia="仿宋" w:cs="仿宋"/>
          <w:color w:val="auto"/>
          <w:sz w:val="24"/>
          <w:highlight w:val="none"/>
          <w:lang w:eastAsia="zh-CN"/>
        </w:rPr>
        <w:t>参加本次政府采购活动</w:t>
      </w:r>
      <w:r>
        <w:rPr>
          <w:rFonts w:hint="eastAsia" w:ascii="仿宋" w:hAnsi="仿宋" w:eastAsia="仿宋" w:cs="仿宋"/>
          <w:color w:val="auto"/>
          <w:sz w:val="24"/>
          <w:highlight w:val="none"/>
        </w:rPr>
        <w:t>前三年内无行贿犯罪记录</w:t>
      </w:r>
      <w:r>
        <w:rPr>
          <w:rFonts w:hint="eastAsia" w:ascii="仿宋" w:hAnsi="仿宋" w:eastAsia="仿宋" w:cs="仿宋"/>
          <w:color w:val="auto"/>
          <w:sz w:val="24"/>
          <w:highlight w:val="none"/>
          <w:lang w:eastAsia="zh-CN"/>
        </w:rPr>
        <w:t>（提供</w:t>
      </w:r>
      <w:r>
        <w:rPr>
          <w:rFonts w:hint="eastAsia" w:ascii="仿宋" w:hAnsi="仿宋" w:eastAsia="仿宋" w:cs="仿宋"/>
          <w:color w:val="auto"/>
          <w:sz w:val="24"/>
          <w:highlight w:val="none"/>
        </w:rPr>
        <w:t>承诺函原件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pacing w:line="40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13.提供《中小企业声明函》（原件，监狱企业应当提供《监狱企业声明函》原件；残疾人福利性单位应当提供《残疾人福利性单位声明函》原件）</w:t>
      </w:r>
    </w:p>
    <w:p>
      <w:pPr>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.供应商认为需要提供的文件和资料。</w:t>
      </w:r>
    </w:p>
    <w:p>
      <w:pPr>
        <w:spacing w:line="400" w:lineRule="exact"/>
        <w:jc w:val="left"/>
        <w:rPr>
          <w:rFonts w:hint="eastAsia" w:ascii="仿宋" w:hAnsi="仿宋" w:eastAsia="仿宋" w:cs="仿宋"/>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1.本章要求提供的相关证明材料与第四章的规定要求对应，除投标人自愿以外，不能要求投标人提供额外的证明材料。如果要求提供额外的证明材料，投标人有权不予提供，且不影响投标文件的有效性和完整性。</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2.本章要求提供的相关证明材料应当结合采购项目具体情况和投标人的组织机构性质确定，不得一概而论。</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3.项目如涉及有其它国家相关强制性规定的，投标人应按相关国家强制性规定要求提供证明材料。</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4.上述材料要求为原件的，供应商必须提供原件，无原件要求的，可提供原件或加盖供应商公章的复印件（或截图、扫描件等）。</w:t>
      </w:r>
    </w:p>
    <w:p>
      <w:pPr>
        <w:pStyle w:val="63"/>
        <w:spacing w:line="400" w:lineRule="exact"/>
        <w:ind w:firstLine="472" w:firstLineChars="196"/>
        <w:jc w:val="left"/>
        <w:rPr>
          <w:rFonts w:hint="eastAsia" w:ascii="仿宋" w:hAnsi="仿宋" w:eastAsia="仿宋" w:cs="仿宋"/>
          <w:b/>
          <w:color w:val="auto"/>
          <w:sz w:val="24"/>
          <w:highlight w:val="none"/>
        </w:rPr>
      </w:pPr>
    </w:p>
    <w:p>
      <w:pPr>
        <w:pStyle w:val="63"/>
        <w:spacing w:line="400" w:lineRule="exact"/>
        <w:ind w:firstLine="472" w:firstLineChars="196"/>
        <w:jc w:val="left"/>
        <w:rPr>
          <w:rFonts w:hint="eastAsia" w:ascii="仿宋" w:hAnsi="仿宋" w:eastAsia="仿宋" w:cs="仿宋"/>
          <w:b/>
          <w:color w:val="auto"/>
          <w:sz w:val="24"/>
          <w:highlight w:val="none"/>
        </w:rPr>
      </w:pPr>
    </w:p>
    <w:p>
      <w:pPr>
        <w:pStyle w:val="63"/>
        <w:spacing w:line="400" w:lineRule="exact"/>
        <w:ind w:firstLine="472" w:firstLineChars="196"/>
        <w:jc w:val="left"/>
        <w:rPr>
          <w:rFonts w:hint="eastAsia" w:ascii="仿宋" w:hAnsi="仿宋" w:eastAsia="仿宋" w:cs="仿宋"/>
          <w:b/>
          <w:color w:val="auto"/>
          <w:sz w:val="24"/>
          <w:highlight w:val="none"/>
        </w:rPr>
      </w:pPr>
    </w:p>
    <w:p>
      <w:pPr>
        <w:pStyle w:val="63"/>
        <w:spacing w:line="400" w:lineRule="exact"/>
        <w:ind w:firstLine="472" w:firstLineChars="196"/>
        <w:jc w:val="left"/>
        <w:rPr>
          <w:rFonts w:hint="eastAsia" w:ascii="仿宋" w:hAnsi="仿宋" w:eastAsia="仿宋" w:cs="仿宋"/>
          <w:b/>
          <w:color w:val="auto"/>
          <w:sz w:val="24"/>
          <w:highlight w:val="none"/>
        </w:rPr>
      </w:pPr>
    </w:p>
    <w:p>
      <w:pPr>
        <w:pStyle w:val="63"/>
        <w:spacing w:line="400" w:lineRule="exact"/>
        <w:ind w:firstLine="472" w:firstLineChars="196"/>
        <w:jc w:val="center"/>
        <w:rPr>
          <w:rFonts w:hint="eastAsia" w:ascii="仿宋" w:hAnsi="仿宋" w:eastAsia="仿宋" w:cs="仿宋"/>
          <w:bCs/>
          <w:color w:val="auto"/>
          <w:sz w:val="36"/>
          <w:szCs w:val="36"/>
          <w:highlight w:val="none"/>
        </w:rPr>
      </w:pPr>
      <w:r>
        <w:rPr>
          <w:rFonts w:hint="eastAsia" w:ascii="仿宋" w:hAnsi="仿宋" w:eastAsia="仿宋" w:cs="仿宋"/>
          <w:b/>
          <w:color w:val="auto"/>
          <w:sz w:val="24"/>
          <w:highlight w:val="none"/>
        </w:rPr>
        <w:br w:type="page"/>
      </w:r>
      <w:bookmarkStart w:id="115" w:name="_Toc217446093"/>
      <w:bookmarkStart w:id="116" w:name="_Toc25840567"/>
      <w:r>
        <w:rPr>
          <w:rFonts w:hint="eastAsia" w:ascii="仿宋" w:hAnsi="仿宋" w:eastAsia="仿宋" w:cs="仿宋"/>
          <w:b/>
          <w:bCs w:val="0"/>
          <w:color w:val="auto"/>
          <w:sz w:val="36"/>
          <w:szCs w:val="36"/>
          <w:highlight w:val="none"/>
        </w:rPr>
        <w:t xml:space="preserve">第六章 </w:t>
      </w:r>
      <w:bookmarkEnd w:id="115"/>
      <w:bookmarkEnd w:id="116"/>
      <w:r>
        <w:rPr>
          <w:rFonts w:hint="eastAsia" w:ascii="仿宋" w:hAnsi="仿宋" w:eastAsia="仿宋" w:cs="仿宋"/>
          <w:b/>
          <w:bCs w:val="0"/>
          <w:color w:val="auto"/>
          <w:sz w:val="36"/>
          <w:szCs w:val="36"/>
          <w:highlight w:val="none"/>
        </w:rPr>
        <w:t>招标项目技术、服务及其他要求</w:t>
      </w:r>
    </w:p>
    <w:p>
      <w:pPr>
        <w:pStyle w:val="71"/>
        <w:spacing w:line="400" w:lineRule="exact"/>
        <w:rPr>
          <w:rFonts w:hint="eastAsia" w:ascii="仿宋" w:hAnsi="仿宋" w:eastAsia="仿宋" w:cs="仿宋"/>
          <w:b/>
          <w:color w:val="auto"/>
          <w:highlight w:val="none"/>
        </w:rPr>
      </w:pPr>
      <w:r>
        <w:rPr>
          <w:rFonts w:hint="eastAsia" w:ascii="仿宋" w:hAnsi="仿宋" w:eastAsia="仿宋" w:cs="仿宋"/>
          <w:b/>
          <w:color w:val="auto"/>
          <w:highlight w:val="none"/>
        </w:rPr>
        <w:t xml:space="preserve"> </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一、项目概况</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肖家河街道南片区生活区公共区域清扫、保洁面积约为165931.09㎡。主要工作内容是对前述区域（含公益广告、设施）按相关要求进行清扫保洁并将肖家河街道南片区生活区其他垃圾、街面垃圾收集转运到压缩站，以及负责街面大件垃圾收运，可回收物、有害垃圾转运到肖家河垃圾分类处置中心。</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二、服务范围</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kern w:val="0"/>
          <w:sz w:val="24"/>
          <w:szCs w:val="24"/>
          <w:highlight w:val="none"/>
        </w:rPr>
        <w:t xml:space="preserve"> </w:t>
      </w:r>
      <w:r>
        <w:rPr>
          <w:rFonts w:hint="eastAsia" w:ascii="仿宋" w:hAnsi="仿宋" w:eastAsia="仿宋" w:cs="仿宋"/>
          <w:color w:val="auto"/>
          <w:sz w:val="24"/>
          <w:szCs w:val="24"/>
          <w:highlight w:val="none"/>
        </w:rPr>
        <w:t>（一）</w:t>
      </w:r>
      <w:r>
        <w:rPr>
          <w:rFonts w:hint="eastAsia" w:ascii="仿宋" w:hAnsi="仿宋" w:eastAsia="仿宋" w:cs="仿宋"/>
          <w:color w:val="auto"/>
          <w:kern w:val="0"/>
          <w:sz w:val="24"/>
          <w:szCs w:val="24"/>
          <w:highlight w:val="none"/>
        </w:rPr>
        <w:t>本项目服务范围：肖家河街道南片区</w:t>
      </w:r>
      <w:r>
        <w:rPr>
          <w:rFonts w:hint="eastAsia" w:ascii="仿宋" w:hAnsi="仿宋" w:eastAsia="仿宋" w:cs="仿宋"/>
          <w:color w:val="auto"/>
          <w:sz w:val="24"/>
          <w:szCs w:val="24"/>
          <w:highlight w:val="none"/>
        </w:rPr>
        <w:t>生活区公共区域</w:t>
      </w:r>
      <w:r>
        <w:rPr>
          <w:rFonts w:hint="eastAsia" w:ascii="仿宋" w:hAnsi="仿宋" w:eastAsia="仿宋" w:cs="仿宋"/>
          <w:color w:val="auto"/>
          <w:kern w:val="0"/>
          <w:sz w:val="24"/>
          <w:szCs w:val="24"/>
          <w:highlight w:val="none"/>
        </w:rPr>
        <w:t>。具体路段情况如下：</w:t>
      </w:r>
    </w:p>
    <w:p>
      <w:pPr>
        <w:jc w:val="center"/>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lang w:eastAsia="zh-CN"/>
        </w:rPr>
        <w:t>表</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color w:val="auto"/>
          <w:kern w:val="0"/>
          <w:sz w:val="24"/>
          <w:szCs w:val="24"/>
          <w:highlight w:val="none"/>
        </w:rPr>
        <w:t>：</w:t>
      </w:r>
      <w:r>
        <w:rPr>
          <w:rFonts w:hint="eastAsia" w:ascii="仿宋" w:hAnsi="仿宋" w:eastAsia="仿宋" w:cs="仿宋"/>
          <w:b w:val="0"/>
          <w:bCs/>
          <w:color w:val="auto"/>
          <w:kern w:val="0"/>
          <w:sz w:val="24"/>
          <w:szCs w:val="24"/>
          <w:highlight w:val="none"/>
        </w:rPr>
        <w:t>肖家河街道办事处南片区生活区</w:t>
      </w:r>
      <w:r>
        <w:rPr>
          <w:rFonts w:hint="eastAsia" w:ascii="仿宋" w:hAnsi="仿宋" w:eastAsia="仿宋" w:cs="仿宋"/>
          <w:b w:val="0"/>
          <w:bCs/>
          <w:color w:val="auto"/>
          <w:kern w:val="0"/>
          <w:sz w:val="24"/>
          <w:szCs w:val="24"/>
          <w:highlight w:val="none"/>
          <w:lang w:val="en-US" w:eastAsia="zh-CN"/>
        </w:rPr>
        <w:t>游园</w:t>
      </w:r>
      <w:r>
        <w:rPr>
          <w:rFonts w:hint="eastAsia" w:ascii="仿宋" w:hAnsi="仿宋" w:eastAsia="仿宋" w:cs="仿宋"/>
          <w:b w:val="0"/>
          <w:bCs/>
          <w:color w:val="auto"/>
          <w:kern w:val="0"/>
          <w:sz w:val="24"/>
          <w:szCs w:val="24"/>
          <w:highlight w:val="none"/>
        </w:rPr>
        <w:t>、</w:t>
      </w:r>
      <w:r>
        <w:rPr>
          <w:rFonts w:hint="eastAsia" w:ascii="仿宋" w:hAnsi="仿宋" w:eastAsia="仿宋" w:cs="仿宋"/>
          <w:b w:val="0"/>
          <w:bCs/>
          <w:color w:val="auto"/>
          <w:kern w:val="0"/>
          <w:sz w:val="24"/>
          <w:szCs w:val="24"/>
          <w:highlight w:val="none"/>
          <w:lang w:val="en-US" w:eastAsia="zh-CN"/>
        </w:rPr>
        <w:t>道路</w:t>
      </w:r>
      <w:r>
        <w:rPr>
          <w:rFonts w:hint="eastAsia" w:ascii="仿宋" w:hAnsi="仿宋" w:eastAsia="仿宋" w:cs="仿宋"/>
          <w:b w:val="0"/>
          <w:bCs/>
          <w:color w:val="auto"/>
          <w:kern w:val="0"/>
          <w:sz w:val="24"/>
          <w:szCs w:val="24"/>
          <w:highlight w:val="none"/>
        </w:rPr>
        <w:t>面积统计汇总表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
        <w:gridCol w:w="556"/>
        <w:gridCol w:w="2458"/>
        <w:gridCol w:w="1756"/>
        <w:gridCol w:w="1718"/>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332" w:type="pct"/>
            <w:noWrap/>
            <w:tcMar>
              <w:top w:w="15" w:type="dxa"/>
              <w:left w:w="15" w:type="dxa"/>
              <w:right w:w="15" w:type="dxa"/>
            </w:tcMar>
            <w:vAlign w:val="center"/>
          </w:tcPr>
          <w:p>
            <w:pPr>
              <w:spacing w:line="360" w:lineRule="auto"/>
              <w:jc w:val="center"/>
              <w:rPr>
                <w:rFonts w:hint="eastAsia" w:ascii="仿宋" w:hAnsi="仿宋" w:eastAsia="仿宋" w:cs="仿宋"/>
                <w:b/>
                <w:bCs/>
                <w:i w:val="0"/>
                <w:color w:val="auto"/>
                <w:sz w:val="24"/>
                <w:szCs w:val="24"/>
                <w:highlight w:val="none"/>
                <w:u w:val="none"/>
                <w:lang w:eastAsia="zh-CN"/>
              </w:rPr>
            </w:pPr>
            <w:r>
              <w:rPr>
                <w:rFonts w:hint="eastAsia" w:ascii="仿宋" w:hAnsi="仿宋" w:eastAsia="仿宋" w:cs="仿宋"/>
                <w:b/>
                <w:bCs/>
                <w:i w:val="0"/>
                <w:color w:val="auto"/>
                <w:sz w:val="24"/>
                <w:szCs w:val="24"/>
                <w:highlight w:val="none"/>
                <w:u w:val="none"/>
                <w:lang w:eastAsia="zh-CN"/>
              </w:rPr>
              <w:t>类型</w:t>
            </w: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bCs/>
                <w:i w:val="0"/>
                <w:color w:val="auto"/>
                <w:sz w:val="24"/>
                <w:szCs w:val="24"/>
                <w:highlight w:val="none"/>
                <w:u w:val="none"/>
              </w:rPr>
            </w:pPr>
            <w:r>
              <w:rPr>
                <w:rFonts w:hint="eastAsia" w:ascii="仿宋" w:hAnsi="仿宋" w:eastAsia="仿宋" w:cs="仿宋"/>
                <w:b/>
                <w:bCs/>
                <w:i w:val="0"/>
                <w:color w:val="auto"/>
                <w:kern w:val="0"/>
                <w:sz w:val="24"/>
                <w:szCs w:val="24"/>
                <w:highlight w:val="none"/>
                <w:u w:val="none"/>
                <w:lang w:val="en-US" w:eastAsia="zh-CN" w:bidi="ar"/>
              </w:rPr>
              <w:t>编号</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项目名称</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行车道面积(㎡)</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人行道面积(㎡)</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restar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游园</w:t>
            </w: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新光社区休闲广场</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1962.12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新盛社区科技广场</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1162.15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安信广场</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1883.03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肖家河文化广场</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6865.96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润新广场（大）</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3039.66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润新广场（小）</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2597.57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新盛社区文化广场</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2162.87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889" w:type="pct"/>
            <w:gridSpan w:val="4"/>
            <w:noWrap/>
            <w:tcMar>
              <w:top w:w="15" w:type="dxa"/>
              <w:left w:w="15" w:type="dxa"/>
              <w:right w:w="15" w:type="dxa"/>
            </w:tcMar>
            <w:vAlign w:val="center"/>
          </w:tcPr>
          <w:p>
            <w:pPr>
              <w:keepNext w:val="0"/>
              <w:keepLines w:val="0"/>
              <w:widowControl/>
              <w:suppressLineNumbers w:val="0"/>
              <w:spacing w:line="360" w:lineRule="auto"/>
              <w:jc w:val="righ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合计：</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19673.36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restart"/>
            <w:noWrap w:val="0"/>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二类</w:t>
            </w:r>
            <w:r>
              <w:rPr>
                <w:rFonts w:hint="eastAsia" w:ascii="仿宋" w:hAnsi="仿宋" w:eastAsia="仿宋" w:cs="仿宋"/>
                <w:b/>
                <w:i w:val="0"/>
                <w:color w:val="auto"/>
                <w:kern w:val="0"/>
                <w:sz w:val="24"/>
                <w:szCs w:val="24"/>
                <w:highlight w:val="none"/>
                <w:u w:val="none"/>
                <w:lang w:val="en-US" w:eastAsia="zh-CN" w:bidi="ar"/>
              </w:rPr>
              <w:br w:type="textWrapping"/>
            </w:r>
            <w:r>
              <w:rPr>
                <w:rFonts w:hint="eastAsia" w:ascii="仿宋" w:hAnsi="仿宋" w:eastAsia="仿宋" w:cs="仿宋"/>
                <w:b/>
                <w:i w:val="0"/>
                <w:color w:val="auto"/>
                <w:kern w:val="0"/>
                <w:sz w:val="24"/>
                <w:szCs w:val="24"/>
                <w:highlight w:val="none"/>
                <w:u w:val="none"/>
                <w:lang w:val="en-US" w:eastAsia="zh-CN" w:bidi="ar"/>
              </w:rPr>
              <w:t>道路</w:t>
            </w: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新义路</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10437.03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5207.00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15644.03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新乐路</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21015.64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14441.34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35456.98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新乐中街</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9559.07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8279.59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17838.66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新义西街</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8302.96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7422.15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15725.11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康复中心路</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705.57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234.96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940.53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新北街</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1885.15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999.63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2884.78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新乐北街</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13111.10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9133.79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22244.89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新乐北巷</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4424.51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3940.79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8365.3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新义东街</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4325.95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1447.43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5773.38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vMerge w:val="continue"/>
            <w:noWrap w:val="0"/>
            <w:tcMar>
              <w:top w:w="15" w:type="dxa"/>
              <w:left w:w="15" w:type="dxa"/>
              <w:right w:w="15" w:type="dxa"/>
            </w:tcMar>
            <w:vAlign w:val="center"/>
          </w:tcPr>
          <w:p>
            <w:pPr>
              <w:spacing w:line="360" w:lineRule="auto"/>
              <w:jc w:val="center"/>
              <w:rPr>
                <w:rFonts w:hint="eastAsia" w:ascii="仿宋" w:hAnsi="仿宋" w:eastAsia="仿宋" w:cs="仿宋"/>
                <w:b/>
                <w:i w:val="0"/>
                <w:color w:val="auto"/>
                <w:sz w:val="24"/>
                <w:szCs w:val="24"/>
                <w:highlight w:val="none"/>
                <w:u w:val="none"/>
              </w:rPr>
            </w:pPr>
          </w:p>
        </w:tc>
        <w:tc>
          <w:tcPr>
            <w:tcW w:w="33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w:t>
            </w:r>
          </w:p>
        </w:tc>
        <w:tc>
          <w:tcPr>
            <w:tcW w:w="1477"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新乐南街</w:t>
            </w:r>
          </w:p>
        </w:tc>
        <w:tc>
          <w:tcPr>
            <w:tcW w:w="1056"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9287.65 </w:t>
            </w:r>
          </w:p>
        </w:tc>
        <w:tc>
          <w:tcPr>
            <w:tcW w:w="1019"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12096.42 </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21384.07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332" w:type="pct"/>
            <w:noWrap w:val="0"/>
            <w:tcMar>
              <w:top w:w="15" w:type="dxa"/>
              <w:left w:w="15" w:type="dxa"/>
              <w:right w:w="15" w:type="dxa"/>
            </w:tcMar>
            <w:vAlign w:val="center"/>
          </w:tcPr>
          <w:p>
            <w:pPr>
              <w:spacing w:line="360" w:lineRule="auto"/>
              <w:rPr>
                <w:rFonts w:hint="eastAsia" w:ascii="仿宋" w:hAnsi="仿宋" w:eastAsia="仿宋" w:cs="仿宋"/>
                <w:b/>
                <w:i w:val="0"/>
                <w:color w:val="auto"/>
                <w:sz w:val="24"/>
                <w:szCs w:val="24"/>
                <w:highlight w:val="none"/>
                <w:u w:val="none"/>
              </w:rPr>
            </w:pPr>
          </w:p>
        </w:tc>
        <w:tc>
          <w:tcPr>
            <w:tcW w:w="3889" w:type="pct"/>
            <w:gridSpan w:val="4"/>
            <w:noWrap/>
            <w:tcMar>
              <w:top w:w="15" w:type="dxa"/>
              <w:left w:w="15" w:type="dxa"/>
              <w:right w:w="15" w:type="dxa"/>
            </w:tcMar>
            <w:vAlign w:val="center"/>
          </w:tcPr>
          <w:p>
            <w:pPr>
              <w:keepNext w:val="0"/>
              <w:keepLines w:val="0"/>
              <w:widowControl/>
              <w:suppressLineNumbers w:val="0"/>
              <w:spacing w:line="360" w:lineRule="auto"/>
              <w:jc w:val="righ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合计：</w:t>
            </w:r>
          </w:p>
        </w:tc>
        <w:tc>
          <w:tcPr>
            <w:tcW w:w="778" w:type="pct"/>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146257.73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color w:val="auto"/>
          <w:kern w:val="0"/>
          <w:sz w:val="24"/>
          <w:szCs w:val="24"/>
          <w:highlight w:val="non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w:t>
      </w:r>
      <w:r>
        <w:rPr>
          <w:rFonts w:hint="eastAsia" w:ascii="仿宋" w:hAnsi="仿宋" w:eastAsia="仿宋" w:cs="仿宋"/>
          <w:bCs/>
          <w:color w:val="auto"/>
          <w:kern w:val="2"/>
          <w:sz w:val="24"/>
          <w:szCs w:val="24"/>
          <w:highlight w:val="none"/>
          <w:lang w:val="en-US" w:eastAsia="zh-CN" w:bidi="ar-SA"/>
        </w:rPr>
        <w:t>垃圾量约为2910.51吨。</w:t>
      </w:r>
      <w:r>
        <w:rPr>
          <w:rFonts w:hint="eastAsia" w:ascii="仿宋" w:hAnsi="仿宋" w:eastAsia="仿宋" w:cs="仿宋"/>
          <w:b w:val="0"/>
          <w:caps w:val="0"/>
          <w:color w:val="auto"/>
          <w:kern w:val="2"/>
          <w:sz w:val="24"/>
          <w:szCs w:val="24"/>
          <w:highlight w:val="none"/>
          <w:lang w:val="en-US" w:eastAsia="zh-CN" w:bidi="ar-SA"/>
        </w:rPr>
        <w:t>（注：①、以上数量为供应商在报价过程中计算总价的一个依据，实际支付费用以当月实际发生吨数为准，并以中标人所报单价为计算依据 ； ②、</w:t>
      </w:r>
      <w:r>
        <w:rPr>
          <w:rFonts w:hint="eastAsia" w:ascii="仿宋" w:hAnsi="仿宋" w:eastAsia="仿宋" w:cs="仿宋"/>
          <w:b w:val="0"/>
          <w:bCs w:val="0"/>
          <w:caps w:val="0"/>
          <w:color w:val="auto"/>
          <w:kern w:val="2"/>
          <w:sz w:val="24"/>
          <w:szCs w:val="24"/>
          <w:highlight w:val="none"/>
          <w:lang w:val="en-US" w:eastAsia="zh-CN"/>
        </w:rPr>
        <w:t>若单月实际垃圾量超过1064.79吨，但总量未超过2910.51吨，则当月按照实际量支付；③、若单月实际垃圾量达到1064.28且总垃圾量超过2910.51吨，采购人依然按照总量2910.51吨进行支付；④、若单月实际量未达到1064.82吨，且总量未超过2910.51吨，采购人则按据实进行结算。⑤若超过合同履约期总量，超过总量部分的生活垃圾转运至生活垃圾压缩站所产生的转运费不再另行计算支付，合同履约期内所有生活垃圾转运费按2910.51吨进行结算支付。</w:t>
      </w:r>
    </w:p>
    <w:p>
      <w:pPr>
        <w:numPr>
          <w:ilvl w:val="0"/>
          <w:numId w:val="0"/>
        </w:num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注：上述面积和垃圾量均为预估量，投标人需充分考虑项目具体情况和自身实力参与本次采购项目。</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三、人员配置要求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投标人应按照本项目服务范围要求和《成都高新区肖家河街道环卫作业管理标准》</w:t>
      </w:r>
      <w:r>
        <w:rPr>
          <w:rFonts w:hint="eastAsia" w:ascii="仿宋" w:hAnsi="仿宋" w:eastAsia="仿宋" w:cs="仿宋"/>
          <w:b/>
          <w:bCs/>
          <w:color w:val="auto"/>
          <w:sz w:val="24"/>
          <w:szCs w:val="24"/>
          <w:highlight w:val="none"/>
        </w:rPr>
        <w:t>（见附件1）</w:t>
      </w:r>
      <w:r>
        <w:rPr>
          <w:rFonts w:hint="eastAsia" w:ascii="仿宋" w:hAnsi="仿宋" w:eastAsia="仿宋" w:cs="仿宋"/>
          <w:color w:val="auto"/>
          <w:sz w:val="24"/>
          <w:szCs w:val="24"/>
          <w:highlight w:val="none"/>
        </w:rPr>
        <w:t>中“环卫作业人员及设备配置标准”的要求为本项目配备相关作业人员。总人数≥</w:t>
      </w:r>
      <w:r>
        <w:rPr>
          <w:rFonts w:hint="eastAsia" w:ascii="仿宋" w:hAnsi="仿宋" w:eastAsia="仿宋" w:cs="仿宋"/>
          <w:color w:val="auto"/>
          <w:sz w:val="24"/>
          <w:szCs w:val="24"/>
          <w:highlight w:val="none"/>
          <w:lang w:val="en-US" w:eastAsia="zh-CN"/>
        </w:rPr>
        <w:t>61</w:t>
      </w:r>
      <w:r>
        <w:rPr>
          <w:rFonts w:hint="eastAsia" w:ascii="仿宋" w:hAnsi="仿宋" w:eastAsia="仿宋" w:cs="仿宋"/>
          <w:color w:val="auto"/>
          <w:sz w:val="24"/>
          <w:szCs w:val="24"/>
          <w:highlight w:val="none"/>
        </w:rPr>
        <w:t>人（其中项目负责人≥1人、项目管理人员≥</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eastAsia="zh-CN"/>
        </w:rPr>
        <w:t>司机和</w:t>
      </w:r>
      <w:r>
        <w:rPr>
          <w:rFonts w:hint="eastAsia" w:ascii="仿宋" w:hAnsi="仿宋" w:eastAsia="仿宋" w:cs="仿宋"/>
          <w:color w:val="auto"/>
          <w:sz w:val="24"/>
          <w:szCs w:val="24"/>
          <w:highlight w:val="none"/>
        </w:rPr>
        <w:t>一线工人（</w:t>
      </w:r>
      <w:r>
        <w:rPr>
          <w:rFonts w:hint="eastAsia" w:ascii="仿宋" w:hAnsi="仿宋" w:eastAsia="仿宋" w:cs="仿宋"/>
          <w:color w:val="auto"/>
          <w:sz w:val="24"/>
          <w:szCs w:val="24"/>
          <w:highlight w:val="none"/>
          <w:lang w:eastAsia="zh-CN"/>
        </w:rPr>
        <w:t>含</w:t>
      </w:r>
      <w:r>
        <w:rPr>
          <w:rFonts w:hint="eastAsia" w:ascii="仿宋" w:hAnsi="仿宋" w:eastAsia="仿宋" w:cs="仿宋"/>
          <w:color w:val="auto"/>
          <w:sz w:val="24"/>
          <w:szCs w:val="24"/>
          <w:highlight w:val="none"/>
        </w:rPr>
        <w:t>清扫保洁人员、垃圾清运人员等）≥</w:t>
      </w:r>
      <w:r>
        <w:rPr>
          <w:rFonts w:hint="eastAsia" w:ascii="仿宋" w:hAnsi="仿宋" w:eastAsia="仿宋" w:cs="仿宋"/>
          <w:color w:val="auto"/>
          <w:sz w:val="24"/>
          <w:szCs w:val="24"/>
          <w:highlight w:val="none"/>
          <w:lang w:val="en-US" w:eastAsia="zh-CN"/>
        </w:rPr>
        <w:t>58</w:t>
      </w:r>
      <w:r>
        <w:rPr>
          <w:rFonts w:hint="eastAsia" w:ascii="仿宋" w:hAnsi="仿宋" w:eastAsia="仿宋" w:cs="仿宋"/>
          <w:color w:val="auto"/>
          <w:sz w:val="24"/>
          <w:szCs w:val="24"/>
          <w:highlight w:val="none"/>
        </w:rPr>
        <w:t>人）。</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四、服务要求</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投标人应按照《成都高新区肖家河街道环卫作业管理标准》</w:t>
      </w:r>
      <w:r>
        <w:rPr>
          <w:rFonts w:hint="eastAsia" w:ascii="仿宋" w:hAnsi="仿宋" w:eastAsia="仿宋" w:cs="仿宋"/>
          <w:b/>
          <w:bCs/>
          <w:color w:val="auto"/>
          <w:sz w:val="24"/>
          <w:szCs w:val="24"/>
          <w:highlight w:val="none"/>
        </w:rPr>
        <w:t>（见附件1）</w:t>
      </w:r>
      <w:r>
        <w:rPr>
          <w:rFonts w:hint="eastAsia" w:ascii="仿宋" w:hAnsi="仿宋" w:eastAsia="仿宋" w:cs="仿宋"/>
          <w:color w:val="auto"/>
          <w:sz w:val="24"/>
          <w:szCs w:val="24"/>
          <w:highlight w:val="none"/>
        </w:rPr>
        <w:t>的规定进行作业，采购人将按照《成都高新区肖家河街道办事处环境卫生作业考核办法》和《成都高新区肖家河街道办事处考核评分标准》</w:t>
      </w:r>
      <w:r>
        <w:rPr>
          <w:rFonts w:hint="eastAsia" w:ascii="仿宋" w:hAnsi="仿宋" w:eastAsia="仿宋" w:cs="仿宋"/>
          <w:b/>
          <w:bCs/>
          <w:color w:val="auto"/>
          <w:sz w:val="24"/>
          <w:szCs w:val="24"/>
          <w:highlight w:val="none"/>
        </w:rPr>
        <w:t>（见附件2）</w:t>
      </w:r>
      <w:r>
        <w:rPr>
          <w:rFonts w:hint="eastAsia" w:ascii="仿宋" w:hAnsi="仿宋" w:eastAsia="仿宋" w:cs="仿宋"/>
          <w:color w:val="auto"/>
          <w:sz w:val="24"/>
          <w:szCs w:val="24"/>
          <w:highlight w:val="none"/>
        </w:rPr>
        <w:t>的要求</w:t>
      </w:r>
      <w:r>
        <w:rPr>
          <w:rFonts w:hint="eastAsia" w:ascii="仿宋" w:hAnsi="仿宋" w:eastAsia="仿宋" w:cs="仿宋"/>
          <w:color w:val="auto"/>
          <w:sz w:val="24"/>
          <w:szCs w:val="24"/>
          <w:highlight w:val="none"/>
          <w:lang w:eastAsia="zh-CN"/>
        </w:rPr>
        <w:t>严格考核。</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注：一线环卫工人（不包括管理人员、驾驶员）按“五工二休”配备，根据实际工作需要配备足够的快速保洁人员和车辆。</w:t>
      </w:r>
    </w:p>
    <w:p>
      <w:pPr>
        <w:spacing w:line="360" w:lineRule="auto"/>
        <w:rPr>
          <w:rFonts w:hint="eastAsia" w:ascii="仿宋" w:hAnsi="仿宋" w:eastAsia="仿宋" w:cs="仿宋"/>
          <w:b/>
          <w:bCs/>
          <w:color w:val="auto"/>
          <w:sz w:val="24"/>
          <w:szCs w:val="24"/>
          <w:highlight w:val="none"/>
          <w:lang w:eastAsia="zh-CN"/>
        </w:rPr>
      </w:pP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五</w:t>
      </w:r>
      <w:r>
        <w:rPr>
          <w:rFonts w:hint="eastAsia" w:ascii="仿宋" w:hAnsi="仿宋" w:eastAsia="仿宋" w:cs="仿宋"/>
          <w:b/>
          <w:bCs/>
          <w:color w:val="auto"/>
          <w:sz w:val="24"/>
          <w:szCs w:val="24"/>
          <w:highlight w:val="none"/>
        </w:rPr>
        <w:t>、商务要求 （</w:t>
      </w:r>
      <w:r>
        <w:rPr>
          <w:rFonts w:hint="eastAsia" w:ascii="仿宋" w:hAnsi="仿宋" w:eastAsia="仿宋" w:cs="仿宋"/>
          <w:b/>
          <w:bCs/>
          <w:color w:val="auto"/>
          <w:sz w:val="24"/>
          <w:szCs w:val="24"/>
          <w:highlight w:val="none"/>
          <w:lang w:eastAsia="zh-CN"/>
        </w:rPr>
        <w:t>实质性要求</w:t>
      </w:r>
      <w:r>
        <w:rPr>
          <w:rFonts w:hint="eastAsia" w:ascii="仿宋" w:hAnsi="仿宋" w:eastAsia="仿宋" w:cs="仿宋"/>
          <w:b/>
          <w:bCs/>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（一）服务期限：</w:t>
      </w:r>
      <w:r>
        <w:rPr>
          <w:rFonts w:hint="eastAsia" w:ascii="仿宋" w:hAnsi="仿宋" w:eastAsia="仿宋" w:cs="仿宋"/>
          <w:color w:val="auto"/>
          <w:sz w:val="24"/>
          <w:szCs w:val="24"/>
          <w:highlight w:val="none"/>
          <w:lang w:val="en-US" w:eastAsia="zh-CN"/>
        </w:rPr>
        <w:t>2021年10月11日-2021年12月31日</w:t>
      </w:r>
      <w:r>
        <w:rPr>
          <w:rFonts w:hint="eastAsia" w:ascii="仿宋" w:hAns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（二）服务地点：成都高新区肖家河街道办事处南片区生活区公共区域。</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付款方式</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合同价款（作业服务费）支付采用银行转账方式，按月考核，次月拨付上月作业服务费，付款金额具体如下：</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游园清扫作业按照游园清扫投标单价×实际作业面积进行结算；</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道路清扫作业按照道路清扫投标单价×实际作业面积进行结算；</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生活垃圾清运按照生活垃圾清运投标单价×第三方提供项目区域内垃圾清运量</w:t>
      </w:r>
      <w:r>
        <w:rPr>
          <w:rFonts w:hint="eastAsia" w:ascii="仿宋" w:hAnsi="仿宋" w:eastAsia="仿宋" w:cs="仿宋"/>
          <w:color w:val="auto"/>
          <w:sz w:val="24"/>
          <w:szCs w:val="24"/>
          <w:highlight w:val="none"/>
          <w:lang w:eastAsia="zh-CN"/>
        </w:rPr>
        <w:t>结合本章二、服务范围（二）垃圾量</w:t>
      </w:r>
      <w:r>
        <w:rPr>
          <w:rFonts w:hint="eastAsia" w:ascii="仿宋" w:hAnsi="仿宋" w:eastAsia="仿宋" w:cs="仿宋"/>
          <w:bCs/>
          <w:color w:val="auto"/>
          <w:kern w:val="2"/>
          <w:sz w:val="24"/>
          <w:szCs w:val="24"/>
          <w:highlight w:val="none"/>
          <w:lang w:val="en-US" w:eastAsia="zh-CN" w:bidi="ar-SA"/>
        </w:rPr>
        <w:t>约为2910.51吨相关内容</w:t>
      </w:r>
      <w:r>
        <w:rPr>
          <w:rFonts w:hint="eastAsia" w:ascii="仿宋" w:hAnsi="仿宋" w:eastAsia="仿宋" w:cs="仿宋"/>
          <w:color w:val="auto"/>
          <w:sz w:val="24"/>
          <w:szCs w:val="24"/>
          <w:highlight w:val="none"/>
        </w:rPr>
        <w:t>进行结算；（原则上为高新区生活垃圾压缩站提供项目区域生活垃圾清运量，如发生改变，以采购人确定的清运量为准）；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每月考核按《成都高新区肖家河街道办事处环境卫生作业考核办法》进行处理。具体扣分标准详见《成都高新区肖家河街道办事处考核评分标准》，处罚金额从每月作业服务费中扣除；</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由于行政区域划分清扫保洁的面积可能存在误差,在投标过程中和最终签定的合同中此面积可能会发生变化,不能因为此面积存在的误差而发生纠纷。具体清扫保洁的范围以采购人现场指定的位置为准。在履约期间,当道路清扫面积发生变动时，则按中标单价乘以实际作业面积据实结算。</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验收标准：按国家有关规定以及采购人</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质量要求和技术指标、中标人的投标文件及承诺与本合同约定标准进行验收；双方如对质量要求和技术指标的约定标准有相互抵触或异议的事项，由采购人在招标与投标文件中按质量要求和技术指标比较优胜的原则确定该项的约定标准进行验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验收方法：按财库〔2016〕205号规定执行。由采购人组织，中标人配合进行。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安全责任：中标人在服务实施过程中的安全责任由中标人负全责，采购人不承担任何安全责任，也不承担如发生安全事故产生的任何责任。</w:t>
      </w:r>
    </w:p>
    <w:p>
      <w:pPr>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5.履约保证金</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金额：</w:t>
      </w:r>
      <w:r>
        <w:rPr>
          <w:rFonts w:hint="eastAsia" w:ascii="仿宋" w:hAnsi="仿宋" w:eastAsia="仿宋" w:cs="仿宋"/>
          <w:color w:val="auto"/>
          <w:sz w:val="24"/>
          <w:szCs w:val="24"/>
          <w:highlight w:val="none"/>
          <w:lang w:val="en-US" w:eastAsia="zh-CN"/>
        </w:rPr>
        <w:t>成交金额的5%。</w:t>
      </w:r>
      <w:r>
        <w:rPr>
          <w:rFonts w:hint="eastAsia" w:ascii="仿宋" w:hAnsi="仿宋" w:eastAsia="仿宋" w:cs="仿宋"/>
          <w:color w:val="auto"/>
          <w:sz w:val="24"/>
          <w:szCs w:val="24"/>
          <w:highlight w:val="none"/>
        </w:rPr>
        <w:t>交款方式：履约保证金可以以支票、汇票、本票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网银转账，电汇或保函等非现金形式提交。交款时间：成交通知书发放后，采购合同签订前</w:t>
      </w:r>
      <w:r>
        <w:rPr>
          <w:rFonts w:hint="eastAsia" w:ascii="仿宋" w:hAnsi="仿宋" w:eastAsia="仿宋" w:cs="仿宋"/>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其它要求：其它未尽事宜由采购人与中标人在采购合同中约定。</w:t>
      </w: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附件1：</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成都高新区肖家河街道环卫作业管理标准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一、管理标准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（一）基本要求</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公司必须有一个固定办公地点，集中办公，统一管理。有固定的管理人员和机械作业设备，管理科学、合理、有效。</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（二）规范管理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L.各项管理制度健全，管理制度上墙，并有专门人员督促检查制度的落实情况；制定各岗位操作规范，完善岗前、岗位培训制度，定期组织安全生产教育，具有完善的突发事件应急预案。</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2、管理人员规范着装、挂牌上岗；每个公司必须配备足够的对讲机保持信息通讯联络畅通，环卫作业时段对讲机保持畅通，通话规范简洁准确，主要管理人员24小时通讯畅通。</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3.公司上报各类环境卫生工作情况应附电子文档和影像资料，所有资料必须规范完整即包括事前、事中、事后等各阶段工作情况。</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二、环卫作业人员及设备配置标准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（一）每个环卫公司必须配齐环卫作业人员，不得低于3125平方米/l人。</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每个环卫公司必须配齐相应机械化清运设备，每50万平方米至少配置l辆3吨及以下生活垃圾压缩清运车辆(不满50万平方米按50万平方米计算)，满足作业该包件垃圾的日产日清工作，每台垃圾车配备l-2名袋装垃圾收集、装车辅助人员。每25万平方米配核定载质量9吨及以上洒水车l辆(不满25万平方米按25万平方米计算），每25万平方米配核定总质量为10吨及以上洗扫车l辆（不满25万平方米按25万平方米计算）。根据实际工作需要配备足够的快速保洁人员和车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(三)质检人员不应低于管理人员的15%，质检人员每天不低于6次巡查工作段面，检查日志规范完整。</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建立环卫从业人员档案，档案内容应包括但不限于从业人员身份证复印件、岗位安排、作业区域、聘用合同等项目，对环卫作业人员的变动实施实时无纸化数字管理，每月底前报送当月标段环卫作业人员变动情况。</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五）每个公司应成立环卫应急处置突击队，增配环卫机具和人员(每个标段应增配不少于一台扫地车、一台洒水车和20名环卫工人及必备用具），在迎接重大检查和线路保障等突发事件及重大活动中，通报的问题必须在5分钟内到达现场进行处置。</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（六）按要求购买从业人员社会保险，一线从业人员月工资扣除社保五项基本险（养老、医疗、生育、工伤、失业）后应不低于当年行业主管部门规定的环卫工人最低工资标准。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七）财务管理规范，每月开具的作业经费发票和银行对账单需上报我街道备案，确保无违规违纪现象。环卫中标项目应独立核算，主动接受主管部门、业主、财政、税务、审计、监察等对环卫作业和资金运行情况、作业机具与人员投入情况的稽查审核。</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八)每月最后一个工作日上报当月的工作简报、问题分析和下月的工作措施，对标段内发生的各类环境卫生问题和处置的各类环卫作业突发事件等信息及时报送；同时，对每月标段内出现的环境卫生问题进行梳理分析，查找问题根源、具体剖析，并上报(包括书面材料、影像资料和电子文档等)备案。</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三、作业标准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（一）环卫设施：清扫保洁工具、设备齐全，符合清扫保洁作业要求。</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（二）作业人员管理：着装整齐，挂牌作业；按操作规范作业，实施“四定”管理：定人、定时、定路段、定面积。</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环境卫生作业实行“43ll”环卫作业法：每日机械清扫作业频次不得少于4次(（夜间21:00时至22:00时机动车道机扫作业l次）；每日早、中、晚集中清扫作业各l次，24小时动态保洁；每两周彻底清洗人行道方砖l次；每日夜间冲洗路面l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（四）清扫保洁作业时间</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普扫：早7：00前完成。</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保洁：24小时保洁(5月-l0月早7：00至晚23：00；11月—次年4月早7：00至晚22：00；其他时段流动保洁)。严格错峰作业时间：中心城区环卫清扫和垃圾运输实行错峰作业。每日7:30至9:00、17:30至l9:00，城区三环路以内区域禁止机械清扫作业、尽量避免垃圾转运作业（机动车）；每日22:00至次日凌晨5：00进行冲洗除尘作业，要切实加强和提高冲洗除尘的作业水平和质量，消除积尘和灰带。</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(五)作业规范</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按照《成都市中心城区环境卫生作业与管理规范》(试行）执行。</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四、每月l日将上月的工作总结及相关报表和本月的工作安排报我街道。</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2" w:firstLineChars="175"/>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附件2：</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成都高新区肖家河街道办事处环境卫生作业考核办法</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高新区城市管理和环境保护局是全区环境卫生管理工作监督、检查考核的主管部门。街道办事处是辖区环境卫生作业服务工作监督、检查、考核的主管单位。</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一、考核方式：</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考核采用巡查制及平台监管的方式实行：</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巡查制：由1-2名街道办事处城管办工作人员进行巡查，对发现的问题及时记录、扣分并责令有关责任单位按时限进行整改，如未整改，将通知责任单位负责人到现场，并加倍扣分。期间，责任单位可以用合理的缘由以书面方式申请问题的延期、缓办、取消，城管办工作人员核查并回复，责任单位按回复进行办理。（具体时限及扣分标准见《成都高新区肖家河街道办事处考核评分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2.平台监管：街道工作人员将通过综合信息平台、综合指挥平台等平台对段面环境卫生进行监管，对发现的问题处理同巡查制。同时，市、区环境卫生监督巡查中反馈问题纳入考核之中。</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社区工作人员、群众代表监督：由社区工作人员及群众代表日常抽查，群众代表发现的问题反馈给社区工作人员，由街道、社区工作人员责令相关责任单位整改，如未整改，将在考评时扣除相应分数（社区工作人员、群众代表占考核总分40%）。</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二、考核标准：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1.每月每个环卫公司有3分弹性分（即每月扣分在3分以内均为100分，超过3分开始计分），月考核得分在90分以上（含90分）的，按照500元/分的标准执行。不足90分的在拨款时同时按下列标准扣款：</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（1）85分（含85分）至90分，考核扣分标准按照1000元/分执行。</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（2）85分以下，全额扣除招标作业费，并扣全部保证金，取消辖区环卫作业承包权。</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2.扣款均从各环卫公司每月作业服务费中扣除。</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三、重大作业事故的界定及处罚：</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1.市、区及以上行政部门组织的各类型迎检、保障、检查、考核等目标任务，出现被批评、劝解的每次处罚5000元，属重大作业事故。</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2.市、区及以上行政部门组织的各类型迎检、保障、检查、考核等目标任务，排名后两位的每次处罚10000元，属重大作业事故。</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3.被市、区及以上媒体做负面报道或曝光的，每次处罚5000元，属重大作业事故。</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4.上述1-3为针对性情况，其他在作业过程中发生的情况，均视当时情况而定。</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5.发生重大作业事故后，甲方有权根据实际情况和影响范围，改变惩罚力度和扣分标准，乙方不能有任何异议。</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四、其他</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1.被考核单位不得以任何理由拒绝检查考核，否则其工作将直接被认定不合格，双倍扣分。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2.被考核单位认为考核有误可以向肖家河街道办事处进行申辩，肖家河街道办事处做出的复核认定作为考核依据，复核只进行一次。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3.本办法解释权归成都高新区肖家河街道办事处城管办。</w:t>
      </w:r>
    </w:p>
    <w:p>
      <w:pPr>
        <w:numPr>
          <w:ilvl w:val="0"/>
          <w:numId w:val="0"/>
        </w:numPr>
        <w:kinsoku/>
        <w:wordWrap/>
        <w:overflowPunct/>
        <w:topLinePunct w:val="0"/>
        <w:autoSpaceDE/>
        <w:bidi w:val="0"/>
        <w:adjustRightInd/>
        <w:snapToGrid/>
        <w:spacing w:line="240" w:lineRule="auto"/>
        <w:ind w:left="0" w:leftChars="0" w:right="0" w:rightChars="0" w:firstLine="422" w:firstLineChars="175"/>
        <w:jc w:val="center"/>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成都高新区肖家河街道办事处考核评分标准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一、环卫作业公司管理(发现即扣分，1个月内发现3次及以上同样问题加倍扣分)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（一）人员管理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1.工作时间内无人及时清扫垃圾，一次扣0.5分。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2.早班普扫超过清扫时间未结束清扫的扣0.5分/条。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3.整条街段早班未清扫的扣2-3分/条。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4.人员配制不足，少1人，扣0.5分。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5.坐岗、离岗和集体聊天的每人次扣0.1—0.5分。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6.未执行交接班制度、脱岗、断档的每次扣0.5分。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（二）作业管理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1.垃圾乱丢、乱放在车道上，一次扣0.2分。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2.清扫时，将垃圾扫入下水口的扣0.5分/处。</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3.清扫后，将垃圾倒入绿化带、桥头、河道等处的扣0.5分/人/次。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4.环卫人员翻捡垃圾和焚烧垃圾，一处扣1分。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5.清理出来的废弃物当天未清运完，一堆（或一袋）扣0.5分。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6.果屑箱内未按规定套垃圾袋的每个扣0.1分。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7.未做好现场监督，发现树木倒伏等未及时上报相关单位的一次扣0.1分。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8.未服从安排积极完成各项突发性任务的每次扣3分。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9.不按要求完成管理部门交办的各项临时工作任务，一次扣5分。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(三)机械化作业管理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1.机械化清扫车未按要求进行定时机扫降尘的，每次扣0.5--1分。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2.道路（街）及路沿石方块砖每周未定期进行清洗、有积灰或污垢，每条街扣0.5--1分。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3.未按作业标准规定进行全面降尘，致使道路有明显扬尘的，每条街扣1—2分。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4.违反垃圾压缩站管理规定的，1—2分/次。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（四）白色垃圾快速保洁车管理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1.未建立白色垃圾快速保洁车技术档案的，每辆扣1分/月。</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2.白色垃圾快速保洁车应保持完好、整洁、标识清晰，脏车、坏车、车辆缺少部件上路，每次扣0.5-2分。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3.白色垃圾快速保洁车应定人、定车、定线路作业全部上岗作业，车辆使用率不少于80%，每15分钟巡回捡拾一次，作业时间为每日7:00－22:00，未按照规定行驶的，每次每辆扣0.5-1分。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4.白色垃圾快速保洁车工作人员未按照规定着装每次扣0.5分。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5.白色垃圾快速保洁车在路面乱停乱放，对交通造成影响的每次扣0.5-1分。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二、环境卫生管理(发现即扣分，15分钟内仍未整改加倍扣分)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（一）道路清扫保洁作业</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1.路面有污泥、积水、白色垃圾，每一处扣0.1分。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2.有袋装生活垃圾未及时清理，每一处扣0.1分。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3.车行道路面有漏扫、有砖瓦土石等每处扣0.5分。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4.人行道、路沿石、表面有污物每处扣0.2分。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5.未清理相卫生死角和暴露垃圾，每处扣1分。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6.人行道树池内有残渣、落叶、烟头的每个树池扣0.2分。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7.超过规定时间地面垃圾堆未清除完的扣0.2--1分/堆。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8.工具摆放影响观瞻的每处扣0.1分。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9.道路清扫未采用巡回保洁且无人在岗的扣1分/条。</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10.果屑箱箱体外未及时清除牛皮癣及污物的每个扣0.1分。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11.果屑箱爆桶的每个扣0.1分。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12.果屑箱消杀不彻底，有蚊蝇滋生的每个扣0.5分。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13.果屑箱周边未保持干净整洁的每处扣0.1分。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14.未及时清理现场遗留粪便清理废弃建渣、生活垃圾及白色污染物、枯枝、落叶等的一次扣0.5分。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（二）游园清扫保洁作业</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1.发现“牛皮癣”不清理，每一处扣0.2分。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2.每次收转完垃圾后，地面未进行清理，发现一次扣0.5分。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3.灯光开关不及时，每发现一次扣0.2分。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4.树池内白色垃圾及其他废弃物未即时清理，每发现一次扣0.5分。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5.城市雕塑未清洗干净每一处扣0.5分。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（三）垃圾收集清运</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1.袋装垃圾堆放点有散露垃圾，垃圾收集容器未密闭，一处扣0.5分。收集点周边不整洁，乱堆乱放，一处扣0.5分。垃圾投放点、中转点，未及时打扫、冲洗，消毒、灭蝇，一处扣0.5分。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2.袋装垃圾每日收集不少于3次。若市民举报经查属实，一处扣0.5分。垃圾收运过程中，有散装垃圾和垃圾落地堆放、撒漏现象，一处扣0.5分。三轮车超载，车貌不整洁，发现一辆扣0.2分。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3.桶装垃圾出现曝桶现象，一处扣0.2分。垃圾桶不密闭、桶点周边脏乱差，一处扣0.2分。垃圾桶未及时清洗、隐蔽、归位、消毒灭蝇，一处扣0.2分。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4.垃圾桶维修更换不及时，锈蚀损坏严重，影响使用和观瞻的，一处扣0.2分。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5.辖区内临时性无主垃圾未及时上报和处理的，一处扣0.2分。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三、设施设备管理（限期整改）</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1.游园、公厕各类附属设施完好、整洁。若损坏或不完善未及时修理的，一处扣0.5分。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2.绿化补栽不及时，有露土现象，发现一次扣0.5分。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3.体育设施、坐椅、花岗石地面、花岗石花台等基础设施管护不到位维修不及时，每发现一次扣0.1分。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4.游园、公厕自来水、照明电路、排污管道如有不通，一处扣0.2分。</w:t>
      </w:r>
    </w:p>
    <w:p>
      <w:pPr>
        <w:numPr>
          <w:ilvl w:val="0"/>
          <w:numId w:val="0"/>
        </w:numPr>
        <w:kinsoku/>
        <w:wordWrap/>
        <w:overflowPunct/>
        <w:topLinePunct w:val="0"/>
        <w:autoSpaceDE/>
        <w:bidi w:val="0"/>
        <w:adjustRightInd/>
        <w:snapToGrid/>
        <w:spacing w:line="240" w:lineRule="auto"/>
        <w:ind w:left="0" w:leftChars="0" w:right="0" w:rightChars="0" w:firstLine="420" w:firstLineChars="175"/>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5.受损果屑箱未及时维修、更换，每个扣0.1分。</w:t>
      </w:r>
    </w:p>
    <w:p>
      <w:pPr>
        <w:pStyle w:val="6"/>
        <w:spacing w:line="400" w:lineRule="exact"/>
        <w:ind w:left="0" w:leftChars="0" w:firstLine="420" w:firstLineChars="175"/>
        <w:rPr>
          <w:rFonts w:hint="eastAsia" w:ascii="仿宋" w:hAnsi="仿宋" w:eastAsia="仿宋" w:cs="仿宋"/>
          <w:b/>
          <w:bCs/>
          <w:color w:val="auto"/>
          <w:sz w:val="24"/>
          <w:highlight w:val="none"/>
        </w:rPr>
      </w:pPr>
      <w:r>
        <w:rPr>
          <w:rFonts w:hint="eastAsia" w:ascii="仿宋" w:hAnsi="仿宋" w:eastAsia="仿宋" w:cs="仿宋"/>
          <w:b w:val="0"/>
          <w:bCs w:val="0"/>
          <w:color w:val="auto"/>
          <w:sz w:val="24"/>
          <w:szCs w:val="24"/>
          <w:highlight w:val="none"/>
          <w:lang w:val="en-US" w:eastAsia="zh-CN"/>
        </w:rPr>
        <w:t>6.雕塑受损未及时上报并维修，每处扣0.2分。</w:t>
      </w:r>
    </w:p>
    <w:p>
      <w:pPr>
        <w:pStyle w:val="71"/>
        <w:spacing w:line="400" w:lineRule="exact"/>
        <w:rPr>
          <w:rFonts w:hint="eastAsia" w:ascii="仿宋" w:hAnsi="仿宋" w:eastAsia="仿宋" w:cs="仿宋"/>
          <w:color w:val="auto"/>
          <w:sz w:val="36"/>
          <w:szCs w:val="36"/>
          <w:highlight w:val="none"/>
        </w:rPr>
      </w:pPr>
      <w:bookmarkStart w:id="117" w:name="_Toc25840568"/>
    </w:p>
    <w:p>
      <w:pPr>
        <w:rPr>
          <w:rFonts w:hint="eastAsia"/>
          <w:color w:val="auto"/>
          <w:highlight w:val="none"/>
        </w:rPr>
      </w:pPr>
    </w:p>
    <w:p>
      <w:pPr>
        <w:pStyle w:val="3"/>
        <w:spacing w:line="400" w:lineRule="exact"/>
        <w:jc w:val="center"/>
        <w:rPr>
          <w:rFonts w:hint="eastAsia" w:ascii="仿宋" w:hAnsi="仿宋" w:eastAsia="仿宋" w:cs="仿宋"/>
          <w:b/>
          <w:bCs w:val="0"/>
          <w:color w:val="auto"/>
          <w:sz w:val="36"/>
          <w:szCs w:val="36"/>
          <w:highlight w:val="none"/>
        </w:rPr>
      </w:pPr>
      <w:r>
        <w:rPr>
          <w:rFonts w:hint="eastAsia" w:ascii="仿宋" w:hAnsi="仿宋" w:eastAsia="仿宋" w:cs="仿宋"/>
          <w:b/>
          <w:bCs w:val="0"/>
          <w:color w:val="auto"/>
          <w:sz w:val="36"/>
          <w:szCs w:val="36"/>
          <w:highlight w:val="none"/>
        </w:rPr>
        <w:t>第七章  评标办法</w:t>
      </w:r>
      <w:bookmarkEnd w:id="117"/>
      <w:bookmarkStart w:id="118" w:name="_Hlt101846155"/>
      <w:bookmarkEnd w:id="118"/>
      <w:bookmarkStart w:id="119" w:name="_Toc183682415"/>
      <w:bookmarkStart w:id="120" w:name="_Toc208849007"/>
      <w:bookmarkStart w:id="121" w:name="_Toc183582280"/>
      <w:bookmarkStart w:id="122" w:name="_Toc217446097"/>
    </w:p>
    <w:bookmarkEnd w:id="119"/>
    <w:bookmarkEnd w:id="120"/>
    <w:bookmarkEnd w:id="121"/>
    <w:bookmarkEnd w:id="122"/>
    <w:p>
      <w:pPr>
        <w:pStyle w:val="3"/>
        <w:spacing w:line="400" w:lineRule="exact"/>
        <w:ind w:firstLine="482" w:firstLineChars="200"/>
        <w:rPr>
          <w:rFonts w:hint="eastAsia" w:ascii="仿宋" w:hAnsi="仿宋" w:eastAsia="仿宋" w:cs="仿宋"/>
          <w:bCs w:val="0"/>
          <w:color w:val="auto"/>
          <w:sz w:val="24"/>
          <w:szCs w:val="24"/>
          <w:highlight w:val="none"/>
        </w:rPr>
      </w:pPr>
      <w:bookmarkStart w:id="123" w:name="_Toc217446098"/>
      <w:r>
        <w:rPr>
          <w:rFonts w:hint="eastAsia" w:ascii="仿宋" w:hAnsi="仿宋" w:eastAsia="仿宋" w:cs="仿宋"/>
          <w:color w:val="auto"/>
          <w:sz w:val="24"/>
          <w:szCs w:val="24"/>
          <w:highlight w:val="none"/>
        </w:rPr>
        <w:t>1. 总则</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根据《中华人民共和国政府采购法》、《中华人民共和国政府采购法实施条例》和《政府采购货物和服务招标投标管理办法》（财政部令第87号）等法律规章，结合采购项目特点制定本评标办法。</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1.2 </w:t>
      </w:r>
      <w:r>
        <w:rPr>
          <w:rFonts w:hint="eastAsia" w:ascii="仿宋" w:hAnsi="仿宋" w:eastAsia="仿宋" w:cs="仿宋"/>
          <w:bCs/>
          <w:color w:val="auto"/>
          <w:sz w:val="24"/>
          <w:highlight w:val="none"/>
        </w:rPr>
        <w:t>评标工作由</w:t>
      </w:r>
      <w:r>
        <w:rPr>
          <w:rFonts w:hint="eastAsia" w:ascii="仿宋" w:hAnsi="仿宋" w:eastAsia="仿宋" w:cs="仿宋"/>
          <w:color w:val="auto"/>
          <w:sz w:val="24"/>
          <w:highlight w:val="none"/>
        </w:rPr>
        <w:t>招标人</w:t>
      </w:r>
      <w:r>
        <w:rPr>
          <w:rFonts w:hint="eastAsia" w:ascii="仿宋" w:hAnsi="仿宋" w:eastAsia="仿宋" w:cs="仿宋"/>
          <w:bCs/>
          <w:color w:val="auto"/>
          <w:sz w:val="24"/>
          <w:highlight w:val="none"/>
        </w:rPr>
        <w:t>负责组织，资格性投标文件由采购人或代理机构进行审查，技术、商务投标文件由招标人依法组建的评标委员会负责。评标委员会由采购人代表和有关技术、经济等方面的专家组成，</w:t>
      </w:r>
      <w:r>
        <w:rPr>
          <w:rFonts w:hint="eastAsia" w:ascii="仿宋" w:hAnsi="仿宋" w:eastAsia="仿宋" w:cs="仿宋"/>
          <w:color w:val="auto"/>
          <w:sz w:val="24"/>
          <w:highlight w:val="none"/>
        </w:rPr>
        <w:t>评审专家对本单位的采购项目只能作为采购人代表参与评标。采购代理机构工作人员不得参加由本项目的评标。</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评标工作应遵循公平、公正、科学及择优的原则，并以相同的评标程序和标准对待所有的投标人。</w:t>
      </w:r>
    </w:p>
    <w:p>
      <w:pPr>
        <w:pStyle w:val="21"/>
        <w:spacing w:line="400" w:lineRule="exact"/>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24"/>
          <w:szCs w:val="24"/>
          <w:highlight w:val="none"/>
        </w:rPr>
        <w:t xml:space="preserve">    1.4 合格投标人不足3家的，不得评标。</w:t>
      </w:r>
    </w:p>
    <w:p>
      <w:pPr>
        <w:pStyle w:val="21"/>
        <w:spacing w:line="400" w:lineRule="exact"/>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24"/>
          <w:szCs w:val="24"/>
          <w:highlight w:val="none"/>
        </w:rPr>
        <w:t xml:space="preserve">    1.5 评标委员会负责具体评标事务，并独立履行下列职责：</w:t>
      </w:r>
    </w:p>
    <w:p>
      <w:pPr>
        <w:pStyle w:val="21"/>
        <w:spacing w:line="400" w:lineRule="exact"/>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24"/>
          <w:szCs w:val="24"/>
          <w:highlight w:val="none"/>
        </w:rPr>
        <w:t>　　（1）审查、评价投标文件是否符合招标文件的商务、技术等实质性要求；</w:t>
      </w:r>
    </w:p>
    <w:p>
      <w:pPr>
        <w:pStyle w:val="21"/>
        <w:spacing w:line="400" w:lineRule="exact"/>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24"/>
          <w:szCs w:val="24"/>
          <w:highlight w:val="none"/>
        </w:rPr>
        <w:t>　　（2）要求投标人对投标文件有关事项作出澄清或者说明；</w:t>
      </w:r>
    </w:p>
    <w:p>
      <w:pPr>
        <w:pStyle w:val="21"/>
        <w:spacing w:line="400" w:lineRule="exact"/>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24"/>
          <w:szCs w:val="24"/>
          <w:highlight w:val="none"/>
        </w:rPr>
        <w:t>　　（3）对投标文件进行比较和评价；</w:t>
      </w:r>
    </w:p>
    <w:p>
      <w:pPr>
        <w:pStyle w:val="21"/>
        <w:spacing w:line="400" w:lineRule="exact"/>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24"/>
          <w:szCs w:val="24"/>
          <w:highlight w:val="none"/>
        </w:rPr>
        <w:t>　　（4）确定中标候选人名单，以及根据采购人委托直接确定中标人；</w:t>
      </w:r>
    </w:p>
    <w:p>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（5）向采购人、采购代理机构或者有关部门报告评标中发现的违法行为。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 评标过程严格保密。投标人对评标委员会的评标过程或合同授予决定施加影响的任何行为都可能导致其投标被拒绝。</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1.7评标委员会决定投标文件的响应性依据投标文件本身的内容，而不寻求外部的证据。</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1.8评标委员会发现招标文件表述不明确或需要说明的事项，可提请招标人书面解释说明。发现招标文件违反有关法律、法规和规章的，可以拒绝评标，并向招标人书面说明情况。</w:t>
      </w:r>
    </w:p>
    <w:p>
      <w:pPr>
        <w:spacing w:before="156" w:beforeLines="50" w:after="156" w:afterLines="50"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2.资格性审查。</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采购人或代理机构</w:t>
      </w:r>
      <w:r>
        <w:rPr>
          <w:rFonts w:hint="eastAsia" w:ascii="仿宋" w:hAnsi="仿宋" w:eastAsia="仿宋" w:cs="仿宋"/>
          <w:color w:val="auto"/>
          <w:sz w:val="24"/>
          <w:highlight w:val="none"/>
        </w:rPr>
        <w:t>依据法律法规和本招标文件的规定，对投标文件是否按照规定要求提供资格性证明材料、是否按照规定交纳投标保证金、是否属于禁止参加投标的供应商等进行审查，以确定投标供应商是否具备投标资格。投标人投标文件属于下列情况之一的，不能通过资格性审查：</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（1）未按照招标文件第五章中要求提供相关资格证明文件的；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（2）未按照招标文件规定的格式要求编制，且影响投标文件的资格性的；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（3）招标文件规定的其他无效投标情形。</w:t>
      </w:r>
    </w:p>
    <w:p>
      <w:pPr>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注：资格性审查结束后，合格投标人不足3家的，不得评标。</w:t>
      </w:r>
    </w:p>
    <w:p>
      <w:pPr>
        <w:spacing w:before="156" w:beforeLines="50" w:after="156" w:afterLines="50"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3.评标方法</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本项目评标方法为：综合评分法。</w:t>
      </w:r>
    </w:p>
    <w:p>
      <w:pPr>
        <w:spacing w:before="156" w:beforeLines="50" w:after="156" w:afterLines="50"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评标程序</w:t>
      </w:r>
      <w:bookmarkEnd w:id="123"/>
    </w:p>
    <w:p>
      <w:pPr>
        <w:spacing w:line="400" w:lineRule="exact"/>
        <w:ind w:firstLine="482" w:firstLineChars="200"/>
        <w:rPr>
          <w:rFonts w:hint="eastAsia" w:ascii="仿宋" w:hAnsi="仿宋" w:eastAsia="仿宋" w:cs="仿宋"/>
          <w:b/>
          <w:color w:val="auto"/>
          <w:sz w:val="24"/>
          <w:highlight w:val="none"/>
        </w:rPr>
      </w:pPr>
      <w:bookmarkStart w:id="124" w:name="_Toc217446099"/>
      <w:r>
        <w:rPr>
          <w:rFonts w:hint="eastAsia" w:ascii="仿宋" w:hAnsi="仿宋" w:eastAsia="仿宋" w:cs="仿宋"/>
          <w:b/>
          <w:color w:val="auto"/>
          <w:sz w:val="24"/>
          <w:highlight w:val="none"/>
        </w:rPr>
        <w:t>4.1采购人或者采购代理机构负责组织评标工作，并履行下列职责：</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（1）核对评审专家身份和采购人代表授权函，对评审专家在政府采购活动中的职责履行情况予以记录，并及时将有关违法违规行为向财政部门报告；</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（2）宣布评标纪律；</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（3）公布投标人名单，告知评审专家应当回避的情形；</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（4）组织评标委员会推选评标组长，采购人代表不得担任组长；</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（5）在评标期间采取必要的通讯管理措施，保证评标活动不受外界干扰；</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（6）根据评标委员会的要求介绍政府采购相关政策法规、招标文件；</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（7）维护评标秩序，监督评标委员会依照招标文件规定的评标程序、方法和标准进行独立评审，及时制止和纠正采购人代表、评审专家的倾向性言论或者违法违规行为；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核对评标结果，有《政府采购货物和服务招标投标管理办法》（财政部令第87号）第六十四条情形之一的，评标委员会应当当场修改评标结果，并在评标报告中记载；评标报告签署后，招标人复核发现存在以上情形之一的，应当组织原评标委员会进行重新评审，重新评审改变评标结果的，书面报告本级财政部门；</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（9）评审工作完成后，按照规定向评审专家支付劳务报酬和异地评审差旅费，不得向评审专家以外的其他人员支付评审劳务报酬；</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（10）处理与评标有关的其他事项。</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采购人可以在评标前说明项目背景和采购需求，说明内容不得含有歧视性、倾向性意见，不得超出招标文件所述范围。说明应当提交书面材料，并随</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一并存档。</w:t>
      </w:r>
    </w:p>
    <w:p>
      <w:pPr>
        <w:spacing w:line="400" w:lineRule="exact"/>
        <w:ind w:firstLine="482" w:firstLineChars="200"/>
        <w:rPr>
          <w:rFonts w:hint="eastAsia" w:ascii="仿宋" w:hAnsi="仿宋" w:eastAsia="仿宋" w:cs="仿宋"/>
          <w:color w:val="auto"/>
          <w:sz w:val="24"/>
          <w:highlight w:val="none"/>
        </w:rPr>
      </w:pPr>
      <w:bookmarkStart w:id="125" w:name="_Toc217446103"/>
      <w:r>
        <w:rPr>
          <w:rFonts w:hint="eastAsia" w:ascii="仿宋" w:hAnsi="仿宋" w:eastAsia="仿宋" w:cs="仿宋"/>
          <w:b/>
          <w:color w:val="auto"/>
          <w:sz w:val="24"/>
          <w:highlight w:val="none"/>
        </w:rPr>
        <w:t>4.2符合性检查</w:t>
      </w:r>
      <w:r>
        <w:rPr>
          <w:rFonts w:hint="eastAsia" w:ascii="仿宋" w:hAnsi="仿宋" w:eastAsia="仿宋" w:cs="仿宋"/>
          <w:color w:val="auto"/>
          <w:sz w:val="24"/>
          <w:highlight w:val="none"/>
        </w:rPr>
        <w:t>。依据招标文件的规定，从投标文件的有效性、完整性和对招标文件的响应程度进行审查，以确定是否对招标文件的实质性要求作出响应。符合性审查事项仅限于招标文件的明确规定。投标文件是否满足招标文件的实质性要求，必须以招标文件的明确规定作为依据，未明确标注实质性要求的条款均不得认定为实质性要求。投标人投标文件属于下列情况之一的，在符合性检查时按照无效投标处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（1）投标报价不符合招标文件规定的价格标的（包括但不限于超过政府采购预算或最高限价）；</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（2）投标产品技术参数指标完全或者绝大部分复制招标文件对招标项目的要求（其中因客观描述指标一致导致的投标应答与招标要求相同不判定为复制）；</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（3）投标产品的技术规格、技术标准明显不符合招标项目的要求；</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（4）拟采购的产品属于政府强制采购节能产品范围，供应商未提供相关节能产品（相关要求及证明文件详见招标文件投标人须知前附表及投标文件格式要求中相关规定）；</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（5）未载明或者载明的招标项目履约时间、方式、数量及其他政府采购合同实质性内容与招标文件实质性要求不一致；</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（6）附有采购人不能接受的条件或者不符合招标文件规定的其他实质性要求。</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注：在符合性检查过程中，如果出现意见不一致的情况，按照少数服从多数的原则确定，但不得违背政府采购基本原则和招标文件规定。</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4.3澄清有关问题。</w:t>
      </w:r>
      <w:r>
        <w:rPr>
          <w:rFonts w:hint="eastAsia" w:ascii="仿宋" w:hAnsi="仿宋" w:eastAsia="仿宋" w:cs="仿宋"/>
          <w:color w:val="auto"/>
          <w:sz w:val="24"/>
          <w:highlight w:val="none"/>
        </w:rPr>
        <w:t>对于投标文件中含义不明确、同类问题表述不一致或者有明显文字和计算错误的内容，评标委员会应当以书面形式要求投标人作出必要的澄清、说明或者补正。</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投标人的澄清、说明或者补正应当采用书面形式，并加盖公章，或者由法定代表人或其授权的代表签字。投标人的澄清、说明或者补正不得超出投标文件的范围或者改变投标文件的实质性内容。</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4.4投标文件报价出现前后不一致的，按照下列规定修正：</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（1）投标文件中开标一览表（报价表）内容与投标文件中相应内容不一致的，以开标一览表（报价表）为准；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（2）大写金额和小写金额不一致的，以大写金额为准；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（3）单价金额小数点或者百分比有明显错位的，以开标一览表的总价为准，并修改单价；</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（4）总价金额与按单价汇总金额不一致的，以单价金额计算结果为准。</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投标人的修正应当采用书面形式，并加盖公章，或者由法定代表人或其授权的代表签字。投标人的修正不得超出投标文件的范围或者改变投标文件的实质性内容，修正内容经投标人确认后产生约束力，投标人不确认的，其投标无效。</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4.5、对不同语言文本投标文件的解释发生异议的，以中文文本为准。</w:t>
      </w:r>
    </w:p>
    <w:p>
      <w:pPr>
        <w:pStyle w:val="21"/>
        <w:spacing w:line="400" w:lineRule="exact"/>
        <w:rPr>
          <w:rFonts w:hint="eastAsia" w:ascii="仿宋" w:hAnsi="仿宋" w:eastAsia="仿宋" w:cs="仿宋"/>
          <w:b/>
          <w:color w:val="auto"/>
          <w:kern w:val="2"/>
          <w:sz w:val="24"/>
          <w:szCs w:val="24"/>
          <w:highlight w:val="none"/>
        </w:rPr>
      </w:pPr>
      <w:r>
        <w:rPr>
          <w:rFonts w:hint="eastAsia" w:ascii="仿宋" w:hAnsi="仿宋" w:eastAsia="仿宋" w:cs="仿宋"/>
          <w:b/>
          <w:color w:val="auto"/>
          <w:sz w:val="24"/>
          <w:szCs w:val="24"/>
          <w:highlight w:val="none"/>
        </w:rPr>
        <w:t>4</w:t>
      </w:r>
      <w:r>
        <w:rPr>
          <w:rFonts w:hint="eastAsia" w:ascii="仿宋" w:hAnsi="仿宋" w:eastAsia="仿宋" w:cs="仿宋"/>
          <w:b/>
          <w:color w:val="auto"/>
          <w:kern w:val="2"/>
          <w:sz w:val="24"/>
          <w:szCs w:val="24"/>
          <w:highlight w:val="none"/>
        </w:rPr>
        <w:t>.6有下列情形之一的，视为投标人串通投标：</w:t>
      </w:r>
    </w:p>
    <w:p>
      <w:pPr>
        <w:pStyle w:val="21"/>
        <w:spacing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（一）不同投标人的投标文件由同一单位或者个人编制；</w:t>
      </w:r>
    </w:p>
    <w:p>
      <w:pPr>
        <w:pStyle w:val="21"/>
        <w:spacing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（二）不同投标人委托同一单位或者个人办理投标事宜；</w:t>
      </w:r>
    </w:p>
    <w:p>
      <w:pPr>
        <w:pStyle w:val="21"/>
        <w:spacing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（三）不同投标人的投标文件载明的项目管理成员或者联系人员为同一人；</w:t>
      </w:r>
    </w:p>
    <w:p>
      <w:pPr>
        <w:pStyle w:val="21"/>
        <w:spacing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（四）不同投标人的投标文件异常一致或者投标报价呈规律性差异；</w:t>
      </w:r>
    </w:p>
    <w:p>
      <w:pPr>
        <w:pStyle w:val="21"/>
        <w:spacing w:line="4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（五）不同投标人的投标文件相互混装；</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（六）不同投标人的投标保证金从同一单位或者个人的账户转出。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注：在评标过程中发现投标人有上述情形的，评标委员会应当认定其投标无效，并书面报告本级财政部门。</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4.6比较与评价。</w:t>
      </w:r>
      <w:r>
        <w:rPr>
          <w:rFonts w:hint="eastAsia" w:ascii="仿宋" w:hAnsi="仿宋" w:eastAsia="仿宋" w:cs="仿宋"/>
          <w:color w:val="auto"/>
          <w:sz w:val="24"/>
          <w:highlight w:val="none"/>
        </w:rPr>
        <w:t>按招标文件中规定的评标方法和标准，对符合性检查合格的投标文件进行商务和技术评估，综合比较与评价。</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4.6.1推荐中标候选人。</w:t>
      </w:r>
      <w:r>
        <w:rPr>
          <w:rFonts w:hint="eastAsia" w:ascii="仿宋" w:hAnsi="仿宋" w:eastAsia="仿宋" w:cs="仿宋"/>
          <w:color w:val="auto"/>
          <w:sz w:val="24"/>
          <w:highlight w:val="none"/>
        </w:rPr>
        <w:t>根据采购需要，本项目由评标委员会按得分顺序由高到低推荐3名中标候选人。</w:t>
      </w:r>
    </w:p>
    <w:p>
      <w:pPr>
        <w:spacing w:line="400" w:lineRule="exact"/>
        <w:ind w:firstLine="361" w:firstLineChars="150"/>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4.6.2本项目采用综合评分法</w:t>
      </w:r>
      <w:r>
        <w:rPr>
          <w:rFonts w:hint="eastAsia" w:ascii="仿宋" w:hAnsi="仿宋" w:eastAsia="仿宋" w:cs="仿宋"/>
          <w:color w:val="auto"/>
          <w:sz w:val="24"/>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得分、投标报价及量化指标评审得分亦相同的，投标产品符合不发达地区或少数民族地区企业标准的优先排序。</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4.7 编写符合性审查意见书。</w:t>
      </w:r>
      <w:r>
        <w:rPr>
          <w:rFonts w:hint="eastAsia" w:ascii="仿宋" w:hAnsi="仿宋" w:eastAsia="仿宋" w:cs="仿宋"/>
          <w:color w:val="auto"/>
          <w:sz w:val="24"/>
          <w:highlight w:val="none"/>
        </w:rPr>
        <w:t>符合性审查意见书是评审委员会全体成员签字的原始审查记录，对投标人是否通过符合性审查应有明确的意见，</w:t>
      </w:r>
      <w:r>
        <w:rPr>
          <w:rFonts w:hint="eastAsia" w:ascii="仿宋" w:hAnsi="仿宋" w:eastAsia="仿宋" w:cs="仿宋"/>
          <w:b/>
          <w:color w:val="auto"/>
          <w:sz w:val="24"/>
          <w:highlight w:val="none"/>
        </w:rPr>
        <w:t>合格投标人不足3家的，不得进入详细评审（评分）。</w:t>
      </w:r>
    </w:p>
    <w:p>
      <w:pPr>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4.8 评标报告</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评标委员会根据全体评标成员签字的原始评标记录和评标结果编写评标报告。评标报告应当包括以下内容：</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（1）招标公告刊登的媒体名称、开标日期和地点；</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（2）投标人名单和评标委员会成员名单；</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（3）评标方法和标准；</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（4）开标记录和评标情况及说明，包括无效投标人名单及原因；</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（5）评标结果，确定的中标候选人名单或者经采购人委托直接确定的中标人；</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（6）其他需要说明的情况，包括评标过程中投标人根据评标委员会要求进行的澄清、说明或者补正，评标委员会成员的更换等。</w:t>
      </w:r>
    </w:p>
    <w:p>
      <w:pPr>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注：评标委员会成员对需要共同认定的事项存在争议的，应当按照少数服从多数的原则作出结论。持不同意见的评标委员会成员应当在评标报告上签署不同意见及理由，否则视为同意评标报告。</w:t>
      </w:r>
    </w:p>
    <w:p>
      <w:pPr>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4.9 复核</w:t>
      </w:r>
    </w:p>
    <w:p>
      <w:pPr>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4.9.1评标委员会复核</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评标报告签署前，评标委员会应进行复核，经复核发现存在《政府采购货物和服务招标投标管理办法》（财政部令第87号）第六十四条情形之一的，评标委员会应当当场修改评标结果，并在评标报告中记载；评标报告签署后，招标人复核发现存在以上情形之一的，应当组织原评标委员会进行重新评审，重新评审改变评标结果的，书面报告本级财政部门。</w:t>
      </w:r>
    </w:p>
    <w:p>
      <w:pPr>
        <w:spacing w:line="400" w:lineRule="exact"/>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4.9.2 招标人复核</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评标委员会复核结束后，采购代理机构应当组织2名以上的本单位工作人员，在采购现场监督人员的监督之下（如有），依据有关的法律制度和</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对评标结果进行复核，出具复核报告。</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投标人对分值汇总计算错误情形提出质疑的，采购人或者采购代理机构可以组织原评标委员会进行重新评审，重新评审改变评标结果的，应当书面报告本级财政部门。</w:t>
      </w:r>
    </w:p>
    <w:p>
      <w:pPr>
        <w:pStyle w:val="21"/>
        <w:spacing w:before="0" w:beforeAutospacing="0" w:after="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4.10  评标中的特殊情况处理</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（1）评标中因评标委员会成员缺席、回避或者健康等特殊原因导致评标委员会组成不符合本办法规定的，采购人或者采购代理机构应当依法补足后继续评标。被更换的评标委员会成员所作出的评标意见无效。</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无法及时补足评标委员会成员的，采购人或者采购代理机构应当停止评标活动，封存所有投标文件和开标、评标资料，依法重新组建评标委员会进行评标。原评标委员会所作出的评标意见无效。</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采购人或者采购代理机构应当将变更、重新组建评标委员会的情况予以记录，并随</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一并存档。</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（2）评标委员会成员对需要共同认定的事项存在争议的，应当按照少数服从多数的原则作出结论。持不同意见的评标委员会成员应当在评标报告上签署不同意见及理由，否则视为同意评标报告。</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（4）评标委员会或者其成员存在下列情形导致评标结果无效的，采购人、采购代理机构可以重新组建评标委员会进行评标，并书面报告本级财政部门，但采购合同已经履行的除外：</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①评标委员会组成不符合相关法律法规规定的；</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②有违反本章第9条评审专家在政府采购活动中应当遵守的工作纪律的第一至五项情形的；</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③评标委员会及其成员独立评标受到非法干预的；</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④有《中华人民共和国政府采购法实施条例》第七十五条规定的违法行为的。</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注：有违法违规行为的原评标委员会成员不得参加重新组建的评标委员会。</w:t>
      </w:r>
    </w:p>
    <w:p>
      <w:pPr>
        <w:pStyle w:val="2"/>
        <w:spacing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评标细则及标准（综合评分法）</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5.1 评标委员会只对通过符合性审查的投标文件，根据招标文件的要求采用相同的评标程序、评分办法及标准进行评价和比较。</w:t>
      </w:r>
    </w:p>
    <w:p>
      <w:pPr>
        <w:spacing w:line="40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5.2 本次综合评分的因素是：报价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项目管理及实施方案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机具配置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履约能力</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扶持不发达地区和少数民族地区</w:t>
      </w:r>
      <w:r>
        <w:rPr>
          <w:rFonts w:hint="eastAsia" w:ascii="仿宋" w:hAnsi="仿宋" w:eastAsia="仿宋" w:cs="仿宋"/>
          <w:color w:val="auto"/>
          <w:sz w:val="24"/>
          <w:highlight w:val="none"/>
          <w:lang w:eastAsia="zh-CN"/>
        </w:rPr>
        <w:t>。</w:t>
      </w:r>
    </w:p>
    <w:p>
      <w:pPr>
        <w:spacing w:line="4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5.3 评标委员会成员应当根据自身专业情况对每个有效投标人的投标文件进行独立评分，加权汇总每项评分因素的得分，得出每个有效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bookmarkEnd w:id="125"/>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5.4 在评标过程中，投标文件有下列情况之一，评标委员会成员应当按照招标文件规定的非实质性偏离进行扣分：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文字表述的内容含义不明确，或者同类问题表述不一致，或者有明显文字和计算错误，或者提供的技术信息和数据资料不完整，投标人拒不或在规定的时间内没有进行澄清、说明或补正或澄清、说明、补正的内容也不能说明问题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（2）认定的与招标文件第六章规定的技术、商务和其他规定要求不符的非实质性偏离。</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）认定的其他非实质性偏离。</w:t>
      </w:r>
    </w:p>
    <w:p>
      <w:pPr>
        <w:pStyle w:val="10"/>
        <w:tabs>
          <w:tab w:val="left" w:pos="600"/>
        </w:tabs>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5.5综合评分明细表</w:t>
      </w:r>
    </w:p>
    <w:p>
      <w:pPr>
        <w:pStyle w:val="10"/>
        <w:tabs>
          <w:tab w:val="left" w:pos="600"/>
        </w:tabs>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5.5.1综合评分明细表的制定以科学合理、降低评标委员会自由裁量权为原则。</w:t>
      </w:r>
    </w:p>
    <w:p>
      <w:pPr>
        <w:pStyle w:val="10"/>
        <w:tabs>
          <w:tab w:val="left" w:pos="600"/>
        </w:tabs>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5.5.2综合评分明细表</w:t>
      </w:r>
    </w:p>
    <w:tbl>
      <w:tblPr>
        <w:tblStyle w:val="24"/>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260"/>
        <w:gridCol w:w="1109"/>
        <w:gridCol w:w="4417"/>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评分因素</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及权重</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w:t>
            </w:r>
          </w:p>
        </w:tc>
        <w:tc>
          <w:tcPr>
            <w:tcW w:w="212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07"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60"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游园清扫、保洁</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c>
          <w:tcPr>
            <w:tcW w:w="4417" w:type="dxa"/>
            <w:vMerge w:val="restart"/>
            <w:tcBorders>
              <w:top w:val="single" w:color="auto" w:sz="4" w:space="0"/>
              <w:left w:val="single" w:color="auto" w:sz="4" w:space="0"/>
              <w:right w:val="single" w:color="auto" w:sz="4" w:space="0"/>
            </w:tcBorders>
            <w:noWrap w:val="0"/>
            <w:vAlign w:val="center"/>
          </w:tcPr>
          <w:p>
            <w:pPr>
              <w:spacing w:line="340" w:lineRule="exact"/>
              <w:ind w:firstLine="480" w:firstLineChars="20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综合评分法中的价格分统一采用低价优先法计算，即满足</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要求且投标价格最低的投标报价为评标基准价，其价格分为满分。其他投标人的价格分统一按照下列公式计算：</w:t>
            </w:r>
          </w:p>
          <w:p>
            <w:pPr>
              <w:spacing w:line="3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投标报价得分=(评标基准价／投标报价)×价格权重×100</w:t>
            </w:r>
            <w:r>
              <w:rPr>
                <w:rFonts w:hint="eastAsia" w:ascii="仿宋" w:hAnsi="仿宋" w:eastAsia="仿宋" w:cs="仿宋"/>
                <w:color w:val="auto"/>
                <w:sz w:val="24"/>
                <w:szCs w:val="24"/>
                <w:highlight w:val="none"/>
                <w:lang w:val="en-US" w:eastAsia="zh-CN"/>
              </w:rPr>
              <w:t>%</w:t>
            </w:r>
          </w:p>
        </w:tc>
        <w:tc>
          <w:tcPr>
            <w:tcW w:w="2121" w:type="dxa"/>
            <w:vMerge w:val="restart"/>
            <w:tcBorders>
              <w:top w:val="single" w:color="auto" w:sz="4" w:space="0"/>
              <w:left w:val="single" w:color="auto" w:sz="4" w:space="0"/>
              <w:right w:val="single" w:color="auto" w:sz="4" w:space="0"/>
            </w:tcBorders>
            <w:noWrap w:val="0"/>
            <w:vAlign w:val="center"/>
          </w:tcPr>
          <w:p>
            <w:pPr>
              <w:spacing w:line="340" w:lineRule="exact"/>
              <w:ind w:firstLine="480" w:firstLineChars="20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报价以唱标的开标一览表为准，得分四舍五入保留至小数点后两位。</w:t>
            </w:r>
          </w:p>
          <w:p>
            <w:pPr>
              <w:spacing w:line="3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07"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260"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二类道路清扫、保洁10分 </w:t>
            </w:r>
          </w:p>
        </w:tc>
        <w:tc>
          <w:tcPr>
            <w:tcW w:w="4417" w:type="dxa"/>
            <w:vMerge w:val="continue"/>
            <w:tcBorders>
              <w:left w:val="single" w:color="auto" w:sz="4" w:space="0"/>
              <w:right w:val="single" w:color="auto" w:sz="4" w:space="0"/>
            </w:tcBorders>
            <w:noWrap w:val="0"/>
            <w:vAlign w:val="center"/>
          </w:tcPr>
          <w:p>
            <w:pPr>
              <w:spacing w:line="340" w:lineRule="exact"/>
              <w:rPr>
                <w:rFonts w:hint="eastAsia" w:ascii="仿宋" w:hAnsi="仿宋" w:eastAsia="仿宋" w:cs="仿宋"/>
                <w:color w:val="auto"/>
                <w:sz w:val="24"/>
                <w:szCs w:val="24"/>
                <w:highlight w:val="none"/>
              </w:rPr>
            </w:pPr>
          </w:p>
        </w:tc>
        <w:tc>
          <w:tcPr>
            <w:tcW w:w="2121" w:type="dxa"/>
            <w:vMerge w:val="continue"/>
            <w:tcBorders>
              <w:left w:val="single" w:color="auto" w:sz="4" w:space="0"/>
              <w:bottom w:val="single" w:color="auto" w:sz="4" w:space="0"/>
              <w:right w:val="single" w:color="auto" w:sz="4" w:space="0"/>
            </w:tcBorders>
            <w:noWrap w:val="0"/>
            <w:vAlign w:val="center"/>
          </w:tcPr>
          <w:p>
            <w:pPr>
              <w:spacing w:line="340" w:lineRule="exact"/>
              <w:textAlignment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507"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垃圾运输8分</w:t>
            </w:r>
          </w:p>
        </w:tc>
        <w:tc>
          <w:tcPr>
            <w:tcW w:w="4417" w:type="dxa"/>
            <w:vMerge w:val="continue"/>
            <w:tcBorders>
              <w:left w:val="single" w:color="auto" w:sz="4" w:space="0"/>
              <w:bottom w:val="single" w:color="auto" w:sz="4" w:space="0"/>
              <w:right w:val="single" w:color="auto" w:sz="4" w:space="0"/>
            </w:tcBorders>
            <w:noWrap w:val="0"/>
            <w:vAlign w:val="center"/>
          </w:tcPr>
          <w:p>
            <w:pPr>
              <w:spacing w:line="340" w:lineRule="exact"/>
              <w:rPr>
                <w:rFonts w:hint="eastAsia" w:ascii="仿宋" w:hAnsi="仿宋" w:eastAsia="仿宋" w:cs="仿宋"/>
                <w:color w:val="auto"/>
                <w:sz w:val="24"/>
                <w:szCs w:val="24"/>
                <w:highlight w:val="none"/>
              </w:rPr>
            </w:pPr>
          </w:p>
        </w:tc>
        <w:tc>
          <w:tcPr>
            <w:tcW w:w="2121" w:type="dxa"/>
            <w:vMerge w:val="continue"/>
            <w:tcBorders>
              <w:left w:val="single" w:color="auto" w:sz="4" w:space="0"/>
              <w:bottom w:val="single" w:color="auto" w:sz="4" w:space="0"/>
              <w:right w:val="single" w:color="auto" w:sz="4" w:space="0"/>
            </w:tcBorders>
            <w:noWrap w:val="0"/>
            <w:vAlign w:val="center"/>
          </w:tcPr>
          <w:p>
            <w:pPr>
              <w:spacing w:line="340" w:lineRule="exact"/>
              <w:textAlignment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07"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60"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w:t>
            </w:r>
          </w:p>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管理</w:t>
            </w:r>
          </w:p>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及实</w:t>
            </w:r>
          </w:p>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施方案 </w:t>
            </w:r>
            <w:r>
              <w:rPr>
                <w:rFonts w:hint="eastAsia" w:ascii="仿宋" w:hAnsi="仿宋" w:eastAsia="仿宋" w:cs="仿宋"/>
                <w:bCs/>
                <w:color w:val="auto"/>
                <w:sz w:val="24"/>
                <w:szCs w:val="24"/>
                <w:highlight w:val="none"/>
                <w:lang w:val="en-US" w:eastAsia="zh-CN"/>
              </w:rPr>
              <w:t>50</w:t>
            </w:r>
            <w:r>
              <w:rPr>
                <w:rFonts w:hint="eastAsia" w:ascii="仿宋" w:hAnsi="仿宋" w:eastAsia="仿宋" w:cs="仿宋"/>
                <w:bCs/>
                <w:color w:val="auto"/>
                <w:sz w:val="24"/>
                <w:szCs w:val="24"/>
                <w:highlight w:val="none"/>
              </w:rPr>
              <w:t>%</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rPr>
            </w:pPr>
            <w:r>
              <w:rPr>
                <w:rFonts w:hint="eastAsia" w:ascii="仿宋" w:hAnsi="仿宋" w:eastAsia="仿宋" w:cs="仿宋"/>
                <w:color w:val="auto"/>
                <w:kern w:val="2"/>
                <w:sz w:val="24"/>
                <w:szCs w:val="24"/>
                <w:highlight w:val="none"/>
              </w:rPr>
              <w:t>项目概况分析</w:t>
            </w: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rPr>
              <w:t>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pStyle w:val="9"/>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根据</w:t>
            </w:r>
            <w:r>
              <w:rPr>
                <w:rFonts w:hint="eastAsia" w:ascii="仿宋" w:hAnsi="仿宋" w:eastAsia="仿宋" w:cs="仿宋"/>
                <w:color w:val="auto"/>
                <w:kern w:val="2"/>
                <w:sz w:val="24"/>
                <w:szCs w:val="24"/>
                <w:highlight w:val="none"/>
                <w:lang w:eastAsia="zh-CN"/>
              </w:rPr>
              <w:t>投标人提供的</w:t>
            </w:r>
            <w:r>
              <w:rPr>
                <w:rFonts w:hint="eastAsia" w:ascii="仿宋" w:hAnsi="仿宋" w:eastAsia="仿宋" w:cs="仿宋"/>
                <w:color w:val="auto"/>
                <w:kern w:val="2"/>
                <w:sz w:val="24"/>
                <w:szCs w:val="24"/>
                <w:highlight w:val="none"/>
              </w:rPr>
              <w:t>项目概况分析</w:t>
            </w:r>
            <w:r>
              <w:rPr>
                <w:rFonts w:hint="eastAsia" w:ascii="仿宋" w:hAnsi="仿宋" w:eastAsia="仿宋" w:cs="仿宋"/>
                <w:color w:val="auto"/>
                <w:kern w:val="2"/>
                <w:sz w:val="24"/>
                <w:szCs w:val="24"/>
                <w:highlight w:val="none"/>
                <w:lang w:eastAsia="zh-CN"/>
              </w:rPr>
              <w:t>进行综合评审，包含：①</w:t>
            </w:r>
            <w:r>
              <w:rPr>
                <w:rFonts w:hint="eastAsia" w:ascii="仿宋" w:hAnsi="仿宋" w:eastAsia="仿宋" w:cs="仿宋"/>
                <w:color w:val="auto"/>
                <w:kern w:val="2"/>
                <w:sz w:val="24"/>
                <w:szCs w:val="24"/>
                <w:highlight w:val="none"/>
              </w:rPr>
              <w:t>项目现场</w:t>
            </w:r>
            <w:r>
              <w:rPr>
                <w:rFonts w:hint="eastAsia" w:ascii="仿宋" w:hAnsi="仿宋" w:eastAsia="仿宋" w:cs="仿宋"/>
                <w:color w:val="auto"/>
                <w:kern w:val="2"/>
                <w:sz w:val="24"/>
                <w:szCs w:val="24"/>
                <w:highlight w:val="none"/>
                <w:lang w:eastAsia="zh-CN"/>
              </w:rPr>
              <w:t>的了解程度</w:t>
            </w:r>
            <w:r>
              <w:rPr>
                <w:rFonts w:hint="eastAsia" w:ascii="仿宋" w:hAnsi="仿宋" w:eastAsia="仿宋" w:cs="仿宋"/>
                <w:color w:val="auto"/>
                <w:kern w:val="2"/>
                <w:sz w:val="24"/>
                <w:szCs w:val="24"/>
                <w:highlight w:val="none"/>
              </w:rPr>
              <w:t>②作业的重难点</w:t>
            </w:r>
            <w:r>
              <w:rPr>
                <w:rFonts w:hint="eastAsia" w:ascii="仿宋" w:hAnsi="仿宋" w:eastAsia="仿宋" w:cs="仿宋"/>
                <w:color w:val="auto"/>
                <w:kern w:val="2"/>
                <w:sz w:val="24"/>
                <w:szCs w:val="24"/>
                <w:highlight w:val="none"/>
                <w:lang w:eastAsia="zh-CN"/>
              </w:rPr>
              <w:t>内容</w:t>
            </w:r>
            <w:r>
              <w:rPr>
                <w:rFonts w:hint="eastAsia" w:ascii="仿宋" w:hAnsi="仿宋" w:eastAsia="仿宋" w:cs="仿宋"/>
                <w:color w:val="auto"/>
                <w:kern w:val="2"/>
                <w:sz w:val="24"/>
                <w:szCs w:val="24"/>
                <w:highlight w:val="none"/>
              </w:rPr>
              <w:t>③</w:t>
            </w:r>
            <w:r>
              <w:rPr>
                <w:rFonts w:hint="eastAsia" w:ascii="仿宋" w:hAnsi="仿宋" w:eastAsia="仿宋" w:cs="仿宋"/>
                <w:color w:val="auto"/>
                <w:kern w:val="2"/>
                <w:sz w:val="24"/>
                <w:szCs w:val="24"/>
                <w:highlight w:val="none"/>
                <w:lang w:eastAsia="zh-CN"/>
              </w:rPr>
              <w:t>项目的针对性建议。</w:t>
            </w:r>
            <w:r>
              <w:rPr>
                <w:rFonts w:hint="eastAsia" w:ascii="仿宋" w:hAnsi="仿宋" w:eastAsia="仿宋" w:cs="仿宋"/>
                <w:color w:val="auto"/>
                <w:kern w:val="2"/>
                <w:sz w:val="24"/>
                <w:szCs w:val="24"/>
                <w:highlight w:val="none"/>
              </w:rPr>
              <w:t>各项内容为专门针对本项目编制，符合本项目实际情况，能够保障项目顺利实施的得</w:t>
            </w:r>
            <w:r>
              <w:rPr>
                <w:rFonts w:hint="eastAsia" w:ascii="仿宋" w:hAnsi="仿宋" w:eastAsia="仿宋" w:cs="仿宋"/>
                <w:color w:val="auto"/>
                <w:kern w:val="2"/>
                <w:sz w:val="24"/>
                <w:szCs w:val="24"/>
                <w:highlight w:val="none"/>
                <w:lang w:val="en-US" w:eastAsia="zh-CN"/>
              </w:rPr>
              <w:t>9</w:t>
            </w:r>
            <w:r>
              <w:rPr>
                <w:rFonts w:hint="eastAsia" w:ascii="仿宋" w:hAnsi="仿宋" w:eastAsia="仿宋" w:cs="仿宋"/>
                <w:color w:val="auto"/>
                <w:kern w:val="2"/>
                <w:sz w:val="24"/>
                <w:szCs w:val="24"/>
                <w:highlight w:val="none"/>
              </w:rPr>
              <w:t>分；每缺少一项内容或该项内容非专门针对本项目或</w:t>
            </w:r>
            <w:r>
              <w:rPr>
                <w:rFonts w:hint="eastAsia" w:ascii="仿宋" w:hAnsi="仿宋" w:eastAsia="仿宋" w:cs="仿宋"/>
                <w:color w:val="auto"/>
                <w:kern w:val="2"/>
                <w:sz w:val="24"/>
                <w:szCs w:val="24"/>
                <w:highlight w:val="none"/>
                <w:lang w:eastAsia="zh-CN"/>
              </w:rPr>
              <w:t>内容编制错误</w:t>
            </w:r>
            <w:r>
              <w:rPr>
                <w:rFonts w:hint="eastAsia" w:ascii="仿宋" w:hAnsi="仿宋" w:eastAsia="仿宋" w:cs="仿宋"/>
                <w:color w:val="auto"/>
                <w:kern w:val="2"/>
                <w:sz w:val="24"/>
                <w:szCs w:val="24"/>
                <w:highlight w:val="none"/>
              </w:rPr>
              <w:t>，每有一项扣</w:t>
            </w:r>
            <w:r>
              <w:rPr>
                <w:rFonts w:hint="eastAsia" w:ascii="仿宋" w:hAnsi="仿宋" w:eastAsia="仿宋" w:cs="仿宋"/>
                <w:color w:val="auto"/>
                <w:kern w:val="2"/>
                <w:sz w:val="24"/>
                <w:szCs w:val="24"/>
                <w:highlight w:val="none"/>
                <w:lang w:val="en-US" w:eastAsia="zh-CN"/>
              </w:rPr>
              <w:t>3</w:t>
            </w:r>
            <w:r>
              <w:rPr>
                <w:rFonts w:hint="eastAsia" w:ascii="仿宋" w:hAnsi="仿宋" w:eastAsia="仿宋" w:cs="仿宋"/>
                <w:color w:val="auto"/>
                <w:kern w:val="2"/>
                <w:sz w:val="24"/>
                <w:szCs w:val="24"/>
                <w:highlight w:val="none"/>
              </w:rPr>
              <w:t>分，</w:t>
            </w:r>
            <w:r>
              <w:rPr>
                <w:rFonts w:hint="eastAsia" w:ascii="仿宋" w:hAnsi="仿宋" w:eastAsia="仿宋" w:cs="仿宋"/>
                <w:color w:val="auto"/>
                <w:kern w:val="2"/>
                <w:sz w:val="24"/>
                <w:szCs w:val="24"/>
                <w:highlight w:val="none"/>
                <w:lang w:val="en-US" w:eastAsia="zh-CN"/>
              </w:rPr>
              <w:t>本项分值</w:t>
            </w:r>
            <w:r>
              <w:rPr>
                <w:rFonts w:hint="eastAsia" w:ascii="仿宋" w:hAnsi="仿宋" w:eastAsia="仿宋" w:cs="仿宋"/>
                <w:color w:val="auto"/>
                <w:kern w:val="2"/>
                <w:sz w:val="24"/>
                <w:szCs w:val="24"/>
                <w:highlight w:val="none"/>
              </w:rPr>
              <w:t>扣完为止。</w:t>
            </w:r>
          </w:p>
        </w:tc>
        <w:tc>
          <w:tcPr>
            <w:tcW w:w="2121" w:type="dxa"/>
            <w:vMerge w:val="restart"/>
            <w:tcBorders>
              <w:top w:val="single" w:color="auto" w:sz="4" w:space="0"/>
              <w:left w:val="single" w:color="auto" w:sz="4" w:space="0"/>
              <w:right w:val="single" w:color="auto" w:sz="4" w:space="0"/>
            </w:tcBorders>
            <w:noWrap w:val="0"/>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以响应文件为准，技术评分因素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07"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2"/>
                <w:sz w:val="24"/>
                <w:szCs w:val="24"/>
                <w:highlight w:val="none"/>
              </w:rPr>
              <w:t>安全及文明作业</w:t>
            </w:r>
            <w:r>
              <w:rPr>
                <w:rFonts w:hint="eastAsia" w:ascii="仿宋" w:hAnsi="仿宋" w:eastAsia="仿宋" w:cs="仿宋"/>
                <w:color w:val="auto"/>
                <w:kern w:val="2"/>
                <w:sz w:val="24"/>
                <w:szCs w:val="24"/>
                <w:highlight w:val="none"/>
                <w:lang w:val="en-US" w:eastAsia="zh-CN"/>
              </w:rPr>
              <w:t>10分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pStyle w:val="9"/>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根据</w:t>
            </w:r>
            <w:r>
              <w:rPr>
                <w:rFonts w:hint="eastAsia" w:ascii="仿宋" w:hAnsi="仿宋" w:eastAsia="仿宋" w:cs="仿宋"/>
                <w:color w:val="auto"/>
                <w:kern w:val="2"/>
                <w:sz w:val="24"/>
                <w:szCs w:val="24"/>
                <w:highlight w:val="none"/>
                <w:lang w:eastAsia="zh-CN"/>
              </w:rPr>
              <w:t>投标人提供的</w:t>
            </w:r>
            <w:r>
              <w:rPr>
                <w:rFonts w:hint="eastAsia" w:ascii="仿宋" w:hAnsi="仿宋" w:eastAsia="仿宋" w:cs="仿宋"/>
                <w:color w:val="auto"/>
                <w:kern w:val="2"/>
                <w:sz w:val="24"/>
                <w:szCs w:val="24"/>
                <w:highlight w:val="none"/>
              </w:rPr>
              <w:t>安全及文明作业</w:t>
            </w:r>
            <w:r>
              <w:rPr>
                <w:rFonts w:hint="eastAsia" w:ascii="仿宋" w:hAnsi="仿宋" w:eastAsia="仿宋" w:cs="仿宋"/>
                <w:color w:val="auto"/>
                <w:kern w:val="2"/>
                <w:sz w:val="24"/>
                <w:szCs w:val="24"/>
                <w:highlight w:val="none"/>
                <w:lang w:eastAsia="zh-CN"/>
              </w:rPr>
              <w:t>方案进行综合评审，包含：①员工</w:t>
            </w:r>
            <w:r>
              <w:rPr>
                <w:rFonts w:hint="eastAsia" w:ascii="仿宋" w:hAnsi="仿宋" w:eastAsia="仿宋" w:cs="仿宋"/>
                <w:color w:val="auto"/>
                <w:kern w:val="2"/>
                <w:sz w:val="24"/>
                <w:szCs w:val="24"/>
                <w:highlight w:val="none"/>
              </w:rPr>
              <w:t>着装</w:t>
            </w:r>
            <w:r>
              <w:rPr>
                <w:rFonts w:hint="eastAsia" w:ascii="仿宋" w:hAnsi="仿宋" w:eastAsia="仿宋" w:cs="仿宋"/>
                <w:color w:val="auto"/>
                <w:kern w:val="2"/>
                <w:sz w:val="24"/>
                <w:szCs w:val="24"/>
                <w:highlight w:val="none"/>
                <w:lang w:eastAsia="zh-CN"/>
              </w:rPr>
              <w:t>方案</w:t>
            </w:r>
            <w:r>
              <w:rPr>
                <w:rFonts w:hint="eastAsia" w:ascii="仿宋" w:hAnsi="仿宋" w:eastAsia="仿宋" w:cs="仿宋"/>
                <w:color w:val="auto"/>
                <w:kern w:val="2"/>
                <w:sz w:val="24"/>
                <w:szCs w:val="24"/>
                <w:highlight w:val="none"/>
              </w:rPr>
              <w:t>②安全教育③岗前培训④安全文明措施⑤安全生产职责措施</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各项内容为专门针对本项目编制，符合本项目实际情况，能够保障项目顺利实施的得</w:t>
            </w:r>
            <w:r>
              <w:rPr>
                <w:rFonts w:hint="eastAsia" w:ascii="仿宋" w:hAnsi="仿宋" w:eastAsia="仿宋" w:cs="仿宋"/>
                <w:color w:val="auto"/>
                <w:kern w:val="2"/>
                <w:sz w:val="24"/>
                <w:szCs w:val="24"/>
                <w:highlight w:val="none"/>
                <w:lang w:val="en-US" w:eastAsia="zh-CN"/>
              </w:rPr>
              <w:t>10</w:t>
            </w:r>
            <w:r>
              <w:rPr>
                <w:rFonts w:hint="eastAsia" w:ascii="仿宋" w:hAnsi="仿宋" w:eastAsia="仿宋" w:cs="仿宋"/>
                <w:color w:val="auto"/>
                <w:kern w:val="2"/>
                <w:sz w:val="24"/>
                <w:szCs w:val="24"/>
                <w:highlight w:val="none"/>
              </w:rPr>
              <w:t>分；每缺少一项内容或该项内容非专门针对本项目或</w:t>
            </w:r>
            <w:r>
              <w:rPr>
                <w:rFonts w:hint="eastAsia" w:ascii="仿宋" w:hAnsi="仿宋" w:eastAsia="仿宋" w:cs="仿宋"/>
                <w:color w:val="auto"/>
                <w:kern w:val="2"/>
                <w:sz w:val="24"/>
                <w:szCs w:val="24"/>
                <w:highlight w:val="none"/>
                <w:lang w:eastAsia="zh-CN"/>
              </w:rPr>
              <w:t>内容编制错误</w:t>
            </w:r>
            <w:r>
              <w:rPr>
                <w:rFonts w:hint="eastAsia" w:ascii="仿宋" w:hAnsi="仿宋" w:eastAsia="仿宋" w:cs="仿宋"/>
                <w:color w:val="auto"/>
                <w:kern w:val="2"/>
                <w:sz w:val="24"/>
                <w:szCs w:val="24"/>
                <w:highlight w:val="none"/>
              </w:rPr>
              <w:t>，每有一项扣</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分，</w:t>
            </w:r>
            <w:r>
              <w:rPr>
                <w:rFonts w:hint="eastAsia" w:ascii="仿宋" w:hAnsi="仿宋" w:eastAsia="仿宋" w:cs="仿宋"/>
                <w:color w:val="auto"/>
                <w:kern w:val="2"/>
                <w:sz w:val="24"/>
                <w:szCs w:val="24"/>
                <w:highlight w:val="none"/>
                <w:lang w:val="en-US" w:eastAsia="zh-CN"/>
              </w:rPr>
              <w:t>本项分值</w:t>
            </w:r>
            <w:r>
              <w:rPr>
                <w:rFonts w:hint="eastAsia" w:ascii="仿宋" w:hAnsi="仿宋" w:eastAsia="仿宋" w:cs="仿宋"/>
                <w:color w:val="auto"/>
                <w:kern w:val="2"/>
                <w:sz w:val="24"/>
                <w:szCs w:val="24"/>
                <w:highlight w:val="none"/>
              </w:rPr>
              <w:t>扣完为止。</w:t>
            </w:r>
          </w:p>
        </w:tc>
        <w:tc>
          <w:tcPr>
            <w:tcW w:w="2121" w:type="dxa"/>
            <w:vMerge w:val="continue"/>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07"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环卫作业方案</w:t>
            </w:r>
          </w:p>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pStyle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环卫作业方案进行综合评审，包含：①作业月历及主要工作的分析和采取的措施（包括质量控制措施等）内容②大件垃圾清运方案③城市袋装化生活垃圾收运方案（提供车辆人员路线图，明确到达各个目的地的时间节点）④道路清扫保洁实施方案。各项内容为专门针对本项目编制，符合本项目实际情况，能够保障项目顺利实施的得12分；每缺少一项内容或该项内容非专门针对本项目或</w:t>
            </w:r>
            <w:r>
              <w:rPr>
                <w:rFonts w:hint="eastAsia" w:ascii="仿宋" w:hAnsi="仿宋" w:eastAsia="仿宋" w:cs="仿宋"/>
                <w:color w:val="auto"/>
                <w:sz w:val="24"/>
                <w:szCs w:val="24"/>
                <w:highlight w:val="none"/>
                <w:lang w:eastAsia="zh-CN"/>
              </w:rPr>
              <w:t>内容编制错误</w:t>
            </w:r>
            <w:r>
              <w:rPr>
                <w:rFonts w:hint="eastAsia" w:ascii="仿宋" w:hAnsi="仿宋" w:eastAsia="仿宋" w:cs="仿宋"/>
                <w:color w:val="auto"/>
                <w:sz w:val="24"/>
                <w:szCs w:val="24"/>
                <w:highlight w:val="none"/>
              </w:rPr>
              <w:t>，每有一项扣3分，</w:t>
            </w:r>
            <w:r>
              <w:rPr>
                <w:rFonts w:hint="eastAsia" w:ascii="仿宋" w:hAnsi="仿宋" w:eastAsia="仿宋" w:cs="仿宋"/>
                <w:color w:val="auto"/>
                <w:sz w:val="24"/>
                <w:szCs w:val="24"/>
                <w:highlight w:val="none"/>
                <w:lang w:val="en-US" w:eastAsia="zh-CN"/>
              </w:rPr>
              <w:t>本项分值</w:t>
            </w:r>
            <w:r>
              <w:rPr>
                <w:rFonts w:hint="eastAsia" w:ascii="仿宋" w:hAnsi="仿宋" w:eastAsia="仿宋" w:cs="仿宋"/>
                <w:color w:val="auto"/>
                <w:sz w:val="24"/>
                <w:szCs w:val="24"/>
                <w:highlight w:val="none"/>
              </w:rPr>
              <w:t>扣完为止。</w:t>
            </w:r>
          </w:p>
        </w:tc>
        <w:tc>
          <w:tcPr>
            <w:tcW w:w="2121" w:type="dxa"/>
            <w:vMerge w:val="continue"/>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507"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应急措施5分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pStyle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应急措施进行综合评审，包含：①防汛抢险应急措施②防震救灾应急措施③重大活动及迎检接待方案④节假日应急方案⑤突发交通事故应急方案。各项内容为专门针对本项目编制，符合本项目实际情况，能够保障项目顺利实施的得5分；每缺少一项内容或该项内容非专门针对本项目或</w:t>
            </w:r>
            <w:r>
              <w:rPr>
                <w:rFonts w:hint="eastAsia" w:ascii="仿宋" w:hAnsi="仿宋" w:eastAsia="仿宋" w:cs="仿宋"/>
                <w:color w:val="auto"/>
                <w:sz w:val="24"/>
                <w:szCs w:val="24"/>
                <w:highlight w:val="none"/>
                <w:lang w:eastAsia="zh-CN"/>
              </w:rPr>
              <w:t>内容编制错误</w:t>
            </w:r>
            <w:r>
              <w:rPr>
                <w:rFonts w:hint="eastAsia" w:ascii="仿宋" w:hAnsi="仿宋" w:eastAsia="仿宋" w:cs="仿宋"/>
                <w:color w:val="auto"/>
                <w:sz w:val="24"/>
                <w:szCs w:val="24"/>
                <w:highlight w:val="none"/>
              </w:rPr>
              <w:t>，每有一项扣1分，</w:t>
            </w:r>
            <w:r>
              <w:rPr>
                <w:rFonts w:hint="eastAsia" w:ascii="仿宋" w:hAnsi="仿宋" w:eastAsia="仿宋" w:cs="仿宋"/>
                <w:color w:val="auto"/>
                <w:sz w:val="24"/>
                <w:szCs w:val="24"/>
                <w:highlight w:val="none"/>
                <w:lang w:val="en-US" w:eastAsia="zh-CN"/>
              </w:rPr>
              <w:t>本项分值</w:t>
            </w:r>
            <w:r>
              <w:rPr>
                <w:rFonts w:hint="eastAsia" w:ascii="仿宋" w:hAnsi="仿宋" w:eastAsia="仿宋" w:cs="仿宋"/>
                <w:color w:val="auto"/>
                <w:sz w:val="24"/>
                <w:szCs w:val="24"/>
                <w:highlight w:val="none"/>
              </w:rPr>
              <w:t>扣完为止。</w:t>
            </w:r>
          </w:p>
        </w:tc>
        <w:tc>
          <w:tcPr>
            <w:tcW w:w="2121" w:type="dxa"/>
            <w:vMerge w:val="continue"/>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7"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rPr>
            </w:pPr>
          </w:p>
        </w:tc>
        <w:tc>
          <w:tcPr>
            <w:tcW w:w="126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劳动保障措施</w:t>
            </w:r>
          </w:p>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及社会责任14分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pStyle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（1）投标人有对拟派本项目从业人员均签订劳动合同、按时足额发放工人工资、加班费（如有加班）、保险（包含但不限于意外险）等保障内容，全提供承诺的得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分，承诺不全或未提供的不得分。</w:t>
            </w:r>
          </w:p>
          <w:p>
            <w:pPr>
              <w:pStyle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（2）供应商承诺支付一线从业人员月基本工资不低于成都市最低工资标准的1.3倍，得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分，无不得分。</w:t>
            </w:r>
          </w:p>
          <w:p>
            <w:pPr>
              <w:pStyle w:val="9"/>
              <w:rPr>
                <w:rFonts w:hint="eastAsia" w:ascii="仿宋" w:hAnsi="仿宋" w:eastAsia="仿宋" w:cs="仿宋"/>
                <w:color w:val="auto"/>
                <w:sz w:val="24"/>
                <w:szCs w:val="24"/>
                <w:highlight w:val="none"/>
              </w:rPr>
            </w:pPr>
          </w:p>
        </w:tc>
        <w:tc>
          <w:tcPr>
            <w:tcW w:w="2121" w:type="dxa"/>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需提供承诺函，格式自拟，加盖投标人单位公章。未提供相关材料，不得相应分值。</w:t>
            </w:r>
          </w:p>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7" w:type="dxa"/>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60" w:type="dxa"/>
            <w:tcBorders>
              <w:left w:val="single" w:color="auto" w:sz="4" w:space="0"/>
              <w:bottom w:val="single" w:color="auto" w:sz="4" w:space="0"/>
              <w:right w:val="single" w:color="auto" w:sz="4" w:space="0"/>
            </w:tcBorders>
            <w:noWrap w:val="0"/>
            <w:vAlign w:val="center"/>
          </w:tcPr>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机具配置15%</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15分</w:t>
            </w:r>
          </w:p>
        </w:tc>
        <w:tc>
          <w:tcPr>
            <w:tcW w:w="4417"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根据投标人提供的环卫作业机具应按照《成都高新区肖家河街道环卫作业管理标准》，提供2吨≤核定载质量≤5吨新能源压缩式垃圾车1辆、核定载质量8吨及以上新能源洒水车1辆、核定总质量15吨及以上新能源洗扫车l辆。 </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在满足上述基础上，投标人拟多投入的机具按以下标准进行加分。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1、核定载质量8吨及以上多功能抑尘车1辆得5分，最高得5分；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2、额外提供2吨≤核定载质量≤5吨新能源压缩式垃圾车1辆得3分，最高得9分；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4、新能源三轮高压冲洗车1辆得0.5分，最高得1分；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注：（1）投标人拟投入的机具为自有，须提供车辆购置发票复印件及有效年审期内行驶证复印件并加盖投标人鲜章，否则视为未提供。</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（2）若是租赁的，需提供车辆出租方购买发票、车辆登记证、租赁合同（租赁期含盖服务期）及有效年审内的行驶证复印件并加盖投标人鲜章，否则视为未提供。</w:t>
            </w:r>
          </w:p>
        </w:tc>
        <w:tc>
          <w:tcPr>
            <w:tcW w:w="2121" w:type="dxa"/>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注：（1）投标人拟投入的机具为自有，须提供车辆购置发票复印件及有效年审期内行驶证复印件并加盖投标人鲜章，否则视为未提供。</w:t>
            </w:r>
          </w:p>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（2）若是租赁的，需提供车辆出租方购买发票、车辆登记证、租赁合同（租赁期含盖服务期）及有效年审内的行驶证复印件并加盖投标人鲜章，否则不得相应分值。</w:t>
            </w:r>
          </w:p>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履约能力15%</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15分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1、环卫清扫保洁类似业绩：投标人自2018年1月1日（以中标日期为准）以来，具有类似项目业绩, 每有1个得2分，最多得6分。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2、生活垃圾清运类似业绩：投标人自2018年1月1日（以中标日期为准）以来，具有类似项目业绩,每有1个得2分，最多得6分。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3、投标人具有有效的质量管理体系认证证书的得 1分； </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4、投标人具有有效的环境管理体系认证证书的得1分；</w:t>
            </w:r>
          </w:p>
          <w:p>
            <w:pPr>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5、投标人具有有效的职业健康安全管理体系认证证书的得1分。</w:t>
            </w:r>
          </w:p>
        </w:tc>
        <w:tc>
          <w:tcPr>
            <w:tcW w:w="212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注：提供合同及中标（成交）通知书复印件。（同一项目不同年限视为一份业绩；同时具有环卫清扫和生活垃圾清运项目视为一份业绩）未提供相关材料，不得相应分值。</w:t>
            </w:r>
          </w:p>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共同评分因素</w:t>
            </w:r>
          </w:p>
        </w:tc>
      </w:tr>
    </w:tbl>
    <w:p>
      <w:pPr>
        <w:spacing w:line="400" w:lineRule="exact"/>
        <w:ind w:firstLine="482" w:firstLineChars="200"/>
        <w:rPr>
          <w:rFonts w:hint="eastAsia" w:ascii="仿宋" w:hAnsi="仿宋" w:eastAsia="仿宋" w:cs="仿宋"/>
          <w:color w:val="auto"/>
          <w:sz w:val="24"/>
          <w:highlight w:val="none"/>
        </w:rPr>
      </w:pPr>
      <w:bookmarkStart w:id="126" w:name="_Toc217446059"/>
      <w:bookmarkStart w:id="127" w:name="_Toc217446060"/>
      <w:r>
        <w:rPr>
          <w:rFonts w:hint="eastAsia" w:ascii="仿宋" w:hAnsi="仿宋" w:eastAsia="仿宋" w:cs="仿宋"/>
          <w:b/>
          <w:color w:val="auto"/>
          <w:sz w:val="24"/>
          <w:highlight w:val="none"/>
        </w:rPr>
        <w:t>注：供应商提供的方案各项内容在</w:t>
      </w:r>
      <w:r>
        <w:rPr>
          <w:rFonts w:hint="eastAsia" w:ascii="仿宋" w:hAnsi="仿宋" w:eastAsia="仿宋" w:cs="仿宋"/>
          <w:b/>
          <w:color w:val="auto"/>
          <w:sz w:val="24"/>
          <w:highlight w:val="none"/>
          <w:lang w:val="en-US" w:eastAsia="zh-CN"/>
        </w:rPr>
        <w:t>招标文件</w:t>
      </w:r>
      <w:r>
        <w:rPr>
          <w:rFonts w:hint="eastAsia" w:ascii="仿宋" w:hAnsi="仿宋" w:eastAsia="仿宋" w:cs="仿宋"/>
          <w:b/>
          <w:color w:val="auto"/>
          <w:sz w:val="24"/>
          <w:highlight w:val="none"/>
        </w:rPr>
        <w:t>项目技术、服务及其他商务无明确要求时，由供应商自行根据项目实际进行编制，相关内容不进行偏差评定；方案中各项内容在招标文件项目技术、服务及其他商务有明确要求时，供应商编制的方案与相关要求出现负偏离时视为偏差，方案各项内容凭空编造或前后不一致或不适用项目实际情况（或与项目实施完全无关）或文字错误或原理（或常识）错误以及实际不可实现的夸大描述等统一视为编制错误。</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本次综合评分法由评标委员会各成员独立对通过初审（资格检查和符合性检查）的投标人的投标文件进行评审和打分，</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评标得分＝（A1＋A2＋……＋An）/NA＋（B1＋B2＋……＋Bn）/ NB＋（C1＋C2＋……＋Cn）/ NC＋（D1＋D2＋……＋Dn）/ ND</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bookmarkEnd w:id="126"/>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 废 标</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本次政府采购活动中，出现下列情形之一的，予以废标：</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（1）符合专业条件的供应商或者对招标文件作实质响应的供应商不足三家的；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废标后，采购代理机构应在四川政府采购网上公告，并公告废标的具体理由。</w:t>
      </w:r>
    </w:p>
    <w:p>
      <w:pPr>
        <w:pStyle w:val="2"/>
        <w:spacing w:line="400" w:lineRule="exact"/>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7.定标</w:t>
      </w:r>
      <w:bookmarkEnd w:id="127"/>
      <w:bookmarkStart w:id="128" w:name="_Toc217446061"/>
    </w:p>
    <w:bookmarkEnd w:id="124"/>
    <w:bookmarkEnd w:id="128"/>
    <w:p>
      <w:pPr>
        <w:spacing w:line="400" w:lineRule="exact"/>
        <w:ind w:firstLine="480" w:firstLineChars="200"/>
        <w:rPr>
          <w:rFonts w:hint="eastAsia" w:ascii="仿宋" w:hAnsi="仿宋" w:eastAsia="仿宋" w:cs="仿宋"/>
          <w:color w:val="auto"/>
          <w:sz w:val="24"/>
          <w:highlight w:val="none"/>
        </w:rPr>
      </w:pPr>
      <w:bookmarkStart w:id="129" w:name="_Toc208849022"/>
      <w:bookmarkStart w:id="130" w:name="_Toc183582297"/>
      <w:bookmarkStart w:id="131" w:name="_Toc217446105"/>
      <w:bookmarkStart w:id="132" w:name="_Toc183682432"/>
      <w:r>
        <w:rPr>
          <w:rFonts w:hint="eastAsia" w:ascii="仿宋" w:hAnsi="仿宋" w:eastAsia="仿宋" w:cs="仿宋"/>
          <w:color w:val="auto"/>
          <w:sz w:val="24"/>
          <w:highlight w:val="none"/>
        </w:rPr>
        <w:t>7.1. 定标原则：本项目根据评标委员会推荐的中标候选人名单，按顺序确定中标人。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 定标程序</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7.2.1 评标委员会将评标情况写出书面报告，根据本招标文件推荐中标候选人要求推荐3名中标候选人。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7.2.2采购代理机构应当在评标结束后2个工作日内将评标报告送采购人。</w:t>
      </w:r>
    </w:p>
    <w:p>
      <w:pPr>
        <w:spacing w:after="156" w:afterLines="5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7.2.3采购人应当自收到评标报告之日起５个工作日内，在评标报告确定的中标候选人名单中按顺序确定中标人。本项目</w:t>
      </w:r>
      <w:r>
        <w:rPr>
          <w:rFonts w:hint="eastAsia" w:ascii="仿宋" w:hAnsi="仿宋" w:eastAsia="仿宋" w:cs="仿宋"/>
          <w:color w:val="auto"/>
          <w:sz w:val="24"/>
          <w:szCs w:val="28"/>
          <w:highlight w:val="none"/>
        </w:rPr>
        <w:t>每个投标人只允许中标一个包件。如投标人在多个包件均被推荐为第一中标候选人，则</w:t>
      </w:r>
      <w:r>
        <w:rPr>
          <w:rFonts w:hint="eastAsia" w:ascii="仿宋" w:hAnsi="仿宋" w:eastAsia="仿宋" w:cs="仿宋"/>
          <w:color w:val="auto"/>
          <w:sz w:val="24"/>
          <w:highlight w:val="none"/>
        </w:rPr>
        <w:t>采购人委托评标委员会</w:t>
      </w:r>
      <w:r>
        <w:rPr>
          <w:rFonts w:hint="eastAsia" w:ascii="仿宋" w:hAnsi="仿宋" w:eastAsia="仿宋" w:cs="仿宋"/>
          <w:color w:val="auto"/>
          <w:sz w:val="24"/>
          <w:szCs w:val="28"/>
          <w:highlight w:val="none"/>
        </w:rPr>
        <w:t>将按包件顺序确定其为包件号在前的包件的中标人。剩下包件则按中标候选人排列顺序确定中标人</w:t>
      </w:r>
      <w:r>
        <w:rPr>
          <w:rFonts w:hint="eastAsia" w:ascii="仿宋" w:hAnsi="仿宋" w:eastAsia="仿宋" w:cs="仿宋"/>
          <w:color w:val="auto"/>
          <w:sz w:val="24"/>
          <w:highlight w:val="none"/>
        </w:rPr>
        <w:t>。中标候选人并列的，由采购人或者采购人委托评标委员会按照招标文件规定的方式确定中标人；招标文件未规定的，采取随机抽取的方式确定。</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采购人在收到评标报告5个工作日内未按评标报告推荐的中标候选人顺序确定中标人，又不能说明合法理由的，视同按评标报告推荐的顺序确定排名第一的中标候选人为中标人。</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7.2.4采购代理机构应当自中标人确定之日起2个工作日内，在四川政府采购网上公告中标结果，招标文件应当随中标结果同时公告。</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中标公告期限为1个工作日。</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7.2.5在公告中标结果的同时，由采购代理机构向中标人发出中标通知书；对未通过资格审查的投标人，应当告知其未通过的原因；采用综合评分法评审的，还应当告知未中标人本人的评审得分与排序。</w:t>
      </w:r>
    </w:p>
    <w:p>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7.2.6 投标人无论中标或落标，招标人均不退回投标文件和其他投标资料。</w:t>
      </w:r>
    </w:p>
    <w:p>
      <w:pPr>
        <w:pStyle w:val="2"/>
        <w:spacing w:line="400" w:lineRule="exact"/>
        <w:ind w:firstLine="482" w:firstLineChars="20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8. </w:t>
      </w:r>
      <w:bookmarkEnd w:id="129"/>
      <w:bookmarkEnd w:id="130"/>
      <w:bookmarkEnd w:id="131"/>
      <w:bookmarkEnd w:id="132"/>
      <w:r>
        <w:rPr>
          <w:rFonts w:hint="eastAsia" w:ascii="仿宋" w:hAnsi="仿宋" w:eastAsia="仿宋" w:cs="仿宋"/>
          <w:color w:val="auto"/>
          <w:sz w:val="24"/>
          <w:szCs w:val="24"/>
          <w:highlight w:val="none"/>
        </w:rPr>
        <w:t>评标专家在政府采购活动中承担以下义务：</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8.1 遵纪守法，客观、公正、廉洁地履行职责。</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8.2 按照政府采购法律法规和</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的规定要求对供应商提供的产品价格、技术、服务等方面严格进行评判，提供科学合理、公平公正的评审意见，参与起草评审报告，并予签字确认。</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8.3 保守秘密。不得透露</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咨询情况，不得泄漏供应商的投标文件及知悉的商业秘密，不得向供应商透露评审情况。</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8.4 发现供应商在政府采购活动中有不正当竞争或恶意串通等违规行为，及时向政府采购评审工作的组织者或财政部门报告并加以制止。</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发现采购人、政府采购代理机构及其工作人员在政府采购活动中有干预评审、发表倾向性和歧视性言论、受贿或者接受供应商的其他好处及其他违法违规行为，及时向财政部门报告。</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8.5 解答有关方面对政府采购评审工作中有关问题的询问，配合采购人或者政府采购代理机构答复供应商质疑，配合财政部门的投诉处理工作等事宜。</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8.6 法律、法规和规章规定的其他义务。</w:t>
      </w:r>
    </w:p>
    <w:p>
      <w:pPr>
        <w:widowControl/>
        <w:autoSpaceDE w:val="0"/>
        <w:autoSpaceDN w:val="0"/>
        <w:spacing w:before="156" w:beforeLines="50" w:after="156" w:afterLines="50" w:line="400" w:lineRule="exact"/>
        <w:ind w:right="51" w:firstLine="482" w:firstLineChars="20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9.评审专家在政府采购活动中应当遵守以下工作纪律：</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（1）确定参与评标至评标结束前不得私自接触投标人；</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（2）接受投标人提出的与投标文件不一致的澄清或者说明，超出投标文件的范围或者改变投标文件的实质性内容的除外；</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（3）不得违反评标纪律发表倾向性意见或者征询采购人的倾向性意见；</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（4）不得对需要专业判断的主观评审因素协商评分；</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（5）在评标过程中不得擅离职守，影响评标程序正常进行的；</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（6）不得记录、复制或者带走任何评标资料；</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（7）应邀按时参加评审和咨询活动。遇特殊情况不能出席或途中遇阻不能按时参加评审或咨询的，应及时告知财政部门或者采购人或者政府采购代理机构，不得私自转托他人。</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（8）不得参加与自己有利害关系的政府采购项目的评审活动。对与自己有利害关系的评审项目，如受到邀请，应主动提出回避。财政部门、采购人或政府采购代理机构也可要求该评审专家回避。</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有利害关系主要是指三年内曾在参加该采购项目供应商中任职(包括一般工作)或担任顾问，配偶或直系亲属在参加该采购项目的供应商中任职或担任顾问，与参加该采购项目供应商发生过法律纠纷，以及其他可能影响公正评审的情况。</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（9）评审或咨询过程中关闭通讯设备，不得与外界联系。因发生不可预见情况，确实需要与外界联系的，应当有在场工作人员陪同。</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10）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没有规定的方法和标准作为评审的依据；不得违反规定的评审格式评分和撰写评审意见；不得拒绝对自己的评审意见签字确认。</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（11）在咨询工作中，严格执行国家产业政策和产品标准，认真听取咨询方的合理要求，提出科学合理的、无倾向性和歧视性的咨询方案，并对所提出的意见和建议承担个人责任。</w:t>
      </w:r>
    </w:p>
    <w:p>
      <w:pPr>
        <w:widowControl/>
        <w:autoSpaceDE w:val="0"/>
        <w:autoSpaceDN w:val="0"/>
        <w:spacing w:line="400" w:lineRule="exact"/>
        <w:ind w:right="53"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（12） 有关部门（机构）制定的其他评审工作纪律。</w:t>
      </w:r>
    </w:p>
    <w:p>
      <w:pPr>
        <w:widowControl/>
        <w:autoSpaceDE w:val="0"/>
        <w:autoSpaceDN w:val="0"/>
        <w:spacing w:line="400" w:lineRule="exact"/>
        <w:ind w:right="53" w:firstLine="480" w:firstLineChars="200"/>
        <w:jc w:val="left"/>
        <w:textAlignment w:val="bottom"/>
        <w:rPr>
          <w:rFonts w:hint="eastAsia" w:ascii="仿宋" w:hAnsi="仿宋" w:eastAsia="仿宋" w:cs="仿宋"/>
          <w:b/>
          <w:bCs/>
          <w:color w:val="auto"/>
          <w:sz w:val="30"/>
          <w:szCs w:val="30"/>
          <w:highlight w:val="none"/>
        </w:rPr>
      </w:pPr>
      <w:r>
        <w:rPr>
          <w:rFonts w:hint="eastAsia" w:ascii="仿宋" w:hAnsi="仿宋" w:eastAsia="仿宋" w:cs="仿宋"/>
          <w:color w:val="auto"/>
          <w:sz w:val="24"/>
          <w:highlight w:val="none"/>
        </w:rPr>
        <w:t>注：评标委员会成员有本条第一至五项行为之一的，其评审意见无效，并不得获取评审劳务报酬和报销异地评审差旅费。</w:t>
      </w:r>
      <w:bookmarkStart w:id="133" w:name="_Toc25840570"/>
    </w:p>
    <w:p>
      <w:pPr>
        <w:spacing w:line="400" w:lineRule="exact"/>
        <w:rPr>
          <w:rFonts w:hint="eastAsia" w:ascii="仿宋" w:hAnsi="仿宋" w:eastAsia="仿宋" w:cs="仿宋"/>
          <w:color w:val="auto"/>
          <w:highlight w:val="none"/>
        </w:rPr>
      </w:pPr>
    </w:p>
    <w:p>
      <w:pPr>
        <w:widowControl/>
        <w:autoSpaceDE w:val="0"/>
        <w:autoSpaceDN w:val="0"/>
        <w:spacing w:line="400" w:lineRule="exact"/>
        <w:ind w:right="53"/>
        <w:jc w:val="center"/>
        <w:textAlignment w:val="bottom"/>
        <w:rPr>
          <w:rFonts w:hint="eastAsia" w:ascii="仿宋" w:hAnsi="仿宋" w:eastAsia="仿宋" w:cs="仿宋"/>
          <w:b/>
          <w:bCs/>
          <w:color w:val="auto"/>
          <w:sz w:val="30"/>
          <w:szCs w:val="30"/>
          <w:highlight w:val="none"/>
        </w:rPr>
      </w:pPr>
    </w:p>
    <w:p>
      <w:pPr>
        <w:widowControl/>
        <w:autoSpaceDE w:val="0"/>
        <w:autoSpaceDN w:val="0"/>
        <w:spacing w:line="400" w:lineRule="exact"/>
        <w:ind w:right="53"/>
        <w:jc w:val="center"/>
        <w:textAlignment w:val="bottom"/>
        <w:rPr>
          <w:rFonts w:hint="eastAsia" w:ascii="仿宋" w:hAnsi="仿宋" w:eastAsia="仿宋" w:cs="仿宋"/>
          <w:b/>
          <w:bCs/>
          <w:color w:val="auto"/>
          <w:sz w:val="30"/>
          <w:szCs w:val="30"/>
          <w:highlight w:val="none"/>
        </w:rPr>
      </w:pPr>
    </w:p>
    <w:p>
      <w:pPr>
        <w:widowControl/>
        <w:autoSpaceDE w:val="0"/>
        <w:autoSpaceDN w:val="0"/>
        <w:spacing w:line="400" w:lineRule="exact"/>
        <w:ind w:right="53"/>
        <w:jc w:val="center"/>
        <w:textAlignment w:val="bottom"/>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bookmarkEnd w:id="133"/>
    <w:p>
      <w:pPr>
        <w:widowControl/>
        <w:autoSpaceDE w:val="0"/>
        <w:autoSpaceDN w:val="0"/>
        <w:spacing w:line="400" w:lineRule="exact"/>
        <w:ind w:right="53"/>
        <w:jc w:val="center"/>
        <w:textAlignment w:val="bottom"/>
        <w:rPr>
          <w:rFonts w:hint="eastAsia" w:ascii="仿宋" w:hAnsi="仿宋" w:eastAsia="仿宋" w:cs="仿宋"/>
          <w:b/>
          <w:bCs w:val="0"/>
          <w:color w:val="auto"/>
          <w:sz w:val="36"/>
          <w:szCs w:val="36"/>
          <w:highlight w:val="none"/>
        </w:rPr>
      </w:pPr>
      <w:r>
        <w:rPr>
          <w:rFonts w:hint="eastAsia" w:ascii="仿宋" w:hAnsi="仿宋" w:eastAsia="仿宋" w:cs="仿宋"/>
          <w:b/>
          <w:bCs w:val="0"/>
          <w:color w:val="auto"/>
          <w:sz w:val="36"/>
          <w:szCs w:val="36"/>
          <w:highlight w:val="none"/>
        </w:rPr>
        <w:t>第八章  采购合同（草案）</w:t>
      </w:r>
    </w:p>
    <w:p>
      <w:pPr>
        <w:spacing w:line="400" w:lineRule="exact"/>
        <w:ind w:firstLine="480" w:firstLineChars="200"/>
        <w:rPr>
          <w:rFonts w:hint="eastAsia" w:ascii="仿宋" w:hAnsi="仿宋" w:eastAsia="仿宋" w:cs="仿宋"/>
          <w:color w:val="auto"/>
          <w:sz w:val="24"/>
          <w:highlight w:val="none"/>
        </w:rPr>
      </w:pPr>
    </w:p>
    <w:p>
      <w:pPr>
        <w:spacing w:line="560" w:lineRule="exact"/>
        <w:jc w:val="center"/>
        <w:rPr>
          <w:rFonts w:hint="eastAsia" w:ascii="仿宋" w:hAnsi="仿宋" w:eastAsia="仿宋" w:cs="仿宋"/>
          <w:color w:val="auto"/>
          <w:sz w:val="24"/>
          <w:highlight w:val="none"/>
        </w:rPr>
      </w:pPr>
      <w:bookmarkStart w:id="134" w:name="_Toc1019"/>
      <w:bookmarkStart w:id="135" w:name="_Toc475862814"/>
      <w:bookmarkStart w:id="136" w:name="_Toc475862570"/>
      <w:r>
        <w:rPr>
          <w:rFonts w:hint="eastAsia" w:ascii="仿宋" w:hAnsi="仿宋" w:eastAsia="仿宋" w:cs="仿宋"/>
          <w:color w:val="auto"/>
          <w:sz w:val="24"/>
          <w:highlight w:val="none"/>
        </w:rPr>
        <w:t>(仅供参考，以实际签订合同为准)</w:t>
      </w:r>
      <w:bookmarkEnd w:id="134"/>
      <w:bookmarkEnd w:id="135"/>
      <w:bookmarkEnd w:id="136"/>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合同编号：ZHHT-2141-1</w:t>
      </w:r>
      <w:r>
        <w:rPr>
          <w:rFonts w:hint="eastAsia" w:ascii="仿宋" w:hAnsi="仿宋" w:eastAsia="仿宋" w:cs="仿宋"/>
          <w:color w:val="auto"/>
          <w:sz w:val="24"/>
          <w:highlight w:val="none"/>
          <w:lang w:val="en-US" w:eastAsia="zh-CN"/>
        </w:rPr>
        <w:t>452</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签订地点：XXXX。</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签订时间：XXXX年XX月XX日。</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采购人（甲方）：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供应商（乙方）：                                                                     </w:t>
      </w:r>
    </w:p>
    <w:p>
      <w:pPr>
        <w:spacing w:line="360" w:lineRule="auto"/>
        <w:rPr>
          <w:rFonts w:hint="eastAsia" w:ascii="仿宋" w:hAnsi="仿宋" w:eastAsia="仿宋" w:cs="仿宋"/>
          <w:color w:val="auto"/>
          <w:sz w:val="24"/>
          <w:highlight w:val="none"/>
        </w:rPr>
      </w:pPr>
    </w:p>
    <w:p>
      <w:pPr>
        <w:pStyle w:val="72"/>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根据《中华人民共和国政府采购法》、《中华人民共和国民法典》及XXXX采购项目（采购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bookmarkStart w:id="137" w:name="_Toc217446115"/>
      <w:r>
        <w:rPr>
          <w:rFonts w:hint="eastAsia" w:ascii="仿宋" w:hAnsi="仿宋" w:eastAsia="仿宋" w:cs="仿宋"/>
          <w:b/>
          <w:color w:val="auto"/>
          <w:sz w:val="24"/>
          <w:highlight w:val="none"/>
        </w:rPr>
        <w:t>项目基本情况</w:t>
      </w:r>
    </w:p>
    <w:p>
      <w:pPr>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630"/>
        <w:rPr>
          <w:rFonts w:hint="eastAsia" w:ascii="仿宋" w:hAnsi="仿宋" w:eastAsia="仿宋" w:cs="仿宋"/>
          <w:b/>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合同期限</w:t>
      </w:r>
    </w:p>
    <w:p>
      <w:pPr>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pStyle w:val="9"/>
        <w:rPr>
          <w:rFonts w:hint="eastAsia" w:ascii="仿宋" w:hAnsi="仿宋" w:eastAsia="仿宋" w:cs="仿宋"/>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bookmarkStart w:id="138" w:name="_Toc286993786"/>
      <w:bookmarkStart w:id="139" w:name="_Toc237145406"/>
      <w:bookmarkStart w:id="140" w:name="_Toc225670751"/>
      <w:bookmarkStart w:id="141" w:name="_Toc225654644"/>
      <w:bookmarkStart w:id="142" w:name="_Toc283019214"/>
      <w:bookmarkStart w:id="143" w:name="_Toc232492928"/>
      <w:bookmarkStart w:id="144" w:name="_Toc211911348"/>
      <w:bookmarkStart w:id="145" w:name="_Toc282696226"/>
      <w:bookmarkStart w:id="146" w:name="_Toc239233914"/>
      <w:bookmarkStart w:id="147" w:name="_Toc238984975"/>
      <w:bookmarkStart w:id="148" w:name="_Toc241833903"/>
      <w:bookmarkStart w:id="149" w:name="_Toc212019594"/>
      <w:bookmarkStart w:id="150" w:name="_Toc211854449"/>
      <w:bookmarkStart w:id="151" w:name="_Toc239568418"/>
      <w:bookmarkStart w:id="152" w:name="_Toc247334841"/>
      <w:bookmarkStart w:id="153" w:name="_Toc185395249"/>
      <w:bookmarkStart w:id="154" w:name="_Toc251768862"/>
      <w:bookmarkStart w:id="155" w:name="_Toc225244852"/>
      <w:r>
        <w:rPr>
          <w:rFonts w:hint="eastAsia" w:ascii="仿宋" w:hAnsi="仿宋" w:eastAsia="仿宋" w:cs="仿宋"/>
          <w:b/>
          <w:color w:val="auto"/>
          <w:sz w:val="24"/>
          <w:highlight w:val="none"/>
        </w:rPr>
        <w:t>服务内容与质量标准</w:t>
      </w:r>
    </w:p>
    <w:p>
      <w:pPr>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pStyle w:val="9"/>
        <w:rPr>
          <w:rFonts w:hint="eastAsia" w:ascii="仿宋" w:hAnsi="仿宋" w:eastAsia="仿宋" w:cs="仿宋"/>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服务费用及支付方式</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4.1.本项目服务费用由以下组成：</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r>
        <w:rPr>
          <w:rFonts w:hint="eastAsia" w:ascii="仿宋" w:hAnsi="仿宋" w:eastAsia="仿宋" w:cs="仿宋"/>
          <w:color w:val="auto"/>
          <w:sz w:val="24"/>
          <w:highlight w:val="none"/>
          <w:lang w:val="en-US" w:eastAsia="zh-CN"/>
        </w:rPr>
        <w:t>XXX</w:t>
      </w:r>
      <w:r>
        <w:rPr>
          <w:rFonts w:hint="eastAsia" w:ascii="仿宋" w:hAnsi="仿宋" w:eastAsia="仿宋" w:cs="仿宋"/>
          <w:color w:val="auto"/>
          <w:sz w:val="24"/>
          <w:highlight w:val="none"/>
        </w:rPr>
        <w:t>万元；</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XXX</w:t>
      </w:r>
      <w:r>
        <w:rPr>
          <w:rFonts w:hint="eastAsia" w:ascii="仿宋" w:hAnsi="仿宋" w:eastAsia="仿宋" w:cs="仿宋"/>
          <w:color w:val="auto"/>
          <w:sz w:val="24"/>
          <w:highlight w:val="none"/>
        </w:rPr>
        <w:t>万元；</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XXX</w:t>
      </w:r>
      <w:r>
        <w:rPr>
          <w:rFonts w:hint="eastAsia" w:ascii="仿宋" w:hAnsi="仿宋" w:eastAsia="仿宋" w:cs="仿宋"/>
          <w:color w:val="auto"/>
          <w:sz w:val="24"/>
          <w:highlight w:val="none"/>
        </w:rPr>
        <w:t>万元。</w:t>
      </w:r>
    </w:p>
    <w:p>
      <w:pPr>
        <w:tabs>
          <w:tab w:val="left" w:pos="78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4.2.服务费支付方式： </w:t>
      </w:r>
    </w:p>
    <w:p>
      <w:pPr>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pStyle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5.履约保证金：</w:t>
      </w:r>
    </w:p>
    <w:p>
      <w:pPr>
        <w:pStyle w:val="79"/>
        <w:spacing w:line="400" w:lineRule="exact"/>
        <w:jc w:val="both"/>
        <w:rPr>
          <w:rFonts w:hint="default" w:ascii="仿宋" w:hAnsi="仿宋" w:eastAsia="仿宋" w:cs="仿宋"/>
          <w:color w:val="auto"/>
          <w:highlight w:val="none"/>
          <w:lang w:val="en-US" w:eastAsia="zh-CN"/>
        </w:rPr>
      </w:pPr>
      <w:r>
        <w:rPr>
          <w:rFonts w:hint="eastAsia" w:ascii="仿宋" w:hAnsi="仿宋" w:eastAsia="仿宋" w:cs="仿宋"/>
          <w:color w:val="auto"/>
          <w:highlight w:val="none"/>
        </w:rPr>
        <w:t>金额：</w:t>
      </w:r>
      <w:r>
        <w:rPr>
          <w:rFonts w:hint="eastAsia" w:ascii="仿宋" w:hAnsi="仿宋" w:eastAsia="仿宋" w:cs="仿宋"/>
          <w:color w:val="auto"/>
          <w:highlight w:val="none"/>
          <w:lang w:val="en-US" w:eastAsia="zh-CN"/>
        </w:rPr>
        <w:t>成交金额的5%。</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交款方式：履约保证金可以以支票、汇票、本票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网银转账，电汇或保函等非现金形式提交。</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收款单位：</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开户行：</w:t>
      </w:r>
    </w:p>
    <w:p>
      <w:pPr>
        <w:pStyle w:val="79"/>
        <w:spacing w:line="400" w:lineRule="exact"/>
        <w:jc w:val="both"/>
        <w:rPr>
          <w:rFonts w:hint="eastAsia" w:ascii="仿宋" w:hAnsi="仿宋" w:eastAsia="仿宋" w:cs="仿宋"/>
          <w:color w:val="auto"/>
          <w:highlight w:val="none"/>
        </w:rPr>
      </w:pPr>
      <w:r>
        <w:rPr>
          <w:rFonts w:hint="eastAsia" w:ascii="仿宋" w:hAnsi="仿宋" w:eastAsia="仿宋" w:cs="仿宋"/>
          <w:color w:val="auto"/>
          <w:highlight w:val="none"/>
        </w:rPr>
        <w:t>银行账号：</w:t>
      </w: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知识产权</w:t>
      </w:r>
    </w:p>
    <w:p>
      <w:pPr>
        <w:tabs>
          <w:tab w:val="left" w:pos="1440"/>
        </w:tabs>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乙方应保证所提供的服务或其任何一部分均不会侵犯任何第三方的专利权、商标权或著作权。</w:t>
      </w: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无产权瑕疵条款</w:t>
      </w:r>
    </w:p>
    <w:p>
      <w:pPr>
        <w:tabs>
          <w:tab w:val="left" w:pos="1440"/>
        </w:tabs>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乙方保证所提供的服务的所有权完全属于乙方且无任何抵押、查封等产权瑕疵。如有产权瑕疵的，视为乙方违约。乙方应负担由此而产生的一切损失。</w:t>
      </w: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甲方的权利和义务</w:t>
      </w:r>
    </w:p>
    <w:p>
      <w:pPr>
        <w:tabs>
          <w:tab w:val="left" w:pos="1440"/>
        </w:tabs>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7.1.甲方有权对合同规定范围内乙方的服务行为进行监督和检查，拥有监管权。有权定期核对乙方提供服务所配备的人员数量。对甲方认为不合理的部分有权下达整改通知书，并要求乙方限期整改。</w:t>
      </w:r>
    </w:p>
    <w:p>
      <w:pPr>
        <w:tabs>
          <w:tab w:val="left" w:pos="1440"/>
        </w:tabs>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7.2.甲方有权依据双方签订的考评办法对乙方提供的服务进行定期考评。</w:t>
      </w:r>
    </w:p>
    <w:p>
      <w:pPr>
        <w:tabs>
          <w:tab w:val="left" w:pos="1440"/>
        </w:tabs>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7.3.考评结果未达到标准时，有权依据考评办法约定的数额扣除履约保证金。</w:t>
      </w:r>
    </w:p>
    <w:p>
      <w:pPr>
        <w:tabs>
          <w:tab w:val="left" w:pos="1440"/>
        </w:tabs>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7.4负责检查监督乙方管理工作的实施及制度的执行情况。</w:t>
      </w:r>
    </w:p>
    <w:p>
      <w:pPr>
        <w:tabs>
          <w:tab w:val="left" w:pos="1440"/>
        </w:tabs>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7.5.根据本合同规定，按时向乙方支付应付服务费用。</w:t>
      </w:r>
    </w:p>
    <w:p>
      <w:pPr>
        <w:tabs>
          <w:tab w:val="left" w:pos="1440"/>
        </w:tabs>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7.6.国家法律、法规所规定由甲方承担的其它责任。</w:t>
      </w: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乙方的权利和义务</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8.1.对本合同规定的委托服务范围内的项目享有管理权及服务义务。</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8.2.根据本合同的规定向甲方收取相关服务费用，并有权在本项目管理范围内管理及合理使用。</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8.3.及时向甲方通告本项目服务范围内有关服务的重大事项，及时配合处理投诉。</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8.4.接受项目行业管理部门及政府有关部门的指导，接受甲方的监督。</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8.5.国家法律、法规所规定由乙方承担的其它责任。</w:t>
      </w:r>
    </w:p>
    <w:p>
      <w:pPr>
        <w:pStyle w:val="9"/>
        <w:rPr>
          <w:rFonts w:hint="eastAsia" w:ascii="仿宋" w:hAnsi="仿宋" w:eastAsia="仿宋" w:cs="仿宋"/>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违约责任</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9.1.甲乙双方必须遵守本合同并执行合同中的各项规定，保证本合同的正常履行。</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9"/>
        <w:rPr>
          <w:rFonts w:hint="eastAsia" w:ascii="仿宋" w:hAnsi="仿宋" w:eastAsia="仿宋" w:cs="仿宋"/>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不可抗力事件处理</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10.1.在合同有效期内，任何一方因不可抗力事件导致不能履行合同，则合同履行期可延长，其延长期与不可抗力影响期相同。</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10.2.不可抗力事件发生后，应立即通知对方，并寄送有关权威机构出具的证明。</w:t>
      </w:r>
    </w:p>
    <w:p>
      <w:pPr>
        <w:adjustRightInd w:val="0"/>
        <w:spacing w:line="360" w:lineRule="auto"/>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10.3.不可抗力事件延续120天以上，双方应通过友好协商，确定是否继续履行合同。</w:t>
      </w:r>
    </w:p>
    <w:p>
      <w:pPr>
        <w:pStyle w:val="9"/>
        <w:rPr>
          <w:rFonts w:hint="eastAsia" w:ascii="仿宋" w:hAnsi="仿宋" w:eastAsia="仿宋" w:cs="仿宋"/>
          <w:color w:val="auto"/>
          <w:sz w:val="24"/>
          <w:highlight w:val="none"/>
        </w:rPr>
      </w:pPr>
    </w:p>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bookmarkStart w:id="156" w:name="_Toc239233919"/>
      <w:bookmarkStart w:id="157" w:name="_Toc232492933"/>
      <w:bookmarkStart w:id="158" w:name="_Toc251768867"/>
      <w:bookmarkStart w:id="159" w:name="_Toc247334846"/>
      <w:bookmarkStart w:id="160" w:name="_Toc211911353"/>
      <w:bookmarkStart w:id="161" w:name="_Toc212019599"/>
      <w:bookmarkStart w:id="162" w:name="_Toc225244857"/>
      <w:bookmarkStart w:id="163" w:name="_Toc237145411"/>
      <w:bookmarkStart w:id="164" w:name="_Toc225670756"/>
      <w:bookmarkStart w:id="165" w:name="_Toc238984980"/>
      <w:bookmarkStart w:id="166" w:name="_Toc211854454"/>
      <w:bookmarkStart w:id="167" w:name="_Toc185395254"/>
      <w:bookmarkStart w:id="168" w:name="_Toc241833908"/>
      <w:bookmarkStart w:id="169" w:name="_Toc286993792"/>
      <w:bookmarkStart w:id="170" w:name="_Toc239568423"/>
      <w:bookmarkStart w:id="171" w:name="_Toc225654649"/>
      <w:r>
        <w:rPr>
          <w:rFonts w:hint="eastAsia" w:ascii="仿宋" w:hAnsi="仿宋" w:eastAsia="仿宋" w:cs="仿宋"/>
          <w:b/>
          <w:color w:val="auto"/>
          <w:sz w:val="24"/>
          <w:highlight w:val="none"/>
        </w:rPr>
        <w:t>解决合同纠纷的方式</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tabs>
          <w:tab w:val="left" w:pos="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11.1.在执行本合同中发生的或与本合同有关的争端，双方应通过友好协商解决，经协商在60天内不能达成协议时，任何一方均可向甲方住所地人民法院提起诉讼解决。 </w:t>
      </w:r>
    </w:p>
    <w:p>
      <w:pPr>
        <w:tabs>
          <w:tab w:val="left" w:pos="0"/>
        </w:tabs>
        <w:spacing w:line="360" w:lineRule="auto"/>
        <w:ind w:left="560"/>
        <w:rPr>
          <w:rFonts w:hint="eastAsia" w:ascii="仿宋" w:hAnsi="仿宋" w:eastAsia="仿宋" w:cs="仿宋"/>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bookmarkStart w:id="172" w:name="_Toc283019219"/>
      <w:bookmarkStart w:id="173" w:name="_Toc247334847"/>
      <w:bookmarkStart w:id="174" w:name="_Toc251768868"/>
      <w:bookmarkStart w:id="175" w:name="_Toc239568424"/>
      <w:bookmarkStart w:id="176" w:name="_Toc225670757"/>
      <w:bookmarkStart w:id="177" w:name="_Toc239233920"/>
      <w:bookmarkStart w:id="178" w:name="_Toc282696231"/>
      <w:bookmarkStart w:id="179" w:name="_Toc225244858"/>
      <w:bookmarkStart w:id="180" w:name="_Toc211911354"/>
      <w:bookmarkStart w:id="181" w:name="_Toc225654650"/>
      <w:bookmarkStart w:id="182" w:name="_Toc238984981"/>
      <w:bookmarkStart w:id="183" w:name="_Toc212019600"/>
      <w:bookmarkStart w:id="184" w:name="_Toc185395255"/>
      <w:bookmarkStart w:id="185" w:name="_Toc211854455"/>
      <w:bookmarkStart w:id="186" w:name="_Toc241833909"/>
      <w:bookmarkStart w:id="187" w:name="_Toc232492934"/>
      <w:bookmarkStart w:id="188" w:name="_Toc237145412"/>
      <w:bookmarkStart w:id="189" w:name="_Toc286993793"/>
      <w:r>
        <w:rPr>
          <w:rFonts w:hint="eastAsia" w:ascii="仿宋" w:hAnsi="仿宋" w:eastAsia="仿宋" w:cs="仿宋"/>
          <w:b/>
          <w:color w:val="auto"/>
          <w:sz w:val="24"/>
          <w:highlight w:val="none"/>
        </w:rPr>
        <w:t>合同</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hint="eastAsia" w:ascii="仿宋" w:hAnsi="仿宋" w:eastAsia="仿宋" w:cs="仿宋"/>
          <w:b/>
          <w:color w:val="auto"/>
          <w:sz w:val="24"/>
          <w:highlight w:val="none"/>
        </w:rPr>
        <w:t>生效</w:t>
      </w:r>
    </w:p>
    <w:p>
      <w:pPr>
        <w:spacing w:line="360" w:lineRule="auto"/>
        <w:ind w:left="-174" w:leftChars="-83"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12.1.合同经双方法定代表人或授权委托代理人签字并加盖单位公章后生效。</w:t>
      </w:r>
    </w:p>
    <w:p>
      <w:pPr>
        <w:spacing w:line="360" w:lineRule="auto"/>
        <w:ind w:left="-542" w:leftChars="-258"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12.2.合同执行中涉及采购资金和采购内容修改或补充的，须经政府采购监管部门审批，并签书面补充协议报政府采购监督管理部门备案，方可作为主合同不可分割的一部分。</w:t>
      </w:r>
    </w:p>
    <w:p>
      <w:pPr>
        <w:pStyle w:val="9"/>
        <w:rPr>
          <w:rFonts w:hint="eastAsia" w:ascii="仿宋" w:hAnsi="仿宋" w:eastAsia="仿宋" w:cs="仿宋"/>
          <w:color w:val="auto"/>
          <w:sz w:val="24"/>
          <w:highlight w:val="none"/>
        </w:rPr>
      </w:pPr>
    </w:p>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附件</w:t>
      </w:r>
    </w:p>
    <w:p>
      <w:pPr>
        <w:spacing w:line="360" w:lineRule="auto"/>
        <w:ind w:left="-542" w:leftChars="-258"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13.1.项目招标文件</w:t>
      </w:r>
    </w:p>
    <w:p>
      <w:pPr>
        <w:spacing w:line="360" w:lineRule="auto"/>
        <w:ind w:left="-735" w:leftChars="-35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13.2.项目修改澄清文件</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13.3.项目投标文件</w:t>
      </w:r>
    </w:p>
    <w:p>
      <w:pPr>
        <w:spacing w:line="360" w:lineRule="auto"/>
        <w:ind w:left="-909" w:leftChars="-433"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13.4.中标通知书</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13.5.其他</w:t>
      </w:r>
    </w:p>
    <w:bookmarkEnd w:id="137"/>
    <w:p>
      <w:pPr>
        <w:numPr>
          <w:ilvl w:val="0"/>
          <w:numId w:val="4"/>
        </w:numPr>
        <w:tabs>
          <w:tab w:val="left" w:pos="1521"/>
        </w:tabs>
        <w:spacing w:line="360" w:lineRule="auto"/>
        <w:ind w:left="840" w:leftChars="0" w:firstLine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其他</w:t>
      </w:r>
    </w:p>
    <w:p>
      <w:pPr>
        <w:pStyle w:val="72"/>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14.1.如有未尽事宜，由双方依法订立补充合同。</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14.2.本合同一式六份，自双方签章之日起生效。甲方三份，乙方、政府采购管理部门、采购代理机构各一份。</w:t>
      </w:r>
    </w:p>
    <w:p>
      <w:pPr>
        <w:widowControl/>
        <w:spacing w:line="360" w:lineRule="auto"/>
        <w:jc w:val="left"/>
        <w:rPr>
          <w:rFonts w:hint="eastAsia" w:ascii="仿宋" w:hAnsi="仿宋" w:eastAsia="仿宋" w:cs="仿宋"/>
          <w:color w:val="auto"/>
          <w:sz w:val="24"/>
          <w:highlight w:val="none"/>
        </w:rPr>
      </w:pP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甲方： （盖章）                乙方： （盖章） </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法定代表人（授权代表）：       法定代表人（授权代表）： </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地 址： </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账号：                         账号： </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电 话：                        电 话： </w:t>
      </w:r>
    </w:p>
    <w:p>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传 真： </w:t>
      </w:r>
    </w:p>
    <w:p>
      <w:pPr>
        <w:spacing w:line="56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签约日期：XX 年 XX 月 XX 日    签约日期：XX 年 XX 月 XX 日</w:t>
      </w:r>
    </w:p>
    <w:p>
      <w:pPr>
        <w:spacing w:line="40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双方签订合同后，采购人应按相关规定及时进行合同公示及合同备案。（注：为保障项目的顺利进行及甲、乙双方的合法权益，在不违法违规及改变本项目实质性的前提下，经甲、乙双方商议可增加、调整或删减本合同条款内容</w:t>
      </w:r>
      <w:r>
        <w:rPr>
          <w:rFonts w:hint="eastAsia" w:ascii="仿宋" w:hAnsi="仿宋" w:eastAsia="仿宋" w:cs="仿宋"/>
          <w:b/>
          <w:color w:val="auto"/>
          <w:sz w:val="24"/>
          <w:highlight w:val="none"/>
          <w:lang w:eastAsia="zh-CN"/>
        </w:rPr>
        <w:t>。</w:t>
      </w: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spacing w:line="400" w:lineRule="exact"/>
        <w:ind w:firstLine="482" w:firstLineChars="200"/>
        <w:rPr>
          <w:rFonts w:hint="eastAsia" w:ascii="仿宋" w:hAnsi="仿宋" w:eastAsia="仿宋" w:cs="仿宋"/>
          <w:b/>
          <w:color w:val="auto"/>
          <w:sz w:val="24"/>
          <w:highlight w:val="none"/>
          <w:lang w:eastAsia="zh-CN"/>
        </w:rPr>
      </w:pPr>
    </w:p>
    <w:p>
      <w:pPr>
        <w:pStyle w:val="9"/>
        <w:rPr>
          <w:rFonts w:hint="eastAsia" w:ascii="仿宋" w:hAnsi="仿宋" w:eastAsia="仿宋" w:cs="仿宋"/>
          <w:b/>
          <w:color w:val="auto"/>
          <w:sz w:val="24"/>
          <w:highlight w:val="none"/>
          <w:lang w:eastAsia="zh-CN"/>
        </w:rPr>
      </w:pPr>
    </w:p>
    <w:p>
      <w:pPr>
        <w:rPr>
          <w:rFonts w:hint="eastAsia" w:ascii="仿宋" w:hAnsi="仿宋" w:eastAsia="仿宋" w:cs="仿宋"/>
          <w:b/>
          <w:color w:val="auto"/>
          <w:sz w:val="24"/>
          <w:highlight w:val="none"/>
          <w:lang w:eastAsia="zh-CN"/>
        </w:rPr>
      </w:pPr>
    </w:p>
    <w:p>
      <w:pPr>
        <w:pStyle w:val="2"/>
        <w:rPr>
          <w:rFonts w:hint="eastAsia" w:ascii="仿宋" w:hAnsi="仿宋" w:eastAsia="仿宋" w:cs="仿宋"/>
          <w:b/>
          <w:color w:val="auto"/>
          <w:sz w:val="24"/>
          <w:highlight w:val="none"/>
          <w:lang w:eastAsia="zh-CN"/>
        </w:rPr>
      </w:pPr>
    </w:p>
    <w:p>
      <w:pPr>
        <w:rPr>
          <w:rFonts w:hint="eastAsia" w:ascii="仿宋" w:hAnsi="仿宋" w:eastAsia="仿宋" w:cs="仿宋"/>
          <w:b/>
          <w:color w:val="auto"/>
          <w:sz w:val="24"/>
          <w:highlight w:val="none"/>
          <w:lang w:eastAsia="zh-CN"/>
        </w:rPr>
      </w:pPr>
    </w:p>
    <w:p>
      <w:pPr>
        <w:pStyle w:val="9"/>
        <w:rPr>
          <w:rFonts w:hint="eastAsia" w:ascii="仿宋" w:hAnsi="仿宋" w:eastAsia="仿宋" w:cs="仿宋"/>
          <w:b/>
          <w:color w:val="auto"/>
          <w:sz w:val="24"/>
          <w:highlight w:val="none"/>
          <w:lang w:eastAsia="zh-CN"/>
        </w:rPr>
      </w:pPr>
    </w:p>
    <w:p>
      <w:pPr>
        <w:widowControl/>
        <w:jc w:val="left"/>
        <w:rPr>
          <w:rFonts w:hAnsi="宋体" w:cs="宋体"/>
          <w:b/>
          <w:bCs/>
          <w:color w:val="auto"/>
          <w:sz w:val="24"/>
          <w:highlight w:val="none"/>
          <w:lang w:bidi="ar"/>
        </w:rPr>
      </w:pPr>
      <w:r>
        <w:rPr>
          <w:rFonts w:hint="eastAsia" w:ascii="宋体" w:hAnsi="宋体" w:eastAsia="宋体" w:cs="宋体"/>
          <w:b/>
          <w:bCs/>
          <w:color w:val="auto"/>
          <w:sz w:val="24"/>
          <w:highlight w:val="none"/>
          <w:lang w:val="en-US" w:eastAsia="zh-CN" w:bidi="ar"/>
        </w:rPr>
        <w:t>附件1：部分融资联系信息（不纳入评审范畴）</w:t>
      </w:r>
    </w:p>
    <w:p>
      <w:pPr>
        <w:widowControl/>
        <w:jc w:val="left"/>
        <w:rPr>
          <w:rFonts w:hAnsi="宋体" w:cs="宋体"/>
          <w:color w:val="auto"/>
          <w:sz w:val="24"/>
          <w:highlight w:val="none"/>
          <w:lang w:bidi="ar"/>
        </w:rPr>
      </w:pPr>
    </w:p>
    <w:p>
      <w:pPr>
        <w:widowControl/>
        <w:spacing w:line="360" w:lineRule="auto"/>
        <w:ind w:firstLine="723" w:firstLineChars="300"/>
        <w:jc w:val="left"/>
        <w:rPr>
          <w:rFonts w:hint="eastAsia" w:hAnsi="宋体" w:cs="宋体"/>
          <w:b/>
          <w:bCs/>
          <w:color w:val="auto"/>
          <w:sz w:val="24"/>
          <w:highlight w:val="none"/>
          <w:lang w:bidi="ar"/>
        </w:rPr>
      </w:pPr>
      <w:r>
        <w:rPr>
          <w:rFonts w:hint="eastAsia" w:hAnsi="宋体" w:cs="宋体"/>
          <w:b/>
          <w:bCs/>
          <w:color w:val="auto"/>
          <w:sz w:val="24"/>
          <w:highlight w:val="none"/>
          <w:lang w:bidi="ar"/>
        </w:rPr>
        <w:t>如有相关融资需求的中标人，详情可与如下银行联系：</w:t>
      </w:r>
    </w:p>
    <w:p>
      <w:pPr>
        <w:widowControl/>
        <w:spacing w:line="360" w:lineRule="auto"/>
        <w:jc w:val="left"/>
        <w:rPr>
          <w:rFonts w:hint="eastAsia" w:hAnsi="宋体" w:cs="宋体"/>
          <w:b/>
          <w:bCs/>
          <w:color w:val="auto"/>
          <w:sz w:val="24"/>
          <w:highlight w:val="none"/>
          <w:lang w:bidi="ar"/>
        </w:rPr>
      </w:pPr>
      <w:r>
        <w:rPr>
          <w:rFonts w:hint="eastAsia" w:hAnsi="宋体" w:cs="宋体"/>
          <w:b/>
          <w:bCs/>
          <w:color w:val="auto"/>
          <w:sz w:val="24"/>
          <w:highlight w:val="none"/>
          <w:lang w:bidi="ar"/>
        </w:rPr>
        <w:t>1、成都农商银行</w:t>
      </w:r>
    </w:p>
    <w:p>
      <w:pPr>
        <w:widowControl/>
        <w:spacing w:line="360" w:lineRule="auto"/>
        <w:jc w:val="left"/>
        <w:rPr>
          <w:rFonts w:hint="eastAsia" w:hAnsi="宋体" w:cs="宋体"/>
          <w:b/>
          <w:bCs/>
          <w:color w:val="auto"/>
          <w:sz w:val="24"/>
          <w:highlight w:val="none"/>
          <w:lang w:bidi="ar"/>
        </w:rPr>
      </w:pPr>
      <w:r>
        <w:rPr>
          <w:rFonts w:hint="eastAsia" w:hAnsi="宋体" w:cs="宋体"/>
          <w:b/>
          <w:bCs/>
          <w:color w:val="auto"/>
          <w:sz w:val="24"/>
          <w:highlight w:val="none"/>
          <w:lang w:bidi="ar"/>
        </w:rPr>
        <w:t>咨询热线：85951577；17360036724。</w:t>
      </w:r>
    </w:p>
    <w:p>
      <w:pPr>
        <w:widowControl/>
        <w:spacing w:line="360" w:lineRule="auto"/>
        <w:ind w:firstLine="3012" w:firstLineChars="1250"/>
        <w:jc w:val="left"/>
        <w:rPr>
          <w:rFonts w:hint="eastAsia" w:hAnsi="宋体" w:cs="宋体"/>
          <w:b/>
          <w:bCs/>
          <w:color w:val="auto"/>
          <w:sz w:val="24"/>
          <w:highlight w:val="none"/>
          <w:lang w:bidi="ar"/>
        </w:rPr>
      </w:pPr>
      <w:r>
        <w:rPr>
          <w:rFonts w:hAnsi="宋体" w:cs="宋体"/>
          <w:b/>
          <w:bCs/>
          <w:color w:val="auto"/>
          <w:sz w:val="24"/>
          <w:highlight w:val="none"/>
          <w:lang w:bidi="ar"/>
        </w:rPr>
        <w:drawing>
          <wp:inline distT="0" distB="0" distL="114300" distR="114300">
            <wp:extent cx="1429385" cy="1429385"/>
            <wp:effectExtent l="0" t="0" r="18415" b="18415"/>
            <wp:docPr id="39" name="图片 1" descr="mmexport155565963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mmexport1555659639106"/>
                    <pic:cNvPicPr>
                      <a:picLocks noChangeAspect="1"/>
                    </pic:cNvPicPr>
                  </pic:nvPicPr>
                  <pic:blipFill>
                    <a:blip r:embed="rId9"/>
                    <a:stretch>
                      <a:fillRect/>
                    </a:stretch>
                  </pic:blipFill>
                  <pic:spPr>
                    <a:xfrm>
                      <a:off x="0" y="0"/>
                      <a:ext cx="1429385" cy="1429385"/>
                    </a:xfrm>
                    <a:prstGeom prst="rect">
                      <a:avLst/>
                    </a:prstGeom>
                    <a:noFill/>
                    <a:ln>
                      <a:noFill/>
                    </a:ln>
                  </pic:spPr>
                </pic:pic>
              </a:graphicData>
            </a:graphic>
          </wp:inline>
        </w:drawing>
      </w:r>
    </w:p>
    <w:p>
      <w:pPr>
        <w:widowControl/>
        <w:spacing w:line="360" w:lineRule="auto"/>
        <w:jc w:val="left"/>
        <w:rPr>
          <w:rFonts w:hAnsi="宋体" w:cs="宋体"/>
          <w:b/>
          <w:bCs/>
          <w:color w:val="auto"/>
          <w:sz w:val="24"/>
          <w:highlight w:val="none"/>
          <w:lang w:bidi="ar"/>
        </w:rPr>
      </w:pPr>
      <w:r>
        <w:rPr>
          <w:rFonts w:hint="eastAsia" w:hAnsi="宋体" w:cs="宋体"/>
          <w:b/>
          <w:bCs/>
          <w:color w:val="auto"/>
          <w:sz w:val="24"/>
          <w:highlight w:val="none"/>
          <w:lang w:bidi="ar"/>
        </w:rPr>
        <w:t>2、中国建设银行</w:t>
      </w:r>
    </w:p>
    <w:p>
      <w:pPr>
        <w:widowControl/>
        <w:spacing w:line="360" w:lineRule="auto"/>
        <w:jc w:val="left"/>
        <w:rPr>
          <w:rFonts w:hint="eastAsia" w:hAnsi="宋体" w:cs="宋体"/>
          <w:b/>
          <w:bCs/>
          <w:color w:val="auto"/>
          <w:sz w:val="24"/>
          <w:highlight w:val="none"/>
          <w:lang w:bidi="ar"/>
        </w:rPr>
      </w:pPr>
      <w:r>
        <w:rPr>
          <w:rFonts w:hint="eastAsia" w:hAnsi="宋体" w:cs="宋体"/>
          <w:b/>
          <w:bCs/>
          <w:color w:val="auto"/>
          <w:sz w:val="24"/>
          <w:highlight w:val="none"/>
          <w:lang w:bidi="ar"/>
        </w:rPr>
        <w:t>咨询热线：028-86162577；18380409882。</w:t>
      </w:r>
    </w:p>
    <w:p>
      <w:pPr>
        <w:widowControl/>
        <w:jc w:val="center"/>
        <w:rPr>
          <w:rFonts w:hAnsi="宋体" w:cs="宋体"/>
          <w:color w:val="auto"/>
          <w:sz w:val="24"/>
          <w:highlight w:val="none"/>
          <w:lang w:bidi="ar"/>
        </w:rPr>
      </w:pPr>
      <w:r>
        <w:rPr>
          <w:rFonts w:hAnsi="宋体" w:cs="宋体"/>
          <w:color w:val="auto"/>
          <w:sz w:val="24"/>
          <w:highlight w:val="none"/>
          <w:lang w:bidi="ar"/>
        </w:rPr>
        <w:drawing>
          <wp:anchor distT="0" distB="0" distL="114300" distR="114300" simplePos="0" relativeHeight="251660288" behindDoc="0" locked="0" layoutInCell="1" allowOverlap="1">
            <wp:simplePos x="0" y="0"/>
            <wp:positionH relativeFrom="column">
              <wp:posOffset>1842135</wp:posOffset>
            </wp:positionH>
            <wp:positionV relativeFrom="paragraph">
              <wp:posOffset>101600</wp:posOffset>
            </wp:positionV>
            <wp:extent cx="1458595" cy="1458595"/>
            <wp:effectExtent l="0" t="0" r="8255" b="8255"/>
            <wp:wrapSquare wrapText="bothSides"/>
            <wp:docPr id="40" name="图片 1" descr="IMG_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5909"/>
                    <pic:cNvPicPr>
                      <a:picLocks noChangeAspect="1"/>
                    </pic:cNvPicPr>
                  </pic:nvPicPr>
                  <pic:blipFill>
                    <a:blip r:embed="rId10"/>
                    <a:stretch>
                      <a:fillRect/>
                    </a:stretch>
                  </pic:blipFill>
                  <pic:spPr>
                    <a:xfrm>
                      <a:off x="0" y="0"/>
                      <a:ext cx="1458595" cy="1458595"/>
                    </a:xfrm>
                    <a:prstGeom prst="rect">
                      <a:avLst/>
                    </a:prstGeom>
                    <a:noFill/>
                    <a:ln>
                      <a:noFill/>
                    </a:ln>
                  </pic:spPr>
                </pic:pic>
              </a:graphicData>
            </a:graphic>
          </wp:anchor>
        </w:drawing>
      </w:r>
    </w:p>
    <w:p>
      <w:pPr>
        <w:widowControl/>
        <w:jc w:val="left"/>
        <w:rPr>
          <w:rFonts w:hAnsi="宋体" w:cs="宋体"/>
          <w:color w:val="auto"/>
          <w:sz w:val="24"/>
          <w:highlight w:val="none"/>
          <w:lang w:bidi="ar"/>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widowControl/>
        <w:numPr>
          <w:ilvl w:val="0"/>
          <w:numId w:val="5"/>
        </w:numPr>
        <w:spacing w:line="360" w:lineRule="auto"/>
        <w:jc w:val="left"/>
        <w:rPr>
          <w:rFonts w:hint="eastAsia" w:hAnsi="宋体" w:cs="宋体"/>
          <w:b/>
          <w:bCs/>
          <w:color w:val="auto"/>
          <w:sz w:val="24"/>
          <w:highlight w:val="none"/>
          <w:lang w:bidi="ar"/>
        </w:rPr>
      </w:pPr>
      <w:r>
        <w:rPr>
          <w:rFonts w:hint="eastAsia" w:hAnsi="宋体" w:cs="宋体"/>
          <w:b/>
          <w:bCs/>
          <w:color w:val="auto"/>
          <w:sz w:val="24"/>
          <w:highlight w:val="none"/>
          <w:lang w:bidi="ar"/>
        </w:rPr>
        <w:t>四川天府银行</w:t>
      </w:r>
    </w:p>
    <w:p>
      <w:pPr>
        <w:widowControl/>
        <w:spacing w:line="360" w:lineRule="auto"/>
        <w:jc w:val="left"/>
        <w:rPr>
          <w:rFonts w:hint="eastAsia" w:ascii="方正仿宋_GBK" w:eastAsia="方正仿宋_GBK"/>
          <w:color w:val="auto"/>
          <w:sz w:val="32"/>
          <w:szCs w:val="32"/>
          <w:highlight w:val="none"/>
        </w:rPr>
      </w:pPr>
      <w:r>
        <w:rPr>
          <w:rFonts w:hint="eastAsia" w:hAnsi="宋体" w:cs="宋体"/>
          <w:b/>
          <w:bCs/>
          <w:color w:val="auto"/>
          <w:sz w:val="24"/>
          <w:highlight w:val="none"/>
          <w:lang w:bidi="ar"/>
        </w:rPr>
        <w:t>咨询热线：18583677177</w:t>
      </w:r>
      <w:r>
        <w:rPr>
          <w:rFonts w:hint="eastAsia" w:ascii="方正仿宋_GBK" w:eastAsia="方正仿宋_GBK"/>
          <w:color w:val="auto"/>
          <w:sz w:val="32"/>
          <w:szCs w:val="32"/>
          <w:highlight w:val="none"/>
        </w:rPr>
        <w:t xml:space="preserve">  </w:t>
      </w:r>
      <w:r>
        <w:rPr>
          <w:rFonts w:hint="eastAsia" w:ascii="方正仿宋_GBK" w:eastAsia="方正仿宋_GBK"/>
          <w:color w:val="auto"/>
          <w:sz w:val="32"/>
          <w:szCs w:val="32"/>
          <w:highlight w:val="none"/>
        </w:rPr>
        <w:drawing>
          <wp:inline distT="0" distB="0" distL="114300" distR="114300">
            <wp:extent cx="1412875" cy="1424305"/>
            <wp:effectExtent l="0" t="0" r="15875" b="4445"/>
            <wp:docPr id="41" name="图片 2" descr="1555574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555574783(1)"/>
                    <pic:cNvPicPr>
                      <a:picLocks noChangeAspect="1"/>
                    </pic:cNvPicPr>
                  </pic:nvPicPr>
                  <pic:blipFill>
                    <a:blip r:embed="rId11"/>
                    <a:stretch>
                      <a:fillRect/>
                    </a:stretch>
                  </pic:blipFill>
                  <pic:spPr>
                    <a:xfrm>
                      <a:off x="0" y="0"/>
                      <a:ext cx="1412875" cy="1424305"/>
                    </a:xfrm>
                    <a:prstGeom prst="rect">
                      <a:avLst/>
                    </a:prstGeom>
                    <a:noFill/>
                    <a:ln>
                      <a:noFill/>
                    </a:ln>
                  </pic:spPr>
                </pic:pic>
              </a:graphicData>
            </a:graphic>
          </wp:inline>
        </w:drawing>
      </w:r>
    </w:p>
    <w:p>
      <w:pPr>
        <w:pStyle w:val="9"/>
        <w:rPr>
          <w:rFonts w:hint="eastAsia" w:hAnsi="宋体"/>
          <w:b/>
          <w:color w:val="auto"/>
          <w:sz w:val="24"/>
          <w:szCs w:val="24"/>
          <w:highlight w:val="none"/>
        </w:rPr>
      </w:pPr>
    </w:p>
    <w:p>
      <w:pPr>
        <w:rPr>
          <w:rFonts w:hint="eastAsia" w:ascii="宋体" w:hAnsi="宋体" w:eastAsia="宋体" w:cs="宋体"/>
          <w:b/>
          <w:bCs/>
          <w:color w:val="auto"/>
          <w:sz w:val="24"/>
          <w:highlight w:val="none"/>
          <w:lang w:val="en-US" w:eastAsia="zh-CN" w:bidi="ar"/>
        </w:rPr>
      </w:pPr>
    </w:p>
    <w:p>
      <w:pPr>
        <w:rPr>
          <w:rFonts w:hint="eastAsia" w:ascii="宋体" w:hAnsi="宋体" w:eastAsia="宋体" w:cs="宋体"/>
          <w:b/>
          <w:bCs/>
          <w:color w:val="auto"/>
          <w:sz w:val="24"/>
          <w:highlight w:val="none"/>
          <w:lang w:val="en-US" w:eastAsia="zh-CN" w:bidi="ar"/>
        </w:rPr>
      </w:pPr>
    </w:p>
    <w:p>
      <w:pPr>
        <w:rPr>
          <w:rFonts w:hint="eastAsia" w:ascii="宋体" w:hAnsi="宋体" w:eastAsia="宋体" w:cs="宋体"/>
          <w:b/>
          <w:bCs/>
          <w:color w:val="auto"/>
          <w:sz w:val="24"/>
          <w:highlight w:val="none"/>
          <w:lang w:val="en-US" w:eastAsia="zh-CN" w:bidi="ar"/>
        </w:rPr>
      </w:pPr>
    </w:p>
    <w:p>
      <w:pPr>
        <w:rPr>
          <w:rFonts w:hint="eastAsia" w:ascii="宋体" w:hAnsi="宋体" w:eastAsia="宋体" w:cs="宋体"/>
          <w:b/>
          <w:bCs/>
          <w:color w:val="auto"/>
          <w:sz w:val="24"/>
          <w:highlight w:val="none"/>
          <w:lang w:val="en-US" w:eastAsia="zh-CN" w:bidi="ar"/>
        </w:rPr>
      </w:pPr>
    </w:p>
    <w:p>
      <w:pPr>
        <w:rPr>
          <w:rFonts w:hint="eastAsia" w:ascii="宋体" w:hAnsi="宋体" w:eastAsia="宋体" w:cs="宋体"/>
          <w:b/>
          <w:bCs/>
          <w:color w:val="auto"/>
          <w:sz w:val="24"/>
          <w:highlight w:val="none"/>
          <w:lang w:val="en-US" w:eastAsia="zh-CN" w:bidi="ar"/>
        </w:rPr>
      </w:pPr>
    </w:p>
    <w:p>
      <w:pPr>
        <w:rPr>
          <w:rFonts w:hint="eastAsia" w:ascii="宋体" w:hAnsi="宋体" w:eastAsia="宋体" w:cs="宋体"/>
          <w:b/>
          <w:bCs/>
          <w:color w:val="auto"/>
          <w:sz w:val="24"/>
          <w:highlight w:val="none"/>
          <w:lang w:val="en-US" w:eastAsia="zh-CN" w:bidi="ar"/>
        </w:rPr>
      </w:pPr>
    </w:p>
    <w:p>
      <w:pPr>
        <w:rPr>
          <w:rFonts w:hint="eastAsia" w:ascii="宋体" w:hAnsi="宋体" w:eastAsia="宋体" w:cs="宋体"/>
          <w:b/>
          <w:bCs/>
          <w:color w:val="auto"/>
          <w:sz w:val="24"/>
          <w:highlight w:val="none"/>
          <w:lang w:val="en-US" w:eastAsia="zh-CN" w:bidi="ar"/>
        </w:rPr>
      </w:pPr>
    </w:p>
    <w:p>
      <w:pPr>
        <w:rPr>
          <w:rFonts w:hint="default" w:ascii="宋体" w:hAnsi="宋体" w:eastAsia="宋体" w:cs="宋体"/>
          <w:color w:val="auto"/>
          <w:highlight w:val="none"/>
          <w:lang w:val="en-US" w:eastAsia="zh-CN"/>
        </w:rPr>
      </w:pPr>
      <w:r>
        <w:rPr>
          <w:rFonts w:hint="eastAsia" w:ascii="宋体" w:hAnsi="宋体" w:eastAsia="宋体" w:cs="宋体"/>
          <w:b/>
          <w:bCs/>
          <w:color w:val="auto"/>
          <w:sz w:val="24"/>
          <w:highlight w:val="none"/>
          <w:lang w:val="en-US" w:eastAsia="zh-CN" w:bidi="ar"/>
        </w:rPr>
        <w:t>附件2：川财</w:t>
      </w:r>
      <w:r>
        <w:rPr>
          <w:rFonts w:hint="eastAsia" w:hAnsi="宋体" w:eastAsia="宋体" w:cs="宋体"/>
          <w:b/>
          <w:bCs/>
          <w:color w:val="auto"/>
          <w:sz w:val="24"/>
          <w:highlight w:val="none"/>
          <w:lang w:val="en-US" w:eastAsia="zh-CN" w:bidi="ar"/>
        </w:rPr>
        <w:t>采购【2018】123号文件</w:t>
      </w:r>
      <w:r>
        <w:rPr>
          <w:rFonts w:hint="eastAsia" w:ascii="宋体" w:hAnsi="宋体" w:eastAsia="宋体" w:cs="宋体"/>
          <w:b/>
          <w:bCs/>
          <w:color w:val="auto"/>
          <w:sz w:val="24"/>
          <w:highlight w:val="none"/>
          <w:lang w:bidi="ar"/>
        </w:rPr>
        <w:t>（不纳入评审范畴）</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327015" cy="7568565"/>
            <wp:effectExtent l="0" t="0" r="6985" b="13335"/>
            <wp:docPr id="42" name="图片 3"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C:\Users\Administrator\AppData\Roaming\DingTalk\18198513_v2\ImageFiles\49\lALPDgQ9qzkb4y3NA4nNAn0_637_905.png"/>
                    <pic:cNvPicPr>
                      <a:picLocks noChangeAspect="1"/>
                    </pic:cNvPicPr>
                  </pic:nvPicPr>
                  <pic:blipFill>
                    <a:blip r:embed="rId12"/>
                    <a:stretch>
                      <a:fillRect/>
                    </a:stretch>
                  </pic:blipFill>
                  <pic:spPr>
                    <a:xfrm>
                      <a:off x="0" y="0"/>
                      <a:ext cx="5327015" cy="7568565"/>
                    </a:xfrm>
                    <a:prstGeom prst="rect">
                      <a:avLst/>
                    </a:prstGeom>
                    <a:noFill/>
                    <a:ln>
                      <a:noFill/>
                    </a:ln>
                  </pic:spPr>
                </pic:pic>
              </a:graphicData>
            </a:graphic>
          </wp:inline>
        </w:drawing>
      </w:r>
    </w:p>
    <w:p>
      <w:pPr>
        <w:pStyle w:val="9"/>
        <w:rPr>
          <w:rFonts w:hint="eastAsia" w:ascii="宋体"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546090" cy="7775575"/>
            <wp:effectExtent l="0" t="0" r="16510" b="15875"/>
            <wp:docPr id="43" name="图片 4"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C:\Users\Administrator\AppData\Roaming\DingTalk\18198513_v2\ImageFiles\8a\lALPDgQ9qzkdtwTNA4XNAoI_642_901.png"/>
                    <pic:cNvPicPr>
                      <a:picLocks noChangeAspect="1"/>
                    </pic:cNvPicPr>
                  </pic:nvPicPr>
                  <pic:blipFill>
                    <a:blip r:embed="rId13"/>
                    <a:stretch>
                      <a:fillRect/>
                    </a:stretch>
                  </pic:blipFill>
                  <pic:spPr>
                    <a:xfrm>
                      <a:off x="0" y="0"/>
                      <a:ext cx="5546090" cy="7775575"/>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551170" cy="7696200"/>
            <wp:effectExtent l="0" t="0" r="11430" b="0"/>
            <wp:docPr id="44" name="图片 5"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dministrator\AppData\Roaming\DingTalk\18198513_v2\ImageFiles\36\lALPDgQ9qzkb_mjNA3bNAn8_639_886.png"/>
                    <pic:cNvPicPr>
                      <a:picLocks noChangeAspect="1"/>
                    </pic:cNvPicPr>
                  </pic:nvPicPr>
                  <pic:blipFill>
                    <a:blip r:embed="rId14"/>
                    <a:stretch>
                      <a:fillRect/>
                    </a:stretch>
                  </pic:blipFill>
                  <pic:spPr>
                    <a:xfrm>
                      <a:off x="0" y="0"/>
                      <a:ext cx="5551170" cy="7696200"/>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595620" cy="7661910"/>
            <wp:effectExtent l="0" t="0" r="5080" b="15240"/>
            <wp:docPr id="45" name="图片 6"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C:\Users\Administrator\AppData\Roaming\DingTalk\18198513_v2\ImageFiles\78\lALPDgQ9qzkb4yrNA3LNAnc_631_882.png"/>
                    <pic:cNvPicPr>
                      <a:picLocks noChangeAspect="1"/>
                    </pic:cNvPicPr>
                  </pic:nvPicPr>
                  <pic:blipFill>
                    <a:blip r:embed="rId15"/>
                    <a:stretch>
                      <a:fillRect/>
                    </a:stretch>
                  </pic:blipFill>
                  <pic:spPr>
                    <a:xfrm>
                      <a:off x="0" y="0"/>
                      <a:ext cx="5595620" cy="7661910"/>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654675" cy="8529320"/>
            <wp:effectExtent l="0" t="0" r="3175" b="5080"/>
            <wp:docPr id="46" name="图片 7"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C:\Users\Administrator\AppData\Roaming\DingTalk\18198513_v2\ImageFiles\72\lALPDgQ9qzkdtwHNA2LNAn0_637_866.png"/>
                    <pic:cNvPicPr>
                      <a:picLocks noChangeAspect="1"/>
                    </pic:cNvPicPr>
                  </pic:nvPicPr>
                  <pic:blipFill>
                    <a:blip r:embed="rId16"/>
                    <a:stretch>
                      <a:fillRect/>
                    </a:stretch>
                  </pic:blipFill>
                  <pic:spPr>
                    <a:xfrm>
                      <a:off x="0" y="0"/>
                      <a:ext cx="5654675" cy="8529320"/>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584190" cy="7578725"/>
            <wp:effectExtent l="0" t="0" r="16510" b="3175"/>
            <wp:docPr id="47" name="图片 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C:\Users\Administrator\AppData\Roaming\DingTalk\18198513_v2\ImageFiles\65\lALPDgQ9qzkb_mnNA3zNAoA_640_892.png"/>
                    <pic:cNvPicPr>
                      <a:picLocks noChangeAspect="1"/>
                    </pic:cNvPicPr>
                  </pic:nvPicPr>
                  <pic:blipFill>
                    <a:blip r:embed="rId17"/>
                    <a:stretch>
                      <a:fillRect/>
                    </a:stretch>
                  </pic:blipFill>
                  <pic:spPr>
                    <a:xfrm>
                      <a:off x="0" y="0"/>
                      <a:ext cx="5584190" cy="7578725"/>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682615" cy="7996555"/>
            <wp:effectExtent l="0" t="0" r="13335" b="4445"/>
            <wp:docPr id="48" name="图片 9"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C:\Users\Administrator\AppData\Roaming\DingTalk\18198513_v2\ImageFiles\97\lALPDgQ9qzkb4yzNA3_NAnw_636_895.png"/>
                    <pic:cNvPicPr>
                      <a:picLocks noChangeAspect="1"/>
                    </pic:cNvPicPr>
                  </pic:nvPicPr>
                  <pic:blipFill>
                    <a:blip r:embed="rId18"/>
                    <a:stretch>
                      <a:fillRect/>
                    </a:stretch>
                  </pic:blipFill>
                  <pic:spPr>
                    <a:xfrm>
                      <a:off x="0" y="0"/>
                      <a:ext cx="5682615" cy="7996555"/>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707380" cy="7687945"/>
            <wp:effectExtent l="0" t="0" r="7620" b="8255"/>
            <wp:docPr id="49" name="图片 10"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C:\Users\Administrator\AppData\Roaming\DingTalk\18198513_v2\ImageFiles\e8\lALPDgQ9qzkdtwPNA3bNAnY_630_886.png"/>
                    <pic:cNvPicPr>
                      <a:picLocks noChangeAspect="1"/>
                    </pic:cNvPicPr>
                  </pic:nvPicPr>
                  <pic:blipFill>
                    <a:blip r:embed="rId19"/>
                    <a:stretch>
                      <a:fillRect/>
                    </a:stretch>
                  </pic:blipFill>
                  <pic:spPr>
                    <a:xfrm>
                      <a:off x="0" y="0"/>
                      <a:ext cx="5707380" cy="7687945"/>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664200" cy="8496300"/>
            <wp:effectExtent l="0" t="0" r="12700" b="0"/>
            <wp:docPr id="50" name="图片 11"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C:\Users\Administrator\AppData\Roaming\DingTalk\18198513_v2\ImageFiles\43\lALPDgQ9qzkb_mrNA2LNAnw_636_866.png"/>
                    <pic:cNvPicPr>
                      <a:picLocks noChangeAspect="1"/>
                    </pic:cNvPicPr>
                  </pic:nvPicPr>
                  <pic:blipFill>
                    <a:blip r:embed="rId20"/>
                    <a:stretch>
                      <a:fillRect/>
                    </a:stretch>
                  </pic:blipFill>
                  <pic:spPr>
                    <a:xfrm>
                      <a:off x="0" y="0"/>
                      <a:ext cx="5664200" cy="8496300"/>
                    </a:xfrm>
                    <a:prstGeom prst="rect">
                      <a:avLst/>
                    </a:prstGeom>
                    <a:noFill/>
                    <a:ln>
                      <a:noFill/>
                    </a:ln>
                  </pic:spPr>
                </pic:pic>
              </a:graphicData>
            </a:graphic>
          </wp:inline>
        </w:drawing>
      </w:r>
    </w:p>
    <w:p>
      <w:pPr>
        <w:pStyle w:val="23"/>
        <w:rPr>
          <w:rFonts w:hint="eastAsia"/>
          <w:color w:val="auto"/>
          <w:highlight w:val="none"/>
        </w:rPr>
      </w:pPr>
      <w:r>
        <w:rPr>
          <w:rFonts w:hint="eastAsia" w:hAnsi="宋体" w:cs="宋体"/>
          <w:color w:val="auto"/>
          <w:highlight w:val="none"/>
        </w:rPr>
        <w:drawing>
          <wp:inline distT="0" distB="0" distL="114300" distR="114300">
            <wp:extent cx="5709920" cy="7697470"/>
            <wp:effectExtent l="0" t="0" r="5080" b="17780"/>
            <wp:docPr id="51" name="图片 12"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C:\Users\Administrator\AppData\Roaming\DingTalk\18198513_v2\ImageFiles\5e\lALPDgQ9qzkb4yvNA2TNAnU_629_868.png"/>
                    <pic:cNvPicPr>
                      <a:picLocks noChangeAspect="1"/>
                    </pic:cNvPicPr>
                  </pic:nvPicPr>
                  <pic:blipFill>
                    <a:blip r:embed="rId21"/>
                    <a:stretch>
                      <a:fillRect/>
                    </a:stretch>
                  </pic:blipFill>
                  <pic:spPr>
                    <a:xfrm>
                      <a:off x="0" y="0"/>
                      <a:ext cx="5709920" cy="7697470"/>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754370" cy="8540115"/>
            <wp:effectExtent l="0" t="0" r="17780" b="13335"/>
            <wp:docPr id="52" name="图片 13"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C:\Users\Administrator\AppData\Roaming\DingTalk\18198513_v2\ImageFiles\bb\lALPDgQ9qzkdtwLNA33NAoA_640_893.png"/>
                    <pic:cNvPicPr>
                      <a:picLocks noChangeAspect="1"/>
                    </pic:cNvPicPr>
                  </pic:nvPicPr>
                  <pic:blipFill>
                    <a:blip r:embed="rId22"/>
                    <a:stretch>
                      <a:fillRect/>
                    </a:stretch>
                  </pic:blipFill>
                  <pic:spPr>
                    <a:xfrm>
                      <a:off x="0" y="0"/>
                      <a:ext cx="5754370" cy="8540115"/>
                    </a:xfrm>
                    <a:prstGeom prst="rect">
                      <a:avLst/>
                    </a:prstGeom>
                    <a:noFill/>
                    <a:ln>
                      <a:noFill/>
                    </a:ln>
                  </pic:spPr>
                </pic:pic>
              </a:graphicData>
            </a:graphic>
          </wp:inline>
        </w:drawing>
      </w:r>
    </w:p>
    <w:p>
      <w:pPr>
        <w:rPr>
          <w:rFonts w:hint="default" w:ascii="宋体" w:hAnsi="宋体" w:eastAsia="宋体" w:cs="宋体"/>
          <w:color w:val="auto"/>
          <w:highlight w:val="none"/>
          <w:lang w:val="en-US" w:eastAsia="zh-CN"/>
        </w:rPr>
      </w:pPr>
      <w:r>
        <w:rPr>
          <w:rFonts w:hint="eastAsia" w:ascii="宋体" w:hAnsi="宋体" w:eastAsia="宋体" w:cs="宋体"/>
          <w:b/>
          <w:bCs/>
          <w:color w:val="auto"/>
          <w:sz w:val="24"/>
          <w:highlight w:val="none"/>
          <w:lang w:val="en-US" w:eastAsia="zh-CN" w:bidi="ar"/>
        </w:rPr>
        <w:t>附件3：成财采【2019】17号文件</w:t>
      </w:r>
      <w:r>
        <w:rPr>
          <w:rFonts w:hint="eastAsia" w:ascii="宋体" w:hAnsi="宋体" w:eastAsia="宋体" w:cs="宋体"/>
          <w:b/>
          <w:bCs/>
          <w:color w:val="auto"/>
          <w:sz w:val="24"/>
          <w:highlight w:val="none"/>
          <w:lang w:bidi="ar"/>
        </w:rPr>
        <w:t>（不纳入评审范畴）</w:t>
      </w:r>
    </w:p>
    <w:p>
      <w:pPr>
        <w:rPr>
          <w:rFonts w:hint="eastAsia" w:ascii="宋体" w:hAnsi="宋体" w:cs="宋体"/>
          <w:color w:val="auto"/>
          <w:highlight w:val="none"/>
        </w:rPr>
      </w:pPr>
      <w:r>
        <w:rPr>
          <w:rFonts w:hint="eastAsia" w:hAnsi="宋体"/>
          <w:color w:val="auto"/>
          <w:highlight w:val="none"/>
        </w:rPr>
        <w:drawing>
          <wp:inline distT="0" distB="0" distL="114300" distR="114300">
            <wp:extent cx="5445125" cy="7293610"/>
            <wp:effectExtent l="0" t="0" r="3175" b="254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23"/>
                    <a:stretch>
                      <a:fillRect/>
                    </a:stretch>
                  </pic:blipFill>
                  <pic:spPr>
                    <a:xfrm>
                      <a:off x="0" y="0"/>
                      <a:ext cx="5445125" cy="729361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08040" cy="8364220"/>
            <wp:effectExtent l="0" t="0" r="16510" b="1778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24"/>
                    <a:stretch>
                      <a:fillRect/>
                    </a:stretch>
                  </pic:blipFill>
                  <pic:spPr>
                    <a:xfrm>
                      <a:off x="0" y="0"/>
                      <a:ext cx="5908040" cy="836422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33440" cy="7662545"/>
            <wp:effectExtent l="0" t="0" r="10160" b="1460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25"/>
                    <a:stretch>
                      <a:fillRect/>
                    </a:stretch>
                  </pic:blipFill>
                  <pic:spPr>
                    <a:xfrm>
                      <a:off x="0" y="0"/>
                      <a:ext cx="5933440" cy="7662545"/>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882005" cy="8893810"/>
            <wp:effectExtent l="0" t="0" r="4445" b="254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26"/>
                    <a:stretch>
                      <a:fillRect/>
                    </a:stretch>
                  </pic:blipFill>
                  <pic:spPr>
                    <a:xfrm>
                      <a:off x="0" y="0"/>
                      <a:ext cx="5882005" cy="889381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859145" cy="7602855"/>
            <wp:effectExtent l="0" t="0" r="8255" b="1714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27"/>
                    <a:stretch>
                      <a:fillRect/>
                    </a:stretch>
                  </pic:blipFill>
                  <pic:spPr>
                    <a:xfrm>
                      <a:off x="0" y="0"/>
                      <a:ext cx="5859145" cy="7602855"/>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876925" cy="8312150"/>
            <wp:effectExtent l="0" t="0" r="9525" b="1270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28"/>
                    <a:stretch>
                      <a:fillRect/>
                    </a:stretch>
                  </pic:blipFill>
                  <pic:spPr>
                    <a:xfrm>
                      <a:off x="0" y="0"/>
                      <a:ext cx="5876925" cy="831215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70270" cy="8050530"/>
            <wp:effectExtent l="0" t="0" r="11430" b="762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9"/>
                    <a:stretch>
                      <a:fillRect/>
                    </a:stretch>
                  </pic:blipFill>
                  <pic:spPr>
                    <a:xfrm>
                      <a:off x="0" y="0"/>
                      <a:ext cx="5970270" cy="805053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17565" cy="8364220"/>
            <wp:effectExtent l="0" t="0" r="6985" b="1778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0"/>
                    <a:stretch>
                      <a:fillRect/>
                    </a:stretch>
                  </pic:blipFill>
                  <pic:spPr>
                    <a:xfrm>
                      <a:off x="0" y="0"/>
                      <a:ext cx="5917565" cy="836422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866130" cy="7670165"/>
            <wp:effectExtent l="0" t="0" r="1270" b="698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1"/>
                    <a:stretch>
                      <a:fillRect/>
                    </a:stretch>
                  </pic:blipFill>
                  <pic:spPr>
                    <a:xfrm>
                      <a:off x="0" y="0"/>
                      <a:ext cx="5866130" cy="7670165"/>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897880" cy="8348980"/>
            <wp:effectExtent l="0" t="0" r="7620" b="1397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2"/>
                    <a:stretch>
                      <a:fillRect/>
                    </a:stretch>
                  </pic:blipFill>
                  <pic:spPr>
                    <a:xfrm>
                      <a:off x="0" y="0"/>
                      <a:ext cx="5897880" cy="8348980"/>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23915" cy="7789545"/>
            <wp:effectExtent l="0" t="0" r="635" b="190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33"/>
                    <a:stretch>
                      <a:fillRect/>
                    </a:stretch>
                  </pic:blipFill>
                  <pic:spPr>
                    <a:xfrm>
                      <a:off x="0" y="0"/>
                      <a:ext cx="5923915" cy="7789545"/>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01690" cy="8334375"/>
            <wp:effectExtent l="0" t="0" r="3810" b="952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4"/>
                    <a:stretch>
                      <a:fillRect/>
                    </a:stretch>
                  </pic:blipFill>
                  <pic:spPr>
                    <a:xfrm>
                      <a:off x="0" y="0"/>
                      <a:ext cx="5901690" cy="8334375"/>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6008370" cy="7737475"/>
            <wp:effectExtent l="0" t="0" r="11430" b="1587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35"/>
                    <a:stretch>
                      <a:fillRect/>
                    </a:stretch>
                  </pic:blipFill>
                  <pic:spPr>
                    <a:xfrm>
                      <a:off x="0" y="0"/>
                      <a:ext cx="6008370" cy="7737475"/>
                    </a:xfrm>
                    <a:prstGeom prst="rect">
                      <a:avLst/>
                    </a:prstGeom>
                    <a:noFill/>
                    <a:ln>
                      <a:noFill/>
                    </a:ln>
                  </pic:spPr>
                </pic:pic>
              </a:graphicData>
            </a:graphic>
          </wp:inline>
        </w:drawing>
      </w:r>
    </w:p>
    <w:p>
      <w:pPr>
        <w:rPr>
          <w:rFonts w:hint="eastAsia" w:ascii="宋体" w:hAnsi="宋体" w:cs="宋体"/>
          <w:color w:val="auto"/>
          <w:highlight w:val="none"/>
        </w:rPr>
      </w:pPr>
    </w:p>
    <w:p>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897880" cy="8348980"/>
            <wp:effectExtent l="0" t="0" r="7620" b="1397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6"/>
                    <a:stretch>
                      <a:fillRect/>
                    </a:stretch>
                  </pic:blipFill>
                  <pic:spPr>
                    <a:xfrm>
                      <a:off x="0" y="0"/>
                      <a:ext cx="5897880" cy="8348980"/>
                    </a:xfrm>
                    <a:prstGeom prst="rect">
                      <a:avLst/>
                    </a:prstGeom>
                    <a:noFill/>
                    <a:ln>
                      <a:noFill/>
                    </a:ln>
                  </pic:spPr>
                </pic:pic>
              </a:graphicData>
            </a:graphic>
          </wp:inline>
        </w:drawing>
      </w:r>
    </w:p>
    <w:p>
      <w:pPr>
        <w:rPr>
          <w:rFonts w:hint="eastAsia" w:ascii="宋体" w:hAnsi="宋体" w:cs="宋体"/>
          <w:color w:val="auto"/>
          <w:highlight w:val="none"/>
        </w:rPr>
      </w:pPr>
    </w:p>
    <w:p>
      <w:pPr>
        <w:widowControl/>
        <w:spacing w:line="360" w:lineRule="auto"/>
        <w:rPr>
          <w:rFonts w:hint="eastAsia" w:ascii="宋体" w:hAnsi="宋体" w:cs="宋体"/>
          <w:b/>
          <w:bCs/>
          <w:color w:val="auto"/>
          <w:kern w:val="0"/>
          <w:sz w:val="24"/>
          <w:highlight w:val="none"/>
          <w:lang w:bidi="ar"/>
        </w:rPr>
      </w:pPr>
    </w:p>
    <w:p>
      <w:pPr>
        <w:pStyle w:val="9"/>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5971540" cy="7461250"/>
            <wp:effectExtent l="0" t="0" r="10160" b="635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37"/>
                    <a:stretch>
                      <a:fillRect/>
                    </a:stretch>
                  </pic:blipFill>
                  <pic:spPr>
                    <a:xfrm>
                      <a:off x="0" y="0"/>
                      <a:ext cx="5971540" cy="7461250"/>
                    </a:xfrm>
                    <a:prstGeom prst="rect">
                      <a:avLst/>
                    </a:prstGeom>
                    <a:noFill/>
                    <a:ln>
                      <a:noFill/>
                    </a:ln>
                  </pic:spPr>
                </pic:pic>
              </a:graphicData>
            </a:graphic>
          </wp:inline>
        </w:drawing>
      </w:r>
    </w:p>
    <w:p>
      <w:pPr>
        <w:spacing w:line="400" w:lineRule="exact"/>
        <w:rPr>
          <w:rFonts w:hint="eastAsia" w:ascii="仿宋" w:hAnsi="仿宋" w:eastAsia="仿宋" w:cs="仿宋"/>
          <w:b/>
          <w:color w:val="auto"/>
          <w:sz w:val="24"/>
          <w:highlight w:val="none"/>
          <w:lang w:eastAsia="zh-CN"/>
        </w:rPr>
      </w:pPr>
    </w:p>
    <w:sectPr>
      <w:footerReference r:id="rId7"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方正仿宋_GBK">
    <w:altName w:val="宋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8"/>
      </w:rPr>
    </w:pPr>
    <w:r>
      <w:fldChar w:fldCharType="begin"/>
    </w:r>
    <w:r>
      <w:rPr>
        <w:rStyle w:val="28"/>
      </w:rPr>
      <w:instrText xml:space="preserve">PAGE  </w:instrText>
    </w:r>
    <w:r>
      <w:fldChar w:fldCharType="separate"/>
    </w:r>
    <w:r>
      <w:rPr>
        <w:rStyle w:val="28"/>
      </w:rPr>
      <w:t>83</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w:t>
    </w:r>
    <w:r>
      <w:rPr>
        <w:rFonts w:hAnsi="宋体"/>
        <w:sz w:val="28"/>
        <w:szCs w:val="28"/>
      </w:rPr>
      <w:t xml:space="preserve"> 60 -</w:t>
    </w:r>
    <w:r>
      <w:rPr>
        <w:rFonts w:hAnsi="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r>
      <w:rPr>
        <w:rFonts w:ascii="宋体" w:hAnsi="宋体" w:cs="宋体"/>
        <w:kern w:val="0"/>
        <w:sz w:val="24"/>
      </w:rPr>
      <w:drawing>
        <wp:inline distT="0" distB="0" distL="114300" distR="114300">
          <wp:extent cx="2080895" cy="351790"/>
          <wp:effectExtent l="0" t="0" r="14605" b="10160"/>
          <wp:docPr id="28" name="图片 1" descr="[7M8(5IFHN1}KTX%M47CN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7M8(5IFHN1}KTX%M47CN7N"/>
                  <pic:cNvPicPr>
                    <a:picLocks noChangeAspect="1"/>
                  </pic:cNvPicPr>
                </pic:nvPicPr>
                <pic:blipFill>
                  <a:blip r:embed="rId1"/>
                  <a:stretch>
                    <a:fillRect/>
                  </a:stretch>
                </pic:blipFill>
                <pic:spPr>
                  <a:xfrm>
                    <a:off x="0" y="0"/>
                    <a:ext cx="2080895" cy="3517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四川省工商行政管理局数据中心建设项目政府采购—招标文件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16"/>
    <w:multiLevelType w:val="multilevel"/>
    <w:tmpl w:val="00000016"/>
    <w:lvl w:ilvl="0" w:tentative="0">
      <w:start w:val="1"/>
      <w:numFmt w:val="decimal"/>
      <w:pStyle w:val="91"/>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EE87D33"/>
    <w:multiLevelType w:val="multilevel"/>
    <w:tmpl w:val="0EE87D33"/>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6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7F9A7B1E"/>
    <w:multiLevelType w:val="multilevel"/>
    <w:tmpl w:val="7F9A7B1E"/>
    <w:lvl w:ilvl="0" w:tentative="0">
      <w:start w:val="1"/>
      <w:numFmt w:val="bullet"/>
      <w:pStyle w:val="90"/>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2CC"/>
    <w:rsid w:val="000028CE"/>
    <w:rsid w:val="0000363F"/>
    <w:rsid w:val="0000670E"/>
    <w:rsid w:val="00013A47"/>
    <w:rsid w:val="00014D4E"/>
    <w:rsid w:val="00015AD4"/>
    <w:rsid w:val="00021E14"/>
    <w:rsid w:val="000222FA"/>
    <w:rsid w:val="00023E17"/>
    <w:rsid w:val="00024A16"/>
    <w:rsid w:val="00025270"/>
    <w:rsid w:val="00027E07"/>
    <w:rsid w:val="00031558"/>
    <w:rsid w:val="00032335"/>
    <w:rsid w:val="00032783"/>
    <w:rsid w:val="00034FC1"/>
    <w:rsid w:val="0003554F"/>
    <w:rsid w:val="00036022"/>
    <w:rsid w:val="0004130F"/>
    <w:rsid w:val="00041FE4"/>
    <w:rsid w:val="00046697"/>
    <w:rsid w:val="000501B2"/>
    <w:rsid w:val="00050590"/>
    <w:rsid w:val="00051366"/>
    <w:rsid w:val="000526C6"/>
    <w:rsid w:val="00052B12"/>
    <w:rsid w:val="00053337"/>
    <w:rsid w:val="000544EE"/>
    <w:rsid w:val="00054BA4"/>
    <w:rsid w:val="00055C21"/>
    <w:rsid w:val="00056979"/>
    <w:rsid w:val="00057397"/>
    <w:rsid w:val="00060AEE"/>
    <w:rsid w:val="00061464"/>
    <w:rsid w:val="0006264C"/>
    <w:rsid w:val="00062C64"/>
    <w:rsid w:val="00064282"/>
    <w:rsid w:val="000657E0"/>
    <w:rsid w:val="0006738D"/>
    <w:rsid w:val="000702EF"/>
    <w:rsid w:val="0007588A"/>
    <w:rsid w:val="00081A37"/>
    <w:rsid w:val="00082B75"/>
    <w:rsid w:val="000839BF"/>
    <w:rsid w:val="00084183"/>
    <w:rsid w:val="00084276"/>
    <w:rsid w:val="0008602F"/>
    <w:rsid w:val="00086A4E"/>
    <w:rsid w:val="00090600"/>
    <w:rsid w:val="000947AD"/>
    <w:rsid w:val="000956BF"/>
    <w:rsid w:val="000A0C31"/>
    <w:rsid w:val="000A1359"/>
    <w:rsid w:val="000A1518"/>
    <w:rsid w:val="000A1D01"/>
    <w:rsid w:val="000A238E"/>
    <w:rsid w:val="000A2A84"/>
    <w:rsid w:val="000A4196"/>
    <w:rsid w:val="000A42C7"/>
    <w:rsid w:val="000A4EA5"/>
    <w:rsid w:val="000A5F1C"/>
    <w:rsid w:val="000B04FC"/>
    <w:rsid w:val="000B07DD"/>
    <w:rsid w:val="000B2885"/>
    <w:rsid w:val="000B50A9"/>
    <w:rsid w:val="000B6E63"/>
    <w:rsid w:val="000B7B52"/>
    <w:rsid w:val="000B7FD8"/>
    <w:rsid w:val="000C00DD"/>
    <w:rsid w:val="000C0146"/>
    <w:rsid w:val="000C1120"/>
    <w:rsid w:val="000C22DB"/>
    <w:rsid w:val="000C334C"/>
    <w:rsid w:val="000C5AF5"/>
    <w:rsid w:val="000D0F0A"/>
    <w:rsid w:val="000D1244"/>
    <w:rsid w:val="000D1810"/>
    <w:rsid w:val="000D4EFB"/>
    <w:rsid w:val="000D7026"/>
    <w:rsid w:val="000D7DF4"/>
    <w:rsid w:val="000E3661"/>
    <w:rsid w:val="000E4A9C"/>
    <w:rsid w:val="000E7942"/>
    <w:rsid w:val="000E7D18"/>
    <w:rsid w:val="000F16F7"/>
    <w:rsid w:val="000F3BDC"/>
    <w:rsid w:val="000F7FC7"/>
    <w:rsid w:val="0010167E"/>
    <w:rsid w:val="001033D2"/>
    <w:rsid w:val="0010376B"/>
    <w:rsid w:val="00104EB1"/>
    <w:rsid w:val="00104F00"/>
    <w:rsid w:val="00105822"/>
    <w:rsid w:val="00105B8B"/>
    <w:rsid w:val="0011107B"/>
    <w:rsid w:val="0011115C"/>
    <w:rsid w:val="00111343"/>
    <w:rsid w:val="0011140A"/>
    <w:rsid w:val="001114EB"/>
    <w:rsid w:val="001116C7"/>
    <w:rsid w:val="00111F41"/>
    <w:rsid w:val="00113CCD"/>
    <w:rsid w:val="00114BC1"/>
    <w:rsid w:val="00114DE5"/>
    <w:rsid w:val="001150A5"/>
    <w:rsid w:val="00121D23"/>
    <w:rsid w:val="0012276E"/>
    <w:rsid w:val="00125DB3"/>
    <w:rsid w:val="00126265"/>
    <w:rsid w:val="0012677E"/>
    <w:rsid w:val="00126D87"/>
    <w:rsid w:val="001271E2"/>
    <w:rsid w:val="00130C37"/>
    <w:rsid w:val="001329EB"/>
    <w:rsid w:val="00134224"/>
    <w:rsid w:val="00134EA3"/>
    <w:rsid w:val="0013502E"/>
    <w:rsid w:val="00136485"/>
    <w:rsid w:val="00136D53"/>
    <w:rsid w:val="00137450"/>
    <w:rsid w:val="001423E8"/>
    <w:rsid w:val="00142470"/>
    <w:rsid w:val="0014361A"/>
    <w:rsid w:val="001464DD"/>
    <w:rsid w:val="00150BFF"/>
    <w:rsid w:val="00154466"/>
    <w:rsid w:val="001544CD"/>
    <w:rsid w:val="00156466"/>
    <w:rsid w:val="00156D44"/>
    <w:rsid w:val="001575FD"/>
    <w:rsid w:val="001602FF"/>
    <w:rsid w:val="001609ED"/>
    <w:rsid w:val="00161DED"/>
    <w:rsid w:val="00162E04"/>
    <w:rsid w:val="00162E21"/>
    <w:rsid w:val="00163BE2"/>
    <w:rsid w:val="001648CD"/>
    <w:rsid w:val="001652F8"/>
    <w:rsid w:val="001653F1"/>
    <w:rsid w:val="00165833"/>
    <w:rsid w:val="00170C8C"/>
    <w:rsid w:val="00171406"/>
    <w:rsid w:val="00175AEB"/>
    <w:rsid w:val="0018382C"/>
    <w:rsid w:val="0018390E"/>
    <w:rsid w:val="00183B53"/>
    <w:rsid w:val="00183F9B"/>
    <w:rsid w:val="0018559A"/>
    <w:rsid w:val="00185A39"/>
    <w:rsid w:val="00185E81"/>
    <w:rsid w:val="00185F2C"/>
    <w:rsid w:val="00186AEA"/>
    <w:rsid w:val="001876EA"/>
    <w:rsid w:val="00187C36"/>
    <w:rsid w:val="00187D88"/>
    <w:rsid w:val="00187EF6"/>
    <w:rsid w:val="00193802"/>
    <w:rsid w:val="0019756E"/>
    <w:rsid w:val="001A1290"/>
    <w:rsid w:val="001A4D97"/>
    <w:rsid w:val="001A67F1"/>
    <w:rsid w:val="001A7B66"/>
    <w:rsid w:val="001B22E9"/>
    <w:rsid w:val="001B3E78"/>
    <w:rsid w:val="001B41B3"/>
    <w:rsid w:val="001B6577"/>
    <w:rsid w:val="001B6BA8"/>
    <w:rsid w:val="001B6BB0"/>
    <w:rsid w:val="001C4A5B"/>
    <w:rsid w:val="001C4A85"/>
    <w:rsid w:val="001C5178"/>
    <w:rsid w:val="001C6CF7"/>
    <w:rsid w:val="001C77A3"/>
    <w:rsid w:val="001D00E5"/>
    <w:rsid w:val="001D0F62"/>
    <w:rsid w:val="001D2331"/>
    <w:rsid w:val="001D3913"/>
    <w:rsid w:val="001E148C"/>
    <w:rsid w:val="001E2A34"/>
    <w:rsid w:val="001E3B05"/>
    <w:rsid w:val="001E5BB0"/>
    <w:rsid w:val="001F035E"/>
    <w:rsid w:val="001F38D3"/>
    <w:rsid w:val="001F5319"/>
    <w:rsid w:val="001F646A"/>
    <w:rsid w:val="001F64F5"/>
    <w:rsid w:val="001F6AF1"/>
    <w:rsid w:val="0020061C"/>
    <w:rsid w:val="002016A3"/>
    <w:rsid w:val="0020283C"/>
    <w:rsid w:val="0020429F"/>
    <w:rsid w:val="00206D18"/>
    <w:rsid w:val="0020710D"/>
    <w:rsid w:val="0021013C"/>
    <w:rsid w:val="00211B96"/>
    <w:rsid w:val="002120D0"/>
    <w:rsid w:val="002125E6"/>
    <w:rsid w:val="0021510F"/>
    <w:rsid w:val="002201FC"/>
    <w:rsid w:val="00224CDC"/>
    <w:rsid w:val="0022618C"/>
    <w:rsid w:val="002270B2"/>
    <w:rsid w:val="002273FB"/>
    <w:rsid w:val="0022789B"/>
    <w:rsid w:val="00230304"/>
    <w:rsid w:val="00230D10"/>
    <w:rsid w:val="00231558"/>
    <w:rsid w:val="002332EA"/>
    <w:rsid w:val="002334D9"/>
    <w:rsid w:val="002342C9"/>
    <w:rsid w:val="00234FC3"/>
    <w:rsid w:val="002368C1"/>
    <w:rsid w:val="002402F2"/>
    <w:rsid w:val="00242277"/>
    <w:rsid w:val="00242471"/>
    <w:rsid w:val="0024263A"/>
    <w:rsid w:val="00244015"/>
    <w:rsid w:val="002470DA"/>
    <w:rsid w:val="00251C84"/>
    <w:rsid w:val="0025249C"/>
    <w:rsid w:val="002532BC"/>
    <w:rsid w:val="0025359C"/>
    <w:rsid w:val="00254414"/>
    <w:rsid w:val="00262A61"/>
    <w:rsid w:val="00264A79"/>
    <w:rsid w:val="00265F18"/>
    <w:rsid w:val="002660D6"/>
    <w:rsid w:val="002706FF"/>
    <w:rsid w:val="00271EA9"/>
    <w:rsid w:val="0027695E"/>
    <w:rsid w:val="00281347"/>
    <w:rsid w:val="002813AE"/>
    <w:rsid w:val="00284758"/>
    <w:rsid w:val="002857AA"/>
    <w:rsid w:val="00290DC2"/>
    <w:rsid w:val="00291539"/>
    <w:rsid w:val="002957B3"/>
    <w:rsid w:val="002960E4"/>
    <w:rsid w:val="002A0B7A"/>
    <w:rsid w:val="002A0C82"/>
    <w:rsid w:val="002A2247"/>
    <w:rsid w:val="002A3A71"/>
    <w:rsid w:val="002A4813"/>
    <w:rsid w:val="002A5501"/>
    <w:rsid w:val="002A6A1A"/>
    <w:rsid w:val="002A73E2"/>
    <w:rsid w:val="002B067F"/>
    <w:rsid w:val="002B2011"/>
    <w:rsid w:val="002B6D25"/>
    <w:rsid w:val="002B77DE"/>
    <w:rsid w:val="002B7812"/>
    <w:rsid w:val="002C0964"/>
    <w:rsid w:val="002C3905"/>
    <w:rsid w:val="002C3F49"/>
    <w:rsid w:val="002D01AC"/>
    <w:rsid w:val="002D5504"/>
    <w:rsid w:val="002D5D7E"/>
    <w:rsid w:val="002D685B"/>
    <w:rsid w:val="002D6C47"/>
    <w:rsid w:val="002D73AE"/>
    <w:rsid w:val="002E2016"/>
    <w:rsid w:val="002E372F"/>
    <w:rsid w:val="002E38A1"/>
    <w:rsid w:val="002E49CF"/>
    <w:rsid w:val="002E53EC"/>
    <w:rsid w:val="002E7B45"/>
    <w:rsid w:val="002F028C"/>
    <w:rsid w:val="002F0D48"/>
    <w:rsid w:val="002F29A4"/>
    <w:rsid w:val="002F3919"/>
    <w:rsid w:val="002F5A38"/>
    <w:rsid w:val="002F64A4"/>
    <w:rsid w:val="002F797B"/>
    <w:rsid w:val="0030094A"/>
    <w:rsid w:val="0030262F"/>
    <w:rsid w:val="00306A59"/>
    <w:rsid w:val="00307235"/>
    <w:rsid w:val="0030778A"/>
    <w:rsid w:val="00310314"/>
    <w:rsid w:val="00310F93"/>
    <w:rsid w:val="00313B4B"/>
    <w:rsid w:val="00314009"/>
    <w:rsid w:val="00314E41"/>
    <w:rsid w:val="0031545E"/>
    <w:rsid w:val="00315B30"/>
    <w:rsid w:val="003166D4"/>
    <w:rsid w:val="00320B94"/>
    <w:rsid w:val="00321984"/>
    <w:rsid w:val="00321BCE"/>
    <w:rsid w:val="00323546"/>
    <w:rsid w:val="0032407A"/>
    <w:rsid w:val="00325EE6"/>
    <w:rsid w:val="00327B03"/>
    <w:rsid w:val="0033010E"/>
    <w:rsid w:val="00331A57"/>
    <w:rsid w:val="00331FC6"/>
    <w:rsid w:val="003331D2"/>
    <w:rsid w:val="00334A11"/>
    <w:rsid w:val="00335BD1"/>
    <w:rsid w:val="00336B56"/>
    <w:rsid w:val="00336DC6"/>
    <w:rsid w:val="0033786A"/>
    <w:rsid w:val="003419CA"/>
    <w:rsid w:val="00345C70"/>
    <w:rsid w:val="00346A47"/>
    <w:rsid w:val="00351C45"/>
    <w:rsid w:val="003534C0"/>
    <w:rsid w:val="00354318"/>
    <w:rsid w:val="00354A02"/>
    <w:rsid w:val="00354A64"/>
    <w:rsid w:val="00354AA9"/>
    <w:rsid w:val="00354EFF"/>
    <w:rsid w:val="003556A7"/>
    <w:rsid w:val="00355FC0"/>
    <w:rsid w:val="003579A1"/>
    <w:rsid w:val="00362D08"/>
    <w:rsid w:val="00362E03"/>
    <w:rsid w:val="00363B74"/>
    <w:rsid w:val="00365E6F"/>
    <w:rsid w:val="00370A69"/>
    <w:rsid w:val="00370C8A"/>
    <w:rsid w:val="0037102B"/>
    <w:rsid w:val="00372825"/>
    <w:rsid w:val="0037288F"/>
    <w:rsid w:val="0037376E"/>
    <w:rsid w:val="0037405F"/>
    <w:rsid w:val="0038153C"/>
    <w:rsid w:val="00381E2B"/>
    <w:rsid w:val="0038268A"/>
    <w:rsid w:val="00383016"/>
    <w:rsid w:val="00384FE6"/>
    <w:rsid w:val="00390F67"/>
    <w:rsid w:val="00393830"/>
    <w:rsid w:val="003946F3"/>
    <w:rsid w:val="00394B51"/>
    <w:rsid w:val="00395323"/>
    <w:rsid w:val="00397665"/>
    <w:rsid w:val="003A3862"/>
    <w:rsid w:val="003A3F55"/>
    <w:rsid w:val="003B0349"/>
    <w:rsid w:val="003B07A2"/>
    <w:rsid w:val="003B1AB5"/>
    <w:rsid w:val="003B6F87"/>
    <w:rsid w:val="003C0054"/>
    <w:rsid w:val="003C0C65"/>
    <w:rsid w:val="003C14AB"/>
    <w:rsid w:val="003C1E7C"/>
    <w:rsid w:val="003C2FB3"/>
    <w:rsid w:val="003C6499"/>
    <w:rsid w:val="003C668B"/>
    <w:rsid w:val="003C69BB"/>
    <w:rsid w:val="003C7FA3"/>
    <w:rsid w:val="003D115D"/>
    <w:rsid w:val="003D1437"/>
    <w:rsid w:val="003D1FC8"/>
    <w:rsid w:val="003D2871"/>
    <w:rsid w:val="003D629B"/>
    <w:rsid w:val="003D6FFA"/>
    <w:rsid w:val="003D7F4F"/>
    <w:rsid w:val="003E01A7"/>
    <w:rsid w:val="003E35F5"/>
    <w:rsid w:val="003E4C5A"/>
    <w:rsid w:val="003E5F0C"/>
    <w:rsid w:val="003F2903"/>
    <w:rsid w:val="003F2A22"/>
    <w:rsid w:val="003F63D6"/>
    <w:rsid w:val="00401FD4"/>
    <w:rsid w:val="00403397"/>
    <w:rsid w:val="00403B04"/>
    <w:rsid w:val="004056A0"/>
    <w:rsid w:val="004074A8"/>
    <w:rsid w:val="00412CBA"/>
    <w:rsid w:val="00420862"/>
    <w:rsid w:val="00420E14"/>
    <w:rsid w:val="00421A8F"/>
    <w:rsid w:val="004233F9"/>
    <w:rsid w:val="00424645"/>
    <w:rsid w:val="00424D9F"/>
    <w:rsid w:val="004259A8"/>
    <w:rsid w:val="00425D63"/>
    <w:rsid w:val="004270E7"/>
    <w:rsid w:val="004309AF"/>
    <w:rsid w:val="00430F0E"/>
    <w:rsid w:val="00431F08"/>
    <w:rsid w:val="00432FEF"/>
    <w:rsid w:val="004345AE"/>
    <w:rsid w:val="00436108"/>
    <w:rsid w:val="00436A1E"/>
    <w:rsid w:val="00437F68"/>
    <w:rsid w:val="00440384"/>
    <w:rsid w:val="0044149C"/>
    <w:rsid w:val="00441691"/>
    <w:rsid w:val="004440D6"/>
    <w:rsid w:val="0044451B"/>
    <w:rsid w:val="00444F27"/>
    <w:rsid w:val="00447F5D"/>
    <w:rsid w:val="00450996"/>
    <w:rsid w:val="004522CD"/>
    <w:rsid w:val="00453DA2"/>
    <w:rsid w:val="00454103"/>
    <w:rsid w:val="0045538A"/>
    <w:rsid w:val="00457964"/>
    <w:rsid w:val="00462682"/>
    <w:rsid w:val="00463055"/>
    <w:rsid w:val="004638F6"/>
    <w:rsid w:val="004656A5"/>
    <w:rsid w:val="00465A54"/>
    <w:rsid w:val="0047244C"/>
    <w:rsid w:val="00474440"/>
    <w:rsid w:val="00474A2F"/>
    <w:rsid w:val="00476556"/>
    <w:rsid w:val="00477B8B"/>
    <w:rsid w:val="0048038E"/>
    <w:rsid w:val="00480C86"/>
    <w:rsid w:val="004837E8"/>
    <w:rsid w:val="00484A3D"/>
    <w:rsid w:val="0048581D"/>
    <w:rsid w:val="004859C3"/>
    <w:rsid w:val="00485C23"/>
    <w:rsid w:val="00485EDF"/>
    <w:rsid w:val="00486B1C"/>
    <w:rsid w:val="00490A1F"/>
    <w:rsid w:val="00497732"/>
    <w:rsid w:val="004A0444"/>
    <w:rsid w:val="004A11B8"/>
    <w:rsid w:val="004A2B4F"/>
    <w:rsid w:val="004A3D3D"/>
    <w:rsid w:val="004A6596"/>
    <w:rsid w:val="004B40C0"/>
    <w:rsid w:val="004B42C6"/>
    <w:rsid w:val="004B4E67"/>
    <w:rsid w:val="004B5050"/>
    <w:rsid w:val="004B58B4"/>
    <w:rsid w:val="004B7913"/>
    <w:rsid w:val="004B7CD4"/>
    <w:rsid w:val="004C2137"/>
    <w:rsid w:val="004C2D18"/>
    <w:rsid w:val="004C3CC5"/>
    <w:rsid w:val="004C4045"/>
    <w:rsid w:val="004C4C30"/>
    <w:rsid w:val="004D17B5"/>
    <w:rsid w:val="004D1CAF"/>
    <w:rsid w:val="004D1D4C"/>
    <w:rsid w:val="004D2C74"/>
    <w:rsid w:val="004D3475"/>
    <w:rsid w:val="004D3FD8"/>
    <w:rsid w:val="004D438D"/>
    <w:rsid w:val="004D6AA0"/>
    <w:rsid w:val="004D6EA3"/>
    <w:rsid w:val="004E0050"/>
    <w:rsid w:val="004E095F"/>
    <w:rsid w:val="004E0DC1"/>
    <w:rsid w:val="004E2BA2"/>
    <w:rsid w:val="004E3F30"/>
    <w:rsid w:val="004E4ECE"/>
    <w:rsid w:val="004E5434"/>
    <w:rsid w:val="004F0269"/>
    <w:rsid w:val="004F053A"/>
    <w:rsid w:val="004F2BA1"/>
    <w:rsid w:val="004F5C71"/>
    <w:rsid w:val="004F764F"/>
    <w:rsid w:val="00503A82"/>
    <w:rsid w:val="00516884"/>
    <w:rsid w:val="00517422"/>
    <w:rsid w:val="0052149F"/>
    <w:rsid w:val="005234C2"/>
    <w:rsid w:val="00524715"/>
    <w:rsid w:val="005275DB"/>
    <w:rsid w:val="00532B53"/>
    <w:rsid w:val="0053330A"/>
    <w:rsid w:val="0053654A"/>
    <w:rsid w:val="005369DC"/>
    <w:rsid w:val="005372CB"/>
    <w:rsid w:val="005379D8"/>
    <w:rsid w:val="005416CA"/>
    <w:rsid w:val="005432A2"/>
    <w:rsid w:val="00544207"/>
    <w:rsid w:val="0054439D"/>
    <w:rsid w:val="005452B7"/>
    <w:rsid w:val="005455D7"/>
    <w:rsid w:val="0054613F"/>
    <w:rsid w:val="00546B9C"/>
    <w:rsid w:val="00546F02"/>
    <w:rsid w:val="00547477"/>
    <w:rsid w:val="00547848"/>
    <w:rsid w:val="00547B6D"/>
    <w:rsid w:val="00550637"/>
    <w:rsid w:val="00551E54"/>
    <w:rsid w:val="00552A5B"/>
    <w:rsid w:val="0055769A"/>
    <w:rsid w:val="005603D7"/>
    <w:rsid w:val="00560776"/>
    <w:rsid w:val="00560F3D"/>
    <w:rsid w:val="005651F2"/>
    <w:rsid w:val="00567FBF"/>
    <w:rsid w:val="0057227B"/>
    <w:rsid w:val="00573246"/>
    <w:rsid w:val="00573DD5"/>
    <w:rsid w:val="005770E1"/>
    <w:rsid w:val="00580081"/>
    <w:rsid w:val="005859B7"/>
    <w:rsid w:val="00585C10"/>
    <w:rsid w:val="00585D18"/>
    <w:rsid w:val="00586434"/>
    <w:rsid w:val="005876D8"/>
    <w:rsid w:val="00590091"/>
    <w:rsid w:val="0059168E"/>
    <w:rsid w:val="00591E80"/>
    <w:rsid w:val="0059553F"/>
    <w:rsid w:val="005A16AA"/>
    <w:rsid w:val="005A383B"/>
    <w:rsid w:val="005A4718"/>
    <w:rsid w:val="005A6B6C"/>
    <w:rsid w:val="005B0EA2"/>
    <w:rsid w:val="005B33BD"/>
    <w:rsid w:val="005B434C"/>
    <w:rsid w:val="005B6836"/>
    <w:rsid w:val="005B68BB"/>
    <w:rsid w:val="005C08FA"/>
    <w:rsid w:val="005C0E87"/>
    <w:rsid w:val="005C10F2"/>
    <w:rsid w:val="005C3E17"/>
    <w:rsid w:val="005C4975"/>
    <w:rsid w:val="005C56B8"/>
    <w:rsid w:val="005D04D7"/>
    <w:rsid w:val="005D1258"/>
    <w:rsid w:val="005D1E23"/>
    <w:rsid w:val="005D5858"/>
    <w:rsid w:val="005D72BC"/>
    <w:rsid w:val="005E0927"/>
    <w:rsid w:val="005E0EB8"/>
    <w:rsid w:val="005E290B"/>
    <w:rsid w:val="005E3DF2"/>
    <w:rsid w:val="005E61DB"/>
    <w:rsid w:val="005E6BBF"/>
    <w:rsid w:val="005F28F4"/>
    <w:rsid w:val="005F2FE4"/>
    <w:rsid w:val="005F39AC"/>
    <w:rsid w:val="005F7655"/>
    <w:rsid w:val="00602603"/>
    <w:rsid w:val="00603DA5"/>
    <w:rsid w:val="00604810"/>
    <w:rsid w:val="00605136"/>
    <w:rsid w:val="006063A3"/>
    <w:rsid w:val="006065CD"/>
    <w:rsid w:val="0060753A"/>
    <w:rsid w:val="00610DCC"/>
    <w:rsid w:val="006120A9"/>
    <w:rsid w:val="00614B06"/>
    <w:rsid w:val="00614DE1"/>
    <w:rsid w:val="00615FA3"/>
    <w:rsid w:val="006169D0"/>
    <w:rsid w:val="00616C8F"/>
    <w:rsid w:val="00616EAA"/>
    <w:rsid w:val="00621B42"/>
    <w:rsid w:val="00625A68"/>
    <w:rsid w:val="00626234"/>
    <w:rsid w:val="006262E1"/>
    <w:rsid w:val="0063018A"/>
    <w:rsid w:val="00641A85"/>
    <w:rsid w:val="00643045"/>
    <w:rsid w:val="006462C7"/>
    <w:rsid w:val="00646570"/>
    <w:rsid w:val="00647DF3"/>
    <w:rsid w:val="00650EC4"/>
    <w:rsid w:val="0065225F"/>
    <w:rsid w:val="00652426"/>
    <w:rsid w:val="00653256"/>
    <w:rsid w:val="0065793E"/>
    <w:rsid w:val="00662776"/>
    <w:rsid w:val="006655BD"/>
    <w:rsid w:val="006666FB"/>
    <w:rsid w:val="006671E4"/>
    <w:rsid w:val="0066748C"/>
    <w:rsid w:val="00667A8F"/>
    <w:rsid w:val="00667F67"/>
    <w:rsid w:val="006733AC"/>
    <w:rsid w:val="006742EA"/>
    <w:rsid w:val="00677EB4"/>
    <w:rsid w:val="006804DC"/>
    <w:rsid w:val="006815B2"/>
    <w:rsid w:val="00682060"/>
    <w:rsid w:val="00682AC8"/>
    <w:rsid w:val="006832A0"/>
    <w:rsid w:val="0068510B"/>
    <w:rsid w:val="006873C6"/>
    <w:rsid w:val="00687E71"/>
    <w:rsid w:val="0069086F"/>
    <w:rsid w:val="00693266"/>
    <w:rsid w:val="00694FDC"/>
    <w:rsid w:val="00696719"/>
    <w:rsid w:val="00696E6A"/>
    <w:rsid w:val="006979AD"/>
    <w:rsid w:val="006A04D2"/>
    <w:rsid w:val="006A2EF8"/>
    <w:rsid w:val="006A45A1"/>
    <w:rsid w:val="006A48C1"/>
    <w:rsid w:val="006A6076"/>
    <w:rsid w:val="006A6791"/>
    <w:rsid w:val="006A6E76"/>
    <w:rsid w:val="006A7816"/>
    <w:rsid w:val="006A7FB3"/>
    <w:rsid w:val="006A7FB6"/>
    <w:rsid w:val="006B0C46"/>
    <w:rsid w:val="006B3179"/>
    <w:rsid w:val="006B3693"/>
    <w:rsid w:val="006B43B6"/>
    <w:rsid w:val="006B554C"/>
    <w:rsid w:val="006B6634"/>
    <w:rsid w:val="006B7390"/>
    <w:rsid w:val="006B791C"/>
    <w:rsid w:val="006C2588"/>
    <w:rsid w:val="006C3FCB"/>
    <w:rsid w:val="006C641A"/>
    <w:rsid w:val="006D0242"/>
    <w:rsid w:val="006D042D"/>
    <w:rsid w:val="006D32C7"/>
    <w:rsid w:val="006D471E"/>
    <w:rsid w:val="006D4E10"/>
    <w:rsid w:val="006E1E8C"/>
    <w:rsid w:val="006E280B"/>
    <w:rsid w:val="006E3819"/>
    <w:rsid w:val="006E3977"/>
    <w:rsid w:val="006E3EA3"/>
    <w:rsid w:val="006E57C3"/>
    <w:rsid w:val="006E6542"/>
    <w:rsid w:val="006E6C7E"/>
    <w:rsid w:val="006E6F22"/>
    <w:rsid w:val="006E7C3B"/>
    <w:rsid w:val="006F1913"/>
    <w:rsid w:val="006F19FC"/>
    <w:rsid w:val="006F6C43"/>
    <w:rsid w:val="006F6F4D"/>
    <w:rsid w:val="006F77B4"/>
    <w:rsid w:val="00703A09"/>
    <w:rsid w:val="00703D8D"/>
    <w:rsid w:val="00704D09"/>
    <w:rsid w:val="00706597"/>
    <w:rsid w:val="00707B59"/>
    <w:rsid w:val="0071161C"/>
    <w:rsid w:val="00711B4A"/>
    <w:rsid w:val="00711B8B"/>
    <w:rsid w:val="007126FB"/>
    <w:rsid w:val="00713F96"/>
    <w:rsid w:val="00714AC2"/>
    <w:rsid w:val="00716115"/>
    <w:rsid w:val="007170A6"/>
    <w:rsid w:val="00722175"/>
    <w:rsid w:val="00723632"/>
    <w:rsid w:val="0072427E"/>
    <w:rsid w:val="00730447"/>
    <w:rsid w:val="00730609"/>
    <w:rsid w:val="00730B5E"/>
    <w:rsid w:val="0073166A"/>
    <w:rsid w:val="00731DA2"/>
    <w:rsid w:val="00734122"/>
    <w:rsid w:val="00737F15"/>
    <w:rsid w:val="00740840"/>
    <w:rsid w:val="00742877"/>
    <w:rsid w:val="0074393D"/>
    <w:rsid w:val="00743991"/>
    <w:rsid w:val="00743D7D"/>
    <w:rsid w:val="0074443B"/>
    <w:rsid w:val="00745C81"/>
    <w:rsid w:val="0075024E"/>
    <w:rsid w:val="007515C4"/>
    <w:rsid w:val="007540CC"/>
    <w:rsid w:val="00755A08"/>
    <w:rsid w:val="00755F42"/>
    <w:rsid w:val="0075675A"/>
    <w:rsid w:val="00757D3C"/>
    <w:rsid w:val="00762466"/>
    <w:rsid w:val="007646F7"/>
    <w:rsid w:val="00766306"/>
    <w:rsid w:val="007663CC"/>
    <w:rsid w:val="007664A8"/>
    <w:rsid w:val="00766C89"/>
    <w:rsid w:val="007673B6"/>
    <w:rsid w:val="00770389"/>
    <w:rsid w:val="007707AA"/>
    <w:rsid w:val="007741A6"/>
    <w:rsid w:val="007741AA"/>
    <w:rsid w:val="00774770"/>
    <w:rsid w:val="00774962"/>
    <w:rsid w:val="00775CE5"/>
    <w:rsid w:val="007814D3"/>
    <w:rsid w:val="00782920"/>
    <w:rsid w:val="007839E4"/>
    <w:rsid w:val="0078521F"/>
    <w:rsid w:val="007866F2"/>
    <w:rsid w:val="00791749"/>
    <w:rsid w:val="0079216F"/>
    <w:rsid w:val="00792C79"/>
    <w:rsid w:val="00797380"/>
    <w:rsid w:val="00797C43"/>
    <w:rsid w:val="007A01F7"/>
    <w:rsid w:val="007A0F8C"/>
    <w:rsid w:val="007A1008"/>
    <w:rsid w:val="007A13BA"/>
    <w:rsid w:val="007A13C0"/>
    <w:rsid w:val="007A36B3"/>
    <w:rsid w:val="007A3837"/>
    <w:rsid w:val="007A4490"/>
    <w:rsid w:val="007A4B0A"/>
    <w:rsid w:val="007A4F56"/>
    <w:rsid w:val="007A7069"/>
    <w:rsid w:val="007A70B8"/>
    <w:rsid w:val="007A70D1"/>
    <w:rsid w:val="007A7526"/>
    <w:rsid w:val="007B283B"/>
    <w:rsid w:val="007B2D42"/>
    <w:rsid w:val="007B2DED"/>
    <w:rsid w:val="007B2F12"/>
    <w:rsid w:val="007B30A7"/>
    <w:rsid w:val="007B5653"/>
    <w:rsid w:val="007B6900"/>
    <w:rsid w:val="007B7884"/>
    <w:rsid w:val="007C0099"/>
    <w:rsid w:val="007C0294"/>
    <w:rsid w:val="007C12CC"/>
    <w:rsid w:val="007C3B0F"/>
    <w:rsid w:val="007C3C33"/>
    <w:rsid w:val="007C6221"/>
    <w:rsid w:val="007D212D"/>
    <w:rsid w:val="007D449C"/>
    <w:rsid w:val="007D591E"/>
    <w:rsid w:val="007E193D"/>
    <w:rsid w:val="007E2CAB"/>
    <w:rsid w:val="007E31A6"/>
    <w:rsid w:val="007E378C"/>
    <w:rsid w:val="007E4F90"/>
    <w:rsid w:val="007E52F6"/>
    <w:rsid w:val="007F00ED"/>
    <w:rsid w:val="007F2306"/>
    <w:rsid w:val="007F5803"/>
    <w:rsid w:val="007F5812"/>
    <w:rsid w:val="007F5FAD"/>
    <w:rsid w:val="007F620C"/>
    <w:rsid w:val="008004E8"/>
    <w:rsid w:val="00800C18"/>
    <w:rsid w:val="00801116"/>
    <w:rsid w:val="00801B05"/>
    <w:rsid w:val="008025D3"/>
    <w:rsid w:val="008060A6"/>
    <w:rsid w:val="00807226"/>
    <w:rsid w:val="008077F5"/>
    <w:rsid w:val="00807A32"/>
    <w:rsid w:val="00807BB1"/>
    <w:rsid w:val="008102C8"/>
    <w:rsid w:val="008127C3"/>
    <w:rsid w:val="00813B77"/>
    <w:rsid w:val="008162B1"/>
    <w:rsid w:val="00820155"/>
    <w:rsid w:val="008212A8"/>
    <w:rsid w:val="00822F2B"/>
    <w:rsid w:val="00823E02"/>
    <w:rsid w:val="0082609E"/>
    <w:rsid w:val="008266FA"/>
    <w:rsid w:val="0082683F"/>
    <w:rsid w:val="008279A2"/>
    <w:rsid w:val="00830A98"/>
    <w:rsid w:val="00831330"/>
    <w:rsid w:val="008344F7"/>
    <w:rsid w:val="00835199"/>
    <w:rsid w:val="008373DB"/>
    <w:rsid w:val="0084031F"/>
    <w:rsid w:val="00841CA6"/>
    <w:rsid w:val="00841E9F"/>
    <w:rsid w:val="00841F3D"/>
    <w:rsid w:val="00842C33"/>
    <w:rsid w:val="0084697A"/>
    <w:rsid w:val="00847236"/>
    <w:rsid w:val="008510BC"/>
    <w:rsid w:val="00851335"/>
    <w:rsid w:val="00851D92"/>
    <w:rsid w:val="00852E08"/>
    <w:rsid w:val="00857EA5"/>
    <w:rsid w:val="00862A32"/>
    <w:rsid w:val="008643CA"/>
    <w:rsid w:val="0086662D"/>
    <w:rsid w:val="008672C5"/>
    <w:rsid w:val="0087029C"/>
    <w:rsid w:val="0087069A"/>
    <w:rsid w:val="00872C53"/>
    <w:rsid w:val="00890069"/>
    <w:rsid w:val="008907BD"/>
    <w:rsid w:val="008944AF"/>
    <w:rsid w:val="00897CDE"/>
    <w:rsid w:val="008A4078"/>
    <w:rsid w:val="008A5004"/>
    <w:rsid w:val="008A69ED"/>
    <w:rsid w:val="008B14EF"/>
    <w:rsid w:val="008B1EF8"/>
    <w:rsid w:val="008B2B51"/>
    <w:rsid w:val="008B3270"/>
    <w:rsid w:val="008B32D6"/>
    <w:rsid w:val="008B346E"/>
    <w:rsid w:val="008B40EC"/>
    <w:rsid w:val="008B4E2A"/>
    <w:rsid w:val="008B56CA"/>
    <w:rsid w:val="008B68FD"/>
    <w:rsid w:val="008B78D2"/>
    <w:rsid w:val="008C2E09"/>
    <w:rsid w:val="008C32D0"/>
    <w:rsid w:val="008C3970"/>
    <w:rsid w:val="008C6F88"/>
    <w:rsid w:val="008D3214"/>
    <w:rsid w:val="008D3C61"/>
    <w:rsid w:val="008D6485"/>
    <w:rsid w:val="008D706D"/>
    <w:rsid w:val="008E1810"/>
    <w:rsid w:val="008E1A5D"/>
    <w:rsid w:val="008E1ADA"/>
    <w:rsid w:val="008E1CCA"/>
    <w:rsid w:val="008E46ED"/>
    <w:rsid w:val="008E5F09"/>
    <w:rsid w:val="008F1DDA"/>
    <w:rsid w:val="008F39B8"/>
    <w:rsid w:val="009018E5"/>
    <w:rsid w:val="00901A90"/>
    <w:rsid w:val="00901C1E"/>
    <w:rsid w:val="00902CF4"/>
    <w:rsid w:val="00903C3F"/>
    <w:rsid w:val="0090478A"/>
    <w:rsid w:val="009056D3"/>
    <w:rsid w:val="009075C4"/>
    <w:rsid w:val="00907698"/>
    <w:rsid w:val="00907D77"/>
    <w:rsid w:val="00911E1B"/>
    <w:rsid w:val="009143D4"/>
    <w:rsid w:val="0091615A"/>
    <w:rsid w:val="00917638"/>
    <w:rsid w:val="009207B4"/>
    <w:rsid w:val="0092358B"/>
    <w:rsid w:val="009235E0"/>
    <w:rsid w:val="00924A8B"/>
    <w:rsid w:val="00925207"/>
    <w:rsid w:val="0092521F"/>
    <w:rsid w:val="00926E97"/>
    <w:rsid w:val="00927144"/>
    <w:rsid w:val="009306D2"/>
    <w:rsid w:val="00933D99"/>
    <w:rsid w:val="009346ED"/>
    <w:rsid w:val="0093790A"/>
    <w:rsid w:val="00941530"/>
    <w:rsid w:val="00945A9B"/>
    <w:rsid w:val="00950AF3"/>
    <w:rsid w:val="00950FDF"/>
    <w:rsid w:val="00956335"/>
    <w:rsid w:val="00957269"/>
    <w:rsid w:val="0096159B"/>
    <w:rsid w:val="009618EC"/>
    <w:rsid w:val="00961BBD"/>
    <w:rsid w:val="00962206"/>
    <w:rsid w:val="0096295D"/>
    <w:rsid w:val="00964479"/>
    <w:rsid w:val="00970F27"/>
    <w:rsid w:val="0097195D"/>
    <w:rsid w:val="009721A4"/>
    <w:rsid w:val="00973AA3"/>
    <w:rsid w:val="00973C56"/>
    <w:rsid w:val="009752EE"/>
    <w:rsid w:val="00977474"/>
    <w:rsid w:val="009804C4"/>
    <w:rsid w:val="00982994"/>
    <w:rsid w:val="0098675D"/>
    <w:rsid w:val="00986809"/>
    <w:rsid w:val="00987D4E"/>
    <w:rsid w:val="00990E2B"/>
    <w:rsid w:val="009920CD"/>
    <w:rsid w:val="009925BF"/>
    <w:rsid w:val="0099514C"/>
    <w:rsid w:val="00996229"/>
    <w:rsid w:val="009963F3"/>
    <w:rsid w:val="00996CE3"/>
    <w:rsid w:val="0099796E"/>
    <w:rsid w:val="009A0958"/>
    <w:rsid w:val="009A1FE1"/>
    <w:rsid w:val="009A45D4"/>
    <w:rsid w:val="009A4BD5"/>
    <w:rsid w:val="009A5259"/>
    <w:rsid w:val="009A56E8"/>
    <w:rsid w:val="009B4876"/>
    <w:rsid w:val="009C17E0"/>
    <w:rsid w:val="009C3C17"/>
    <w:rsid w:val="009D0197"/>
    <w:rsid w:val="009D19AE"/>
    <w:rsid w:val="009D3609"/>
    <w:rsid w:val="009D476D"/>
    <w:rsid w:val="009D5B74"/>
    <w:rsid w:val="009D72AB"/>
    <w:rsid w:val="009D7994"/>
    <w:rsid w:val="009E3963"/>
    <w:rsid w:val="009E46B1"/>
    <w:rsid w:val="009E69C5"/>
    <w:rsid w:val="009E728D"/>
    <w:rsid w:val="009F1FFE"/>
    <w:rsid w:val="009F31B2"/>
    <w:rsid w:val="009F62DF"/>
    <w:rsid w:val="00A01D34"/>
    <w:rsid w:val="00A05CCD"/>
    <w:rsid w:val="00A05E68"/>
    <w:rsid w:val="00A066BF"/>
    <w:rsid w:val="00A075EF"/>
    <w:rsid w:val="00A1253B"/>
    <w:rsid w:val="00A130E7"/>
    <w:rsid w:val="00A17569"/>
    <w:rsid w:val="00A17860"/>
    <w:rsid w:val="00A21609"/>
    <w:rsid w:val="00A22E8E"/>
    <w:rsid w:val="00A23876"/>
    <w:rsid w:val="00A23979"/>
    <w:rsid w:val="00A23A86"/>
    <w:rsid w:val="00A2592B"/>
    <w:rsid w:val="00A25B97"/>
    <w:rsid w:val="00A27E3E"/>
    <w:rsid w:val="00A31339"/>
    <w:rsid w:val="00A33051"/>
    <w:rsid w:val="00A33805"/>
    <w:rsid w:val="00A34198"/>
    <w:rsid w:val="00A34DB9"/>
    <w:rsid w:val="00A3546D"/>
    <w:rsid w:val="00A35DEB"/>
    <w:rsid w:val="00A35E85"/>
    <w:rsid w:val="00A365D7"/>
    <w:rsid w:val="00A36E24"/>
    <w:rsid w:val="00A3731C"/>
    <w:rsid w:val="00A3757E"/>
    <w:rsid w:val="00A40262"/>
    <w:rsid w:val="00A40BCF"/>
    <w:rsid w:val="00A4163D"/>
    <w:rsid w:val="00A4292A"/>
    <w:rsid w:val="00A450A0"/>
    <w:rsid w:val="00A45215"/>
    <w:rsid w:val="00A51A79"/>
    <w:rsid w:val="00A51C63"/>
    <w:rsid w:val="00A53021"/>
    <w:rsid w:val="00A5589F"/>
    <w:rsid w:val="00A55909"/>
    <w:rsid w:val="00A65E47"/>
    <w:rsid w:val="00A65FD6"/>
    <w:rsid w:val="00A67075"/>
    <w:rsid w:val="00A7085B"/>
    <w:rsid w:val="00A71F21"/>
    <w:rsid w:val="00A71F44"/>
    <w:rsid w:val="00A77774"/>
    <w:rsid w:val="00A82BC8"/>
    <w:rsid w:val="00A8489E"/>
    <w:rsid w:val="00A8513E"/>
    <w:rsid w:val="00A85309"/>
    <w:rsid w:val="00A858C3"/>
    <w:rsid w:val="00A8680C"/>
    <w:rsid w:val="00A87ABF"/>
    <w:rsid w:val="00A87F68"/>
    <w:rsid w:val="00A94B75"/>
    <w:rsid w:val="00A972AB"/>
    <w:rsid w:val="00A97EBF"/>
    <w:rsid w:val="00AA04F9"/>
    <w:rsid w:val="00AA2C97"/>
    <w:rsid w:val="00AA3067"/>
    <w:rsid w:val="00AA462D"/>
    <w:rsid w:val="00AB56FB"/>
    <w:rsid w:val="00AB6EB6"/>
    <w:rsid w:val="00AB7D9C"/>
    <w:rsid w:val="00AC1D14"/>
    <w:rsid w:val="00AC2FBE"/>
    <w:rsid w:val="00AC301A"/>
    <w:rsid w:val="00AC3246"/>
    <w:rsid w:val="00AC4F33"/>
    <w:rsid w:val="00AC611F"/>
    <w:rsid w:val="00AC6B73"/>
    <w:rsid w:val="00AC7BC9"/>
    <w:rsid w:val="00AD0A54"/>
    <w:rsid w:val="00AD192B"/>
    <w:rsid w:val="00AD7006"/>
    <w:rsid w:val="00AD7780"/>
    <w:rsid w:val="00AE0A4F"/>
    <w:rsid w:val="00AE32A1"/>
    <w:rsid w:val="00AE4129"/>
    <w:rsid w:val="00AE529B"/>
    <w:rsid w:val="00AE7A58"/>
    <w:rsid w:val="00AF02AD"/>
    <w:rsid w:val="00AF18F4"/>
    <w:rsid w:val="00AF589C"/>
    <w:rsid w:val="00AF7313"/>
    <w:rsid w:val="00B05431"/>
    <w:rsid w:val="00B06AAD"/>
    <w:rsid w:val="00B06DCC"/>
    <w:rsid w:val="00B06E7A"/>
    <w:rsid w:val="00B14977"/>
    <w:rsid w:val="00B15334"/>
    <w:rsid w:val="00B154C8"/>
    <w:rsid w:val="00B21707"/>
    <w:rsid w:val="00B21AC2"/>
    <w:rsid w:val="00B21BBF"/>
    <w:rsid w:val="00B26143"/>
    <w:rsid w:val="00B26B85"/>
    <w:rsid w:val="00B32E1E"/>
    <w:rsid w:val="00B34A5D"/>
    <w:rsid w:val="00B35A69"/>
    <w:rsid w:val="00B35FFC"/>
    <w:rsid w:val="00B36583"/>
    <w:rsid w:val="00B372DE"/>
    <w:rsid w:val="00B4026A"/>
    <w:rsid w:val="00B4292D"/>
    <w:rsid w:val="00B42D14"/>
    <w:rsid w:val="00B4339C"/>
    <w:rsid w:val="00B4381F"/>
    <w:rsid w:val="00B5021F"/>
    <w:rsid w:val="00B531E0"/>
    <w:rsid w:val="00B5583D"/>
    <w:rsid w:val="00B56B90"/>
    <w:rsid w:val="00B57119"/>
    <w:rsid w:val="00B607EE"/>
    <w:rsid w:val="00B64827"/>
    <w:rsid w:val="00B64DE9"/>
    <w:rsid w:val="00B66484"/>
    <w:rsid w:val="00B67499"/>
    <w:rsid w:val="00B67E88"/>
    <w:rsid w:val="00B71560"/>
    <w:rsid w:val="00B74EAF"/>
    <w:rsid w:val="00B7599E"/>
    <w:rsid w:val="00B775EA"/>
    <w:rsid w:val="00B80A83"/>
    <w:rsid w:val="00B80EDE"/>
    <w:rsid w:val="00B82932"/>
    <w:rsid w:val="00B84254"/>
    <w:rsid w:val="00B8500E"/>
    <w:rsid w:val="00B859B8"/>
    <w:rsid w:val="00B8680F"/>
    <w:rsid w:val="00B86CF3"/>
    <w:rsid w:val="00B87988"/>
    <w:rsid w:val="00B90574"/>
    <w:rsid w:val="00B90CBD"/>
    <w:rsid w:val="00B91E84"/>
    <w:rsid w:val="00B92615"/>
    <w:rsid w:val="00B93BDE"/>
    <w:rsid w:val="00B9543F"/>
    <w:rsid w:val="00B9632A"/>
    <w:rsid w:val="00B97066"/>
    <w:rsid w:val="00BA3397"/>
    <w:rsid w:val="00BA4A66"/>
    <w:rsid w:val="00BA5347"/>
    <w:rsid w:val="00BA762C"/>
    <w:rsid w:val="00BA7B93"/>
    <w:rsid w:val="00BA7DC3"/>
    <w:rsid w:val="00BB3125"/>
    <w:rsid w:val="00BB3C69"/>
    <w:rsid w:val="00BB471C"/>
    <w:rsid w:val="00BB6415"/>
    <w:rsid w:val="00BB71D1"/>
    <w:rsid w:val="00BB767C"/>
    <w:rsid w:val="00BB7B18"/>
    <w:rsid w:val="00BC1890"/>
    <w:rsid w:val="00BC5C4C"/>
    <w:rsid w:val="00BC6B83"/>
    <w:rsid w:val="00BC6DAD"/>
    <w:rsid w:val="00BD18D0"/>
    <w:rsid w:val="00BD2081"/>
    <w:rsid w:val="00BD2189"/>
    <w:rsid w:val="00BD3AE6"/>
    <w:rsid w:val="00BD40F4"/>
    <w:rsid w:val="00BD43DE"/>
    <w:rsid w:val="00BD57D8"/>
    <w:rsid w:val="00BD69DA"/>
    <w:rsid w:val="00BD7565"/>
    <w:rsid w:val="00BF3D62"/>
    <w:rsid w:val="00BF4576"/>
    <w:rsid w:val="00BF5678"/>
    <w:rsid w:val="00BF7FC6"/>
    <w:rsid w:val="00C00FE2"/>
    <w:rsid w:val="00C01CC2"/>
    <w:rsid w:val="00C01DA2"/>
    <w:rsid w:val="00C01FAA"/>
    <w:rsid w:val="00C0539B"/>
    <w:rsid w:val="00C06C8C"/>
    <w:rsid w:val="00C076C3"/>
    <w:rsid w:val="00C117A2"/>
    <w:rsid w:val="00C12F00"/>
    <w:rsid w:val="00C132FB"/>
    <w:rsid w:val="00C14F23"/>
    <w:rsid w:val="00C215E3"/>
    <w:rsid w:val="00C21E64"/>
    <w:rsid w:val="00C2284D"/>
    <w:rsid w:val="00C3576A"/>
    <w:rsid w:val="00C37429"/>
    <w:rsid w:val="00C37CC9"/>
    <w:rsid w:val="00C411E5"/>
    <w:rsid w:val="00C413BB"/>
    <w:rsid w:val="00C41A96"/>
    <w:rsid w:val="00C45A12"/>
    <w:rsid w:val="00C46DC8"/>
    <w:rsid w:val="00C46E68"/>
    <w:rsid w:val="00C51F56"/>
    <w:rsid w:val="00C5322B"/>
    <w:rsid w:val="00C53BA5"/>
    <w:rsid w:val="00C53E7F"/>
    <w:rsid w:val="00C53F5E"/>
    <w:rsid w:val="00C56C4B"/>
    <w:rsid w:val="00C60BB5"/>
    <w:rsid w:val="00C62888"/>
    <w:rsid w:val="00C62FBC"/>
    <w:rsid w:val="00C65FAA"/>
    <w:rsid w:val="00C72D24"/>
    <w:rsid w:val="00C77B4B"/>
    <w:rsid w:val="00C77FD7"/>
    <w:rsid w:val="00C80276"/>
    <w:rsid w:val="00C80674"/>
    <w:rsid w:val="00C81ECD"/>
    <w:rsid w:val="00C83144"/>
    <w:rsid w:val="00C84EF2"/>
    <w:rsid w:val="00C86A7F"/>
    <w:rsid w:val="00C92B04"/>
    <w:rsid w:val="00C93302"/>
    <w:rsid w:val="00C93DBD"/>
    <w:rsid w:val="00C94A25"/>
    <w:rsid w:val="00C966E5"/>
    <w:rsid w:val="00C976E4"/>
    <w:rsid w:val="00C97D01"/>
    <w:rsid w:val="00CA0C1E"/>
    <w:rsid w:val="00CA0C74"/>
    <w:rsid w:val="00CA1746"/>
    <w:rsid w:val="00CB09B8"/>
    <w:rsid w:val="00CB45A2"/>
    <w:rsid w:val="00CB532F"/>
    <w:rsid w:val="00CB53CC"/>
    <w:rsid w:val="00CB60FC"/>
    <w:rsid w:val="00CC0515"/>
    <w:rsid w:val="00CC1EDA"/>
    <w:rsid w:val="00CC218A"/>
    <w:rsid w:val="00CC4394"/>
    <w:rsid w:val="00CC44AE"/>
    <w:rsid w:val="00CC512C"/>
    <w:rsid w:val="00CC68F4"/>
    <w:rsid w:val="00CC772F"/>
    <w:rsid w:val="00CC7ACF"/>
    <w:rsid w:val="00CC7EF0"/>
    <w:rsid w:val="00CD4658"/>
    <w:rsid w:val="00CD471E"/>
    <w:rsid w:val="00CD4AA1"/>
    <w:rsid w:val="00CD7A14"/>
    <w:rsid w:val="00CE2FCF"/>
    <w:rsid w:val="00CE318F"/>
    <w:rsid w:val="00CF13EE"/>
    <w:rsid w:val="00CF36D8"/>
    <w:rsid w:val="00CF3E36"/>
    <w:rsid w:val="00CF40BD"/>
    <w:rsid w:val="00CF67F6"/>
    <w:rsid w:val="00D0033D"/>
    <w:rsid w:val="00D00BE4"/>
    <w:rsid w:val="00D01A22"/>
    <w:rsid w:val="00D02560"/>
    <w:rsid w:val="00D05483"/>
    <w:rsid w:val="00D10ADE"/>
    <w:rsid w:val="00D11493"/>
    <w:rsid w:val="00D155CF"/>
    <w:rsid w:val="00D162FD"/>
    <w:rsid w:val="00D170E0"/>
    <w:rsid w:val="00D21144"/>
    <w:rsid w:val="00D229B2"/>
    <w:rsid w:val="00D23291"/>
    <w:rsid w:val="00D27F23"/>
    <w:rsid w:val="00D338D3"/>
    <w:rsid w:val="00D33F03"/>
    <w:rsid w:val="00D365C0"/>
    <w:rsid w:val="00D422CA"/>
    <w:rsid w:val="00D42D0E"/>
    <w:rsid w:val="00D43D92"/>
    <w:rsid w:val="00D445DC"/>
    <w:rsid w:val="00D45287"/>
    <w:rsid w:val="00D4573D"/>
    <w:rsid w:val="00D46EEB"/>
    <w:rsid w:val="00D475F2"/>
    <w:rsid w:val="00D5094C"/>
    <w:rsid w:val="00D519FF"/>
    <w:rsid w:val="00D5274E"/>
    <w:rsid w:val="00D537A9"/>
    <w:rsid w:val="00D547AC"/>
    <w:rsid w:val="00D557A0"/>
    <w:rsid w:val="00D60A82"/>
    <w:rsid w:val="00D61169"/>
    <w:rsid w:val="00D65954"/>
    <w:rsid w:val="00D664D5"/>
    <w:rsid w:val="00D66C0A"/>
    <w:rsid w:val="00D745C3"/>
    <w:rsid w:val="00D758FF"/>
    <w:rsid w:val="00D80DCD"/>
    <w:rsid w:val="00D84416"/>
    <w:rsid w:val="00D85C6B"/>
    <w:rsid w:val="00D8639C"/>
    <w:rsid w:val="00D8675C"/>
    <w:rsid w:val="00D90806"/>
    <w:rsid w:val="00D9080C"/>
    <w:rsid w:val="00D90CAD"/>
    <w:rsid w:val="00D90DFB"/>
    <w:rsid w:val="00D92A5C"/>
    <w:rsid w:val="00D944F3"/>
    <w:rsid w:val="00D945D5"/>
    <w:rsid w:val="00D9689D"/>
    <w:rsid w:val="00DA04CB"/>
    <w:rsid w:val="00DA2236"/>
    <w:rsid w:val="00DA2485"/>
    <w:rsid w:val="00DA3338"/>
    <w:rsid w:val="00DA4D00"/>
    <w:rsid w:val="00DA6D1F"/>
    <w:rsid w:val="00DB2414"/>
    <w:rsid w:val="00DB307A"/>
    <w:rsid w:val="00DB4DA3"/>
    <w:rsid w:val="00DB531E"/>
    <w:rsid w:val="00DC1FAD"/>
    <w:rsid w:val="00DC20F9"/>
    <w:rsid w:val="00DC2881"/>
    <w:rsid w:val="00DC383D"/>
    <w:rsid w:val="00DC50A3"/>
    <w:rsid w:val="00DC56ED"/>
    <w:rsid w:val="00DC7D26"/>
    <w:rsid w:val="00DC7F24"/>
    <w:rsid w:val="00DD2C04"/>
    <w:rsid w:val="00DD2E4C"/>
    <w:rsid w:val="00DE05E9"/>
    <w:rsid w:val="00DE186C"/>
    <w:rsid w:val="00DE28C4"/>
    <w:rsid w:val="00DE29A8"/>
    <w:rsid w:val="00DE5731"/>
    <w:rsid w:val="00DE7A57"/>
    <w:rsid w:val="00DF1747"/>
    <w:rsid w:val="00DF43EA"/>
    <w:rsid w:val="00DF5FB1"/>
    <w:rsid w:val="00DF68B6"/>
    <w:rsid w:val="00DF781B"/>
    <w:rsid w:val="00E009F3"/>
    <w:rsid w:val="00E0144F"/>
    <w:rsid w:val="00E0432C"/>
    <w:rsid w:val="00E04A06"/>
    <w:rsid w:val="00E07B26"/>
    <w:rsid w:val="00E07F21"/>
    <w:rsid w:val="00E07F87"/>
    <w:rsid w:val="00E10F63"/>
    <w:rsid w:val="00E11EAE"/>
    <w:rsid w:val="00E1224A"/>
    <w:rsid w:val="00E16DAB"/>
    <w:rsid w:val="00E2006D"/>
    <w:rsid w:val="00E23C41"/>
    <w:rsid w:val="00E25815"/>
    <w:rsid w:val="00E32CE1"/>
    <w:rsid w:val="00E33021"/>
    <w:rsid w:val="00E33342"/>
    <w:rsid w:val="00E3344C"/>
    <w:rsid w:val="00E33AEF"/>
    <w:rsid w:val="00E35CC1"/>
    <w:rsid w:val="00E36B3A"/>
    <w:rsid w:val="00E37901"/>
    <w:rsid w:val="00E40714"/>
    <w:rsid w:val="00E409E8"/>
    <w:rsid w:val="00E42B06"/>
    <w:rsid w:val="00E44D8C"/>
    <w:rsid w:val="00E45F8B"/>
    <w:rsid w:val="00E46045"/>
    <w:rsid w:val="00E476F5"/>
    <w:rsid w:val="00E52B30"/>
    <w:rsid w:val="00E543F8"/>
    <w:rsid w:val="00E55DD8"/>
    <w:rsid w:val="00E57F4D"/>
    <w:rsid w:val="00E57FDC"/>
    <w:rsid w:val="00E62037"/>
    <w:rsid w:val="00E63A68"/>
    <w:rsid w:val="00E652EC"/>
    <w:rsid w:val="00E65A5A"/>
    <w:rsid w:val="00E6719F"/>
    <w:rsid w:val="00E70B71"/>
    <w:rsid w:val="00E757DD"/>
    <w:rsid w:val="00E757E9"/>
    <w:rsid w:val="00E7593F"/>
    <w:rsid w:val="00E77F8A"/>
    <w:rsid w:val="00E80EEA"/>
    <w:rsid w:val="00E8222D"/>
    <w:rsid w:val="00E829CB"/>
    <w:rsid w:val="00E84A32"/>
    <w:rsid w:val="00E8554D"/>
    <w:rsid w:val="00E859F8"/>
    <w:rsid w:val="00E86279"/>
    <w:rsid w:val="00E87A3E"/>
    <w:rsid w:val="00E87C9B"/>
    <w:rsid w:val="00E91422"/>
    <w:rsid w:val="00E92359"/>
    <w:rsid w:val="00E93090"/>
    <w:rsid w:val="00E970B8"/>
    <w:rsid w:val="00E977BC"/>
    <w:rsid w:val="00E97B43"/>
    <w:rsid w:val="00EA29F7"/>
    <w:rsid w:val="00EA2BCA"/>
    <w:rsid w:val="00EA330F"/>
    <w:rsid w:val="00EA3899"/>
    <w:rsid w:val="00EA6188"/>
    <w:rsid w:val="00EA793E"/>
    <w:rsid w:val="00EA7E56"/>
    <w:rsid w:val="00EB0C4B"/>
    <w:rsid w:val="00EB1F77"/>
    <w:rsid w:val="00EB4979"/>
    <w:rsid w:val="00EB4CD9"/>
    <w:rsid w:val="00EC26A1"/>
    <w:rsid w:val="00EC63A7"/>
    <w:rsid w:val="00EC7E5D"/>
    <w:rsid w:val="00ED0D35"/>
    <w:rsid w:val="00ED1B1B"/>
    <w:rsid w:val="00ED1E20"/>
    <w:rsid w:val="00ED2FB9"/>
    <w:rsid w:val="00ED70B4"/>
    <w:rsid w:val="00EE249E"/>
    <w:rsid w:val="00EE2DA4"/>
    <w:rsid w:val="00EE4069"/>
    <w:rsid w:val="00EE4C19"/>
    <w:rsid w:val="00EF13E7"/>
    <w:rsid w:val="00EF19BF"/>
    <w:rsid w:val="00EF1CF5"/>
    <w:rsid w:val="00EF23AC"/>
    <w:rsid w:val="00EF240D"/>
    <w:rsid w:val="00EF48FD"/>
    <w:rsid w:val="00EF5B18"/>
    <w:rsid w:val="00EF5FD4"/>
    <w:rsid w:val="00EF65C0"/>
    <w:rsid w:val="00EF7534"/>
    <w:rsid w:val="00EF79ED"/>
    <w:rsid w:val="00EF7B68"/>
    <w:rsid w:val="00F00641"/>
    <w:rsid w:val="00F011C5"/>
    <w:rsid w:val="00F025B7"/>
    <w:rsid w:val="00F0715F"/>
    <w:rsid w:val="00F071CD"/>
    <w:rsid w:val="00F0769F"/>
    <w:rsid w:val="00F10CDE"/>
    <w:rsid w:val="00F1101D"/>
    <w:rsid w:val="00F127FE"/>
    <w:rsid w:val="00F14DB7"/>
    <w:rsid w:val="00F14F6E"/>
    <w:rsid w:val="00F206FE"/>
    <w:rsid w:val="00F24866"/>
    <w:rsid w:val="00F2549A"/>
    <w:rsid w:val="00F30258"/>
    <w:rsid w:val="00F3029A"/>
    <w:rsid w:val="00F377D1"/>
    <w:rsid w:val="00F407D9"/>
    <w:rsid w:val="00F41844"/>
    <w:rsid w:val="00F41E24"/>
    <w:rsid w:val="00F47A5A"/>
    <w:rsid w:val="00F5008F"/>
    <w:rsid w:val="00F504AD"/>
    <w:rsid w:val="00F5179F"/>
    <w:rsid w:val="00F551A8"/>
    <w:rsid w:val="00F60526"/>
    <w:rsid w:val="00F60E9D"/>
    <w:rsid w:val="00F61151"/>
    <w:rsid w:val="00F6130E"/>
    <w:rsid w:val="00F62C21"/>
    <w:rsid w:val="00F65C61"/>
    <w:rsid w:val="00F66421"/>
    <w:rsid w:val="00F75123"/>
    <w:rsid w:val="00F80464"/>
    <w:rsid w:val="00F847C6"/>
    <w:rsid w:val="00F850EB"/>
    <w:rsid w:val="00F87CC2"/>
    <w:rsid w:val="00F90B81"/>
    <w:rsid w:val="00F912E2"/>
    <w:rsid w:val="00F913F8"/>
    <w:rsid w:val="00F96F2A"/>
    <w:rsid w:val="00F97818"/>
    <w:rsid w:val="00FA1933"/>
    <w:rsid w:val="00FB008E"/>
    <w:rsid w:val="00FB0EBD"/>
    <w:rsid w:val="00FB200B"/>
    <w:rsid w:val="00FB27E2"/>
    <w:rsid w:val="00FB2D03"/>
    <w:rsid w:val="00FB44BC"/>
    <w:rsid w:val="00FB4F69"/>
    <w:rsid w:val="00FB73F4"/>
    <w:rsid w:val="00FB784C"/>
    <w:rsid w:val="00FC000E"/>
    <w:rsid w:val="00FC07AB"/>
    <w:rsid w:val="00FC3252"/>
    <w:rsid w:val="00FC532D"/>
    <w:rsid w:val="00FC6430"/>
    <w:rsid w:val="00FC6744"/>
    <w:rsid w:val="00FC7061"/>
    <w:rsid w:val="00FC7420"/>
    <w:rsid w:val="00FD05D4"/>
    <w:rsid w:val="00FD0FA7"/>
    <w:rsid w:val="00FD11BC"/>
    <w:rsid w:val="00FD3041"/>
    <w:rsid w:val="00FD3D7B"/>
    <w:rsid w:val="00FD58A5"/>
    <w:rsid w:val="00FE21DA"/>
    <w:rsid w:val="00FE37C0"/>
    <w:rsid w:val="00FE3E44"/>
    <w:rsid w:val="00FE3F9F"/>
    <w:rsid w:val="00FE49DA"/>
    <w:rsid w:val="00FE6576"/>
    <w:rsid w:val="00FE6E8A"/>
    <w:rsid w:val="00FF0993"/>
    <w:rsid w:val="00FF1DE6"/>
    <w:rsid w:val="00FF322D"/>
    <w:rsid w:val="00FF5CD6"/>
    <w:rsid w:val="00FF5E86"/>
    <w:rsid w:val="00FF7C99"/>
    <w:rsid w:val="01066BAD"/>
    <w:rsid w:val="0112774D"/>
    <w:rsid w:val="01156E0B"/>
    <w:rsid w:val="011A52DC"/>
    <w:rsid w:val="014E4688"/>
    <w:rsid w:val="01550533"/>
    <w:rsid w:val="01557962"/>
    <w:rsid w:val="015937CD"/>
    <w:rsid w:val="015D7383"/>
    <w:rsid w:val="0168522D"/>
    <w:rsid w:val="016D72E4"/>
    <w:rsid w:val="016D7C50"/>
    <w:rsid w:val="01777971"/>
    <w:rsid w:val="01810DED"/>
    <w:rsid w:val="01816B33"/>
    <w:rsid w:val="01982EFF"/>
    <w:rsid w:val="01984EB8"/>
    <w:rsid w:val="01A353AD"/>
    <w:rsid w:val="01AA6C34"/>
    <w:rsid w:val="01B235E3"/>
    <w:rsid w:val="01B2432F"/>
    <w:rsid w:val="01D63391"/>
    <w:rsid w:val="01E46FF4"/>
    <w:rsid w:val="01F53BEB"/>
    <w:rsid w:val="020E219E"/>
    <w:rsid w:val="02472455"/>
    <w:rsid w:val="028873C9"/>
    <w:rsid w:val="02A15271"/>
    <w:rsid w:val="02AB256F"/>
    <w:rsid w:val="02D67DBA"/>
    <w:rsid w:val="02D74813"/>
    <w:rsid w:val="02DC55E0"/>
    <w:rsid w:val="02E52A7B"/>
    <w:rsid w:val="02F15A45"/>
    <w:rsid w:val="02F450C7"/>
    <w:rsid w:val="02F57932"/>
    <w:rsid w:val="02FD7544"/>
    <w:rsid w:val="030545D5"/>
    <w:rsid w:val="032F01B3"/>
    <w:rsid w:val="03460ED4"/>
    <w:rsid w:val="03626713"/>
    <w:rsid w:val="03657E40"/>
    <w:rsid w:val="036B26DB"/>
    <w:rsid w:val="036F1F12"/>
    <w:rsid w:val="03884695"/>
    <w:rsid w:val="039A0986"/>
    <w:rsid w:val="03AB43A2"/>
    <w:rsid w:val="03CF404E"/>
    <w:rsid w:val="03E0436C"/>
    <w:rsid w:val="03E6309B"/>
    <w:rsid w:val="03EB4F73"/>
    <w:rsid w:val="03F935D9"/>
    <w:rsid w:val="03FA57D2"/>
    <w:rsid w:val="04000325"/>
    <w:rsid w:val="04027C48"/>
    <w:rsid w:val="041E76D5"/>
    <w:rsid w:val="04204C6F"/>
    <w:rsid w:val="042422D5"/>
    <w:rsid w:val="043266CF"/>
    <w:rsid w:val="04585FFC"/>
    <w:rsid w:val="04626EA4"/>
    <w:rsid w:val="04675421"/>
    <w:rsid w:val="04832410"/>
    <w:rsid w:val="048324F3"/>
    <w:rsid w:val="049B131A"/>
    <w:rsid w:val="049E7B81"/>
    <w:rsid w:val="04A37C03"/>
    <w:rsid w:val="04D34D5A"/>
    <w:rsid w:val="04EE5288"/>
    <w:rsid w:val="04F04B0E"/>
    <w:rsid w:val="04F47559"/>
    <w:rsid w:val="04FD4393"/>
    <w:rsid w:val="050847BA"/>
    <w:rsid w:val="05146995"/>
    <w:rsid w:val="051B02EA"/>
    <w:rsid w:val="0535631D"/>
    <w:rsid w:val="053C4A0A"/>
    <w:rsid w:val="055F02C0"/>
    <w:rsid w:val="05693626"/>
    <w:rsid w:val="05705CB5"/>
    <w:rsid w:val="05770A17"/>
    <w:rsid w:val="05830596"/>
    <w:rsid w:val="05A35240"/>
    <w:rsid w:val="05A8112B"/>
    <w:rsid w:val="05DC407C"/>
    <w:rsid w:val="05F34E79"/>
    <w:rsid w:val="060F5B4C"/>
    <w:rsid w:val="06163BBF"/>
    <w:rsid w:val="06231AE3"/>
    <w:rsid w:val="06232A84"/>
    <w:rsid w:val="06303505"/>
    <w:rsid w:val="06565B32"/>
    <w:rsid w:val="066235FF"/>
    <w:rsid w:val="06A43FA7"/>
    <w:rsid w:val="06A56506"/>
    <w:rsid w:val="06AC18B6"/>
    <w:rsid w:val="06BC0586"/>
    <w:rsid w:val="06C11C55"/>
    <w:rsid w:val="06D130DE"/>
    <w:rsid w:val="06D518BF"/>
    <w:rsid w:val="06F83985"/>
    <w:rsid w:val="070866C4"/>
    <w:rsid w:val="07125F77"/>
    <w:rsid w:val="071427B3"/>
    <w:rsid w:val="071B0EC7"/>
    <w:rsid w:val="073408EA"/>
    <w:rsid w:val="075E555B"/>
    <w:rsid w:val="075F762E"/>
    <w:rsid w:val="07746388"/>
    <w:rsid w:val="07775489"/>
    <w:rsid w:val="077E4A19"/>
    <w:rsid w:val="07843A97"/>
    <w:rsid w:val="07AE7012"/>
    <w:rsid w:val="07BF422F"/>
    <w:rsid w:val="07D17151"/>
    <w:rsid w:val="07FC156E"/>
    <w:rsid w:val="07FF6528"/>
    <w:rsid w:val="08122A42"/>
    <w:rsid w:val="0822309C"/>
    <w:rsid w:val="08333F60"/>
    <w:rsid w:val="08405DB3"/>
    <w:rsid w:val="087849EE"/>
    <w:rsid w:val="08AC3105"/>
    <w:rsid w:val="08AE7CDD"/>
    <w:rsid w:val="08BA2439"/>
    <w:rsid w:val="08BE60D4"/>
    <w:rsid w:val="08C249D2"/>
    <w:rsid w:val="08E47353"/>
    <w:rsid w:val="08F51DDA"/>
    <w:rsid w:val="08FF6F78"/>
    <w:rsid w:val="0914468B"/>
    <w:rsid w:val="09210183"/>
    <w:rsid w:val="09337510"/>
    <w:rsid w:val="094E686B"/>
    <w:rsid w:val="097A3F8C"/>
    <w:rsid w:val="098F5630"/>
    <w:rsid w:val="09CB470A"/>
    <w:rsid w:val="0A043229"/>
    <w:rsid w:val="0A0520AB"/>
    <w:rsid w:val="0A0806DE"/>
    <w:rsid w:val="0A25502F"/>
    <w:rsid w:val="0A2650B6"/>
    <w:rsid w:val="0A464CFE"/>
    <w:rsid w:val="0A487B2A"/>
    <w:rsid w:val="0A52602E"/>
    <w:rsid w:val="0A5943CE"/>
    <w:rsid w:val="0A797F66"/>
    <w:rsid w:val="0A80689B"/>
    <w:rsid w:val="0A807754"/>
    <w:rsid w:val="0A825131"/>
    <w:rsid w:val="0A8355D9"/>
    <w:rsid w:val="0AB632AE"/>
    <w:rsid w:val="0AC82F09"/>
    <w:rsid w:val="0AC94E04"/>
    <w:rsid w:val="0AD45417"/>
    <w:rsid w:val="0AD75AFD"/>
    <w:rsid w:val="0ADD7443"/>
    <w:rsid w:val="0AF52793"/>
    <w:rsid w:val="0B30769E"/>
    <w:rsid w:val="0B326EED"/>
    <w:rsid w:val="0B331B01"/>
    <w:rsid w:val="0B441248"/>
    <w:rsid w:val="0B5855D4"/>
    <w:rsid w:val="0B6525F5"/>
    <w:rsid w:val="0B7B667C"/>
    <w:rsid w:val="0B7E0871"/>
    <w:rsid w:val="0B7E55BC"/>
    <w:rsid w:val="0B8C227D"/>
    <w:rsid w:val="0B8F316B"/>
    <w:rsid w:val="0B9F59F7"/>
    <w:rsid w:val="0BA2665D"/>
    <w:rsid w:val="0BD57282"/>
    <w:rsid w:val="0BE75F66"/>
    <w:rsid w:val="0BF45296"/>
    <w:rsid w:val="0C0A16C9"/>
    <w:rsid w:val="0C1B2443"/>
    <w:rsid w:val="0C271A98"/>
    <w:rsid w:val="0C275F0A"/>
    <w:rsid w:val="0C27707D"/>
    <w:rsid w:val="0C7B6E0B"/>
    <w:rsid w:val="0C885912"/>
    <w:rsid w:val="0C9F5087"/>
    <w:rsid w:val="0CA65AFF"/>
    <w:rsid w:val="0CCE4371"/>
    <w:rsid w:val="0CD038CF"/>
    <w:rsid w:val="0CDB7F0F"/>
    <w:rsid w:val="0CF511EE"/>
    <w:rsid w:val="0D15167D"/>
    <w:rsid w:val="0D2768D3"/>
    <w:rsid w:val="0D282D58"/>
    <w:rsid w:val="0D422131"/>
    <w:rsid w:val="0D470B14"/>
    <w:rsid w:val="0D5F6DEF"/>
    <w:rsid w:val="0D7E3620"/>
    <w:rsid w:val="0D822BB2"/>
    <w:rsid w:val="0D8D1A3A"/>
    <w:rsid w:val="0DF830FB"/>
    <w:rsid w:val="0DFD70D6"/>
    <w:rsid w:val="0E087585"/>
    <w:rsid w:val="0E1305B3"/>
    <w:rsid w:val="0E5341A8"/>
    <w:rsid w:val="0E8C3FDF"/>
    <w:rsid w:val="0E997052"/>
    <w:rsid w:val="0EB16A4F"/>
    <w:rsid w:val="0EBD3CE4"/>
    <w:rsid w:val="0EC10B3D"/>
    <w:rsid w:val="0EF76FAA"/>
    <w:rsid w:val="0EF9410B"/>
    <w:rsid w:val="0F0F3971"/>
    <w:rsid w:val="0F114365"/>
    <w:rsid w:val="0F157CB3"/>
    <w:rsid w:val="0F1F147B"/>
    <w:rsid w:val="0F257043"/>
    <w:rsid w:val="0F2C30C5"/>
    <w:rsid w:val="0F2C7B00"/>
    <w:rsid w:val="0F3B51EE"/>
    <w:rsid w:val="0F592207"/>
    <w:rsid w:val="0F5A0CA0"/>
    <w:rsid w:val="0F6E1B3A"/>
    <w:rsid w:val="0F7E66DA"/>
    <w:rsid w:val="0F7F20D6"/>
    <w:rsid w:val="0F82598B"/>
    <w:rsid w:val="0F874FE0"/>
    <w:rsid w:val="0F8D305E"/>
    <w:rsid w:val="0F8D4CE7"/>
    <w:rsid w:val="0F97194E"/>
    <w:rsid w:val="0F992BF6"/>
    <w:rsid w:val="0FA537AD"/>
    <w:rsid w:val="0FAA62C4"/>
    <w:rsid w:val="0FB0046D"/>
    <w:rsid w:val="0FB57BFA"/>
    <w:rsid w:val="0FD76767"/>
    <w:rsid w:val="0FE50B1F"/>
    <w:rsid w:val="0FE606F2"/>
    <w:rsid w:val="0FFF62A8"/>
    <w:rsid w:val="101751B6"/>
    <w:rsid w:val="102C489A"/>
    <w:rsid w:val="10396DEE"/>
    <w:rsid w:val="104633D8"/>
    <w:rsid w:val="10476588"/>
    <w:rsid w:val="104920C5"/>
    <w:rsid w:val="105D6D2A"/>
    <w:rsid w:val="10950B5A"/>
    <w:rsid w:val="10B26DAB"/>
    <w:rsid w:val="10BD6F51"/>
    <w:rsid w:val="10C85FD1"/>
    <w:rsid w:val="10CF2048"/>
    <w:rsid w:val="10D60B38"/>
    <w:rsid w:val="10EC0AB8"/>
    <w:rsid w:val="10EE70A9"/>
    <w:rsid w:val="11000457"/>
    <w:rsid w:val="110338AC"/>
    <w:rsid w:val="110E6E1B"/>
    <w:rsid w:val="110E77FF"/>
    <w:rsid w:val="111429A8"/>
    <w:rsid w:val="113216BF"/>
    <w:rsid w:val="11354DC5"/>
    <w:rsid w:val="11504BF5"/>
    <w:rsid w:val="116D55B3"/>
    <w:rsid w:val="118655CE"/>
    <w:rsid w:val="11975E86"/>
    <w:rsid w:val="11BE061B"/>
    <w:rsid w:val="11CB77EF"/>
    <w:rsid w:val="11FF205C"/>
    <w:rsid w:val="120411F0"/>
    <w:rsid w:val="12286554"/>
    <w:rsid w:val="122C434C"/>
    <w:rsid w:val="123D37EF"/>
    <w:rsid w:val="124538F6"/>
    <w:rsid w:val="12A557AB"/>
    <w:rsid w:val="12AA4614"/>
    <w:rsid w:val="12BB4DED"/>
    <w:rsid w:val="12C005D8"/>
    <w:rsid w:val="12E51191"/>
    <w:rsid w:val="12F0630A"/>
    <w:rsid w:val="12FD141C"/>
    <w:rsid w:val="1312464E"/>
    <w:rsid w:val="131727F1"/>
    <w:rsid w:val="13196821"/>
    <w:rsid w:val="134347B7"/>
    <w:rsid w:val="135608C2"/>
    <w:rsid w:val="13577B08"/>
    <w:rsid w:val="135958DF"/>
    <w:rsid w:val="136141A6"/>
    <w:rsid w:val="13682003"/>
    <w:rsid w:val="1379073E"/>
    <w:rsid w:val="13822084"/>
    <w:rsid w:val="13873B2C"/>
    <w:rsid w:val="13946431"/>
    <w:rsid w:val="13967321"/>
    <w:rsid w:val="139B097B"/>
    <w:rsid w:val="139B3DD0"/>
    <w:rsid w:val="139E432A"/>
    <w:rsid w:val="13AA6C8E"/>
    <w:rsid w:val="13BC0BCF"/>
    <w:rsid w:val="13DA3976"/>
    <w:rsid w:val="13DD2FDC"/>
    <w:rsid w:val="13F220BD"/>
    <w:rsid w:val="14083595"/>
    <w:rsid w:val="140E0D07"/>
    <w:rsid w:val="140F49F2"/>
    <w:rsid w:val="1411251A"/>
    <w:rsid w:val="141A6F4D"/>
    <w:rsid w:val="146229AF"/>
    <w:rsid w:val="146D06D2"/>
    <w:rsid w:val="14A87D31"/>
    <w:rsid w:val="14D24E1B"/>
    <w:rsid w:val="14E32B0D"/>
    <w:rsid w:val="14F67055"/>
    <w:rsid w:val="15132446"/>
    <w:rsid w:val="15262E9F"/>
    <w:rsid w:val="152B62CF"/>
    <w:rsid w:val="152D3600"/>
    <w:rsid w:val="152E1C8D"/>
    <w:rsid w:val="153D5AFA"/>
    <w:rsid w:val="155302C8"/>
    <w:rsid w:val="15622BE3"/>
    <w:rsid w:val="156E26AD"/>
    <w:rsid w:val="158262C8"/>
    <w:rsid w:val="15B358C0"/>
    <w:rsid w:val="15CB547F"/>
    <w:rsid w:val="15CB584F"/>
    <w:rsid w:val="15F124C6"/>
    <w:rsid w:val="15F92E91"/>
    <w:rsid w:val="16136236"/>
    <w:rsid w:val="161A373F"/>
    <w:rsid w:val="161E3E08"/>
    <w:rsid w:val="162149C6"/>
    <w:rsid w:val="1621599E"/>
    <w:rsid w:val="162173C8"/>
    <w:rsid w:val="164807C0"/>
    <w:rsid w:val="16535A53"/>
    <w:rsid w:val="16643E35"/>
    <w:rsid w:val="16740E9A"/>
    <w:rsid w:val="16740F11"/>
    <w:rsid w:val="169358A8"/>
    <w:rsid w:val="16BF33A9"/>
    <w:rsid w:val="16FA7771"/>
    <w:rsid w:val="17045852"/>
    <w:rsid w:val="170A7C11"/>
    <w:rsid w:val="170B2669"/>
    <w:rsid w:val="172253B2"/>
    <w:rsid w:val="174A18EE"/>
    <w:rsid w:val="177166D8"/>
    <w:rsid w:val="177334C0"/>
    <w:rsid w:val="1776087B"/>
    <w:rsid w:val="179B713B"/>
    <w:rsid w:val="179F4B38"/>
    <w:rsid w:val="17BF5C0F"/>
    <w:rsid w:val="17C64ABC"/>
    <w:rsid w:val="17CE6028"/>
    <w:rsid w:val="17D81A5A"/>
    <w:rsid w:val="17DD5C01"/>
    <w:rsid w:val="17DE6E2E"/>
    <w:rsid w:val="17E035A2"/>
    <w:rsid w:val="17EE3C86"/>
    <w:rsid w:val="17F559AB"/>
    <w:rsid w:val="18033447"/>
    <w:rsid w:val="18106BC0"/>
    <w:rsid w:val="18115E77"/>
    <w:rsid w:val="1812210E"/>
    <w:rsid w:val="184671CD"/>
    <w:rsid w:val="184E23BE"/>
    <w:rsid w:val="18715CFC"/>
    <w:rsid w:val="18760012"/>
    <w:rsid w:val="18895DED"/>
    <w:rsid w:val="188F4ED5"/>
    <w:rsid w:val="18A42380"/>
    <w:rsid w:val="18B13A64"/>
    <w:rsid w:val="18B4243E"/>
    <w:rsid w:val="18BB2B13"/>
    <w:rsid w:val="18C351BF"/>
    <w:rsid w:val="18CD49A5"/>
    <w:rsid w:val="18F07B25"/>
    <w:rsid w:val="18FF1F18"/>
    <w:rsid w:val="190532AF"/>
    <w:rsid w:val="191437A3"/>
    <w:rsid w:val="191B6AC3"/>
    <w:rsid w:val="19312009"/>
    <w:rsid w:val="193C23F2"/>
    <w:rsid w:val="19450C95"/>
    <w:rsid w:val="195D57E2"/>
    <w:rsid w:val="19733B8F"/>
    <w:rsid w:val="197514C0"/>
    <w:rsid w:val="19793526"/>
    <w:rsid w:val="19866A11"/>
    <w:rsid w:val="19A60A74"/>
    <w:rsid w:val="19B808C2"/>
    <w:rsid w:val="19D63D23"/>
    <w:rsid w:val="19DA1EB4"/>
    <w:rsid w:val="1A0A6B26"/>
    <w:rsid w:val="1A3F75D4"/>
    <w:rsid w:val="1A445C80"/>
    <w:rsid w:val="1A46305E"/>
    <w:rsid w:val="1A5A27CF"/>
    <w:rsid w:val="1A657ACF"/>
    <w:rsid w:val="1A877B47"/>
    <w:rsid w:val="1A971FFF"/>
    <w:rsid w:val="1A986A22"/>
    <w:rsid w:val="1ACF04FD"/>
    <w:rsid w:val="1AFF572C"/>
    <w:rsid w:val="1B004B41"/>
    <w:rsid w:val="1B281D00"/>
    <w:rsid w:val="1B352E53"/>
    <w:rsid w:val="1B711D7F"/>
    <w:rsid w:val="1B760D01"/>
    <w:rsid w:val="1B7D1ECC"/>
    <w:rsid w:val="1B875DBC"/>
    <w:rsid w:val="1B943F11"/>
    <w:rsid w:val="1B9D0852"/>
    <w:rsid w:val="1BA774B1"/>
    <w:rsid w:val="1BB753BA"/>
    <w:rsid w:val="1BC54396"/>
    <w:rsid w:val="1BF11F1C"/>
    <w:rsid w:val="1BF2622C"/>
    <w:rsid w:val="1C142851"/>
    <w:rsid w:val="1C240746"/>
    <w:rsid w:val="1C2D4CE0"/>
    <w:rsid w:val="1C423DEA"/>
    <w:rsid w:val="1C494995"/>
    <w:rsid w:val="1C514351"/>
    <w:rsid w:val="1C5B53AB"/>
    <w:rsid w:val="1C7162B9"/>
    <w:rsid w:val="1C746EF4"/>
    <w:rsid w:val="1C7C5C86"/>
    <w:rsid w:val="1CB23274"/>
    <w:rsid w:val="1CB64BC8"/>
    <w:rsid w:val="1CC26F87"/>
    <w:rsid w:val="1CD1597A"/>
    <w:rsid w:val="1CF358CD"/>
    <w:rsid w:val="1D162BA4"/>
    <w:rsid w:val="1D337571"/>
    <w:rsid w:val="1D376FB5"/>
    <w:rsid w:val="1D520750"/>
    <w:rsid w:val="1D5A0908"/>
    <w:rsid w:val="1D864A64"/>
    <w:rsid w:val="1D9A5D3A"/>
    <w:rsid w:val="1DA2706D"/>
    <w:rsid w:val="1DD23871"/>
    <w:rsid w:val="1DFB18CD"/>
    <w:rsid w:val="1E083006"/>
    <w:rsid w:val="1E152C62"/>
    <w:rsid w:val="1E2E1A92"/>
    <w:rsid w:val="1E311D8F"/>
    <w:rsid w:val="1E3D6691"/>
    <w:rsid w:val="1E58018A"/>
    <w:rsid w:val="1E641724"/>
    <w:rsid w:val="1E6B6AB1"/>
    <w:rsid w:val="1E815933"/>
    <w:rsid w:val="1E87218F"/>
    <w:rsid w:val="1E9525F9"/>
    <w:rsid w:val="1EB87C6E"/>
    <w:rsid w:val="1EE14212"/>
    <w:rsid w:val="1EE221B0"/>
    <w:rsid w:val="1EE7422F"/>
    <w:rsid w:val="1EF05D89"/>
    <w:rsid w:val="1EF61759"/>
    <w:rsid w:val="1F0064B8"/>
    <w:rsid w:val="1F042C0D"/>
    <w:rsid w:val="1F073CA1"/>
    <w:rsid w:val="1F09352F"/>
    <w:rsid w:val="1F270827"/>
    <w:rsid w:val="1F316C54"/>
    <w:rsid w:val="1F334D23"/>
    <w:rsid w:val="1F5178E7"/>
    <w:rsid w:val="1F6045E7"/>
    <w:rsid w:val="1F6C6EF5"/>
    <w:rsid w:val="1F6D781E"/>
    <w:rsid w:val="1F773CFD"/>
    <w:rsid w:val="1F876B74"/>
    <w:rsid w:val="1F8D5E1A"/>
    <w:rsid w:val="1F8F5BB8"/>
    <w:rsid w:val="1FA05F80"/>
    <w:rsid w:val="1FAD303E"/>
    <w:rsid w:val="1FB820A3"/>
    <w:rsid w:val="1FF2381B"/>
    <w:rsid w:val="20122F2B"/>
    <w:rsid w:val="20142C7E"/>
    <w:rsid w:val="20384E23"/>
    <w:rsid w:val="2047340D"/>
    <w:rsid w:val="20531175"/>
    <w:rsid w:val="207A1617"/>
    <w:rsid w:val="20A326B3"/>
    <w:rsid w:val="20A43308"/>
    <w:rsid w:val="20B230D0"/>
    <w:rsid w:val="20C32F69"/>
    <w:rsid w:val="20D54AD9"/>
    <w:rsid w:val="20D83976"/>
    <w:rsid w:val="20DE5752"/>
    <w:rsid w:val="20E31CF0"/>
    <w:rsid w:val="20EC7247"/>
    <w:rsid w:val="20FA2257"/>
    <w:rsid w:val="210B6B1F"/>
    <w:rsid w:val="21290E47"/>
    <w:rsid w:val="21460E32"/>
    <w:rsid w:val="214C2815"/>
    <w:rsid w:val="216A2334"/>
    <w:rsid w:val="21820E23"/>
    <w:rsid w:val="21826036"/>
    <w:rsid w:val="21844261"/>
    <w:rsid w:val="21853854"/>
    <w:rsid w:val="21953DF1"/>
    <w:rsid w:val="21963E93"/>
    <w:rsid w:val="21A3109F"/>
    <w:rsid w:val="21A65940"/>
    <w:rsid w:val="21AA456C"/>
    <w:rsid w:val="21AD3BDD"/>
    <w:rsid w:val="21DF791D"/>
    <w:rsid w:val="21E12465"/>
    <w:rsid w:val="21E41408"/>
    <w:rsid w:val="21EC5D06"/>
    <w:rsid w:val="21EF21CF"/>
    <w:rsid w:val="21F31DB1"/>
    <w:rsid w:val="22042F0F"/>
    <w:rsid w:val="2204384E"/>
    <w:rsid w:val="220F4911"/>
    <w:rsid w:val="22227788"/>
    <w:rsid w:val="222473E5"/>
    <w:rsid w:val="222F2CFF"/>
    <w:rsid w:val="224550EE"/>
    <w:rsid w:val="22487BCB"/>
    <w:rsid w:val="22525539"/>
    <w:rsid w:val="225660CB"/>
    <w:rsid w:val="22642D92"/>
    <w:rsid w:val="227C685D"/>
    <w:rsid w:val="228205DB"/>
    <w:rsid w:val="2285253E"/>
    <w:rsid w:val="22967C8F"/>
    <w:rsid w:val="229C3C30"/>
    <w:rsid w:val="22B86F88"/>
    <w:rsid w:val="22EC5F41"/>
    <w:rsid w:val="22F00F17"/>
    <w:rsid w:val="22F52AD6"/>
    <w:rsid w:val="2308404B"/>
    <w:rsid w:val="230A5597"/>
    <w:rsid w:val="231E4969"/>
    <w:rsid w:val="23563671"/>
    <w:rsid w:val="235A7D40"/>
    <w:rsid w:val="23765B12"/>
    <w:rsid w:val="238F1899"/>
    <w:rsid w:val="2393793C"/>
    <w:rsid w:val="239555A9"/>
    <w:rsid w:val="23AF6BEE"/>
    <w:rsid w:val="23D1689E"/>
    <w:rsid w:val="23D36CCF"/>
    <w:rsid w:val="23DA17B0"/>
    <w:rsid w:val="23DE3D24"/>
    <w:rsid w:val="23EC7376"/>
    <w:rsid w:val="24081770"/>
    <w:rsid w:val="241836ED"/>
    <w:rsid w:val="241B37B5"/>
    <w:rsid w:val="241D0CD9"/>
    <w:rsid w:val="242A2047"/>
    <w:rsid w:val="24330BC7"/>
    <w:rsid w:val="243E1B07"/>
    <w:rsid w:val="24434752"/>
    <w:rsid w:val="245613E5"/>
    <w:rsid w:val="24592414"/>
    <w:rsid w:val="24611B62"/>
    <w:rsid w:val="246F22B4"/>
    <w:rsid w:val="249D7DEC"/>
    <w:rsid w:val="24A33E52"/>
    <w:rsid w:val="24A40254"/>
    <w:rsid w:val="24B30D86"/>
    <w:rsid w:val="24E729E5"/>
    <w:rsid w:val="24E924D6"/>
    <w:rsid w:val="24F22C97"/>
    <w:rsid w:val="24FB55A8"/>
    <w:rsid w:val="25114771"/>
    <w:rsid w:val="25195B89"/>
    <w:rsid w:val="251E3F39"/>
    <w:rsid w:val="25237C2C"/>
    <w:rsid w:val="25273596"/>
    <w:rsid w:val="252C165E"/>
    <w:rsid w:val="254E587B"/>
    <w:rsid w:val="255D4803"/>
    <w:rsid w:val="256D7491"/>
    <w:rsid w:val="25820E5B"/>
    <w:rsid w:val="25884820"/>
    <w:rsid w:val="258F1212"/>
    <w:rsid w:val="25A448BA"/>
    <w:rsid w:val="25AB2C6E"/>
    <w:rsid w:val="25AC4C87"/>
    <w:rsid w:val="25AE2C54"/>
    <w:rsid w:val="25B025F1"/>
    <w:rsid w:val="25C02CC4"/>
    <w:rsid w:val="25C55BF6"/>
    <w:rsid w:val="25E527C6"/>
    <w:rsid w:val="25EB7E20"/>
    <w:rsid w:val="25FB53FF"/>
    <w:rsid w:val="26250C17"/>
    <w:rsid w:val="26481AF8"/>
    <w:rsid w:val="2658560B"/>
    <w:rsid w:val="26866400"/>
    <w:rsid w:val="269C7155"/>
    <w:rsid w:val="26D66F4F"/>
    <w:rsid w:val="26E14553"/>
    <w:rsid w:val="26E55E32"/>
    <w:rsid w:val="27071488"/>
    <w:rsid w:val="274B674A"/>
    <w:rsid w:val="27523088"/>
    <w:rsid w:val="27637FD2"/>
    <w:rsid w:val="27822A00"/>
    <w:rsid w:val="27823C17"/>
    <w:rsid w:val="278D0760"/>
    <w:rsid w:val="279718AA"/>
    <w:rsid w:val="27A73C81"/>
    <w:rsid w:val="27A83400"/>
    <w:rsid w:val="27BD1202"/>
    <w:rsid w:val="27CC0F4F"/>
    <w:rsid w:val="27E55767"/>
    <w:rsid w:val="27E806B8"/>
    <w:rsid w:val="27F00743"/>
    <w:rsid w:val="280D151F"/>
    <w:rsid w:val="28281E84"/>
    <w:rsid w:val="283D5AFA"/>
    <w:rsid w:val="286333F4"/>
    <w:rsid w:val="286E57D7"/>
    <w:rsid w:val="28774E03"/>
    <w:rsid w:val="28972679"/>
    <w:rsid w:val="289870F8"/>
    <w:rsid w:val="28AD3D48"/>
    <w:rsid w:val="28AD4DF0"/>
    <w:rsid w:val="28E10D69"/>
    <w:rsid w:val="28E21E19"/>
    <w:rsid w:val="29026AA7"/>
    <w:rsid w:val="290C01BD"/>
    <w:rsid w:val="290C6278"/>
    <w:rsid w:val="293170D9"/>
    <w:rsid w:val="295154CC"/>
    <w:rsid w:val="295D19E0"/>
    <w:rsid w:val="29650277"/>
    <w:rsid w:val="29897974"/>
    <w:rsid w:val="299402F9"/>
    <w:rsid w:val="29A23BD4"/>
    <w:rsid w:val="29A61B0F"/>
    <w:rsid w:val="29AC3385"/>
    <w:rsid w:val="29C15A46"/>
    <w:rsid w:val="29F07F36"/>
    <w:rsid w:val="2A155B9F"/>
    <w:rsid w:val="2A1B6716"/>
    <w:rsid w:val="2A370EF2"/>
    <w:rsid w:val="2A3F1978"/>
    <w:rsid w:val="2A7829E2"/>
    <w:rsid w:val="2A7E7ECF"/>
    <w:rsid w:val="2AA65A91"/>
    <w:rsid w:val="2AC218D4"/>
    <w:rsid w:val="2AC55A3E"/>
    <w:rsid w:val="2AD01BCF"/>
    <w:rsid w:val="2AD82FDE"/>
    <w:rsid w:val="2AEC31F9"/>
    <w:rsid w:val="2B0E25B2"/>
    <w:rsid w:val="2B140669"/>
    <w:rsid w:val="2B31305F"/>
    <w:rsid w:val="2B315583"/>
    <w:rsid w:val="2B360620"/>
    <w:rsid w:val="2B470544"/>
    <w:rsid w:val="2B5245AE"/>
    <w:rsid w:val="2B766B18"/>
    <w:rsid w:val="2B7A6B92"/>
    <w:rsid w:val="2B896695"/>
    <w:rsid w:val="2B8A505D"/>
    <w:rsid w:val="2B9232E9"/>
    <w:rsid w:val="2B9D30A5"/>
    <w:rsid w:val="2BAA1965"/>
    <w:rsid w:val="2BCC2CDC"/>
    <w:rsid w:val="2BD35DEE"/>
    <w:rsid w:val="2BE413E6"/>
    <w:rsid w:val="2BE57D0B"/>
    <w:rsid w:val="2C085073"/>
    <w:rsid w:val="2C0A4CFF"/>
    <w:rsid w:val="2C1E1DA7"/>
    <w:rsid w:val="2C467461"/>
    <w:rsid w:val="2C4F57A6"/>
    <w:rsid w:val="2C6A7D6E"/>
    <w:rsid w:val="2C6B69E4"/>
    <w:rsid w:val="2C701A77"/>
    <w:rsid w:val="2C761E05"/>
    <w:rsid w:val="2C7B11DC"/>
    <w:rsid w:val="2C8F2033"/>
    <w:rsid w:val="2C9B2364"/>
    <w:rsid w:val="2CD10861"/>
    <w:rsid w:val="2CEF78A9"/>
    <w:rsid w:val="2CF35A5D"/>
    <w:rsid w:val="2D2D6A81"/>
    <w:rsid w:val="2D3C307A"/>
    <w:rsid w:val="2D4B2757"/>
    <w:rsid w:val="2D715487"/>
    <w:rsid w:val="2D8158D2"/>
    <w:rsid w:val="2D95612D"/>
    <w:rsid w:val="2DDB14F2"/>
    <w:rsid w:val="2DE65345"/>
    <w:rsid w:val="2DFB3876"/>
    <w:rsid w:val="2E032D58"/>
    <w:rsid w:val="2E0B6C7B"/>
    <w:rsid w:val="2E1476A2"/>
    <w:rsid w:val="2E192B97"/>
    <w:rsid w:val="2E1E5B69"/>
    <w:rsid w:val="2E3F7883"/>
    <w:rsid w:val="2E40611F"/>
    <w:rsid w:val="2E5011FC"/>
    <w:rsid w:val="2E6C2170"/>
    <w:rsid w:val="2E890F67"/>
    <w:rsid w:val="2E8F1D6D"/>
    <w:rsid w:val="2E8F33A4"/>
    <w:rsid w:val="2E95183E"/>
    <w:rsid w:val="2E9D34AC"/>
    <w:rsid w:val="2EA4273C"/>
    <w:rsid w:val="2EA45AAC"/>
    <w:rsid w:val="2EBE1F28"/>
    <w:rsid w:val="2EC51A5A"/>
    <w:rsid w:val="2EC84965"/>
    <w:rsid w:val="2ED83FED"/>
    <w:rsid w:val="2EE64F83"/>
    <w:rsid w:val="2EF258C7"/>
    <w:rsid w:val="2EF40A3F"/>
    <w:rsid w:val="2EF60A2B"/>
    <w:rsid w:val="2F1A6349"/>
    <w:rsid w:val="2F3B1CC1"/>
    <w:rsid w:val="2F564C20"/>
    <w:rsid w:val="2F6440FD"/>
    <w:rsid w:val="2F696FE4"/>
    <w:rsid w:val="2F8C4C6E"/>
    <w:rsid w:val="2FA30097"/>
    <w:rsid w:val="2FA77F85"/>
    <w:rsid w:val="2FA92DF7"/>
    <w:rsid w:val="2FBF5335"/>
    <w:rsid w:val="2FBF6B7D"/>
    <w:rsid w:val="2FD03AB8"/>
    <w:rsid w:val="2FEB48F3"/>
    <w:rsid w:val="2FFD1C2E"/>
    <w:rsid w:val="300353D9"/>
    <w:rsid w:val="300D4E5F"/>
    <w:rsid w:val="30256138"/>
    <w:rsid w:val="30353D54"/>
    <w:rsid w:val="3039317E"/>
    <w:rsid w:val="30417681"/>
    <w:rsid w:val="304D52D6"/>
    <w:rsid w:val="307A4D6F"/>
    <w:rsid w:val="308E61F6"/>
    <w:rsid w:val="308F78DC"/>
    <w:rsid w:val="30933C9A"/>
    <w:rsid w:val="30BA1BFF"/>
    <w:rsid w:val="30BA7CEF"/>
    <w:rsid w:val="30BE4847"/>
    <w:rsid w:val="30C462E3"/>
    <w:rsid w:val="30D9528C"/>
    <w:rsid w:val="30E76980"/>
    <w:rsid w:val="31075905"/>
    <w:rsid w:val="31111469"/>
    <w:rsid w:val="31187600"/>
    <w:rsid w:val="312A6528"/>
    <w:rsid w:val="312A72E6"/>
    <w:rsid w:val="31351617"/>
    <w:rsid w:val="31372A11"/>
    <w:rsid w:val="31487F3F"/>
    <w:rsid w:val="314D54AB"/>
    <w:rsid w:val="3163103F"/>
    <w:rsid w:val="31912C08"/>
    <w:rsid w:val="31970206"/>
    <w:rsid w:val="31B45879"/>
    <w:rsid w:val="31CB333D"/>
    <w:rsid w:val="31E74B6D"/>
    <w:rsid w:val="31E9712D"/>
    <w:rsid w:val="31FA4A1F"/>
    <w:rsid w:val="320030CF"/>
    <w:rsid w:val="32050A00"/>
    <w:rsid w:val="32141623"/>
    <w:rsid w:val="3220420F"/>
    <w:rsid w:val="32421F88"/>
    <w:rsid w:val="324B12B9"/>
    <w:rsid w:val="32525B77"/>
    <w:rsid w:val="326364D4"/>
    <w:rsid w:val="326473C9"/>
    <w:rsid w:val="326B05DB"/>
    <w:rsid w:val="3276586A"/>
    <w:rsid w:val="32771C1E"/>
    <w:rsid w:val="328E6FEA"/>
    <w:rsid w:val="32AD5A37"/>
    <w:rsid w:val="32CB1ADE"/>
    <w:rsid w:val="32CF5D1E"/>
    <w:rsid w:val="32DD5BE0"/>
    <w:rsid w:val="32DE33E0"/>
    <w:rsid w:val="32E06D88"/>
    <w:rsid w:val="331341DF"/>
    <w:rsid w:val="331650C9"/>
    <w:rsid w:val="3321174E"/>
    <w:rsid w:val="332560CE"/>
    <w:rsid w:val="333E0B6C"/>
    <w:rsid w:val="33D16E1C"/>
    <w:rsid w:val="33E8330F"/>
    <w:rsid w:val="33ED7FFF"/>
    <w:rsid w:val="33EE53F6"/>
    <w:rsid w:val="33F0180E"/>
    <w:rsid w:val="3413089B"/>
    <w:rsid w:val="3413631A"/>
    <w:rsid w:val="341A661E"/>
    <w:rsid w:val="341B2C48"/>
    <w:rsid w:val="34213249"/>
    <w:rsid w:val="34385C45"/>
    <w:rsid w:val="34424482"/>
    <w:rsid w:val="3448013C"/>
    <w:rsid w:val="34493B91"/>
    <w:rsid w:val="344D262C"/>
    <w:rsid w:val="348A13FD"/>
    <w:rsid w:val="34973920"/>
    <w:rsid w:val="34B1081F"/>
    <w:rsid w:val="34BB6D9D"/>
    <w:rsid w:val="34ED15E2"/>
    <w:rsid w:val="34EF7C51"/>
    <w:rsid w:val="351B5579"/>
    <w:rsid w:val="35327F3D"/>
    <w:rsid w:val="354C7590"/>
    <w:rsid w:val="35556C89"/>
    <w:rsid w:val="356961E9"/>
    <w:rsid w:val="357F04A4"/>
    <w:rsid w:val="358B0802"/>
    <w:rsid w:val="35934A30"/>
    <w:rsid w:val="359F6B24"/>
    <w:rsid w:val="35A0086B"/>
    <w:rsid w:val="35A057A1"/>
    <w:rsid w:val="35A05E2F"/>
    <w:rsid w:val="35A4284C"/>
    <w:rsid w:val="35B12621"/>
    <w:rsid w:val="35B512FC"/>
    <w:rsid w:val="35B72593"/>
    <w:rsid w:val="35C53A73"/>
    <w:rsid w:val="35C906B7"/>
    <w:rsid w:val="35CC1E42"/>
    <w:rsid w:val="35CE2648"/>
    <w:rsid w:val="35D3362C"/>
    <w:rsid w:val="35F47E08"/>
    <w:rsid w:val="35F872BB"/>
    <w:rsid w:val="3605440C"/>
    <w:rsid w:val="361140F0"/>
    <w:rsid w:val="363B5045"/>
    <w:rsid w:val="36464280"/>
    <w:rsid w:val="36556CA5"/>
    <w:rsid w:val="365A5CAA"/>
    <w:rsid w:val="365B7402"/>
    <w:rsid w:val="366B78FA"/>
    <w:rsid w:val="36811D17"/>
    <w:rsid w:val="368963D0"/>
    <w:rsid w:val="368F4760"/>
    <w:rsid w:val="369E4A29"/>
    <w:rsid w:val="36AA3051"/>
    <w:rsid w:val="36AD1C42"/>
    <w:rsid w:val="36B047FD"/>
    <w:rsid w:val="36B4445F"/>
    <w:rsid w:val="36BC63A6"/>
    <w:rsid w:val="36C71AA5"/>
    <w:rsid w:val="36CB265B"/>
    <w:rsid w:val="36CC612E"/>
    <w:rsid w:val="36D24AC3"/>
    <w:rsid w:val="36D76EC1"/>
    <w:rsid w:val="36E87E07"/>
    <w:rsid w:val="36F304B9"/>
    <w:rsid w:val="3705525D"/>
    <w:rsid w:val="370848FE"/>
    <w:rsid w:val="37164CD0"/>
    <w:rsid w:val="37266918"/>
    <w:rsid w:val="374A5317"/>
    <w:rsid w:val="37517130"/>
    <w:rsid w:val="375176C5"/>
    <w:rsid w:val="375F1742"/>
    <w:rsid w:val="377F68C6"/>
    <w:rsid w:val="378E790B"/>
    <w:rsid w:val="37A74527"/>
    <w:rsid w:val="37AE350E"/>
    <w:rsid w:val="37B130E3"/>
    <w:rsid w:val="37B808EB"/>
    <w:rsid w:val="37D623DE"/>
    <w:rsid w:val="37D72424"/>
    <w:rsid w:val="37FC2D35"/>
    <w:rsid w:val="381A5A46"/>
    <w:rsid w:val="381B378B"/>
    <w:rsid w:val="38263250"/>
    <w:rsid w:val="384A6605"/>
    <w:rsid w:val="3855449F"/>
    <w:rsid w:val="38594F6A"/>
    <w:rsid w:val="386A40F9"/>
    <w:rsid w:val="38712E0A"/>
    <w:rsid w:val="387B4DB7"/>
    <w:rsid w:val="389471DA"/>
    <w:rsid w:val="38B262BB"/>
    <w:rsid w:val="38B86009"/>
    <w:rsid w:val="38C375AB"/>
    <w:rsid w:val="38C652B9"/>
    <w:rsid w:val="38D023B2"/>
    <w:rsid w:val="38D3083B"/>
    <w:rsid w:val="38EE727B"/>
    <w:rsid w:val="38FB2F3F"/>
    <w:rsid w:val="390724A0"/>
    <w:rsid w:val="39236665"/>
    <w:rsid w:val="39296908"/>
    <w:rsid w:val="392B03BB"/>
    <w:rsid w:val="392B1C1D"/>
    <w:rsid w:val="392D2E45"/>
    <w:rsid w:val="393371D4"/>
    <w:rsid w:val="393C469F"/>
    <w:rsid w:val="39412F64"/>
    <w:rsid w:val="39417B89"/>
    <w:rsid w:val="39755148"/>
    <w:rsid w:val="39AE6009"/>
    <w:rsid w:val="3A0A3352"/>
    <w:rsid w:val="3A1666C4"/>
    <w:rsid w:val="3A1D5652"/>
    <w:rsid w:val="3A2334B0"/>
    <w:rsid w:val="3A2E2E35"/>
    <w:rsid w:val="3A4218BF"/>
    <w:rsid w:val="3A4231DC"/>
    <w:rsid w:val="3A4B12E0"/>
    <w:rsid w:val="3A631CB1"/>
    <w:rsid w:val="3A703A57"/>
    <w:rsid w:val="3AA17FBA"/>
    <w:rsid w:val="3AC02198"/>
    <w:rsid w:val="3AD61556"/>
    <w:rsid w:val="3AE024C1"/>
    <w:rsid w:val="3B0133AD"/>
    <w:rsid w:val="3B0350DF"/>
    <w:rsid w:val="3B0A018A"/>
    <w:rsid w:val="3B177CC5"/>
    <w:rsid w:val="3B24798E"/>
    <w:rsid w:val="3B283BD2"/>
    <w:rsid w:val="3B292CD0"/>
    <w:rsid w:val="3B4233F9"/>
    <w:rsid w:val="3B6C09C5"/>
    <w:rsid w:val="3B78057A"/>
    <w:rsid w:val="3B9E2878"/>
    <w:rsid w:val="3BAA746E"/>
    <w:rsid w:val="3BAE1AFF"/>
    <w:rsid w:val="3BD669FA"/>
    <w:rsid w:val="3BEE69B0"/>
    <w:rsid w:val="3C1151C5"/>
    <w:rsid w:val="3C1229B6"/>
    <w:rsid w:val="3C1D2AFE"/>
    <w:rsid w:val="3C2B3FF4"/>
    <w:rsid w:val="3C3A6F90"/>
    <w:rsid w:val="3C3D7B0E"/>
    <w:rsid w:val="3C566E61"/>
    <w:rsid w:val="3C603FB1"/>
    <w:rsid w:val="3C642286"/>
    <w:rsid w:val="3C7F06C4"/>
    <w:rsid w:val="3C7F748F"/>
    <w:rsid w:val="3C933B79"/>
    <w:rsid w:val="3C97779E"/>
    <w:rsid w:val="3C992E7E"/>
    <w:rsid w:val="3CBF543A"/>
    <w:rsid w:val="3CCA1F48"/>
    <w:rsid w:val="3CD118D5"/>
    <w:rsid w:val="3CE26667"/>
    <w:rsid w:val="3CEE05C1"/>
    <w:rsid w:val="3D111A16"/>
    <w:rsid w:val="3D1373F6"/>
    <w:rsid w:val="3D1E6B72"/>
    <w:rsid w:val="3D333496"/>
    <w:rsid w:val="3D3916E9"/>
    <w:rsid w:val="3D637BC3"/>
    <w:rsid w:val="3D637DFD"/>
    <w:rsid w:val="3D681F45"/>
    <w:rsid w:val="3D6C0874"/>
    <w:rsid w:val="3D7102F9"/>
    <w:rsid w:val="3D7857A5"/>
    <w:rsid w:val="3D7D2218"/>
    <w:rsid w:val="3D860D4F"/>
    <w:rsid w:val="3D8A4D77"/>
    <w:rsid w:val="3DD9270C"/>
    <w:rsid w:val="3DDA31B4"/>
    <w:rsid w:val="3DF341FE"/>
    <w:rsid w:val="3E03540C"/>
    <w:rsid w:val="3E1F59F5"/>
    <w:rsid w:val="3E4518C8"/>
    <w:rsid w:val="3E464F0C"/>
    <w:rsid w:val="3E782038"/>
    <w:rsid w:val="3E8C7F43"/>
    <w:rsid w:val="3E9A2216"/>
    <w:rsid w:val="3EA76C7D"/>
    <w:rsid w:val="3EB43A73"/>
    <w:rsid w:val="3EB9561A"/>
    <w:rsid w:val="3EBA0904"/>
    <w:rsid w:val="3EBE6B50"/>
    <w:rsid w:val="3ECF4498"/>
    <w:rsid w:val="3ED00A34"/>
    <w:rsid w:val="3ED15C3F"/>
    <w:rsid w:val="3EF51218"/>
    <w:rsid w:val="3EFE7AFC"/>
    <w:rsid w:val="3F102582"/>
    <w:rsid w:val="3F2A11EA"/>
    <w:rsid w:val="3F395D99"/>
    <w:rsid w:val="3F442358"/>
    <w:rsid w:val="3F5C0E41"/>
    <w:rsid w:val="3F6A384C"/>
    <w:rsid w:val="3F7A7E04"/>
    <w:rsid w:val="3F9253D2"/>
    <w:rsid w:val="3F9D7066"/>
    <w:rsid w:val="3FB06225"/>
    <w:rsid w:val="3FC666F1"/>
    <w:rsid w:val="3FDB2A7E"/>
    <w:rsid w:val="3FE6248F"/>
    <w:rsid w:val="3FF22D9C"/>
    <w:rsid w:val="401513B9"/>
    <w:rsid w:val="403E3BDB"/>
    <w:rsid w:val="4040191A"/>
    <w:rsid w:val="406503B9"/>
    <w:rsid w:val="406D54B3"/>
    <w:rsid w:val="40806D04"/>
    <w:rsid w:val="40861841"/>
    <w:rsid w:val="409E7B4E"/>
    <w:rsid w:val="40A116DA"/>
    <w:rsid w:val="40A91C02"/>
    <w:rsid w:val="40AA4B0D"/>
    <w:rsid w:val="40AE6E1A"/>
    <w:rsid w:val="40B65D7E"/>
    <w:rsid w:val="40DC51E4"/>
    <w:rsid w:val="40E86B07"/>
    <w:rsid w:val="410E50DB"/>
    <w:rsid w:val="410E5BB9"/>
    <w:rsid w:val="411B3AE7"/>
    <w:rsid w:val="412C084A"/>
    <w:rsid w:val="41455F5C"/>
    <w:rsid w:val="41507087"/>
    <w:rsid w:val="416847E9"/>
    <w:rsid w:val="416A3DCE"/>
    <w:rsid w:val="416D3DBB"/>
    <w:rsid w:val="41C44829"/>
    <w:rsid w:val="41C74399"/>
    <w:rsid w:val="41CD253F"/>
    <w:rsid w:val="41CE47A6"/>
    <w:rsid w:val="41D66F45"/>
    <w:rsid w:val="41E5332A"/>
    <w:rsid w:val="41E75723"/>
    <w:rsid w:val="41EE743A"/>
    <w:rsid w:val="41FE4F61"/>
    <w:rsid w:val="420A05F6"/>
    <w:rsid w:val="42165991"/>
    <w:rsid w:val="42183802"/>
    <w:rsid w:val="4219488A"/>
    <w:rsid w:val="422B0177"/>
    <w:rsid w:val="423B6FD0"/>
    <w:rsid w:val="424102D6"/>
    <w:rsid w:val="42706E53"/>
    <w:rsid w:val="42933CDD"/>
    <w:rsid w:val="42AA2EEF"/>
    <w:rsid w:val="42B07093"/>
    <w:rsid w:val="42C32443"/>
    <w:rsid w:val="42D10EAC"/>
    <w:rsid w:val="42F13F61"/>
    <w:rsid w:val="42FE76E5"/>
    <w:rsid w:val="431E2F66"/>
    <w:rsid w:val="432113B0"/>
    <w:rsid w:val="43295D6D"/>
    <w:rsid w:val="434F7DE4"/>
    <w:rsid w:val="43921069"/>
    <w:rsid w:val="43AC1BD1"/>
    <w:rsid w:val="43AE1EB8"/>
    <w:rsid w:val="43B30F9E"/>
    <w:rsid w:val="43B33DEF"/>
    <w:rsid w:val="43B35FEF"/>
    <w:rsid w:val="43C219AB"/>
    <w:rsid w:val="43C36425"/>
    <w:rsid w:val="43C73486"/>
    <w:rsid w:val="43D16521"/>
    <w:rsid w:val="43D72E93"/>
    <w:rsid w:val="43F94180"/>
    <w:rsid w:val="440C3899"/>
    <w:rsid w:val="441A4058"/>
    <w:rsid w:val="44230746"/>
    <w:rsid w:val="44562C54"/>
    <w:rsid w:val="446D5183"/>
    <w:rsid w:val="446F13BC"/>
    <w:rsid w:val="44810AFB"/>
    <w:rsid w:val="449C08B3"/>
    <w:rsid w:val="44B26DD7"/>
    <w:rsid w:val="44E64AE9"/>
    <w:rsid w:val="44E93C65"/>
    <w:rsid w:val="450F33A5"/>
    <w:rsid w:val="452E54A2"/>
    <w:rsid w:val="45332AA1"/>
    <w:rsid w:val="45410A88"/>
    <w:rsid w:val="45497BC7"/>
    <w:rsid w:val="455968AD"/>
    <w:rsid w:val="456C1F01"/>
    <w:rsid w:val="457A0E50"/>
    <w:rsid w:val="458277D9"/>
    <w:rsid w:val="458A7DBE"/>
    <w:rsid w:val="458F000E"/>
    <w:rsid w:val="4593471A"/>
    <w:rsid w:val="45995B15"/>
    <w:rsid w:val="459B78D7"/>
    <w:rsid w:val="45C21577"/>
    <w:rsid w:val="45DC6E23"/>
    <w:rsid w:val="45F40CA8"/>
    <w:rsid w:val="460570BD"/>
    <w:rsid w:val="4608255E"/>
    <w:rsid w:val="461E5BF3"/>
    <w:rsid w:val="461F12F4"/>
    <w:rsid w:val="46293590"/>
    <w:rsid w:val="462B5DC1"/>
    <w:rsid w:val="462F1073"/>
    <w:rsid w:val="46600959"/>
    <w:rsid w:val="466D4581"/>
    <w:rsid w:val="467E5188"/>
    <w:rsid w:val="46916450"/>
    <w:rsid w:val="46D30260"/>
    <w:rsid w:val="46D8755E"/>
    <w:rsid w:val="47006D78"/>
    <w:rsid w:val="472046A9"/>
    <w:rsid w:val="47262D0F"/>
    <w:rsid w:val="4742429E"/>
    <w:rsid w:val="475B047D"/>
    <w:rsid w:val="47602604"/>
    <w:rsid w:val="476960DC"/>
    <w:rsid w:val="47765923"/>
    <w:rsid w:val="47785B8D"/>
    <w:rsid w:val="478D6213"/>
    <w:rsid w:val="47A1220F"/>
    <w:rsid w:val="47A40FCC"/>
    <w:rsid w:val="47AA3E74"/>
    <w:rsid w:val="47BF79B2"/>
    <w:rsid w:val="47C616EF"/>
    <w:rsid w:val="47D2137F"/>
    <w:rsid w:val="47D523F0"/>
    <w:rsid w:val="47DF20B3"/>
    <w:rsid w:val="47E05A8C"/>
    <w:rsid w:val="47F544D8"/>
    <w:rsid w:val="480275DF"/>
    <w:rsid w:val="48075B8E"/>
    <w:rsid w:val="48151837"/>
    <w:rsid w:val="48430C55"/>
    <w:rsid w:val="485B6363"/>
    <w:rsid w:val="487A0062"/>
    <w:rsid w:val="487E5042"/>
    <w:rsid w:val="488369D2"/>
    <w:rsid w:val="489C2C9D"/>
    <w:rsid w:val="48B67E28"/>
    <w:rsid w:val="48BA26C3"/>
    <w:rsid w:val="48BE492D"/>
    <w:rsid w:val="48C07962"/>
    <w:rsid w:val="48C92F59"/>
    <w:rsid w:val="48D21D17"/>
    <w:rsid w:val="48D84356"/>
    <w:rsid w:val="48ED63BF"/>
    <w:rsid w:val="49097C40"/>
    <w:rsid w:val="49137A96"/>
    <w:rsid w:val="49193FF1"/>
    <w:rsid w:val="491F72FA"/>
    <w:rsid w:val="492548C3"/>
    <w:rsid w:val="492909A3"/>
    <w:rsid w:val="49335A46"/>
    <w:rsid w:val="494D48CF"/>
    <w:rsid w:val="4954695E"/>
    <w:rsid w:val="49684F2D"/>
    <w:rsid w:val="496B50A5"/>
    <w:rsid w:val="497008CA"/>
    <w:rsid w:val="49783A83"/>
    <w:rsid w:val="49901118"/>
    <w:rsid w:val="49B87CE0"/>
    <w:rsid w:val="49BD266E"/>
    <w:rsid w:val="49D6441D"/>
    <w:rsid w:val="49E63B37"/>
    <w:rsid w:val="4A090E48"/>
    <w:rsid w:val="4A41329B"/>
    <w:rsid w:val="4A4A5D28"/>
    <w:rsid w:val="4A4B30BD"/>
    <w:rsid w:val="4AB87A74"/>
    <w:rsid w:val="4ABA2FE2"/>
    <w:rsid w:val="4ABC0E78"/>
    <w:rsid w:val="4AD50B89"/>
    <w:rsid w:val="4AFA5FD3"/>
    <w:rsid w:val="4B0521CD"/>
    <w:rsid w:val="4B2853EC"/>
    <w:rsid w:val="4B385A9B"/>
    <w:rsid w:val="4B3B0E60"/>
    <w:rsid w:val="4B3D79C5"/>
    <w:rsid w:val="4B401235"/>
    <w:rsid w:val="4B405B52"/>
    <w:rsid w:val="4B4B6AE0"/>
    <w:rsid w:val="4B4D4948"/>
    <w:rsid w:val="4B4D61F6"/>
    <w:rsid w:val="4B761ECC"/>
    <w:rsid w:val="4B964F90"/>
    <w:rsid w:val="4B9B0DC3"/>
    <w:rsid w:val="4BAC106E"/>
    <w:rsid w:val="4BD13ED6"/>
    <w:rsid w:val="4BDA30C6"/>
    <w:rsid w:val="4BEE245C"/>
    <w:rsid w:val="4C0128D5"/>
    <w:rsid w:val="4C132A73"/>
    <w:rsid w:val="4C254543"/>
    <w:rsid w:val="4C310FCB"/>
    <w:rsid w:val="4C360B3B"/>
    <w:rsid w:val="4C422626"/>
    <w:rsid w:val="4C642CDC"/>
    <w:rsid w:val="4C7E5922"/>
    <w:rsid w:val="4C987278"/>
    <w:rsid w:val="4CA9591F"/>
    <w:rsid w:val="4CB12980"/>
    <w:rsid w:val="4CB16E62"/>
    <w:rsid w:val="4CB6459B"/>
    <w:rsid w:val="4CBE1F0E"/>
    <w:rsid w:val="4CBE666F"/>
    <w:rsid w:val="4CC07BF9"/>
    <w:rsid w:val="4CC34724"/>
    <w:rsid w:val="4CC43C85"/>
    <w:rsid w:val="4CCC40C7"/>
    <w:rsid w:val="4CE87FED"/>
    <w:rsid w:val="4D0918DA"/>
    <w:rsid w:val="4D167435"/>
    <w:rsid w:val="4D441172"/>
    <w:rsid w:val="4D444F05"/>
    <w:rsid w:val="4D571439"/>
    <w:rsid w:val="4D5967E5"/>
    <w:rsid w:val="4D8A308D"/>
    <w:rsid w:val="4D962404"/>
    <w:rsid w:val="4DA06A81"/>
    <w:rsid w:val="4DAF542B"/>
    <w:rsid w:val="4DCE69CC"/>
    <w:rsid w:val="4DCF0875"/>
    <w:rsid w:val="4DD84698"/>
    <w:rsid w:val="4DDA33D1"/>
    <w:rsid w:val="4DDB077C"/>
    <w:rsid w:val="4E0332FE"/>
    <w:rsid w:val="4E0D1B5C"/>
    <w:rsid w:val="4E15436B"/>
    <w:rsid w:val="4E281D63"/>
    <w:rsid w:val="4E320C01"/>
    <w:rsid w:val="4E340120"/>
    <w:rsid w:val="4E374BA0"/>
    <w:rsid w:val="4E3913E2"/>
    <w:rsid w:val="4E3F38C4"/>
    <w:rsid w:val="4E4B2CD1"/>
    <w:rsid w:val="4E5D59F7"/>
    <w:rsid w:val="4E6C66D9"/>
    <w:rsid w:val="4E6D3FD6"/>
    <w:rsid w:val="4E8E1069"/>
    <w:rsid w:val="4EA1467B"/>
    <w:rsid w:val="4EA16357"/>
    <w:rsid w:val="4EB770B3"/>
    <w:rsid w:val="4EBA7BDB"/>
    <w:rsid w:val="4EBB3AB0"/>
    <w:rsid w:val="4EC347EF"/>
    <w:rsid w:val="4EF54AC2"/>
    <w:rsid w:val="4EF8477C"/>
    <w:rsid w:val="4EF94731"/>
    <w:rsid w:val="4F07654D"/>
    <w:rsid w:val="4F090C54"/>
    <w:rsid w:val="4F472337"/>
    <w:rsid w:val="4F490F58"/>
    <w:rsid w:val="4F5764EE"/>
    <w:rsid w:val="4F65721A"/>
    <w:rsid w:val="4F6A7086"/>
    <w:rsid w:val="4F8C6C06"/>
    <w:rsid w:val="4FA44F6F"/>
    <w:rsid w:val="4FCD4C04"/>
    <w:rsid w:val="4FD86942"/>
    <w:rsid w:val="4FDC7342"/>
    <w:rsid w:val="50154FC8"/>
    <w:rsid w:val="501E43E3"/>
    <w:rsid w:val="50205F83"/>
    <w:rsid w:val="502C4994"/>
    <w:rsid w:val="50433C3F"/>
    <w:rsid w:val="50534DEE"/>
    <w:rsid w:val="505D5AA8"/>
    <w:rsid w:val="5086251F"/>
    <w:rsid w:val="50A33839"/>
    <w:rsid w:val="50AA7720"/>
    <w:rsid w:val="50C62A37"/>
    <w:rsid w:val="50D66B14"/>
    <w:rsid w:val="50EA6B52"/>
    <w:rsid w:val="50F06ED9"/>
    <w:rsid w:val="51023F76"/>
    <w:rsid w:val="510774B0"/>
    <w:rsid w:val="510C7F7C"/>
    <w:rsid w:val="51116F2B"/>
    <w:rsid w:val="51131CC3"/>
    <w:rsid w:val="511562B1"/>
    <w:rsid w:val="51254356"/>
    <w:rsid w:val="512561C4"/>
    <w:rsid w:val="512871DC"/>
    <w:rsid w:val="512A205A"/>
    <w:rsid w:val="514133D4"/>
    <w:rsid w:val="5155444F"/>
    <w:rsid w:val="51677326"/>
    <w:rsid w:val="51840AA8"/>
    <w:rsid w:val="518748B7"/>
    <w:rsid w:val="518E4415"/>
    <w:rsid w:val="51986B7D"/>
    <w:rsid w:val="51A106EF"/>
    <w:rsid w:val="51B24513"/>
    <w:rsid w:val="51C527D1"/>
    <w:rsid w:val="51DF4AB7"/>
    <w:rsid w:val="51F36AB9"/>
    <w:rsid w:val="520F18A8"/>
    <w:rsid w:val="52393DA7"/>
    <w:rsid w:val="523A6131"/>
    <w:rsid w:val="523C6E93"/>
    <w:rsid w:val="52407E24"/>
    <w:rsid w:val="5248415F"/>
    <w:rsid w:val="52693A39"/>
    <w:rsid w:val="52880A18"/>
    <w:rsid w:val="529226A0"/>
    <w:rsid w:val="529C4FE0"/>
    <w:rsid w:val="52A0553A"/>
    <w:rsid w:val="52AC43BD"/>
    <w:rsid w:val="52AC72A5"/>
    <w:rsid w:val="52B4770C"/>
    <w:rsid w:val="52B5449B"/>
    <w:rsid w:val="52C334D1"/>
    <w:rsid w:val="52EB5CA8"/>
    <w:rsid w:val="52ED2E9F"/>
    <w:rsid w:val="52F84445"/>
    <w:rsid w:val="52FA6A60"/>
    <w:rsid w:val="53144AFA"/>
    <w:rsid w:val="532A3C70"/>
    <w:rsid w:val="532E355C"/>
    <w:rsid w:val="532E4620"/>
    <w:rsid w:val="53337109"/>
    <w:rsid w:val="53427805"/>
    <w:rsid w:val="535A7409"/>
    <w:rsid w:val="53686C03"/>
    <w:rsid w:val="537F4322"/>
    <w:rsid w:val="53AF0D75"/>
    <w:rsid w:val="53B24D97"/>
    <w:rsid w:val="53BE0141"/>
    <w:rsid w:val="53CE3417"/>
    <w:rsid w:val="543C7F40"/>
    <w:rsid w:val="54536B8B"/>
    <w:rsid w:val="54563C08"/>
    <w:rsid w:val="5456665B"/>
    <w:rsid w:val="546D11AA"/>
    <w:rsid w:val="54AA1D5C"/>
    <w:rsid w:val="54B0149C"/>
    <w:rsid w:val="54B77840"/>
    <w:rsid w:val="54BD46A6"/>
    <w:rsid w:val="54C25A3C"/>
    <w:rsid w:val="54DF3FAD"/>
    <w:rsid w:val="54E26AA4"/>
    <w:rsid w:val="54ED3E06"/>
    <w:rsid w:val="54F36BD8"/>
    <w:rsid w:val="55037B2E"/>
    <w:rsid w:val="55132796"/>
    <w:rsid w:val="558F5009"/>
    <w:rsid w:val="55A30043"/>
    <w:rsid w:val="55A3402E"/>
    <w:rsid w:val="55A62E01"/>
    <w:rsid w:val="55C12D97"/>
    <w:rsid w:val="55CD11F2"/>
    <w:rsid w:val="55DF4B61"/>
    <w:rsid w:val="55E431A4"/>
    <w:rsid w:val="55EA37A6"/>
    <w:rsid w:val="55FA70A7"/>
    <w:rsid w:val="561E425B"/>
    <w:rsid w:val="56495A42"/>
    <w:rsid w:val="564E5FC2"/>
    <w:rsid w:val="56522A39"/>
    <w:rsid w:val="565A03AE"/>
    <w:rsid w:val="56664A20"/>
    <w:rsid w:val="567565A4"/>
    <w:rsid w:val="56822EAB"/>
    <w:rsid w:val="568973D6"/>
    <w:rsid w:val="568F53A5"/>
    <w:rsid w:val="569447FE"/>
    <w:rsid w:val="569B0395"/>
    <w:rsid w:val="56A75FAD"/>
    <w:rsid w:val="56C6409E"/>
    <w:rsid w:val="56CE7193"/>
    <w:rsid w:val="56D0318A"/>
    <w:rsid w:val="56E42A86"/>
    <w:rsid w:val="57130F21"/>
    <w:rsid w:val="5717509B"/>
    <w:rsid w:val="571A00BD"/>
    <w:rsid w:val="5745084B"/>
    <w:rsid w:val="57492F4F"/>
    <w:rsid w:val="574D2C6A"/>
    <w:rsid w:val="5753245F"/>
    <w:rsid w:val="576859A9"/>
    <w:rsid w:val="577119DC"/>
    <w:rsid w:val="577C380B"/>
    <w:rsid w:val="577D7FB8"/>
    <w:rsid w:val="578A6AC2"/>
    <w:rsid w:val="57A60166"/>
    <w:rsid w:val="57B66EB7"/>
    <w:rsid w:val="57BA4384"/>
    <w:rsid w:val="57CF312C"/>
    <w:rsid w:val="57DD52F4"/>
    <w:rsid w:val="57DE6CE3"/>
    <w:rsid w:val="57E96EB3"/>
    <w:rsid w:val="57FB4DFD"/>
    <w:rsid w:val="58061C73"/>
    <w:rsid w:val="581464DD"/>
    <w:rsid w:val="581C144F"/>
    <w:rsid w:val="581E02E9"/>
    <w:rsid w:val="58281B4E"/>
    <w:rsid w:val="584D243B"/>
    <w:rsid w:val="5857067A"/>
    <w:rsid w:val="586928B6"/>
    <w:rsid w:val="586A0D40"/>
    <w:rsid w:val="586A3622"/>
    <w:rsid w:val="586D7274"/>
    <w:rsid w:val="587567BB"/>
    <w:rsid w:val="589A2791"/>
    <w:rsid w:val="589C0EFC"/>
    <w:rsid w:val="589F6443"/>
    <w:rsid w:val="58A40305"/>
    <w:rsid w:val="58B81C8E"/>
    <w:rsid w:val="58E06E0B"/>
    <w:rsid w:val="58E97E4B"/>
    <w:rsid w:val="58F240C2"/>
    <w:rsid w:val="58F37D9D"/>
    <w:rsid w:val="59174C39"/>
    <w:rsid w:val="59180DF2"/>
    <w:rsid w:val="5921013C"/>
    <w:rsid w:val="59381485"/>
    <w:rsid w:val="596212BE"/>
    <w:rsid w:val="596B10B5"/>
    <w:rsid w:val="59732D1C"/>
    <w:rsid w:val="59A37563"/>
    <w:rsid w:val="59B22576"/>
    <w:rsid w:val="59CF30B4"/>
    <w:rsid w:val="59D450BD"/>
    <w:rsid w:val="59FD776D"/>
    <w:rsid w:val="5A0E00CA"/>
    <w:rsid w:val="5A0F17EE"/>
    <w:rsid w:val="5A0F3F8F"/>
    <w:rsid w:val="5A1867C3"/>
    <w:rsid w:val="5A2C2D4C"/>
    <w:rsid w:val="5A412AB8"/>
    <w:rsid w:val="5A484D7E"/>
    <w:rsid w:val="5A5422C1"/>
    <w:rsid w:val="5A5804C7"/>
    <w:rsid w:val="5A621CDB"/>
    <w:rsid w:val="5A851FBA"/>
    <w:rsid w:val="5A8849EE"/>
    <w:rsid w:val="5AAC687E"/>
    <w:rsid w:val="5B046BB6"/>
    <w:rsid w:val="5B1578EE"/>
    <w:rsid w:val="5B2A5876"/>
    <w:rsid w:val="5B423D23"/>
    <w:rsid w:val="5B7815BE"/>
    <w:rsid w:val="5B860D58"/>
    <w:rsid w:val="5B963AC4"/>
    <w:rsid w:val="5B9F4041"/>
    <w:rsid w:val="5BAE2F00"/>
    <w:rsid w:val="5BBD2B1C"/>
    <w:rsid w:val="5BC1658E"/>
    <w:rsid w:val="5BCA11A9"/>
    <w:rsid w:val="5BDB48B0"/>
    <w:rsid w:val="5BE36DF2"/>
    <w:rsid w:val="5BEB2CD8"/>
    <w:rsid w:val="5C3446F7"/>
    <w:rsid w:val="5C3B634D"/>
    <w:rsid w:val="5C46557F"/>
    <w:rsid w:val="5C573734"/>
    <w:rsid w:val="5C5805E1"/>
    <w:rsid w:val="5C623D71"/>
    <w:rsid w:val="5C675415"/>
    <w:rsid w:val="5C6A603C"/>
    <w:rsid w:val="5C6B6E32"/>
    <w:rsid w:val="5C6F540B"/>
    <w:rsid w:val="5C7F653B"/>
    <w:rsid w:val="5C8633D6"/>
    <w:rsid w:val="5C891162"/>
    <w:rsid w:val="5C9C27A7"/>
    <w:rsid w:val="5CBE410B"/>
    <w:rsid w:val="5CEE385E"/>
    <w:rsid w:val="5D062679"/>
    <w:rsid w:val="5D1F081E"/>
    <w:rsid w:val="5D4B4845"/>
    <w:rsid w:val="5D6507EA"/>
    <w:rsid w:val="5D722DFE"/>
    <w:rsid w:val="5D7B284A"/>
    <w:rsid w:val="5D801AB9"/>
    <w:rsid w:val="5D9B2BD4"/>
    <w:rsid w:val="5DA24F30"/>
    <w:rsid w:val="5DB9591E"/>
    <w:rsid w:val="5DC32BB8"/>
    <w:rsid w:val="5DD878CB"/>
    <w:rsid w:val="5DE615EA"/>
    <w:rsid w:val="5DED1C24"/>
    <w:rsid w:val="5DF12199"/>
    <w:rsid w:val="5DF360ED"/>
    <w:rsid w:val="5DF93F65"/>
    <w:rsid w:val="5E1E0189"/>
    <w:rsid w:val="5E4D13CE"/>
    <w:rsid w:val="5E520AE5"/>
    <w:rsid w:val="5E685A72"/>
    <w:rsid w:val="5E8400F3"/>
    <w:rsid w:val="5E9C06F8"/>
    <w:rsid w:val="5E9F1DF9"/>
    <w:rsid w:val="5EA32E99"/>
    <w:rsid w:val="5EA50F4B"/>
    <w:rsid w:val="5EA94A44"/>
    <w:rsid w:val="5EEB5991"/>
    <w:rsid w:val="5EF1004D"/>
    <w:rsid w:val="5F042134"/>
    <w:rsid w:val="5F251F86"/>
    <w:rsid w:val="5F30765B"/>
    <w:rsid w:val="5F3C672F"/>
    <w:rsid w:val="5F45705F"/>
    <w:rsid w:val="5F4704EC"/>
    <w:rsid w:val="5F482974"/>
    <w:rsid w:val="5F4D4C10"/>
    <w:rsid w:val="5F577DC0"/>
    <w:rsid w:val="5F5A7929"/>
    <w:rsid w:val="5F5B3271"/>
    <w:rsid w:val="5F876684"/>
    <w:rsid w:val="5F927A6C"/>
    <w:rsid w:val="5FA43197"/>
    <w:rsid w:val="5FFE4229"/>
    <w:rsid w:val="600C396F"/>
    <w:rsid w:val="6015470D"/>
    <w:rsid w:val="601B752E"/>
    <w:rsid w:val="60664E96"/>
    <w:rsid w:val="606C53F2"/>
    <w:rsid w:val="607065F5"/>
    <w:rsid w:val="607F6A96"/>
    <w:rsid w:val="60B97C5D"/>
    <w:rsid w:val="60BA6AEE"/>
    <w:rsid w:val="60D264F7"/>
    <w:rsid w:val="61301093"/>
    <w:rsid w:val="6132556C"/>
    <w:rsid w:val="613449D3"/>
    <w:rsid w:val="613D1B95"/>
    <w:rsid w:val="613E4D69"/>
    <w:rsid w:val="614550B0"/>
    <w:rsid w:val="6161018B"/>
    <w:rsid w:val="616618F1"/>
    <w:rsid w:val="616A034C"/>
    <w:rsid w:val="616B041A"/>
    <w:rsid w:val="61776548"/>
    <w:rsid w:val="619A4BE8"/>
    <w:rsid w:val="619D6039"/>
    <w:rsid w:val="61D17590"/>
    <w:rsid w:val="61DA6462"/>
    <w:rsid w:val="61DD2E8A"/>
    <w:rsid w:val="61E05AA3"/>
    <w:rsid w:val="62093569"/>
    <w:rsid w:val="62210147"/>
    <w:rsid w:val="62350BA4"/>
    <w:rsid w:val="62655A38"/>
    <w:rsid w:val="62690C4E"/>
    <w:rsid w:val="626B712D"/>
    <w:rsid w:val="6277247B"/>
    <w:rsid w:val="627B5F8D"/>
    <w:rsid w:val="628A0A71"/>
    <w:rsid w:val="628F5A6D"/>
    <w:rsid w:val="62995B2D"/>
    <w:rsid w:val="629A66ED"/>
    <w:rsid w:val="62AA341E"/>
    <w:rsid w:val="62CB66C1"/>
    <w:rsid w:val="62F27F1B"/>
    <w:rsid w:val="63087D52"/>
    <w:rsid w:val="633D13C7"/>
    <w:rsid w:val="635C4260"/>
    <w:rsid w:val="6366262D"/>
    <w:rsid w:val="636C7846"/>
    <w:rsid w:val="636D6CEA"/>
    <w:rsid w:val="63764AE7"/>
    <w:rsid w:val="637C59D9"/>
    <w:rsid w:val="639159C3"/>
    <w:rsid w:val="639A079C"/>
    <w:rsid w:val="63A100F9"/>
    <w:rsid w:val="63BA526D"/>
    <w:rsid w:val="63CB40A1"/>
    <w:rsid w:val="63E509B9"/>
    <w:rsid w:val="63EB0F29"/>
    <w:rsid w:val="64046CCC"/>
    <w:rsid w:val="641A3BDB"/>
    <w:rsid w:val="642D5D98"/>
    <w:rsid w:val="64316EE5"/>
    <w:rsid w:val="64612E95"/>
    <w:rsid w:val="64631A28"/>
    <w:rsid w:val="64720841"/>
    <w:rsid w:val="64763EA9"/>
    <w:rsid w:val="649073E6"/>
    <w:rsid w:val="6498709B"/>
    <w:rsid w:val="64A23CC0"/>
    <w:rsid w:val="64AA70C2"/>
    <w:rsid w:val="64BD0D01"/>
    <w:rsid w:val="64C23062"/>
    <w:rsid w:val="64D3619E"/>
    <w:rsid w:val="64D7377C"/>
    <w:rsid w:val="64DE0C3F"/>
    <w:rsid w:val="64E2741B"/>
    <w:rsid w:val="64F168E7"/>
    <w:rsid w:val="64FA6ECC"/>
    <w:rsid w:val="65072222"/>
    <w:rsid w:val="6515089C"/>
    <w:rsid w:val="65233040"/>
    <w:rsid w:val="65626000"/>
    <w:rsid w:val="6575179C"/>
    <w:rsid w:val="657E287D"/>
    <w:rsid w:val="65973A3E"/>
    <w:rsid w:val="659B2520"/>
    <w:rsid w:val="65B116E1"/>
    <w:rsid w:val="65B428C9"/>
    <w:rsid w:val="65B44A28"/>
    <w:rsid w:val="65B46BBF"/>
    <w:rsid w:val="65DE41FC"/>
    <w:rsid w:val="65E41944"/>
    <w:rsid w:val="65EB5EBA"/>
    <w:rsid w:val="65EC24EA"/>
    <w:rsid w:val="65FB19E4"/>
    <w:rsid w:val="660A13F6"/>
    <w:rsid w:val="660E3007"/>
    <w:rsid w:val="661448C0"/>
    <w:rsid w:val="66187BF6"/>
    <w:rsid w:val="662646E1"/>
    <w:rsid w:val="665470DF"/>
    <w:rsid w:val="665E29E0"/>
    <w:rsid w:val="666934F1"/>
    <w:rsid w:val="6674500D"/>
    <w:rsid w:val="66AA7BC1"/>
    <w:rsid w:val="66CF0403"/>
    <w:rsid w:val="66F11FBA"/>
    <w:rsid w:val="66FC49AD"/>
    <w:rsid w:val="672242C7"/>
    <w:rsid w:val="67594E70"/>
    <w:rsid w:val="676527DF"/>
    <w:rsid w:val="6771020E"/>
    <w:rsid w:val="67754514"/>
    <w:rsid w:val="67955423"/>
    <w:rsid w:val="67AE4BE1"/>
    <w:rsid w:val="67B37B7F"/>
    <w:rsid w:val="67C506B0"/>
    <w:rsid w:val="67C81A1C"/>
    <w:rsid w:val="67D059A1"/>
    <w:rsid w:val="67E75BBC"/>
    <w:rsid w:val="680E5AC5"/>
    <w:rsid w:val="681334D0"/>
    <w:rsid w:val="68190108"/>
    <w:rsid w:val="682915B7"/>
    <w:rsid w:val="682E44B2"/>
    <w:rsid w:val="683F08A9"/>
    <w:rsid w:val="68411A53"/>
    <w:rsid w:val="68581D6D"/>
    <w:rsid w:val="685D46F0"/>
    <w:rsid w:val="686D0EFA"/>
    <w:rsid w:val="687862E0"/>
    <w:rsid w:val="688B1F15"/>
    <w:rsid w:val="68A6324D"/>
    <w:rsid w:val="68AA3196"/>
    <w:rsid w:val="68B21018"/>
    <w:rsid w:val="68BA7D23"/>
    <w:rsid w:val="68E216B4"/>
    <w:rsid w:val="68E66BA6"/>
    <w:rsid w:val="69156261"/>
    <w:rsid w:val="69844781"/>
    <w:rsid w:val="69B44D23"/>
    <w:rsid w:val="69F07949"/>
    <w:rsid w:val="6A451D01"/>
    <w:rsid w:val="6A734DB0"/>
    <w:rsid w:val="6A7D4119"/>
    <w:rsid w:val="6A890554"/>
    <w:rsid w:val="6AA4165E"/>
    <w:rsid w:val="6AB70423"/>
    <w:rsid w:val="6ABD3290"/>
    <w:rsid w:val="6AD92BF6"/>
    <w:rsid w:val="6AE82E5A"/>
    <w:rsid w:val="6B007F40"/>
    <w:rsid w:val="6B046EB2"/>
    <w:rsid w:val="6B057C3C"/>
    <w:rsid w:val="6B3729BE"/>
    <w:rsid w:val="6B394F54"/>
    <w:rsid w:val="6B43002E"/>
    <w:rsid w:val="6B44652F"/>
    <w:rsid w:val="6B7A4BE5"/>
    <w:rsid w:val="6B9F7ABE"/>
    <w:rsid w:val="6BA441F3"/>
    <w:rsid w:val="6BC36115"/>
    <w:rsid w:val="6BC72FEE"/>
    <w:rsid w:val="6BFB6E7F"/>
    <w:rsid w:val="6C160B0B"/>
    <w:rsid w:val="6C385572"/>
    <w:rsid w:val="6C3905F8"/>
    <w:rsid w:val="6C5A7BA5"/>
    <w:rsid w:val="6C6B1972"/>
    <w:rsid w:val="6C75766C"/>
    <w:rsid w:val="6C764FED"/>
    <w:rsid w:val="6C835596"/>
    <w:rsid w:val="6CBD2C02"/>
    <w:rsid w:val="6CE06576"/>
    <w:rsid w:val="6CEE2D7A"/>
    <w:rsid w:val="6D08096B"/>
    <w:rsid w:val="6D2A4D5D"/>
    <w:rsid w:val="6D3D614B"/>
    <w:rsid w:val="6D635599"/>
    <w:rsid w:val="6D8D5FAC"/>
    <w:rsid w:val="6D8E3A4E"/>
    <w:rsid w:val="6D9C7E0C"/>
    <w:rsid w:val="6DD479C5"/>
    <w:rsid w:val="6DEF0A90"/>
    <w:rsid w:val="6DF361BE"/>
    <w:rsid w:val="6DFA722A"/>
    <w:rsid w:val="6E256796"/>
    <w:rsid w:val="6E27474C"/>
    <w:rsid w:val="6E5C6EE4"/>
    <w:rsid w:val="6E6050B0"/>
    <w:rsid w:val="6E735936"/>
    <w:rsid w:val="6E7A1E6F"/>
    <w:rsid w:val="6E8762CD"/>
    <w:rsid w:val="6E88444C"/>
    <w:rsid w:val="6E960763"/>
    <w:rsid w:val="6EAB429A"/>
    <w:rsid w:val="6EBA273A"/>
    <w:rsid w:val="6ECA6D2C"/>
    <w:rsid w:val="6ECF56D5"/>
    <w:rsid w:val="6EF05E0B"/>
    <w:rsid w:val="6EFE6DEC"/>
    <w:rsid w:val="6F004EF1"/>
    <w:rsid w:val="6F0917EE"/>
    <w:rsid w:val="6F102555"/>
    <w:rsid w:val="6F2A4011"/>
    <w:rsid w:val="6F4B4909"/>
    <w:rsid w:val="6F4B5486"/>
    <w:rsid w:val="6F5E1D84"/>
    <w:rsid w:val="6F7E2A75"/>
    <w:rsid w:val="6F99134C"/>
    <w:rsid w:val="6FA46086"/>
    <w:rsid w:val="6FAA6DFE"/>
    <w:rsid w:val="6FB45AFF"/>
    <w:rsid w:val="6FB83BCD"/>
    <w:rsid w:val="6FBA5C6F"/>
    <w:rsid w:val="6FD227BF"/>
    <w:rsid w:val="6FD242D4"/>
    <w:rsid w:val="6FF16148"/>
    <w:rsid w:val="70302015"/>
    <w:rsid w:val="7038139C"/>
    <w:rsid w:val="70463DEC"/>
    <w:rsid w:val="704D25B5"/>
    <w:rsid w:val="705D1B5C"/>
    <w:rsid w:val="705D3828"/>
    <w:rsid w:val="706655FC"/>
    <w:rsid w:val="706A21F4"/>
    <w:rsid w:val="708F447C"/>
    <w:rsid w:val="70A821D1"/>
    <w:rsid w:val="70B93263"/>
    <w:rsid w:val="70BC7050"/>
    <w:rsid w:val="70CD1201"/>
    <w:rsid w:val="70DB3660"/>
    <w:rsid w:val="70E86367"/>
    <w:rsid w:val="70EF0621"/>
    <w:rsid w:val="71166A00"/>
    <w:rsid w:val="711906E3"/>
    <w:rsid w:val="711F77A2"/>
    <w:rsid w:val="713D37A5"/>
    <w:rsid w:val="715217C3"/>
    <w:rsid w:val="71550899"/>
    <w:rsid w:val="715A15CB"/>
    <w:rsid w:val="71875165"/>
    <w:rsid w:val="71AF1B91"/>
    <w:rsid w:val="71B73B9B"/>
    <w:rsid w:val="71C449D5"/>
    <w:rsid w:val="71D64EA8"/>
    <w:rsid w:val="71D720C0"/>
    <w:rsid w:val="720F31AE"/>
    <w:rsid w:val="72134A3A"/>
    <w:rsid w:val="722D0B7B"/>
    <w:rsid w:val="725211C4"/>
    <w:rsid w:val="72610AAD"/>
    <w:rsid w:val="72761D1D"/>
    <w:rsid w:val="728F5280"/>
    <w:rsid w:val="72942FB1"/>
    <w:rsid w:val="72A82839"/>
    <w:rsid w:val="72D36B34"/>
    <w:rsid w:val="72D5676A"/>
    <w:rsid w:val="72E41D01"/>
    <w:rsid w:val="72FC609E"/>
    <w:rsid w:val="73130A5A"/>
    <w:rsid w:val="731E2FC9"/>
    <w:rsid w:val="735034FC"/>
    <w:rsid w:val="73580F1F"/>
    <w:rsid w:val="735A2645"/>
    <w:rsid w:val="73697D50"/>
    <w:rsid w:val="73A43753"/>
    <w:rsid w:val="73B00338"/>
    <w:rsid w:val="73BB7A73"/>
    <w:rsid w:val="73D2448E"/>
    <w:rsid w:val="73ED4E79"/>
    <w:rsid w:val="73FA3377"/>
    <w:rsid w:val="74055768"/>
    <w:rsid w:val="741843C0"/>
    <w:rsid w:val="741A453C"/>
    <w:rsid w:val="74350507"/>
    <w:rsid w:val="745301E2"/>
    <w:rsid w:val="745D5166"/>
    <w:rsid w:val="74616301"/>
    <w:rsid w:val="74687756"/>
    <w:rsid w:val="749D7968"/>
    <w:rsid w:val="74B02349"/>
    <w:rsid w:val="74B61645"/>
    <w:rsid w:val="74C6207E"/>
    <w:rsid w:val="74C95D0A"/>
    <w:rsid w:val="74DE576D"/>
    <w:rsid w:val="74E024B0"/>
    <w:rsid w:val="750458CC"/>
    <w:rsid w:val="751B36F4"/>
    <w:rsid w:val="751E6B6E"/>
    <w:rsid w:val="7531637F"/>
    <w:rsid w:val="753F251D"/>
    <w:rsid w:val="754235EF"/>
    <w:rsid w:val="754F3F41"/>
    <w:rsid w:val="7574124E"/>
    <w:rsid w:val="75773D3D"/>
    <w:rsid w:val="758D5411"/>
    <w:rsid w:val="75B038FF"/>
    <w:rsid w:val="75D311E6"/>
    <w:rsid w:val="75E43707"/>
    <w:rsid w:val="75FE0E4A"/>
    <w:rsid w:val="76035CCC"/>
    <w:rsid w:val="76063AE7"/>
    <w:rsid w:val="760A1C54"/>
    <w:rsid w:val="76244D76"/>
    <w:rsid w:val="763C4ED8"/>
    <w:rsid w:val="76410FD7"/>
    <w:rsid w:val="764E1355"/>
    <w:rsid w:val="76584083"/>
    <w:rsid w:val="76597E30"/>
    <w:rsid w:val="76656B57"/>
    <w:rsid w:val="76791E83"/>
    <w:rsid w:val="76925506"/>
    <w:rsid w:val="76974864"/>
    <w:rsid w:val="76A31B36"/>
    <w:rsid w:val="76A8174D"/>
    <w:rsid w:val="76B94627"/>
    <w:rsid w:val="76C9332F"/>
    <w:rsid w:val="76D15309"/>
    <w:rsid w:val="76D713C2"/>
    <w:rsid w:val="76DA617A"/>
    <w:rsid w:val="77026AB9"/>
    <w:rsid w:val="771F7DD8"/>
    <w:rsid w:val="772B6365"/>
    <w:rsid w:val="77325990"/>
    <w:rsid w:val="777A3BD9"/>
    <w:rsid w:val="777E5B94"/>
    <w:rsid w:val="77852AD8"/>
    <w:rsid w:val="778550EE"/>
    <w:rsid w:val="778A5701"/>
    <w:rsid w:val="778E4F8C"/>
    <w:rsid w:val="778F7BB1"/>
    <w:rsid w:val="779A5366"/>
    <w:rsid w:val="779A594D"/>
    <w:rsid w:val="77A41B43"/>
    <w:rsid w:val="77BA0E3D"/>
    <w:rsid w:val="77C93277"/>
    <w:rsid w:val="78097517"/>
    <w:rsid w:val="781235A5"/>
    <w:rsid w:val="783B4DD3"/>
    <w:rsid w:val="784C0229"/>
    <w:rsid w:val="78560F4C"/>
    <w:rsid w:val="785624FE"/>
    <w:rsid w:val="78630910"/>
    <w:rsid w:val="786E35A4"/>
    <w:rsid w:val="787C5B03"/>
    <w:rsid w:val="78813A17"/>
    <w:rsid w:val="78893CB0"/>
    <w:rsid w:val="78AA4891"/>
    <w:rsid w:val="78B17071"/>
    <w:rsid w:val="78B86468"/>
    <w:rsid w:val="78F73857"/>
    <w:rsid w:val="78F923F4"/>
    <w:rsid w:val="791272FD"/>
    <w:rsid w:val="79357A8B"/>
    <w:rsid w:val="79370F12"/>
    <w:rsid w:val="79380494"/>
    <w:rsid w:val="7943529F"/>
    <w:rsid w:val="794D7FFF"/>
    <w:rsid w:val="79584949"/>
    <w:rsid w:val="795B7B63"/>
    <w:rsid w:val="79610D8C"/>
    <w:rsid w:val="79650BC3"/>
    <w:rsid w:val="796C55CB"/>
    <w:rsid w:val="796F4D25"/>
    <w:rsid w:val="797E3BD2"/>
    <w:rsid w:val="79B7455D"/>
    <w:rsid w:val="79C708CE"/>
    <w:rsid w:val="79D70D43"/>
    <w:rsid w:val="79FA3325"/>
    <w:rsid w:val="7A011EE4"/>
    <w:rsid w:val="7A0C6E9D"/>
    <w:rsid w:val="7A2A6A8C"/>
    <w:rsid w:val="7A346799"/>
    <w:rsid w:val="7A3C16F2"/>
    <w:rsid w:val="7A3C5D0D"/>
    <w:rsid w:val="7A4728EB"/>
    <w:rsid w:val="7A4833BE"/>
    <w:rsid w:val="7A552AC4"/>
    <w:rsid w:val="7A5E2EEF"/>
    <w:rsid w:val="7A6451EB"/>
    <w:rsid w:val="7A675E86"/>
    <w:rsid w:val="7A6D72EA"/>
    <w:rsid w:val="7A6E2D9D"/>
    <w:rsid w:val="7A7A29D0"/>
    <w:rsid w:val="7A9F1E03"/>
    <w:rsid w:val="7A9F3617"/>
    <w:rsid w:val="7ACB264F"/>
    <w:rsid w:val="7ADD674A"/>
    <w:rsid w:val="7B1A5ACD"/>
    <w:rsid w:val="7B206C4C"/>
    <w:rsid w:val="7B4078F7"/>
    <w:rsid w:val="7B433D73"/>
    <w:rsid w:val="7B441EC5"/>
    <w:rsid w:val="7B527897"/>
    <w:rsid w:val="7B5F4FA6"/>
    <w:rsid w:val="7B767306"/>
    <w:rsid w:val="7B90170A"/>
    <w:rsid w:val="7B974F60"/>
    <w:rsid w:val="7BCE2BBF"/>
    <w:rsid w:val="7C0C60E4"/>
    <w:rsid w:val="7C147FE9"/>
    <w:rsid w:val="7C284684"/>
    <w:rsid w:val="7C356538"/>
    <w:rsid w:val="7C4A379C"/>
    <w:rsid w:val="7C4D3ED0"/>
    <w:rsid w:val="7C5915F6"/>
    <w:rsid w:val="7C68409D"/>
    <w:rsid w:val="7C6E428C"/>
    <w:rsid w:val="7C960560"/>
    <w:rsid w:val="7CAC0978"/>
    <w:rsid w:val="7CAF6A6B"/>
    <w:rsid w:val="7CB14295"/>
    <w:rsid w:val="7CB30928"/>
    <w:rsid w:val="7CD31C55"/>
    <w:rsid w:val="7CED726B"/>
    <w:rsid w:val="7D357C08"/>
    <w:rsid w:val="7D3C66B9"/>
    <w:rsid w:val="7D3D60FE"/>
    <w:rsid w:val="7D4C045E"/>
    <w:rsid w:val="7D526F3E"/>
    <w:rsid w:val="7D54404E"/>
    <w:rsid w:val="7D7F2FE9"/>
    <w:rsid w:val="7D90291E"/>
    <w:rsid w:val="7DBE36DC"/>
    <w:rsid w:val="7DD65B3C"/>
    <w:rsid w:val="7DD81B05"/>
    <w:rsid w:val="7DD8253C"/>
    <w:rsid w:val="7DEE2CEE"/>
    <w:rsid w:val="7DF056EF"/>
    <w:rsid w:val="7DF16BA9"/>
    <w:rsid w:val="7E0B551F"/>
    <w:rsid w:val="7E556BC7"/>
    <w:rsid w:val="7E706A1B"/>
    <w:rsid w:val="7E7616FB"/>
    <w:rsid w:val="7E876DF4"/>
    <w:rsid w:val="7EA241E3"/>
    <w:rsid w:val="7EA808A7"/>
    <w:rsid w:val="7EA96C28"/>
    <w:rsid w:val="7EC7591E"/>
    <w:rsid w:val="7ED13301"/>
    <w:rsid w:val="7EDF07FD"/>
    <w:rsid w:val="7F025F1D"/>
    <w:rsid w:val="7F1C0CC4"/>
    <w:rsid w:val="7F2619CB"/>
    <w:rsid w:val="7F267D4B"/>
    <w:rsid w:val="7F2C67F9"/>
    <w:rsid w:val="7F3E6BC8"/>
    <w:rsid w:val="7F591E6F"/>
    <w:rsid w:val="7F6944A0"/>
    <w:rsid w:val="7F6B3DE1"/>
    <w:rsid w:val="7F6B41A1"/>
    <w:rsid w:val="7F6D441A"/>
    <w:rsid w:val="7F6E5E6D"/>
    <w:rsid w:val="7F776C44"/>
    <w:rsid w:val="7F8C3315"/>
    <w:rsid w:val="7F8D35FF"/>
    <w:rsid w:val="7F9274EC"/>
    <w:rsid w:val="7F981D1B"/>
    <w:rsid w:val="7FA344E7"/>
    <w:rsid w:val="7FB41F54"/>
    <w:rsid w:val="7FD7038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42"/>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spacing w:before="240" w:after="60"/>
      <w:outlineLvl w:val="3"/>
    </w:pPr>
    <w:rPr>
      <w:b/>
      <w:bCs/>
      <w:sz w:val="28"/>
      <w:szCs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6">
    <w:name w:val="Normal Indent"/>
    <w:basedOn w:val="1"/>
    <w:link w:val="43"/>
    <w:qFormat/>
    <w:uiPriority w:val="0"/>
    <w:pPr>
      <w:ind w:firstLine="420" w:firstLineChars="200"/>
    </w:pPr>
  </w:style>
  <w:style w:type="paragraph" w:styleId="7">
    <w:name w:val="Document Map"/>
    <w:basedOn w:val="1"/>
    <w:link w:val="44"/>
    <w:qFormat/>
    <w:uiPriority w:val="0"/>
    <w:rPr>
      <w:rFonts w:ascii="宋体"/>
      <w:sz w:val="18"/>
      <w:szCs w:val="18"/>
    </w:rPr>
  </w:style>
  <w:style w:type="paragraph" w:styleId="8">
    <w:name w:val="annotation text"/>
    <w:basedOn w:val="1"/>
    <w:link w:val="45"/>
    <w:qFormat/>
    <w:uiPriority w:val="0"/>
    <w:pPr>
      <w:jc w:val="left"/>
    </w:pPr>
  </w:style>
  <w:style w:type="paragraph" w:styleId="9">
    <w:name w:val="Body Text"/>
    <w:basedOn w:val="1"/>
    <w:next w:val="1"/>
    <w:link w:val="41"/>
    <w:qFormat/>
    <w:uiPriority w:val="0"/>
    <w:pPr>
      <w:spacing w:after="120"/>
    </w:pPr>
  </w:style>
  <w:style w:type="paragraph" w:styleId="10">
    <w:name w:val="Body Text Indent"/>
    <w:basedOn w:val="1"/>
    <w:qFormat/>
    <w:uiPriority w:val="0"/>
    <w:pPr>
      <w:ind w:firstLine="630"/>
    </w:pPr>
    <w:rPr>
      <w:sz w:val="32"/>
      <w:szCs w:val="20"/>
    </w:rPr>
  </w:style>
  <w:style w:type="paragraph" w:styleId="11">
    <w:name w:val="Plain Text"/>
    <w:basedOn w:val="1"/>
    <w:qFormat/>
    <w:uiPriority w:val="0"/>
    <w:pPr>
      <w:spacing w:line="360" w:lineRule="auto"/>
    </w:pPr>
    <w:rPr>
      <w:rFonts w:hAnsi="Courier New"/>
      <w:sz w:val="24"/>
    </w:rPr>
  </w:style>
  <w:style w:type="paragraph" w:styleId="12">
    <w:name w:val="Date"/>
    <w:basedOn w:val="1"/>
    <w:next w:val="1"/>
    <w:qFormat/>
    <w:uiPriority w:val="0"/>
    <w:rPr>
      <w:szCs w:val="20"/>
    </w:rPr>
  </w:style>
  <w:style w:type="paragraph" w:styleId="13">
    <w:name w:val="Body Text Indent 2"/>
    <w:basedOn w:val="1"/>
    <w:link w:val="46"/>
    <w:qFormat/>
    <w:uiPriority w:val="0"/>
    <w:pPr>
      <w:spacing w:after="120" w:line="480" w:lineRule="auto"/>
      <w:ind w:left="420" w:leftChars="200"/>
    </w:pPr>
  </w:style>
  <w:style w:type="paragraph" w:styleId="14">
    <w:name w:val="Balloon Text"/>
    <w:basedOn w:val="1"/>
    <w:link w:val="47"/>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20"/>
    </w:rPr>
  </w:style>
  <w:style w:type="paragraph" w:styleId="16">
    <w:name w:val="header"/>
    <w:basedOn w:val="1"/>
    <w:link w:val="48"/>
    <w:qFormat/>
    <w:uiPriority w:val="99"/>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9">
    <w:name w:val="Body Text Indent 3"/>
    <w:basedOn w:val="1"/>
    <w:qFormat/>
    <w:uiPriority w:val="0"/>
    <w:pPr>
      <w:spacing w:after="120"/>
      <w:ind w:left="420" w:leftChars="200"/>
    </w:pPr>
    <w:rPr>
      <w:sz w:val="16"/>
      <w:szCs w:val="16"/>
    </w:rPr>
  </w:style>
  <w:style w:type="paragraph" w:styleId="20">
    <w:name w:val="HTML Preformatted"/>
    <w:basedOn w:val="1"/>
    <w:link w:val="49"/>
    <w:qFormat/>
    <w:uiPriority w:val="0"/>
    <w:rPr>
      <w:rFonts w:ascii="Courier New" w:hAnsi="Courier New"/>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2">
    <w:name w:val="annotation subject"/>
    <w:basedOn w:val="8"/>
    <w:next w:val="8"/>
    <w:link w:val="50"/>
    <w:qFormat/>
    <w:uiPriority w:val="0"/>
    <w:rPr>
      <w:b/>
      <w:bCs/>
    </w:rPr>
  </w:style>
  <w:style w:type="paragraph" w:styleId="23">
    <w:name w:val="Body Text First Indent"/>
    <w:basedOn w:val="9"/>
    <w:next w:val="1"/>
    <w:qFormat/>
    <w:uiPriority w:val="99"/>
    <w:pPr>
      <w:ind w:firstLine="420" w:firstLineChars="100"/>
    </w:pPr>
  </w:style>
  <w:style w:type="table" w:styleId="25">
    <w:name w:val="Table Grid"/>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qFormat/>
    <w:uiPriority w:val="0"/>
  </w:style>
  <w:style w:type="character" w:styleId="29">
    <w:name w:val="FollowedHyperlink"/>
    <w:qFormat/>
    <w:uiPriority w:val="0"/>
    <w:rPr>
      <w:color w:val="3D3D3D"/>
      <w:u w:val="none"/>
    </w:rPr>
  </w:style>
  <w:style w:type="character" w:styleId="30">
    <w:name w:val="Emphasis"/>
    <w:basedOn w:val="26"/>
    <w:qFormat/>
    <w:uiPriority w:val="0"/>
    <w:rPr>
      <w:b/>
      <w:bCs/>
    </w:rPr>
  </w:style>
  <w:style w:type="character" w:styleId="31">
    <w:name w:val="HTML Definition"/>
    <w:qFormat/>
    <w:uiPriority w:val="0"/>
  </w:style>
  <w:style w:type="character" w:styleId="32">
    <w:name w:val="HTML Typewriter"/>
    <w:basedOn w:val="26"/>
    <w:qFormat/>
    <w:uiPriority w:val="0"/>
    <w:rPr>
      <w:rFonts w:ascii="monospace" w:hAnsi="monospace" w:eastAsia="monospace" w:cs="monospace"/>
      <w:sz w:val="20"/>
    </w:rPr>
  </w:style>
  <w:style w:type="character" w:styleId="33">
    <w:name w:val="HTML Acronym"/>
    <w:basedOn w:val="26"/>
    <w:qFormat/>
    <w:uiPriority w:val="0"/>
  </w:style>
  <w:style w:type="character" w:styleId="34">
    <w:name w:val="HTML Variable"/>
    <w:qFormat/>
    <w:uiPriority w:val="0"/>
  </w:style>
  <w:style w:type="character" w:styleId="35">
    <w:name w:val="Hyperlink"/>
    <w:qFormat/>
    <w:uiPriority w:val="99"/>
    <w:rPr>
      <w:color w:val="333333"/>
      <w:u w:val="none"/>
    </w:rPr>
  </w:style>
  <w:style w:type="character" w:styleId="36">
    <w:name w:val="HTML Code"/>
    <w:qFormat/>
    <w:uiPriority w:val="0"/>
    <w:rPr>
      <w:rFonts w:ascii="Courier New" w:hAnsi="Courier New"/>
      <w:sz w:val="20"/>
    </w:rPr>
  </w:style>
  <w:style w:type="character" w:styleId="37">
    <w:name w:val="annotation reference"/>
    <w:qFormat/>
    <w:uiPriority w:val="0"/>
    <w:rPr>
      <w:sz w:val="21"/>
      <w:szCs w:val="21"/>
    </w:rPr>
  </w:style>
  <w:style w:type="character" w:styleId="38">
    <w:name w:val="HTML Cite"/>
    <w:qFormat/>
    <w:uiPriority w:val="0"/>
  </w:style>
  <w:style w:type="character" w:styleId="39">
    <w:name w:val="HTML Keyboard"/>
    <w:basedOn w:val="26"/>
    <w:qFormat/>
    <w:uiPriority w:val="0"/>
    <w:rPr>
      <w:rFonts w:hint="default" w:ascii="monospace" w:hAnsi="monospace" w:eastAsia="monospace" w:cs="monospace"/>
      <w:sz w:val="20"/>
    </w:rPr>
  </w:style>
  <w:style w:type="character" w:styleId="40">
    <w:name w:val="HTML Sample"/>
    <w:basedOn w:val="26"/>
    <w:qFormat/>
    <w:uiPriority w:val="0"/>
    <w:rPr>
      <w:rFonts w:hint="default" w:ascii="monospace" w:hAnsi="monospace" w:eastAsia="monospace" w:cs="monospace"/>
    </w:rPr>
  </w:style>
  <w:style w:type="character" w:customStyle="1" w:styleId="41">
    <w:name w:val="正文文本 Char"/>
    <w:link w:val="9"/>
    <w:qFormat/>
    <w:uiPriority w:val="0"/>
    <w:rPr>
      <w:kern w:val="2"/>
      <w:sz w:val="21"/>
      <w:szCs w:val="24"/>
    </w:rPr>
  </w:style>
  <w:style w:type="character" w:customStyle="1" w:styleId="42">
    <w:name w:val="标题 2 Char"/>
    <w:link w:val="2"/>
    <w:qFormat/>
    <w:uiPriority w:val="0"/>
    <w:rPr>
      <w:rFonts w:ascii="Arial" w:hAnsi="Arial" w:eastAsia="黑体"/>
      <w:b/>
      <w:bCs/>
      <w:kern w:val="2"/>
      <w:sz w:val="32"/>
      <w:szCs w:val="32"/>
    </w:rPr>
  </w:style>
  <w:style w:type="character" w:customStyle="1" w:styleId="43">
    <w:name w:val="正文缩进 Char"/>
    <w:link w:val="6"/>
    <w:qFormat/>
    <w:uiPriority w:val="0"/>
    <w:rPr>
      <w:kern w:val="2"/>
      <w:sz w:val="21"/>
      <w:szCs w:val="24"/>
    </w:rPr>
  </w:style>
  <w:style w:type="character" w:customStyle="1" w:styleId="44">
    <w:name w:val="文档结构图 Char"/>
    <w:link w:val="7"/>
    <w:qFormat/>
    <w:uiPriority w:val="0"/>
    <w:rPr>
      <w:rFonts w:ascii="宋体"/>
      <w:kern w:val="2"/>
      <w:sz w:val="18"/>
      <w:szCs w:val="18"/>
    </w:rPr>
  </w:style>
  <w:style w:type="character" w:customStyle="1" w:styleId="45">
    <w:name w:val="批注文字 Char"/>
    <w:link w:val="8"/>
    <w:qFormat/>
    <w:uiPriority w:val="0"/>
    <w:rPr>
      <w:kern w:val="2"/>
      <w:sz w:val="21"/>
      <w:szCs w:val="24"/>
    </w:rPr>
  </w:style>
  <w:style w:type="character" w:customStyle="1" w:styleId="46">
    <w:name w:val="正文文本缩进 2 Char"/>
    <w:link w:val="13"/>
    <w:qFormat/>
    <w:locked/>
    <w:uiPriority w:val="0"/>
    <w:rPr>
      <w:kern w:val="2"/>
      <w:sz w:val="21"/>
      <w:szCs w:val="24"/>
    </w:rPr>
  </w:style>
  <w:style w:type="character" w:customStyle="1" w:styleId="47">
    <w:name w:val="批注框文本 Char"/>
    <w:link w:val="14"/>
    <w:qFormat/>
    <w:uiPriority w:val="0"/>
    <w:rPr>
      <w:kern w:val="2"/>
      <w:sz w:val="18"/>
      <w:szCs w:val="18"/>
    </w:rPr>
  </w:style>
  <w:style w:type="character" w:customStyle="1" w:styleId="48">
    <w:name w:val="页眉 Char"/>
    <w:link w:val="16"/>
    <w:qFormat/>
    <w:uiPriority w:val="99"/>
    <w:rPr>
      <w:kern w:val="2"/>
      <w:sz w:val="18"/>
    </w:rPr>
  </w:style>
  <w:style w:type="character" w:customStyle="1" w:styleId="49">
    <w:name w:val="HTML 预设格式 Char"/>
    <w:link w:val="20"/>
    <w:qFormat/>
    <w:uiPriority w:val="0"/>
    <w:rPr>
      <w:rFonts w:ascii="Courier New" w:hAnsi="Courier New" w:cs="Courier New"/>
      <w:kern w:val="2"/>
    </w:rPr>
  </w:style>
  <w:style w:type="character" w:customStyle="1" w:styleId="50">
    <w:name w:val="批注主题 Char"/>
    <w:link w:val="22"/>
    <w:qFormat/>
    <w:uiPriority w:val="0"/>
    <w:rPr>
      <w:b/>
      <w:bCs/>
      <w:kern w:val="2"/>
      <w:sz w:val="21"/>
      <w:szCs w:val="24"/>
    </w:rPr>
  </w:style>
  <w:style w:type="character" w:customStyle="1" w:styleId="51">
    <w:name w:val="（符号）邀请函中一、"/>
    <w:qFormat/>
    <w:uiPriority w:val="0"/>
    <w:rPr>
      <w:rFonts w:ascii="黑体" w:hAnsi="黑体" w:eastAsia="黑体"/>
      <w:b/>
      <w:bCs/>
      <w:sz w:val="24"/>
    </w:rPr>
  </w:style>
  <w:style w:type="character" w:customStyle="1" w:styleId="52">
    <w:name w:val="font41"/>
    <w:qFormat/>
    <w:uiPriority w:val="0"/>
    <w:rPr>
      <w:rFonts w:hint="eastAsia" w:ascii="宋体" w:hAnsi="宋体" w:eastAsia="宋体" w:cs="宋体"/>
      <w:color w:val="000000"/>
      <w:sz w:val="22"/>
      <w:szCs w:val="22"/>
      <w:u w:val="none"/>
    </w:rPr>
  </w:style>
  <w:style w:type="character" w:customStyle="1" w:styleId="53">
    <w:name w:val="img1"/>
    <w:qFormat/>
    <w:uiPriority w:val="0"/>
  </w:style>
  <w:style w:type="character" w:customStyle="1" w:styleId="54">
    <w:name w:val="font11"/>
    <w:qFormat/>
    <w:uiPriority w:val="0"/>
    <w:rPr>
      <w:rFonts w:hint="eastAsia" w:ascii="宋体" w:hAnsi="宋体" w:eastAsia="宋体" w:cs="宋体"/>
      <w:color w:val="000000"/>
      <w:sz w:val="24"/>
      <w:szCs w:val="24"/>
      <w:u w:val="none"/>
    </w:rPr>
  </w:style>
  <w:style w:type="character" w:customStyle="1" w:styleId="55">
    <w:name w:val="正文文本缩进 2 Char1"/>
    <w:semiHidden/>
    <w:qFormat/>
    <w:locked/>
    <w:uiPriority w:val="0"/>
    <w:rPr>
      <w:kern w:val="2"/>
      <w:sz w:val="21"/>
      <w:szCs w:val="24"/>
    </w:rPr>
  </w:style>
  <w:style w:type="character" w:customStyle="1" w:styleId="56">
    <w:name w:val="font141"/>
    <w:qFormat/>
    <w:uiPriority w:val="0"/>
    <w:rPr>
      <w:rFonts w:hint="default" w:ascii="Times New Roman" w:hAnsi="Times New Roman" w:cs="Times New Roman"/>
      <w:color w:val="000000"/>
      <w:sz w:val="22"/>
      <w:szCs w:val="22"/>
      <w:u w:val="none"/>
    </w:rPr>
  </w:style>
  <w:style w:type="character" w:customStyle="1" w:styleId="57">
    <w:name w:val="img"/>
    <w:qFormat/>
    <w:uiPriority w:val="0"/>
  </w:style>
  <w:style w:type="character" w:customStyle="1" w:styleId="58">
    <w:name w:val="_Style 8"/>
    <w:qFormat/>
    <w:uiPriority w:val="32"/>
    <w:rPr>
      <w:b/>
      <w:bCs/>
      <w:smallCaps/>
      <w:color w:val="C0504D"/>
      <w:spacing w:val="5"/>
      <w:u w:val="single"/>
    </w:rPr>
  </w:style>
  <w:style w:type="character" w:customStyle="1" w:styleId="59">
    <w:name w:val="font31"/>
    <w:qFormat/>
    <w:uiPriority w:val="0"/>
    <w:rPr>
      <w:rFonts w:ascii="Calibri" w:hAnsi="Calibri" w:cs="Calibri"/>
      <w:color w:val="000000"/>
      <w:sz w:val="22"/>
      <w:szCs w:val="22"/>
      <w:u w:val="none"/>
    </w:rPr>
  </w:style>
  <w:style w:type="paragraph" w:customStyle="1" w:styleId="60">
    <w:name w:val="表格"/>
    <w:basedOn w:val="1"/>
    <w:qFormat/>
    <w:uiPriority w:val="0"/>
    <w:pPr>
      <w:spacing w:line="400" w:lineRule="exact"/>
    </w:pPr>
    <w:rPr>
      <w:sz w:val="24"/>
    </w:rPr>
  </w:style>
  <w:style w:type="paragraph" w:customStyle="1" w:styleId="61">
    <w:name w:val="标3"/>
    <w:basedOn w:val="1"/>
    <w:qFormat/>
    <w:uiPriority w:val="0"/>
    <w:pPr>
      <w:tabs>
        <w:tab w:val="left" w:pos="1740"/>
      </w:tabs>
      <w:adjustRightInd w:val="0"/>
      <w:snapToGrid w:val="0"/>
      <w:spacing w:before="50"/>
      <w:ind w:left="1740" w:hanging="420"/>
      <w:outlineLvl w:val="2"/>
    </w:pPr>
    <w:rPr>
      <w:rFonts w:ascii="Arial Narrow" w:hAnsi="Arial Narrow" w:eastAsia="仿宋_GB2312"/>
      <w:sz w:val="28"/>
    </w:rPr>
  </w:style>
  <w:style w:type="paragraph" w:customStyle="1" w:styleId="62">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63">
    <w:name w:val="正文首行缩进两字符"/>
    <w:basedOn w:val="1"/>
    <w:qFormat/>
    <w:uiPriority w:val="0"/>
    <w:pPr>
      <w:spacing w:line="360" w:lineRule="auto"/>
      <w:ind w:firstLine="200" w:firstLineChars="200"/>
    </w:pPr>
  </w:style>
  <w:style w:type="paragraph" w:customStyle="1" w:styleId="64">
    <w:name w:val="Char1"/>
    <w:basedOn w:val="1"/>
    <w:qFormat/>
    <w:uiPriority w:val="0"/>
    <w:rPr>
      <w:rFonts w:ascii="宋体"/>
      <w:kern w:val="0"/>
      <w:sz w:val="34"/>
      <w:szCs w:val="21"/>
    </w:rPr>
  </w:style>
  <w:style w:type="paragraph" w:customStyle="1" w:styleId="65">
    <w:name w:val="正文 A"/>
    <w:qFormat/>
    <w:uiPriority w:val="0"/>
    <w:pPr>
      <w:framePr w:wrap="around" w:vAnchor="margin" w:hAnchor="text" w:yAlign="top"/>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66">
    <w:name w:val="列出段落1"/>
    <w:basedOn w:val="1"/>
    <w:qFormat/>
    <w:uiPriority w:val="34"/>
    <w:pPr>
      <w:ind w:firstLine="420" w:firstLineChars="200"/>
    </w:pPr>
    <w:rPr>
      <w:szCs w:val="22"/>
    </w:rPr>
  </w:style>
  <w:style w:type="paragraph" w:customStyle="1" w:styleId="67">
    <w:name w:val="Normal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68">
    <w:name w:val="标题 5（有编号）（绿盟科技）"/>
    <w:basedOn w:val="1"/>
    <w:next w:val="69"/>
    <w:qFormat/>
    <w:uiPriority w:val="0"/>
    <w:pPr>
      <w:keepNext/>
      <w:keepLines/>
      <w:numPr>
        <w:ilvl w:val="4"/>
        <w:numId w:val="1"/>
      </w:numPr>
      <w:tabs>
        <w:tab w:val="left" w:pos="0"/>
      </w:tabs>
      <w:spacing w:before="280" w:after="156" w:line="377" w:lineRule="auto"/>
      <w:outlineLvl w:val="4"/>
    </w:pPr>
    <w:rPr>
      <w:rFonts w:ascii="Arial" w:hAnsi="Arial" w:eastAsia="黑体"/>
      <w:b/>
      <w:kern w:val="0"/>
      <w:szCs w:val="28"/>
    </w:rPr>
  </w:style>
  <w:style w:type="paragraph" w:customStyle="1" w:styleId="69">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70">
    <w:name w:val="方案正文"/>
    <w:basedOn w:val="1"/>
    <w:next w:val="1"/>
    <w:qFormat/>
    <w:uiPriority w:val="99"/>
    <w:pPr>
      <w:suppressAutoHyphens/>
      <w:spacing w:line="312" w:lineRule="auto"/>
      <w:ind w:firstLine="200"/>
    </w:pPr>
    <w:rPr>
      <w:rFonts w:ascii="Calibri" w:hAnsi="Calibri" w:eastAsia="宋体" w:cs="Times New Roman"/>
      <w:kern w:val="1"/>
      <w:szCs w:val="24"/>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样式 首行缩进:  2 字符"/>
    <w:basedOn w:val="1"/>
    <w:qFormat/>
    <w:uiPriority w:val="0"/>
    <w:pPr>
      <w:spacing w:line="400" w:lineRule="exact"/>
      <w:ind w:firstLine="200" w:firstLineChars="200"/>
    </w:pPr>
    <w:rPr>
      <w:rFonts w:cs="宋体"/>
      <w:sz w:val="24"/>
    </w:rPr>
  </w:style>
  <w:style w:type="paragraph" w:customStyle="1" w:styleId="73">
    <w:name w:val="仿宋4号"/>
    <w:basedOn w:val="1"/>
    <w:qFormat/>
    <w:uiPriority w:val="99"/>
    <w:rPr>
      <w:rFonts w:ascii="仿宋_GB2312" w:hAnsi="宋体" w:eastAsia="仿宋_GB2312" w:cs="仿宋_GB2312"/>
      <w:sz w:val="28"/>
      <w:szCs w:val="28"/>
    </w:rPr>
  </w:style>
  <w:style w:type="paragraph" w:customStyle="1" w:styleId="74">
    <w:name w:val="p0"/>
    <w:basedOn w:val="1"/>
    <w:qFormat/>
    <w:uiPriority w:val="0"/>
    <w:pPr>
      <w:widowControl/>
      <w:spacing w:before="100" w:beforeAutospacing="1" w:after="100" w:afterAutospacing="1"/>
      <w:jc w:val="left"/>
    </w:pPr>
    <w:rPr>
      <w:rFonts w:ascii="宋体" w:hAnsi="宋体" w:cs="宋体"/>
      <w:kern w:val="0"/>
      <w:sz w:val="24"/>
      <w:szCs w:val="20"/>
    </w:rPr>
  </w:style>
  <w:style w:type="paragraph" w:styleId="75">
    <w:name w:val="List Paragraph"/>
    <w:basedOn w:val="1"/>
    <w:qFormat/>
    <w:uiPriority w:val="34"/>
    <w:pPr>
      <w:ind w:firstLine="420" w:firstLineChars="200"/>
    </w:pPr>
  </w:style>
  <w:style w:type="paragraph" w:customStyle="1" w:styleId="76">
    <w:name w:val="列出段落2"/>
    <w:basedOn w:val="1"/>
    <w:qFormat/>
    <w:uiPriority w:val="34"/>
    <w:pPr>
      <w:ind w:firstLine="420" w:firstLineChars="200"/>
    </w:pPr>
    <w:rPr>
      <w:szCs w:val="22"/>
    </w:rPr>
  </w:style>
  <w:style w:type="paragraph" w:customStyle="1" w:styleId="7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8">
    <w:name w:val="List Paragraph1"/>
    <w:basedOn w:val="1"/>
    <w:qFormat/>
    <w:uiPriority w:val="34"/>
    <w:pPr>
      <w:ind w:firstLine="420" w:firstLineChars="200"/>
    </w:pPr>
    <w:rPr>
      <w:szCs w:val="22"/>
    </w:rPr>
  </w:style>
  <w:style w:type="paragraph" w:customStyle="1" w:styleId="7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0">
    <w:name w:val="table_1stline"/>
    <w:basedOn w:val="1"/>
    <w:qFormat/>
    <w:uiPriority w:val="0"/>
    <w:pPr>
      <w:widowControl/>
      <w:spacing w:before="120" w:line="240" w:lineRule="auto"/>
      <w:jc w:val="left"/>
    </w:pPr>
    <w:rPr>
      <w:bCs/>
      <w:kern w:val="0"/>
      <w:sz w:val="20"/>
      <w:szCs w:val="20"/>
      <w:lang w:val="de-DE" w:eastAsia="de-DE"/>
    </w:rPr>
  </w:style>
  <w:style w:type="paragraph" w:customStyle="1" w:styleId="81">
    <w:name w:val="Table Paragraph"/>
    <w:basedOn w:val="1"/>
    <w:qFormat/>
    <w:uiPriority w:val="1"/>
    <w:pPr>
      <w:autoSpaceDE w:val="0"/>
      <w:autoSpaceDN w:val="0"/>
      <w:adjustRightInd w:val="0"/>
      <w:jc w:val="left"/>
    </w:pPr>
    <w:rPr>
      <w:rFonts w:ascii="Times New Roman" w:hAnsi="Times New Roman"/>
      <w:kern w:val="0"/>
      <w:sz w:val="24"/>
    </w:rPr>
  </w:style>
  <w:style w:type="paragraph" w:customStyle="1" w:styleId="82">
    <w:name w:val="样式 正文缩进 + 首行缩进:  2 字符"/>
    <w:basedOn w:val="6"/>
    <w:qFormat/>
    <w:uiPriority w:val="0"/>
    <w:pPr>
      <w:spacing w:line="360" w:lineRule="auto"/>
      <w:ind w:firstLine="200"/>
    </w:pPr>
    <w:rPr>
      <w:rFonts w:ascii="Times New Roman" w:hAnsi="Times New Roman"/>
      <w:sz w:val="24"/>
    </w:rPr>
  </w:style>
  <w:style w:type="paragraph" w:customStyle="1" w:styleId="83">
    <w:name w:val="正文首行缩进1"/>
    <w:basedOn w:val="9"/>
    <w:qFormat/>
    <w:uiPriority w:val="0"/>
    <w:pPr>
      <w:ind w:firstLine="420" w:firstLineChars="100"/>
    </w:pPr>
    <w:rPr>
      <w:rFonts w:ascii="Times New Roman" w:hAnsi="Times New Roman"/>
    </w:rPr>
  </w:style>
  <w:style w:type="character" w:customStyle="1" w:styleId="84">
    <w:name w:val="hover1"/>
    <w:basedOn w:val="26"/>
    <w:qFormat/>
    <w:uiPriority w:val="0"/>
    <w:rPr>
      <w:color w:val="2590EB"/>
    </w:rPr>
  </w:style>
  <w:style w:type="character" w:customStyle="1" w:styleId="85">
    <w:name w:val="hover2"/>
    <w:basedOn w:val="26"/>
    <w:qFormat/>
    <w:uiPriority w:val="0"/>
  </w:style>
  <w:style w:type="character" w:customStyle="1" w:styleId="86">
    <w:name w:val="hover3"/>
    <w:basedOn w:val="26"/>
    <w:qFormat/>
    <w:uiPriority w:val="0"/>
    <w:rPr>
      <w:color w:val="2590EB"/>
    </w:rPr>
  </w:style>
  <w:style w:type="character" w:customStyle="1" w:styleId="87">
    <w:name w:val="mini-outputtext1"/>
    <w:basedOn w:val="26"/>
    <w:qFormat/>
    <w:uiPriority w:val="0"/>
  </w:style>
  <w:style w:type="character" w:customStyle="1" w:styleId="88">
    <w:name w:val="hover"/>
    <w:basedOn w:val="26"/>
    <w:qFormat/>
    <w:uiPriority w:val="0"/>
    <w:rPr>
      <w:color w:val="2590EB"/>
    </w:rPr>
  </w:style>
  <w:style w:type="paragraph" w:customStyle="1" w:styleId="89">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90">
    <w:name w:val="要点编号"/>
    <w:basedOn w:val="75"/>
    <w:qFormat/>
    <w:uiPriority w:val="0"/>
    <w:pPr>
      <w:widowControl w:val="0"/>
      <w:numPr>
        <w:ilvl w:val="0"/>
        <w:numId w:val="2"/>
      </w:numPr>
      <w:spacing w:line="360" w:lineRule="auto"/>
      <w:ind w:right="240" w:rightChars="100" w:firstLine="0"/>
      <w:jc w:val="both"/>
    </w:pPr>
    <w:rPr>
      <w:rFonts w:ascii="Times New Roman" w:hAnsi="Times New Roman" w:eastAsia="宋体"/>
      <w:sz w:val="28"/>
    </w:rPr>
  </w:style>
  <w:style w:type="paragraph" w:customStyle="1" w:styleId="91">
    <w:name w:val="1)"/>
    <w:basedOn w:val="1"/>
    <w:qFormat/>
    <w:uiPriority w:val="0"/>
    <w:pPr>
      <w:widowControl w:val="0"/>
      <w:numPr>
        <w:ilvl w:val="0"/>
        <w:numId w:val="3"/>
      </w:numPr>
      <w:spacing w:line="360" w:lineRule="auto"/>
      <w:ind w:firstLine="0"/>
      <w:jc w:val="both"/>
    </w:pPr>
    <w:rPr>
      <w:rFonts w:ascii="Times New Roman" w:hAnsi="Times New Roman" w:eastAsia="宋体"/>
      <w:b/>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ZHBC</Company>
  <Pages>84</Pages>
  <Words>7479</Words>
  <Characters>42631</Characters>
  <Lines>355</Lines>
  <Paragraphs>100</Paragraphs>
  <TotalTime>30</TotalTime>
  <ScaleCrop>false</ScaleCrop>
  <LinksUpToDate>false</LinksUpToDate>
  <CharactersWithSpaces>50010</CharactersWithSpaces>
  <Application>WPS Office_11.1.0.10931_F1E327BC-269C-435d-A152-05C5408002CA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2021-01-18T01:18:00Z</dcterms:created>
  <dc:creator>fanfan</dc:creator>
  <cp:lastModifiedBy>L</cp:lastModifiedBy>
  <cp:lastPrinted>2021-04-13T08:42:00Z</cp:lastPrinted>
  <dcterms:modified xsi:type="dcterms:W3CDTF">2021-08-30T07:34:52Z</dcterms:modified>
  <dc:title>采购项目编号：5134312020******</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2052-11.1.0.10931</vt:lpwstr>
  </property>
  <property fmtid="{D5CDD505-2E9C-101B-9397-08002B2CF9AE}" pid="3" name="ICV">
    <vt:lpwstr>7F7FEFD9477F4D0DB2C640CF4439ED37</vt:lpwstr>
  </property>
</Properties>
</file>