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color w:val="auto"/>
          <w:kern w:val="0"/>
          <w:sz w:val="44"/>
          <w:szCs w:val="44"/>
          <w:highlight w:val="none"/>
          <w:lang w:eastAsia="zh-CN"/>
        </w:rPr>
      </w:pPr>
      <w:r>
        <w:rPr>
          <w:rFonts w:hint="eastAsia" w:ascii="宋体" w:hAnsi="宋体" w:eastAsia="宋体" w:cs="宋体"/>
          <w:b/>
          <w:color w:val="auto"/>
          <w:sz w:val="30"/>
          <w:szCs w:val="30"/>
          <w:highlight w:val="none"/>
          <w:lang w:eastAsia="zh-CN"/>
        </w:rPr>
        <w:t>招标编号</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eastAsia="zh-CN"/>
        </w:rPr>
        <w:t>510122202100243</w:t>
      </w:r>
    </w:p>
    <w:p>
      <w:pPr>
        <w:jc w:val="center"/>
        <w:rPr>
          <w:rFonts w:hint="eastAsia" w:ascii="宋体" w:hAnsi="宋体" w:eastAsia="宋体" w:cs="宋体"/>
          <w:b/>
          <w:color w:val="auto"/>
          <w:sz w:val="44"/>
          <w:szCs w:val="44"/>
          <w:highlight w:val="none"/>
        </w:rPr>
      </w:pPr>
      <w:r>
        <w:rPr>
          <w:rFonts w:hint="eastAsia" w:ascii="宋体" w:hAnsi="宋体" w:eastAsia="宋体" w:cs="宋体"/>
          <w:b/>
          <w:bCs/>
          <w:color w:val="auto"/>
          <w:kern w:val="0"/>
          <w:sz w:val="36"/>
          <w:szCs w:val="36"/>
          <w:highlight w:val="none"/>
          <w:lang w:eastAsia="zh-CN"/>
        </w:rPr>
        <w:t>成都市双流区路灯管理所双流区背街小巷“有路无灯”整治路灯设施安装采购项目</w:t>
      </w:r>
    </w:p>
    <w:p>
      <w:pPr>
        <w:rPr>
          <w:rFonts w:hint="eastAsia" w:ascii="宋体" w:hAnsi="宋体" w:eastAsia="宋体" w:cs="宋体"/>
          <w:b/>
          <w:color w:val="auto"/>
          <w:sz w:val="52"/>
          <w:szCs w:val="52"/>
          <w:highlight w:val="none"/>
        </w:rPr>
      </w:pPr>
    </w:p>
    <w:p>
      <w:pPr>
        <w:pStyle w:val="2"/>
        <w:rPr>
          <w:rFonts w:hint="eastAsia" w:ascii="宋体" w:hAnsi="宋体" w:eastAsia="宋体" w:cs="宋体"/>
          <w:b/>
          <w:color w:val="auto"/>
          <w:sz w:val="52"/>
          <w:szCs w:val="52"/>
          <w:highlight w:val="none"/>
          <w:lang w:val="en-US" w:eastAsia="zh-CN"/>
        </w:rPr>
      </w:pPr>
      <w:r>
        <w:rPr>
          <w:rFonts w:hint="eastAsia" w:ascii="宋体" w:hAnsi="宋体" w:eastAsia="宋体" w:cs="宋体"/>
          <w:b/>
          <w:color w:val="auto"/>
          <w:sz w:val="52"/>
          <w:szCs w:val="52"/>
          <w:highlight w:val="none"/>
          <w:lang w:val="en-US" w:eastAsia="zh-CN"/>
        </w:rPr>
        <w:t xml:space="preserve"> </w:t>
      </w:r>
    </w:p>
    <w:p>
      <w:pPr>
        <w:pStyle w:val="2"/>
        <w:rPr>
          <w:rFonts w:hint="eastAsia" w:ascii="宋体" w:hAnsi="宋体" w:eastAsia="宋体" w:cs="宋体"/>
          <w:color w:val="auto"/>
          <w:highlight w:val="none"/>
        </w:rPr>
      </w:pPr>
    </w:p>
    <w:p>
      <w:pPr>
        <w:jc w:val="center"/>
        <w:rPr>
          <w:rFonts w:hint="eastAsia" w:ascii="宋体" w:hAnsi="宋体" w:eastAsia="宋体" w:cs="宋体"/>
          <w:b/>
          <w:color w:val="auto"/>
          <w:sz w:val="72"/>
          <w:szCs w:val="72"/>
          <w:highlight w:val="none"/>
          <w:lang w:eastAsia="zh-CN"/>
        </w:rPr>
      </w:pPr>
      <w:r>
        <w:rPr>
          <w:rFonts w:hint="eastAsia" w:ascii="宋体" w:hAnsi="宋体" w:eastAsia="宋体" w:cs="宋体"/>
          <w:b/>
          <w:color w:val="auto"/>
          <w:sz w:val="72"/>
          <w:szCs w:val="72"/>
          <w:highlight w:val="none"/>
          <w:lang w:eastAsia="zh-CN"/>
        </w:rPr>
        <w:t>招标文件</w:t>
      </w:r>
    </w:p>
    <w:p>
      <w:pPr>
        <w:jc w:val="center"/>
        <w:rPr>
          <w:rFonts w:hint="eastAsia" w:ascii="宋体" w:hAnsi="宋体" w:eastAsia="宋体" w:cs="宋体"/>
          <w:b/>
          <w:color w:val="auto"/>
          <w:sz w:val="52"/>
          <w:szCs w:val="52"/>
          <w:highlight w:val="none"/>
        </w:rPr>
      </w:pPr>
    </w:p>
    <w:p>
      <w:pPr>
        <w:pStyle w:val="2"/>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中国·四川（成都）</w:t>
      </w:r>
    </w:p>
    <w:p>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成都市双流区路灯管理所</w:t>
      </w:r>
    </w:p>
    <w:p>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四川润民工程管理有限公司</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共同编制</w:t>
      </w:r>
    </w:p>
    <w:p>
      <w:pPr>
        <w:pStyle w:val="2"/>
        <w:jc w:val="center"/>
        <w:rPr>
          <w:rFonts w:hint="eastAsia" w:ascii="宋体" w:hAnsi="宋体" w:eastAsia="宋体" w:cs="宋体"/>
          <w:b/>
          <w:bCs/>
          <w:color w:val="auto"/>
          <w:sz w:val="36"/>
          <w:szCs w:val="36"/>
          <w:highlight w:val="none"/>
        </w:rPr>
        <w:sectPr>
          <w:pgSz w:w="11906" w:h="16838"/>
          <w:pgMar w:top="1440" w:right="1800" w:bottom="1440" w:left="1800" w:header="851" w:footer="992" w:gutter="0"/>
          <w:pgNumType w:fmt="decimal"/>
          <w:cols w:space="0" w:num="1"/>
          <w:docGrid w:type="lines" w:linePitch="312" w:charSpace="0"/>
        </w:sectPr>
      </w:pPr>
      <w:r>
        <w:rPr>
          <w:rFonts w:hint="eastAsia" w:ascii="宋体" w:hAnsi="宋体" w:eastAsia="宋体" w:cs="宋体"/>
          <w:b/>
          <w:color w:val="auto"/>
          <w:sz w:val="36"/>
          <w:szCs w:val="36"/>
          <w:highlight w:val="none"/>
          <w:lang w:val="en-US" w:eastAsia="zh-CN"/>
        </w:rPr>
        <w:t>2021年08月</w:t>
      </w:r>
    </w:p>
    <w:sdt>
      <w:sdtPr>
        <w:rPr>
          <w:rFonts w:ascii="宋体" w:hAnsi="宋体" w:eastAsia="宋体" w:cstheme="minorBidi"/>
          <w:color w:val="auto"/>
          <w:kern w:val="2"/>
          <w:sz w:val="21"/>
          <w:szCs w:val="24"/>
          <w:lang w:val="en-US" w:eastAsia="zh-CN" w:bidi="ar-SA"/>
        </w:rPr>
        <w:id w:val="147470774"/>
        <w15:color w:val="DBDBDB"/>
        <w:docPartObj>
          <w:docPartGallery w:val="Table of Contents"/>
          <w:docPartUnique/>
        </w:docPartObj>
      </w:sdtPr>
      <w:sdtEndPr>
        <w:rPr>
          <w:rFonts w:hint="eastAsia" w:ascii="宋体" w:hAnsi="宋体" w:eastAsia="宋体" w:cs="宋体"/>
          <w:color w:val="auto"/>
          <w:kern w:val="2"/>
          <w:sz w:val="21"/>
          <w:szCs w:val="24"/>
          <w:highlight w:val="none"/>
          <w:lang w:val="en-US" w:eastAsia="zh-CN" w:bidi="ar-SA"/>
        </w:rPr>
      </w:sdtEndPr>
      <w:sdtContent>
        <w:p>
          <w:pPr>
            <w:spacing w:before="0" w:beforeLines="0" w:after="0" w:afterLines="0" w:line="360" w:lineRule="auto"/>
            <w:ind w:left="0" w:leftChars="0" w:right="0" w:rightChars="0" w:firstLine="0" w:firstLine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目</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录</w:t>
          </w:r>
        </w:p>
        <w:p>
          <w:pPr>
            <w:pStyle w:val="15"/>
            <w:tabs>
              <w:tab w:val="right" w:leader="dot" w:pos="8958"/>
            </w:tabs>
            <w:spacing w:line="360" w:lineRule="auto"/>
            <w:rPr>
              <w:rFonts w:hint="eastAsia" w:ascii="宋体" w:hAnsi="宋体" w:eastAsia="宋体" w:cs="宋体"/>
              <w:b/>
              <w:bCs/>
              <w:sz w:val="30"/>
              <w:szCs w:val="30"/>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sz w:val="30"/>
              <w:szCs w:val="30"/>
              <w:highlight w:val="none"/>
            </w:rPr>
            <w:instrText xml:space="preserve"> HYPERLINK \l _Toc25334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 xml:space="preserve">第二章  </w:t>
          </w:r>
          <w:r>
            <w:rPr>
              <w:rFonts w:hint="eastAsia" w:ascii="宋体" w:hAnsi="宋体" w:eastAsia="宋体" w:cs="宋体"/>
              <w:b/>
              <w:bCs/>
              <w:sz w:val="30"/>
              <w:szCs w:val="30"/>
              <w:highlight w:val="none"/>
              <w:lang w:eastAsia="zh-CN"/>
            </w:rPr>
            <w:t>投标</w:t>
          </w:r>
          <w:r>
            <w:rPr>
              <w:rFonts w:hint="eastAsia" w:ascii="宋体" w:hAnsi="宋体" w:eastAsia="宋体" w:cs="宋体"/>
              <w:b/>
              <w:bCs/>
              <w:sz w:val="30"/>
              <w:szCs w:val="30"/>
              <w:highlight w:val="none"/>
            </w:rPr>
            <w:t>须知</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_Toc25334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5</w:t>
          </w:r>
          <w:r>
            <w:rPr>
              <w:rFonts w:hint="eastAsia" w:ascii="宋体" w:hAnsi="宋体" w:eastAsia="宋体" w:cs="宋体"/>
              <w:b/>
              <w:bCs/>
              <w:sz w:val="30"/>
              <w:szCs w:val="30"/>
            </w:rPr>
            <w:fldChar w:fldCharType="end"/>
          </w:r>
          <w:r>
            <w:rPr>
              <w:rFonts w:hint="eastAsia" w:ascii="宋体" w:hAnsi="宋体" w:eastAsia="宋体" w:cs="宋体"/>
              <w:b/>
              <w:bCs/>
              <w:color w:val="auto"/>
              <w:sz w:val="30"/>
              <w:szCs w:val="30"/>
              <w:highlight w:val="none"/>
            </w:rPr>
            <w:fldChar w:fldCharType="end"/>
          </w:r>
        </w:p>
        <w:p>
          <w:pPr>
            <w:pStyle w:val="15"/>
            <w:tabs>
              <w:tab w:val="right" w:leader="dot" w:pos="8958"/>
            </w:tabs>
            <w:spacing w:line="360" w:lineRule="auto"/>
            <w:rPr>
              <w:rFonts w:hint="eastAsia" w:ascii="宋体" w:hAnsi="宋体" w:eastAsia="宋体" w:cs="宋体"/>
              <w:b/>
              <w:bCs/>
              <w:sz w:val="30"/>
              <w:szCs w:val="30"/>
            </w:rPr>
          </w:pPr>
          <w:r>
            <w:rPr>
              <w:rFonts w:hint="eastAsia" w:ascii="宋体" w:hAnsi="宋体" w:eastAsia="宋体" w:cs="宋体"/>
              <w:b/>
              <w:bCs/>
              <w:color w:val="auto"/>
              <w:sz w:val="30"/>
              <w:szCs w:val="30"/>
              <w:highlight w:val="none"/>
            </w:rPr>
            <w:fldChar w:fldCharType="begin"/>
          </w:r>
          <w:r>
            <w:rPr>
              <w:rFonts w:hint="eastAsia" w:ascii="宋体" w:hAnsi="宋体" w:eastAsia="宋体" w:cs="宋体"/>
              <w:b/>
              <w:bCs/>
              <w:sz w:val="30"/>
              <w:szCs w:val="30"/>
              <w:highlight w:val="none"/>
            </w:rPr>
            <w:instrText xml:space="preserve"> HYPERLINK \l _Toc25023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第三章  投标文件格式</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_Toc25023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22</w:t>
          </w:r>
          <w:r>
            <w:rPr>
              <w:rFonts w:hint="eastAsia" w:ascii="宋体" w:hAnsi="宋体" w:eastAsia="宋体" w:cs="宋体"/>
              <w:b/>
              <w:bCs/>
              <w:sz w:val="30"/>
              <w:szCs w:val="30"/>
            </w:rPr>
            <w:fldChar w:fldCharType="end"/>
          </w:r>
          <w:r>
            <w:rPr>
              <w:rFonts w:hint="eastAsia" w:ascii="宋体" w:hAnsi="宋体" w:eastAsia="宋体" w:cs="宋体"/>
              <w:b/>
              <w:bCs/>
              <w:color w:val="auto"/>
              <w:sz w:val="30"/>
              <w:szCs w:val="30"/>
              <w:highlight w:val="none"/>
            </w:rPr>
            <w:fldChar w:fldCharType="end"/>
          </w:r>
        </w:p>
        <w:p>
          <w:pPr>
            <w:pStyle w:val="15"/>
            <w:tabs>
              <w:tab w:val="right" w:leader="dot" w:pos="8958"/>
            </w:tabs>
            <w:spacing w:line="360" w:lineRule="auto"/>
            <w:rPr>
              <w:rFonts w:hint="eastAsia" w:ascii="宋体" w:hAnsi="宋体" w:eastAsia="宋体" w:cs="宋体"/>
              <w:b/>
              <w:bCs/>
              <w:sz w:val="30"/>
              <w:szCs w:val="30"/>
            </w:rPr>
          </w:pPr>
          <w:r>
            <w:rPr>
              <w:rFonts w:hint="eastAsia" w:ascii="宋体" w:hAnsi="宋体" w:eastAsia="宋体" w:cs="宋体"/>
              <w:b/>
              <w:bCs/>
              <w:color w:val="auto"/>
              <w:sz w:val="30"/>
              <w:szCs w:val="30"/>
              <w:highlight w:val="none"/>
            </w:rPr>
            <w:fldChar w:fldCharType="begin"/>
          </w:r>
          <w:r>
            <w:rPr>
              <w:rFonts w:hint="eastAsia" w:ascii="宋体" w:hAnsi="宋体" w:eastAsia="宋体" w:cs="宋体"/>
              <w:b/>
              <w:bCs/>
              <w:sz w:val="30"/>
              <w:szCs w:val="30"/>
              <w:highlight w:val="none"/>
            </w:rPr>
            <w:instrText xml:space="preserve"> HYPERLINK \l _Toc31625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第四章  投标人和投标产品的资格、资质性及其他类似效力要求</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_Toc31625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44</w:t>
          </w:r>
          <w:r>
            <w:rPr>
              <w:rFonts w:hint="eastAsia" w:ascii="宋体" w:hAnsi="宋体" w:eastAsia="宋体" w:cs="宋体"/>
              <w:b/>
              <w:bCs/>
              <w:sz w:val="30"/>
              <w:szCs w:val="30"/>
            </w:rPr>
            <w:fldChar w:fldCharType="end"/>
          </w:r>
          <w:r>
            <w:rPr>
              <w:rFonts w:hint="eastAsia" w:ascii="宋体" w:hAnsi="宋体" w:eastAsia="宋体" w:cs="宋体"/>
              <w:b/>
              <w:bCs/>
              <w:color w:val="auto"/>
              <w:sz w:val="30"/>
              <w:szCs w:val="30"/>
              <w:highlight w:val="none"/>
            </w:rPr>
            <w:fldChar w:fldCharType="end"/>
          </w:r>
        </w:p>
        <w:p>
          <w:pPr>
            <w:pStyle w:val="15"/>
            <w:tabs>
              <w:tab w:val="right" w:leader="dot" w:pos="8958"/>
            </w:tabs>
            <w:spacing w:line="360" w:lineRule="auto"/>
            <w:rPr>
              <w:rFonts w:hint="eastAsia" w:ascii="宋体" w:hAnsi="宋体" w:eastAsia="宋体" w:cs="宋体"/>
              <w:b/>
              <w:bCs/>
              <w:sz w:val="30"/>
              <w:szCs w:val="30"/>
            </w:rPr>
          </w:pPr>
          <w:r>
            <w:rPr>
              <w:rFonts w:hint="eastAsia" w:ascii="宋体" w:hAnsi="宋体" w:eastAsia="宋体" w:cs="宋体"/>
              <w:b/>
              <w:bCs/>
              <w:color w:val="auto"/>
              <w:sz w:val="30"/>
              <w:szCs w:val="30"/>
              <w:highlight w:val="none"/>
            </w:rPr>
            <w:fldChar w:fldCharType="begin"/>
          </w:r>
          <w:r>
            <w:rPr>
              <w:rFonts w:hint="eastAsia" w:ascii="宋体" w:hAnsi="宋体" w:eastAsia="宋体" w:cs="宋体"/>
              <w:b/>
              <w:bCs/>
              <w:sz w:val="30"/>
              <w:szCs w:val="30"/>
              <w:highlight w:val="none"/>
            </w:rPr>
            <w:instrText xml:space="preserve"> HYPERLINK \l _Toc20331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第五章  投标人应当提供的资格、资质性及其他类似效力要求的相关证明材料</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_Toc20331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46</w:t>
          </w:r>
          <w:r>
            <w:rPr>
              <w:rFonts w:hint="eastAsia" w:ascii="宋体" w:hAnsi="宋体" w:eastAsia="宋体" w:cs="宋体"/>
              <w:b/>
              <w:bCs/>
              <w:sz w:val="30"/>
              <w:szCs w:val="30"/>
            </w:rPr>
            <w:fldChar w:fldCharType="end"/>
          </w:r>
          <w:r>
            <w:rPr>
              <w:rFonts w:hint="eastAsia" w:ascii="宋体" w:hAnsi="宋体" w:eastAsia="宋体" w:cs="宋体"/>
              <w:b/>
              <w:bCs/>
              <w:color w:val="auto"/>
              <w:sz w:val="30"/>
              <w:szCs w:val="30"/>
              <w:highlight w:val="none"/>
            </w:rPr>
            <w:fldChar w:fldCharType="end"/>
          </w:r>
        </w:p>
        <w:p>
          <w:pPr>
            <w:pStyle w:val="15"/>
            <w:tabs>
              <w:tab w:val="right" w:leader="dot" w:pos="8958"/>
            </w:tabs>
            <w:spacing w:line="360" w:lineRule="auto"/>
            <w:rPr>
              <w:rFonts w:hint="eastAsia" w:ascii="宋体" w:hAnsi="宋体" w:eastAsia="宋体" w:cs="宋体"/>
              <w:b/>
              <w:bCs/>
              <w:sz w:val="30"/>
              <w:szCs w:val="30"/>
            </w:rPr>
          </w:pPr>
          <w:r>
            <w:rPr>
              <w:rFonts w:hint="eastAsia" w:ascii="宋体" w:hAnsi="宋体" w:eastAsia="宋体" w:cs="宋体"/>
              <w:b/>
              <w:bCs/>
              <w:color w:val="auto"/>
              <w:sz w:val="30"/>
              <w:szCs w:val="30"/>
              <w:highlight w:val="none"/>
            </w:rPr>
            <w:fldChar w:fldCharType="begin"/>
          </w:r>
          <w:r>
            <w:rPr>
              <w:rFonts w:hint="eastAsia" w:ascii="宋体" w:hAnsi="宋体" w:eastAsia="宋体" w:cs="宋体"/>
              <w:b/>
              <w:bCs/>
              <w:sz w:val="30"/>
              <w:szCs w:val="30"/>
              <w:highlight w:val="none"/>
            </w:rPr>
            <w:instrText xml:space="preserve"> HYPERLINK \l _Toc1266 </w:instrText>
          </w:r>
          <w:r>
            <w:rPr>
              <w:rFonts w:hint="eastAsia" w:ascii="宋体" w:hAnsi="宋体" w:eastAsia="宋体" w:cs="宋体"/>
              <w:b/>
              <w:bCs/>
              <w:sz w:val="30"/>
              <w:szCs w:val="30"/>
              <w:highlight w:val="none"/>
            </w:rPr>
            <w:fldChar w:fldCharType="separate"/>
          </w:r>
          <w:r>
            <w:rPr>
              <w:rFonts w:hint="eastAsia" w:ascii="宋体" w:hAnsi="宋体" w:eastAsia="宋体" w:cs="宋体"/>
              <w:b/>
              <w:bCs/>
              <w:spacing w:val="-4"/>
              <w:sz w:val="30"/>
              <w:szCs w:val="30"/>
            </w:rPr>
            <w:t xml:space="preserve">第六章 </w:t>
          </w:r>
          <w:r>
            <w:rPr>
              <w:rFonts w:hint="eastAsia" w:ascii="宋体" w:hAnsi="宋体" w:eastAsia="宋体" w:cs="宋体"/>
              <w:b/>
              <w:bCs/>
              <w:sz w:val="30"/>
              <w:szCs w:val="30"/>
              <w:highlight w:val="none"/>
            </w:rPr>
            <w:t>招标项目技术、服务、政府采购合同内容条款及其他商务要求</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_Toc1266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48</w:t>
          </w:r>
          <w:r>
            <w:rPr>
              <w:rFonts w:hint="eastAsia" w:ascii="宋体" w:hAnsi="宋体" w:eastAsia="宋体" w:cs="宋体"/>
              <w:b/>
              <w:bCs/>
              <w:sz w:val="30"/>
              <w:szCs w:val="30"/>
            </w:rPr>
            <w:fldChar w:fldCharType="end"/>
          </w:r>
          <w:r>
            <w:rPr>
              <w:rFonts w:hint="eastAsia" w:ascii="宋体" w:hAnsi="宋体" w:eastAsia="宋体" w:cs="宋体"/>
              <w:b/>
              <w:bCs/>
              <w:color w:val="auto"/>
              <w:sz w:val="30"/>
              <w:szCs w:val="30"/>
              <w:highlight w:val="none"/>
            </w:rPr>
            <w:fldChar w:fldCharType="end"/>
          </w:r>
        </w:p>
        <w:p>
          <w:pPr>
            <w:pStyle w:val="15"/>
            <w:tabs>
              <w:tab w:val="right" w:leader="dot" w:pos="8958"/>
            </w:tabs>
            <w:spacing w:line="360" w:lineRule="auto"/>
            <w:rPr>
              <w:rFonts w:hint="eastAsia" w:ascii="宋体" w:hAnsi="宋体" w:eastAsia="宋体" w:cs="宋体"/>
              <w:b/>
              <w:bCs/>
              <w:sz w:val="30"/>
              <w:szCs w:val="30"/>
            </w:rPr>
          </w:pPr>
          <w:r>
            <w:rPr>
              <w:rFonts w:hint="eastAsia" w:ascii="宋体" w:hAnsi="宋体" w:eastAsia="宋体" w:cs="宋体"/>
              <w:b/>
              <w:bCs/>
              <w:color w:val="auto"/>
              <w:sz w:val="30"/>
              <w:szCs w:val="30"/>
              <w:highlight w:val="none"/>
            </w:rPr>
            <w:fldChar w:fldCharType="begin"/>
          </w:r>
          <w:r>
            <w:rPr>
              <w:rFonts w:hint="eastAsia" w:ascii="宋体" w:hAnsi="宋体" w:eastAsia="宋体" w:cs="宋体"/>
              <w:b/>
              <w:bCs/>
              <w:sz w:val="30"/>
              <w:szCs w:val="30"/>
              <w:highlight w:val="none"/>
            </w:rPr>
            <w:instrText xml:space="preserve"> HYPERLINK \l _Toc20994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w:t>
          </w:r>
          <w:r>
            <w:rPr>
              <w:rFonts w:hint="eastAsia" w:ascii="宋体" w:hAnsi="宋体" w:eastAsia="宋体" w:cs="宋体"/>
              <w:b/>
              <w:bCs/>
              <w:sz w:val="30"/>
              <w:szCs w:val="30"/>
              <w:highlight w:val="none"/>
              <w:lang w:eastAsia="zh-CN"/>
            </w:rPr>
            <w:t>七</w:t>
          </w:r>
          <w:r>
            <w:rPr>
              <w:rFonts w:hint="eastAsia" w:ascii="宋体" w:hAnsi="宋体" w:eastAsia="宋体" w:cs="宋体"/>
              <w:b/>
              <w:bCs/>
              <w:sz w:val="30"/>
              <w:szCs w:val="30"/>
              <w:highlight w:val="none"/>
            </w:rPr>
            <w:t>章  评审方法</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_Toc20994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55</w:t>
          </w:r>
          <w:r>
            <w:rPr>
              <w:rFonts w:hint="eastAsia" w:ascii="宋体" w:hAnsi="宋体" w:eastAsia="宋体" w:cs="宋体"/>
              <w:b/>
              <w:bCs/>
              <w:sz w:val="30"/>
              <w:szCs w:val="30"/>
            </w:rPr>
            <w:fldChar w:fldCharType="end"/>
          </w:r>
          <w:r>
            <w:rPr>
              <w:rFonts w:hint="eastAsia" w:ascii="宋体" w:hAnsi="宋体" w:eastAsia="宋体" w:cs="宋体"/>
              <w:b/>
              <w:bCs/>
              <w:color w:val="auto"/>
              <w:sz w:val="30"/>
              <w:szCs w:val="30"/>
              <w:highlight w:val="none"/>
            </w:rPr>
            <w:fldChar w:fldCharType="end"/>
          </w:r>
        </w:p>
        <w:p>
          <w:pPr>
            <w:pStyle w:val="15"/>
            <w:tabs>
              <w:tab w:val="right" w:leader="dot" w:pos="8958"/>
            </w:tabs>
            <w:spacing w:line="360" w:lineRule="auto"/>
          </w:pPr>
          <w:r>
            <w:rPr>
              <w:rFonts w:hint="eastAsia" w:ascii="宋体" w:hAnsi="宋体" w:eastAsia="宋体" w:cs="宋体"/>
              <w:b/>
              <w:bCs/>
              <w:color w:val="auto"/>
              <w:sz w:val="30"/>
              <w:szCs w:val="30"/>
              <w:highlight w:val="none"/>
            </w:rPr>
            <w:fldChar w:fldCharType="begin"/>
          </w:r>
          <w:r>
            <w:rPr>
              <w:rFonts w:hint="eastAsia" w:ascii="宋体" w:hAnsi="宋体" w:eastAsia="宋体" w:cs="宋体"/>
              <w:b/>
              <w:bCs/>
              <w:sz w:val="30"/>
              <w:szCs w:val="30"/>
              <w:highlight w:val="none"/>
            </w:rPr>
            <w:instrText xml:space="preserve"> HYPERLINK \l _Toc24151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w:t>
          </w:r>
          <w:r>
            <w:rPr>
              <w:rFonts w:hint="eastAsia" w:ascii="宋体" w:hAnsi="宋体" w:eastAsia="宋体" w:cs="宋体"/>
              <w:b/>
              <w:bCs/>
              <w:sz w:val="30"/>
              <w:szCs w:val="30"/>
              <w:highlight w:val="none"/>
              <w:lang w:eastAsia="zh-CN"/>
            </w:rPr>
            <w:t>八</w:t>
          </w:r>
          <w:r>
            <w:rPr>
              <w:rFonts w:hint="eastAsia" w:ascii="宋体" w:hAnsi="宋体" w:eastAsia="宋体" w:cs="宋体"/>
              <w:b/>
              <w:bCs/>
              <w:sz w:val="30"/>
              <w:szCs w:val="30"/>
              <w:highlight w:val="none"/>
            </w:rPr>
            <w:t>章  政府采购合同（草案）</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_Toc24151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66</w:t>
          </w:r>
          <w:r>
            <w:rPr>
              <w:rFonts w:hint="eastAsia" w:ascii="宋体" w:hAnsi="宋体" w:eastAsia="宋体" w:cs="宋体"/>
              <w:b/>
              <w:bCs/>
              <w:sz w:val="30"/>
              <w:szCs w:val="30"/>
            </w:rPr>
            <w:fldChar w:fldCharType="end"/>
          </w:r>
          <w:r>
            <w:rPr>
              <w:rFonts w:hint="eastAsia" w:ascii="宋体" w:hAnsi="宋体" w:eastAsia="宋体" w:cs="宋体"/>
              <w:b/>
              <w:bCs/>
              <w:color w:val="auto"/>
              <w:sz w:val="30"/>
              <w:szCs w:val="30"/>
              <w:highlight w:val="none"/>
            </w:rPr>
            <w:fldChar w:fldCharType="end"/>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1"/>
              <w:szCs w:val="24"/>
              <w:highlight w:val="none"/>
              <w:lang w:val="en-US" w:eastAsia="zh-CN" w:bidi="ar-SA"/>
            </w:rPr>
            <w:sectPr>
              <w:footerReference r:id="rId3" w:type="default"/>
              <w:pgSz w:w="11906" w:h="16838"/>
              <w:pgMar w:top="1389" w:right="1474" w:bottom="1389" w:left="1474" w:header="851" w:footer="992" w:gutter="0"/>
              <w:pgNumType w:fmt="decimal" w:start="1"/>
              <w:cols w:space="720" w:num="1"/>
              <w:docGrid w:type="lines" w:linePitch="484" w:charSpace="0"/>
            </w:sectPr>
          </w:pPr>
          <w:r>
            <w:rPr>
              <w:rFonts w:hint="eastAsia" w:ascii="宋体" w:hAnsi="宋体" w:eastAsia="宋体" w:cs="宋体"/>
              <w:bCs/>
              <w:color w:val="auto"/>
              <w:szCs w:val="32"/>
              <w:highlight w:val="none"/>
            </w:rPr>
            <w:fldChar w:fldCharType="end"/>
          </w:r>
        </w:p>
      </w:sdtContent>
    </w:sdt>
    <w:p>
      <w:pPr>
        <w:pStyle w:val="2"/>
        <w:jc w:val="center"/>
        <w:rPr>
          <w:rFonts w:hint="eastAsia" w:ascii="宋体" w:hAnsi="宋体" w:eastAsia="宋体" w:cs="宋体"/>
          <w:b/>
          <w:bCs/>
          <w:color w:val="auto"/>
          <w:sz w:val="32"/>
          <w:szCs w:val="32"/>
          <w:highlight w:val="none"/>
        </w:rPr>
      </w:pPr>
      <w:bookmarkStart w:id="0" w:name="_Toc11197"/>
      <w:bookmarkStart w:id="1" w:name="_Toc21309"/>
      <w:r>
        <w:rPr>
          <w:rFonts w:hint="eastAsia" w:ascii="宋体" w:hAnsi="宋体" w:eastAsia="宋体" w:cs="宋体"/>
          <w:b/>
          <w:bCs/>
          <w:color w:val="auto"/>
          <w:sz w:val="32"/>
          <w:szCs w:val="32"/>
          <w:highlight w:val="none"/>
        </w:rPr>
        <w:t xml:space="preserve">第一章  </w:t>
      </w:r>
      <w:r>
        <w:rPr>
          <w:rFonts w:hint="eastAsia" w:ascii="宋体" w:hAnsi="宋体" w:eastAsia="宋体" w:cs="宋体"/>
          <w:b/>
          <w:bCs/>
          <w:color w:val="auto"/>
          <w:sz w:val="32"/>
          <w:szCs w:val="32"/>
          <w:highlight w:val="none"/>
          <w:lang w:eastAsia="zh-CN"/>
        </w:rPr>
        <w:t>投标</w:t>
      </w:r>
      <w:r>
        <w:rPr>
          <w:rFonts w:hint="eastAsia" w:ascii="宋体" w:hAnsi="宋体" w:eastAsia="宋体" w:cs="宋体"/>
          <w:b/>
          <w:bCs/>
          <w:color w:val="auto"/>
          <w:sz w:val="32"/>
          <w:szCs w:val="32"/>
          <w:highlight w:val="none"/>
        </w:rPr>
        <w:t>邀请</w:t>
      </w:r>
      <w:bookmarkEnd w:id="0"/>
      <w:bookmarkEnd w:id="1"/>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四川润民工程管理有限公司</w:t>
      </w:r>
      <w:r>
        <w:rPr>
          <w:rFonts w:hint="eastAsia" w:ascii="宋体" w:hAnsi="宋体" w:eastAsia="宋体" w:cs="宋体"/>
          <w:color w:val="auto"/>
          <w:sz w:val="24"/>
          <w:szCs w:val="24"/>
          <w:highlight w:val="none"/>
        </w:rPr>
        <w:t>（采购代理机构）受</w:t>
      </w:r>
      <w:r>
        <w:rPr>
          <w:rFonts w:hint="eastAsia" w:ascii="宋体" w:hAnsi="宋体" w:eastAsia="宋体" w:cs="宋体"/>
          <w:bCs/>
          <w:color w:val="auto"/>
          <w:sz w:val="24"/>
          <w:szCs w:val="24"/>
          <w:highlight w:val="none"/>
          <w:u w:val="single"/>
          <w:lang w:eastAsia="zh-CN"/>
        </w:rPr>
        <w:t>成都市双流区路灯管理所</w:t>
      </w:r>
      <w:r>
        <w:rPr>
          <w:rFonts w:hint="eastAsia" w:ascii="宋体" w:hAnsi="宋体" w:eastAsia="宋体" w:cs="宋体"/>
          <w:bCs/>
          <w:color w:val="auto"/>
          <w:sz w:val="24"/>
          <w:szCs w:val="24"/>
          <w:highlight w:val="none"/>
        </w:rPr>
        <w:t>（采购人）</w:t>
      </w:r>
      <w:r>
        <w:rPr>
          <w:rFonts w:hint="eastAsia" w:ascii="宋体" w:hAnsi="宋体" w:eastAsia="宋体" w:cs="宋体"/>
          <w:color w:val="auto"/>
          <w:sz w:val="24"/>
          <w:szCs w:val="24"/>
          <w:highlight w:val="none"/>
        </w:rPr>
        <w:t>委托，拟对</w:t>
      </w:r>
      <w:r>
        <w:rPr>
          <w:rFonts w:hint="eastAsia" w:ascii="宋体" w:hAnsi="宋体" w:eastAsia="宋体" w:cs="宋体"/>
          <w:color w:val="auto"/>
          <w:sz w:val="24"/>
          <w:szCs w:val="24"/>
          <w:highlight w:val="none"/>
          <w:u w:val="single"/>
          <w:lang w:eastAsia="zh-CN"/>
        </w:rPr>
        <w:t>成都市双流区路灯管理所双流区背街小巷“有路无灯”整治路灯设施安装采购项目</w:t>
      </w: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lang w:eastAsia="zh-CN"/>
        </w:rPr>
        <w:t>公开招标</w:t>
      </w:r>
      <w:r>
        <w:rPr>
          <w:rFonts w:hint="eastAsia" w:ascii="宋体" w:hAnsi="宋体" w:eastAsia="宋体" w:cs="宋体"/>
          <w:color w:val="auto"/>
          <w:sz w:val="24"/>
          <w:szCs w:val="24"/>
          <w:highlight w:val="none"/>
        </w:rPr>
        <w:t>方式进行采购，特邀请符合本次采购要求的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参加本项目的</w:t>
      </w:r>
      <w:r>
        <w:rPr>
          <w:rFonts w:hint="eastAsia" w:ascii="宋体" w:hAnsi="宋体" w:eastAsia="宋体" w:cs="宋体"/>
          <w:color w:val="auto"/>
          <w:sz w:val="24"/>
          <w:szCs w:val="24"/>
          <w:highlight w:val="none"/>
          <w:lang w:eastAsia="zh-CN"/>
        </w:rPr>
        <w:t>采购活动</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一、采购项目基本情况</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招标编号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510122202100243</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招标项目</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成都市双流区路灯管理所双流区背街小巷“有路无灯”整治路灯设施安装采购项目</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3.本项目属于制造业</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二、资金情况</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资金来源及金额：财政性资金</w:t>
      </w:r>
      <w:r>
        <w:rPr>
          <w:rFonts w:hint="eastAsia" w:ascii="宋体" w:hAnsi="宋体" w:eastAsia="宋体" w:cs="宋体"/>
          <w:color w:val="auto"/>
          <w:sz w:val="24"/>
          <w:szCs w:val="24"/>
          <w:lang w:eastAsia="zh-CN"/>
        </w:rPr>
        <w:t>，已落实；</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lang w:val="zh-CN"/>
        </w:rPr>
        <w:t>预算648000.00</w:t>
      </w:r>
      <w:r>
        <w:rPr>
          <w:rFonts w:hint="eastAsia" w:ascii="宋体" w:hAnsi="宋体" w:eastAsia="宋体" w:cs="宋体"/>
          <w:color w:val="auto"/>
          <w:sz w:val="24"/>
          <w:szCs w:val="24"/>
          <w:lang w:val="zh-CN" w:eastAsia="zh-CN"/>
        </w:rPr>
        <w:t>元</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最高限价：</w:t>
      </w:r>
      <w:r>
        <w:rPr>
          <w:rFonts w:hint="eastAsia" w:ascii="宋体" w:hAnsi="宋体" w:eastAsia="宋体" w:cs="宋体"/>
          <w:color w:val="auto"/>
          <w:sz w:val="24"/>
          <w:szCs w:val="24"/>
          <w:lang w:val="zh-CN"/>
        </w:rPr>
        <w:t>648000.00</w:t>
      </w:r>
      <w:r>
        <w:rPr>
          <w:rFonts w:hint="eastAsia" w:ascii="宋体" w:hAnsi="宋体" w:eastAsia="宋体" w:cs="宋体"/>
          <w:color w:val="auto"/>
          <w:sz w:val="24"/>
          <w:szCs w:val="24"/>
          <w:lang w:val="zh-CN" w:eastAsia="zh-CN"/>
        </w:rPr>
        <w:t>元</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eastAsia="zh-CN"/>
        </w:rPr>
        <w:t>招标</w:t>
      </w:r>
      <w:r>
        <w:rPr>
          <w:rFonts w:hint="eastAsia" w:ascii="宋体" w:hAnsi="宋体" w:eastAsia="宋体" w:cs="宋体"/>
          <w:b/>
          <w:bCs/>
          <w:color w:val="auto"/>
          <w:sz w:val="24"/>
          <w:szCs w:val="24"/>
        </w:rPr>
        <w:t>项目简介：</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应成都市双流区路灯管理所工作的需求，对成都市双流区路灯管理所双流区背街小巷“有路无灯”整治路灯设施安装采购项目进行采购</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具体内容详见招标文件第六章</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w:t>
      </w:r>
      <w:r>
        <w:rPr>
          <w:rFonts w:hint="eastAsia" w:ascii="宋体" w:hAnsi="宋体" w:eastAsia="宋体" w:cs="宋体"/>
          <w:b/>
          <w:bCs/>
          <w:color w:val="auto"/>
          <w:sz w:val="24"/>
          <w:szCs w:val="24"/>
          <w:lang w:eastAsia="zh-CN"/>
        </w:rPr>
        <w:t>投标人</w:t>
      </w:r>
      <w:r>
        <w:rPr>
          <w:rFonts w:hint="eastAsia" w:ascii="宋体" w:hAnsi="宋体" w:eastAsia="宋体" w:cs="宋体"/>
          <w:b/>
          <w:bCs/>
          <w:color w:val="auto"/>
          <w:sz w:val="24"/>
          <w:szCs w:val="24"/>
        </w:rPr>
        <w:t>邀请方式</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公告方式：本次</w:t>
      </w:r>
      <w:r>
        <w:rPr>
          <w:rFonts w:hint="eastAsia" w:ascii="宋体" w:hAnsi="宋体" w:eastAsia="宋体" w:cs="宋体"/>
          <w:color w:val="auto"/>
          <w:sz w:val="24"/>
          <w:szCs w:val="24"/>
          <w:lang w:eastAsia="zh-CN"/>
        </w:rPr>
        <w:t>公开招标</w:t>
      </w:r>
      <w:r>
        <w:rPr>
          <w:rFonts w:hint="eastAsia" w:ascii="宋体" w:hAnsi="宋体" w:eastAsia="宋体" w:cs="宋体"/>
          <w:color w:val="auto"/>
          <w:sz w:val="24"/>
          <w:szCs w:val="24"/>
        </w:rPr>
        <w:t>邀请在四川政府采购网（www.sczfcg.com）上以公告形式发布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五、投标人</w:t>
      </w:r>
      <w:r>
        <w:rPr>
          <w:rFonts w:hint="eastAsia" w:ascii="宋体" w:hAnsi="宋体" w:eastAsia="宋体" w:cs="宋体"/>
          <w:b/>
          <w:bCs/>
          <w:color w:val="auto"/>
          <w:sz w:val="24"/>
          <w:szCs w:val="24"/>
        </w:rPr>
        <w:t>参加本次政府采购活动，应当在提交投标文件前具备下列条件：</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1、具有独立承担民事责任的能力；</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2、具有良好的商业信誉和健全的财务会计制度；</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3、具有履行合同所必须的设备</w:t>
      </w:r>
      <w:r>
        <w:rPr>
          <w:rFonts w:hint="eastAsia" w:ascii="宋体" w:hAnsi="宋体" w:eastAsia="宋体" w:cs="宋体"/>
          <w:color w:val="auto"/>
          <w:sz w:val="24"/>
          <w:szCs w:val="24"/>
        </w:rPr>
        <w:t>和专业技术能力；</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4、具有依法缴纳税收和社会保障资金的良好记录；</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5、参加本次政府采购活动前三年内，在经营活动中没有重大违法记录；</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、本项目规定的特定资格条件：</w:t>
      </w:r>
    </w:p>
    <w:p>
      <w:pPr>
        <w:keepNext w:val="0"/>
        <w:keepLines w:val="0"/>
        <w:pageBreakBefore w:val="0"/>
        <w:kinsoku/>
        <w:wordWrap/>
        <w:overflowPunct/>
        <w:topLinePunct w:val="0"/>
        <w:autoSpaceDE/>
        <w:autoSpaceDN/>
        <w:bidi w:val="0"/>
        <w:adjustRightInd/>
        <w:snapToGrid w:val="0"/>
        <w:spacing w:line="360" w:lineRule="auto"/>
        <w:ind w:left="-2" w:leftChars="-1" w:firstLine="569"/>
        <w:textAlignment w:val="auto"/>
        <w:rPr>
          <w:rFonts w:hint="eastAsia" w:ascii="宋体" w:hAnsi="宋体" w:eastAsia="宋体" w:cs="宋体"/>
          <w:bCs/>
          <w:color w:val="auto"/>
          <w:sz w:val="24"/>
          <w:szCs w:val="22"/>
        </w:rPr>
      </w:pPr>
      <w:r>
        <w:rPr>
          <w:rFonts w:hint="eastAsia" w:ascii="宋体" w:hAnsi="宋体" w:eastAsia="宋体" w:cs="宋体"/>
          <w:color w:val="auto"/>
          <w:sz w:val="24"/>
          <w:szCs w:val="24"/>
        </w:rPr>
        <w:t>（1）</w:t>
      </w:r>
      <w:r>
        <w:rPr>
          <w:rFonts w:hint="eastAsia" w:ascii="宋体" w:hAnsi="宋体" w:eastAsia="宋体" w:cs="宋体"/>
          <w:bCs/>
          <w:color w:val="auto"/>
          <w:sz w:val="24"/>
          <w:szCs w:val="22"/>
        </w:rPr>
        <w:t>投标人须具有城市道路照明工程专业承包叁级及以上资质；</w:t>
      </w:r>
    </w:p>
    <w:p>
      <w:pPr>
        <w:keepNext w:val="0"/>
        <w:keepLines w:val="0"/>
        <w:pageBreakBefore w:val="0"/>
        <w:kinsoku/>
        <w:wordWrap/>
        <w:overflowPunct/>
        <w:topLinePunct w:val="0"/>
        <w:autoSpaceDE/>
        <w:autoSpaceDN/>
        <w:bidi w:val="0"/>
        <w:adjustRightInd/>
        <w:snapToGrid w:val="0"/>
        <w:spacing w:line="360" w:lineRule="auto"/>
        <w:ind w:left="-2" w:leftChars="-1" w:firstLine="569"/>
        <w:textAlignment w:val="auto"/>
        <w:rPr>
          <w:rFonts w:hint="eastAsia" w:ascii="宋体" w:hAnsi="宋体" w:eastAsia="宋体" w:cs="宋体"/>
          <w:bCs/>
          <w:color w:val="auto"/>
          <w:sz w:val="24"/>
          <w:szCs w:val="22"/>
        </w:rPr>
      </w:pPr>
      <w:r>
        <w:rPr>
          <w:rFonts w:hint="eastAsia" w:ascii="宋体" w:hAnsi="宋体" w:eastAsia="宋体" w:cs="宋体"/>
          <w:bCs/>
          <w:color w:val="auto"/>
          <w:sz w:val="24"/>
          <w:szCs w:val="22"/>
        </w:rPr>
        <w:t>（2）投标人须具有有效期内的安全生产许可证；</w:t>
      </w:r>
    </w:p>
    <w:p>
      <w:pPr>
        <w:keepNext w:val="0"/>
        <w:keepLines w:val="0"/>
        <w:pageBreakBefore w:val="0"/>
        <w:kinsoku/>
        <w:wordWrap/>
        <w:overflowPunct/>
        <w:topLinePunct w:val="0"/>
        <w:autoSpaceDE/>
        <w:autoSpaceDN/>
        <w:bidi w:val="0"/>
        <w:adjustRightInd/>
        <w:snapToGrid w:val="0"/>
        <w:spacing w:line="360" w:lineRule="auto"/>
        <w:ind w:left="-2" w:leftChars="-1" w:firstLine="569"/>
        <w:textAlignment w:val="auto"/>
        <w:rPr>
          <w:rFonts w:hint="eastAsia" w:ascii="宋体" w:hAnsi="宋体" w:eastAsia="宋体" w:cs="宋体"/>
          <w:bCs/>
          <w:color w:val="auto"/>
          <w:sz w:val="24"/>
          <w:szCs w:val="22"/>
        </w:rPr>
      </w:pPr>
      <w:r>
        <w:rPr>
          <w:rFonts w:hint="eastAsia" w:ascii="宋体" w:hAnsi="宋体" w:eastAsia="宋体" w:cs="宋体"/>
          <w:bCs/>
          <w:color w:val="auto"/>
          <w:sz w:val="24"/>
          <w:szCs w:val="22"/>
        </w:rPr>
        <w:t>（3）本项目参加政府采购活动的投标人</w:t>
      </w:r>
      <w:r>
        <w:rPr>
          <w:rFonts w:hint="eastAsia" w:ascii="宋体" w:hAnsi="宋体" w:eastAsia="宋体" w:cs="宋体"/>
          <w:bCs/>
          <w:color w:val="auto"/>
          <w:sz w:val="24"/>
          <w:szCs w:val="22"/>
          <w:lang w:val="zh-CN"/>
        </w:rPr>
        <w:t>及其现任法定代表人</w:t>
      </w:r>
      <w:r>
        <w:rPr>
          <w:rFonts w:hint="eastAsia" w:ascii="宋体" w:hAnsi="宋体" w:eastAsia="宋体" w:cs="宋体"/>
          <w:bCs/>
          <w:color w:val="auto"/>
          <w:sz w:val="24"/>
          <w:szCs w:val="22"/>
        </w:rPr>
        <w:t>/单位负责人</w:t>
      </w:r>
      <w:r>
        <w:rPr>
          <w:rFonts w:hint="eastAsia" w:ascii="宋体" w:hAnsi="宋体" w:eastAsia="宋体" w:cs="宋体"/>
          <w:bCs/>
          <w:color w:val="auto"/>
          <w:sz w:val="24"/>
          <w:szCs w:val="22"/>
          <w:lang w:val="zh-CN"/>
        </w:rPr>
        <w:t>、主要负责人</w:t>
      </w:r>
      <w:r>
        <w:rPr>
          <w:rFonts w:hint="eastAsia" w:ascii="宋体" w:hAnsi="宋体" w:eastAsia="宋体" w:cs="宋体"/>
          <w:bCs/>
          <w:color w:val="auto"/>
          <w:sz w:val="24"/>
          <w:szCs w:val="22"/>
        </w:rPr>
        <w:t>在前3年内不得具有行贿犯罪记录（提供承诺函）；</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auto"/>
          <w:sz w:val="24"/>
          <w:szCs w:val="22"/>
        </w:rPr>
      </w:pPr>
      <w:r>
        <w:rPr>
          <w:rFonts w:hint="eastAsia" w:ascii="宋体" w:hAnsi="宋体" w:eastAsia="宋体" w:cs="宋体"/>
          <w:bCs/>
          <w:color w:val="auto"/>
          <w:sz w:val="24"/>
          <w:szCs w:val="22"/>
        </w:rPr>
        <w:t>（4）本项目不接受联合体投标；</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Cs/>
          <w:color w:val="auto"/>
          <w:sz w:val="24"/>
          <w:szCs w:val="22"/>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落实政府采购政策的资格条件：本项目为专门面向中小微企业（残疾人企业、监狱企业、符合中小企业划型的个体工商户视同中小企业），非中小企业参与的将视为无效投标；</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六、禁止参加本次采购活动的</w:t>
      </w:r>
      <w:r>
        <w:rPr>
          <w:rFonts w:hint="eastAsia" w:ascii="宋体" w:hAnsi="宋体" w:eastAsia="宋体" w:cs="宋体"/>
          <w:b/>
          <w:bCs/>
          <w:color w:val="auto"/>
          <w:sz w:val="24"/>
          <w:szCs w:val="24"/>
          <w:lang w:eastAsia="zh-CN"/>
        </w:rPr>
        <w:t>投标人</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关于在政府采购活动中查询及使用信用记录有关问题的通知》（财库〔2016〕125号）的要求，采购代理机构将通过“信用中国”网站（www.creditchina.gov.cn）、“中国政府采购网”网站（www.ccgp.gov.cn）等渠道查询</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在采购公告发布之日前的信用记录并保存信用记录结果网页截图，拒绝列入失信被执行人名单、重大税收违法案件当事人名单、政府采购严重违法失信行为记录名单中的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报名参加本项目的采购活动。</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2.为采购项目提供整体设计、规范编制或者项目管理、监理、检测等服务的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，不得参加本采购项目。</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为采购人、采购代理机构在确定采购需求、编制招标文件过程中提供咨询论证，其提供的咨询论证意见成为招标文件中规定的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资格条件、技术服务商务要求、评审因素和标准、政府采购合同等实质性内容条款的，视同为采购项目提供规范编制。</w:t>
      </w:r>
    </w:p>
    <w:p>
      <w:pPr>
        <w:keepNext w:val="0"/>
        <w:keepLines w:val="0"/>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color w:val="auto"/>
          <w:sz w:val="24"/>
          <w:szCs w:val="24"/>
          <w:highlight w:val="none"/>
          <w:lang w:eastAsia="zh-CN"/>
        </w:rPr>
        <w:t>投标</w:t>
      </w:r>
      <w:r>
        <w:rPr>
          <w:rFonts w:hint="eastAsia" w:ascii="宋体" w:hAnsi="宋体" w:eastAsia="宋体" w:cs="宋体"/>
          <w:b/>
          <w:color w:val="auto"/>
          <w:sz w:val="24"/>
          <w:szCs w:val="24"/>
          <w:highlight w:val="none"/>
        </w:rPr>
        <w:t>文件获取方式、时间、地点：</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bidi="ar"/>
        </w:rPr>
        <w:t>1、</w:t>
      </w:r>
      <w:r>
        <w:rPr>
          <w:rFonts w:hint="eastAsia" w:ascii="宋体" w:hAnsi="宋体" w:eastAsia="宋体" w:cs="宋体"/>
          <w:color w:val="auto"/>
          <w:kern w:val="2"/>
          <w:sz w:val="24"/>
          <w:szCs w:val="24"/>
          <w:highlight w:val="none"/>
          <w:lang w:val="en-US" w:eastAsia="zh-CN" w:bidi="ar-SA"/>
        </w:rPr>
        <w:t>投标人从“政府采购云平台”获取采购文件(网址：https://www.zcygov.cn)。登录“政府采购云平台”—项目采购—获取采购文件—申请获取采购文件。</w:t>
      </w:r>
    </w:p>
    <w:p>
      <w:pPr>
        <w:pStyle w:val="2"/>
        <w:keepNext w:val="0"/>
        <w:keepLines w:val="0"/>
        <w:pageBreakBefore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kern w:val="0"/>
          <w:sz w:val="24"/>
          <w:szCs w:val="24"/>
          <w:lang w:val="en-US" w:eastAsia="zh-CN" w:bidi="ar"/>
        </w:rPr>
        <w:t>2、</w:t>
      </w:r>
      <w:r>
        <w:rPr>
          <w:rFonts w:hint="eastAsia" w:ascii="宋体" w:hAnsi="宋体" w:eastAsia="宋体" w:cs="宋体"/>
          <w:color w:val="auto"/>
          <w:sz w:val="24"/>
          <w:szCs w:val="24"/>
          <w:highlight w:val="none"/>
          <w:lang w:eastAsia="zh-CN"/>
        </w:rPr>
        <w:t>报名时间：</w:t>
      </w:r>
      <w:r>
        <w:rPr>
          <w:rFonts w:hint="eastAsia" w:ascii="宋体" w:hAnsi="宋体" w:eastAsia="宋体" w:cs="宋体"/>
          <w:color w:val="auto"/>
          <w:sz w:val="24"/>
          <w:szCs w:val="24"/>
          <w:highlight w:val="none"/>
          <w:u w:val="single"/>
          <w:lang w:eastAsia="zh-CN"/>
        </w:rPr>
        <w:t>2021年</w:t>
      </w:r>
      <w:r>
        <w:rPr>
          <w:rFonts w:hint="eastAsia" w:ascii="宋体" w:hAnsi="宋体" w:eastAsia="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26</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lang w:eastAsia="zh-CN"/>
        </w:rPr>
        <w:t>2021年</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01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09:00- 1</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rPr>
        <w:t>（北京时间，法定节假日除外）</w:t>
      </w:r>
      <w:r>
        <w:rPr>
          <w:rFonts w:hint="eastAsia" w:ascii="宋体" w:hAnsi="宋体" w:eastAsia="宋体" w:cs="宋体"/>
          <w:color w:val="auto"/>
          <w:sz w:val="24"/>
          <w:szCs w:val="24"/>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bidi="ar"/>
        </w:rPr>
        <w:t>3.</w:t>
      </w:r>
      <w:r>
        <w:rPr>
          <w:rFonts w:hint="eastAsia" w:ascii="宋体" w:hAnsi="宋体" w:eastAsia="宋体" w:cs="宋体"/>
          <w:color w:val="auto"/>
          <w:kern w:val="2"/>
          <w:sz w:val="24"/>
          <w:szCs w:val="24"/>
          <w:highlight w:val="none"/>
          <w:lang w:val="en-US" w:eastAsia="zh-CN" w:bidi="ar-SA"/>
        </w:rPr>
        <w:t>本项目采购文件免费获取。</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4.报名资料：①投标人为法人或者其他组织的，提供报名表（见附件）、单位介绍信、经办人身份证明复印件、加盖投标人单位公章（鲜章）；②投标人为自然人的，提供报名表（见附件）、本人身份证明复印件。</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投标人购买招标文件时须如实填写项目信息及投标人信息；若因投标人提供的错误信息，对其投标事宜造成影响的，由投标人自行承担所有责任。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lang w:val="en-US" w:eastAsia="zh-CN" w:bidi="ar"/>
        </w:rPr>
        <w:t>报名的投标人名称、项目编号应与递交投标文件的投标人名称、项目编号一致，不一致的其递交的投标文件或将被作为无效投标处理(按照招标文件相关规定可以澄清的情况除外)。</w:t>
      </w:r>
    </w:p>
    <w:p>
      <w:pPr>
        <w:spacing w:after="50" w:line="420" w:lineRule="exact"/>
        <w:rPr>
          <w:rFonts w:hint="eastAsia" w:ascii="宋体" w:hAnsi="宋体" w:eastAsia="宋体" w:cs="宋体"/>
          <w:b/>
          <w:bCs/>
          <w:color w:val="auto"/>
          <w:kern w:val="0"/>
          <w:sz w:val="24"/>
          <w:szCs w:val="24"/>
          <w:lang w:val="en-US" w:eastAsia="zh-CN" w:bidi="ar"/>
        </w:rPr>
      </w:pPr>
      <w:r>
        <w:rPr>
          <w:rFonts w:hint="eastAsia" w:ascii="宋体" w:hAnsi="宋体" w:eastAsia="宋体" w:cs="宋体"/>
          <w:b/>
          <w:color w:val="auto"/>
          <w:sz w:val="24"/>
          <w:szCs w:val="24"/>
          <w:highlight w:val="none"/>
        </w:rPr>
        <w:t>八、</w:t>
      </w:r>
      <w:r>
        <w:rPr>
          <w:rFonts w:hint="eastAsia" w:ascii="宋体" w:hAnsi="宋体" w:eastAsia="宋体" w:cs="宋体"/>
          <w:b/>
          <w:bCs/>
          <w:color w:val="auto"/>
          <w:kern w:val="0"/>
          <w:sz w:val="24"/>
          <w:szCs w:val="24"/>
          <w:lang w:val="en-US" w:eastAsia="zh-CN" w:bidi="ar"/>
        </w:rPr>
        <w:t xml:space="preserve">投标截止时间和开标时间： </w:t>
      </w:r>
    </w:p>
    <w:p>
      <w:pPr>
        <w:pStyle w:val="10"/>
        <w:keepNext w:val="0"/>
        <w:keepLines w:val="0"/>
        <w:pageBreakBefore w:val="0"/>
        <w:widowControl w:val="0"/>
        <w:kinsoku/>
        <w:wordWrap/>
        <w:overflowPunct/>
        <w:topLinePunct w:val="0"/>
        <w:autoSpaceDE/>
        <w:autoSpaceDN/>
        <w:bidi w:val="0"/>
        <w:adjustRightInd/>
        <w:snapToGrid w:val="0"/>
        <w:spacing w:line="312" w:lineRule="auto"/>
        <w:ind w:firstLine="480"/>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投标截止时间：2021年09月15日09:30分，投标截止时间前，投标人应将加密的电子投标文件递交至“政府采购云平台”对应项目（包件）。</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九、开标地点：</w:t>
      </w:r>
    </w:p>
    <w:p>
      <w:pPr>
        <w:keepNext w:val="0"/>
        <w:keepLines w:val="0"/>
        <w:pageBreakBefore w:val="0"/>
        <w:widowControl w:val="0"/>
        <w:kinsoku/>
        <w:wordWrap/>
        <w:overflowPunct/>
        <w:topLinePunct w:val="0"/>
        <w:autoSpaceDE/>
        <w:autoSpaceDN/>
        <w:bidi w:val="0"/>
        <w:adjustRightInd/>
        <w:snapToGrid w:val="0"/>
        <w:spacing w:line="312" w:lineRule="auto"/>
        <w:ind w:firstLine="489" w:firstLineChars="203"/>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（1）本项目为不见面开标项目。</w:t>
      </w:r>
      <w:bookmarkStart w:id="153" w:name="_GoBack"/>
      <w:bookmarkEnd w:id="153"/>
    </w:p>
    <w:p>
      <w:pPr>
        <w:keepNext w:val="0"/>
        <w:keepLines w:val="0"/>
        <w:pageBreakBefore w:val="0"/>
        <w:widowControl w:val="0"/>
        <w:kinsoku/>
        <w:wordWrap/>
        <w:overflowPunct/>
        <w:topLinePunct w:val="0"/>
        <w:autoSpaceDE/>
        <w:autoSpaceDN/>
        <w:bidi w:val="0"/>
        <w:adjustRightInd/>
        <w:snapToGrid w:val="0"/>
        <w:spacing w:line="312" w:lineRule="auto"/>
        <w:ind w:firstLine="489" w:firstLineChars="203"/>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（2）开标地点：政府采购云平台(https://www.zcygov.cn)</w:t>
      </w:r>
    </w:p>
    <w:p>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firstLine="482" w:firstLineChars="200"/>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（3）本项目只接受投标人加密并递交至“政府采购云平台”的投标文件。</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十、政采中小企业政府采购信用担保融资</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招标文件附件“川财采〔2018〕123号”）。</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招标文件附件“成财采〔2019〕17号”、“成财采发〔2020〕20号”）。</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3、在四川省、成都市确定的首期开展“政采贷”业务银行的基础上，双流区另有10家银行机构自愿开展政府采购信用融资业务，双流区银行机构名单如下：</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 xml:space="preserve">1.成都银行双流支行  </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 xml:space="preserve">2.中国建设银行双流分行 </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3.交通银行双流分行</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4.中国农业银行双流支行</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5.成都农商银行双流支行</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6.中国银行双流分行</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7.上海银行成都双流支行</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8.浙商银行成都双流支行</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9.中国工商银行成都双流支行</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10.中国邮政储蓄银行成都双流支行</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十一、</w:t>
      </w:r>
      <w:r>
        <w:rPr>
          <w:rFonts w:hint="eastAsia" w:ascii="宋体" w:hAnsi="宋体" w:eastAsia="宋体" w:cs="宋体"/>
          <w:b/>
          <w:color w:val="auto"/>
          <w:sz w:val="24"/>
          <w:szCs w:val="24"/>
          <w:highlight w:val="none"/>
        </w:rPr>
        <w:t>联系方式</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采购人：</w:t>
      </w:r>
      <w:r>
        <w:rPr>
          <w:rFonts w:hint="eastAsia" w:ascii="宋体" w:hAnsi="宋体" w:eastAsia="宋体" w:cs="宋体"/>
          <w:color w:val="auto"/>
          <w:sz w:val="24"/>
          <w:szCs w:val="24"/>
          <w:lang w:eastAsia="zh-CN"/>
        </w:rPr>
        <w:t>成都市双流区路灯管理所</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通讯地址：</w:t>
      </w:r>
      <w:r>
        <w:rPr>
          <w:rFonts w:hint="eastAsia" w:ascii="宋体" w:hAnsi="宋体" w:eastAsia="宋体" w:cs="宋体"/>
          <w:color w:val="auto"/>
          <w:sz w:val="24"/>
          <w:szCs w:val="24"/>
          <w:lang w:eastAsia="zh-CN"/>
        </w:rPr>
        <w:t>成都市双流区牧华路一段</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ascii="宋体" w:hAnsi="宋体" w:eastAsia="宋体" w:cs="宋体"/>
          <w:bCs/>
          <w:color w:val="auto"/>
          <w:sz w:val="24"/>
          <w:szCs w:val="24"/>
          <w:lang w:val="zh-CN"/>
        </w:rPr>
        <w:t>邱女士</w:t>
      </w:r>
      <w:r>
        <w:rPr>
          <w:rFonts w:hint="eastAsia" w:ascii="宋体" w:hAnsi="宋体" w:eastAsia="宋体" w:cs="宋体"/>
          <w:color w:val="auto"/>
          <w:sz w:val="24"/>
          <w:szCs w:val="24"/>
        </w:rPr>
        <w:t xml:space="preserve">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color w:val="auto"/>
        </w:rPr>
      </w:pPr>
      <w:r>
        <w:rPr>
          <w:rFonts w:hint="eastAsia" w:ascii="宋体" w:hAnsi="宋体" w:eastAsia="宋体" w:cs="宋体"/>
          <w:color w:val="auto"/>
          <w:sz w:val="24"/>
          <w:szCs w:val="24"/>
        </w:rPr>
        <w:t>联系电</w:t>
      </w:r>
      <w:r>
        <w:rPr>
          <w:rFonts w:hint="eastAsia" w:ascii="宋体" w:hAnsi="宋体" w:eastAsia="宋体" w:cs="宋体"/>
          <w:color w:val="auto"/>
          <w:sz w:val="24"/>
          <w:szCs w:val="24"/>
          <w:lang w:eastAsia="zh-CN"/>
        </w:rPr>
        <w:t>话：</w:t>
      </w:r>
      <w:r>
        <w:rPr>
          <w:rFonts w:hint="eastAsia" w:ascii="宋体" w:hAnsi="宋体" w:eastAsia="宋体" w:cs="宋体"/>
          <w:color w:val="auto"/>
          <w:sz w:val="24"/>
          <w:szCs w:val="24"/>
        </w:rPr>
        <w:t>028-85810555</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采购代理机构：</w:t>
      </w:r>
      <w:r>
        <w:rPr>
          <w:rFonts w:hint="eastAsia" w:ascii="宋体" w:hAnsi="宋体" w:eastAsia="宋体" w:cs="宋体"/>
          <w:color w:val="auto"/>
          <w:sz w:val="24"/>
          <w:szCs w:val="24"/>
          <w:lang w:eastAsia="zh-CN"/>
        </w:rPr>
        <w:t>四川润民工程管理有限公司</w:t>
      </w:r>
      <w:r>
        <w:rPr>
          <w:rFonts w:hint="eastAsia" w:ascii="宋体" w:hAnsi="宋体" w:eastAsia="宋体" w:cs="宋体"/>
          <w:color w:val="auto"/>
          <w:sz w:val="24"/>
          <w:szCs w:val="24"/>
        </w:rPr>
        <w:t xml:space="preserve">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通讯地址：</w:t>
      </w:r>
      <w:r>
        <w:rPr>
          <w:rFonts w:hint="eastAsia" w:ascii="宋体" w:hAnsi="宋体" w:eastAsia="宋体" w:cs="宋体"/>
          <w:color w:val="auto"/>
          <w:sz w:val="24"/>
          <w:szCs w:val="24"/>
          <w:lang w:eastAsia="zh-CN"/>
        </w:rPr>
        <w:t>成都市双流区黄水镇涧槽南街37号</w:t>
      </w:r>
      <w:r>
        <w:rPr>
          <w:rFonts w:hint="eastAsia" w:ascii="宋体" w:hAnsi="宋体" w:eastAsia="宋体" w:cs="宋体"/>
          <w:color w:val="auto"/>
          <w:sz w:val="24"/>
          <w:szCs w:val="24"/>
        </w:rPr>
        <w:t xml:space="preserve">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lang w:eastAsia="zh-CN"/>
        </w:rPr>
        <w:t>彭女士</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eastAsia="zh-CN"/>
        </w:rPr>
        <w:t>028-85696993</w:t>
      </w:r>
    </w:p>
    <w:p>
      <w:pPr>
        <w:pageBreakBefore w:val="0"/>
        <w:kinsoku/>
        <w:overflowPunct/>
        <w:bidi w:val="0"/>
        <w:snapToGrid w:val="0"/>
        <w:spacing w:beforeAutospacing="0" w:afterAutospacing="0" w:line="312" w:lineRule="auto"/>
        <w:ind w:right="420" w:rightChars="200" w:firstLine="480" w:firstLineChars="200"/>
        <w:rPr>
          <w:rFonts w:hint="eastAsia" w:ascii="宋体" w:hAnsi="宋体" w:eastAsia="宋体" w:cs="宋体"/>
          <w:color w:val="auto"/>
          <w:sz w:val="24"/>
          <w:szCs w:val="24"/>
          <w:highlight w:val="none"/>
        </w:rPr>
      </w:pPr>
    </w:p>
    <w:p>
      <w:pPr>
        <w:pStyle w:val="2"/>
        <w:pageBreakBefore w:val="0"/>
        <w:kinsoku/>
        <w:overflowPunct/>
        <w:bidi w:val="0"/>
        <w:snapToGrid w:val="0"/>
        <w:spacing w:beforeAutospacing="0" w:after="0" w:afterAutospacing="0" w:line="312" w:lineRule="auto"/>
        <w:rPr>
          <w:rFonts w:hint="eastAsia" w:ascii="宋体" w:hAnsi="宋体" w:eastAsia="宋体" w:cs="宋体"/>
          <w:color w:val="auto"/>
          <w:sz w:val="24"/>
          <w:szCs w:val="24"/>
          <w:highlight w:val="none"/>
        </w:rPr>
      </w:pPr>
    </w:p>
    <w:p>
      <w:pPr>
        <w:pageBreakBefore w:val="0"/>
        <w:kinsoku/>
        <w:overflowPunct/>
        <w:bidi w:val="0"/>
        <w:snapToGrid w:val="0"/>
        <w:spacing w:beforeAutospacing="0" w:afterAutospacing="0" w:line="312" w:lineRule="auto"/>
        <w:rPr>
          <w:rFonts w:hint="eastAsia" w:ascii="宋体" w:hAnsi="宋体" w:eastAsia="宋体" w:cs="宋体"/>
          <w:color w:val="auto"/>
          <w:sz w:val="24"/>
          <w:szCs w:val="24"/>
          <w:highlight w:val="none"/>
        </w:rPr>
      </w:pPr>
      <w:bookmarkStart w:id="2" w:name="_Toc213396945"/>
      <w:bookmarkStart w:id="3" w:name="_Toc213397009"/>
      <w:bookmarkStart w:id="4" w:name="_Toc213396759"/>
      <w:bookmarkStart w:id="5" w:name="_Toc217446031"/>
      <w:bookmarkStart w:id="6" w:name="_Toc213496267"/>
      <w:bookmarkStart w:id="7" w:name="_Toc25849"/>
      <w:r>
        <w:rPr>
          <w:rFonts w:hint="eastAsia" w:ascii="宋体" w:hAnsi="宋体" w:eastAsia="宋体" w:cs="宋体"/>
          <w:color w:val="auto"/>
          <w:sz w:val="24"/>
          <w:szCs w:val="24"/>
          <w:highlight w:val="none"/>
        </w:rPr>
        <w:br w:type="page"/>
      </w:r>
    </w:p>
    <w:p>
      <w:pPr>
        <w:pStyle w:val="3"/>
        <w:keepNext w:val="0"/>
        <w:keepLines w:val="0"/>
        <w:pageBreakBefore w:val="0"/>
        <w:kinsoku/>
        <w:overflowPunct/>
        <w:bidi w:val="0"/>
        <w:snapToGrid w:val="0"/>
        <w:spacing w:before="0" w:beforeAutospacing="0" w:after="0" w:afterAutospacing="0" w:line="312" w:lineRule="auto"/>
        <w:jc w:val="center"/>
        <w:rPr>
          <w:rFonts w:hint="eastAsia" w:ascii="宋体" w:hAnsi="宋体" w:eastAsia="宋体" w:cs="宋体"/>
          <w:color w:val="auto"/>
          <w:sz w:val="32"/>
          <w:szCs w:val="32"/>
          <w:highlight w:val="none"/>
        </w:rPr>
      </w:pPr>
      <w:bookmarkStart w:id="8" w:name="_Toc25334"/>
      <w:bookmarkStart w:id="9" w:name="_Toc21886"/>
      <w:r>
        <w:rPr>
          <w:rFonts w:hint="eastAsia" w:ascii="宋体" w:hAnsi="宋体" w:eastAsia="宋体" w:cs="宋体"/>
          <w:color w:val="auto"/>
          <w:sz w:val="32"/>
          <w:szCs w:val="32"/>
          <w:highlight w:val="none"/>
        </w:rPr>
        <w:t xml:space="preserve">第二章  </w:t>
      </w:r>
      <w:r>
        <w:rPr>
          <w:rFonts w:hint="eastAsia" w:ascii="宋体" w:hAnsi="宋体" w:eastAsia="宋体" w:cs="宋体"/>
          <w:color w:val="auto"/>
          <w:sz w:val="32"/>
          <w:szCs w:val="32"/>
          <w:highlight w:val="none"/>
          <w:lang w:eastAsia="zh-CN"/>
        </w:rPr>
        <w:t>投标</w:t>
      </w:r>
      <w:r>
        <w:rPr>
          <w:rFonts w:hint="eastAsia" w:ascii="宋体" w:hAnsi="宋体" w:eastAsia="宋体" w:cs="宋体"/>
          <w:color w:val="auto"/>
          <w:sz w:val="32"/>
          <w:szCs w:val="32"/>
          <w:highlight w:val="none"/>
        </w:rPr>
        <w:t>须知</w:t>
      </w:r>
      <w:bookmarkEnd w:id="2"/>
      <w:bookmarkEnd w:id="3"/>
      <w:bookmarkEnd w:id="4"/>
      <w:bookmarkEnd w:id="5"/>
      <w:bookmarkEnd w:id="6"/>
      <w:bookmarkEnd w:id="7"/>
      <w:bookmarkEnd w:id="8"/>
      <w:bookmarkEnd w:id="9"/>
    </w:p>
    <w:p>
      <w:pPr>
        <w:pStyle w:val="4"/>
        <w:keepNext w:val="0"/>
        <w:keepLines w:val="0"/>
        <w:pageBreakBefore w:val="0"/>
        <w:kinsoku/>
        <w:overflowPunct/>
        <w:bidi w:val="0"/>
        <w:snapToGrid w:val="0"/>
        <w:spacing w:before="0" w:beforeAutospacing="0" w:after="0" w:afterAutospacing="0"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须知附表</w:t>
      </w:r>
    </w:p>
    <w:tbl>
      <w:tblPr>
        <w:tblStyle w:val="19"/>
        <w:tblW w:w="9506"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681"/>
        <w:gridCol w:w="2370"/>
        <w:gridCol w:w="6455"/>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681" w:type="dxa"/>
            <w:vAlign w:val="center"/>
          </w:tcPr>
          <w:p>
            <w:pPr>
              <w:pStyle w:val="33"/>
              <w:pageBreakBefore w:val="0"/>
              <w:kinsoku/>
              <w:overflowPunct/>
              <w:bidi w:val="0"/>
              <w:snapToGrid w:val="0"/>
              <w:spacing w:beforeAutospacing="0" w:afterAutospacing="0" w:line="360" w:lineRule="auto"/>
              <w:ind w:left="9"/>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序号 </w:t>
            </w:r>
          </w:p>
        </w:tc>
        <w:tc>
          <w:tcPr>
            <w:tcW w:w="2370" w:type="dxa"/>
            <w:vAlign w:val="center"/>
          </w:tcPr>
          <w:p>
            <w:pPr>
              <w:pStyle w:val="33"/>
              <w:pageBreakBefore w:val="0"/>
              <w:kinsoku/>
              <w:overflowPunct/>
              <w:bidi w:val="0"/>
              <w:snapToGrid w:val="0"/>
              <w:spacing w:beforeAutospacing="0" w:afterAutospacing="0" w:line="360" w:lineRule="auto"/>
              <w:ind w:left="38"/>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应知事项 </w:t>
            </w:r>
          </w:p>
        </w:tc>
        <w:tc>
          <w:tcPr>
            <w:tcW w:w="6455" w:type="dxa"/>
            <w:vAlign w:val="center"/>
          </w:tcPr>
          <w:p>
            <w:pPr>
              <w:pStyle w:val="33"/>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21" w:hRule="exact"/>
          <w:jc w:val="center"/>
        </w:trPr>
        <w:tc>
          <w:tcPr>
            <w:tcW w:w="681" w:type="dxa"/>
            <w:vAlign w:val="center"/>
          </w:tcPr>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2370" w:type="dxa"/>
            <w:vAlign w:val="center"/>
          </w:tcPr>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left="38"/>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采购预算</w:t>
            </w:r>
          </w:p>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left="38"/>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（实质性要求）</w:t>
            </w:r>
          </w:p>
        </w:tc>
        <w:tc>
          <w:tcPr>
            <w:tcW w:w="6455" w:type="dxa"/>
            <w:vAlign w:val="center"/>
          </w:tcPr>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采购预算：</w:t>
            </w:r>
            <w:r>
              <w:rPr>
                <w:rFonts w:hint="eastAsia" w:eastAsia="宋体" w:cs="宋体"/>
                <w:color w:val="auto"/>
                <w:sz w:val="24"/>
                <w:szCs w:val="24"/>
                <w:highlight w:val="none"/>
                <w:lang w:val="zh-CN"/>
              </w:rPr>
              <w:t>648000.00</w:t>
            </w:r>
            <w:r>
              <w:rPr>
                <w:rFonts w:hint="eastAsia" w:ascii="宋体" w:hAnsi="宋体" w:eastAsia="宋体" w:cs="宋体"/>
                <w:color w:val="auto"/>
                <w:sz w:val="24"/>
                <w:szCs w:val="24"/>
                <w:highlight w:val="none"/>
                <w:lang w:val="zh-CN" w:eastAsia="zh-CN"/>
              </w:rPr>
              <w:t>元</w:t>
            </w:r>
            <w:r>
              <w:rPr>
                <w:rFonts w:hint="eastAsia" w:ascii="宋体" w:hAnsi="宋体" w:eastAsia="宋体" w:cs="宋体"/>
                <w:color w:val="auto"/>
                <w:sz w:val="24"/>
                <w:szCs w:val="24"/>
                <w:highlight w:val="none"/>
                <w:lang w:val="zh-CN"/>
              </w:rPr>
              <w:t>；</w:t>
            </w:r>
          </w:p>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超过最高限价的报价无效。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38" w:hRule="exact"/>
          <w:jc w:val="center"/>
        </w:trPr>
        <w:tc>
          <w:tcPr>
            <w:tcW w:w="681" w:type="dxa"/>
            <w:vAlign w:val="center"/>
          </w:tcPr>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p>
        </w:tc>
        <w:tc>
          <w:tcPr>
            <w:tcW w:w="2370" w:type="dxa"/>
            <w:vAlign w:val="center"/>
          </w:tcPr>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left="38"/>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最高限价</w:t>
            </w:r>
          </w:p>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left="38"/>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（实质性要求）</w:t>
            </w:r>
          </w:p>
        </w:tc>
        <w:tc>
          <w:tcPr>
            <w:tcW w:w="6455" w:type="dxa"/>
            <w:vAlign w:val="center"/>
          </w:tcPr>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最高限价：</w:t>
            </w:r>
            <w:r>
              <w:rPr>
                <w:rFonts w:hint="eastAsia" w:eastAsia="宋体" w:cs="宋体"/>
                <w:color w:val="auto"/>
                <w:sz w:val="24"/>
                <w:szCs w:val="24"/>
                <w:highlight w:val="none"/>
                <w:lang w:val="zh-CN"/>
              </w:rPr>
              <w:t>648000.00</w:t>
            </w:r>
            <w:r>
              <w:rPr>
                <w:rFonts w:hint="eastAsia" w:ascii="宋体" w:hAnsi="宋体" w:eastAsia="宋体" w:cs="宋体"/>
                <w:color w:val="auto"/>
                <w:sz w:val="24"/>
                <w:szCs w:val="24"/>
                <w:highlight w:val="none"/>
                <w:lang w:val="zh-CN" w:eastAsia="zh-CN"/>
              </w:rPr>
              <w:t>元；</w:t>
            </w:r>
          </w:p>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超过最高限价的报价无效。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48" w:hRule="exact"/>
          <w:jc w:val="center"/>
        </w:trPr>
        <w:tc>
          <w:tcPr>
            <w:tcW w:w="681" w:type="dxa"/>
            <w:vAlign w:val="center"/>
          </w:tcPr>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p>
        </w:tc>
        <w:tc>
          <w:tcPr>
            <w:tcW w:w="2370" w:type="dxa"/>
            <w:vAlign w:val="center"/>
          </w:tcPr>
          <w:p>
            <w:pPr>
              <w:pStyle w:val="33"/>
              <w:pageBreakBefore w:val="0"/>
              <w:kinsoku/>
              <w:overflowPunct/>
              <w:bidi w:val="0"/>
              <w:snapToGrid w:val="0"/>
              <w:spacing w:beforeAutospacing="0" w:afterAutospacing="0" w:line="360" w:lineRule="auto"/>
              <w:ind w:left="38"/>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联合体</w:t>
            </w:r>
          </w:p>
        </w:tc>
        <w:tc>
          <w:tcPr>
            <w:tcW w:w="6455" w:type="dxa"/>
            <w:vAlign w:val="center"/>
          </w:tcPr>
          <w:p>
            <w:pPr>
              <w:pStyle w:val="33"/>
              <w:pageBreakBefore w:val="0"/>
              <w:kinsoku/>
              <w:overflowPunct/>
              <w:bidi w:val="0"/>
              <w:snapToGrid w:val="0"/>
              <w:spacing w:beforeAutospacing="0" w:afterAutospacing="0" w:line="360" w:lineRule="auto"/>
              <w:ind w:firstLine="240" w:firstLineChars="1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不允许联合体</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167" w:hRule="exact"/>
          <w:jc w:val="center"/>
        </w:trPr>
        <w:tc>
          <w:tcPr>
            <w:tcW w:w="681" w:type="dxa"/>
            <w:vAlign w:val="center"/>
          </w:tcPr>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p>
        </w:tc>
        <w:tc>
          <w:tcPr>
            <w:tcW w:w="2370" w:type="dxa"/>
            <w:vAlign w:val="center"/>
          </w:tcPr>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left="3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低于成本价</w:t>
            </w:r>
          </w:p>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left="3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不正当竞争预防措施</w:t>
            </w:r>
          </w:p>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left="3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（实质性要求）</w:t>
            </w:r>
          </w:p>
        </w:tc>
        <w:tc>
          <w:tcPr>
            <w:tcW w:w="6455" w:type="dxa"/>
            <w:vAlign w:val="center"/>
          </w:tcPr>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lang w:val="zh-CN"/>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016" w:hRule="atLeast"/>
          <w:jc w:val="center"/>
        </w:trPr>
        <w:tc>
          <w:tcPr>
            <w:tcW w:w="681" w:type="dxa"/>
            <w:vAlign w:val="center"/>
          </w:tcPr>
          <w:p>
            <w:pPr>
              <w:pStyle w:val="33"/>
              <w:pageBreakBefore w:val="0"/>
              <w:kinsoku/>
              <w:overflowPunct/>
              <w:bidi w:val="0"/>
              <w:snapToGrid w:val="0"/>
              <w:spacing w:beforeAutospacing="0" w:afterAutospacing="0" w:line="360" w:lineRule="auto"/>
              <w:ind w:right="230"/>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370" w:type="dxa"/>
            <w:vAlign w:val="center"/>
          </w:tcPr>
          <w:p>
            <w:pPr>
              <w:pStyle w:val="33"/>
              <w:keepNext w:val="0"/>
              <w:keepLines w:val="0"/>
              <w:pageBreakBefore w:val="0"/>
              <w:widowControl w:val="0"/>
              <w:kinsoku/>
              <w:overflowPunct/>
              <w:bidi w:val="0"/>
              <w:snapToGrid w:val="0"/>
              <w:spacing w:beforeAutospacing="0" w:afterAutospacing="0" w:line="360"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政策性鼓励与惩戒</w:t>
            </w:r>
          </w:p>
          <w:p>
            <w:pPr>
              <w:pStyle w:val="33"/>
              <w:keepNext w:val="0"/>
              <w:keepLines w:val="0"/>
              <w:pageBreakBefore w:val="0"/>
              <w:widowControl w:val="0"/>
              <w:kinsoku/>
              <w:overflowPunct/>
              <w:bidi w:val="0"/>
              <w:snapToGrid w:val="0"/>
              <w:spacing w:beforeAutospacing="0" w:afterAutospacing="0" w:line="360"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（实质性要求）</w:t>
            </w:r>
          </w:p>
        </w:tc>
        <w:tc>
          <w:tcPr>
            <w:tcW w:w="6455" w:type="dxa"/>
            <w:vAlign w:val="center"/>
          </w:tcPr>
          <w:p>
            <w:pPr>
              <w:pStyle w:val="52"/>
              <w:keepNext w:val="0"/>
              <w:keepLines w:val="0"/>
              <w:pageBreakBefore w:val="0"/>
              <w:widowControl w:val="0"/>
              <w:kinsoku/>
              <w:wordWrap/>
              <w:overflowPunct/>
              <w:topLinePunct w:val="0"/>
              <w:bidi w:val="0"/>
              <w:snapToGrid w:val="0"/>
              <w:spacing w:line="360" w:lineRule="auto"/>
              <w:ind w:left="76" w:leftChars="36" w:right="31" w:rightChars="15"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一、小微企业（监狱企业、残疾人福利性单位均视同小微企业）价格扣除</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1" w:firstLineChars="100"/>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1、本项目专门面向中小企业，因此不再对小微企业进行价格扣除。</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1" w:firstLineChars="100"/>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2、参加政府采购活动的中小微企业应当提供《中小企业声明函》原件。</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1" w:firstLineChars="100"/>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3、监狱企业、残疾人福利性单位视为小型或微型企业，投标人提供相关证明材料。</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0" w:firstLineChars="100"/>
              <w:jc w:val="left"/>
              <w:textAlignment w:val="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kern w:val="0"/>
                <w:sz w:val="24"/>
                <w:szCs w:val="24"/>
                <w:highlight w:val="none"/>
                <w:lang w:val="zh-CN" w:eastAsia="zh-CN"/>
              </w:rPr>
              <w:t>注：根据《政府采购促进中小企业发展管理办法》（财库〔2020〕46号）的规定本办法所称中小企业，是指在中华人民共和国境内依法设立，依据国务院批准的中小企业划分标准确定的中型企业、小型企业和微型企业，但与大企业的负责人为同一人，或者与大型企业存在直接控股、管理关系的除外。</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0" w:firstLineChars="100"/>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val="0"/>
                <w:bCs w:val="0"/>
                <w:color w:val="auto"/>
                <w:kern w:val="0"/>
                <w:sz w:val="24"/>
                <w:szCs w:val="24"/>
                <w:highlight w:val="none"/>
                <w:lang w:val="zh-CN" w:eastAsia="zh-CN"/>
              </w:rPr>
              <w:t>符合中小企业划分标准的个体工商户，在政府采购活动中视同中小企业。</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0" w:firstLineChars="100"/>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val="0"/>
                <w:bCs w:val="0"/>
                <w:color w:val="auto"/>
                <w:kern w:val="0"/>
                <w:sz w:val="24"/>
                <w:szCs w:val="24"/>
                <w:highlight w:val="none"/>
                <w:lang w:val="zh-CN"/>
              </w:rPr>
              <w:t>二、节能、环保产品政府采购政策（</w:t>
            </w:r>
            <w:r>
              <w:rPr>
                <w:rFonts w:hint="eastAsia" w:ascii="宋体" w:hAnsi="宋体" w:eastAsia="宋体" w:cs="宋体"/>
                <w:b w:val="0"/>
                <w:bCs w:val="0"/>
                <w:color w:val="auto"/>
                <w:kern w:val="0"/>
                <w:sz w:val="24"/>
                <w:szCs w:val="24"/>
                <w:highlight w:val="none"/>
                <w:lang w:val="en-US" w:eastAsia="zh-CN"/>
              </w:rPr>
              <w:t>如有）</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2、本项目采购的产品属于品目清单强制采购范围的，投标人应按上述要求提供产品认证证书复印件并加盖投标人单位公章（鲜章），否则投标无效。（实质性要求）</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3、本项目采购的产品属于品目清单优先采购范围的，按照第七章《综合评分明细表》的规则进行加分。</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0" w:firstLineChars="100"/>
              <w:jc w:val="left"/>
              <w:textAlignment w:val="auto"/>
              <w:rPr>
                <w:rFonts w:hint="eastAsia" w:ascii="宋体" w:hAnsi="宋体" w:eastAsia="宋体" w:cs="宋体"/>
                <w:b w:val="0"/>
                <w:bCs w:val="0"/>
                <w:color w:val="auto"/>
                <w:kern w:val="0"/>
                <w:sz w:val="24"/>
                <w:szCs w:val="24"/>
                <w:highlight w:val="none"/>
                <w:lang w:val="zh-CN"/>
              </w:rPr>
            </w:pPr>
            <w:r>
              <w:rPr>
                <w:rFonts w:hint="eastAsia" w:ascii="宋体" w:hAnsi="宋体" w:eastAsia="宋体" w:cs="宋体"/>
                <w:b w:val="0"/>
                <w:bCs w:val="0"/>
                <w:color w:val="auto"/>
                <w:kern w:val="0"/>
                <w:sz w:val="24"/>
                <w:szCs w:val="24"/>
                <w:highlight w:val="none"/>
                <w:lang w:val="en-US" w:eastAsia="zh-CN"/>
              </w:rPr>
              <w:t>三</w:t>
            </w:r>
            <w:r>
              <w:rPr>
                <w:rFonts w:hint="eastAsia" w:ascii="宋体" w:hAnsi="宋体" w:eastAsia="宋体" w:cs="宋体"/>
                <w:b w:val="0"/>
                <w:bCs w:val="0"/>
                <w:color w:val="auto"/>
                <w:kern w:val="0"/>
                <w:sz w:val="24"/>
                <w:szCs w:val="24"/>
                <w:highlight w:val="none"/>
                <w:lang w:val="zh-CN"/>
              </w:rPr>
              <w:t>、无线局域网产品政府采购政策（</w:t>
            </w:r>
            <w:r>
              <w:rPr>
                <w:rFonts w:hint="eastAsia" w:ascii="宋体" w:hAnsi="宋体" w:eastAsia="宋体" w:cs="宋体"/>
                <w:b w:val="0"/>
                <w:bCs w:val="0"/>
                <w:color w:val="auto"/>
                <w:kern w:val="0"/>
                <w:sz w:val="24"/>
                <w:szCs w:val="24"/>
                <w:highlight w:val="none"/>
                <w:lang w:val="en-US" w:eastAsia="zh-CN"/>
              </w:rPr>
              <w:t>如有）</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本项目采购的产品属于中国政府采购网公布的《无线局域网认证产品政府采购清单》的，将按照第七章《综合评分明细表》的规则进行加分。</w:t>
            </w:r>
          </w:p>
          <w:p>
            <w:pPr>
              <w:bidi w:val="0"/>
              <w:rPr>
                <w:rFonts w:hint="eastAsia" w:ascii="宋体" w:hAnsi="宋体" w:eastAsia="宋体" w:cs="宋体"/>
                <w:color w:val="auto"/>
                <w:szCs w:val="24"/>
                <w:lang w:eastAsia="zh-CN"/>
              </w:rPr>
            </w:pPr>
            <w:r>
              <w:rPr>
                <w:rFonts w:hint="eastAsia" w:ascii="宋体" w:hAnsi="宋体" w:eastAsia="宋体" w:cs="宋体"/>
                <w:color w:val="auto"/>
                <w:sz w:val="24"/>
                <w:szCs w:val="24"/>
                <w:lang w:val="zh-CN" w:eastAsia="zh-CN"/>
              </w:rPr>
              <w:t>四</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根据</w:t>
            </w:r>
            <w:r>
              <w:rPr>
                <w:rFonts w:hint="eastAsia" w:ascii="宋体" w:hAnsi="宋体" w:eastAsia="宋体" w:cs="宋体"/>
                <w:color w:val="auto"/>
                <w:sz w:val="24"/>
                <w:szCs w:val="24"/>
              </w:rPr>
              <w:t>《四川省公共资源交易领域严重失信联合惩戒实施办法》（川发改信用规〔2019〕405号）、《关于对政府采购领域严重违法失信主体开展联合惩戒的合作备忘录》（发改财金〔2018〕1614号）</w:t>
            </w:r>
            <w:r>
              <w:rPr>
                <w:rFonts w:hint="eastAsia" w:ascii="宋体" w:hAnsi="宋体" w:eastAsia="宋体" w:cs="宋体"/>
                <w:color w:val="auto"/>
                <w:sz w:val="24"/>
                <w:szCs w:val="24"/>
                <w:lang w:val="en-US" w:eastAsia="zh-CN"/>
              </w:rPr>
              <w:t>，对被列入失信被执行人、重大税收违法案件当事人名单、政府采购严重违法失信行为记录名单及其他不符合《中华人民共和国政府采购法》第二十二条规定条件的投标人，拒绝其参与本项目的政府采购活动</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177" w:hRule="exact"/>
          <w:jc w:val="center"/>
        </w:trPr>
        <w:tc>
          <w:tcPr>
            <w:tcW w:w="681" w:type="dxa"/>
            <w:vAlign w:val="center"/>
          </w:tcPr>
          <w:p>
            <w:pPr>
              <w:pStyle w:val="33"/>
              <w:pageBreakBefore w:val="0"/>
              <w:kinsoku/>
              <w:overflowPunct/>
              <w:bidi w:val="0"/>
              <w:snapToGrid w:val="0"/>
              <w:spacing w:beforeAutospacing="0" w:afterAutospacing="0" w:line="360" w:lineRule="auto"/>
              <w:ind w:right="23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w:t>
            </w:r>
          </w:p>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zh-CN"/>
              </w:rPr>
            </w:pPr>
          </w:p>
        </w:tc>
        <w:tc>
          <w:tcPr>
            <w:tcW w:w="2370" w:type="dxa"/>
            <w:vAlign w:val="center"/>
          </w:tcPr>
          <w:p>
            <w:pPr>
              <w:pStyle w:val="33"/>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评标情况公告</w:t>
            </w:r>
          </w:p>
        </w:tc>
        <w:tc>
          <w:tcPr>
            <w:tcW w:w="6455" w:type="dxa"/>
            <w:vAlign w:val="center"/>
          </w:tcPr>
          <w:p>
            <w:pPr>
              <w:pStyle w:val="33"/>
              <w:keepNext w:val="0"/>
              <w:keepLines w:val="0"/>
              <w:pageBreakBefore w:val="0"/>
              <w:widowControl w:val="0"/>
              <w:kinsoku/>
              <w:wordWrap/>
              <w:overflowPunct/>
              <w:topLinePunct w:val="0"/>
              <w:bidi w:val="0"/>
              <w:snapToGrid w:val="0"/>
              <w:spacing w:beforeAutospacing="0" w:afterAutospacing="0" w:line="360"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1.所有</w:t>
            </w:r>
            <w:r>
              <w:rPr>
                <w:rFonts w:hint="eastAsia"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 xml:space="preserve">投标文件资格性、符合性检查情况、采用综合评分法时的总得分和分项汇总得分情况、评标结果等将在四川政府采购网上采购结果公告附件中予以公告。 </w:t>
            </w:r>
          </w:p>
          <w:p>
            <w:pPr>
              <w:pStyle w:val="33"/>
              <w:keepNext w:val="0"/>
              <w:keepLines w:val="0"/>
              <w:pageBreakBefore w:val="0"/>
              <w:widowControl w:val="0"/>
              <w:kinsoku/>
              <w:wordWrap/>
              <w:overflowPunct/>
              <w:topLinePunct w:val="0"/>
              <w:bidi w:val="0"/>
              <w:snapToGrid w:val="0"/>
              <w:spacing w:beforeAutospacing="0" w:afterAutospacing="0" w:line="360"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2.根据《中华人民共和国政府采购法实施条例》第四十三条的规定，公告内容应当包括主要</w:t>
            </w:r>
            <w:r>
              <w:rPr>
                <w:rFonts w:hint="eastAsia" w:ascii="宋体" w:hAnsi="宋体" w:eastAsia="宋体" w:cs="宋体"/>
                <w:color w:val="auto"/>
                <w:sz w:val="24"/>
                <w:szCs w:val="24"/>
                <w:lang w:val="zh-CN"/>
              </w:rPr>
              <w:t>中标</w:t>
            </w:r>
            <w:r>
              <w:rPr>
                <w:rFonts w:hint="eastAsia" w:ascii="宋体" w:hAnsi="宋体" w:eastAsia="宋体" w:cs="宋体"/>
                <w:color w:val="auto"/>
                <w:sz w:val="24"/>
                <w:szCs w:val="24"/>
                <w:highlight w:val="none"/>
                <w:lang w:val="en-US" w:eastAsia="zh-CN"/>
              </w:rPr>
              <w:t>标的的名称、规格型号、数量、单价、服务要求以及评审专家名单。</w:t>
            </w:r>
            <w:r>
              <w:rPr>
                <w:rFonts w:hint="eastAsia"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须将投标文件中涉及商业秘密和知识产权的内容进行标注和说明，若未进行标注和说明的，视为全部内容均可公布，采购人或者采购代理机构对此不承担任何责任。</w:t>
            </w:r>
          </w:p>
          <w:p>
            <w:pPr>
              <w:pStyle w:val="33"/>
              <w:keepNext w:val="0"/>
              <w:keepLines w:val="0"/>
              <w:pageBreakBefore w:val="0"/>
              <w:widowControl w:val="0"/>
              <w:kinsoku/>
              <w:wordWrap/>
              <w:overflowPunct/>
              <w:topLinePunct w:val="0"/>
              <w:bidi w:val="0"/>
              <w:snapToGrid w:val="0"/>
              <w:spacing w:beforeAutospacing="0" w:afterAutospacing="0" w:line="360" w:lineRule="auto"/>
              <w:ind w:firstLine="240" w:firstLineChars="100"/>
              <w:jc w:val="both"/>
              <w:textAlignment w:val="auto"/>
              <w:rPr>
                <w:rFonts w:hint="eastAsia" w:ascii="宋体" w:hAnsi="宋体" w:eastAsia="宋体" w:cs="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312" w:hRule="exact"/>
          <w:jc w:val="center"/>
        </w:trPr>
        <w:tc>
          <w:tcPr>
            <w:tcW w:w="681" w:type="dxa"/>
            <w:vAlign w:val="center"/>
          </w:tcPr>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w:t>
            </w:r>
          </w:p>
        </w:tc>
        <w:tc>
          <w:tcPr>
            <w:tcW w:w="2370" w:type="dxa"/>
            <w:vAlign w:val="center"/>
          </w:tcPr>
          <w:p>
            <w:pPr>
              <w:pStyle w:val="33"/>
              <w:pageBreakBefore w:val="0"/>
              <w:kinsoku/>
              <w:overflowPunct/>
              <w:bidi w:val="0"/>
              <w:snapToGrid w:val="0"/>
              <w:spacing w:beforeAutospacing="0" w:afterAutospacing="0" w:line="360" w:lineRule="auto"/>
              <w:ind w:left="38"/>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投标保证金</w:t>
            </w:r>
          </w:p>
        </w:tc>
        <w:tc>
          <w:tcPr>
            <w:tcW w:w="6455" w:type="dxa"/>
            <w:vAlign w:val="center"/>
          </w:tcPr>
          <w:p>
            <w:pPr>
              <w:pStyle w:val="33"/>
              <w:pageBreakBefore w:val="0"/>
              <w:kinsoku/>
              <w:overflowPunct/>
              <w:bidi w:val="0"/>
              <w:snapToGrid w:val="0"/>
              <w:spacing w:beforeAutospacing="0" w:afterAutospacing="0" w:line="360" w:lineRule="auto"/>
              <w:ind w:firstLine="240" w:firstLineChars="1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根据《四川省财政厅关于进一步做好疫情防控期间政府采购工作有关事项的通知》（川财采[2020]28 号）文件，本项目不收取投标保证金。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822" w:hRule="exact"/>
          <w:jc w:val="center"/>
        </w:trPr>
        <w:tc>
          <w:tcPr>
            <w:tcW w:w="681" w:type="dxa"/>
            <w:vAlign w:val="center"/>
          </w:tcPr>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w:t>
            </w:r>
          </w:p>
        </w:tc>
        <w:tc>
          <w:tcPr>
            <w:tcW w:w="2370" w:type="dxa"/>
            <w:vAlign w:val="center"/>
          </w:tcPr>
          <w:p>
            <w:pPr>
              <w:pStyle w:val="33"/>
              <w:keepNext w:val="0"/>
              <w:keepLines w:val="0"/>
              <w:pageBreakBefore w:val="0"/>
              <w:widowControl w:val="0"/>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进口产品（实质性要求）</w:t>
            </w:r>
          </w:p>
        </w:tc>
        <w:tc>
          <w:tcPr>
            <w:tcW w:w="6455" w:type="dxa"/>
            <w:vAlign w:val="center"/>
          </w:tcPr>
          <w:p>
            <w:pPr>
              <w:pStyle w:val="33"/>
              <w:keepNext w:val="0"/>
              <w:keepLines w:val="0"/>
              <w:pageBreakBefore w:val="0"/>
              <w:widowControl w:val="0"/>
              <w:kinsoku/>
              <w:wordWrap/>
              <w:overflowPunct/>
              <w:topLinePunct w:val="0"/>
              <w:bidi w:val="0"/>
              <w:snapToGrid w:val="0"/>
              <w:spacing w:beforeAutospacing="0" w:afterAutospacing="0" w:line="360" w:lineRule="auto"/>
              <w:ind w:firstLine="240" w:firstLineChars="1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本项目招标文件中未载明“允许采购进口产品”的产品，视为拒绝进口产品参与竞争，供应商以进口产品投标时，将按无效投标处理。载明“允许采购进口产品”的产品，不限制国产产品参与竞争。</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10" w:hRule="exact"/>
          <w:jc w:val="center"/>
        </w:trPr>
        <w:tc>
          <w:tcPr>
            <w:tcW w:w="681" w:type="dxa"/>
            <w:vAlign w:val="center"/>
          </w:tcPr>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370" w:type="dxa"/>
            <w:vAlign w:val="center"/>
          </w:tcPr>
          <w:p>
            <w:pPr>
              <w:pStyle w:val="33"/>
              <w:pageBreakBefore w:val="0"/>
              <w:kinsoku/>
              <w:overflowPunct/>
              <w:bidi w:val="0"/>
              <w:snapToGrid w:val="0"/>
              <w:spacing w:beforeAutospacing="0" w:afterAutospacing="0" w:line="360" w:lineRule="auto"/>
              <w:ind w:left="38"/>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履约保证金</w:t>
            </w:r>
          </w:p>
        </w:tc>
        <w:tc>
          <w:tcPr>
            <w:tcW w:w="6455" w:type="dxa"/>
            <w:vAlign w:val="center"/>
          </w:tcPr>
          <w:p>
            <w:pPr>
              <w:pStyle w:val="33"/>
              <w:pageBreakBefore w:val="0"/>
              <w:kinsoku/>
              <w:overflowPunct/>
              <w:bidi w:val="0"/>
              <w:snapToGrid w:val="0"/>
              <w:spacing w:beforeAutospacing="0" w:afterAutospacing="0" w:line="360" w:lineRule="auto"/>
              <w:ind w:firstLine="240" w:firstLineChars="1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18" w:hRule="exact"/>
          <w:jc w:val="center"/>
        </w:trPr>
        <w:tc>
          <w:tcPr>
            <w:tcW w:w="681" w:type="dxa"/>
            <w:vAlign w:val="center"/>
          </w:tcPr>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370" w:type="dxa"/>
            <w:vAlign w:val="center"/>
          </w:tcPr>
          <w:p>
            <w:pPr>
              <w:pStyle w:val="33"/>
              <w:pageBreakBefore w:val="0"/>
              <w:kinsoku/>
              <w:overflowPunct/>
              <w:bidi w:val="0"/>
              <w:snapToGrid w:val="0"/>
              <w:spacing w:beforeAutospacing="0" w:afterAutospacing="0" w:line="360" w:lineRule="auto"/>
              <w:ind w:left="38"/>
              <w:jc w:val="center"/>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eastAsia="zh-CN"/>
              </w:rPr>
              <w:t>投标</w:t>
            </w:r>
            <w:r>
              <w:rPr>
                <w:rFonts w:hint="eastAsia" w:ascii="宋体" w:hAnsi="宋体" w:eastAsia="宋体" w:cs="宋体"/>
                <w:color w:val="auto"/>
                <w:sz w:val="24"/>
                <w:szCs w:val="24"/>
                <w:highlight w:val="none"/>
                <w:lang w:val="zh-CN"/>
              </w:rPr>
              <w:t>文件咨询</w:t>
            </w:r>
          </w:p>
        </w:tc>
        <w:tc>
          <w:tcPr>
            <w:tcW w:w="6455" w:type="dxa"/>
            <w:vAlign w:val="center"/>
          </w:tcPr>
          <w:p>
            <w:pPr>
              <w:pStyle w:val="33"/>
              <w:pageBreakBefore w:val="0"/>
              <w:kinsoku/>
              <w:overflowPunct/>
              <w:bidi w:val="0"/>
              <w:snapToGrid w:val="0"/>
              <w:spacing w:beforeAutospacing="0" w:afterAutospacing="0" w:line="360" w:lineRule="auto"/>
              <w:ind w:firstLine="240" w:firstLineChars="1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eastAsia="宋体" w:cs="宋体"/>
                <w:color w:val="auto"/>
                <w:sz w:val="24"/>
                <w:szCs w:val="24"/>
                <w:highlight w:val="none"/>
                <w:lang w:val="zh-CN"/>
              </w:rPr>
              <w:t>彭女士</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  联系电话：</w:t>
            </w:r>
            <w:r>
              <w:rPr>
                <w:rFonts w:hint="eastAsia" w:ascii="宋体" w:hAnsi="宋体" w:eastAsia="宋体" w:cs="宋体"/>
                <w:color w:val="auto"/>
                <w:sz w:val="24"/>
                <w:szCs w:val="24"/>
                <w:highlight w:val="none"/>
                <w:lang w:eastAsia="zh-CN"/>
              </w:rPr>
              <w:t>028-</w:t>
            </w:r>
            <w:r>
              <w:rPr>
                <w:rFonts w:hint="eastAsia" w:eastAsia="宋体" w:cs="宋体"/>
                <w:color w:val="auto"/>
                <w:sz w:val="24"/>
                <w:szCs w:val="24"/>
                <w:highlight w:val="none"/>
                <w:lang w:eastAsia="zh-CN"/>
              </w:rPr>
              <w:t>85696993</w:t>
            </w:r>
            <w:r>
              <w:rPr>
                <w:rFonts w:hint="eastAsia" w:ascii="宋体" w:hAnsi="宋体" w:eastAsia="宋体" w:cs="宋体"/>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007" w:hRule="exact"/>
          <w:jc w:val="center"/>
        </w:trPr>
        <w:tc>
          <w:tcPr>
            <w:tcW w:w="681" w:type="dxa"/>
            <w:vAlign w:val="center"/>
          </w:tcPr>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2</w:t>
            </w:r>
          </w:p>
        </w:tc>
        <w:tc>
          <w:tcPr>
            <w:tcW w:w="2370" w:type="dxa"/>
            <w:vAlign w:val="center"/>
          </w:tcPr>
          <w:p>
            <w:pPr>
              <w:pStyle w:val="33"/>
              <w:pageBreakBefore w:val="0"/>
              <w:kinsoku/>
              <w:overflowPunct/>
              <w:bidi w:val="0"/>
              <w:snapToGrid w:val="0"/>
              <w:spacing w:beforeAutospacing="0" w:afterAutospacing="0" w:line="360" w:lineRule="auto"/>
              <w:ind w:left="38"/>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投标过程、结果工作咨询</w:t>
            </w:r>
          </w:p>
        </w:tc>
        <w:tc>
          <w:tcPr>
            <w:tcW w:w="6455" w:type="dxa"/>
            <w:vAlign w:val="center"/>
          </w:tcPr>
          <w:p>
            <w:pPr>
              <w:pStyle w:val="33"/>
              <w:pageBreakBefore w:val="0"/>
              <w:kinsoku/>
              <w:overflowPunct/>
              <w:bidi w:val="0"/>
              <w:snapToGrid w:val="0"/>
              <w:spacing w:beforeAutospacing="0" w:afterAutospacing="0" w:line="360" w:lineRule="auto"/>
              <w:ind w:firstLine="240" w:firstLineChars="10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联系人：</w:t>
            </w:r>
            <w:r>
              <w:rPr>
                <w:rFonts w:hint="eastAsia" w:eastAsia="宋体" w:cs="宋体"/>
                <w:color w:val="auto"/>
                <w:sz w:val="24"/>
                <w:szCs w:val="24"/>
                <w:highlight w:val="none"/>
                <w:lang w:val="zh-CN"/>
              </w:rPr>
              <w:t>彭女士</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  联系电话：</w:t>
            </w:r>
            <w:r>
              <w:rPr>
                <w:rFonts w:hint="eastAsia" w:ascii="宋体" w:hAnsi="宋体" w:eastAsia="宋体" w:cs="宋体"/>
                <w:color w:val="auto"/>
                <w:sz w:val="24"/>
                <w:szCs w:val="24"/>
                <w:highlight w:val="none"/>
                <w:lang w:eastAsia="zh-CN"/>
              </w:rPr>
              <w:t>028-</w:t>
            </w:r>
            <w:r>
              <w:rPr>
                <w:rFonts w:hint="eastAsia" w:eastAsia="宋体" w:cs="宋体"/>
                <w:color w:val="auto"/>
                <w:sz w:val="24"/>
                <w:szCs w:val="24"/>
                <w:highlight w:val="none"/>
                <w:lang w:eastAsia="zh-CN"/>
              </w:rPr>
              <w:t>85696993</w:t>
            </w:r>
            <w:r>
              <w:rPr>
                <w:rFonts w:hint="eastAsia" w:ascii="宋体" w:hAnsi="宋体" w:eastAsia="宋体" w:cs="宋体"/>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413" w:hRule="exact"/>
          <w:jc w:val="center"/>
        </w:trPr>
        <w:tc>
          <w:tcPr>
            <w:tcW w:w="681" w:type="dxa"/>
            <w:vAlign w:val="center"/>
          </w:tcPr>
          <w:p>
            <w:pPr>
              <w:pStyle w:val="33"/>
              <w:pageBreakBefore w:val="0"/>
              <w:kinsoku/>
              <w:overflowPunct/>
              <w:bidi w:val="0"/>
              <w:snapToGrid w:val="0"/>
              <w:spacing w:beforeAutospacing="0" w:afterAutospacing="0" w:line="360" w:lineRule="auto"/>
              <w:ind w:right="230"/>
              <w:jc w:val="right"/>
              <w:rPr>
                <w:rFonts w:hint="default"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13</w:t>
            </w:r>
          </w:p>
        </w:tc>
        <w:tc>
          <w:tcPr>
            <w:tcW w:w="2370" w:type="dxa"/>
            <w:vAlign w:val="center"/>
          </w:tcPr>
          <w:p>
            <w:pPr>
              <w:pStyle w:val="33"/>
              <w:pageBreakBefore w:val="0"/>
              <w:kinsoku/>
              <w:overflowPunct/>
              <w:bidi w:val="0"/>
              <w:snapToGrid w:val="0"/>
              <w:spacing w:beforeAutospacing="0" w:afterAutospacing="0" w:line="360" w:lineRule="auto"/>
              <w:ind w:left="38"/>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中标通知书领取</w:t>
            </w:r>
          </w:p>
        </w:tc>
        <w:tc>
          <w:tcPr>
            <w:tcW w:w="6455" w:type="dxa"/>
          </w:tcPr>
          <w:p>
            <w:pPr>
              <w:pStyle w:val="33"/>
              <w:pageBreakBefore w:val="0"/>
              <w:kinsoku/>
              <w:overflowPunct/>
              <w:bidi w:val="0"/>
              <w:snapToGrid w:val="0"/>
              <w:spacing w:beforeAutospacing="0" w:afterAutospacing="0"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采购结果公告在四川政府采购网上发布后，请</w:t>
            </w:r>
            <w:r>
              <w:rPr>
                <w:rFonts w:hint="eastAsia" w:eastAsia="宋体" w:cs="宋体"/>
                <w:color w:val="auto"/>
                <w:sz w:val="24"/>
                <w:szCs w:val="24"/>
                <w:highlight w:val="none"/>
                <w:lang w:val="zh-CN"/>
              </w:rPr>
              <w:t>中标单位</w:t>
            </w:r>
            <w:r>
              <w:rPr>
                <w:rFonts w:hint="eastAsia" w:ascii="宋体" w:hAnsi="宋体" w:eastAsia="宋体" w:cs="宋体"/>
                <w:color w:val="auto"/>
                <w:sz w:val="24"/>
                <w:szCs w:val="24"/>
                <w:highlight w:val="none"/>
                <w:lang w:val="zh-CN"/>
              </w:rPr>
              <w:t>凭有效身份证明证件到采购代理机构领取中标通知书。</w:t>
            </w:r>
          </w:p>
          <w:p>
            <w:pPr>
              <w:pStyle w:val="33"/>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lang w:eastAsia="zh-CN"/>
              </w:rPr>
              <w:t>028-</w:t>
            </w:r>
            <w:r>
              <w:rPr>
                <w:rFonts w:hint="eastAsia" w:eastAsia="宋体" w:cs="宋体"/>
                <w:color w:val="auto"/>
                <w:sz w:val="24"/>
                <w:szCs w:val="24"/>
                <w:highlight w:val="none"/>
                <w:lang w:eastAsia="zh-CN"/>
              </w:rPr>
              <w:t>85696993</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540" w:hRule="atLeast"/>
          <w:jc w:val="center"/>
        </w:trPr>
        <w:tc>
          <w:tcPr>
            <w:tcW w:w="681" w:type="dxa"/>
            <w:tcBorders>
              <w:top w:val="single" w:color="auto" w:sz="8" w:space="0"/>
              <w:bottom w:val="single" w:color="auto" w:sz="8" w:space="0"/>
              <w:right w:val="single" w:color="auto" w:sz="8" w:space="0"/>
            </w:tcBorders>
            <w:vAlign w:val="center"/>
          </w:tcPr>
          <w:p>
            <w:pPr>
              <w:pStyle w:val="33"/>
              <w:pageBreakBefore w:val="0"/>
              <w:kinsoku/>
              <w:overflowPunct/>
              <w:bidi w:val="0"/>
              <w:snapToGrid w:val="0"/>
              <w:spacing w:beforeAutospacing="0" w:afterAutospacing="0" w:line="360" w:lineRule="auto"/>
              <w:ind w:right="230"/>
              <w:jc w:val="right"/>
              <w:rPr>
                <w:rFonts w:hint="eastAsia" w:ascii="宋体" w:hAnsi="宋体" w:eastAsia="宋体" w:cs="宋体"/>
                <w:color w:val="auto"/>
                <w:sz w:val="24"/>
                <w:szCs w:val="24"/>
                <w:highlight w:val="none"/>
                <w:lang w:val="zh-CN" w:eastAsia="zh-CN"/>
              </w:rPr>
            </w:pPr>
          </w:p>
        </w:tc>
        <w:tc>
          <w:tcPr>
            <w:tcW w:w="2370" w:type="dxa"/>
            <w:tcBorders>
              <w:top w:val="single" w:color="auto" w:sz="8" w:space="0"/>
              <w:left w:val="single" w:color="auto" w:sz="8" w:space="0"/>
              <w:bottom w:val="single" w:color="auto" w:sz="8" w:space="0"/>
              <w:right w:val="single" w:color="auto" w:sz="8" w:space="0"/>
            </w:tcBorders>
            <w:vAlign w:val="center"/>
          </w:tcPr>
          <w:p>
            <w:pPr>
              <w:pStyle w:val="33"/>
              <w:pageBreakBefore w:val="0"/>
              <w:kinsoku/>
              <w:overflowPunct/>
              <w:bidi w:val="0"/>
              <w:snapToGrid w:val="0"/>
              <w:spacing w:beforeAutospacing="0" w:afterAutospacing="0" w:line="360" w:lineRule="auto"/>
              <w:ind w:left="96"/>
              <w:jc w:val="center"/>
              <w:rPr>
                <w:rFonts w:hint="eastAsia" w:ascii="宋体" w:hAnsi="宋体" w:eastAsia="宋体" w:cs="宋体"/>
                <w:color w:val="auto"/>
                <w:sz w:val="24"/>
                <w:szCs w:val="24"/>
                <w:highlight w:val="none"/>
                <w:lang w:val="zh-CN"/>
              </w:rPr>
            </w:pPr>
            <w:r>
              <w:rPr>
                <w:rFonts w:hint="eastAsia" w:eastAsia="宋体" w:cs="宋体"/>
                <w:color w:val="auto"/>
                <w:sz w:val="24"/>
                <w:szCs w:val="24"/>
                <w:highlight w:val="none"/>
                <w:lang w:val="zh-CN"/>
              </w:rPr>
              <w:t>投标人</w:t>
            </w:r>
            <w:r>
              <w:rPr>
                <w:rFonts w:hint="eastAsia" w:ascii="宋体" w:hAnsi="宋体" w:eastAsia="宋体" w:cs="宋体"/>
                <w:color w:val="auto"/>
                <w:sz w:val="24"/>
                <w:szCs w:val="24"/>
                <w:highlight w:val="none"/>
                <w:lang w:val="zh-CN"/>
              </w:rPr>
              <w:t>询问</w:t>
            </w:r>
          </w:p>
        </w:tc>
        <w:tc>
          <w:tcPr>
            <w:tcW w:w="6455" w:type="dxa"/>
            <w:tcBorders>
              <w:top w:val="single" w:color="auto" w:sz="8" w:space="0"/>
              <w:left w:val="single" w:color="auto" w:sz="8" w:space="0"/>
              <w:bottom w:val="single" w:color="auto" w:sz="8" w:space="0"/>
            </w:tcBorders>
            <w:vAlign w:val="center"/>
          </w:tcPr>
          <w:p>
            <w:pPr>
              <w:pStyle w:val="33"/>
              <w:pageBreakBefore w:val="0"/>
              <w:kinsoku/>
              <w:overflowPunct/>
              <w:bidi w:val="0"/>
              <w:snapToGrid w:val="0"/>
              <w:spacing w:beforeAutospacing="0" w:afterAutospacing="0"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根据委托代理协议约定，</w:t>
            </w:r>
            <w:r>
              <w:rPr>
                <w:rFonts w:hint="eastAsia" w:eastAsia="宋体" w:cs="宋体"/>
                <w:color w:val="auto"/>
                <w:sz w:val="24"/>
                <w:szCs w:val="24"/>
                <w:highlight w:val="none"/>
                <w:lang w:val="zh-CN"/>
              </w:rPr>
              <w:t>投标人</w:t>
            </w:r>
            <w:r>
              <w:rPr>
                <w:rFonts w:hint="eastAsia" w:ascii="宋体" w:hAnsi="宋体" w:eastAsia="宋体" w:cs="宋体"/>
                <w:color w:val="auto"/>
                <w:sz w:val="24"/>
                <w:szCs w:val="24"/>
                <w:highlight w:val="none"/>
                <w:lang w:val="zh-CN"/>
              </w:rPr>
              <w:t>询问由采购代理机构负责答复。</w:t>
            </w:r>
          </w:p>
          <w:p>
            <w:pPr>
              <w:pStyle w:val="33"/>
              <w:pageBreakBefore w:val="0"/>
              <w:kinsoku/>
              <w:overflowPunct/>
              <w:bidi w:val="0"/>
              <w:snapToGrid w:val="0"/>
              <w:spacing w:beforeAutospacing="0" w:afterAutospacing="0"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联系电话：</w:t>
            </w:r>
            <w:r>
              <w:rPr>
                <w:rFonts w:hint="eastAsia" w:ascii="宋体" w:hAnsi="宋体" w:eastAsia="宋体" w:cs="宋体"/>
                <w:color w:val="auto"/>
                <w:sz w:val="24"/>
                <w:szCs w:val="24"/>
                <w:highlight w:val="none"/>
                <w:lang w:eastAsia="zh-CN"/>
              </w:rPr>
              <w:t>028-</w:t>
            </w:r>
            <w:r>
              <w:rPr>
                <w:rFonts w:hint="eastAsia" w:eastAsia="宋体" w:cs="宋体"/>
                <w:color w:val="auto"/>
                <w:sz w:val="24"/>
                <w:szCs w:val="24"/>
                <w:highlight w:val="none"/>
                <w:lang w:eastAsia="zh-CN"/>
              </w:rPr>
              <w:t>85696993</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315" w:hRule="atLeast"/>
          <w:jc w:val="center"/>
        </w:trPr>
        <w:tc>
          <w:tcPr>
            <w:tcW w:w="681" w:type="dxa"/>
            <w:tcBorders>
              <w:top w:val="single" w:color="auto" w:sz="8" w:space="0"/>
              <w:bottom w:val="single" w:color="auto" w:sz="8" w:space="0"/>
              <w:right w:val="single" w:color="auto" w:sz="8" w:space="0"/>
            </w:tcBorders>
            <w:vAlign w:val="center"/>
          </w:tcPr>
          <w:p>
            <w:pPr>
              <w:pStyle w:val="33"/>
              <w:pageBreakBefore w:val="0"/>
              <w:kinsoku/>
              <w:overflowPunct/>
              <w:bidi w:val="0"/>
              <w:snapToGrid w:val="0"/>
              <w:spacing w:beforeAutospacing="0" w:afterAutospacing="0" w:line="360" w:lineRule="auto"/>
              <w:ind w:right="230"/>
              <w:jc w:val="righ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4</w:t>
            </w:r>
          </w:p>
        </w:tc>
        <w:tc>
          <w:tcPr>
            <w:tcW w:w="2370" w:type="dxa"/>
            <w:tcBorders>
              <w:top w:val="single" w:color="auto" w:sz="8" w:space="0"/>
              <w:left w:val="single" w:color="auto" w:sz="8" w:space="0"/>
              <w:bottom w:val="single" w:color="auto" w:sz="8" w:space="0"/>
              <w:right w:val="single" w:color="auto" w:sz="8" w:space="0"/>
            </w:tcBorders>
            <w:vAlign w:val="center"/>
          </w:tcPr>
          <w:p>
            <w:pPr>
              <w:pStyle w:val="33"/>
              <w:pageBreakBefore w:val="0"/>
              <w:kinsoku/>
              <w:overflowPunct/>
              <w:bidi w:val="0"/>
              <w:snapToGrid w:val="0"/>
              <w:spacing w:beforeAutospacing="0" w:afterAutospacing="0" w:line="360" w:lineRule="auto"/>
              <w:ind w:left="96"/>
              <w:jc w:val="center"/>
              <w:rPr>
                <w:rFonts w:hint="eastAsia" w:ascii="宋体" w:hAnsi="宋体" w:eastAsia="宋体" w:cs="宋体"/>
                <w:color w:val="auto"/>
                <w:sz w:val="24"/>
                <w:szCs w:val="24"/>
                <w:highlight w:val="none"/>
                <w:lang w:val="zh-CN"/>
              </w:rPr>
            </w:pPr>
            <w:r>
              <w:rPr>
                <w:rFonts w:hint="eastAsia" w:eastAsia="宋体" w:cs="宋体"/>
                <w:color w:val="auto"/>
                <w:sz w:val="24"/>
                <w:szCs w:val="24"/>
                <w:highlight w:val="none"/>
                <w:lang w:val="zh-CN"/>
              </w:rPr>
              <w:t>投标人</w:t>
            </w:r>
            <w:r>
              <w:rPr>
                <w:rFonts w:hint="eastAsia" w:ascii="宋体" w:hAnsi="宋体" w:eastAsia="宋体" w:cs="宋体"/>
                <w:color w:val="auto"/>
                <w:sz w:val="24"/>
                <w:szCs w:val="24"/>
                <w:highlight w:val="none"/>
                <w:lang w:val="zh-CN"/>
              </w:rPr>
              <w:t>质疑</w:t>
            </w:r>
          </w:p>
        </w:tc>
        <w:tc>
          <w:tcPr>
            <w:tcW w:w="6455" w:type="dxa"/>
            <w:tcBorders>
              <w:top w:val="single" w:color="auto" w:sz="8" w:space="0"/>
              <w:left w:val="single" w:color="auto" w:sz="8" w:space="0"/>
              <w:bottom w:val="single" w:color="auto" w:sz="8" w:space="0"/>
            </w:tcBorders>
            <w:vAlign w:val="center"/>
          </w:tcPr>
          <w:p>
            <w:pPr>
              <w:pStyle w:val="33"/>
              <w:pageBreakBefore w:val="0"/>
              <w:kinsoku/>
              <w:overflowPunct/>
              <w:bidi w:val="0"/>
              <w:snapToGrid w:val="0"/>
              <w:spacing w:beforeAutospacing="0" w:afterAutospacing="0"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根据委托代理协议约定，对招标文件的质疑由采购代理机构负责答复；对招标过程的质疑由采购代理机构负责答复；对招标结果的质疑由采购代理机构负责答复。</w:t>
            </w:r>
          </w:p>
          <w:p>
            <w:pPr>
              <w:pStyle w:val="33"/>
              <w:pageBreakBefore w:val="0"/>
              <w:kinsoku/>
              <w:overflowPunct/>
              <w:bidi w:val="0"/>
              <w:snapToGrid w:val="0"/>
              <w:spacing w:beforeAutospacing="0" w:afterAutospacing="0"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 系 人：</w:t>
            </w:r>
            <w:r>
              <w:rPr>
                <w:rFonts w:hint="eastAsia" w:eastAsia="宋体" w:cs="宋体"/>
                <w:color w:val="auto"/>
                <w:sz w:val="24"/>
                <w:szCs w:val="24"/>
                <w:highlight w:val="none"/>
                <w:lang w:val="zh-CN"/>
              </w:rPr>
              <w:t>彭女士</w:t>
            </w:r>
          </w:p>
          <w:p>
            <w:pPr>
              <w:pStyle w:val="33"/>
              <w:pageBreakBefore w:val="0"/>
              <w:kinsoku/>
              <w:overflowPunct/>
              <w:bidi w:val="0"/>
              <w:snapToGrid w:val="0"/>
              <w:spacing w:beforeAutospacing="0" w:afterAutospacing="0" w:line="360" w:lineRule="auto"/>
              <w:ind w:firstLine="240" w:firstLineChars="1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lang w:eastAsia="zh-CN"/>
              </w:rPr>
              <w:t>028-</w:t>
            </w:r>
            <w:r>
              <w:rPr>
                <w:rFonts w:hint="eastAsia" w:eastAsia="宋体" w:cs="宋体"/>
                <w:color w:val="auto"/>
                <w:sz w:val="24"/>
                <w:szCs w:val="24"/>
                <w:highlight w:val="none"/>
                <w:lang w:eastAsia="zh-CN"/>
              </w:rPr>
              <w:t>85696993</w:t>
            </w:r>
            <w:r>
              <w:rPr>
                <w:rFonts w:hint="eastAsia" w:ascii="宋体" w:hAnsi="宋体" w:eastAsia="宋体" w:cs="宋体"/>
                <w:color w:val="auto"/>
                <w:sz w:val="24"/>
                <w:szCs w:val="24"/>
                <w:highlight w:val="none"/>
                <w:lang w:val="zh-CN"/>
              </w:rPr>
              <w:t xml:space="preserve"> </w:t>
            </w:r>
          </w:p>
          <w:p>
            <w:pPr>
              <w:pStyle w:val="33"/>
              <w:pageBreakBefore w:val="0"/>
              <w:kinsoku/>
              <w:overflowPunct/>
              <w:bidi w:val="0"/>
              <w:snapToGrid w:val="0"/>
              <w:spacing w:beforeAutospacing="0" w:afterAutospacing="0" w:line="360" w:lineRule="auto"/>
              <w:ind w:firstLine="240" w:firstLineChars="100"/>
              <w:rPr>
                <w:rFonts w:hint="eastAsia" w:ascii="宋体" w:hAnsi="宋体" w:eastAsia="宋体" w:cs="宋体"/>
                <w:color w:val="auto"/>
                <w:sz w:val="24"/>
                <w:szCs w:val="24"/>
                <w:highlight w:val="yellow"/>
                <w:lang w:val="zh-CN"/>
              </w:rPr>
            </w:pPr>
            <w:r>
              <w:rPr>
                <w:rFonts w:hint="eastAsia" w:ascii="宋体" w:hAnsi="宋体" w:eastAsia="宋体" w:cs="宋体"/>
                <w:color w:val="auto"/>
                <w:sz w:val="24"/>
                <w:szCs w:val="24"/>
                <w:highlight w:val="none"/>
                <w:lang w:val="zh-CN"/>
              </w:rPr>
              <w:t>联系地址：成都市双流区黄水镇涧槽南街</w:t>
            </w:r>
            <w:r>
              <w:rPr>
                <w:rFonts w:hint="eastAsia" w:eastAsia="宋体" w:cs="宋体"/>
                <w:color w:val="auto"/>
                <w:sz w:val="24"/>
                <w:szCs w:val="24"/>
                <w:highlight w:val="none"/>
                <w:lang w:val="zh-CN"/>
              </w:rPr>
              <w:t>37号</w:t>
            </w:r>
          </w:p>
          <w:p>
            <w:pPr>
              <w:pStyle w:val="33"/>
              <w:pageBreakBefore w:val="0"/>
              <w:kinsoku/>
              <w:overflowPunct/>
              <w:bidi w:val="0"/>
              <w:snapToGrid w:val="0"/>
              <w:spacing w:beforeAutospacing="0" w:afterAutospacing="0"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注：根据《中华人民共和国政府采购法》的规定，</w:t>
            </w:r>
            <w:r>
              <w:rPr>
                <w:rFonts w:hint="eastAsia" w:eastAsia="宋体" w:cs="宋体"/>
                <w:color w:val="auto"/>
                <w:sz w:val="24"/>
                <w:szCs w:val="24"/>
                <w:highlight w:val="none"/>
                <w:lang w:val="zh-CN"/>
              </w:rPr>
              <w:t>投标人</w:t>
            </w:r>
            <w:r>
              <w:rPr>
                <w:rFonts w:hint="eastAsia" w:ascii="宋体" w:hAnsi="宋体" w:eastAsia="宋体" w:cs="宋体"/>
                <w:color w:val="auto"/>
                <w:sz w:val="24"/>
                <w:szCs w:val="24"/>
                <w:highlight w:val="none"/>
                <w:lang w:val="zh-CN"/>
              </w:rPr>
              <w:t>质疑不得超出招标文件、招标过程、招标结果的范围。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81" w:type="dxa"/>
            <w:tcBorders>
              <w:top w:val="single" w:color="auto" w:sz="8" w:space="0"/>
              <w:bottom w:val="single" w:color="auto" w:sz="8" w:space="0"/>
              <w:right w:val="single" w:color="auto" w:sz="8" w:space="0"/>
            </w:tcBorders>
            <w:vAlign w:val="center"/>
          </w:tcPr>
          <w:p>
            <w:pPr>
              <w:pStyle w:val="33"/>
              <w:pageBreakBefore w:val="0"/>
              <w:kinsoku/>
              <w:overflowPunct/>
              <w:bidi w:val="0"/>
              <w:snapToGrid w:val="0"/>
              <w:spacing w:beforeAutospacing="0" w:afterAutospacing="0" w:line="360" w:lineRule="auto"/>
              <w:ind w:right="230"/>
              <w:jc w:val="righ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15</w:t>
            </w:r>
          </w:p>
        </w:tc>
        <w:tc>
          <w:tcPr>
            <w:tcW w:w="2370" w:type="dxa"/>
            <w:tcBorders>
              <w:top w:val="single" w:color="auto" w:sz="8" w:space="0"/>
              <w:left w:val="single" w:color="auto" w:sz="8" w:space="0"/>
              <w:bottom w:val="single" w:color="auto" w:sz="8" w:space="0"/>
              <w:right w:val="single" w:color="auto" w:sz="8" w:space="0"/>
            </w:tcBorders>
            <w:vAlign w:val="center"/>
          </w:tcPr>
          <w:p>
            <w:pPr>
              <w:pStyle w:val="33"/>
              <w:pageBreakBefore w:val="0"/>
              <w:kinsoku/>
              <w:overflowPunct/>
              <w:bidi w:val="0"/>
              <w:snapToGrid w:val="0"/>
              <w:spacing w:beforeAutospacing="0" w:afterAutospacing="0" w:line="360" w:lineRule="auto"/>
              <w:ind w:left="96"/>
              <w:jc w:val="center"/>
              <w:rPr>
                <w:rFonts w:hint="eastAsia" w:ascii="宋体" w:hAnsi="宋体" w:eastAsia="宋体" w:cs="宋体"/>
                <w:color w:val="auto"/>
                <w:sz w:val="24"/>
                <w:szCs w:val="24"/>
                <w:highlight w:val="none"/>
                <w:lang w:val="zh-CN"/>
              </w:rPr>
            </w:pPr>
            <w:r>
              <w:rPr>
                <w:rFonts w:hint="eastAsia" w:eastAsia="宋体" w:cs="宋体"/>
                <w:color w:val="auto"/>
                <w:sz w:val="24"/>
                <w:szCs w:val="24"/>
                <w:highlight w:val="none"/>
                <w:lang w:val="zh-CN"/>
              </w:rPr>
              <w:t>投标人</w:t>
            </w:r>
            <w:r>
              <w:rPr>
                <w:rFonts w:hint="eastAsia" w:ascii="宋体" w:hAnsi="宋体" w:eastAsia="宋体" w:cs="宋体"/>
                <w:color w:val="auto"/>
                <w:sz w:val="24"/>
                <w:szCs w:val="24"/>
                <w:highlight w:val="none"/>
                <w:lang w:val="zh-CN"/>
              </w:rPr>
              <w:t>投诉</w:t>
            </w:r>
          </w:p>
        </w:tc>
        <w:tc>
          <w:tcPr>
            <w:tcW w:w="6455" w:type="dxa"/>
            <w:tcBorders>
              <w:top w:val="single" w:color="auto" w:sz="8" w:space="0"/>
              <w:left w:val="single" w:color="auto" w:sz="8" w:space="0"/>
              <w:bottom w:val="single" w:color="auto" w:sz="8" w:space="0"/>
            </w:tcBorders>
            <w:vAlign w:val="center"/>
          </w:tcPr>
          <w:p>
            <w:pPr>
              <w:pStyle w:val="33"/>
              <w:pageBreakBefore w:val="0"/>
              <w:kinsoku/>
              <w:overflowPunct/>
              <w:bidi w:val="0"/>
              <w:snapToGrid w:val="0"/>
              <w:spacing w:beforeAutospacing="0" w:afterAutospacing="0"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投诉受理单位：本项目同级财政部门，即成都市双流区财政局。</w:t>
            </w:r>
          </w:p>
          <w:p>
            <w:pPr>
              <w:pStyle w:val="33"/>
              <w:pageBreakBefore w:val="0"/>
              <w:kinsoku/>
              <w:overflowPunct/>
              <w:bidi w:val="0"/>
              <w:snapToGrid w:val="0"/>
              <w:spacing w:beforeAutospacing="0" w:afterAutospacing="0" w:line="360" w:lineRule="auto"/>
              <w:ind w:left="694" w:leftChars="102" w:hanging="480" w:hanging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联系电话：028-8580</w:t>
            </w:r>
            <w:r>
              <w:rPr>
                <w:rFonts w:hint="eastAsia" w:ascii="宋体" w:hAnsi="宋体" w:eastAsia="宋体" w:cs="宋体"/>
                <w:color w:val="auto"/>
                <w:sz w:val="24"/>
                <w:szCs w:val="24"/>
                <w:highlight w:val="none"/>
                <w:lang w:val="en-US" w:eastAsia="zh-CN"/>
              </w:rPr>
              <w:t>4726</w:t>
            </w:r>
            <w:r>
              <w:rPr>
                <w:rFonts w:hint="eastAsia" w:ascii="宋体" w:hAnsi="宋体" w:eastAsia="宋体" w:cs="宋体"/>
                <w:color w:val="auto"/>
                <w:sz w:val="24"/>
                <w:szCs w:val="24"/>
                <w:highlight w:val="none"/>
                <w:lang w:val="zh-CN"/>
              </w:rPr>
              <w:t>。</w:t>
            </w:r>
          </w:p>
          <w:p>
            <w:pPr>
              <w:pStyle w:val="33"/>
              <w:pageBreakBefore w:val="0"/>
              <w:kinsoku/>
              <w:overflowPunct/>
              <w:bidi w:val="0"/>
              <w:snapToGrid w:val="0"/>
              <w:spacing w:beforeAutospacing="0" w:afterAutospacing="0" w:line="360" w:lineRule="auto"/>
              <w:ind w:left="694" w:leftChars="102" w:hanging="480" w:hanging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联系地址：成都市双流区电视塔路二段36号</w:t>
            </w:r>
          </w:p>
          <w:p>
            <w:pPr>
              <w:pStyle w:val="33"/>
              <w:pageBreakBefore w:val="0"/>
              <w:kinsoku/>
              <w:overflowPunct/>
              <w:bidi w:val="0"/>
              <w:snapToGrid w:val="0"/>
              <w:spacing w:beforeAutospacing="0" w:afterAutospacing="0"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注：根据《中华人民共和国政府采购法实施条例》的规定，</w:t>
            </w:r>
            <w:r>
              <w:rPr>
                <w:rFonts w:hint="eastAsia" w:eastAsia="宋体" w:cs="宋体"/>
                <w:color w:val="auto"/>
                <w:sz w:val="24"/>
                <w:szCs w:val="24"/>
                <w:highlight w:val="none"/>
                <w:lang w:val="zh-CN"/>
              </w:rPr>
              <w:t>投标人</w:t>
            </w:r>
            <w:r>
              <w:rPr>
                <w:rFonts w:hint="eastAsia" w:ascii="宋体" w:hAnsi="宋体" w:eastAsia="宋体" w:cs="宋体"/>
                <w:color w:val="auto"/>
                <w:sz w:val="24"/>
                <w:szCs w:val="24"/>
                <w:highlight w:val="none"/>
                <w:lang w:val="zh-CN"/>
              </w:rPr>
              <w:t>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342" w:hRule="atLeast"/>
          <w:jc w:val="center"/>
        </w:trPr>
        <w:tc>
          <w:tcPr>
            <w:tcW w:w="681" w:type="dxa"/>
            <w:tcBorders>
              <w:top w:val="single" w:color="auto" w:sz="8" w:space="0"/>
              <w:bottom w:val="single" w:color="auto" w:sz="8" w:space="0"/>
              <w:right w:val="single" w:color="auto" w:sz="8" w:space="0"/>
            </w:tcBorders>
            <w:vAlign w:val="center"/>
          </w:tcPr>
          <w:p>
            <w:pPr>
              <w:pStyle w:val="33"/>
              <w:pageBreakBefore w:val="0"/>
              <w:kinsoku/>
              <w:overflowPunct/>
              <w:bidi w:val="0"/>
              <w:snapToGrid w:val="0"/>
              <w:spacing w:beforeAutospacing="0" w:afterAutospacing="0" w:line="360" w:lineRule="auto"/>
              <w:ind w:right="23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2370" w:type="dxa"/>
            <w:tcBorders>
              <w:top w:val="single" w:color="auto" w:sz="8" w:space="0"/>
              <w:left w:val="single" w:color="auto" w:sz="8" w:space="0"/>
              <w:bottom w:val="single" w:color="auto" w:sz="8" w:space="0"/>
              <w:right w:val="single" w:color="auto" w:sz="8" w:space="0"/>
            </w:tcBorders>
            <w:vAlign w:val="center"/>
          </w:tcPr>
          <w:p>
            <w:pPr>
              <w:pStyle w:val="33"/>
              <w:pageBreakBefore w:val="0"/>
              <w:kinsoku/>
              <w:overflowPunct/>
              <w:bidi w:val="0"/>
              <w:snapToGrid w:val="0"/>
              <w:spacing w:beforeAutospacing="0" w:afterAutospacing="0" w:line="360" w:lineRule="auto"/>
              <w:ind w:left="96"/>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政府采购合同</w:t>
            </w:r>
          </w:p>
          <w:p>
            <w:pPr>
              <w:pStyle w:val="33"/>
              <w:pageBreakBefore w:val="0"/>
              <w:kinsoku/>
              <w:overflowPunct/>
              <w:bidi w:val="0"/>
              <w:snapToGrid w:val="0"/>
              <w:spacing w:beforeAutospacing="0" w:afterAutospacing="0" w:line="360" w:lineRule="auto"/>
              <w:ind w:left="96"/>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公告备案</w:t>
            </w:r>
          </w:p>
        </w:tc>
        <w:tc>
          <w:tcPr>
            <w:tcW w:w="6455" w:type="dxa"/>
            <w:tcBorders>
              <w:top w:val="single" w:color="auto" w:sz="8" w:space="0"/>
              <w:left w:val="single" w:color="auto" w:sz="8" w:space="0"/>
              <w:bottom w:val="single" w:color="auto" w:sz="8" w:space="0"/>
            </w:tcBorders>
            <w:vAlign w:val="center"/>
          </w:tcPr>
          <w:p>
            <w:pPr>
              <w:pageBreakBefore w:val="0"/>
              <w:kinsoku/>
              <w:overflowPunct/>
              <w:topLinePunct/>
              <w:bidi w:val="0"/>
              <w:snapToGrid w:val="0"/>
              <w:spacing w:beforeAutospacing="0" w:afterAutospacing="0"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eastAsia="zh-CN" w:bidi="ar-SA"/>
              </w:rPr>
              <w:t xml:space="preserve"> </w:t>
            </w:r>
            <w:r>
              <w:rPr>
                <w:rFonts w:hint="eastAsia" w:ascii="宋体" w:hAnsi="宋体" w:eastAsia="宋体" w:cs="宋体"/>
                <w:color w:val="auto"/>
                <w:sz w:val="24"/>
                <w:szCs w:val="24"/>
                <w:highlight w:val="none"/>
                <w:lang w:val="zh-CN" w:eastAsia="zh-CN"/>
              </w:rPr>
              <w:t>政府采购合同签订之日起2个工作日内，政府采购合同将在四川政府采购网公告；政府采购合同签订之日起七个工作日内，政府采购合同将向采购项目同级财政部门备案，即成都市双流区财政局备案。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01" w:hRule="atLeast"/>
          <w:jc w:val="center"/>
        </w:trPr>
        <w:tc>
          <w:tcPr>
            <w:tcW w:w="681" w:type="dxa"/>
            <w:tcBorders>
              <w:top w:val="single" w:color="auto" w:sz="8" w:space="0"/>
              <w:bottom w:val="single" w:color="auto" w:sz="8" w:space="0"/>
              <w:right w:val="single" w:color="auto" w:sz="8" w:space="0"/>
            </w:tcBorders>
            <w:vAlign w:val="center"/>
          </w:tcPr>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17</w:t>
            </w:r>
          </w:p>
        </w:tc>
        <w:tc>
          <w:tcPr>
            <w:tcW w:w="2370" w:type="dxa"/>
            <w:tcBorders>
              <w:top w:val="single" w:color="auto" w:sz="8" w:space="0"/>
              <w:left w:val="single" w:color="auto" w:sz="8" w:space="0"/>
              <w:bottom w:val="single" w:color="auto" w:sz="8" w:space="0"/>
              <w:right w:val="single" w:color="auto" w:sz="8" w:space="0"/>
            </w:tcBorders>
            <w:vAlign w:val="center"/>
          </w:tcPr>
          <w:p>
            <w:pPr>
              <w:pStyle w:val="33"/>
              <w:pageBreakBefore w:val="0"/>
              <w:kinsoku/>
              <w:overflowPunct/>
              <w:bidi w:val="0"/>
              <w:snapToGrid w:val="0"/>
              <w:spacing w:beforeAutospacing="0" w:afterAutospacing="0" w:line="360" w:lineRule="auto"/>
              <w:ind w:left="96" w:leftChars="0"/>
              <w:jc w:val="center"/>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招标服务费</w:t>
            </w:r>
          </w:p>
        </w:tc>
        <w:tc>
          <w:tcPr>
            <w:tcW w:w="6455" w:type="dxa"/>
            <w:tcBorders>
              <w:top w:val="single" w:color="auto" w:sz="8" w:space="0"/>
              <w:left w:val="single" w:color="auto" w:sz="8" w:space="0"/>
              <w:bottom w:val="single" w:color="auto" w:sz="8" w:space="0"/>
            </w:tcBorders>
            <w:vAlign w:val="center"/>
          </w:tcPr>
          <w:p>
            <w:pPr>
              <w:keepNext w:val="0"/>
              <w:keepLines w:val="0"/>
              <w:pageBreakBefore w:val="0"/>
              <w:widowControl w:val="0"/>
              <w:kinsoku/>
              <w:wordWrap/>
              <w:overflowPunct/>
              <w:topLinePunct/>
              <w:autoSpaceDE/>
              <w:autoSpaceDN/>
              <w:bidi w:val="0"/>
              <w:adjustRightInd/>
              <w:snapToGrid w:val="0"/>
              <w:spacing w:beforeAutospacing="0" w:afterAutospacing="0" w:line="360" w:lineRule="auto"/>
              <w:ind w:left="0" w:leftChars="0" w:right="0" w:rightChars="0" w:firstLine="240" w:firstLineChars="1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lang w:val="zh-CN"/>
              </w:rPr>
              <w:t>根据《国家发展改革委关于进一步放开建设项目专业服务价格的通知》（发改价格〔2015〕299号）的有关规定和成本加合理利润原则，经与采购人协商，招标代理服务费由中标单位支付，招标代理服务费为人民币</w:t>
            </w:r>
            <w:r>
              <w:rPr>
                <w:rFonts w:hint="eastAsia" w:ascii="宋体" w:hAnsi="宋体" w:eastAsia="宋体" w:cs="宋体"/>
                <w:color w:val="auto"/>
                <w:sz w:val="24"/>
                <w:szCs w:val="24"/>
                <w:lang w:val="en-US" w:eastAsia="zh-CN"/>
              </w:rPr>
              <w:t>9720</w:t>
            </w:r>
            <w:r>
              <w:rPr>
                <w:rFonts w:hint="eastAsia" w:ascii="宋体" w:hAnsi="宋体" w:eastAsia="宋体" w:cs="宋体"/>
                <w:color w:val="auto"/>
                <w:sz w:val="24"/>
                <w:szCs w:val="24"/>
                <w:lang w:val="zh-CN"/>
              </w:rPr>
              <w:t>.00元（大写：</w:t>
            </w:r>
            <w:r>
              <w:rPr>
                <w:rFonts w:hint="eastAsia" w:ascii="宋体" w:hAnsi="宋体" w:eastAsia="宋体" w:cs="宋体"/>
                <w:color w:val="auto"/>
                <w:sz w:val="24"/>
                <w:szCs w:val="24"/>
                <w:lang w:val="zh-CN" w:eastAsia="zh-CN"/>
              </w:rPr>
              <w:t>玖仟柒佰贰拾</w:t>
            </w:r>
            <w:r>
              <w:rPr>
                <w:rFonts w:hint="eastAsia" w:ascii="宋体" w:hAnsi="宋体" w:eastAsia="宋体" w:cs="宋体"/>
                <w:color w:val="auto"/>
                <w:sz w:val="24"/>
                <w:szCs w:val="24"/>
                <w:lang w:val="zh-CN"/>
              </w:rPr>
              <w:t>元整）,招标代理服务费在领取中标通知书时并办理支付，可使用银行转账、电汇或招标采购代理机构认可的方式支付</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招标代理服务费在领取中标通知书时并办理支付，可使用银行转账、电汇或招标采购代理机构认可的方式支付</w:t>
            </w:r>
            <w:r>
              <w:rPr>
                <w:rFonts w:hint="eastAsia" w:ascii="宋体" w:hAnsi="宋体" w:eastAsia="宋体" w:cs="宋体"/>
                <w:color w:val="auto"/>
                <w:sz w:val="24"/>
                <w:szCs w:val="24"/>
                <w:lang w:val="zh-CN" w:eastAsia="zh-CN"/>
              </w:rPr>
              <w:t>。</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81" w:type="dxa"/>
            <w:tcBorders>
              <w:top w:val="single" w:color="auto" w:sz="8" w:space="0"/>
              <w:bottom w:val="single" w:color="auto" w:sz="8" w:space="0"/>
              <w:right w:val="single" w:color="auto" w:sz="8" w:space="0"/>
            </w:tcBorders>
            <w:vAlign w:val="center"/>
          </w:tcPr>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18</w:t>
            </w:r>
          </w:p>
        </w:tc>
        <w:tc>
          <w:tcPr>
            <w:tcW w:w="2370" w:type="dxa"/>
            <w:tcBorders>
              <w:top w:val="single" w:color="auto" w:sz="8" w:space="0"/>
              <w:left w:val="single" w:color="auto" w:sz="8" w:space="0"/>
              <w:bottom w:val="single" w:color="auto" w:sz="8" w:space="0"/>
              <w:right w:val="single" w:color="auto" w:sz="8" w:space="0"/>
            </w:tcBorders>
            <w:vAlign w:val="center"/>
          </w:tcPr>
          <w:p>
            <w:pPr>
              <w:pStyle w:val="33"/>
              <w:ind w:left="96" w:leftChars="0"/>
              <w:jc w:val="center"/>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lang w:val="zh-CN"/>
              </w:rPr>
              <w:t>温馨提示</w:t>
            </w:r>
          </w:p>
        </w:tc>
        <w:tc>
          <w:tcPr>
            <w:tcW w:w="6455" w:type="dxa"/>
            <w:tcBorders>
              <w:top w:val="single" w:color="auto" w:sz="8" w:space="0"/>
              <w:left w:val="single" w:color="auto" w:sz="8" w:space="0"/>
              <w:bottom w:val="single" w:color="auto" w:sz="8" w:space="0"/>
            </w:tcBorders>
            <w:vAlign w:val="center"/>
          </w:tcPr>
          <w:p>
            <w:pPr>
              <w:pStyle w:val="33"/>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lang w:val="zh-CN"/>
              </w:rPr>
              <w:t>供应商需准备全流程所必需的硬件设备包括电脑（版本 win7 64位及以上）、麦克风、摄像头、CA证书等。建议使用同一台电脑完成投标、评标相关事宜，推荐安装 chrome 浏览器，且解密CA必须和加密CA为同一把。</w:t>
            </w:r>
          </w:p>
        </w:tc>
      </w:tr>
    </w:tbl>
    <w:p>
      <w:pPr>
        <w:pStyle w:val="4"/>
        <w:pageBreakBefore w:val="0"/>
        <w:widowControl w:val="0"/>
        <w:kinsoku/>
        <w:wordWrap/>
        <w:overflowPunct/>
        <w:topLinePunct w:val="0"/>
        <w:autoSpaceDE/>
        <w:autoSpaceDN/>
        <w:bidi w:val="0"/>
        <w:snapToGrid w:val="0"/>
        <w:spacing w:before="0" w:after="0" w:line="360" w:lineRule="auto"/>
        <w:rPr>
          <w:rFonts w:hint="eastAsia" w:ascii="宋体" w:hAnsi="宋体" w:eastAsia="宋体" w:cs="宋体"/>
          <w:bCs w:val="0"/>
          <w:color w:val="auto"/>
          <w:sz w:val="24"/>
          <w:szCs w:val="24"/>
          <w:highlight w:val="none"/>
        </w:rPr>
      </w:pPr>
      <w:bookmarkStart w:id="10" w:name="_Toc30856"/>
      <w:r>
        <w:rPr>
          <w:rFonts w:hint="eastAsia" w:ascii="宋体" w:hAnsi="宋体" w:eastAsia="宋体" w:cs="宋体"/>
          <w:bCs w:val="0"/>
          <w:color w:val="auto"/>
          <w:sz w:val="24"/>
          <w:szCs w:val="24"/>
          <w:highlight w:val="none"/>
        </w:rPr>
        <w:t>二、总  则</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bookmarkStart w:id="11" w:name="_Toc183582205"/>
      <w:bookmarkStart w:id="12" w:name="_Toc183682342"/>
      <w:bookmarkStart w:id="13" w:name="_Toc217446034"/>
      <w:bookmarkStart w:id="14" w:name="_Toc307492966"/>
      <w:r>
        <w:rPr>
          <w:rFonts w:hint="eastAsia" w:ascii="宋体" w:hAnsi="宋体" w:eastAsia="宋体" w:cs="宋体"/>
          <w:color w:val="auto"/>
          <w:sz w:val="24"/>
          <w:szCs w:val="24"/>
          <w:highlight w:val="none"/>
        </w:rPr>
        <w:t>1.</w:t>
      </w:r>
      <w:bookmarkEnd w:id="11"/>
      <w:bookmarkEnd w:id="12"/>
      <w:r>
        <w:rPr>
          <w:rFonts w:hint="eastAsia" w:ascii="宋体" w:hAnsi="宋体" w:eastAsia="宋体" w:cs="宋体"/>
          <w:color w:val="auto"/>
          <w:sz w:val="24"/>
          <w:szCs w:val="24"/>
          <w:highlight w:val="none"/>
        </w:rPr>
        <w:t xml:space="preserve"> 适用范围</w:t>
      </w:r>
      <w:bookmarkEnd w:id="13"/>
      <w:bookmarkEnd w:id="14"/>
    </w:p>
    <w:p>
      <w:pPr>
        <w:pStyle w:val="5"/>
        <w:pageBreakBefore w:val="0"/>
        <w:widowControl w:val="0"/>
        <w:kinsoku/>
        <w:wordWrap/>
        <w:overflowPunct/>
        <w:topLinePunct w:val="0"/>
        <w:autoSpaceDE/>
        <w:autoSpaceDN/>
        <w:bidi w:val="0"/>
        <w:snapToGrid w:val="0"/>
        <w:spacing w:before="0" w:after="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 本招标文件仅适用于本次公开招标采购项目。</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bookmarkStart w:id="15" w:name="_Toc183582206"/>
      <w:bookmarkStart w:id="16" w:name="_Toc183682343"/>
      <w:bookmarkStart w:id="17" w:name="_Toc307492967"/>
      <w:bookmarkStart w:id="18" w:name="_Toc217446035"/>
      <w:r>
        <w:rPr>
          <w:rFonts w:hint="eastAsia" w:ascii="宋体" w:hAnsi="宋体" w:eastAsia="宋体" w:cs="宋体"/>
          <w:color w:val="auto"/>
          <w:sz w:val="24"/>
          <w:szCs w:val="24"/>
          <w:highlight w:val="none"/>
        </w:rPr>
        <w:t xml:space="preserve">2. </w:t>
      </w:r>
      <w:bookmarkEnd w:id="15"/>
      <w:bookmarkEnd w:id="16"/>
      <w:r>
        <w:rPr>
          <w:rFonts w:hint="eastAsia" w:ascii="宋体" w:hAnsi="宋体" w:eastAsia="宋体" w:cs="宋体"/>
          <w:color w:val="auto"/>
          <w:sz w:val="24"/>
          <w:szCs w:val="24"/>
          <w:highlight w:val="none"/>
        </w:rPr>
        <w:t>有关定义</w:t>
      </w:r>
      <w:bookmarkEnd w:id="17"/>
      <w:bookmarkEnd w:id="18"/>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“采购人”系指依法进行政府采购的国家机关、事业单位、团体组织。本次招标的采购人是</w:t>
      </w:r>
      <w:r>
        <w:rPr>
          <w:rFonts w:hint="eastAsia" w:ascii="宋体" w:hAnsi="宋体" w:eastAsia="宋体" w:cs="宋体"/>
          <w:b/>
          <w:color w:val="auto"/>
          <w:sz w:val="24"/>
          <w:szCs w:val="24"/>
          <w:highlight w:val="none"/>
          <w:u w:val="single"/>
          <w:lang w:eastAsia="zh-CN"/>
        </w:rPr>
        <w:t>成都市双流区路灯管理所</w:t>
      </w:r>
      <w:r>
        <w:rPr>
          <w:rFonts w:hint="eastAsia" w:ascii="宋体" w:hAnsi="宋体" w:eastAsia="宋体" w:cs="宋体"/>
          <w:color w:val="auto"/>
          <w:sz w:val="24"/>
          <w:szCs w:val="24"/>
          <w:highlight w:val="none"/>
        </w:rPr>
        <w:t>。</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“采购代理机构” 系指根据采购人的委托依法办理招标事宜的采购机构。本次招标的采购代理机构是</w:t>
      </w:r>
      <w:r>
        <w:rPr>
          <w:rFonts w:hint="eastAsia" w:ascii="宋体" w:hAnsi="宋体" w:eastAsia="宋体" w:cs="宋体"/>
          <w:b/>
          <w:color w:val="auto"/>
          <w:sz w:val="24"/>
          <w:szCs w:val="24"/>
          <w:highlight w:val="none"/>
          <w:u w:val="single"/>
          <w:lang w:eastAsia="zh-CN"/>
        </w:rPr>
        <w:t>四川润民工程管理有限公司</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“招标采购单位”系指“采购人”和“采购代理机构”的统称。</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“投标人”系指购买了招标文件拟参加投标和向采购人提供相应服务的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合格的投标人（实质性要求）</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合格的投标人应具备以下条件：</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（1）本招标文件规定的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（2）遵守国家有关的法律、法规、规章和其他政策制度；</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（3）不属于禁止参加本项目采购活动的</w:t>
      </w:r>
      <w:r>
        <w:rPr>
          <w:rFonts w:hint="eastAsia" w:ascii="宋体" w:hAnsi="宋体" w:eastAsia="宋体" w:cs="宋体"/>
          <w:color w:val="auto"/>
          <w:sz w:val="24"/>
          <w:szCs w:val="24"/>
          <w:highlight w:val="none"/>
          <w:lang w:eastAsia="zh-CN"/>
        </w:rPr>
        <w:t>投标人；</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按照规定获取了</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文件，属于实质性参加政府采购活动的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keepNext w:val="0"/>
        <w:keepLines w:val="0"/>
        <w:pageBreakBefore w:val="0"/>
        <w:widowControl/>
        <w:suppressLineNumbers w:val="0"/>
        <w:kinsoku/>
        <w:overflowPunct/>
        <w:topLinePunct w:val="0"/>
        <w:bidi w:val="0"/>
        <w:snapToGrid w:val="0"/>
        <w:spacing w:line="360" w:lineRule="auto"/>
        <w:ind w:firstLine="482" w:firstLineChars="200"/>
        <w:jc w:val="left"/>
        <w:rPr>
          <w:rFonts w:hint="eastAsia" w:ascii="宋体" w:hAnsi="宋体" w:eastAsia="宋体" w:cs="宋体"/>
          <w:color w:val="auto"/>
        </w:rPr>
      </w:pPr>
      <w:r>
        <w:rPr>
          <w:rFonts w:hint="eastAsia" w:ascii="宋体" w:hAnsi="宋体" w:eastAsia="宋体" w:cs="宋体"/>
          <w:b/>
          <w:bCs/>
          <w:color w:val="auto"/>
          <w:kern w:val="0"/>
          <w:sz w:val="24"/>
          <w:szCs w:val="24"/>
          <w:lang w:val="en-US" w:eastAsia="zh-CN" w:bidi="ar"/>
        </w:rPr>
        <w:t xml:space="preserve">4.合格的产品 </w:t>
      </w:r>
    </w:p>
    <w:p>
      <w:pPr>
        <w:keepNext w:val="0"/>
        <w:keepLines w:val="0"/>
        <w:pageBreakBefore w:val="0"/>
        <w:widowControl/>
        <w:suppressLineNumbers w:val="0"/>
        <w:kinsoku/>
        <w:overflowPunct/>
        <w:topLinePunct w:val="0"/>
        <w:bidi w:val="0"/>
        <w:snapToGrid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4.1 参加政府采购所提供的产品，必须是合法生产厂家生产的全新的合格产 </w:t>
      </w:r>
    </w:p>
    <w:p>
      <w:pPr>
        <w:keepNext w:val="0"/>
        <w:keepLines w:val="0"/>
        <w:pageBreakBefore w:val="0"/>
        <w:widowControl/>
        <w:suppressLineNumbers w:val="0"/>
        <w:kinsoku/>
        <w:overflowPunct/>
        <w:topLinePunct w:val="0"/>
        <w:bidi w:val="0"/>
        <w:snapToGrid w:val="0"/>
        <w:spacing w:line="360" w:lineRule="auto"/>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品，产品涉及到第三方知识产权的，必须是已依法获得了该知识产权，不得存在 </w:t>
      </w:r>
    </w:p>
    <w:p>
      <w:pPr>
        <w:keepNext w:val="0"/>
        <w:keepLines w:val="0"/>
        <w:pageBreakBefore w:val="0"/>
        <w:widowControl/>
        <w:suppressLineNumbers w:val="0"/>
        <w:kinsoku/>
        <w:overflowPunct/>
        <w:topLinePunct w:val="0"/>
        <w:bidi w:val="0"/>
        <w:snapToGrid w:val="0"/>
        <w:spacing w:line="360" w:lineRule="auto"/>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侵犯知识产权的问题。 </w:t>
      </w:r>
    </w:p>
    <w:p>
      <w:pPr>
        <w:keepNext w:val="0"/>
        <w:keepLines w:val="0"/>
        <w:pageBreakBefore w:val="0"/>
        <w:widowControl/>
        <w:suppressLineNumbers w:val="0"/>
        <w:kinsoku/>
        <w:overflowPunct/>
        <w:topLinePunct w:val="0"/>
        <w:bidi w:val="0"/>
        <w:snapToGrid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4.2 若提供产品为需要安装软件才能正常工作的，投标人必须提供正版软件 </w:t>
      </w:r>
    </w:p>
    <w:p>
      <w:pPr>
        <w:keepNext w:val="0"/>
        <w:keepLines w:val="0"/>
        <w:pageBreakBefore w:val="0"/>
        <w:widowControl/>
        <w:suppressLineNumbers w:val="0"/>
        <w:kinsoku/>
        <w:overflowPunct/>
        <w:topLinePunct w:val="0"/>
        <w:bidi w:val="0"/>
        <w:snapToGrid w:val="0"/>
        <w:spacing w:line="360" w:lineRule="auto"/>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安装使用，不得安装使用盗版软件。 </w:t>
      </w:r>
    </w:p>
    <w:p>
      <w:pPr>
        <w:keepNext w:val="0"/>
        <w:keepLines w:val="0"/>
        <w:pageBreakBefore w:val="0"/>
        <w:widowControl/>
        <w:suppressLineNumbers w:val="0"/>
        <w:kinsoku/>
        <w:overflowPunct/>
        <w:topLinePunct w:val="0"/>
        <w:autoSpaceDE/>
        <w:autoSpaceDN/>
        <w:bidi w:val="0"/>
        <w:snapToGrid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4.3 除非招标文件要求采购进口产品，否则只能用国内产品报价；招标文件 </w:t>
      </w:r>
    </w:p>
    <w:p>
      <w:pPr>
        <w:keepNext w:val="0"/>
        <w:keepLines w:val="0"/>
        <w:pageBreakBefore w:val="0"/>
        <w:widowControl/>
        <w:suppressLineNumbers w:val="0"/>
        <w:kinsoku/>
        <w:overflowPunct/>
        <w:topLinePunct w:val="0"/>
        <w:autoSpaceDE/>
        <w:autoSpaceDN/>
        <w:bidi w:val="0"/>
        <w:snapToGrid w:val="0"/>
        <w:spacing w:line="360" w:lineRule="auto"/>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中明确规定可以采购进口产品的，若因信息不对称等原因， 国内产品的质量、 </w:t>
      </w:r>
    </w:p>
    <w:p>
      <w:pPr>
        <w:keepNext w:val="0"/>
        <w:keepLines w:val="0"/>
        <w:pageBreakBefore w:val="0"/>
        <w:widowControl/>
        <w:suppressLineNumbers w:val="0"/>
        <w:kinsoku/>
        <w:overflowPunct/>
        <w:topLinePunct w:val="0"/>
        <w:autoSpaceDE/>
        <w:autoSpaceDN/>
        <w:bidi w:val="0"/>
        <w:snapToGrid w:val="0"/>
        <w:spacing w:line="360" w:lineRule="auto"/>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技术和服务均能满足需求，按照公平竞争原则，可以参与采购竞争。向我国企业 </w:t>
      </w:r>
    </w:p>
    <w:p>
      <w:pPr>
        <w:keepNext w:val="0"/>
        <w:keepLines w:val="0"/>
        <w:pageBreakBefore w:val="0"/>
        <w:widowControl/>
        <w:suppressLineNumbers w:val="0"/>
        <w:kinsoku/>
        <w:overflowPunct/>
        <w:topLinePunct w:val="0"/>
        <w:autoSpaceDE/>
        <w:autoSpaceDN/>
        <w:bidi w:val="0"/>
        <w:snapToGrid w:val="0"/>
        <w:spacing w:line="360" w:lineRule="auto"/>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转让技术、与我国企业签订消化吸收再创新方案的投标人的进口产品在同等条件 </w:t>
      </w:r>
    </w:p>
    <w:p>
      <w:pPr>
        <w:keepNext w:val="0"/>
        <w:keepLines w:val="0"/>
        <w:pageBreakBefore w:val="0"/>
        <w:widowControl/>
        <w:suppressLineNumbers w:val="0"/>
        <w:kinsoku/>
        <w:overflowPunct/>
        <w:topLinePunct w:val="0"/>
        <w:autoSpaceDE/>
        <w:autoSpaceDN/>
        <w:bidi w:val="0"/>
        <w:snapToGrid w:val="0"/>
        <w:spacing w:line="360" w:lineRule="auto"/>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下优先采购。 </w:t>
      </w:r>
    </w:p>
    <w:p>
      <w:pPr>
        <w:keepNext w:val="0"/>
        <w:keepLines w:val="0"/>
        <w:pageBreakBefore w:val="0"/>
        <w:widowControl/>
        <w:suppressLineNumbers w:val="0"/>
        <w:kinsoku/>
        <w:overflowPunct/>
        <w:topLinePunct w:val="0"/>
        <w:autoSpaceDE/>
        <w:autoSpaceDN/>
        <w:bidi w:val="0"/>
        <w:snapToGrid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4.4 依照法律、行政法规、地方性法规、行政许可的强制性规定，产品需要 </w:t>
      </w:r>
    </w:p>
    <w:p>
      <w:pPr>
        <w:keepNext w:val="0"/>
        <w:keepLines w:val="0"/>
        <w:pageBreakBefore w:val="0"/>
        <w:widowControl/>
        <w:suppressLineNumbers w:val="0"/>
        <w:kinsoku/>
        <w:overflowPunct/>
        <w:topLinePunct w:val="0"/>
        <w:autoSpaceDE/>
        <w:autoSpaceDN/>
        <w:bidi w:val="0"/>
        <w:snapToGrid w:val="0"/>
        <w:spacing w:line="360" w:lineRule="auto"/>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取得许可证照或者进行认证的，必须符合有关强制性规定。 </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投标费用（实质性要求）</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无论投标的结果如何，投标人参加投标的有关费用由投标人自行承担</w:t>
      </w:r>
      <w:r>
        <w:rPr>
          <w:rFonts w:hint="eastAsia" w:ascii="宋体" w:hAnsi="宋体" w:eastAsia="宋体" w:cs="宋体"/>
          <w:color w:val="auto"/>
          <w:sz w:val="24"/>
          <w:szCs w:val="24"/>
          <w:highlight w:val="none"/>
        </w:rPr>
        <w:t>。</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bookmarkStart w:id="19" w:name="_Toc307492970"/>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.充分、公平竞争保障措施</w:t>
      </w:r>
      <w:bookmarkEnd w:id="19"/>
      <w:r>
        <w:rPr>
          <w:rFonts w:hint="eastAsia" w:ascii="宋体" w:hAnsi="宋体" w:eastAsia="宋体" w:cs="宋体"/>
          <w:color w:val="auto"/>
          <w:sz w:val="24"/>
          <w:szCs w:val="24"/>
          <w:highlight w:val="none"/>
        </w:rPr>
        <w:t>（实质性要求）</w:t>
      </w:r>
    </w:p>
    <w:p>
      <w:pPr>
        <w:pStyle w:val="45"/>
        <w:pageBreakBefore w:val="0"/>
        <w:kinsoku/>
        <w:overflowPunct/>
        <w:topLinePunct w:val="0"/>
        <w:autoSpaceDE/>
        <w:autoSpaceDN/>
        <w:bidi w:val="0"/>
        <w:snapToGrid w:val="0"/>
        <w:spacing w:line="360" w:lineRule="auto"/>
        <w:ind w:left="1"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6.1 提供相同品牌产品处理。</w:t>
      </w:r>
    </w:p>
    <w:p>
      <w:pPr>
        <w:pStyle w:val="45"/>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baseline"/>
        <w:rPr>
          <w:rFonts w:hint="eastAsia" w:ascii="宋体" w:hAnsi="宋体" w:eastAsia="宋体" w:cs="宋体"/>
          <w:b w:val="0"/>
          <w:bCs w:val="0"/>
          <w:color w:val="auto"/>
          <w:sz w:val="24"/>
          <w:szCs w:val="24"/>
          <w:lang w:val="en-US" w:eastAsia="zh-CN" w:bidi="ar-SA"/>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.1.1</w:t>
      </w:r>
      <w:r>
        <w:rPr>
          <w:rFonts w:hint="eastAsia" w:ascii="宋体" w:hAnsi="宋体" w:eastAsia="宋体" w:cs="宋体"/>
          <w:b w:val="0"/>
          <w:bCs w:val="0"/>
          <w:color w:val="auto"/>
          <w:sz w:val="24"/>
          <w:szCs w:val="24"/>
          <w:lang w:val="en-US" w:eastAsia="zh-CN" w:bidi="ar-SA"/>
        </w:rPr>
        <w:t xml:space="preserve"> 非单一产品采购项目中，采购人根据采购项目技术构成、产品价格比重等合理确定核心产品。多家投标人提供的任一核心产品品牌相同的，视为提供相同品牌产品。</w:t>
      </w:r>
      <w:r>
        <w:rPr>
          <w:rFonts w:hint="eastAsia" w:ascii="宋体" w:hAnsi="宋体" w:eastAsia="宋体" w:cs="宋体"/>
          <w:b/>
          <w:bCs/>
          <w:color w:val="auto"/>
          <w:sz w:val="24"/>
          <w:szCs w:val="24"/>
          <w:lang w:val="en-US" w:eastAsia="zh-CN" w:bidi="ar-SA"/>
        </w:rPr>
        <w:t>本采购项目核心产品为：</w:t>
      </w:r>
      <w:r>
        <w:rPr>
          <w:rFonts w:hint="eastAsia" w:ascii="宋体" w:hAnsi="宋体" w:cs="宋体"/>
          <w:b/>
          <w:color w:val="auto"/>
          <w:kern w:val="0"/>
          <w:sz w:val="24"/>
          <w:szCs w:val="24"/>
          <w:lang w:eastAsia="zh-CN" w:bidi="ar"/>
        </w:rPr>
        <w:t>6米（单臂）路灯灯杆</w:t>
      </w:r>
      <w:r>
        <w:rPr>
          <w:rFonts w:hint="eastAsia" w:ascii="宋体" w:hAnsi="宋体" w:cs="宋体"/>
          <w:b/>
          <w:color w:val="auto"/>
          <w:kern w:val="0"/>
          <w:sz w:val="24"/>
          <w:szCs w:val="24"/>
          <w:lang w:val="en-US" w:eastAsia="zh-CN" w:bidi="ar"/>
        </w:rPr>
        <w:t>和</w:t>
      </w:r>
      <w:r>
        <w:rPr>
          <w:rFonts w:hint="eastAsia" w:ascii="宋体" w:hAnsi="宋体" w:cs="宋体"/>
          <w:b/>
          <w:color w:val="auto"/>
          <w:kern w:val="0"/>
          <w:sz w:val="24"/>
          <w:szCs w:val="24"/>
          <w:lang w:eastAsia="zh-CN" w:bidi="ar"/>
        </w:rPr>
        <w:t>90W微光灯具</w:t>
      </w:r>
      <w:r>
        <w:rPr>
          <w:rFonts w:hint="eastAsia" w:ascii="宋体" w:hAnsi="宋体" w:eastAsia="宋体" w:cs="宋体"/>
          <w:b/>
          <w:bCs/>
          <w:color w:val="auto"/>
          <w:sz w:val="24"/>
          <w:szCs w:val="24"/>
          <w:lang w:val="en-US" w:eastAsia="zh-CN" w:bidi="ar-SA"/>
        </w:rPr>
        <w:t>。</w:t>
      </w:r>
    </w:p>
    <w:p>
      <w:pPr>
        <w:pStyle w:val="55"/>
        <w:pageBreakBefore w:val="0"/>
        <w:kinsoku/>
        <w:wordWrap w:val="0"/>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1.2</w:t>
      </w:r>
      <w:r>
        <w:rPr>
          <w:rFonts w:hint="eastAsia" w:ascii="宋体" w:hAnsi="宋体" w:eastAsia="宋体" w:cs="宋体"/>
          <w:b w:val="0"/>
          <w:bCs w:val="0"/>
          <w:color w:val="auto"/>
          <w:sz w:val="24"/>
          <w:szCs w:val="24"/>
        </w:rPr>
        <w:t>使用综合评分法的采购项目，</w:t>
      </w:r>
      <w:r>
        <w:rPr>
          <w:rFonts w:hint="eastAsia" w:ascii="宋体" w:hAnsi="宋体" w:eastAsia="宋体" w:cs="宋体"/>
          <w:color w:val="auto"/>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5"/>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6.2</w:t>
      </w:r>
      <w:r>
        <w:rPr>
          <w:rFonts w:hint="eastAsia" w:ascii="宋体" w:hAnsi="宋体" w:eastAsia="宋体" w:cs="宋体"/>
          <w:b w:val="0"/>
          <w:bCs w:val="0"/>
          <w:color w:val="auto"/>
          <w:sz w:val="24"/>
          <w:szCs w:val="24"/>
          <w:highlight w:val="none"/>
        </w:rPr>
        <w:t>利害关系</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处理。</w:t>
      </w: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不得参加同一合同项下的政府采购活动。采购项目实行资格预审的，单位负责人为同一人或者存在直接控股、管理关系的不同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可以参加资格预审。但只能由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确定其中一家符合条件的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参加后续的政府采购活动，否则，其投标文件作为无效处理。</w:t>
      </w:r>
    </w:p>
    <w:p>
      <w:pPr>
        <w:pStyle w:val="45"/>
        <w:pageBreakBefore w:val="0"/>
        <w:widowControl w:val="0"/>
        <w:kinsoku/>
        <w:wordWrap/>
        <w:overflowPunct/>
        <w:topLinePunct w:val="0"/>
        <w:autoSpaceDE/>
        <w:autoSpaceDN/>
        <w:bidi w:val="0"/>
        <w:snapToGrid w:val="0"/>
        <w:spacing w:line="360" w:lineRule="auto"/>
        <w:ind w:left="1"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6.3</w:t>
      </w:r>
      <w:r>
        <w:rPr>
          <w:rFonts w:hint="eastAsia" w:ascii="宋体" w:hAnsi="宋体" w:eastAsia="宋体" w:cs="宋体"/>
          <w:b w:val="0"/>
          <w:bCs w:val="0"/>
          <w:color w:val="auto"/>
          <w:sz w:val="24"/>
          <w:szCs w:val="24"/>
          <w:highlight w:val="none"/>
        </w:rPr>
        <w:t>前期参与</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处理。</w:t>
      </w:r>
      <w:r>
        <w:rPr>
          <w:rFonts w:hint="eastAsia" w:ascii="宋体" w:hAnsi="宋体" w:eastAsia="宋体" w:cs="宋体"/>
          <w:color w:val="auto"/>
          <w:sz w:val="24"/>
          <w:szCs w:val="24"/>
          <w:highlight w:val="none"/>
        </w:rPr>
        <w:t>为采购项目提供整体设计、规范编制或者项目管理、监理、检测等服务的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，不得再参加该采购项目的其他采购活动。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为采购人、采购代理机构在确定采购需求、编制采购文件过程中提供咨询论证，其提供的咨询论证意见成为采购文件中规定的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资格条件、技术服务商务要求、评标因素和标准、政府采购合同等实质性内容条款的，视同为采购项目提供规范编制。</w:t>
      </w:r>
    </w:p>
    <w:p>
      <w:pPr>
        <w:pStyle w:val="45"/>
        <w:pageBreakBefore w:val="0"/>
        <w:widowControl w:val="0"/>
        <w:kinsoku/>
        <w:wordWrap/>
        <w:overflowPunct/>
        <w:topLinePunct w:val="0"/>
        <w:autoSpaceDE/>
        <w:autoSpaceDN/>
        <w:bidi w:val="0"/>
        <w:snapToGrid w:val="0"/>
        <w:spacing w:line="360" w:lineRule="auto"/>
        <w:ind w:left="1"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6.4</w:t>
      </w:r>
      <w:r>
        <w:rPr>
          <w:rFonts w:hint="eastAsia" w:ascii="宋体" w:hAnsi="宋体" w:eastAsia="宋体" w:cs="宋体"/>
          <w:b w:val="0"/>
          <w:bCs w:val="0"/>
          <w:color w:val="auto"/>
          <w:sz w:val="24"/>
          <w:szCs w:val="24"/>
          <w:highlight w:val="none"/>
        </w:rPr>
        <w:t>利害关系代理人处理。</w:t>
      </w:r>
      <w:r>
        <w:rPr>
          <w:rFonts w:hint="eastAsia" w:ascii="宋体" w:hAnsi="宋体" w:eastAsia="宋体" w:cs="宋体"/>
          <w:color w:val="auto"/>
          <w:sz w:val="24"/>
          <w:szCs w:val="24"/>
          <w:highlight w:val="none"/>
        </w:rPr>
        <w:t>2家以上的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不得在同一合同项下的采购项目中，同时委托同一个自然人、同一家庭的人员、同一单位的人员作为其代理人，否则，其投标文件作为无效处理。</w:t>
      </w:r>
    </w:p>
    <w:p>
      <w:pPr>
        <w:pStyle w:val="45"/>
        <w:pageBreakBefore w:val="0"/>
        <w:widowControl w:val="0"/>
        <w:kinsoku/>
        <w:wordWrap/>
        <w:overflowPunct/>
        <w:topLinePunct w:val="0"/>
        <w:autoSpaceDE/>
        <w:autoSpaceDN/>
        <w:bidi w:val="0"/>
        <w:snapToGrid w:val="0"/>
        <w:spacing w:line="360" w:lineRule="auto"/>
        <w:ind w:left="1"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投标人实际控制人或者中高级管理人员，同时是采购代理机构工作人员，不得参与本项目政府采购活动。 </w:t>
      </w:r>
    </w:p>
    <w:p>
      <w:pPr>
        <w:pStyle w:val="45"/>
        <w:pageBreakBefore w:val="0"/>
        <w:widowControl w:val="0"/>
        <w:kinsoku/>
        <w:wordWrap/>
        <w:overflowPunct/>
        <w:topLinePunct w:val="0"/>
        <w:autoSpaceDE/>
        <w:autoSpaceDN/>
        <w:bidi w:val="0"/>
        <w:snapToGrid w:val="0"/>
        <w:spacing w:line="360" w:lineRule="auto"/>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lang w:val="en-US" w:eastAsia="zh-CN" w:bidi="ar"/>
        </w:rPr>
        <w:t>投标人与采购代理机构存在关联关系，或者是采购代理机构的母公司或子公司，不得参加本项目政府采购活动。</w:t>
      </w:r>
    </w:p>
    <w:p>
      <w:pPr>
        <w:pStyle w:val="4"/>
        <w:pageBreakBefore w:val="0"/>
        <w:widowControl w:val="0"/>
        <w:kinsoku/>
        <w:wordWrap/>
        <w:overflowPunct/>
        <w:topLinePunct w:val="0"/>
        <w:autoSpaceDE/>
        <w:autoSpaceDN/>
        <w:bidi w:val="0"/>
        <w:snapToGrid w:val="0"/>
        <w:spacing w:before="0" w:after="0" w:line="360" w:lineRule="auto"/>
        <w:jc w:val="center"/>
        <w:rPr>
          <w:rFonts w:hint="eastAsia" w:ascii="宋体" w:hAnsi="宋体" w:eastAsia="宋体" w:cs="宋体"/>
          <w:bCs w:val="0"/>
          <w:color w:val="auto"/>
          <w:sz w:val="24"/>
          <w:szCs w:val="24"/>
          <w:highlight w:val="none"/>
        </w:rPr>
      </w:pPr>
      <w:bookmarkStart w:id="20" w:name="_Toc217446038"/>
      <w:bookmarkStart w:id="21" w:name="_Toc183682346"/>
      <w:bookmarkStart w:id="22" w:name="_Toc77400779"/>
      <w:bookmarkStart w:id="23" w:name="_Toc89075875"/>
      <w:bookmarkStart w:id="24" w:name="_Toc307492971"/>
      <w:bookmarkStart w:id="25" w:name="_Toc183582209"/>
      <w:r>
        <w:rPr>
          <w:rFonts w:hint="eastAsia" w:ascii="宋体" w:hAnsi="宋体" w:eastAsia="宋体" w:cs="宋体"/>
          <w:bCs w:val="0"/>
          <w:color w:val="auto"/>
          <w:sz w:val="24"/>
          <w:szCs w:val="24"/>
          <w:highlight w:val="none"/>
        </w:rPr>
        <w:t>三、招标文件</w:t>
      </w:r>
      <w:bookmarkEnd w:id="20"/>
      <w:bookmarkEnd w:id="21"/>
      <w:bookmarkEnd w:id="22"/>
      <w:bookmarkEnd w:id="23"/>
      <w:bookmarkEnd w:id="24"/>
      <w:bookmarkEnd w:id="25"/>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bookmarkStart w:id="26" w:name="_Toc307492972"/>
      <w:bookmarkStart w:id="27" w:name="_Toc217446039"/>
      <w:bookmarkStart w:id="28" w:name="_Toc183682347"/>
      <w:bookmarkStart w:id="29" w:name="_Toc183582210"/>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．招标文件的构成</w:t>
      </w:r>
      <w:bookmarkEnd w:id="26"/>
      <w:bookmarkEnd w:id="27"/>
      <w:bookmarkEnd w:id="28"/>
      <w:bookmarkEnd w:id="29"/>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.1招标文件是</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（一）投标邀请；</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（二）投标人须知；</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（三）投标文件格式；</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（四）投标人和投标产品的资格、资质性及其他类似效力要求；</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（五）投标人应当提供的资格、资质性及其他类似效力要求的相关证明材料；</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（六）招标项目技术、商务及其他要求；</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（七）评标办法；</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（八）合同主要条款。</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应认真阅读和充分理解招标文件中所有的事项、格式条款和规范要求。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没有对招标文件全面做出实质性响应是</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的风险。没有按照招标文件要求作出实质性响应的投标文件将被拒绝。</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bCs w:val="0"/>
          <w:color w:val="auto"/>
          <w:sz w:val="24"/>
          <w:szCs w:val="24"/>
          <w:highlight w:val="none"/>
        </w:rPr>
      </w:pPr>
      <w:bookmarkStart w:id="30" w:name="_Toc307492973"/>
      <w:bookmarkStart w:id="31" w:name="_Toc217446040"/>
      <w:bookmarkStart w:id="32" w:name="_Toc183682348"/>
      <w:bookmarkStart w:id="33" w:name="_Toc183582211"/>
      <w:r>
        <w:rPr>
          <w:rFonts w:hint="eastAsia" w:ascii="宋体" w:hAnsi="宋体" w:eastAsia="宋体" w:cs="宋体"/>
          <w:bCs w:val="0"/>
          <w:color w:val="auto"/>
          <w:sz w:val="24"/>
          <w:szCs w:val="24"/>
          <w:highlight w:val="none"/>
          <w:lang w:val="en-US" w:eastAsia="zh-CN"/>
        </w:rPr>
        <w:t>8</w:t>
      </w:r>
      <w:r>
        <w:rPr>
          <w:rFonts w:hint="eastAsia" w:ascii="宋体" w:hAnsi="宋体" w:eastAsia="宋体" w:cs="宋体"/>
          <w:bCs w:val="0"/>
          <w:color w:val="auto"/>
          <w:sz w:val="24"/>
          <w:szCs w:val="24"/>
          <w:highlight w:val="none"/>
        </w:rPr>
        <w:t>. 招标文件的澄清和修改</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.1招标采购单位可以依法对招标文件进行澄清或者修改。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招标采购单位对已发出的招标文件进行澄清或者修改，应当以书面形式将澄清或者修改的内容通知所有购买了招标文件的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，同时在四川政府采购网上发布更正公告。该澄清或者修改的内容为招标文件的组成部分，澄清或者修改的内容可能影响投标文件、资格预审申请文件编制的，采购人或者采购代理机构发布公告并书面通知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的时间，应当在投标截止时间至少</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日前、提交资格预审申请文件截止时间至少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日前；不足上述时间的，应当顺延提交投标文件、资格预审申请文件的截止时间。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认为需要对招标文件进行澄清或者修改的，可以以书面形式向招标采购单位构提出申请，但招标采购单位可以决定是否采纳</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的申请事项。</w:t>
      </w:r>
    </w:p>
    <w:p>
      <w:pPr>
        <w:pStyle w:val="5"/>
        <w:pageBreakBefore w:val="0"/>
        <w:widowControl w:val="0"/>
        <w:shd w:val="clear"/>
        <w:kinsoku/>
        <w:wordWrap/>
        <w:overflowPunct/>
        <w:topLinePunct w:val="0"/>
        <w:autoSpaceDE/>
        <w:autoSpaceDN/>
        <w:bidi w:val="0"/>
        <w:snapToGrid w:val="0"/>
        <w:spacing w:before="0" w:after="0" w:line="360" w:lineRule="auto"/>
        <w:ind w:firstLine="482" w:firstLineChars="200"/>
        <w:rPr>
          <w:rFonts w:hint="eastAsia" w:ascii="宋体" w:hAnsi="宋体" w:eastAsia="宋体" w:cs="宋体"/>
          <w:bCs w:val="0"/>
          <w:color w:val="auto"/>
          <w:sz w:val="24"/>
          <w:szCs w:val="24"/>
          <w:highlight w:val="none"/>
          <w:lang w:eastAsia="zh-CN"/>
        </w:rPr>
      </w:pPr>
      <w:r>
        <w:rPr>
          <w:rFonts w:hint="eastAsia" w:ascii="宋体" w:hAnsi="宋体" w:eastAsia="宋体" w:cs="宋体"/>
          <w:bCs w:val="0"/>
          <w:color w:val="auto"/>
          <w:sz w:val="24"/>
          <w:szCs w:val="24"/>
          <w:highlight w:val="none"/>
          <w:lang w:val="en-US" w:eastAsia="zh-CN"/>
        </w:rPr>
        <w:t>9.</w:t>
      </w:r>
      <w:r>
        <w:rPr>
          <w:rFonts w:hint="eastAsia" w:ascii="宋体" w:hAnsi="宋体" w:eastAsia="宋体" w:cs="宋体"/>
          <w:bCs w:val="0"/>
          <w:color w:val="auto"/>
          <w:sz w:val="24"/>
          <w:szCs w:val="24"/>
          <w:highlight w:val="none"/>
        </w:rPr>
        <w:t xml:space="preserve"> 答疑会和现场考察</w:t>
      </w:r>
      <w:r>
        <w:rPr>
          <w:rFonts w:hint="eastAsia" w:ascii="宋体" w:hAnsi="宋体" w:eastAsia="宋体" w:cs="宋体"/>
          <w:bCs w:val="0"/>
          <w:color w:val="auto"/>
          <w:sz w:val="24"/>
          <w:szCs w:val="24"/>
          <w:highlight w:val="none"/>
          <w:lang w:eastAsia="zh-CN"/>
        </w:rPr>
        <w:t>（本项目不涉及）</w:t>
      </w:r>
    </w:p>
    <w:p>
      <w:pPr>
        <w:pageBreakBefore w:val="0"/>
        <w:widowControl w:val="0"/>
        <w:shd w:val="clear"/>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 根据采购项目和具体情况，招标采购单位认为有必要，可以在招标文件提供期限截止后，组织已获取招标文件的潜在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现场考察或者召开开标前答疑会。组织现场考察或者召开答疑会的，应当以书面形式通知所有获取招标文件的潜在投标人。</w:t>
      </w:r>
    </w:p>
    <w:p>
      <w:pPr>
        <w:pageBreakBefore w:val="0"/>
        <w:widowControl w:val="0"/>
        <w:shd w:val="clear"/>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考察现场所发生的一切费用由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自己承担。</w:t>
      </w:r>
      <w:bookmarkEnd w:id="30"/>
      <w:bookmarkEnd w:id="31"/>
      <w:bookmarkEnd w:id="32"/>
      <w:bookmarkEnd w:id="33"/>
      <w:bookmarkStart w:id="34" w:name="_Toc183582214"/>
      <w:bookmarkStart w:id="35" w:name="_Toc217446042"/>
      <w:bookmarkStart w:id="36" w:name="_Toc183682351"/>
      <w:bookmarkStart w:id="37" w:name="_Toc307492975"/>
      <w:bookmarkStart w:id="38" w:name="_Toc77400780"/>
      <w:bookmarkStart w:id="39" w:name="_Toc89075876"/>
    </w:p>
    <w:p>
      <w:pPr>
        <w:pStyle w:val="4"/>
        <w:pageBreakBefore w:val="0"/>
        <w:widowControl w:val="0"/>
        <w:kinsoku/>
        <w:wordWrap/>
        <w:overflowPunct/>
        <w:topLinePunct w:val="0"/>
        <w:autoSpaceDE/>
        <w:autoSpaceDN/>
        <w:bidi w:val="0"/>
        <w:snapToGrid w:val="0"/>
        <w:spacing w:before="0" w:after="0" w:line="360" w:lineRule="auto"/>
        <w:jc w:val="cente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四、</w:t>
      </w:r>
      <w:bookmarkEnd w:id="34"/>
      <w:bookmarkEnd w:id="35"/>
      <w:bookmarkEnd w:id="36"/>
      <w:bookmarkEnd w:id="37"/>
      <w:bookmarkEnd w:id="38"/>
      <w:bookmarkEnd w:id="39"/>
      <w:r>
        <w:rPr>
          <w:rFonts w:hint="eastAsia" w:ascii="宋体" w:hAnsi="宋体" w:eastAsia="宋体" w:cs="宋体"/>
          <w:bCs w:val="0"/>
          <w:color w:val="auto"/>
          <w:sz w:val="24"/>
          <w:szCs w:val="24"/>
          <w:highlight w:val="none"/>
        </w:rPr>
        <w:t>投标文件</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bCs w:val="0"/>
          <w:color w:val="auto"/>
          <w:sz w:val="24"/>
          <w:szCs w:val="24"/>
          <w:highlight w:val="none"/>
        </w:rPr>
      </w:pPr>
      <w:bookmarkStart w:id="40" w:name="_Toc183682352"/>
      <w:bookmarkStart w:id="41" w:name="_Toc183582215"/>
      <w:bookmarkStart w:id="42" w:name="_Toc307492976"/>
      <w:bookmarkStart w:id="43" w:name="_Toc217446043"/>
      <w:r>
        <w:rPr>
          <w:rFonts w:hint="eastAsia" w:ascii="宋体" w:hAnsi="宋体" w:eastAsia="宋体" w:cs="宋体"/>
          <w:bCs w:val="0"/>
          <w:color w:val="auto"/>
          <w:sz w:val="24"/>
          <w:szCs w:val="24"/>
          <w:highlight w:val="none"/>
          <w:lang w:val="en-US" w:eastAsia="zh-CN"/>
        </w:rPr>
        <w:t>10</w:t>
      </w:r>
      <w:r>
        <w:rPr>
          <w:rFonts w:hint="eastAsia" w:ascii="宋体" w:hAnsi="宋体" w:eastAsia="宋体" w:cs="宋体"/>
          <w:bCs w:val="0"/>
          <w:color w:val="auto"/>
          <w:sz w:val="24"/>
          <w:szCs w:val="24"/>
          <w:highlight w:val="none"/>
        </w:rPr>
        <w:t>．</w:t>
      </w:r>
      <w:bookmarkEnd w:id="40"/>
      <w:bookmarkEnd w:id="41"/>
      <w:bookmarkEnd w:id="42"/>
      <w:bookmarkEnd w:id="43"/>
      <w:r>
        <w:rPr>
          <w:rFonts w:hint="eastAsia" w:ascii="宋体" w:hAnsi="宋体" w:eastAsia="宋体" w:cs="宋体"/>
          <w:bCs w:val="0"/>
          <w:color w:val="auto"/>
          <w:sz w:val="24"/>
          <w:szCs w:val="24"/>
          <w:highlight w:val="none"/>
        </w:rPr>
        <w:t>投标文件的语言</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rPr>
        <w:t>投标人提交的投标文件以及投标人与招标采购单位就有关投标的所有来往书面文件均须使用中文</w:t>
      </w:r>
      <w:r>
        <w:rPr>
          <w:rFonts w:hint="eastAsia" w:ascii="宋体" w:hAnsi="宋体" w:eastAsia="宋体" w:cs="宋体"/>
          <w:b/>
          <w:color w:val="auto"/>
          <w:sz w:val="24"/>
        </w:rPr>
        <w:t>（实质性要求）</w:t>
      </w:r>
      <w:r>
        <w:rPr>
          <w:rFonts w:hint="eastAsia" w:ascii="宋体" w:hAnsi="宋体" w:eastAsia="宋体" w:cs="宋体"/>
          <w:color w:val="auto"/>
          <w:sz w:val="24"/>
        </w:rPr>
        <w:t>。投标文件中如附有外文资料，应对应翻译成中文并加盖投标人公章后附在相关外文资料后面。（说明：</w:t>
      </w:r>
      <w:r>
        <w:rPr>
          <w:rFonts w:hint="eastAsia" w:ascii="宋体" w:hAnsi="宋体" w:eastAsia="宋体" w:cs="宋体"/>
          <w:color w:val="auto"/>
          <w:sz w:val="24"/>
          <w:lang w:eastAsia="zh-CN"/>
        </w:rPr>
        <w:t>投标人</w:t>
      </w:r>
      <w:r>
        <w:rPr>
          <w:rFonts w:hint="eastAsia" w:ascii="宋体" w:hAnsi="宋体" w:eastAsia="宋体" w:cs="宋体"/>
          <w:color w:val="auto"/>
          <w:sz w:val="24"/>
        </w:rPr>
        <w:t>的法定代表人为外籍人士的，法定代表人的签字和护照除外。）</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 翻译的中文资料与外文资料如果出现差异和矛盾时，以中文为准。涉嫌虚假响应的按照相关法律法规处理。</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.3如因未翻译而造成的废标，由投标人承担。</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w:t>
      </w:r>
      <w:r>
        <w:rPr>
          <w:rFonts w:hint="eastAsia" w:ascii="宋体" w:hAnsi="宋体" w:eastAsia="宋体" w:cs="宋体"/>
          <w:bCs w:val="0"/>
          <w:color w:val="auto"/>
          <w:sz w:val="24"/>
          <w:szCs w:val="24"/>
          <w:highlight w:val="none"/>
          <w:lang w:val="en-US" w:eastAsia="zh-CN"/>
        </w:rPr>
        <w:t>1</w:t>
      </w:r>
      <w:r>
        <w:rPr>
          <w:rFonts w:hint="eastAsia" w:ascii="宋体" w:hAnsi="宋体" w:eastAsia="宋体" w:cs="宋体"/>
          <w:bCs w:val="0"/>
          <w:color w:val="auto"/>
          <w:sz w:val="24"/>
          <w:szCs w:val="24"/>
          <w:highlight w:val="none"/>
        </w:rPr>
        <w:t>．计量单位（实质性要求）</w:t>
      </w:r>
    </w:p>
    <w:p>
      <w:pPr>
        <w:pageBreakBefore w:val="0"/>
        <w:widowControl w:val="0"/>
        <w:tabs>
          <w:tab w:val="left" w:pos="7665"/>
        </w:tabs>
        <w:kinsoku/>
        <w:wordWrap/>
        <w:overflowPunct/>
        <w:topLinePunct w:val="0"/>
        <w:autoSpaceDE/>
        <w:autoSpaceDN/>
        <w:bidi w:val="0"/>
        <w:snapToGrid w:val="0"/>
        <w:spacing w:line="360" w:lineRule="auto"/>
        <w:ind w:left="109" w:leftChars="52" w:firstLine="393" w:firstLineChars="16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除招标文件中另有规定外，本次采购项目所有合同项下的投标均采用国家法</w:t>
      </w:r>
      <w:bookmarkStart w:id="44" w:name="_Toc217446045"/>
      <w:r>
        <w:rPr>
          <w:rFonts w:hint="eastAsia" w:ascii="宋体" w:hAnsi="宋体" w:eastAsia="宋体" w:cs="宋体"/>
          <w:color w:val="auto"/>
          <w:sz w:val="24"/>
          <w:szCs w:val="24"/>
          <w:highlight w:val="none"/>
        </w:rPr>
        <w:t>定的计量单位。</w:t>
      </w:r>
    </w:p>
    <w:bookmarkEnd w:id="44"/>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w:t>
      </w:r>
      <w:r>
        <w:rPr>
          <w:rFonts w:hint="eastAsia" w:ascii="宋体" w:hAnsi="宋体" w:eastAsia="宋体" w:cs="宋体"/>
          <w:bCs w:val="0"/>
          <w:color w:val="auto"/>
          <w:sz w:val="24"/>
          <w:szCs w:val="24"/>
          <w:highlight w:val="none"/>
          <w:lang w:val="en-US" w:eastAsia="zh-CN"/>
        </w:rPr>
        <w:t>2</w:t>
      </w:r>
      <w:r>
        <w:rPr>
          <w:rFonts w:hint="eastAsia" w:ascii="宋体" w:hAnsi="宋体" w:eastAsia="宋体" w:cs="宋体"/>
          <w:bCs w:val="0"/>
          <w:color w:val="auto"/>
          <w:sz w:val="24"/>
          <w:szCs w:val="24"/>
          <w:highlight w:val="none"/>
        </w:rPr>
        <w:t>. 投标货币（实质性要求）</w:t>
      </w:r>
    </w:p>
    <w:p>
      <w:pPr>
        <w:pageBreakBefore w:val="0"/>
        <w:widowControl w:val="0"/>
        <w:tabs>
          <w:tab w:val="left" w:pos="7665"/>
        </w:tabs>
        <w:kinsoku/>
        <w:wordWrap/>
        <w:overflowPunct/>
        <w:topLinePunct w:val="0"/>
        <w:autoSpaceDE/>
        <w:autoSpaceDN/>
        <w:bidi w:val="0"/>
        <w:snapToGrid w:val="0"/>
        <w:spacing w:line="360" w:lineRule="auto"/>
        <w:ind w:left="13" w:hanging="1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本次招标项目的投标均</w:t>
      </w:r>
      <w:bookmarkStart w:id="45" w:name="_Toc217446046"/>
      <w:r>
        <w:rPr>
          <w:rFonts w:hint="eastAsia" w:ascii="宋体" w:hAnsi="宋体" w:eastAsia="宋体" w:cs="宋体"/>
          <w:color w:val="auto"/>
          <w:sz w:val="24"/>
          <w:szCs w:val="24"/>
          <w:highlight w:val="none"/>
        </w:rPr>
        <w:t>以人民币报价。</w:t>
      </w:r>
    </w:p>
    <w:bookmarkEnd w:id="45"/>
    <w:p>
      <w:pPr>
        <w:pStyle w:val="5"/>
        <w:pageBreakBefore w:val="0"/>
        <w:widowControl w:val="0"/>
        <w:numPr>
          <w:ilvl w:val="0"/>
          <w:numId w:val="0"/>
        </w:numPr>
        <w:kinsoku/>
        <w:wordWrap/>
        <w:overflowPunct/>
        <w:topLinePunct w:val="0"/>
        <w:autoSpaceDE/>
        <w:autoSpaceDN/>
        <w:bidi w:val="0"/>
        <w:snapToGrid w:val="0"/>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13.</w:t>
      </w:r>
      <w:r>
        <w:rPr>
          <w:rFonts w:hint="eastAsia" w:ascii="宋体" w:hAnsi="宋体" w:eastAsia="宋体" w:cs="宋体"/>
          <w:bCs w:val="0"/>
          <w:color w:val="auto"/>
          <w:sz w:val="24"/>
          <w:szCs w:val="24"/>
          <w:highlight w:val="none"/>
        </w:rPr>
        <w:t>联合体投标（实质性要求）</w:t>
      </w:r>
    </w:p>
    <w:p>
      <w:pPr>
        <w:pStyle w:val="5"/>
        <w:pageBreakBefore w:val="0"/>
        <w:widowControl w:val="0"/>
        <w:numPr>
          <w:ilvl w:val="0"/>
          <w:numId w:val="0"/>
        </w:numPr>
        <w:kinsoku/>
        <w:wordWrap/>
        <w:overflowPunct/>
        <w:topLinePunct w:val="0"/>
        <w:autoSpaceDE/>
        <w:autoSpaceDN/>
        <w:bidi w:val="0"/>
        <w:snapToGrid w:val="0"/>
        <w:spacing w:before="0" w:after="0" w:line="36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本项</w:t>
      </w:r>
      <w:bookmarkStart w:id="46" w:name="_Toc217446047"/>
      <w:r>
        <w:rPr>
          <w:rFonts w:hint="eastAsia" w:ascii="宋体" w:hAnsi="宋体" w:eastAsia="宋体" w:cs="宋体"/>
          <w:b w:val="0"/>
          <w:bCs/>
          <w:color w:val="auto"/>
          <w:sz w:val="24"/>
          <w:szCs w:val="24"/>
          <w:highlight w:val="none"/>
          <w:lang w:eastAsia="zh-CN"/>
        </w:rPr>
        <w:t>不</w:t>
      </w:r>
      <w:r>
        <w:rPr>
          <w:rFonts w:hint="eastAsia" w:ascii="宋体" w:hAnsi="宋体" w:eastAsia="宋体" w:cs="宋体"/>
          <w:b w:val="0"/>
          <w:bCs/>
          <w:color w:val="auto"/>
          <w:sz w:val="24"/>
          <w:szCs w:val="24"/>
          <w:highlight w:val="none"/>
        </w:rPr>
        <w:t>接受联合体投标</w:t>
      </w:r>
      <w:bookmarkStart w:id="47" w:name="_Toc308164797"/>
      <w:r>
        <w:rPr>
          <w:rFonts w:hint="eastAsia" w:ascii="宋体" w:hAnsi="宋体" w:eastAsia="宋体" w:cs="宋体"/>
          <w:b w:val="0"/>
          <w:bCs/>
          <w:color w:val="auto"/>
          <w:sz w:val="24"/>
          <w:szCs w:val="24"/>
          <w:highlight w:val="none"/>
          <w:lang w:eastAsia="zh-CN"/>
        </w:rPr>
        <w:t>。</w:t>
      </w:r>
    </w:p>
    <w:bookmarkEnd w:id="46"/>
    <w:bookmarkEnd w:id="47"/>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w:t>
      </w:r>
      <w:r>
        <w:rPr>
          <w:rFonts w:hint="eastAsia" w:ascii="宋体" w:hAnsi="宋体" w:eastAsia="宋体" w:cs="宋体"/>
          <w:bCs w:val="0"/>
          <w:color w:val="auto"/>
          <w:sz w:val="24"/>
          <w:szCs w:val="24"/>
          <w:highlight w:val="none"/>
          <w:lang w:val="en-US" w:eastAsia="zh-CN"/>
        </w:rPr>
        <w:t>4</w:t>
      </w:r>
      <w:r>
        <w:rPr>
          <w:rFonts w:hint="eastAsia" w:ascii="宋体" w:hAnsi="宋体" w:eastAsia="宋体" w:cs="宋体"/>
          <w:bCs w:val="0"/>
          <w:color w:val="auto"/>
          <w:sz w:val="24"/>
          <w:szCs w:val="24"/>
          <w:highlight w:val="none"/>
        </w:rPr>
        <w:t>. 知识产权（实质性要求）</w:t>
      </w:r>
    </w:p>
    <w:p>
      <w:pPr>
        <w:pageBreakBefore w:val="0"/>
        <w:widowControl w:val="0"/>
        <w:tabs>
          <w:tab w:val="left" w:pos="540"/>
        </w:tabs>
        <w:kinsoku/>
        <w:wordWrap/>
        <w:overflowPunct/>
        <w:topLinePunct w:val="0"/>
        <w:autoSpaceDE/>
        <w:autoSpaceDN/>
        <w:bidi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14.1</w:t>
      </w:r>
      <w:r>
        <w:rPr>
          <w:rFonts w:hint="eastAsia" w:ascii="宋体" w:hAnsi="宋体" w:eastAsia="宋体" w:cs="宋体"/>
          <w:color w:val="auto"/>
          <w:sz w:val="24"/>
          <w:szCs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ageBreakBefore w:val="0"/>
        <w:widowControl w:val="0"/>
        <w:tabs>
          <w:tab w:val="left" w:pos="540"/>
        </w:tabs>
        <w:kinsoku/>
        <w:wordWrap/>
        <w:overflowPunct/>
        <w:topLinePunct w:val="0"/>
        <w:autoSpaceDE/>
        <w:autoSpaceDN/>
        <w:bidi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采购人享有本项目实施过程中产生的知识成果及知识产权。</w:t>
      </w:r>
    </w:p>
    <w:p>
      <w:pPr>
        <w:pageBreakBefore w:val="0"/>
        <w:widowControl w:val="0"/>
        <w:tabs>
          <w:tab w:val="left" w:pos="540"/>
        </w:tabs>
        <w:kinsoku/>
        <w:wordWrap/>
        <w:overflowPunct/>
        <w:topLinePunct w:val="0"/>
        <w:autoSpaceDE/>
        <w:autoSpaceDN/>
        <w:bidi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pageBreakBefore w:val="0"/>
        <w:widowControl w:val="0"/>
        <w:tabs>
          <w:tab w:val="left" w:pos="540"/>
        </w:tabs>
        <w:kinsoku/>
        <w:wordWrap/>
        <w:overflowPunct/>
        <w:topLinePunct w:val="0"/>
        <w:autoSpaceDE/>
        <w:autoSpaceDN/>
        <w:bidi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.4 如采用投标人所不拥有的知识产权，则在投标报价中必须包括合法获取该知识产</w:t>
      </w:r>
      <w:bookmarkStart w:id="48" w:name="_Toc308164798"/>
      <w:bookmarkStart w:id="49" w:name="_Toc183582217"/>
      <w:bookmarkStart w:id="50" w:name="_Toc183682354"/>
      <w:bookmarkStart w:id="51" w:name="_Toc217446048"/>
      <w:r>
        <w:rPr>
          <w:rFonts w:hint="eastAsia" w:ascii="宋体" w:hAnsi="宋体" w:eastAsia="宋体" w:cs="宋体"/>
          <w:color w:val="auto"/>
          <w:sz w:val="24"/>
          <w:szCs w:val="24"/>
          <w:highlight w:val="none"/>
        </w:rPr>
        <w:t xml:space="preserve">权的相关费用。 </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w:t>
      </w:r>
      <w:bookmarkEnd w:id="48"/>
      <w:bookmarkEnd w:id="49"/>
      <w:bookmarkEnd w:id="50"/>
      <w:bookmarkEnd w:id="51"/>
      <w:r>
        <w:rPr>
          <w:rFonts w:hint="eastAsia" w:ascii="宋体" w:hAnsi="宋体" w:eastAsia="宋体" w:cs="宋体"/>
          <w:bCs w:val="0"/>
          <w:color w:val="auto"/>
          <w:sz w:val="24"/>
          <w:szCs w:val="24"/>
          <w:highlight w:val="none"/>
          <w:lang w:val="en-US" w:eastAsia="zh-CN"/>
        </w:rPr>
        <w:t>5</w:t>
      </w:r>
      <w:r>
        <w:rPr>
          <w:rFonts w:hint="eastAsia" w:ascii="宋体" w:hAnsi="宋体" w:eastAsia="宋体" w:cs="宋体"/>
          <w:bCs w:val="0"/>
          <w:color w:val="auto"/>
          <w:sz w:val="24"/>
          <w:szCs w:val="24"/>
          <w:highlight w:val="none"/>
        </w:rPr>
        <w:t>．投标文件的组成</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投标人应按照招标文件的规定和要求编制投标文件。投标人拟在中标后将中标项目的非主体、非关键性工作交由他人分包完成的，应当在投标文件中载明。投标人编写的投标文件应包括下列部分：</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文件一：资格性投标文件</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严格按照第四、五章要求提供相关资格、资质性及其他类似效力要求的相关证明材料。</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文件二：其它投标文件</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严格按照招标文件要求提供以下材料：</w:t>
      </w:r>
    </w:p>
    <w:p>
      <w:pPr>
        <w:pageBreakBefore w:val="0"/>
        <w:widowControl w:val="0"/>
        <w:kinsoku/>
        <w:wordWrap/>
        <w:overflowPunct/>
        <w:topLinePunct w:val="0"/>
        <w:autoSpaceDE/>
        <w:autoSpaceDN/>
        <w:bidi w:val="0"/>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.1 报价部分。</w:t>
      </w:r>
      <w:r>
        <w:rPr>
          <w:rFonts w:hint="eastAsia" w:ascii="宋体" w:hAnsi="宋体" w:eastAsia="宋体" w:cs="宋体"/>
          <w:bCs/>
          <w:color w:val="auto"/>
          <w:sz w:val="24"/>
          <w:szCs w:val="24"/>
          <w:highlight w:val="none"/>
        </w:rPr>
        <w:t>投标人</w:t>
      </w:r>
      <w:r>
        <w:rPr>
          <w:rFonts w:hint="eastAsia" w:ascii="宋体" w:hAnsi="宋体" w:eastAsia="宋体" w:cs="宋体"/>
          <w:color w:val="auto"/>
          <w:sz w:val="24"/>
          <w:szCs w:val="24"/>
          <w:highlight w:val="none"/>
        </w:rPr>
        <w:t>按照招标文件要求填写的“开标一览表”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“报价明细表”（如涉及）。本次招标报价要求：</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（1）投标人的报价是投标人响应招标项目要求的全部工作内容的价格体现，包括投标人完成本项目所需的一切费用。</w:t>
      </w:r>
      <w:r>
        <w:rPr>
          <w:rFonts w:hint="eastAsia" w:ascii="宋体" w:hAnsi="宋体" w:eastAsia="宋体" w:cs="宋体"/>
          <w:b/>
          <w:bCs/>
          <w:color w:val="auto"/>
          <w:sz w:val="24"/>
        </w:rPr>
        <w:t>（实质性要求）</w:t>
      </w:r>
    </w:p>
    <w:p>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（2）投标人只允许有一个报价，并且在合同履行过程中是固定不变的，任何有选择或可调整的报价将不予接受，并按无效投标处理。</w:t>
      </w:r>
      <w:r>
        <w:rPr>
          <w:rFonts w:hint="eastAsia" w:ascii="宋体" w:hAnsi="宋体" w:eastAsia="宋体" w:cs="宋体"/>
          <w:b/>
          <w:bCs/>
          <w:color w:val="auto"/>
          <w:sz w:val="24"/>
        </w:rPr>
        <w:t>（实质性要求）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（3）在本次投标之前一周年内，投标人本次投标中对同一品牌同一型号相同配置的产品报价与其在中国境内其他地方的最低报价比例不得高于20%。（实质性要求）。</w:t>
      </w:r>
    </w:p>
    <w:p>
      <w:pPr>
        <w:pageBreakBefore w:val="0"/>
        <w:tabs>
          <w:tab w:val="left" w:pos="540"/>
        </w:tabs>
        <w:kinsoku/>
        <w:wordWrap w:val="0"/>
        <w:overflowPunct/>
        <w:topLinePunct w:val="0"/>
        <w:bidi w:val="0"/>
        <w:adjustRightInd w:val="0"/>
        <w:snapToGrid w:val="0"/>
        <w:spacing w:line="360" w:lineRule="auto"/>
        <w:ind w:firstLine="482" w:firstLineChars="200"/>
        <w:outlineLvl w:val="5"/>
        <w:rPr>
          <w:rFonts w:hint="eastAsia" w:ascii="宋体" w:hAnsi="宋体" w:eastAsia="宋体" w:cs="宋体"/>
          <w:color w:val="auto"/>
          <w:sz w:val="24"/>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 xml:space="preserve">.2 </w:t>
      </w:r>
      <w:r>
        <w:rPr>
          <w:rFonts w:hint="eastAsia" w:ascii="宋体" w:hAnsi="宋体" w:eastAsia="宋体" w:cs="宋体"/>
          <w:b/>
          <w:bCs/>
          <w:color w:val="auto"/>
          <w:sz w:val="24"/>
        </w:rPr>
        <w:t>技术部分。</w:t>
      </w:r>
      <w:r>
        <w:rPr>
          <w:rFonts w:hint="eastAsia" w:ascii="宋体" w:hAnsi="宋体" w:eastAsia="宋体" w:cs="宋体"/>
          <w:bCs/>
          <w:color w:val="auto"/>
          <w:sz w:val="24"/>
        </w:rPr>
        <w:t>投标人</w:t>
      </w:r>
      <w:r>
        <w:rPr>
          <w:rFonts w:hint="eastAsia" w:ascii="宋体" w:hAnsi="宋体" w:eastAsia="宋体" w:cs="宋体"/>
          <w:color w:val="auto"/>
          <w:sz w:val="24"/>
        </w:rPr>
        <w:t>按照招标文件要求做出的技术应答，主要是针对招标项目的技术指标、参数和技术要求做出的响应和满足。投标人的技术应答应包括下列内容</w:t>
      </w:r>
    </w:p>
    <w:p>
      <w:pPr>
        <w:pageBreakBefore w:val="0"/>
        <w:tabs>
          <w:tab w:val="left" w:pos="540"/>
        </w:tabs>
        <w:kinsoku/>
        <w:wordWrap w:val="0"/>
        <w:overflowPunct/>
        <w:topLinePunct w:val="0"/>
        <w:bidi w:val="0"/>
        <w:adjustRightInd w:val="0"/>
        <w:snapToGrid w:val="0"/>
        <w:spacing w:line="360" w:lineRule="auto"/>
        <w:outlineLvl w:val="5"/>
        <w:rPr>
          <w:rFonts w:hint="eastAsia" w:ascii="宋体" w:hAnsi="宋体" w:eastAsia="宋体" w:cs="宋体"/>
          <w:color w:val="auto"/>
          <w:sz w:val="24"/>
        </w:rPr>
      </w:pPr>
      <w:r>
        <w:rPr>
          <w:rFonts w:hint="eastAsia" w:ascii="宋体" w:hAnsi="宋体" w:eastAsia="宋体" w:cs="宋体"/>
          <w:color w:val="auto"/>
          <w:sz w:val="24"/>
          <w:lang w:eastAsia="zh-CN"/>
        </w:rPr>
        <w:t>（如涉及）</w:t>
      </w:r>
      <w:r>
        <w:rPr>
          <w:rFonts w:hint="eastAsia" w:ascii="宋体" w:hAnsi="宋体" w:eastAsia="宋体" w:cs="宋体"/>
          <w:color w:val="auto"/>
          <w:sz w:val="24"/>
        </w:rPr>
        <w:t>：</w:t>
      </w:r>
    </w:p>
    <w:p>
      <w:pPr>
        <w:pageBreakBefore w:val="0"/>
        <w:tabs>
          <w:tab w:val="left" w:pos="540"/>
        </w:tabs>
        <w:kinsoku/>
        <w:wordWrap w:val="0"/>
        <w:overflowPunct/>
        <w:topLinePunct w:val="0"/>
        <w:bidi w:val="0"/>
        <w:adjustRightInd w:val="0"/>
        <w:snapToGrid w:val="0"/>
        <w:spacing w:line="360" w:lineRule="auto"/>
        <w:ind w:firstLine="480" w:firstLineChars="200"/>
        <w:outlineLvl w:val="5"/>
        <w:rPr>
          <w:rFonts w:hint="eastAsia" w:ascii="宋体" w:hAnsi="宋体" w:eastAsia="宋体" w:cs="宋体"/>
          <w:color w:val="auto"/>
          <w:sz w:val="24"/>
        </w:rPr>
      </w:pPr>
      <w:r>
        <w:rPr>
          <w:rFonts w:hint="eastAsia" w:ascii="宋体" w:hAnsi="宋体" w:eastAsia="宋体" w:cs="宋体"/>
          <w:color w:val="auto"/>
          <w:sz w:val="24"/>
        </w:rPr>
        <w:t>（1）投标产品的品牌、型号、配置；</w:t>
      </w:r>
    </w:p>
    <w:p>
      <w:pPr>
        <w:pageBreakBefore w:val="0"/>
        <w:tabs>
          <w:tab w:val="left" w:pos="540"/>
        </w:tabs>
        <w:kinsoku/>
        <w:wordWrap w:val="0"/>
        <w:overflowPunct/>
        <w:topLinePunct w:val="0"/>
        <w:bidi w:val="0"/>
        <w:adjustRightInd w:val="0"/>
        <w:snapToGrid w:val="0"/>
        <w:spacing w:line="360" w:lineRule="auto"/>
        <w:ind w:firstLine="480" w:firstLineChars="200"/>
        <w:outlineLvl w:val="5"/>
        <w:rPr>
          <w:rFonts w:hint="eastAsia" w:ascii="宋体" w:hAnsi="宋体" w:eastAsia="宋体" w:cs="宋体"/>
          <w:color w:val="auto"/>
          <w:sz w:val="24"/>
        </w:rPr>
      </w:pPr>
      <w:r>
        <w:rPr>
          <w:rFonts w:hint="eastAsia" w:ascii="宋体" w:hAnsi="宋体" w:eastAsia="宋体" w:cs="宋体"/>
          <w:color w:val="auto"/>
          <w:sz w:val="24"/>
        </w:rPr>
        <w:t>（2）投标产品本身的详细的技术指标和参数（应当尽可能提供检测报告、产品使用说明书、采购人手册等材料予以佐证）；</w:t>
      </w:r>
    </w:p>
    <w:p>
      <w:pPr>
        <w:pageBreakBefore w:val="0"/>
        <w:kinsoku/>
        <w:wordWrap w:val="0"/>
        <w:overflowPunct/>
        <w:topLinePunct w:val="0"/>
        <w:bidi w:val="0"/>
        <w:adjustRightInd w:val="0"/>
        <w:snapToGrid w:val="0"/>
        <w:spacing w:line="360" w:lineRule="auto"/>
        <w:ind w:firstLine="480" w:firstLineChars="200"/>
        <w:outlineLvl w:val="5"/>
        <w:rPr>
          <w:rFonts w:hint="eastAsia" w:ascii="宋体" w:hAnsi="宋体" w:eastAsia="宋体" w:cs="宋体"/>
          <w:color w:val="auto"/>
          <w:sz w:val="24"/>
        </w:rPr>
      </w:pPr>
      <w:r>
        <w:rPr>
          <w:rFonts w:hint="eastAsia" w:ascii="宋体" w:hAnsi="宋体" w:eastAsia="宋体" w:cs="宋体"/>
          <w:color w:val="auto"/>
          <w:sz w:val="24"/>
        </w:rPr>
        <w:t>（3）技术方案、项目实施方案；</w:t>
      </w:r>
    </w:p>
    <w:p>
      <w:pPr>
        <w:pageBreakBefore w:val="0"/>
        <w:kinsoku/>
        <w:wordWrap w:val="0"/>
        <w:overflowPunct/>
        <w:topLinePunct w:val="0"/>
        <w:bidi w:val="0"/>
        <w:adjustRightInd w:val="0"/>
        <w:snapToGrid w:val="0"/>
        <w:spacing w:line="360" w:lineRule="auto"/>
        <w:ind w:firstLine="480" w:firstLineChars="200"/>
        <w:outlineLvl w:val="5"/>
        <w:rPr>
          <w:rFonts w:hint="eastAsia" w:ascii="宋体" w:hAnsi="宋体" w:eastAsia="宋体" w:cs="宋体"/>
          <w:color w:val="auto"/>
          <w:sz w:val="24"/>
        </w:rPr>
      </w:pPr>
      <w:r>
        <w:rPr>
          <w:rFonts w:hint="eastAsia" w:ascii="宋体" w:hAnsi="宋体" w:eastAsia="宋体" w:cs="宋体"/>
          <w:color w:val="auto"/>
          <w:sz w:val="24"/>
        </w:rPr>
        <w:t>（4）投标产品技术配置参数表；</w:t>
      </w:r>
    </w:p>
    <w:p>
      <w:pPr>
        <w:pageBreakBefore w:val="0"/>
        <w:tabs>
          <w:tab w:val="left" w:pos="540"/>
        </w:tabs>
        <w:kinsoku/>
        <w:wordWrap w:val="0"/>
        <w:overflowPunct/>
        <w:topLinePunct w:val="0"/>
        <w:bidi w:val="0"/>
        <w:adjustRightInd w:val="0"/>
        <w:snapToGrid w:val="0"/>
        <w:spacing w:line="360" w:lineRule="auto"/>
        <w:ind w:firstLine="480" w:firstLineChars="200"/>
        <w:outlineLvl w:val="5"/>
        <w:rPr>
          <w:rFonts w:hint="eastAsia" w:ascii="宋体" w:hAnsi="宋体" w:eastAsia="宋体" w:cs="宋体"/>
          <w:color w:val="auto"/>
          <w:sz w:val="24"/>
        </w:rPr>
      </w:pPr>
      <w:r>
        <w:rPr>
          <w:rFonts w:hint="eastAsia" w:ascii="宋体" w:hAnsi="宋体" w:eastAsia="宋体" w:cs="宋体"/>
          <w:color w:val="auto"/>
          <w:sz w:val="24"/>
        </w:rPr>
        <w:t>（5）产品彩页资料或技术资料；</w:t>
      </w:r>
    </w:p>
    <w:p>
      <w:pPr>
        <w:pageBreakBefore w:val="0"/>
        <w:tabs>
          <w:tab w:val="left" w:pos="540"/>
        </w:tabs>
        <w:kinsoku/>
        <w:wordWrap w:val="0"/>
        <w:overflowPunct/>
        <w:topLinePunct w:val="0"/>
        <w:bidi w:val="0"/>
        <w:adjustRightInd w:val="0"/>
        <w:snapToGrid w:val="0"/>
        <w:spacing w:line="360" w:lineRule="auto"/>
        <w:ind w:firstLine="480" w:firstLineChars="200"/>
        <w:outlineLvl w:val="5"/>
        <w:rPr>
          <w:rFonts w:hint="eastAsia" w:ascii="宋体" w:hAnsi="宋体" w:eastAsia="宋体" w:cs="宋体"/>
          <w:color w:val="auto"/>
          <w:sz w:val="24"/>
        </w:rPr>
      </w:pPr>
      <w:r>
        <w:rPr>
          <w:rFonts w:hint="eastAsia" w:ascii="宋体" w:hAnsi="宋体" w:eastAsia="宋体" w:cs="宋体"/>
          <w:color w:val="auto"/>
          <w:sz w:val="24"/>
        </w:rPr>
        <w:t>（6）产品工作环境条件；</w:t>
      </w:r>
    </w:p>
    <w:p>
      <w:pPr>
        <w:pageBreakBefore w:val="0"/>
        <w:kinsoku/>
        <w:wordWrap w:val="0"/>
        <w:overflowPunct/>
        <w:topLinePunct w:val="0"/>
        <w:bidi w:val="0"/>
        <w:adjustRightInd w:val="0"/>
        <w:snapToGrid w:val="0"/>
        <w:spacing w:line="360" w:lineRule="auto"/>
        <w:ind w:firstLine="480" w:firstLineChars="200"/>
        <w:outlineLvl w:val="5"/>
        <w:rPr>
          <w:rFonts w:hint="eastAsia" w:ascii="宋体" w:hAnsi="宋体" w:eastAsia="宋体" w:cs="宋体"/>
          <w:color w:val="auto"/>
          <w:sz w:val="24"/>
        </w:rPr>
      </w:pPr>
      <w:r>
        <w:rPr>
          <w:rFonts w:hint="eastAsia" w:ascii="宋体" w:hAnsi="宋体" w:eastAsia="宋体" w:cs="宋体"/>
          <w:color w:val="auto"/>
          <w:sz w:val="24"/>
        </w:rPr>
        <w:t>（7）产品验收标准和验收方法；</w:t>
      </w:r>
    </w:p>
    <w:p>
      <w:pPr>
        <w:pageBreakBefore w:val="0"/>
        <w:kinsoku/>
        <w:wordWrap w:val="0"/>
        <w:overflowPunct/>
        <w:topLinePunct w:val="0"/>
        <w:bidi w:val="0"/>
        <w:adjustRightInd w:val="0"/>
        <w:snapToGrid w:val="0"/>
        <w:spacing w:line="360" w:lineRule="auto"/>
        <w:ind w:firstLine="480" w:firstLineChars="200"/>
        <w:outlineLvl w:val="5"/>
        <w:rPr>
          <w:rFonts w:hint="eastAsia" w:ascii="宋体" w:hAnsi="宋体" w:eastAsia="宋体" w:cs="宋体"/>
          <w:color w:val="auto"/>
          <w:sz w:val="24"/>
        </w:rPr>
      </w:pPr>
      <w:r>
        <w:rPr>
          <w:rFonts w:hint="eastAsia" w:ascii="宋体" w:hAnsi="宋体" w:eastAsia="宋体" w:cs="宋体"/>
          <w:color w:val="auto"/>
          <w:sz w:val="24"/>
        </w:rPr>
        <w:t>（8）产品验收清单（注明各部件的品名、数量</w:t>
      </w:r>
      <w:r>
        <w:rPr>
          <w:rFonts w:hint="eastAsia" w:ascii="宋体" w:hAnsi="宋体" w:eastAsia="宋体" w:cs="宋体"/>
          <w:color w:val="auto"/>
          <w:spacing w:val="-20"/>
          <w:sz w:val="24"/>
        </w:rPr>
        <w:t>、价格</w:t>
      </w:r>
      <w:r>
        <w:rPr>
          <w:rFonts w:hint="eastAsia" w:ascii="宋体" w:hAnsi="宋体" w:eastAsia="宋体" w:cs="宋体"/>
          <w:color w:val="auto"/>
          <w:sz w:val="24"/>
        </w:rPr>
        <w:t>、规格型号和原产地或生产厂家</w:t>
      </w:r>
      <w:r>
        <w:rPr>
          <w:rFonts w:hint="eastAsia" w:ascii="宋体" w:hAnsi="宋体" w:eastAsia="宋体" w:cs="宋体"/>
          <w:color w:val="auto"/>
          <w:spacing w:val="-20"/>
          <w:sz w:val="24"/>
        </w:rPr>
        <w:t>）；</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rPr>
        <w:t>（9）投标人认为需要提供的其他文件和资料。</w:t>
      </w:r>
    </w:p>
    <w:p>
      <w:pPr>
        <w:pageBreakBefore w:val="0"/>
        <w:widowControl w:val="0"/>
        <w:kinsoku/>
        <w:wordWrap/>
        <w:overflowPunct/>
        <w:topLinePunct w:val="0"/>
        <w:autoSpaceDE/>
        <w:autoSpaceDN/>
        <w:bidi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.3 商务部分。</w:t>
      </w:r>
      <w:r>
        <w:rPr>
          <w:rFonts w:hint="eastAsia" w:ascii="宋体" w:hAnsi="宋体" w:eastAsia="宋体" w:cs="宋体"/>
          <w:bCs/>
          <w:color w:val="auto"/>
          <w:sz w:val="24"/>
          <w:szCs w:val="24"/>
          <w:highlight w:val="none"/>
        </w:rPr>
        <w:t>投标人</w:t>
      </w:r>
      <w:r>
        <w:rPr>
          <w:rFonts w:hint="eastAsia" w:ascii="宋体" w:hAnsi="宋体" w:eastAsia="宋体" w:cs="宋体"/>
          <w:color w:val="auto"/>
          <w:sz w:val="24"/>
          <w:szCs w:val="24"/>
          <w:highlight w:val="none"/>
        </w:rPr>
        <w:t>按照招标文件要求提供的有关证明材料。包括以下内容</w:t>
      </w:r>
      <w:r>
        <w:rPr>
          <w:rFonts w:hint="eastAsia" w:ascii="宋体" w:hAnsi="宋体" w:eastAsia="宋体" w:cs="宋体"/>
          <w:color w:val="auto"/>
          <w:sz w:val="24"/>
          <w:lang w:eastAsia="zh-CN"/>
        </w:rPr>
        <w:t>（如涉及）</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snapToGrid w:val="0"/>
        <w:spacing w:line="360" w:lineRule="auto"/>
        <w:ind w:right="332" w:rightChars="15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投标函；</w:t>
      </w:r>
    </w:p>
    <w:p>
      <w:pPr>
        <w:pageBreakBefore w:val="0"/>
        <w:widowControl w:val="0"/>
        <w:kinsoku/>
        <w:wordWrap/>
        <w:overflowPunct/>
        <w:topLinePunct w:val="0"/>
        <w:autoSpaceDE/>
        <w:autoSpaceDN/>
        <w:bidi w:val="0"/>
        <w:snapToGrid w:val="0"/>
        <w:spacing w:line="360" w:lineRule="auto"/>
        <w:ind w:firstLine="48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（2）证明投标人业绩和荣誉的有关材料；</w:t>
      </w:r>
    </w:p>
    <w:p>
      <w:pPr>
        <w:pageBreakBefore w:val="0"/>
        <w:widowControl w:val="0"/>
        <w:kinsoku/>
        <w:wordWrap/>
        <w:overflowPunct/>
        <w:topLinePunct w:val="0"/>
        <w:autoSpaceDE/>
        <w:autoSpaceDN/>
        <w:bidi w:val="0"/>
        <w:snapToGrid w:val="0"/>
        <w:spacing w:line="360" w:lineRule="auto"/>
        <w:ind w:firstLine="48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（3）商务应答表；</w:t>
      </w:r>
    </w:p>
    <w:p>
      <w:pPr>
        <w:pageBreakBefore w:val="0"/>
        <w:widowControl w:val="0"/>
        <w:kinsoku/>
        <w:wordWrap/>
        <w:overflowPunct/>
        <w:topLinePunct w:val="0"/>
        <w:autoSpaceDE/>
        <w:autoSpaceDN/>
        <w:bidi w:val="0"/>
        <w:snapToGrid w:val="0"/>
        <w:spacing w:line="360" w:lineRule="auto"/>
        <w:ind w:firstLine="48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（4）其他投标人认为需要提供的文件和资料；</w:t>
      </w:r>
    </w:p>
    <w:p>
      <w:pPr>
        <w:pageBreakBefore w:val="0"/>
        <w:widowControl w:val="0"/>
        <w:kinsoku/>
        <w:wordWrap/>
        <w:overflowPunct/>
        <w:topLinePunct w:val="0"/>
        <w:autoSpaceDE/>
        <w:autoSpaceDN/>
        <w:bidi w:val="0"/>
        <w:snapToGrid w:val="0"/>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color w:val="auto"/>
          <w:kern w:val="1"/>
          <w:sz w:val="24"/>
          <w:szCs w:val="24"/>
          <w:highlight w:val="none"/>
          <w:lang w:val="en-US" w:eastAsia="zh-CN"/>
        </w:rPr>
        <w:t xml:space="preserve"> </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5</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投标人承诺给予采购单位的各种优惠条件（优惠条件事项不能包括采购项目本身所包含的采购事项。投标人不能以“赠送、赠予”等任何名义提供货物和服务以规避招标文件的约束。否则，投标人提供的投标文件将作为无效处理，即使中标也将取消中标资格）；</w:t>
      </w:r>
    </w:p>
    <w:p>
      <w:pPr>
        <w:pageBreakBefore w:val="0"/>
        <w:kinsoku/>
        <w:wordWrap w:val="0"/>
        <w:overflowPunct/>
        <w:topLinePunct w:val="0"/>
        <w:bidi w:val="0"/>
        <w:adjustRightInd w:val="0"/>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rPr>
        <w:t>售后服务。</w:t>
      </w:r>
      <w:r>
        <w:rPr>
          <w:rFonts w:hint="eastAsia" w:ascii="宋体" w:hAnsi="宋体" w:eastAsia="宋体" w:cs="宋体"/>
          <w:color w:val="auto"/>
          <w:sz w:val="24"/>
        </w:rPr>
        <w:t>投标人按照招标文件中售后服务要求作出的积极响应和承诺。包括以下内容</w:t>
      </w:r>
      <w:r>
        <w:rPr>
          <w:rFonts w:hint="eastAsia" w:ascii="宋体" w:hAnsi="宋体" w:eastAsia="宋体" w:cs="宋体"/>
          <w:color w:val="auto"/>
          <w:sz w:val="24"/>
          <w:lang w:eastAsia="zh-CN"/>
        </w:rPr>
        <w:t>（如涉及）</w:t>
      </w:r>
      <w:r>
        <w:rPr>
          <w:rFonts w:hint="eastAsia" w:ascii="宋体" w:hAnsi="宋体" w:eastAsia="宋体" w:cs="宋体"/>
          <w:color w:val="auto"/>
          <w:sz w:val="24"/>
        </w:rPr>
        <w:t xml:space="preserve">： </w:t>
      </w:r>
    </w:p>
    <w:p>
      <w:pPr>
        <w:pageBreakBefore w:val="0"/>
        <w:tabs>
          <w:tab w:val="left" w:pos="540"/>
        </w:tabs>
        <w:kinsoku/>
        <w:wordWrap w:val="0"/>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（1）产品制造厂家或投标人设立的售后服务机构网点清单、服务电话和维修人员名单；</w:t>
      </w:r>
    </w:p>
    <w:p>
      <w:pPr>
        <w:pageBreakBefore w:val="0"/>
        <w:tabs>
          <w:tab w:val="left" w:pos="540"/>
        </w:tabs>
        <w:kinsoku/>
        <w:wordWrap w:val="0"/>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（2）说明投标产品的保修时间、保修期内的保修内容与范围、维修响应时间等。分别提供产品制造厂家和投标人的服务承诺和保障措施；</w:t>
      </w:r>
    </w:p>
    <w:p>
      <w:pPr>
        <w:pageBreakBefore w:val="0"/>
        <w:tabs>
          <w:tab w:val="left" w:pos="540"/>
        </w:tabs>
        <w:kinsoku/>
        <w:wordWrap w:val="0"/>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（3）培训措施：说明培训内容及培训的时间、地点、目标、培训人数、收费标准和办法；</w:t>
      </w:r>
    </w:p>
    <w:p>
      <w:pPr>
        <w:pageBreakBefore w:val="0"/>
        <w:tabs>
          <w:tab w:val="left" w:pos="540"/>
        </w:tabs>
        <w:kinsoku/>
        <w:wordWrap w:val="0"/>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（4）其他有利于用户的服务承诺。</w:t>
      </w:r>
    </w:p>
    <w:p>
      <w:pPr>
        <w:pageBreakBefore w:val="0"/>
        <w:widowControl w:val="0"/>
        <w:kinsoku/>
        <w:wordWrap/>
        <w:overflowPunct/>
        <w:topLinePunct w:val="0"/>
        <w:autoSpaceDE/>
        <w:autoSpaceDN/>
        <w:bidi w:val="0"/>
        <w:snapToGrid w:val="0"/>
        <w:spacing w:line="360" w:lineRule="auto"/>
        <w:ind w:left="2" w:leftChars="1" w:firstLine="482" w:firstLineChars="200"/>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15.5</w:t>
      </w:r>
      <w:r>
        <w:rPr>
          <w:rFonts w:hint="eastAsia" w:ascii="宋体" w:hAnsi="宋体" w:eastAsia="宋体" w:cs="宋体"/>
          <w:b/>
          <w:bCs/>
          <w:color w:val="auto"/>
          <w:sz w:val="24"/>
          <w:szCs w:val="24"/>
          <w:highlight w:val="none"/>
        </w:rPr>
        <w:t>其他部分。</w:t>
      </w:r>
      <w:r>
        <w:rPr>
          <w:rFonts w:hint="eastAsia" w:ascii="宋体" w:hAnsi="宋体" w:eastAsia="宋体" w:cs="宋体"/>
          <w:bCs/>
          <w:color w:val="auto"/>
          <w:sz w:val="24"/>
          <w:szCs w:val="24"/>
          <w:highlight w:val="none"/>
        </w:rPr>
        <w:t>投标人按照招标文件要求作出的其他应答和承诺。</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bookmarkStart w:id="52" w:name="_Toc89075877"/>
      <w:bookmarkStart w:id="53" w:name="_Toc183682363"/>
      <w:bookmarkStart w:id="54" w:name="_Toc183582226"/>
      <w:bookmarkStart w:id="55" w:name="_Toc77400781"/>
      <w:bookmarkStart w:id="56" w:name="_Toc307492986"/>
      <w:bookmarkStart w:id="57" w:name="_Toc217446053"/>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．投标文件格式</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 投标人应执行招标文件第三章的规定要求。第三章格式中“注”的内容，投标人可自行决定是否保留在投标文件中，未保留的视为投标人默认接受“注”的内容。</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.2 对于没有格式要求的投标文件由</w:t>
      </w:r>
      <w:bookmarkStart w:id="58" w:name="_Toc183682360"/>
      <w:bookmarkStart w:id="59" w:name="_Toc183582223"/>
      <w:bookmarkStart w:id="60" w:name="_Toc308164800"/>
      <w:bookmarkStart w:id="61" w:name="_Toc217446050"/>
      <w:r>
        <w:rPr>
          <w:rFonts w:hint="eastAsia" w:ascii="宋体" w:hAnsi="宋体" w:eastAsia="宋体" w:cs="宋体"/>
          <w:bCs/>
          <w:color w:val="auto"/>
          <w:sz w:val="24"/>
          <w:szCs w:val="24"/>
          <w:highlight w:val="none"/>
        </w:rPr>
        <w:t>投标人自行编写。</w:t>
      </w:r>
      <w:bookmarkEnd w:id="58"/>
      <w:bookmarkEnd w:id="59"/>
      <w:bookmarkEnd w:id="60"/>
      <w:bookmarkEnd w:id="61"/>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．投标保证金（实质性要求）</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本项目未设置投标保证金。</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．投标有效期（实质性要求）</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.1 本项目投标有效期为投标截止时间届满后90天。投标人投标文件中必须载明投标有效期，投标文件中载明的投标有效期可以长于招标文件规定的期限，但不得短于招标文件规定的期限。否则，其投标文件将作为无效投标处理。</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 xml:space="preserve">.2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w:t>
      </w:r>
      <w:bookmarkStart w:id="62" w:name="_Toc217446052"/>
      <w:bookmarkStart w:id="63" w:name="_Toc308164802"/>
      <w:bookmarkStart w:id="64" w:name="_Toc183682362"/>
      <w:bookmarkStart w:id="65" w:name="_Toc183582225"/>
      <w:r>
        <w:rPr>
          <w:rFonts w:hint="eastAsia" w:ascii="宋体" w:hAnsi="宋体" w:eastAsia="宋体" w:cs="宋体"/>
          <w:bCs/>
          <w:color w:val="auto"/>
          <w:sz w:val="24"/>
          <w:szCs w:val="24"/>
          <w:highlight w:val="none"/>
        </w:rPr>
        <w:t>能修改投标文件。</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bookmarkEnd w:id="62"/>
      <w:bookmarkEnd w:id="63"/>
      <w:bookmarkEnd w:id="64"/>
      <w:bookmarkEnd w:id="65"/>
      <w:r>
        <w:rPr>
          <w:rFonts w:hint="eastAsia" w:ascii="宋体" w:hAnsi="宋体" w:eastAsia="宋体" w:cs="宋体"/>
          <w:b/>
          <w:bCs w:val="0"/>
          <w:color w:val="auto"/>
          <w:kern w:val="2"/>
          <w:sz w:val="24"/>
          <w:szCs w:val="24"/>
          <w:highlight w:val="none"/>
          <w:lang w:val="en-US" w:eastAsia="zh-CN" w:bidi="ar-SA"/>
        </w:rPr>
        <w:t>投标文件的制作和签章、加密</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1本项目实行电子投标。投标人应先安装“政采云投标客户端”。（政府采购云平台—CA管理—绑定CA—下载驱动—“政采云投标客户端”立即下载）。投标人应按招标文件要求，通过“政采云投标客户端”制作、加密并提交投标文件。（实质性要求）</w:t>
      </w:r>
    </w:p>
    <w:p>
      <w:pPr>
        <w:pageBreakBefore w:val="0"/>
        <w:widowControl w:val="0"/>
        <w:kinsoku/>
        <w:wordWrap/>
        <w:overflowPunct/>
        <w:topLinePunct w:val="0"/>
        <w:autoSpaceDE/>
        <w:autoSpaceDN/>
        <w:bidi w:val="0"/>
        <w:snapToGrid w:val="0"/>
        <w:spacing w:line="360" w:lineRule="auto"/>
        <w:ind w:left="2" w:leftChars="1"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lang w:val="en-US" w:eastAsia="zh-CN"/>
        </w:rPr>
        <w:t>9</w:t>
      </w:r>
      <w:r>
        <w:rPr>
          <w:rFonts w:hint="eastAsia" w:ascii="宋体" w:hAnsi="宋体" w:eastAsia="宋体" w:cs="宋体"/>
          <w:b/>
          <w:bCs w:val="0"/>
          <w:color w:val="auto"/>
          <w:sz w:val="24"/>
          <w:szCs w:val="24"/>
          <w:highlight w:val="none"/>
        </w:rPr>
        <w:t>.2 投标文件每页均应加盖投标人（法定名称）电子签章，不得使用投标人专用章（如经济合同章、投标专用章等）或下属单位印章代替。（实质性要求）</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.3 投标人应使用本企业CA数字证书对投标文件进行加密。（实质性要求）</w:t>
      </w:r>
    </w:p>
    <w:p>
      <w:pPr>
        <w:pageBreakBefore w:val="0"/>
        <w:tabs>
          <w:tab w:val="left" w:pos="7665"/>
        </w:tabs>
        <w:kinsoku/>
        <w:overflowPunct/>
        <w:topLinePunct w:val="0"/>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.4 招标文件若有修改，投标人根据修改后的招标文件制作或修改并递交投标文件。</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rPr>
        <w:t>1</w:t>
      </w:r>
      <w:r>
        <w:rPr>
          <w:rFonts w:hint="eastAsia" w:ascii="宋体" w:hAnsi="宋体" w:eastAsia="宋体" w:cs="宋体"/>
          <w:color w:val="auto"/>
          <w:sz w:val="24"/>
          <w:lang w:val="en-US" w:eastAsia="zh-CN"/>
        </w:rPr>
        <w:t>9</w:t>
      </w:r>
      <w:r>
        <w:rPr>
          <w:rFonts w:hint="eastAsia" w:ascii="宋体" w:hAnsi="宋体" w:eastAsia="宋体" w:cs="宋体"/>
          <w:color w:val="auto"/>
          <w:sz w:val="24"/>
        </w:rPr>
        <w:t xml:space="preserve">.5 </w:t>
      </w:r>
      <w:r>
        <w:rPr>
          <w:rFonts w:hint="eastAsia" w:ascii="宋体" w:hAnsi="宋体" w:eastAsia="宋体" w:cs="宋体"/>
          <w:bCs/>
          <w:color w:val="auto"/>
          <w:sz w:val="24"/>
          <w:szCs w:val="24"/>
          <w:highlight w:val="none"/>
        </w:rPr>
        <w:t>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bookmarkEnd w:id="52"/>
    <w:bookmarkEnd w:id="53"/>
    <w:bookmarkEnd w:id="54"/>
    <w:bookmarkEnd w:id="55"/>
    <w:bookmarkEnd w:id="56"/>
    <w:bookmarkEnd w:id="57"/>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．投标文件的递交</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20</w:t>
      </w:r>
      <w:r>
        <w:rPr>
          <w:rFonts w:hint="eastAsia" w:ascii="宋体" w:hAnsi="宋体" w:eastAsia="宋体" w:cs="宋体"/>
          <w:bCs/>
          <w:color w:val="auto"/>
          <w:sz w:val="24"/>
          <w:szCs w:val="24"/>
          <w:highlight w:val="none"/>
        </w:rPr>
        <w:t>.1 投标人应当在投标文件递交截止时间前，将生成的已加密的电子投标文件成功递交至“政府采购云平台”。</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20.2</w:t>
      </w:r>
      <w:bookmarkStart w:id="66" w:name="_Toc183682365"/>
      <w:bookmarkStart w:id="67" w:name="_Toc183582228"/>
      <w:bookmarkStart w:id="68" w:name="_Toc217446055"/>
      <w:r>
        <w:rPr>
          <w:rFonts w:hint="eastAsia" w:ascii="宋体" w:hAnsi="宋体" w:eastAsia="宋体" w:cs="宋体"/>
          <w:bCs/>
          <w:color w:val="auto"/>
          <w:sz w:val="24"/>
          <w:szCs w:val="24"/>
          <w:highlight w:val="none"/>
        </w:rPr>
        <w:t>投标人应充分考虑递交文件的不可预见因素，在投标截止时间后将无法递交。</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bookmarkEnd w:id="66"/>
      <w:bookmarkEnd w:id="67"/>
      <w:bookmarkEnd w:id="68"/>
      <w:r>
        <w:rPr>
          <w:rFonts w:hint="eastAsia" w:ascii="宋体" w:hAnsi="宋体" w:eastAsia="宋体" w:cs="宋体"/>
          <w:color w:val="auto"/>
          <w:sz w:val="24"/>
          <w:szCs w:val="24"/>
          <w:highlight w:val="none"/>
        </w:rPr>
        <w:t>投标文件的修改和撤回</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 xml:space="preserve">.1 </w:t>
      </w:r>
      <w:bookmarkStart w:id="69" w:name="_Toc183582232"/>
      <w:bookmarkStart w:id="70" w:name="_Toc183682369"/>
      <w:bookmarkStart w:id="71" w:name="_Toc217446057"/>
      <w:bookmarkStart w:id="72" w:name="_Toc308164806"/>
      <w:r>
        <w:rPr>
          <w:rFonts w:hint="eastAsia" w:ascii="宋体" w:hAnsi="宋体" w:eastAsia="宋体" w:cs="宋体"/>
          <w:bCs/>
          <w:color w:val="auto"/>
          <w:sz w:val="24"/>
          <w:szCs w:val="24"/>
          <w:highlight w:val="none"/>
        </w:rPr>
        <w:t>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21.2 </w:t>
      </w:r>
      <w:r>
        <w:rPr>
          <w:rFonts w:hint="eastAsia" w:ascii="宋体" w:hAnsi="宋体" w:eastAsia="宋体" w:cs="宋体"/>
          <w:bCs/>
          <w:color w:val="auto"/>
          <w:sz w:val="24"/>
          <w:szCs w:val="24"/>
          <w:highlight w:val="none"/>
        </w:rPr>
        <w:t>投标截止时间后，投标人不得对其递交的投标文件做任何补充、修改。</w:t>
      </w:r>
    </w:p>
    <w:p>
      <w:pPr>
        <w:pageBreakBefore w:val="0"/>
        <w:widowControl w:val="0"/>
        <w:kinsoku/>
        <w:wordWrap/>
        <w:overflowPunct/>
        <w:topLinePunct w:val="0"/>
        <w:autoSpaceDE/>
        <w:autoSpaceDN/>
        <w:bidi w:val="0"/>
        <w:snapToGrid w:val="0"/>
        <w:spacing w:line="360" w:lineRule="auto"/>
        <w:ind w:left="2" w:leftChars="1"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22</w:t>
      </w:r>
      <w:r>
        <w:rPr>
          <w:rFonts w:hint="eastAsia" w:ascii="宋体" w:hAnsi="宋体" w:eastAsia="宋体" w:cs="宋体"/>
          <w:b/>
          <w:bCs w:val="0"/>
          <w:color w:val="auto"/>
          <w:sz w:val="24"/>
          <w:szCs w:val="24"/>
          <w:highlight w:val="none"/>
        </w:rPr>
        <w:t>.投标文件的解密</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color w:val="auto"/>
          <w:lang w:val="en-US" w:eastAsia="zh-CN"/>
        </w:rPr>
      </w:pPr>
      <w:r>
        <w:rPr>
          <w:rFonts w:hint="eastAsia" w:ascii="宋体" w:hAnsi="宋体" w:eastAsia="宋体" w:cs="宋体"/>
          <w:bCs/>
          <w:color w:val="auto"/>
          <w:sz w:val="24"/>
          <w:szCs w:val="24"/>
          <w:highlight w:val="none"/>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4"/>
        <w:pageBreakBefore w:val="0"/>
        <w:widowControl w:val="0"/>
        <w:kinsoku/>
        <w:wordWrap/>
        <w:overflowPunct/>
        <w:topLinePunct w:val="0"/>
        <w:autoSpaceDE/>
        <w:autoSpaceDN/>
        <w:bidi w:val="0"/>
        <w:adjustRightInd/>
        <w:snapToGrid w:val="0"/>
        <w:spacing w:before="0"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五、开标</w:t>
      </w:r>
      <w:bookmarkEnd w:id="69"/>
      <w:bookmarkEnd w:id="70"/>
      <w:bookmarkEnd w:id="71"/>
      <w:bookmarkEnd w:id="72"/>
      <w:r>
        <w:rPr>
          <w:rFonts w:hint="eastAsia" w:ascii="宋体" w:hAnsi="宋体" w:eastAsia="宋体" w:cs="宋体"/>
          <w:color w:val="auto"/>
          <w:sz w:val="24"/>
          <w:szCs w:val="24"/>
          <w:highlight w:val="none"/>
        </w:rPr>
        <w:t>和中标</w:t>
      </w:r>
    </w:p>
    <w:p>
      <w:pPr>
        <w:pStyle w:val="5"/>
        <w:pageBreakBefore w:val="0"/>
        <w:widowControl w:val="0"/>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bookmarkStart w:id="73" w:name="_Toc183582238"/>
      <w:bookmarkStart w:id="74" w:name="_Toc183682375"/>
      <w:bookmarkStart w:id="75" w:name="_Toc217446063"/>
      <w:bookmarkStart w:id="76" w:name="_Toc308164809"/>
      <w:r>
        <w:rPr>
          <w:rFonts w:hint="eastAsia" w:ascii="宋体" w:hAnsi="宋体" w:eastAsia="宋体" w:cs="宋体"/>
          <w:b w:val="0"/>
          <w:bCs/>
          <w:color w:val="auto"/>
          <w:kern w:val="2"/>
          <w:sz w:val="24"/>
          <w:szCs w:val="24"/>
          <w:highlight w:val="none"/>
          <w:lang w:val="en-US" w:eastAsia="zh-CN" w:bidi="ar-SA"/>
        </w:rPr>
        <w:t>23．开标及开标程序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23.1本项目为不见面开标项目。（递交电子投标文件的投标人不足3家的，不予开标。）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23.2开标准备工作。投标人需在开标当日、投标截止时间前登录“政府采购云平台”，通过本项目“开标大厅”参与不见面开标。登录政府采购云平台—项目采购—开标评标—开标大厅（确保进入本项目开标大厅）。</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提示：投标人未按时登录不见面开标系统，错过开标解密时间的，由投标人自行承担不利后果。</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23.3解密投标文件。等待代理机构开启解密后，投标人进行线上解密。开启解密后</w:t>
      </w:r>
      <w:r>
        <w:rPr>
          <w:rFonts w:hint="eastAsia" w:ascii="宋体" w:hAnsi="宋体" w:eastAsia="宋体" w:cs="宋体"/>
          <w:b/>
          <w:bCs w:val="0"/>
          <w:color w:val="auto"/>
          <w:kern w:val="2"/>
          <w:sz w:val="24"/>
          <w:szCs w:val="24"/>
          <w:highlight w:val="none"/>
          <w:lang w:val="en-US" w:eastAsia="zh-CN" w:bidi="ar-SA"/>
        </w:rPr>
        <w:t>，投标人应在60分钟内，使用加密该投标文件的CA数字证书在线完成投标文件的解密</w:t>
      </w:r>
      <w:r>
        <w:rPr>
          <w:rFonts w:hint="eastAsia" w:ascii="宋体" w:hAnsi="宋体" w:eastAsia="宋体" w:cs="宋体"/>
          <w:b w:val="0"/>
          <w:bCs/>
          <w:color w:val="auto"/>
          <w:kern w:val="2"/>
          <w:sz w:val="24"/>
          <w:szCs w:val="24"/>
          <w:highlight w:val="none"/>
          <w:lang w:val="en-US" w:eastAsia="zh-CN" w:bidi="ar-SA"/>
        </w:rPr>
        <w:t>。除因断电、断网、系统故障或其他不可抗力等因素，导致系统无法使用外，投标人在规定的解密时间内，未成功解密的投标文件将视为无效投标文件。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23.4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bookmarkStart w:id="77" w:name="_Toc308164807"/>
      <w:bookmarkStart w:id="78" w:name="_Toc217446058"/>
      <w:r>
        <w:rPr>
          <w:rFonts w:hint="eastAsia" w:ascii="宋体" w:hAnsi="宋体" w:eastAsia="宋体" w:cs="宋体"/>
          <w:b w:val="0"/>
          <w:bCs/>
          <w:color w:val="auto"/>
          <w:kern w:val="2"/>
          <w:sz w:val="24"/>
          <w:szCs w:val="24"/>
          <w:highlight w:val="none"/>
          <w:lang w:val="en-US" w:eastAsia="zh-CN" w:bidi="ar-SA"/>
        </w:rPr>
        <w:t>23.5投标人电脑终端等硬件设备和软件系统配置：投标人电脑终端等硬件设备和软件系统配置应符合电子投标（含不见面开标大厅）投标人电脑终端配置要求并运行正常，投标人承担因未尽职责产生的不利后果。</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23.6因断电、断网、系统故障或其他不可抗力等因素导致不见面开标系统无法正常运行的，开标活动中止或延迟，待系统恢复正常后继续进行开标活动。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23.7不见面开标过程中，各方主体均应遵守互联网有关规定，不得发表与交易活动无关的言论。</w:t>
      </w:r>
    </w:p>
    <w:bookmarkEnd w:id="77"/>
    <w:bookmarkEnd w:id="78"/>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23．开评标过程存档</w:t>
      </w:r>
    </w:p>
    <w:p>
      <w:pPr>
        <w:pageBreakBefore w:val="0"/>
        <w:widowControl w:val="0"/>
        <w:kinsoku/>
        <w:wordWrap/>
        <w:overflowPunct/>
        <w:topLinePunct w:val="0"/>
        <w:autoSpaceDE/>
        <w:autoSpaceDN/>
        <w:bidi w:val="0"/>
        <w:adjustRightInd/>
        <w:snapToGrid w:val="0"/>
        <w:spacing w:line="360" w:lineRule="auto"/>
        <w:ind w:left="2" w:leftChars="1"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开标和评标过程进行全过程电子监控，并将电子监控资料存储介质留存归档。</w:t>
      </w:r>
    </w:p>
    <w:p>
      <w:pPr>
        <w:pStyle w:val="5"/>
        <w:pageBreakBefore w:val="0"/>
        <w:widowControl w:val="0"/>
        <w:kinsoku/>
        <w:wordWrap/>
        <w:overflowPunct/>
        <w:topLinePunct w:val="0"/>
        <w:autoSpaceDE/>
        <w:autoSpaceDN/>
        <w:bidi w:val="0"/>
        <w:adjustRightInd/>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.评标情况公告</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所有</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投标文件资格性、符合性检查情况、采用综合评分法时的总得分和分项汇总得分情况、评标结果等将在四川政府采购网上</w:t>
      </w:r>
      <w:bookmarkEnd w:id="73"/>
      <w:bookmarkEnd w:id="74"/>
      <w:r>
        <w:rPr>
          <w:rFonts w:hint="eastAsia" w:ascii="宋体" w:hAnsi="宋体" w:eastAsia="宋体" w:cs="宋体"/>
          <w:bCs/>
          <w:color w:val="auto"/>
          <w:sz w:val="24"/>
          <w:szCs w:val="24"/>
          <w:highlight w:val="none"/>
          <w:lang w:eastAsia="zh-CN"/>
        </w:rPr>
        <w:t>予以公告</w:t>
      </w:r>
      <w:r>
        <w:rPr>
          <w:rFonts w:hint="eastAsia" w:ascii="宋体" w:hAnsi="宋体" w:eastAsia="宋体" w:cs="宋体"/>
          <w:bCs/>
          <w:color w:val="auto"/>
          <w:sz w:val="24"/>
          <w:szCs w:val="24"/>
          <w:highlight w:val="none"/>
        </w:rPr>
        <w:t>。</w:t>
      </w:r>
      <w:bookmarkEnd w:id="75"/>
      <w:bookmarkEnd w:id="76"/>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.采购人确定中标人过程中，发现中标候选人有下列情形之一的，应当不予确定其为中标人：</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（1）发现中标候选人存在禁止参加本项目采购活动的违法行为的；</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（2）中标候选人因不可抗力，不能继续参加政府采购活动；</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（3）中标候选人无偿赠与或者低于成本价竞争；</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（4）中标候选人提供虚假材料；</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（5）中标候选人恶意串通。</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.中标通知书</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color w:val="auto"/>
          <w:sz w:val="24"/>
          <w:szCs w:val="24"/>
          <w:highlight w:val="none"/>
        </w:rPr>
      </w:pPr>
      <w:bookmarkStart w:id="79" w:name="_Toc217446064"/>
      <w:bookmarkStart w:id="80" w:name="_Toc307492993"/>
      <w:bookmarkStart w:id="81" w:name="_Toc183682377"/>
      <w:bookmarkStart w:id="82" w:name="_Toc183582240"/>
      <w:r>
        <w:rPr>
          <w:rFonts w:hint="eastAsia" w:ascii="宋体" w:hAnsi="宋体" w:eastAsia="宋体" w:cs="宋体"/>
          <w:bCs/>
          <w:color w:val="auto"/>
          <w:sz w:val="24"/>
          <w:szCs w:val="24"/>
          <w:highlight w:val="none"/>
          <w:lang w:val="en-US" w:eastAsia="zh-CN"/>
        </w:rPr>
        <w:t>26.1</w:t>
      </w:r>
      <w:r>
        <w:rPr>
          <w:rFonts w:hint="eastAsia" w:ascii="宋体" w:hAnsi="宋体" w:eastAsia="宋体" w:cs="宋体"/>
          <w:bCs/>
          <w:color w:val="auto"/>
          <w:sz w:val="24"/>
          <w:szCs w:val="24"/>
          <w:highlight w:val="none"/>
        </w:rPr>
        <w:t>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26.2</w:t>
      </w:r>
      <w:r>
        <w:rPr>
          <w:rFonts w:hint="eastAsia" w:ascii="宋体" w:hAnsi="宋体" w:eastAsia="宋体" w:cs="宋体"/>
          <w:bCs/>
          <w:color w:val="auto"/>
          <w:sz w:val="24"/>
          <w:szCs w:val="24"/>
          <w:highlight w:val="none"/>
        </w:rPr>
        <w:t>中标通知书对采购人和中标人均具有法律效力。中标通知书发出后，采购人改变中标结果，或者中标人无正当理由放弃中标的，应当承担相应的法律责任。</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26.3</w:t>
      </w:r>
      <w:r>
        <w:rPr>
          <w:rFonts w:hint="eastAsia" w:ascii="宋体" w:hAnsi="宋体" w:eastAsia="宋体" w:cs="宋体"/>
          <w:b w:val="0"/>
          <w:bCs/>
          <w:color w:val="auto"/>
          <w:sz w:val="24"/>
        </w:rPr>
        <w:t>中标公告发出后，中标</w:t>
      </w:r>
      <w:r>
        <w:rPr>
          <w:rFonts w:hint="eastAsia" w:ascii="宋体" w:hAnsi="宋体" w:eastAsia="宋体" w:cs="宋体"/>
          <w:b w:val="0"/>
          <w:bCs/>
          <w:color w:val="auto"/>
          <w:sz w:val="24"/>
          <w:lang w:eastAsia="zh-CN"/>
        </w:rPr>
        <w:t>投标人</w:t>
      </w:r>
      <w:r>
        <w:rPr>
          <w:rFonts w:hint="eastAsia" w:ascii="宋体" w:hAnsi="宋体" w:eastAsia="宋体" w:cs="宋体"/>
          <w:b w:val="0"/>
          <w:bCs/>
          <w:color w:val="auto"/>
          <w:sz w:val="24"/>
        </w:rPr>
        <w:t>自行领取中标通知书的，可凭有效身份证明证件（单位介绍信和个人身份证）到采购代理机构处领取中标通知书。</w:t>
      </w:r>
    </w:p>
    <w:p>
      <w:pPr>
        <w:pStyle w:val="4"/>
        <w:pageBreakBefore w:val="0"/>
        <w:widowControl w:val="0"/>
        <w:kinsoku/>
        <w:wordWrap/>
        <w:overflowPunct/>
        <w:topLinePunct w:val="0"/>
        <w:autoSpaceDE/>
        <w:autoSpaceDN/>
        <w:bidi w:val="0"/>
        <w:snapToGrid w:val="0"/>
        <w:spacing w:before="0"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六、签订及履行合同和验收</w:t>
      </w:r>
      <w:bookmarkEnd w:id="79"/>
      <w:bookmarkEnd w:id="80"/>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bookmarkStart w:id="83" w:name="_Toc217446065"/>
      <w:bookmarkStart w:id="84" w:name="_Toc307492994"/>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.签订合同</w:t>
      </w:r>
      <w:bookmarkEnd w:id="83"/>
      <w:bookmarkEnd w:id="84"/>
    </w:p>
    <w:bookmarkEnd w:id="81"/>
    <w:bookmarkEnd w:id="82"/>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color w:val="auto"/>
          <w:sz w:val="24"/>
          <w:szCs w:val="24"/>
          <w:highlight w:val="none"/>
        </w:rPr>
      </w:pPr>
      <w:bookmarkStart w:id="85" w:name="_Toc307493000"/>
      <w:bookmarkStart w:id="86" w:name="_Toc217446074"/>
      <w:bookmarkStart w:id="87" w:name="_Toc183582243"/>
      <w:bookmarkStart w:id="88" w:name="_Toc183682380"/>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 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，也可以重新开展政府采购活动。</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27.2</w:t>
      </w:r>
      <w:r>
        <w:rPr>
          <w:rFonts w:hint="eastAsia" w:ascii="宋体" w:hAnsi="宋体" w:eastAsia="宋体" w:cs="宋体"/>
          <w:bCs/>
          <w:color w:val="auto"/>
          <w:sz w:val="24"/>
          <w:szCs w:val="24"/>
          <w:highlight w:val="none"/>
        </w:rPr>
        <w:t>采购人不得向中标人提出任何不合理的要求，作为签订合同的条件，不得与中标人私下订立背离合同实质性内容的任何协议，所签订的合同不得对招标文件和中标人投标文件作实质性修改。</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27.3</w:t>
      </w:r>
      <w:r>
        <w:rPr>
          <w:rFonts w:hint="eastAsia" w:ascii="宋体" w:hAnsi="宋体" w:eastAsia="宋体" w:cs="宋体"/>
          <w:bCs/>
          <w:color w:val="auto"/>
          <w:sz w:val="24"/>
          <w:szCs w:val="24"/>
          <w:highlight w:val="none"/>
        </w:rPr>
        <w:t>招标文件、投标文件、中标通知书等一切与本项目评标结果有关且经责任主体确认的资料均为合同的有效组成部分。</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27.4</w:t>
      </w:r>
      <w:r>
        <w:rPr>
          <w:rFonts w:hint="eastAsia" w:ascii="宋体" w:hAnsi="宋体" w:eastAsia="宋体" w:cs="宋体"/>
          <w:bCs/>
          <w:color w:val="auto"/>
          <w:sz w:val="24"/>
          <w:szCs w:val="24"/>
          <w:highlight w:val="none"/>
        </w:rPr>
        <w:t>询问或者质疑事项可能影响中标、成交结果的，采购人应当暂停签订合同，已经签订合同的，应当中止履行合同。</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合同分包（实质性要求）</w:t>
      </w:r>
    </w:p>
    <w:p>
      <w:pPr>
        <w:pStyle w:val="3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 xml:space="preserve">本项目不允许分包 </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合同转包（实质性要求）</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29.1</w:t>
      </w:r>
      <w:r>
        <w:rPr>
          <w:rFonts w:hint="eastAsia" w:ascii="宋体" w:hAnsi="宋体" w:eastAsia="宋体" w:cs="宋体"/>
          <w:color w:val="auto"/>
          <w:kern w:val="2"/>
          <w:sz w:val="24"/>
          <w:szCs w:val="24"/>
          <w:highlight w:val="none"/>
          <w:lang w:val="zh-CN" w:eastAsia="zh-CN" w:bidi="ar-SA"/>
        </w:rPr>
        <w:t xml:space="preserve">严禁中标投标人将本项目转包。本项目所称转包，是指将本项目转给他人或者将本项目全部肢解以后以分包的名义分别转给他人的行为。 </w:t>
      </w:r>
    </w:p>
    <w:p>
      <w:pPr>
        <w:pageBreakBefore w:val="0"/>
        <w:kinsoku/>
        <w:overflowPunct/>
        <w:topLinePunct w:val="0"/>
        <w:bidi w:val="0"/>
        <w:snapToGrid w:val="0"/>
        <w:spacing w:line="360" w:lineRule="auto"/>
        <w:ind w:firstLine="495"/>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29.2</w:t>
      </w:r>
      <w:r>
        <w:rPr>
          <w:rFonts w:hint="eastAsia" w:ascii="宋体" w:hAnsi="宋体" w:eastAsia="宋体" w:cs="宋体"/>
          <w:color w:val="auto"/>
          <w:kern w:val="2"/>
          <w:sz w:val="24"/>
          <w:szCs w:val="24"/>
          <w:highlight w:val="none"/>
          <w:lang w:val="zh-CN" w:eastAsia="zh-CN" w:bidi="ar-SA"/>
        </w:rPr>
        <w:t>中标投标人转包的，视同拒绝履行政府采购合同，将依法追究法律责任。</w:t>
      </w:r>
    </w:p>
    <w:p>
      <w:pPr>
        <w:pageBreakBefore w:val="0"/>
        <w:kinsoku/>
        <w:overflowPunct/>
        <w:topLinePunct w:val="0"/>
        <w:bidi w:val="0"/>
        <w:snapToGrid w:val="0"/>
        <w:spacing w:line="360" w:lineRule="auto"/>
        <w:ind w:firstLine="495"/>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30.采购人增加合同标的的权利</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kern w:val="2"/>
          <w:sz w:val="24"/>
          <w:szCs w:val="24"/>
          <w:highlight w:val="none"/>
          <w:lang w:val="zh-CN" w:eastAsia="zh-CN" w:bidi="ar-SA"/>
        </w:rPr>
      </w:pPr>
      <w:bookmarkStart w:id="89" w:name="_Toc217446068"/>
      <w:bookmarkStart w:id="90" w:name="_Toc308164812"/>
      <w:r>
        <w:rPr>
          <w:rFonts w:hint="eastAsia" w:ascii="宋体" w:hAnsi="宋体" w:eastAsia="宋体" w:cs="宋体"/>
          <w:color w:val="auto"/>
          <w:kern w:val="2"/>
          <w:sz w:val="24"/>
          <w:szCs w:val="24"/>
          <w:highlight w:val="none"/>
          <w:lang w:val="zh-CN" w:eastAsia="zh-CN" w:bidi="ar-SA"/>
        </w:rPr>
        <w:t>采购合同履行过程中，采购人需要追加与合同标的相同的货物或者服务的，在不改变合同其他条款的前提下，可以与中标人协商签订补充合同，但所有补充合同的采购金额不得超过原合同采购金额的百分之十。</w:t>
      </w:r>
    </w:p>
    <w:bookmarkEnd w:id="89"/>
    <w:bookmarkEnd w:id="90"/>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履约保证金（本项目未</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bookmarkStart w:id="91" w:name="_Toc308164813"/>
      <w:bookmarkStart w:id="92" w:name="_Toc217446069"/>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.合同公告</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、合同备案</w:t>
      </w:r>
    </w:p>
    <w:bookmarkEnd w:id="91"/>
    <w:bookmarkEnd w:id="92"/>
    <w:p>
      <w:pPr>
        <w:pStyle w:val="5"/>
        <w:pageBreakBefore w:val="0"/>
        <w:widowControl w:val="0"/>
        <w:kinsoku/>
        <w:wordWrap/>
        <w:overflowPunct/>
        <w:topLinePunct w:val="0"/>
        <w:autoSpaceDE/>
        <w:autoSpaceDN/>
        <w:bidi w:val="0"/>
        <w:snapToGrid w:val="0"/>
        <w:spacing w:before="0" w:after="0" w:line="360" w:lineRule="auto"/>
        <w:ind w:firstLine="480" w:firstLineChars="200"/>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采购人应当将政府采购合同副本自签订（双方当事人均已签字盖章）之日起七个工作日内通过“四川政府采购网”报同级财政部门备案。</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履行合同</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中标人与采购人签订合同后，合同双方应严格执行合同条款，履行合同规定的义务，保证合同的顺利完成。</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在合同履行过程中，如发生合同纠纷，合同双方应按照《</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》的有</w:t>
      </w:r>
      <w:bookmarkStart w:id="93" w:name="_Toc217446070"/>
      <w:bookmarkStart w:id="94" w:name="_Toc308164814"/>
      <w:r>
        <w:rPr>
          <w:rFonts w:hint="eastAsia" w:ascii="宋体" w:hAnsi="宋体" w:eastAsia="宋体" w:cs="宋体"/>
          <w:color w:val="auto"/>
          <w:sz w:val="24"/>
          <w:szCs w:val="24"/>
          <w:highlight w:val="none"/>
        </w:rPr>
        <w:t>关规定进行处</w:t>
      </w:r>
      <w:bookmarkEnd w:id="93"/>
      <w:bookmarkEnd w:id="94"/>
      <w:r>
        <w:rPr>
          <w:rFonts w:hint="eastAsia" w:ascii="宋体" w:hAnsi="宋体" w:eastAsia="宋体" w:cs="宋体"/>
          <w:color w:val="auto"/>
          <w:sz w:val="24"/>
          <w:szCs w:val="24"/>
          <w:highlight w:val="none"/>
        </w:rPr>
        <w:t>理。</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验收</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36.1本项目采购人及其委托的采购代理机构将严格按照政府采购相关法律法规以及《财政部关于进一步加强政府采购需求和履约验收管理的指导意见》(财库(2016) 205号)的要求进行验收。</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验收结果合格的，中标人凭验收报告办理相关手续；验收结果不合格的，将不予支付采购资金，</w:t>
      </w:r>
      <w:bookmarkStart w:id="95" w:name="_Toc217446071"/>
      <w:r>
        <w:rPr>
          <w:rFonts w:hint="eastAsia" w:ascii="宋体" w:hAnsi="宋体" w:eastAsia="宋体" w:cs="宋体"/>
          <w:color w:val="auto"/>
          <w:sz w:val="24"/>
          <w:szCs w:val="24"/>
          <w:highlight w:val="none"/>
        </w:rPr>
        <w:t>还可能会报本项目同级财政部门按照政府采购法律法规等有关规定给予行政处罚或者以失信行为记入诚信档案。</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37.资金支付</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采购人将按照政府采购合同规定，及时向中标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支付采购资金。本项目采购资金付款详见第六章商务</w:t>
      </w:r>
      <w:bookmarkEnd w:id="95"/>
      <w:bookmarkStart w:id="96" w:name="_Toc308164815"/>
      <w:r>
        <w:rPr>
          <w:rFonts w:hint="eastAsia" w:ascii="宋体" w:hAnsi="宋体" w:eastAsia="宋体" w:cs="宋体"/>
          <w:color w:val="auto"/>
          <w:sz w:val="24"/>
          <w:szCs w:val="24"/>
          <w:highlight w:val="none"/>
        </w:rPr>
        <w:t>要求中付款方式。</w:t>
      </w:r>
      <w:bookmarkEnd w:id="96"/>
    </w:p>
    <w:p>
      <w:pPr>
        <w:pStyle w:val="4"/>
        <w:pageBreakBefore w:val="0"/>
        <w:widowControl w:val="0"/>
        <w:numPr>
          <w:ilvl w:val="0"/>
          <w:numId w:val="3"/>
        </w:numPr>
        <w:kinsoku/>
        <w:wordWrap/>
        <w:overflowPunct/>
        <w:topLinePunct w:val="0"/>
        <w:autoSpaceDE/>
        <w:autoSpaceDN/>
        <w:bidi w:val="0"/>
        <w:snapToGrid w:val="0"/>
        <w:spacing w:before="0"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投标纪律要求</w:t>
      </w:r>
      <w:bookmarkEnd w:id="85"/>
      <w:bookmarkEnd w:id="86"/>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bookmarkStart w:id="97" w:name="_Toc308164816"/>
      <w:bookmarkStart w:id="98" w:name="_Toc217446075"/>
      <w:r>
        <w:rPr>
          <w:rFonts w:hint="eastAsia" w:ascii="宋体" w:hAnsi="宋体" w:eastAsia="宋体" w:cs="宋体"/>
          <w:color w:val="auto"/>
          <w:sz w:val="24"/>
          <w:szCs w:val="24"/>
          <w:highlight w:val="none"/>
        </w:rPr>
        <w:t>38. 投标人</w:t>
      </w:r>
      <w:bookmarkEnd w:id="97"/>
      <w:bookmarkEnd w:id="98"/>
      <w:r>
        <w:rPr>
          <w:rFonts w:hint="eastAsia" w:ascii="宋体" w:hAnsi="宋体" w:eastAsia="宋体" w:cs="宋体"/>
          <w:color w:val="auto"/>
          <w:sz w:val="24"/>
          <w:szCs w:val="24"/>
          <w:highlight w:val="none"/>
        </w:rPr>
        <w:t>纪律要求</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投标人应当遵循公平竞争的原则，不得恶意串通，不得妨碍其他投标人的竞争行为，不得损害采购人或者其他投标人的合法权益。</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在评标过程中发现投标人有上述情形的，评标委员会应当认定其投标无效，并书面报告本级财政部门。</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bookmarkStart w:id="99" w:name="_Toc217446078"/>
      <w:r>
        <w:rPr>
          <w:rFonts w:hint="eastAsia" w:ascii="宋体" w:hAnsi="宋体" w:eastAsia="宋体" w:cs="宋体"/>
          <w:color w:val="auto"/>
          <w:sz w:val="24"/>
          <w:szCs w:val="24"/>
          <w:highlight w:val="none"/>
        </w:rPr>
        <w:t>38.1 投标人不得具有的情形</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投标人参加本项目投标不得有下列情形：</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（1）提供虚假材料谋取中标；</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（2）采取不正当手段诋毁、排挤其他投标人；</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（3）与招标采购单位、其他投标人恶意串通；</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（4）向招标采购单位、评标委员会成员行贿或者提供其他不正当利益；</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（5）在招标过程中与招标采购单位进行协商谈判；</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（6）中标或者成交后无正当理由拒不与采购人签订政府采购合同；</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（7）未按照采购文件确定的事项签订政府采购合同；</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（8）将政府采购合同转包或者违规分包；</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（9）提供假冒伪劣产品；</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（10）擅自变更、中止或者终止政府采购合同；</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（11）拒绝有关部门的监督检查或者向监督检查部门提供虚假情况；</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（12）法律法规规定的其他情形。</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投标人有上述情形的，按照规定追究法律责任，具备（1）-（10）条情形之一的，同时将取消中标资格或者认定中标无效。</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bookmarkStart w:id="100" w:name="PO_默认文件内容_23"/>
      <w:r>
        <w:rPr>
          <w:rFonts w:hint="eastAsia" w:ascii="宋体" w:hAnsi="宋体" w:eastAsia="宋体" w:cs="宋体"/>
          <w:color w:val="auto"/>
          <w:sz w:val="24"/>
          <w:szCs w:val="24"/>
          <w:highlight w:val="none"/>
        </w:rPr>
        <w:t>38.2 投标人有下列情形之一的，视为投标人串通投标，其投标无效：</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（1）不同投标人的投标文件由同一单位或者个人编制；</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（2）不同投标人委托同一单位或者个人办理投标事宜；</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（3）不同投标人的投标文件载明的项目管理成员或者联系人员为同一人；</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（4）不同投标人的投标文件异常一致或者投标报价呈规律性差异；</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（5）不同投标人的投标文件相互混装；</w:t>
      </w:r>
    </w:p>
    <w:p>
      <w:pPr>
        <w:pageBreakBefore w:val="0"/>
        <w:widowControl w:val="0"/>
        <w:shd w:val="clear"/>
        <w:kinsoku/>
        <w:wordWrap/>
        <w:overflowPunct/>
        <w:topLinePunct w:val="0"/>
        <w:autoSpaceDE/>
        <w:autoSpaceDN/>
        <w:bidi w:val="0"/>
        <w:adjustRightInd/>
        <w:snapToGrid w:val="0"/>
        <w:spacing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（6）不同投标人的投标保证金从同一单位或者个人的账户转出。</w:t>
      </w:r>
      <w:bookmarkEnd w:id="100"/>
    </w:p>
    <w:bookmarkEnd w:id="87"/>
    <w:bookmarkEnd w:id="88"/>
    <w:bookmarkEnd w:id="99"/>
    <w:p>
      <w:pPr>
        <w:pStyle w:val="5"/>
        <w:pageBreakBefore w:val="0"/>
        <w:widowControl w:val="0"/>
        <w:numPr>
          <w:ilvl w:val="0"/>
          <w:numId w:val="0"/>
        </w:numPr>
        <w:shd w:val="clear"/>
        <w:kinsoku/>
        <w:wordWrap/>
        <w:overflowPunct/>
        <w:topLinePunct w:val="0"/>
        <w:autoSpaceDE/>
        <w:autoSpaceDN/>
        <w:bidi w:val="0"/>
        <w:adjustRightInd/>
        <w:snapToGrid w:val="0"/>
        <w:spacing w:before="0" w:after="0" w:line="360" w:lineRule="auto"/>
        <w:ind w:leftChars="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39.保密</w:t>
      </w:r>
    </w:p>
    <w:p>
      <w:pPr>
        <w:pStyle w:val="8"/>
        <w:pageBreakBefore w:val="0"/>
        <w:widowControl w:val="0"/>
        <w:numPr>
          <w:ilvl w:val="0"/>
          <w:numId w:val="0"/>
        </w:numPr>
        <w:shd w:val="clear"/>
        <w:tabs>
          <w:tab w:val="left" w:pos="113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39.1不得透露有关在系统中成功提交《报名资料签收表》的潜在投标人的任何情况。</w:t>
      </w:r>
    </w:p>
    <w:p>
      <w:pPr>
        <w:pStyle w:val="8"/>
        <w:pageBreakBefore w:val="0"/>
        <w:widowControl w:val="0"/>
        <w:numPr>
          <w:ilvl w:val="0"/>
          <w:numId w:val="0"/>
        </w:numPr>
        <w:shd w:val="clear"/>
        <w:tabs>
          <w:tab w:val="left" w:pos="113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39.2有关投标文件的审查、澄清、评估和比较以及合同授予意向等情况都不得对外透露。</w:t>
      </w:r>
    </w:p>
    <w:p>
      <w:pPr>
        <w:pStyle w:val="5"/>
        <w:pageBreakBefore w:val="0"/>
        <w:widowControl w:val="0"/>
        <w:numPr>
          <w:ilvl w:val="0"/>
          <w:numId w:val="0"/>
        </w:numPr>
        <w:shd w:val="clear"/>
        <w:kinsoku/>
        <w:wordWrap/>
        <w:overflowPunct/>
        <w:topLinePunct w:val="0"/>
        <w:autoSpaceDE/>
        <w:autoSpaceDN/>
        <w:bidi w:val="0"/>
        <w:adjustRightInd/>
        <w:snapToGrid w:val="0"/>
        <w:spacing w:before="0" w:after="0" w:line="360" w:lineRule="auto"/>
        <w:ind w:leftChars="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40.回避</w:t>
      </w:r>
    </w:p>
    <w:p>
      <w:pPr>
        <w:pStyle w:val="18"/>
        <w:pageBreakBefore w:val="0"/>
        <w:widowControl w:val="0"/>
        <w:shd w:val="clear" w:color="auto"/>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在政府采购活动中，采购人员（如采购人内部负责采购项目的具体经办工作人员或直接分管采购项目的负责人、代理机构负责采购项目的具体经办工作人员或直接分管采购活动的负责人等）及相关人员与投标人有下列利害关系之一的，应当回避：</w:t>
      </w:r>
    </w:p>
    <w:p>
      <w:pPr>
        <w:pStyle w:val="18"/>
        <w:pageBreakBefore w:val="0"/>
        <w:widowControl w:val="0"/>
        <w:shd w:val="clear" w:color="auto"/>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（一）参加采购活动前3年内与投标人存在劳动关系；</w:t>
      </w:r>
    </w:p>
    <w:p>
      <w:pPr>
        <w:pStyle w:val="18"/>
        <w:pageBreakBefore w:val="0"/>
        <w:widowControl w:val="0"/>
        <w:shd w:val="clear" w:color="auto"/>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（二）参加采购活动前3年内担任投标人的董事、监事；</w:t>
      </w:r>
    </w:p>
    <w:p>
      <w:pPr>
        <w:pStyle w:val="18"/>
        <w:pageBreakBefore w:val="0"/>
        <w:widowControl w:val="0"/>
        <w:shd w:val="clear" w:color="auto"/>
        <w:kinsoku/>
        <w:wordWrap/>
        <w:overflowPunct/>
        <w:topLinePunct w:val="0"/>
        <w:autoSpaceDE/>
        <w:autoSpaceDN/>
        <w:bidi w:val="0"/>
        <w:adjustRightInd/>
        <w:snapToGrid w:val="0"/>
        <w:spacing w:before="0" w:beforeAutospacing="0" w:after="0" w:afterAutospacing="0" w:line="360" w:lineRule="auto"/>
        <w:ind w:firstLine="482" w:firstLineChars="201"/>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（三）参加采购活动前3年内是投标人的控股股东或者实际控制人；</w:t>
      </w:r>
    </w:p>
    <w:p>
      <w:pPr>
        <w:pStyle w:val="18"/>
        <w:pageBreakBefore w:val="0"/>
        <w:widowControl w:val="0"/>
        <w:shd w:val="clear" w:color="auto"/>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（四）与投标人的法定代表人或者负责人有夫妻、直系血亲、三代以内旁系血亲或者近姻亲关系；</w:t>
      </w:r>
    </w:p>
    <w:p>
      <w:pPr>
        <w:pStyle w:val="18"/>
        <w:pageBreakBefore w:val="0"/>
        <w:widowControl w:val="0"/>
        <w:shd w:val="clear" w:color="auto"/>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（五）与投标人有其他可能影响政府采购活动公平、公正进行的关系。</w:t>
      </w:r>
    </w:p>
    <w:p>
      <w:pPr>
        <w:pStyle w:val="4"/>
        <w:pageBreakBefore w:val="0"/>
        <w:widowControl w:val="0"/>
        <w:shd w:val="clear"/>
        <w:kinsoku/>
        <w:wordWrap/>
        <w:overflowPunct/>
        <w:topLinePunct w:val="0"/>
        <w:autoSpaceDE/>
        <w:autoSpaceDN/>
        <w:bidi w:val="0"/>
        <w:adjustRightInd/>
        <w:snapToGrid w:val="0"/>
        <w:spacing w:before="0" w:after="0"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pStyle w:val="4"/>
        <w:pageBreakBefore w:val="0"/>
        <w:widowControl w:val="0"/>
        <w:kinsoku/>
        <w:wordWrap/>
        <w:overflowPunct/>
        <w:topLinePunct w:val="0"/>
        <w:autoSpaceDE/>
        <w:autoSpaceDN/>
        <w:bidi w:val="0"/>
        <w:snapToGrid w:val="0"/>
        <w:spacing w:before="0"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bookmarkStart w:id="101" w:name="_Toc217446079"/>
      <w:r>
        <w:rPr>
          <w:rFonts w:hint="eastAsia" w:ascii="宋体" w:hAnsi="宋体" w:eastAsia="宋体" w:cs="宋体"/>
          <w:color w:val="auto"/>
          <w:sz w:val="24"/>
          <w:szCs w:val="24"/>
          <w:highlight w:val="none"/>
        </w:rPr>
        <w:t>、</w:t>
      </w:r>
      <w:bookmarkEnd w:id="101"/>
      <w:r>
        <w:rPr>
          <w:rFonts w:hint="eastAsia" w:ascii="宋体" w:hAnsi="宋体" w:eastAsia="宋体" w:cs="宋体"/>
          <w:color w:val="auto"/>
          <w:sz w:val="24"/>
          <w:szCs w:val="24"/>
          <w:highlight w:val="none"/>
        </w:rPr>
        <w:t>询问、质疑和投诉</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．询问、质疑、投诉的接收和处理严格按照《中华人</w:t>
      </w:r>
      <w:r>
        <w:rPr>
          <w:rFonts w:hint="eastAsia" w:ascii="宋体" w:hAnsi="宋体" w:eastAsia="宋体" w:cs="宋体"/>
          <w:color w:val="auto"/>
          <w:sz w:val="24"/>
          <w:szCs w:val="24"/>
          <w:highlight w:val="none"/>
          <w:lang w:eastAsia="zh-CN"/>
        </w:rPr>
        <w:t>民</w:t>
      </w:r>
      <w:r>
        <w:rPr>
          <w:rFonts w:hint="eastAsia" w:ascii="宋体" w:hAnsi="宋体" w:eastAsia="宋体" w:cs="宋体"/>
          <w:color w:val="auto"/>
          <w:sz w:val="24"/>
          <w:szCs w:val="24"/>
          <w:highlight w:val="none"/>
        </w:rPr>
        <w:t>共和国政府采购法》、《中华人民共和国政府采购法实施条例》、《政府采购货物和服务招标投标管理办法》、《 政府采购质疑和投诉办法》、《财政部关于加强政府采购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投诉受理审查工作的通知》和《四川省政府采购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投诉处理工作规程》的规定办理（详细规定请在四川政府采购网政策法规模块查询）。</w:t>
      </w:r>
    </w:p>
    <w:p>
      <w:pPr>
        <w:pStyle w:val="4"/>
        <w:pageBreakBefore w:val="0"/>
        <w:widowControl w:val="0"/>
        <w:kinsoku/>
        <w:wordWrap/>
        <w:overflowPunct/>
        <w:topLinePunct w:val="0"/>
        <w:autoSpaceDE/>
        <w:autoSpaceDN/>
        <w:bidi w:val="0"/>
        <w:snapToGrid w:val="0"/>
        <w:spacing w:before="0"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九、其他</w:t>
      </w:r>
    </w:p>
    <w:p>
      <w:pPr>
        <w:pageBreakBefore w:val="0"/>
        <w:kinsoku/>
        <w:overflowPunct/>
        <w:topLinePunct w:val="0"/>
        <w:bidi w:val="0"/>
        <w:snapToGrid w:val="0"/>
        <w:spacing w:line="360" w:lineRule="auto"/>
        <w:ind w:firstLine="480" w:firstLineChars="20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bookmarkEnd w:id="10"/>
      <w:bookmarkStart w:id="102" w:name="_Toc26956"/>
    </w:p>
    <w:p>
      <w:pPr>
        <w:pageBreakBefore w:val="0"/>
        <w:kinsoku/>
        <w:overflowPunct/>
        <w:topLinePunct w:val="0"/>
        <w:bidi w:val="0"/>
        <w:snapToGrid w:val="0"/>
        <w:spacing w:line="360" w:lineRule="auto"/>
        <w:ind w:firstLine="480" w:firstLineChars="20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41．（实质性要求）国家或行业主管部门对采购产品的技术标准、质量标准和资格资质条件等有强制性规定的，必须符合其要求。</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bookmarkEnd w:id="102"/>
    <w:p>
      <w:pPr>
        <w:rPr>
          <w:rFonts w:hint="eastAsia"/>
          <w:color w:val="auto"/>
          <w:sz w:val="32"/>
          <w:szCs w:val="32"/>
          <w:highlight w:val="none"/>
        </w:rPr>
      </w:pPr>
      <w:r>
        <w:rPr>
          <w:rFonts w:hint="eastAsia"/>
          <w:color w:val="auto"/>
          <w:sz w:val="32"/>
          <w:szCs w:val="32"/>
          <w:highlight w:val="none"/>
        </w:rPr>
        <w:br w:type="page"/>
      </w:r>
    </w:p>
    <w:p>
      <w:pPr>
        <w:pStyle w:val="3"/>
        <w:spacing w:line="360" w:lineRule="auto"/>
        <w:jc w:val="center"/>
        <w:rPr>
          <w:b/>
          <w:color w:val="auto"/>
          <w:sz w:val="24"/>
          <w:highlight w:val="none"/>
        </w:rPr>
      </w:pPr>
      <w:bookmarkStart w:id="103" w:name="_Toc25023"/>
      <w:r>
        <w:rPr>
          <w:rFonts w:hint="eastAsia"/>
          <w:color w:val="auto"/>
          <w:sz w:val="32"/>
          <w:szCs w:val="32"/>
          <w:highlight w:val="none"/>
        </w:rPr>
        <w:t>第三章  投标文件格式</w:t>
      </w:r>
      <w:bookmarkEnd w:id="103"/>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left"/>
        <w:textAlignment w:val="auto"/>
        <w:rPr>
          <w:rFonts w:hint="eastAsia" w:hAnsi="宋体" w:cs="宋体" w:eastAsiaTheme="minorEastAsia"/>
          <w:color w:val="auto"/>
          <w:sz w:val="24"/>
          <w:szCs w:val="24"/>
          <w:highlight w:val="none"/>
          <w:lang w:eastAsia="zh-CN"/>
        </w:rPr>
      </w:pPr>
      <w:r>
        <w:rPr>
          <w:rFonts w:hint="eastAsia" w:hAnsi="宋体" w:cs="宋体"/>
          <w:color w:val="auto"/>
          <w:sz w:val="24"/>
          <w:szCs w:val="24"/>
          <w:highlight w:val="none"/>
        </w:rPr>
        <w:t>一、本章所制投标文件格式，除格式中明确将该格式作为实质性要求的，一律不具有强制性</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312" w:lineRule="auto"/>
        <w:ind w:firstLine="460" w:firstLineChars="192"/>
        <w:textAlignment w:val="auto"/>
        <w:rPr>
          <w:rFonts w:hint="eastAsia" w:hAnsi="宋体" w:cs="宋体"/>
          <w:color w:val="auto"/>
          <w:sz w:val="24"/>
          <w:szCs w:val="24"/>
          <w:highlight w:val="none"/>
        </w:rPr>
      </w:pPr>
      <w:r>
        <w:rPr>
          <w:rFonts w:hint="eastAsia" w:hAnsi="宋体" w:cs="宋体"/>
          <w:color w:val="auto"/>
          <w:sz w:val="24"/>
          <w:szCs w:val="24"/>
          <w:highlight w:val="none"/>
        </w:rPr>
        <w:t>二、本章所制投标文件格式有关表格中的备注栏，由投标人根据自身投标情况作解释性说明，不作为必填项。</w:t>
      </w:r>
      <w:r>
        <w:rPr>
          <w:rFonts w:hint="eastAsia" w:hAnsi="宋体" w:cs="宋体"/>
          <w:color w:val="auto"/>
          <w:sz w:val="24"/>
          <w:szCs w:val="24"/>
          <w:highlight w:val="none"/>
          <w:lang w:val="en-US" w:eastAsia="zh-CN"/>
        </w:rPr>
        <w:t>未填写或说明的，视为接受备注要求并对投标人具有约束力，否则投标人应作出明显的说明或应答。</w:t>
      </w:r>
    </w:p>
    <w:p>
      <w:pPr>
        <w:keepNext w:val="0"/>
        <w:keepLines w:val="0"/>
        <w:pageBreakBefore w:val="0"/>
        <w:widowControl w:val="0"/>
        <w:kinsoku/>
        <w:wordWrap/>
        <w:overflowPunct/>
        <w:topLinePunct w:val="0"/>
        <w:autoSpaceDE/>
        <w:autoSpaceDN/>
        <w:bidi w:val="0"/>
        <w:adjustRightInd/>
        <w:snapToGrid w:val="0"/>
        <w:spacing w:line="312" w:lineRule="auto"/>
        <w:ind w:firstLine="460" w:firstLineChars="192"/>
        <w:textAlignment w:val="auto"/>
        <w:rPr>
          <w:rFonts w:hint="eastAsia" w:hAnsi="宋体" w:cs="宋体"/>
          <w:color w:val="auto"/>
          <w:sz w:val="24"/>
          <w:szCs w:val="24"/>
          <w:highlight w:val="none"/>
        </w:rPr>
      </w:pPr>
      <w:r>
        <w:rPr>
          <w:rFonts w:hint="eastAsia" w:hAnsi="宋体" w:cs="宋体"/>
          <w:color w:val="auto"/>
          <w:sz w:val="24"/>
          <w:szCs w:val="24"/>
          <w:highlight w:val="none"/>
        </w:rPr>
        <w:t>三、本章所制投标文件格式中需要填写的相关内容事项，可能会与本采购项目无关，在不改变投标文件原义、不影响本项目采购需求的情况下，投标人可以不予填写，但应当注明。</w:t>
      </w:r>
    </w:p>
    <w:p>
      <w:pPr>
        <w:keepNext w:val="0"/>
        <w:keepLines w:val="0"/>
        <w:pageBreakBefore w:val="0"/>
        <w:widowControl w:val="0"/>
        <w:kinsoku/>
        <w:wordWrap/>
        <w:overflowPunct/>
        <w:topLinePunct w:val="0"/>
        <w:autoSpaceDE/>
        <w:autoSpaceDN/>
        <w:bidi w:val="0"/>
        <w:adjustRightInd/>
        <w:snapToGrid w:val="0"/>
        <w:spacing w:line="312" w:lineRule="auto"/>
        <w:ind w:firstLine="460" w:firstLineChars="192"/>
        <w:textAlignment w:val="auto"/>
        <w:rPr>
          <w:rFonts w:hint="eastAsia" w:hAnsi="宋体" w:cs="宋体"/>
          <w:color w:val="auto"/>
          <w:sz w:val="24"/>
          <w:szCs w:val="24"/>
          <w:highlight w:val="none"/>
        </w:rPr>
      </w:pPr>
      <w:r>
        <w:rPr>
          <w:rFonts w:hint="eastAsia" w:hAnsi="宋体" w:cs="宋体"/>
          <w:color w:val="auto"/>
          <w:sz w:val="24"/>
          <w:szCs w:val="24"/>
          <w:highlight w:val="none"/>
          <w:lang w:val="en-US" w:eastAsia="zh-CN"/>
        </w:rPr>
        <w:t>四、格式中需要承诺或声明相关内容事项，可以逐项承诺或声明，也可以统一进行承诺或声明。</w:t>
      </w:r>
    </w:p>
    <w:p>
      <w:pPr>
        <w:keepNext w:val="0"/>
        <w:keepLines w:val="0"/>
        <w:pageBreakBefore w:val="0"/>
        <w:widowControl w:val="0"/>
        <w:kinsoku/>
        <w:wordWrap/>
        <w:overflowPunct/>
        <w:topLinePunct w:val="0"/>
        <w:autoSpaceDE/>
        <w:autoSpaceDN/>
        <w:bidi w:val="0"/>
        <w:adjustRightInd/>
        <w:snapToGrid w:val="0"/>
        <w:spacing w:line="312" w:lineRule="auto"/>
        <w:ind w:firstLine="460" w:firstLineChars="192"/>
        <w:textAlignment w:val="auto"/>
        <w:rPr>
          <w:rFonts w:hint="eastAsia" w:hAnsi="宋体" w:cs="宋体"/>
          <w:color w:val="auto"/>
          <w:sz w:val="24"/>
          <w:szCs w:val="24"/>
          <w:highlight w:val="none"/>
        </w:rPr>
      </w:pP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keepNext/>
        <w:keepLines/>
        <w:widowControl/>
        <w:spacing w:line="360" w:lineRule="auto"/>
        <w:ind w:firstLine="630" w:firstLineChars="196"/>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第一部分     《资格性投标文件》格式</w:t>
      </w:r>
    </w:p>
    <w:p>
      <w:pPr>
        <w:pStyle w:val="4"/>
        <w:spacing w:line="360" w:lineRule="auto"/>
        <w:jc w:val="left"/>
        <w:outlineLvl w:val="9"/>
        <w:rPr>
          <w:rFonts w:hint="eastAsia" w:cs="黑体"/>
          <w:color w:val="auto"/>
          <w:highlight w:val="none"/>
        </w:rPr>
      </w:pPr>
    </w:p>
    <w:p>
      <w:pPr>
        <w:pStyle w:val="4"/>
        <w:spacing w:line="360" w:lineRule="auto"/>
        <w:jc w:val="left"/>
        <w:rPr>
          <w:rFonts w:hint="eastAsia" w:cs="黑体"/>
          <w:color w:val="auto"/>
          <w:highlight w:val="none"/>
        </w:rPr>
      </w:pPr>
      <w:r>
        <w:rPr>
          <w:rFonts w:hint="eastAsia" w:cs="黑体"/>
          <w:color w:val="auto"/>
          <w:highlight w:val="none"/>
        </w:rPr>
        <w:t>封面：</w:t>
      </w:r>
    </w:p>
    <w:p>
      <w:pPr>
        <w:pStyle w:val="2"/>
        <w:spacing w:line="360" w:lineRule="auto"/>
        <w:rPr>
          <w:color w:val="auto"/>
        </w:rPr>
      </w:pPr>
    </w:p>
    <w:p>
      <w:pPr>
        <w:keepNext/>
        <w:keepLines/>
        <w:spacing w:line="360" w:lineRule="auto"/>
        <w:jc w:val="right"/>
        <w:rPr>
          <w:rFonts w:ascii="华文中宋" w:hAnsi="华文中宋" w:eastAsia="华文中宋"/>
          <w:b/>
          <w:color w:val="auto"/>
          <w:sz w:val="36"/>
          <w:highlight w:val="none"/>
        </w:rPr>
      </w:pPr>
      <w:r>
        <w:rPr>
          <w:rFonts w:ascii="华文中宋" w:hAnsi="华文中宋" w:eastAsia="华文中宋"/>
          <w:b/>
          <w:color w:val="auto"/>
          <w:sz w:val="36"/>
          <w:highlight w:val="none"/>
        </w:rPr>
        <w:t>（正本/副本）</w:t>
      </w:r>
    </w:p>
    <w:p>
      <w:pPr>
        <w:keepNext/>
        <w:keepLines/>
        <w:spacing w:line="360" w:lineRule="auto"/>
        <w:rPr>
          <w:rFonts w:ascii="华文中宋" w:hAnsi="华文中宋" w:eastAsia="华文中宋"/>
          <w:b/>
          <w:color w:val="auto"/>
          <w:sz w:val="32"/>
          <w:szCs w:val="32"/>
          <w:highlight w:val="none"/>
        </w:rPr>
      </w:pPr>
    </w:p>
    <w:p>
      <w:pPr>
        <w:keepNext/>
        <w:keepLines/>
        <w:spacing w:line="360" w:lineRule="auto"/>
        <w:jc w:val="center"/>
        <w:rPr>
          <w:rFonts w:ascii="华文中宋" w:hAnsi="华文中宋" w:eastAsia="华文中宋"/>
          <w:b/>
          <w:color w:val="auto"/>
          <w:sz w:val="72"/>
          <w:highlight w:val="none"/>
          <w:u w:val="single"/>
        </w:rPr>
      </w:pPr>
      <w:r>
        <w:rPr>
          <w:rFonts w:hint="eastAsia" w:ascii="华文中宋" w:hAnsi="华文中宋" w:eastAsia="华文中宋"/>
          <w:b/>
          <w:color w:val="auto"/>
          <w:sz w:val="40"/>
          <w:szCs w:val="48"/>
          <w:highlight w:val="none"/>
          <w:u w:val="single"/>
        </w:rPr>
        <w:t xml:space="preserve">           </w:t>
      </w:r>
      <w:r>
        <w:rPr>
          <w:rFonts w:hint="eastAsia" w:ascii="华文中宋" w:hAnsi="华文中宋" w:eastAsia="华文中宋"/>
          <w:b/>
          <w:color w:val="auto"/>
          <w:sz w:val="40"/>
          <w:szCs w:val="48"/>
          <w:highlight w:val="none"/>
          <w:u w:val="single"/>
          <w:lang w:val="en-US" w:eastAsia="zh-CN"/>
        </w:rPr>
        <w:t xml:space="preserve">  </w:t>
      </w:r>
      <w:r>
        <w:rPr>
          <w:rFonts w:hint="eastAsia" w:ascii="华文中宋" w:hAnsi="华文中宋" w:eastAsia="华文中宋"/>
          <w:b/>
          <w:color w:val="auto"/>
          <w:sz w:val="40"/>
          <w:szCs w:val="48"/>
          <w:highlight w:val="none"/>
          <w:u w:val="single"/>
        </w:rPr>
        <w:t xml:space="preserve">      （项目名称）</w:t>
      </w:r>
    </w:p>
    <w:p>
      <w:pPr>
        <w:keepNext/>
        <w:keepLines/>
        <w:spacing w:line="360" w:lineRule="auto"/>
        <w:rPr>
          <w:rFonts w:ascii="华文中宋" w:hAnsi="华文中宋" w:eastAsia="华文中宋"/>
          <w:b/>
          <w:color w:val="auto"/>
          <w:sz w:val="52"/>
          <w:szCs w:val="52"/>
          <w:highlight w:val="none"/>
        </w:rPr>
      </w:pPr>
    </w:p>
    <w:p>
      <w:pPr>
        <w:keepNext/>
        <w:keepLines/>
        <w:spacing w:line="360" w:lineRule="auto"/>
        <w:jc w:val="center"/>
        <w:rPr>
          <w:rFonts w:hint="eastAsia" w:ascii="华文中宋" w:hAnsi="华文中宋" w:eastAsia="华文中宋"/>
          <w:b/>
          <w:color w:val="auto"/>
          <w:sz w:val="52"/>
          <w:szCs w:val="52"/>
          <w:highlight w:val="none"/>
        </w:rPr>
      </w:pPr>
    </w:p>
    <w:p>
      <w:pPr>
        <w:keepNext/>
        <w:keepLines/>
        <w:spacing w:line="360" w:lineRule="auto"/>
        <w:jc w:val="center"/>
        <w:rPr>
          <w:rFonts w:ascii="华文中宋" w:hAnsi="华文中宋" w:eastAsia="华文中宋"/>
          <w:b/>
          <w:color w:val="auto"/>
          <w:sz w:val="32"/>
          <w:szCs w:val="32"/>
          <w:highlight w:val="none"/>
        </w:rPr>
      </w:pPr>
      <w:r>
        <w:rPr>
          <w:rFonts w:hint="eastAsia" w:ascii="华文中宋" w:hAnsi="华文中宋" w:eastAsia="华文中宋"/>
          <w:b/>
          <w:color w:val="auto"/>
          <w:sz w:val="52"/>
          <w:szCs w:val="52"/>
          <w:highlight w:val="none"/>
        </w:rPr>
        <w:t>资格性投标文件</w:t>
      </w:r>
    </w:p>
    <w:p>
      <w:pPr>
        <w:keepNext/>
        <w:keepLines/>
        <w:spacing w:line="360" w:lineRule="auto"/>
        <w:rPr>
          <w:rFonts w:ascii="华文中宋" w:hAnsi="华文中宋" w:eastAsia="华文中宋"/>
          <w:b/>
          <w:color w:val="auto"/>
          <w:sz w:val="36"/>
          <w:highlight w:val="none"/>
        </w:rPr>
      </w:pPr>
    </w:p>
    <w:p>
      <w:pPr>
        <w:keepNext/>
        <w:keepLines/>
        <w:spacing w:line="360" w:lineRule="auto"/>
        <w:rPr>
          <w:rFonts w:ascii="华文中宋" w:hAnsi="华文中宋" w:eastAsia="华文中宋"/>
          <w:b/>
          <w:color w:val="auto"/>
          <w:sz w:val="36"/>
          <w:highlight w:val="none"/>
        </w:rPr>
      </w:pPr>
    </w:p>
    <w:p>
      <w:pPr>
        <w:keepNext/>
        <w:keepLines/>
        <w:spacing w:line="360" w:lineRule="auto"/>
        <w:jc w:val="left"/>
        <w:rPr>
          <w:rFonts w:ascii="华文中宋" w:hAnsi="华文中宋" w:eastAsia="华文中宋"/>
          <w:b/>
          <w:color w:val="auto"/>
          <w:sz w:val="32"/>
          <w:highlight w:val="none"/>
          <w:u w:val="single"/>
        </w:rPr>
      </w:pPr>
      <w:r>
        <w:rPr>
          <w:rFonts w:hint="eastAsia" w:ascii="华文中宋" w:hAnsi="华文中宋" w:eastAsia="华文中宋"/>
          <w:b/>
          <w:color w:val="auto"/>
          <w:sz w:val="32"/>
          <w:highlight w:val="none"/>
        </w:rPr>
        <w:t>投标人</w:t>
      </w:r>
      <w:r>
        <w:rPr>
          <w:rFonts w:ascii="华文中宋" w:hAnsi="华文中宋" w:eastAsia="华文中宋"/>
          <w:b/>
          <w:color w:val="auto"/>
          <w:sz w:val="32"/>
          <w:highlight w:val="none"/>
        </w:rPr>
        <w:t>名称：</w:t>
      </w:r>
    </w:p>
    <w:p>
      <w:pPr>
        <w:keepNext/>
        <w:keepLines/>
        <w:spacing w:line="360" w:lineRule="auto"/>
        <w:jc w:val="left"/>
        <w:rPr>
          <w:rFonts w:hint="eastAsia" w:ascii="华文中宋" w:hAnsi="华文中宋" w:eastAsia="华文中宋"/>
          <w:b/>
          <w:color w:val="auto"/>
          <w:sz w:val="32"/>
          <w:highlight w:val="none"/>
        </w:rPr>
      </w:pPr>
      <w:r>
        <w:rPr>
          <w:rFonts w:hint="eastAsia" w:ascii="华文中宋" w:hAnsi="华文中宋" w:eastAsia="华文中宋"/>
          <w:b/>
          <w:color w:val="auto"/>
          <w:sz w:val="32"/>
          <w:highlight w:val="none"/>
        </w:rPr>
        <w:t>招标</w:t>
      </w:r>
      <w:r>
        <w:rPr>
          <w:rFonts w:ascii="华文中宋" w:hAnsi="华文中宋" w:eastAsia="华文中宋"/>
          <w:b/>
          <w:color w:val="auto"/>
          <w:sz w:val="32"/>
          <w:highlight w:val="none"/>
        </w:rPr>
        <w:t>编</w:t>
      </w:r>
      <w:r>
        <w:rPr>
          <w:rFonts w:hint="eastAsia" w:ascii="华文中宋" w:hAnsi="华文中宋" w:eastAsia="华文中宋"/>
          <w:b/>
          <w:color w:val="auto"/>
          <w:sz w:val="32"/>
          <w:highlight w:val="none"/>
        </w:rPr>
        <w:t>号：</w:t>
      </w:r>
    </w:p>
    <w:p>
      <w:pPr>
        <w:keepNext/>
        <w:keepLines/>
        <w:spacing w:line="360" w:lineRule="auto"/>
        <w:jc w:val="left"/>
        <w:rPr>
          <w:rFonts w:hint="eastAsia" w:ascii="华文中宋" w:hAnsi="华文中宋" w:eastAsia="华文中宋"/>
          <w:b/>
          <w:color w:val="auto"/>
          <w:sz w:val="32"/>
          <w:highlight w:val="none"/>
        </w:rPr>
      </w:pPr>
      <w:r>
        <w:rPr>
          <w:rFonts w:hint="eastAsia" w:ascii="宋体" w:hAnsi="宋体"/>
          <w:b/>
          <w:bCs/>
          <w:color w:val="auto"/>
          <w:sz w:val="32"/>
          <w:szCs w:val="32"/>
        </w:rPr>
        <w:t>日    期</w:t>
      </w:r>
      <w:r>
        <w:rPr>
          <w:rFonts w:hint="eastAsia" w:ascii="华文中宋" w:hAnsi="华文中宋" w:eastAsia="华文中宋"/>
          <w:b/>
          <w:color w:val="auto"/>
          <w:sz w:val="32"/>
          <w:highlight w:val="none"/>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ageBreakBefore w:val="0"/>
        <w:kinsoku/>
        <w:overflowPunct/>
        <w:bidi w:val="0"/>
        <w:snapToGrid w:val="0"/>
        <w:spacing w:beforeAutospacing="0" w:afterAutospacing="0" w:line="360" w:lineRule="auto"/>
        <w:rPr>
          <w:rFonts w:hint="eastAsia" w:ascii="宋体" w:hAnsi="宋体" w:eastAsia="宋体" w:cs="宋体"/>
          <w:b/>
          <w:color w:val="auto"/>
          <w:sz w:val="24"/>
          <w:szCs w:val="24"/>
          <w:highlight w:val="none"/>
        </w:rPr>
      </w:pPr>
    </w:p>
    <w:p>
      <w:pPr>
        <w:pStyle w:val="4"/>
        <w:pageBreakBefore w:val="0"/>
        <w:kinsoku/>
        <w:wordWrap/>
        <w:overflowPunct/>
        <w:topLinePunct w:val="0"/>
        <w:bidi w:val="0"/>
        <w:adjustRightInd/>
        <w:snapToGrid w:val="0"/>
        <w:spacing w:before="0" w:after="0"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一、法定代表人/单位负责人证明书</w:t>
      </w:r>
    </w:p>
    <w:p>
      <w:pPr>
        <w:pageBreakBefore w:val="0"/>
        <w:widowControl/>
        <w:kinsoku/>
        <w:wordWrap/>
        <w:overflowPunct/>
        <w:topLinePunct w:val="0"/>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投标单位名称：xxx</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单位性质：xxx</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成立时间：xx年xx月xx日</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经营期限：xx</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姓名：xx  性别：xx  年龄：xx  职务：xx  系xx（投标人名称）的法定代表人/单位负责人。</w:t>
      </w:r>
    </w:p>
    <w:p>
      <w:pPr>
        <w:pageBreakBefore w:val="0"/>
        <w:widowControl/>
        <w:kinsoku/>
        <w:wordWrap/>
        <w:overflowPunct/>
        <w:topLinePunct w:val="0"/>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pageBreakBefore w:val="0"/>
        <w:widowControl/>
        <w:kinsoku/>
        <w:wordWrap/>
        <w:overflowPunct/>
        <w:topLinePunct w:val="0"/>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投标人名称：xxx（单位公章）</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法定代表人/单位负责人签字或者加盖个人名章：xxx</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期：xx年xx月xx日</w:t>
      </w:r>
    </w:p>
    <w:p>
      <w:pPr>
        <w:pageBreakBefore w:val="0"/>
        <w:widowControl/>
        <w:kinsoku/>
        <w:wordWrap/>
        <w:overflowPunct/>
        <w:topLinePunct w:val="0"/>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为法人单位时提供“法定代表人证明书”，</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为其他组织时提供“单位负责人证明书”；</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2、法定代表人/单位负责人直接参与投标并签署投标文件时才须提供；</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3、应附法定代表人/单位负责人身份证（正反面）复印件；（提供身份证有困难的，也可提供户口本或军官证或护照等身份证明材料）；</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为自然人的可不附此证明书，只须提供自然人身份证（正反面）复印件；（提供身份证有困难的，也可提供户口本或军官证或护照等身份证明材料）。</w:t>
      </w:r>
    </w:p>
    <w:p>
      <w:pPr>
        <w:pageBreakBefore w:val="0"/>
        <w:kinsoku/>
        <w:wordWrap/>
        <w:overflowPunct/>
        <w:topLinePunct w:val="0"/>
        <w:bidi w:val="0"/>
        <w:adjustRightInd/>
        <w:snapToGrid w:val="0"/>
        <w:spacing w:beforeAutospacing="0" w:afterAutospacing="0" w:line="360" w:lineRule="auto"/>
        <w:jc w:val="center"/>
        <w:textAlignment w:val="auto"/>
        <w:rPr>
          <w:rFonts w:hint="eastAsia" w:ascii="宋体" w:hAnsi="宋体" w:eastAsia="宋体" w:cs="宋体"/>
          <w:b/>
          <w:color w:val="auto"/>
          <w:sz w:val="24"/>
          <w:szCs w:val="24"/>
          <w:highlight w:val="none"/>
        </w:rPr>
      </w:pPr>
    </w:p>
    <w:p>
      <w:pPr>
        <w:pageBreakBefore w:val="0"/>
        <w:kinsoku/>
        <w:wordWrap/>
        <w:overflowPunct/>
        <w:topLinePunct w:val="0"/>
        <w:bidi w:val="0"/>
        <w:adjustRightInd/>
        <w:snapToGrid w:val="0"/>
        <w:spacing w:beforeAutospacing="0" w:afterAutospacing="0" w:line="360" w:lineRule="auto"/>
        <w:jc w:val="center"/>
        <w:textAlignment w:val="auto"/>
        <w:rPr>
          <w:rFonts w:hint="eastAsia" w:ascii="宋体" w:hAnsi="宋体" w:eastAsia="宋体" w:cs="宋体"/>
          <w:b/>
          <w:color w:val="auto"/>
          <w:sz w:val="24"/>
          <w:szCs w:val="24"/>
          <w:highlight w:val="none"/>
        </w:rPr>
      </w:pPr>
    </w:p>
    <w:p>
      <w:pPr>
        <w:pageBreakBefore w:val="0"/>
        <w:kinsoku/>
        <w:wordWrap/>
        <w:overflowPunct/>
        <w:topLinePunct w:val="0"/>
        <w:bidi w:val="0"/>
        <w:adjustRightInd/>
        <w:snapToGrid w:val="0"/>
        <w:spacing w:beforeAutospacing="0" w:afterAutospacing="0" w:line="360" w:lineRule="auto"/>
        <w:jc w:val="center"/>
        <w:textAlignment w:val="auto"/>
        <w:rPr>
          <w:rFonts w:hint="eastAsia" w:ascii="宋体" w:hAnsi="宋体" w:eastAsia="宋体" w:cs="宋体"/>
          <w:b/>
          <w:color w:val="auto"/>
          <w:sz w:val="24"/>
          <w:szCs w:val="24"/>
          <w:highlight w:val="none"/>
        </w:rPr>
      </w:pPr>
    </w:p>
    <w:p>
      <w:pPr>
        <w:pageBreakBefore w:val="0"/>
        <w:widowControl/>
        <w:kinsoku/>
        <w:wordWrap/>
        <w:overflowPunct/>
        <w:topLinePunct w:val="0"/>
        <w:bidi w:val="0"/>
        <w:adjustRightInd/>
        <w:snapToGrid w:val="0"/>
        <w:spacing w:line="360" w:lineRule="auto"/>
        <w:jc w:val="center"/>
        <w:textAlignment w:val="auto"/>
        <w:outlineLvl w:val="9"/>
        <w:rPr>
          <w:rFonts w:hint="eastAsia" w:ascii="宋体" w:hAnsi="宋体" w:eastAsia="宋体" w:cs="宋体"/>
          <w:b/>
          <w:color w:val="auto"/>
          <w:sz w:val="24"/>
          <w:szCs w:val="24"/>
          <w:highlight w:val="none"/>
        </w:rPr>
      </w:pPr>
    </w:p>
    <w:p>
      <w:pPr>
        <w:pageBreakBefore w:val="0"/>
        <w:widowControl/>
        <w:kinsoku/>
        <w:wordWrap/>
        <w:overflowPunct/>
        <w:topLinePunct w:val="0"/>
        <w:bidi w:val="0"/>
        <w:adjustRightInd/>
        <w:snapToGrid w:val="0"/>
        <w:spacing w:line="360" w:lineRule="auto"/>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一、法定代表人/单位负责人授权书</w:t>
      </w:r>
    </w:p>
    <w:p>
      <w:pPr>
        <w:pageBreakBefore w:val="0"/>
        <w:widowControl/>
        <w:kinsoku/>
        <w:wordWrap/>
        <w:overflowPunct/>
        <w:topLinePunct w:val="0"/>
        <w:bidi w:val="0"/>
        <w:adjustRightInd/>
        <w:snapToGrid w:val="0"/>
        <w:spacing w:line="360" w:lineRule="auto"/>
        <w:ind w:firstLine="472" w:firstLineChars="196"/>
        <w:jc w:val="left"/>
        <w:textAlignment w:val="auto"/>
        <w:outlineLvl w:val="9"/>
        <w:rPr>
          <w:rFonts w:hint="eastAsia" w:ascii="宋体" w:hAnsi="宋体" w:eastAsia="宋体" w:cs="宋体"/>
          <w:b/>
          <w:color w:val="auto"/>
          <w:sz w:val="24"/>
          <w:szCs w:val="24"/>
          <w:highlight w:val="none"/>
        </w:rPr>
      </w:pPr>
    </w:p>
    <w:p>
      <w:pPr>
        <w:pageBreakBefore w:val="0"/>
        <w:widowControl/>
        <w:kinsoku/>
        <w:wordWrap/>
        <w:overflowPunct/>
        <w:topLinePunct w:val="0"/>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xxx（采购代理机构名称）：</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本授权声明：xxx（投标人名称）xxx、xxx（法定代表人/单位负责人姓名、职务）授权xxx、xxx（被授权人姓名、职务）为我方 “xxx” 项目（招标编号：xxx）投标活动的合法代表，以我方名义全权处理该项目有关投标、签订合同以及执行合同等一切事宜。</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ageBreakBefore w:val="0"/>
        <w:widowControl/>
        <w:kinsoku/>
        <w:wordWrap/>
        <w:overflowPunct/>
        <w:topLinePunct w:val="0"/>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投标人名称：xxx（单位盖章）</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法定代表人/单位负责人签字或者加盖个人名章：xxx</w:t>
      </w:r>
    </w:p>
    <w:p>
      <w:pPr>
        <w:pStyle w:val="2"/>
        <w:pageBreakBefore w:val="0"/>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被授权人签字或者加盖个人名章：xxx</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期：xx年xx月xx日</w:t>
      </w:r>
    </w:p>
    <w:p>
      <w:pPr>
        <w:pageBreakBefore w:val="0"/>
        <w:widowControl/>
        <w:kinsoku/>
        <w:wordWrap/>
        <w:overflowPunct/>
        <w:topLinePunct w:val="0"/>
        <w:bidi w:val="0"/>
        <w:adjustRightInd/>
        <w:snapToGrid w:val="0"/>
        <w:spacing w:line="360" w:lineRule="auto"/>
        <w:jc w:val="left"/>
        <w:textAlignment w:val="auto"/>
        <w:outlineLvl w:val="9"/>
        <w:rPr>
          <w:rFonts w:hint="eastAsia" w:ascii="宋体" w:hAnsi="宋体" w:eastAsia="宋体" w:cs="宋体"/>
          <w:b/>
          <w:color w:val="auto"/>
          <w:sz w:val="24"/>
          <w:szCs w:val="24"/>
          <w:highlight w:val="none"/>
        </w:rPr>
      </w:pPr>
    </w:p>
    <w:p>
      <w:pPr>
        <w:pageBreakBefore w:val="0"/>
        <w:kinsoku/>
        <w:wordWrap/>
        <w:overflowPunct/>
        <w:topLinePunct w:val="0"/>
        <w:bidi w:val="0"/>
        <w:adjustRightInd/>
        <w:snapToGrid w:val="0"/>
        <w:spacing w:line="360" w:lineRule="auto"/>
        <w:ind w:left="980" w:hanging="840" w:hangingChars="350"/>
        <w:jc w:val="left"/>
        <w:textAlignment w:val="auto"/>
        <w:rPr>
          <w:rFonts w:hint="eastAsia" w:ascii="宋体" w:hAnsi="宋体" w:eastAsia="宋体" w:cs="宋体"/>
          <w:color w:val="auto"/>
          <w:sz w:val="24"/>
          <w:szCs w:val="24"/>
          <w:highlight w:val="none"/>
        </w:rPr>
      </w:pPr>
    </w:p>
    <w:p>
      <w:pPr>
        <w:pageBreakBefore w:val="0"/>
        <w:kinsoku/>
        <w:wordWrap/>
        <w:overflowPunct/>
        <w:topLinePunct w:val="0"/>
        <w:bidi w:val="0"/>
        <w:adjustRightInd/>
        <w:snapToGrid w:val="0"/>
        <w:spacing w:line="360" w:lineRule="auto"/>
        <w:ind w:left="980" w:hanging="840" w:hangingChars="3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1、非法定代表人/单位负责人直接参与投标并签署投标文件时才须提供；</w:t>
      </w:r>
    </w:p>
    <w:p>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2、应附法定代表人/单位负责人和被授权人的身份证（正反面）复印件（提供身份证有困难的，也可提供户口本或军官证或护照等身份证明材料）；</w:t>
      </w:r>
    </w:p>
    <w:p>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为法人单位时提供“法定代表人授权书”，</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为其他组织时提供“单位负责人授权书”；</w:t>
      </w:r>
    </w:p>
    <w:p>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4、身份证明材料应同时提供其在有效期的材料，如居民身份证正反面复印件。</w:t>
      </w:r>
    </w:p>
    <w:p>
      <w:pPr>
        <w:pageBreakBefore w:val="0"/>
        <w:widowControl/>
        <w:kinsoku/>
        <w:wordWrap/>
        <w:overflowPunct/>
        <w:topLinePunct w:val="0"/>
        <w:bidi w:val="0"/>
        <w:adjustRightInd/>
        <w:snapToGrid w:val="0"/>
        <w:spacing w:line="360" w:lineRule="auto"/>
        <w:jc w:val="center"/>
        <w:textAlignment w:val="auto"/>
        <w:outlineLvl w:val="9"/>
        <w:rPr>
          <w:rFonts w:hint="eastAsia" w:ascii="宋体" w:hAnsi="宋体" w:eastAsia="宋体" w:cs="宋体"/>
          <w:b/>
          <w:color w:val="auto"/>
          <w:sz w:val="24"/>
          <w:szCs w:val="24"/>
          <w:highlight w:val="none"/>
        </w:rPr>
      </w:pPr>
    </w:p>
    <w:p>
      <w:pPr>
        <w:pStyle w:val="2"/>
        <w:pageBreakBefore w:val="0"/>
        <w:kinsoku/>
        <w:wordWrap/>
        <w:overflowPunct/>
        <w:topLinePunct w:val="0"/>
        <w:bidi w:val="0"/>
        <w:adjustRightInd/>
        <w:snapToGrid w:val="0"/>
        <w:spacing w:beforeAutospacing="0" w:after="0" w:afterAutospacing="0" w:line="360" w:lineRule="auto"/>
        <w:textAlignment w:val="auto"/>
        <w:rPr>
          <w:rFonts w:hint="eastAsia" w:ascii="宋体" w:hAnsi="宋体" w:eastAsia="宋体" w:cs="宋体"/>
          <w:color w:val="auto"/>
          <w:sz w:val="24"/>
          <w:szCs w:val="24"/>
          <w:highlight w:val="none"/>
        </w:rPr>
      </w:pPr>
    </w:p>
    <w:p>
      <w:pPr>
        <w:pStyle w:val="2"/>
        <w:pageBreakBefore w:val="0"/>
        <w:kinsoku/>
        <w:wordWrap/>
        <w:overflowPunct/>
        <w:topLinePunct w:val="0"/>
        <w:bidi w:val="0"/>
        <w:adjustRightInd/>
        <w:snapToGrid w:val="0"/>
        <w:spacing w:beforeAutospacing="0" w:after="0" w:afterAutospacing="0" w:line="360" w:lineRule="auto"/>
        <w:textAlignment w:val="auto"/>
        <w:rPr>
          <w:rFonts w:hint="eastAsia" w:ascii="宋体" w:hAnsi="宋体" w:eastAsia="宋体" w:cs="宋体"/>
          <w:color w:val="auto"/>
          <w:sz w:val="24"/>
          <w:szCs w:val="24"/>
          <w:highlight w:val="none"/>
        </w:rPr>
      </w:pPr>
    </w:p>
    <w:p>
      <w:pPr>
        <w:pStyle w:val="2"/>
        <w:pageBreakBefore w:val="0"/>
        <w:kinsoku/>
        <w:wordWrap/>
        <w:overflowPunct/>
        <w:topLinePunct w:val="0"/>
        <w:bidi w:val="0"/>
        <w:adjustRightInd/>
        <w:snapToGrid w:val="0"/>
        <w:spacing w:beforeAutospacing="0" w:after="0" w:afterAutospacing="0" w:line="360" w:lineRule="auto"/>
        <w:textAlignment w:val="auto"/>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二、承诺函</w:t>
      </w:r>
    </w:p>
    <w:p>
      <w:pPr>
        <w:pageBreakBefore w:val="0"/>
        <w:widowControl/>
        <w:kinsoku/>
        <w:wordWrap/>
        <w:overflowPunct/>
        <w:topLinePunct w:val="0"/>
        <w:bidi w:val="0"/>
        <w:adjustRightInd/>
        <w:snapToGrid w:val="0"/>
        <w:spacing w:line="360" w:lineRule="auto"/>
        <w:jc w:val="center"/>
        <w:textAlignment w:val="auto"/>
        <w:outlineLvl w:val="9"/>
        <w:rPr>
          <w:rFonts w:hint="eastAsia" w:ascii="宋体" w:hAnsi="宋体" w:eastAsia="宋体" w:cs="宋体"/>
          <w:b/>
          <w:color w:val="auto"/>
          <w:sz w:val="24"/>
          <w:szCs w:val="24"/>
          <w:highlight w:val="none"/>
        </w:rPr>
      </w:pPr>
    </w:p>
    <w:p>
      <w:pPr>
        <w:pageBreakBefore w:val="0"/>
        <w:widowControl/>
        <w:kinsoku/>
        <w:wordWrap/>
        <w:overflowPunct/>
        <w:topLinePunct w:val="0"/>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xxx（采购代理机构名称）：</w:t>
      </w:r>
    </w:p>
    <w:p>
      <w:pPr>
        <w:pageBreakBefore w:val="0"/>
        <w:widowControl/>
        <w:kinsoku/>
        <w:wordWrap/>
        <w:overflowPunct/>
        <w:topLinePunct w:val="0"/>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我单位作为本次采购项目的投标人，根据招标文件要求，现郑重承诺如下：</w:t>
      </w:r>
    </w:p>
    <w:p>
      <w:pPr>
        <w:pageBreakBefore w:val="0"/>
        <w:widowControl/>
        <w:kinsoku/>
        <w:wordWrap/>
        <w:overflowPunct/>
        <w:topLinePunct w:val="0"/>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一、具备《中华人民共和国政府采购法》第二十二条第一款和本项目规定的条件：</w:t>
      </w:r>
    </w:p>
    <w:p>
      <w:pPr>
        <w:pageBreakBefore w:val="0"/>
        <w:widowControl/>
        <w:kinsoku/>
        <w:wordWrap/>
        <w:overflowPunct/>
        <w:topLinePunct w:val="0"/>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（一）具有独立承担民事责任的能力；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（二）具有良好的商业信誉和健全的财务会计制度；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（三）具有履行合同所必需的设备和专业技术能力；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（四）有依法缴纳税收和社会保障资金的良好记录；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（五）参加政府采购活动前三年内，在经营活动中没有重大违法记录；</w:t>
      </w:r>
    </w:p>
    <w:p>
      <w:pPr>
        <w:pageBreakBefore w:val="0"/>
        <w:widowControl/>
        <w:kinsoku/>
        <w:wordWrap/>
        <w:overflowPunct/>
        <w:topLinePunct w:val="0"/>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（六）投标人应符合法律、行政法规规定的其他强制性条件；</w:t>
      </w:r>
    </w:p>
    <w:p>
      <w:pPr>
        <w:pageBreakBefore w:val="0"/>
        <w:widowControl/>
        <w:kinsoku/>
        <w:wordWrap/>
        <w:overflowPunct/>
        <w:topLinePunct w:val="0"/>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（七）根据采购项目提出的特殊条件。</w:t>
      </w:r>
    </w:p>
    <w:p>
      <w:pPr>
        <w:pageBreakBefore w:val="0"/>
        <w:widowControl/>
        <w:kinsoku/>
        <w:wordWrap/>
        <w:overflowPunct/>
        <w:topLinePunct w:val="0"/>
        <w:bidi w:val="0"/>
        <w:adjustRightInd/>
        <w:snapToGrid w:val="0"/>
        <w:spacing w:line="360" w:lineRule="auto"/>
        <w:ind w:firstLine="480" w:firstLineChars="200"/>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本单位对上述承诺的内容事项真实性负责。如经查实上述承诺的内容事项存在虚假，我单位愿意接受以提供虚假材料谋取中标追究法律责任。</w:t>
      </w:r>
    </w:p>
    <w:p>
      <w:pPr>
        <w:pageBreakBefore w:val="0"/>
        <w:widowControl/>
        <w:kinsoku/>
        <w:wordWrap/>
        <w:overflowPunct/>
        <w:topLinePunct w:val="0"/>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投标人名称：xxx（单位公章）</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法定代表人/单位负责人或授权代表（签字或加盖个人名章）：xxx</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期：xx年xx月xx日</w:t>
      </w:r>
    </w:p>
    <w:p>
      <w:pPr>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p>
    <w:p>
      <w:pPr>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p>
    <w:p>
      <w:pPr>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p>
    <w:p>
      <w:pPr>
        <w:pageBreakBefore w:val="0"/>
        <w:kinsoku/>
        <w:wordWrap/>
        <w:overflowPunct/>
        <w:topLinePunct w:val="0"/>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br w:type="page"/>
      </w:r>
    </w:p>
    <w:p>
      <w:pPr>
        <w:keepNext w:val="0"/>
        <w:keepLines w:val="0"/>
        <w:pageBreakBefore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、中小企业声明函/监狱企业的证明文件/残疾人福利性单位声明函</w:t>
      </w:r>
    </w:p>
    <w:p>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附件1</w:t>
      </w:r>
    </w:p>
    <w:p>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center"/>
        <w:textAlignment w:val="auto"/>
        <w:rPr>
          <w:rFonts w:hint="eastAsia" w:ascii="宋体" w:hAnsi="宋体" w:eastAsia="宋体" w:cs="宋体"/>
          <w:b/>
          <w:color w:val="auto"/>
          <w:spacing w:val="6"/>
          <w:sz w:val="24"/>
          <w:szCs w:val="24"/>
          <w:highlight w:val="none"/>
          <w:lang w:val="en-US" w:eastAsia="zh-CN"/>
        </w:rPr>
      </w:pPr>
      <w:r>
        <w:rPr>
          <w:rFonts w:hint="eastAsia" w:ascii="宋体" w:hAnsi="宋体" w:eastAsia="宋体" w:cs="宋体"/>
          <w:b/>
          <w:color w:val="auto"/>
          <w:spacing w:val="6"/>
          <w:sz w:val="24"/>
          <w:szCs w:val="24"/>
          <w:highlight w:val="none"/>
          <w:lang w:val="en-US" w:eastAsia="zh-CN"/>
        </w:rPr>
        <w:t>中小企业声明函</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lang w:val="en-US" w:eastAsia="zh-CN"/>
        </w:rPr>
        <w:t>（单位名称）</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lang w:val="en-US" w:eastAsia="zh-CN"/>
        </w:rPr>
        <w:t xml:space="preserve">采购活动，提供的货物全部由符合政策要求的中小企业制造。相关企业（含联合体中的中小企业、签订分包意向协议的中小企业）的具体情况如下： </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 </w:t>
      </w:r>
      <w:r>
        <w:rPr>
          <w:rFonts w:hint="eastAsia" w:ascii="宋体" w:hAnsi="宋体" w:eastAsia="宋体" w:cs="宋体"/>
          <w:color w:val="auto"/>
          <w:sz w:val="24"/>
          <w:szCs w:val="24"/>
          <w:u w:val="single"/>
          <w:lang w:val="en-US" w:eastAsia="zh-CN"/>
        </w:rPr>
        <w:t>（标的名称）</w:t>
      </w:r>
      <w:r>
        <w:rPr>
          <w:rFonts w:hint="eastAsia" w:ascii="宋体" w:hAnsi="宋体" w:eastAsia="宋体" w:cs="宋体"/>
          <w:color w:val="auto"/>
          <w:sz w:val="24"/>
          <w:szCs w:val="24"/>
          <w:lang w:val="en-US" w:eastAsia="zh-CN"/>
        </w:rPr>
        <w:t xml:space="preserve"> ，属于</w:t>
      </w:r>
      <w:r>
        <w:rPr>
          <w:rFonts w:hint="eastAsia" w:ascii="宋体" w:hAnsi="宋体" w:eastAsia="宋体" w:cs="宋体"/>
          <w:color w:val="auto"/>
          <w:sz w:val="24"/>
          <w:szCs w:val="24"/>
          <w:u w:val="single"/>
          <w:lang w:val="en-US" w:eastAsia="zh-CN"/>
        </w:rPr>
        <w:t>（采购文件中明确的所属行业）</w:t>
      </w:r>
      <w:r>
        <w:rPr>
          <w:rFonts w:hint="eastAsia" w:ascii="宋体" w:hAnsi="宋体" w:eastAsia="宋体" w:cs="宋体"/>
          <w:color w:val="auto"/>
          <w:sz w:val="24"/>
          <w:szCs w:val="24"/>
          <w:lang w:val="en-US" w:eastAsia="zh-CN"/>
        </w:rPr>
        <w:t>行业；制造商为</w:t>
      </w:r>
      <w:r>
        <w:rPr>
          <w:rFonts w:hint="eastAsia" w:ascii="宋体" w:hAnsi="宋体" w:eastAsia="宋体" w:cs="宋体"/>
          <w:color w:val="auto"/>
          <w:sz w:val="24"/>
          <w:szCs w:val="24"/>
          <w:u w:val="single"/>
          <w:lang w:val="en-US" w:eastAsia="zh-CN"/>
        </w:rPr>
        <w:t>（企业名称）</w:t>
      </w:r>
      <w:r>
        <w:rPr>
          <w:rFonts w:hint="eastAsia" w:ascii="宋体" w:hAnsi="宋体" w:eastAsia="宋体" w:cs="宋体"/>
          <w:color w:val="auto"/>
          <w:sz w:val="24"/>
          <w:szCs w:val="24"/>
          <w:lang w:val="en-US" w:eastAsia="zh-CN"/>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万元1，属于</w:t>
      </w:r>
      <w:r>
        <w:rPr>
          <w:rFonts w:hint="eastAsia" w:ascii="宋体" w:hAnsi="宋体" w:eastAsia="宋体" w:cs="宋体"/>
          <w:color w:val="auto"/>
          <w:sz w:val="24"/>
          <w:szCs w:val="24"/>
          <w:u w:val="single"/>
          <w:lang w:val="en-US" w:eastAsia="zh-CN"/>
        </w:rPr>
        <w:t>（中型企业、小型企业、微型企业）</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 </w:t>
      </w:r>
      <w:r>
        <w:rPr>
          <w:rFonts w:hint="eastAsia" w:ascii="宋体" w:hAnsi="宋体" w:eastAsia="宋体" w:cs="宋体"/>
          <w:color w:val="auto"/>
          <w:sz w:val="24"/>
          <w:szCs w:val="24"/>
          <w:u w:val="single"/>
          <w:lang w:val="en-US" w:eastAsia="zh-CN"/>
        </w:rPr>
        <w:t>（标的名称）</w:t>
      </w:r>
      <w:r>
        <w:rPr>
          <w:rFonts w:hint="eastAsia" w:ascii="宋体" w:hAnsi="宋体" w:eastAsia="宋体" w:cs="宋体"/>
          <w:color w:val="auto"/>
          <w:sz w:val="24"/>
          <w:szCs w:val="24"/>
          <w:lang w:val="en-US" w:eastAsia="zh-CN"/>
        </w:rPr>
        <w:t xml:space="preserve"> ，属于</w:t>
      </w:r>
      <w:r>
        <w:rPr>
          <w:rFonts w:hint="eastAsia" w:ascii="宋体" w:hAnsi="宋体" w:eastAsia="宋体" w:cs="宋体"/>
          <w:color w:val="auto"/>
          <w:sz w:val="24"/>
          <w:szCs w:val="24"/>
          <w:u w:val="single"/>
          <w:lang w:val="en-US" w:eastAsia="zh-CN"/>
        </w:rPr>
        <w:t>（采购文件中明确的所属行业）</w:t>
      </w:r>
      <w:r>
        <w:rPr>
          <w:rFonts w:hint="eastAsia" w:ascii="宋体" w:hAnsi="宋体" w:eastAsia="宋体" w:cs="宋体"/>
          <w:color w:val="auto"/>
          <w:sz w:val="24"/>
          <w:szCs w:val="24"/>
          <w:lang w:val="en-US" w:eastAsia="zh-CN"/>
        </w:rPr>
        <w:t>行业；制造商为</w:t>
      </w:r>
      <w:r>
        <w:rPr>
          <w:rFonts w:hint="eastAsia" w:ascii="宋体" w:hAnsi="宋体" w:eastAsia="宋体" w:cs="宋体"/>
          <w:color w:val="auto"/>
          <w:sz w:val="24"/>
          <w:szCs w:val="24"/>
          <w:u w:val="single"/>
          <w:lang w:val="en-US" w:eastAsia="zh-CN"/>
        </w:rPr>
        <w:t>（企业名称）</w:t>
      </w:r>
      <w:r>
        <w:rPr>
          <w:rFonts w:hint="eastAsia" w:ascii="宋体" w:hAnsi="宋体" w:eastAsia="宋体" w:cs="宋体"/>
          <w:color w:val="auto"/>
          <w:sz w:val="24"/>
          <w:szCs w:val="24"/>
          <w:lang w:val="en-US" w:eastAsia="zh-CN"/>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万元，属于</w:t>
      </w:r>
      <w:r>
        <w:rPr>
          <w:rFonts w:hint="eastAsia" w:ascii="宋体" w:hAnsi="宋体" w:eastAsia="宋体" w:cs="宋体"/>
          <w:color w:val="auto"/>
          <w:sz w:val="24"/>
          <w:szCs w:val="24"/>
          <w:u w:val="single"/>
          <w:lang w:val="en-US" w:eastAsia="zh-CN"/>
        </w:rPr>
        <w:t>（中型企业、小型 企业、微型企业）</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本企业对上述声明内容的真实性负责。如有虚假，将依法承担相应责任。 </w:t>
      </w:r>
    </w:p>
    <w:p>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单位名称：XXXX（盖单位公章）</w:t>
      </w:r>
    </w:p>
    <w:p>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/单位负责人</w:t>
      </w:r>
      <w:r>
        <w:rPr>
          <w:rFonts w:hint="eastAsia" w:ascii="宋体" w:hAnsi="宋体" w:eastAsia="宋体" w:cs="宋体"/>
          <w:color w:val="auto"/>
          <w:sz w:val="24"/>
          <w:szCs w:val="24"/>
          <w:highlight w:val="none"/>
        </w:rPr>
        <w:t>或授权代表（签字）：XXXX</w:t>
      </w:r>
    </w:p>
    <w:p>
      <w:pPr>
        <w:pStyle w:val="2"/>
        <w:keepNext w:val="0"/>
        <w:keepLines w:val="0"/>
        <w:pageBreakBefore w:val="0"/>
        <w:widowControl w:val="0"/>
        <w:kinsoku/>
        <w:wordWrap/>
        <w:overflowPunct/>
        <w:topLinePunct w:val="0"/>
        <w:autoSpaceDE/>
        <w:autoSpaceDN/>
        <w:bidi w:val="0"/>
        <w:adjustRightInd/>
        <w:snapToGrid w:val="0"/>
        <w:spacing w:beforeAutospacing="0" w:after="0" w:afterAutospacing="0"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日期：XXXX</w:t>
      </w:r>
    </w:p>
    <w:p>
      <w:pPr>
        <w:pStyle w:val="52"/>
        <w:snapToGrid w:val="0"/>
        <w:spacing w:after="72" w:afterLines="30"/>
        <w:ind w:left="0" w:leftChars="0" w:firstLine="0" w:firstLineChars="0"/>
        <w:jc w:val="left"/>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从业人员、营业收入、资产总额填报上一年度数据，无上一年度数据的新成立企业可不填报。</w:t>
      </w:r>
    </w:p>
    <w:p>
      <w:pPr>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lang w:val="en-US" w:eastAsia="zh-CN"/>
        </w:rPr>
        <w:t>符合《工业和信息化部、国家统计局、国家发展和改革委员会、财政部关于印发中小企业划型标准规定的通知》（工信部联企业〔2011〕300号）规定的划分标准为中小微型企业</w:t>
      </w:r>
      <w:r>
        <w:rPr>
          <w:rFonts w:hint="eastAsia" w:ascii="宋体" w:hAnsi="宋体" w:eastAsia="宋体" w:cs="宋体"/>
          <w:color w:val="auto"/>
          <w:sz w:val="24"/>
          <w:szCs w:val="24"/>
        </w:rPr>
        <w:t>。</w:t>
      </w:r>
    </w:p>
    <w:p>
      <w:pPr>
        <w:keepNext w:val="0"/>
        <w:keepLines w:val="0"/>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附件2</w:t>
      </w:r>
    </w:p>
    <w:p>
      <w:pPr>
        <w:keepNext w:val="0"/>
        <w:keepLines w:val="0"/>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snapToGrid w:val="0"/>
        <w:spacing w:beforeAutospacing="0" w:afterAutospacing="0" w:line="360" w:lineRule="auto"/>
        <w:jc w:val="center"/>
        <w:textAlignment w:val="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残疾人福利性单位声明函</w:t>
      </w:r>
    </w:p>
    <w:p>
      <w:pPr>
        <w:keepNext w:val="0"/>
        <w:keepLines w:val="0"/>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b/>
          <w:color w:val="auto"/>
          <w:spacing w:val="6"/>
          <w:sz w:val="24"/>
          <w:szCs w:val="24"/>
          <w:highlight w:val="none"/>
        </w:rPr>
      </w:pPr>
    </w:p>
    <w:p>
      <w:pPr>
        <w:keepNext w:val="0"/>
        <w:keepLines w:val="0"/>
        <w:pageBreakBefore w:val="0"/>
        <w:kinsoku/>
        <w:wordWrap/>
        <w:overflowPunct/>
        <w:topLinePunct w:val="0"/>
        <w:bidi w:val="0"/>
        <w:adjustRightInd/>
        <w:snapToGrid w:val="0"/>
        <w:spacing w:beforeAutospacing="0" w:afterAutospacing="0" w:line="360" w:lineRule="auto"/>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bidi w:val="0"/>
        <w:adjustRightInd/>
        <w:snapToGrid w:val="0"/>
        <w:spacing w:beforeAutospacing="0" w:afterAutospacing="0" w:line="360" w:lineRule="auto"/>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keepNext w:val="0"/>
        <w:keepLines w:val="0"/>
        <w:pageBreakBefore w:val="0"/>
        <w:kinsoku/>
        <w:wordWrap/>
        <w:overflowPunct/>
        <w:topLinePunct w:val="0"/>
        <w:bidi w:val="0"/>
        <w:adjustRightInd/>
        <w:snapToGrid w:val="0"/>
        <w:spacing w:beforeAutospacing="0" w:afterAutospacing="0" w:line="360" w:lineRule="auto"/>
        <w:ind w:firstLine="504" w:firstLineChars="200"/>
        <w:textAlignment w:val="auto"/>
        <w:rPr>
          <w:rFonts w:hint="eastAsia" w:ascii="宋体" w:hAnsi="宋体" w:eastAsia="宋体" w:cs="宋体"/>
          <w:color w:val="auto"/>
          <w:spacing w:val="6"/>
          <w:sz w:val="24"/>
          <w:szCs w:val="24"/>
          <w:highlight w:val="none"/>
        </w:rPr>
      </w:pPr>
    </w:p>
    <w:p>
      <w:pPr>
        <w:keepNext w:val="0"/>
        <w:keepLines w:val="0"/>
        <w:pageBreakBefore w:val="0"/>
        <w:kinsoku/>
        <w:wordWrap/>
        <w:overflowPunct/>
        <w:topLinePunct w:val="0"/>
        <w:bidi w:val="0"/>
        <w:adjustRightInd/>
        <w:snapToGrid w:val="0"/>
        <w:spacing w:beforeAutospacing="0" w:afterAutospacing="0" w:line="360" w:lineRule="auto"/>
        <w:ind w:firstLine="504" w:firstLineChars="200"/>
        <w:textAlignment w:val="auto"/>
        <w:rPr>
          <w:rFonts w:hint="eastAsia" w:ascii="宋体" w:hAnsi="宋体" w:eastAsia="宋体" w:cs="宋体"/>
          <w:color w:val="auto"/>
          <w:spacing w:val="6"/>
          <w:sz w:val="24"/>
          <w:szCs w:val="24"/>
          <w:highlight w:val="none"/>
        </w:rPr>
      </w:pPr>
    </w:p>
    <w:p>
      <w:pPr>
        <w:keepNext w:val="0"/>
        <w:keepLines w:val="0"/>
        <w:pageBreakBefore w:val="0"/>
        <w:widowControl/>
        <w:kinsoku/>
        <w:wordWrap/>
        <w:overflowPunct/>
        <w:topLinePunct w:val="0"/>
        <w:bidi w:val="0"/>
        <w:adjustRightInd/>
        <w:snapToGrid w:val="0"/>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w:t>
      </w:r>
    </w:p>
    <w:p>
      <w:pPr>
        <w:keepNext w:val="0"/>
        <w:keepLines w:val="0"/>
        <w:pageBreakBefore w:val="0"/>
        <w:widowControl/>
        <w:kinsoku/>
        <w:wordWrap/>
        <w:overflowPunct/>
        <w:topLinePunct w:val="0"/>
        <w:bidi w:val="0"/>
        <w:adjustRightInd/>
        <w:snapToGrid w:val="0"/>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bidi w:val="0"/>
        <w:adjustRightInd/>
        <w:snapToGrid w:val="0"/>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bidi w:val="0"/>
        <w:adjustRightInd/>
        <w:snapToGrid w:val="0"/>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bidi w:val="0"/>
        <w:adjustRightInd/>
        <w:snapToGrid w:val="0"/>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keepNext w:val="0"/>
        <w:keepLines w:val="0"/>
        <w:pageBreakBefore w:val="0"/>
        <w:kinsoku/>
        <w:wordWrap/>
        <w:overflowPunct/>
        <w:topLinePunct w:val="0"/>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投标人名称：XXXX（盖单位公章）</w:t>
      </w:r>
    </w:p>
    <w:p>
      <w:pPr>
        <w:keepNext w:val="0"/>
        <w:keepLines w:val="0"/>
        <w:pageBreakBefore w:val="0"/>
        <w:kinsoku/>
        <w:wordWrap/>
        <w:overflowPunct/>
        <w:topLinePunct w:val="0"/>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/单位负责人</w:t>
      </w:r>
      <w:r>
        <w:rPr>
          <w:rFonts w:hint="eastAsia" w:ascii="宋体" w:hAnsi="宋体" w:eastAsia="宋体" w:cs="宋体"/>
          <w:color w:val="auto"/>
          <w:sz w:val="24"/>
          <w:szCs w:val="24"/>
          <w:highlight w:val="none"/>
        </w:rPr>
        <w:t>或授权代表（签字）：XXXX</w:t>
      </w:r>
    </w:p>
    <w:p>
      <w:pPr>
        <w:pStyle w:val="2"/>
        <w:keepNext w:val="0"/>
        <w:keepLines w:val="0"/>
        <w:pageBreakBefore w:val="0"/>
        <w:kinsoku/>
        <w:wordWrap/>
        <w:overflowPunct/>
        <w:topLinePunct w:val="0"/>
        <w:bidi w:val="0"/>
        <w:adjustRightInd/>
        <w:snapToGrid w:val="0"/>
        <w:spacing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日期：XXXX</w:t>
      </w:r>
    </w:p>
    <w:p>
      <w:pPr>
        <w:keepNext w:val="0"/>
        <w:keepLines w:val="0"/>
        <w:pageBreakBefore w:val="0"/>
        <w:kinsoku/>
        <w:wordWrap/>
        <w:overflowPunct/>
        <w:topLinePunct w:val="0"/>
        <w:autoSpaceDE w:val="0"/>
        <w:autoSpaceDN w:val="0"/>
        <w:bidi w:val="0"/>
        <w:adjustRightInd/>
        <w:snapToGrid w:val="0"/>
        <w:spacing w:beforeAutospacing="0" w:afterAutospacing="0" w:line="360" w:lineRule="auto"/>
        <w:ind w:firstLine="504" w:firstLineChars="200"/>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注:</w:t>
      </w:r>
    </w:p>
    <w:p>
      <w:pPr>
        <w:keepNext w:val="0"/>
        <w:keepLines w:val="0"/>
        <w:pageBreakBefore w:val="0"/>
        <w:kinsoku/>
        <w:wordWrap/>
        <w:overflowPunct/>
        <w:topLinePunct w:val="0"/>
        <w:autoSpaceDE w:val="0"/>
        <w:autoSpaceDN w:val="0"/>
        <w:bidi w:val="0"/>
        <w:adjustRightInd/>
        <w:snapToGrid w:val="0"/>
        <w:spacing w:beforeAutospacing="0" w:afterAutospacing="0" w:line="360" w:lineRule="auto"/>
        <w:ind w:firstLine="504" w:firstLineChars="200"/>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1、残疾人福利性单位视同小型、微型企业，享受预留份额、评审中价格扣除等促进中小企业发展的政府采购政策。残疾人福利性单位属于小型、微型企业的，不重复享受政策。</w:t>
      </w:r>
    </w:p>
    <w:p>
      <w:pPr>
        <w:keepNext w:val="0"/>
        <w:keepLines w:val="0"/>
        <w:pageBreakBefore w:val="0"/>
        <w:kinsoku/>
        <w:wordWrap/>
        <w:overflowPunct/>
        <w:topLinePunct w:val="0"/>
        <w:autoSpaceDE w:val="0"/>
        <w:autoSpaceDN w:val="0"/>
        <w:bidi w:val="0"/>
        <w:adjustRightInd/>
        <w:snapToGrid w:val="0"/>
        <w:spacing w:beforeAutospacing="0" w:afterAutospacing="0" w:line="360" w:lineRule="auto"/>
        <w:ind w:firstLine="504" w:firstLineChars="200"/>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rPr>
        <w:t>2、</w:t>
      </w:r>
      <w:r>
        <w:rPr>
          <w:rFonts w:hint="eastAsia" w:ascii="宋体" w:hAnsi="宋体" w:eastAsia="宋体" w:cs="宋体"/>
          <w:color w:val="auto"/>
          <w:spacing w:val="6"/>
          <w:sz w:val="24"/>
          <w:szCs w:val="24"/>
          <w:lang w:eastAsia="zh-CN"/>
        </w:rPr>
        <w:t>投标人</w:t>
      </w:r>
      <w:r>
        <w:rPr>
          <w:rFonts w:hint="eastAsia" w:ascii="宋体" w:hAnsi="宋体" w:eastAsia="宋体" w:cs="宋体"/>
          <w:color w:val="auto"/>
          <w:spacing w:val="6"/>
          <w:sz w:val="24"/>
          <w:szCs w:val="24"/>
        </w:rPr>
        <w:t>为非残疾人福利性单位的，可不提供此声明</w:t>
      </w:r>
      <w:r>
        <w:rPr>
          <w:rFonts w:hint="eastAsia" w:ascii="宋体" w:hAnsi="宋体" w:eastAsia="宋体" w:cs="宋体"/>
          <w:color w:val="auto"/>
          <w:spacing w:val="6"/>
          <w:sz w:val="24"/>
          <w:szCs w:val="24"/>
          <w:lang w:eastAsia="zh-CN"/>
        </w:rPr>
        <w:t>。</w:t>
      </w:r>
    </w:p>
    <w:p>
      <w:pPr>
        <w:keepNext w:val="0"/>
        <w:keepLines w:val="0"/>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pageBreakBefore w:val="0"/>
        <w:kinsoku/>
        <w:wordWrap/>
        <w:overflowPunct/>
        <w:topLinePunct w:val="0"/>
        <w:bidi w:val="0"/>
        <w:adjustRightInd/>
        <w:snapToGrid w:val="0"/>
        <w:spacing w:beforeAutospacing="0" w:afterAutospacing="0"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、无行贿犯罪记录的承诺函（实质性要求）</w:t>
      </w:r>
    </w:p>
    <w:p>
      <w:pPr>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p>
    <w:p>
      <w:pPr>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XXXX（采购代理机构名称）：</w:t>
      </w:r>
    </w:p>
    <w:p>
      <w:pPr>
        <w:pageBreakBefore w:val="0"/>
        <w:kinsoku/>
        <w:wordWrap/>
        <w:overflowPunct/>
        <w:topLinePunct w:val="0"/>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我公司作为本次采购项目的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文件要求，现郑重承诺如下：</w:t>
      </w:r>
    </w:p>
    <w:p>
      <w:pPr>
        <w:pageBreakBefore w:val="0"/>
        <w:kinsoku/>
        <w:wordWrap/>
        <w:overflowPunct/>
        <w:topLinePunct w:val="0"/>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我公司XXXX（</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名称）及法定代表人/单位负责人XXXX（法定代表人/单位负责人名字）、XXXX（主要负责人名字）在前3年</w:t>
      </w:r>
      <w:r>
        <w:rPr>
          <w:rFonts w:hint="eastAsia" w:ascii="宋体" w:hAnsi="宋体" w:eastAsia="宋体" w:cs="宋体"/>
          <w:color w:val="auto"/>
          <w:sz w:val="24"/>
          <w:szCs w:val="24"/>
          <w:highlight w:val="none"/>
          <w:lang w:eastAsia="zh-CN"/>
        </w:rPr>
        <w:t>之</w:t>
      </w:r>
      <w:r>
        <w:rPr>
          <w:rFonts w:hint="eastAsia" w:ascii="宋体" w:hAnsi="宋体" w:eastAsia="宋体" w:cs="宋体"/>
          <w:color w:val="auto"/>
          <w:sz w:val="24"/>
          <w:szCs w:val="24"/>
          <w:highlight w:val="none"/>
        </w:rPr>
        <w:t>内无行贿犯罪记录。</w:t>
      </w:r>
    </w:p>
    <w:p>
      <w:pPr>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p>
    <w:p>
      <w:pPr>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p>
    <w:p>
      <w:pPr>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投标人名称：XXXX（盖单位公章）</w:t>
      </w:r>
    </w:p>
    <w:p>
      <w:pPr>
        <w:keepNext w:val="0"/>
        <w:keepLines w:val="0"/>
        <w:pageBreakBefore w:val="0"/>
        <w:kinsoku/>
        <w:wordWrap/>
        <w:overflowPunct/>
        <w:topLinePunct w:val="0"/>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/单位负责人</w:t>
      </w:r>
      <w:r>
        <w:rPr>
          <w:rFonts w:hint="eastAsia" w:ascii="宋体" w:hAnsi="宋体" w:eastAsia="宋体" w:cs="宋体"/>
          <w:color w:val="auto"/>
          <w:sz w:val="24"/>
          <w:szCs w:val="24"/>
          <w:highlight w:val="none"/>
        </w:rPr>
        <w:t>或授权代表（签字）：XXXX</w:t>
      </w:r>
    </w:p>
    <w:p>
      <w:pPr>
        <w:pStyle w:val="2"/>
        <w:keepNext w:val="0"/>
        <w:keepLines w:val="0"/>
        <w:pageBreakBefore w:val="0"/>
        <w:kinsoku/>
        <w:wordWrap/>
        <w:overflowPunct/>
        <w:topLinePunct w:val="0"/>
        <w:bidi w:val="0"/>
        <w:adjustRightInd/>
        <w:snapToGrid w:val="0"/>
        <w:spacing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日期：XXXX</w:t>
      </w:r>
    </w:p>
    <w:p>
      <w:pPr>
        <w:pStyle w:val="32"/>
        <w:pageBreakBefore w:val="0"/>
        <w:kinsoku/>
        <w:wordWrap/>
        <w:overflowPunct/>
        <w:topLinePunct w:val="0"/>
        <w:bidi w:val="0"/>
        <w:adjustRightInd/>
        <w:snapToGrid w:val="0"/>
        <w:spacing w:beforeAutospacing="0" w:afterAutospacing="0" w:line="360" w:lineRule="auto"/>
        <w:ind w:firstLine="560"/>
        <w:textAlignment w:val="auto"/>
        <w:rPr>
          <w:rFonts w:hint="eastAsia" w:ascii="宋体" w:hAnsi="宋体" w:eastAsia="宋体" w:cs="宋体"/>
          <w:color w:val="auto"/>
          <w:kern w:val="0"/>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firstLine="560"/>
        <w:textAlignment w:val="auto"/>
        <w:rPr>
          <w:rFonts w:hint="eastAsia" w:ascii="宋体" w:hAnsi="宋体" w:eastAsia="宋体" w:cs="宋体"/>
          <w:color w:val="auto"/>
          <w:kern w:val="0"/>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firstLine="560"/>
        <w:textAlignment w:val="auto"/>
        <w:rPr>
          <w:rFonts w:hint="eastAsia" w:ascii="宋体" w:hAnsi="宋体" w:eastAsia="宋体" w:cs="宋体"/>
          <w:color w:val="auto"/>
          <w:kern w:val="0"/>
          <w:sz w:val="24"/>
          <w:szCs w:val="24"/>
          <w:highlight w:val="none"/>
        </w:rPr>
      </w:pPr>
    </w:p>
    <w:p>
      <w:pPr>
        <w:pageBreakBefore w:val="0"/>
        <w:kinsoku/>
        <w:wordWrap/>
        <w:overflowPunct/>
        <w:topLinePunct w:val="0"/>
        <w:bidi w:val="0"/>
        <w:adjustRightInd/>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pStyle w:val="4"/>
        <w:pageBreakBefore w:val="0"/>
        <w:kinsoku/>
        <w:wordWrap/>
        <w:overflowPunct/>
        <w:topLinePunct w:val="0"/>
        <w:bidi w:val="0"/>
        <w:adjustRightInd/>
        <w:snapToGrid w:val="0"/>
        <w:spacing w:before="0" w:after="0"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五</w:t>
      </w:r>
      <w:r>
        <w:rPr>
          <w:rFonts w:hint="eastAsia" w:ascii="宋体" w:hAnsi="宋体" w:eastAsia="宋体" w:cs="宋体"/>
          <w:color w:val="auto"/>
          <w:sz w:val="28"/>
          <w:szCs w:val="28"/>
          <w:highlight w:val="none"/>
        </w:rPr>
        <w:t>、应当提供的投标人和投标产品资格、资质性及其他类似效力要求的相关证明材料</w:t>
      </w:r>
    </w:p>
    <w:p>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bCs/>
          <w:color w:val="auto"/>
          <w:sz w:val="24"/>
          <w:szCs w:val="24"/>
          <w:highlight w:val="none"/>
        </w:rPr>
      </w:pPr>
    </w:p>
    <w:p>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bCs/>
          <w:color w:val="auto"/>
          <w:sz w:val="24"/>
          <w:szCs w:val="24"/>
          <w:highlight w:val="none"/>
        </w:rPr>
      </w:pPr>
    </w:p>
    <w:p>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注：投标人应严格按招标文件第四、五章相关要求提供相关证明材料，有格式要求的从其要求，无格式要求的格式自拟。</w:t>
      </w: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ageBreakBefore w:val="0"/>
        <w:kinsoku/>
        <w:wordWrap/>
        <w:overflowPunct/>
        <w:topLinePunct w:val="0"/>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br w:type="page"/>
      </w:r>
    </w:p>
    <w:p>
      <w:pPr>
        <w:pageBreakBefore w:val="0"/>
        <w:kinsoku/>
        <w:wordWrap/>
        <w:overflowPunct/>
        <w:topLinePunct w:val="0"/>
        <w:bidi w:val="0"/>
        <w:adjustRightInd/>
        <w:snapToGrid w:val="0"/>
        <w:spacing w:line="360" w:lineRule="auto"/>
        <w:textAlignment w:val="auto"/>
        <w:rPr>
          <w:rFonts w:hint="eastAsia" w:ascii="宋体" w:hAnsi="宋体" w:eastAsia="宋体" w:cs="宋体"/>
          <w:color w:val="auto"/>
          <w:kern w:val="0"/>
          <w:sz w:val="24"/>
          <w:szCs w:val="24"/>
          <w:highlight w:val="none"/>
        </w:rPr>
      </w:pPr>
    </w:p>
    <w:p>
      <w:pPr>
        <w:pageBreakBefore w:val="0"/>
        <w:kinsoku/>
        <w:wordWrap/>
        <w:overflowPunct/>
        <w:topLinePunct w:val="0"/>
        <w:bidi w:val="0"/>
        <w:adjustRightInd/>
        <w:snapToGrid w:val="0"/>
        <w:spacing w:beforeAutospacing="0" w:afterAutospacing="0"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六</w:t>
      </w:r>
      <w:r>
        <w:rPr>
          <w:rFonts w:hint="eastAsia" w:ascii="宋体" w:hAnsi="宋体" w:eastAsia="宋体" w:cs="宋体"/>
          <w:b/>
          <w:bCs/>
          <w:color w:val="auto"/>
          <w:sz w:val="28"/>
          <w:szCs w:val="28"/>
          <w:highlight w:val="none"/>
        </w:rPr>
        <w:t>、其他资格证明材料</w:t>
      </w:r>
    </w:p>
    <w:p>
      <w:pPr>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center"/>
        <w:textAlignment w:val="auto"/>
        <w:outlineLvl w:val="1"/>
        <w:rPr>
          <w:rFonts w:hint="eastAsia" w:ascii="宋体" w:hAnsi="宋体" w:eastAsia="宋体" w:cs="宋体"/>
          <w:color w:val="auto"/>
          <w:sz w:val="24"/>
          <w:szCs w:val="24"/>
          <w:highlight w:val="none"/>
        </w:rPr>
      </w:pPr>
      <w:bookmarkStart w:id="104" w:name="_Toc491724452"/>
      <w:r>
        <w:rPr>
          <w:rFonts w:hint="eastAsia" w:ascii="宋体" w:hAnsi="宋体" w:eastAsia="宋体" w:cs="宋体"/>
          <w:color w:val="auto"/>
          <w:sz w:val="24"/>
          <w:szCs w:val="24"/>
          <w:highlight w:val="none"/>
        </w:rPr>
        <w:t>注：</w:t>
      </w:r>
      <w:bookmarkEnd w:id="104"/>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规定的其他资格证明材料。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widowControl/>
        <w:spacing w:line="360" w:lineRule="auto"/>
        <w:ind w:firstLine="630" w:firstLineChars="196"/>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第二部分     《其它投标文件》格式</w:t>
      </w:r>
    </w:p>
    <w:p>
      <w:pPr>
        <w:pStyle w:val="4"/>
        <w:spacing w:line="360" w:lineRule="auto"/>
        <w:jc w:val="left"/>
        <w:rPr>
          <w:rFonts w:cs="黑体"/>
          <w:color w:val="auto"/>
          <w:highlight w:val="none"/>
        </w:rPr>
      </w:pPr>
      <w:r>
        <w:rPr>
          <w:rFonts w:hint="eastAsia" w:cs="黑体"/>
          <w:color w:val="auto"/>
          <w:highlight w:val="none"/>
        </w:rPr>
        <w:t>封面：</w:t>
      </w:r>
    </w:p>
    <w:p>
      <w:pPr>
        <w:spacing w:line="360" w:lineRule="auto"/>
        <w:jc w:val="right"/>
        <w:rPr>
          <w:rFonts w:ascii="华文中宋" w:hAnsi="华文中宋" w:eastAsia="华文中宋"/>
          <w:b/>
          <w:color w:val="auto"/>
          <w:sz w:val="36"/>
          <w:highlight w:val="none"/>
        </w:rPr>
      </w:pPr>
      <w:r>
        <w:rPr>
          <w:rFonts w:ascii="华文中宋" w:hAnsi="华文中宋" w:eastAsia="华文中宋"/>
          <w:b/>
          <w:color w:val="auto"/>
          <w:sz w:val="36"/>
          <w:highlight w:val="none"/>
        </w:rPr>
        <w:t>（正本/副本）</w:t>
      </w:r>
    </w:p>
    <w:p>
      <w:pPr>
        <w:spacing w:line="360" w:lineRule="auto"/>
        <w:rPr>
          <w:rFonts w:ascii="华文中宋" w:hAnsi="华文中宋" w:eastAsia="华文中宋"/>
          <w:b/>
          <w:color w:val="auto"/>
          <w:sz w:val="32"/>
          <w:szCs w:val="32"/>
          <w:highlight w:val="none"/>
        </w:rPr>
      </w:pPr>
    </w:p>
    <w:p>
      <w:pPr>
        <w:spacing w:line="360" w:lineRule="auto"/>
        <w:jc w:val="center"/>
        <w:rPr>
          <w:rFonts w:ascii="华文中宋" w:hAnsi="华文中宋" w:eastAsia="华文中宋"/>
          <w:b/>
          <w:color w:val="auto"/>
          <w:sz w:val="72"/>
          <w:highlight w:val="none"/>
        </w:rPr>
      </w:pPr>
      <w:r>
        <w:rPr>
          <w:rFonts w:hint="eastAsia" w:ascii="华文中宋" w:hAnsi="华文中宋" w:eastAsia="华文中宋"/>
          <w:b/>
          <w:color w:val="auto"/>
          <w:sz w:val="40"/>
          <w:szCs w:val="48"/>
          <w:highlight w:val="none"/>
          <w:u w:val="single"/>
        </w:rPr>
        <w:t xml:space="preserve">                 （项目名称）</w:t>
      </w:r>
    </w:p>
    <w:p>
      <w:pPr>
        <w:spacing w:line="360" w:lineRule="auto"/>
        <w:rPr>
          <w:rFonts w:ascii="华文中宋" w:hAnsi="华文中宋" w:eastAsia="华文中宋"/>
          <w:b/>
          <w:color w:val="auto"/>
          <w:sz w:val="52"/>
          <w:szCs w:val="52"/>
          <w:highlight w:val="none"/>
        </w:rPr>
      </w:pPr>
    </w:p>
    <w:p>
      <w:pPr>
        <w:pStyle w:val="2"/>
        <w:spacing w:line="360" w:lineRule="auto"/>
        <w:jc w:val="center"/>
        <w:rPr>
          <w:rFonts w:hint="eastAsia" w:ascii="华文中宋" w:hAnsi="华文中宋" w:eastAsia="华文中宋"/>
          <w:b/>
          <w:color w:val="auto"/>
          <w:sz w:val="52"/>
          <w:szCs w:val="52"/>
          <w:highlight w:val="none"/>
        </w:rPr>
      </w:pPr>
    </w:p>
    <w:p>
      <w:pPr>
        <w:pStyle w:val="2"/>
        <w:spacing w:line="360" w:lineRule="auto"/>
        <w:jc w:val="center"/>
        <w:rPr>
          <w:rFonts w:hint="eastAsia" w:hAnsi="宋体" w:cs="宋体"/>
          <w:color w:val="auto"/>
          <w:sz w:val="28"/>
          <w:szCs w:val="28"/>
          <w:highlight w:val="none"/>
        </w:rPr>
      </w:pPr>
      <w:r>
        <w:rPr>
          <w:rFonts w:hint="eastAsia" w:ascii="华文中宋" w:hAnsi="华文中宋" w:eastAsia="华文中宋"/>
          <w:b/>
          <w:color w:val="auto"/>
          <w:sz w:val="52"/>
          <w:szCs w:val="52"/>
          <w:highlight w:val="none"/>
        </w:rPr>
        <w:t>其它投标文件</w:t>
      </w:r>
    </w:p>
    <w:p>
      <w:pPr>
        <w:keepNext/>
        <w:keepLines/>
        <w:spacing w:line="360" w:lineRule="auto"/>
        <w:jc w:val="left"/>
        <w:rPr>
          <w:rFonts w:hint="eastAsia" w:ascii="华文中宋" w:hAnsi="华文中宋" w:eastAsia="华文中宋"/>
          <w:b/>
          <w:color w:val="auto"/>
          <w:sz w:val="32"/>
          <w:highlight w:val="none"/>
        </w:rPr>
      </w:pPr>
    </w:p>
    <w:p>
      <w:pPr>
        <w:keepNext/>
        <w:keepLines/>
        <w:spacing w:line="360" w:lineRule="auto"/>
        <w:jc w:val="left"/>
        <w:rPr>
          <w:rFonts w:hint="eastAsia" w:ascii="华文中宋" w:hAnsi="华文中宋" w:eastAsia="华文中宋"/>
          <w:b/>
          <w:color w:val="auto"/>
          <w:sz w:val="32"/>
          <w:highlight w:val="none"/>
        </w:rPr>
      </w:pPr>
    </w:p>
    <w:p>
      <w:pPr>
        <w:keepNext/>
        <w:keepLines/>
        <w:spacing w:line="360" w:lineRule="auto"/>
        <w:jc w:val="left"/>
        <w:rPr>
          <w:rFonts w:hint="eastAsia" w:ascii="华文中宋" w:hAnsi="华文中宋" w:eastAsia="华文中宋"/>
          <w:b/>
          <w:color w:val="auto"/>
          <w:sz w:val="32"/>
          <w:highlight w:val="none"/>
        </w:rPr>
      </w:pPr>
    </w:p>
    <w:p>
      <w:pPr>
        <w:keepNext/>
        <w:keepLines/>
        <w:spacing w:line="360" w:lineRule="auto"/>
        <w:jc w:val="left"/>
        <w:rPr>
          <w:rFonts w:hint="eastAsia" w:ascii="华文中宋" w:hAnsi="华文中宋" w:eastAsia="华文中宋"/>
          <w:b/>
          <w:color w:val="auto"/>
          <w:sz w:val="32"/>
          <w:highlight w:val="none"/>
        </w:rPr>
      </w:pPr>
    </w:p>
    <w:p>
      <w:pPr>
        <w:keepNext/>
        <w:keepLines/>
        <w:spacing w:line="360" w:lineRule="auto"/>
        <w:jc w:val="left"/>
        <w:rPr>
          <w:rFonts w:ascii="华文中宋" w:hAnsi="华文中宋" w:eastAsia="华文中宋"/>
          <w:b/>
          <w:color w:val="auto"/>
          <w:sz w:val="32"/>
          <w:highlight w:val="none"/>
          <w:u w:val="single"/>
        </w:rPr>
      </w:pPr>
      <w:r>
        <w:rPr>
          <w:rFonts w:hint="eastAsia" w:ascii="华文中宋" w:hAnsi="华文中宋" w:eastAsia="华文中宋"/>
          <w:b/>
          <w:color w:val="auto"/>
          <w:sz w:val="32"/>
          <w:highlight w:val="none"/>
        </w:rPr>
        <w:t>投标人</w:t>
      </w:r>
      <w:r>
        <w:rPr>
          <w:rFonts w:ascii="华文中宋" w:hAnsi="华文中宋" w:eastAsia="华文中宋"/>
          <w:b/>
          <w:color w:val="auto"/>
          <w:sz w:val="32"/>
          <w:highlight w:val="none"/>
        </w:rPr>
        <w:t>名称：</w:t>
      </w:r>
    </w:p>
    <w:p>
      <w:pPr>
        <w:keepNext/>
        <w:keepLines/>
        <w:spacing w:line="360" w:lineRule="auto"/>
        <w:jc w:val="left"/>
        <w:rPr>
          <w:rFonts w:ascii="华文中宋" w:hAnsi="华文中宋" w:eastAsia="华文中宋"/>
          <w:b/>
          <w:color w:val="auto"/>
          <w:sz w:val="32"/>
          <w:highlight w:val="none"/>
          <w:u w:val="single"/>
        </w:rPr>
      </w:pPr>
      <w:r>
        <w:rPr>
          <w:rFonts w:hint="eastAsia" w:ascii="华文中宋" w:hAnsi="华文中宋" w:eastAsia="华文中宋"/>
          <w:b/>
          <w:color w:val="auto"/>
          <w:sz w:val="32"/>
          <w:highlight w:val="none"/>
        </w:rPr>
        <w:t>招标</w:t>
      </w:r>
      <w:r>
        <w:rPr>
          <w:rFonts w:ascii="华文中宋" w:hAnsi="华文中宋" w:eastAsia="华文中宋"/>
          <w:b/>
          <w:color w:val="auto"/>
          <w:sz w:val="32"/>
          <w:highlight w:val="none"/>
        </w:rPr>
        <w:t>编号：</w:t>
      </w:r>
    </w:p>
    <w:p>
      <w:pPr>
        <w:keepNext/>
        <w:keepLines/>
        <w:spacing w:line="360" w:lineRule="auto"/>
        <w:jc w:val="left"/>
        <w:rPr>
          <w:rFonts w:hint="eastAsia" w:ascii="华文中宋" w:hAnsi="华文中宋" w:eastAsia="华文中宋"/>
          <w:b/>
          <w:color w:val="auto"/>
          <w:sz w:val="32"/>
          <w:highlight w:val="none"/>
        </w:rPr>
      </w:pPr>
      <w:r>
        <w:rPr>
          <w:rFonts w:hint="eastAsia" w:ascii="华文中宋" w:hAnsi="华文中宋" w:eastAsia="华文中宋"/>
          <w:b/>
          <w:color w:val="auto"/>
          <w:sz w:val="32"/>
          <w:highlight w:val="none"/>
        </w:rPr>
        <w:t xml:space="preserve">时  </w:t>
      </w:r>
      <w:r>
        <w:rPr>
          <w:rFonts w:hint="eastAsia" w:ascii="华文中宋" w:hAnsi="华文中宋" w:eastAsia="华文中宋"/>
          <w:b/>
          <w:color w:val="auto"/>
          <w:sz w:val="32"/>
          <w:highlight w:val="none"/>
          <w:lang w:val="en-US" w:eastAsia="zh-CN"/>
        </w:rPr>
        <w:t xml:space="preserve">  </w:t>
      </w:r>
      <w:r>
        <w:rPr>
          <w:rFonts w:hint="eastAsia" w:ascii="华文中宋" w:hAnsi="华文中宋" w:eastAsia="华文中宋"/>
          <w:b/>
          <w:color w:val="auto"/>
          <w:sz w:val="32"/>
          <w:highlight w:val="none"/>
        </w:rPr>
        <w:t>间：</w:t>
      </w: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br w:type="page"/>
      </w: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一、投 标 函</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8"/>
          <w:szCs w:val="28"/>
          <w:highlight w:val="none"/>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xxx（采购代理机构名称）：</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我方全面研究了“xxx”项目（招标编号：xxx）招标文件，决定参加贵单位组织的本项目投标。我方授权xxx、xxx（姓名、职务）代表我方xxx（投标单位的名称）全权处理本项目投标的有关事宜。</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一、我方自愿按照招标文件规定的各项要求向采购人提供所需</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，总投标价位人民币xxx 元（大写：xxx元）</w:t>
      </w:r>
      <w:r>
        <w:rPr>
          <w:rFonts w:hint="eastAsia" w:ascii="宋体" w:hAnsi="宋体" w:eastAsia="宋体" w:cs="宋体"/>
          <w:color w:val="auto"/>
          <w:sz w:val="24"/>
          <w:szCs w:val="24"/>
          <w:highlight w:val="none"/>
          <w:lang w:eastAsia="zh-CN"/>
        </w:rPr>
        <w:t>（注：若“投标函”中</w:t>
      </w:r>
      <w:r>
        <w:rPr>
          <w:rFonts w:hint="eastAsia" w:ascii="宋体" w:hAnsi="宋体" w:eastAsia="宋体" w:cs="宋体"/>
          <w:color w:val="auto"/>
          <w:sz w:val="24"/>
          <w:szCs w:val="24"/>
          <w:highlight w:val="none"/>
          <w:lang w:val="en-US" w:eastAsia="zh-CN"/>
        </w:rPr>
        <w:t>投标报价与“开标一览表”中投标报价不一致，投标报价以开标一览表为准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二、一旦我方中标</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2.1我方承诺在收到中标通知书后，在规定的期限内与采购人签订合同。 </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2.2我方将严格履行政府采购合同规定的责任和义务。 </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2.3我方自愿按照招标文件规定的各项要求完成采购项目，接受采购人按照政府采购合同约定金额支付采购资金。 </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2.4我方在参与本项目履约过程中涉及国家相关强制标准的，均按照该标准执行</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三、我方为本项目提交的投标文件正本xx份，副本xx份。</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我方承诺：投标有效期为提交投标文件的截止之日起 90 日</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、我方愿意提供贵单位可能另外要求的，与投标有关的文件资料，并保证我方已提供和将要提供的文件资料是真实、准确的。</w:t>
      </w:r>
    </w:p>
    <w:p>
      <w:pPr>
        <w:bidi w:val="0"/>
        <w:ind w:firstLine="480" w:firstLineChars="200"/>
        <w:rPr>
          <w:rFonts w:hint="eastAsia"/>
          <w:color w:val="auto"/>
          <w:sz w:val="24"/>
          <w:szCs w:val="24"/>
          <w:lang w:val="en-US" w:eastAsia="zh-CN"/>
        </w:rPr>
      </w:pPr>
      <w:r>
        <w:rPr>
          <w:rFonts w:hint="eastAsia"/>
          <w:color w:val="auto"/>
          <w:sz w:val="24"/>
          <w:szCs w:val="24"/>
          <w:lang w:val="en-US" w:eastAsia="zh-CN"/>
        </w:rPr>
        <w:t>六、我方完全理解采购人不一定将合同授予最低报价的投标人的行为。</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投标人名称：xxx（单位公章）</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法定代表人/单位负责人或授权代表（签字或加盖个人名章）：xxx</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通讯地址：xxx</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邮政编码：xxx</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联系电话：xxx</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真：xxx</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期：xx年xx月xx日</w:t>
      </w:r>
    </w:p>
    <w:p>
      <w:pPr>
        <w:pageBreakBefore w:val="0"/>
        <w:kinsoku/>
        <w:overflowPunct/>
        <w:bidi w:val="0"/>
        <w:snapToGrid w:val="0"/>
        <w:spacing w:beforeAutospacing="0" w:afterAutospacing="0" w:line="360" w:lineRule="auto"/>
        <w:rPr>
          <w:rFonts w:hint="eastAsia" w:ascii="宋体" w:hAnsi="宋体" w:eastAsia="宋体" w:cs="宋体"/>
          <w:b/>
          <w:bCs/>
          <w:color w:val="auto"/>
          <w:sz w:val="24"/>
          <w:szCs w:val="24"/>
          <w:highlight w:val="none"/>
        </w:rPr>
      </w:pPr>
    </w:p>
    <w:p>
      <w:pPr>
        <w:widowControl/>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二、承诺函</w:t>
      </w:r>
    </w:p>
    <w:p>
      <w:pPr>
        <w:keepNext w:val="0"/>
        <w:keepLines w:val="0"/>
        <w:pageBreakBefore w:val="0"/>
        <w:widowControl/>
        <w:kinsoku/>
        <w:wordWrap/>
        <w:overflowPunct/>
        <w:topLinePunct w:val="0"/>
        <w:autoSpaceDE/>
        <w:autoSpaceDN/>
        <w:bidi w:val="0"/>
        <w:adjustRightInd/>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xxx（采购代理机构名称）：</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我单位作为本次采购项目的投标人，根据招标文件要求，现郑重承诺如下：</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完全接受和满足本项目招标文件中规定的实质性要求（如投标费用、充分、公平竞争保障措施、投标文件的语言、计量单位、投标货币、知识产权、招标报价要求（报价部分）、投标保证金、投标有效期、合同分包、合同转包等实质性要求），如对招标文件有异议，已依法进行维权救济，不存在对招标文件有异议的同时又参加投标以求侥幸中标或者为实现其他非法目的的行为。</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二、参加本次招标采购活动，没有为本项目提供整体设计、规范编制或者项目管理、监理、检测等服务。</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三、参加本次招标采购活动，不存在与单位负责人为同一人或者存在直接控股、管理关系的其他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参与同一合同项下的政府采购活动的行为。为采购项目提供整体设计、规范编制或者项目管理、监理、检测等服务的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，不得再参加该采购项目的其他采购活动。</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四、参加本次招标采购活动，不存在和其他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在同一合同项下的采购项目中，同时委托同一个自然人、同一家庭的人员、同一单位的人员作为代理人的行为。</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五、我方满足本项目提出的特定资格要求。</w:t>
      </w:r>
    </w:p>
    <w:p>
      <w:pPr>
        <w:bidi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（1）我单位</w:t>
      </w:r>
      <w:r>
        <w:rPr>
          <w:rFonts w:hint="eastAsia" w:ascii="宋体" w:hAnsi="宋体" w:eastAsia="宋体" w:cs="宋体"/>
          <w:color w:val="auto"/>
          <w:sz w:val="24"/>
          <w:szCs w:val="24"/>
          <w:u w:val="single"/>
        </w:rPr>
        <w:t xml:space="preserve">        （单位名称）</w:t>
      </w:r>
      <w:r>
        <w:rPr>
          <w:rFonts w:hint="eastAsia" w:ascii="宋体" w:hAnsi="宋体" w:eastAsia="宋体" w:cs="宋体"/>
          <w:color w:val="auto"/>
          <w:sz w:val="24"/>
          <w:szCs w:val="24"/>
        </w:rPr>
        <w:t>承诺</w:t>
      </w:r>
      <w:r>
        <w:rPr>
          <w:rFonts w:hint="eastAsia" w:ascii="宋体" w:hAnsi="宋体" w:eastAsia="宋体" w:cs="宋体"/>
          <w:color w:val="auto"/>
          <w:sz w:val="24"/>
          <w:szCs w:val="24"/>
          <w:lang w:val="zh-CN"/>
        </w:rPr>
        <w:t>截至递交投标文件截止日未被列入失信被执行人、重大税收违法案件当事人名单、政府采购严重违法失信行为记录名单</w:t>
      </w:r>
      <w:r>
        <w:rPr>
          <w:rFonts w:hint="eastAsia" w:ascii="宋体" w:hAnsi="宋体" w:eastAsia="宋体" w:cs="宋体"/>
          <w:color w:val="auto"/>
          <w:sz w:val="24"/>
          <w:szCs w:val="24"/>
        </w:rPr>
        <w:t>。</w:t>
      </w:r>
    </w:p>
    <w:p>
      <w:pPr>
        <w:bidi w:val="0"/>
        <w:ind w:firstLine="480" w:firstLineChars="200"/>
        <w:rPr>
          <w:rFonts w:hint="eastAsia" w:ascii="宋体" w:hAnsi="宋体" w:eastAsia="宋体" w:cs="宋体"/>
          <w:color w:val="auto"/>
          <w:sz w:val="24"/>
          <w:szCs w:val="24"/>
        </w:rPr>
      </w:pPr>
      <w:bookmarkStart w:id="105" w:name="_Toc24488"/>
      <w:bookmarkStart w:id="106" w:name="_Toc11413"/>
      <w:bookmarkStart w:id="107" w:name="_Toc18439"/>
      <w:bookmarkStart w:id="108" w:name="_Toc28037"/>
      <w:bookmarkStart w:id="109" w:name="_Toc17513"/>
      <w:bookmarkStart w:id="110" w:name="_Toc2254"/>
      <w:bookmarkStart w:id="111" w:name="_Toc9017"/>
      <w:bookmarkStart w:id="112" w:name="_Toc17076"/>
      <w:bookmarkStart w:id="113" w:name="_Toc15077"/>
      <w:bookmarkStart w:id="114" w:name="_Toc10086"/>
      <w:r>
        <w:rPr>
          <w:rFonts w:hint="eastAsia" w:ascii="宋体" w:hAnsi="宋体" w:eastAsia="宋体" w:cs="宋体"/>
          <w:color w:val="auto"/>
          <w:sz w:val="24"/>
          <w:szCs w:val="24"/>
        </w:rPr>
        <w:t>（2）</w:t>
      </w:r>
      <w:bookmarkEnd w:id="105"/>
      <w:bookmarkEnd w:id="106"/>
      <w:bookmarkEnd w:id="107"/>
      <w:bookmarkEnd w:id="108"/>
      <w:bookmarkEnd w:id="109"/>
      <w:bookmarkEnd w:id="110"/>
      <w:bookmarkEnd w:id="111"/>
      <w:bookmarkEnd w:id="112"/>
      <w:bookmarkEnd w:id="113"/>
      <w:bookmarkEnd w:id="114"/>
      <w:r>
        <w:rPr>
          <w:rFonts w:hint="eastAsia" w:ascii="宋体" w:hAnsi="宋体" w:eastAsia="宋体" w:cs="宋体"/>
          <w:color w:val="auto"/>
          <w:sz w:val="24"/>
          <w:szCs w:val="24"/>
        </w:rPr>
        <w:t>我单位</w:t>
      </w:r>
      <w:r>
        <w:rPr>
          <w:rFonts w:hint="eastAsia" w:ascii="宋体" w:hAnsi="宋体" w:eastAsia="宋体" w:cs="宋体"/>
          <w:color w:val="auto"/>
          <w:sz w:val="24"/>
          <w:szCs w:val="24"/>
          <w:u w:val="single"/>
        </w:rPr>
        <w:t xml:space="preserve">        （单位名称）</w:t>
      </w:r>
      <w:r>
        <w:rPr>
          <w:rFonts w:hint="eastAsia" w:ascii="宋体" w:hAnsi="宋体" w:eastAsia="宋体" w:cs="宋体"/>
          <w:color w:val="auto"/>
          <w:sz w:val="24"/>
          <w:szCs w:val="24"/>
        </w:rPr>
        <w:t>承诺</w:t>
      </w:r>
      <w:r>
        <w:rPr>
          <w:rFonts w:hint="eastAsia" w:ascii="宋体" w:hAnsi="宋体" w:eastAsia="宋体" w:cs="宋体"/>
          <w:color w:val="auto"/>
          <w:sz w:val="24"/>
          <w:szCs w:val="24"/>
          <w:lang w:val="zh-CN"/>
        </w:rPr>
        <w:t>截至递交投标文件截止日</w:t>
      </w:r>
      <w:r>
        <w:rPr>
          <w:rFonts w:hint="eastAsia" w:ascii="宋体" w:hAnsi="宋体" w:eastAsia="宋体" w:cs="宋体"/>
          <w:color w:val="auto"/>
          <w:sz w:val="24"/>
          <w:szCs w:val="24"/>
          <w:lang w:eastAsia="zh-CN"/>
        </w:rPr>
        <w:t>未处于被行政部门禁止参与政府采购活动的期限内。</w:t>
      </w:r>
    </w:p>
    <w:p>
      <w:pPr>
        <w:bidi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）我单位</w:t>
      </w:r>
      <w:r>
        <w:rPr>
          <w:rFonts w:hint="eastAsia" w:ascii="宋体" w:hAnsi="宋体" w:eastAsia="宋体" w:cs="宋体"/>
          <w:color w:val="auto"/>
          <w:sz w:val="24"/>
          <w:szCs w:val="24"/>
          <w:u w:val="single"/>
        </w:rPr>
        <w:t xml:space="preserve">        （单位名称）</w:t>
      </w:r>
      <w:r>
        <w:rPr>
          <w:rFonts w:hint="eastAsia" w:ascii="宋体" w:hAnsi="宋体" w:eastAsia="宋体" w:cs="宋体"/>
          <w:color w:val="auto"/>
          <w:sz w:val="24"/>
          <w:szCs w:val="24"/>
        </w:rPr>
        <w:t>承诺</w:t>
      </w:r>
      <w:r>
        <w:rPr>
          <w:rFonts w:hint="eastAsia" w:ascii="宋体" w:hAnsi="宋体" w:eastAsia="宋体" w:cs="宋体"/>
          <w:color w:val="auto"/>
          <w:sz w:val="24"/>
          <w:szCs w:val="24"/>
          <w:lang w:val="zh-CN"/>
        </w:rPr>
        <w:t>截至递交投标文件截止日</w:t>
      </w:r>
      <w:r>
        <w:rPr>
          <w:rFonts w:hint="eastAsia" w:ascii="宋体" w:hAnsi="宋体" w:eastAsia="宋体" w:cs="宋体"/>
          <w:color w:val="auto"/>
          <w:sz w:val="24"/>
          <w:szCs w:val="24"/>
          <w:lang w:eastAsia="zh-CN"/>
        </w:rPr>
        <w:t>不属于其他国家相关法律法规规定的禁止参加投标的投标人</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六、投标文件中提供的能够给予我单位带来优惠、好处的任何材料资料和技术、服务、商务、响应产品等响应承诺情况都是真实的、有效的、合法的。</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如本项目评标过程中需要提供样品，则我单位提供的样品即为中标后将要提供的中标产品，我单位对提供样品的性能和质量负责，因样品存在缺陷或者不符合招标文件要求导致未能中标的，我单位愿意承担相应不利后果。</w:t>
      </w:r>
    </w:p>
    <w:p>
      <w:pPr>
        <w:keepNext w:val="0"/>
        <w:keepLines w:val="0"/>
        <w:pageBreakBefore w:val="0"/>
        <w:widowControl/>
        <w:kinsoku/>
        <w:wordWrap/>
        <w:overflowPunct/>
        <w:topLinePunct w:val="0"/>
        <w:autoSpaceDE/>
        <w:autoSpaceDN/>
        <w:bidi w:val="0"/>
        <w:adjustRightInd/>
        <w:spacing w:line="360" w:lineRule="auto"/>
        <w:jc w:val="left"/>
        <w:textAlignment w:val="auto"/>
        <w:outlineLvl w:val="9"/>
        <w:rPr>
          <w:rFonts w:hint="eastAsia" w:ascii="宋体" w:hAnsi="宋体" w:eastAsia="宋体" w:cs="宋体"/>
          <w:color w:val="auto"/>
          <w:sz w:val="24"/>
          <w:szCs w:val="24"/>
          <w:highlight w:val="none"/>
        </w:rPr>
      </w:pPr>
    </w:p>
    <w:p>
      <w:pPr>
        <w:pStyle w:val="2"/>
        <w:rPr>
          <w:rFonts w:hint="eastAsia"/>
          <w:color w:val="auto"/>
        </w:rPr>
      </w:pP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本单位对上述承诺的内容事项真实性负责。如经查实上述承诺的内容事项存在虚假，我单位愿意接受以提供虚假材料谋取中标追究法律责任。</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24"/>
          <w:szCs w:val="24"/>
          <w:highlight w:val="none"/>
          <w:lang w:eastAsia="zh-CN"/>
        </w:rPr>
      </w:pPr>
    </w:p>
    <w:p>
      <w:pPr>
        <w:pStyle w:val="2"/>
        <w:rPr>
          <w:rFonts w:hint="eastAsia" w:ascii="宋体" w:hAnsi="宋体" w:eastAsia="宋体" w:cs="宋体"/>
          <w:color w:val="auto"/>
          <w:sz w:val="24"/>
          <w:szCs w:val="24"/>
          <w:highlight w:val="none"/>
          <w:lang w:eastAsia="zh-CN"/>
        </w:rPr>
      </w:pPr>
    </w:p>
    <w:p>
      <w:pPr>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投标人名称：xxx（单位公章）</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法定代表人/单位负责人或授权代表（签字或加盖个人名章）：xxx</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    期：xx年xx月xx日</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24"/>
          <w:szCs w:val="24"/>
          <w:highlight w:val="none"/>
          <w:lang w:eastAsia="zh-CN"/>
        </w:rPr>
        <w:sectPr>
          <w:pgSz w:w="11906" w:h="16838"/>
          <w:pgMar w:top="1389" w:right="1474" w:bottom="1389" w:left="1474" w:header="851" w:footer="992" w:gutter="0"/>
          <w:pgNumType w:fmt="decimal" w:start="1"/>
          <w:cols w:space="720" w:num="1"/>
          <w:docGrid w:type="lines" w:linePitch="484" w:charSpace="0"/>
        </w:sectPr>
      </w:pPr>
    </w:p>
    <w:p>
      <w:pPr>
        <w:pStyle w:val="4"/>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Cs w:val="0"/>
          <w:color w:val="auto"/>
          <w:sz w:val="28"/>
          <w:szCs w:val="28"/>
          <w:highlight w:val="none"/>
        </w:rPr>
        <w:t>三、开标一览表</w:t>
      </w: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8"/>
          <w:szCs w:val="28"/>
          <w:highlight w:val="none"/>
        </w:rPr>
      </w:pPr>
    </w:p>
    <w:p>
      <w:pPr>
        <w:spacing w:line="360" w:lineRule="auto"/>
        <w:ind w:right="332" w:rightChars="158"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none"/>
          <w:lang w:val="en-US" w:eastAsia="zh-CN"/>
        </w:rPr>
        <w:t>xxx</w:t>
      </w:r>
      <w:r>
        <w:rPr>
          <w:rFonts w:hint="eastAsia" w:ascii="宋体" w:hAnsi="宋体" w:eastAsia="宋体" w:cs="宋体"/>
          <w:color w:val="auto"/>
          <w:sz w:val="24"/>
          <w:szCs w:val="24"/>
          <w:highlight w:val="none"/>
        </w:rPr>
        <w:t xml:space="preserve">   </w:t>
      </w:r>
    </w:p>
    <w:p>
      <w:pPr>
        <w:pStyle w:val="2"/>
        <w:ind w:firstLine="720" w:firstLineChars="300"/>
        <w:rPr>
          <w:rFonts w:hint="eastAsia" w:eastAsia="宋体"/>
          <w:color w:val="auto"/>
          <w:lang w:eastAsia="zh-CN"/>
        </w:rPr>
      </w:pPr>
      <w:r>
        <w:rPr>
          <w:rFonts w:hint="eastAsia" w:ascii="宋体" w:hAnsi="宋体" w:eastAsia="宋体" w:cs="宋体"/>
          <w:color w:val="auto"/>
          <w:sz w:val="24"/>
          <w:szCs w:val="24"/>
          <w:highlight w:val="none"/>
          <w:lang w:eastAsia="zh-CN"/>
        </w:rPr>
        <w:t>项目名称：</w:t>
      </w:r>
      <w:r>
        <w:rPr>
          <w:rFonts w:hint="eastAsia" w:ascii="宋体" w:hAnsi="宋体" w:eastAsia="宋体" w:cs="宋体"/>
          <w:color w:val="auto"/>
          <w:sz w:val="24"/>
          <w:szCs w:val="24"/>
          <w:u w:val="none"/>
          <w:lang w:val="en-US" w:eastAsia="zh-CN"/>
        </w:rPr>
        <w:t>xxx</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rPr>
      </w:pPr>
    </w:p>
    <w:tbl>
      <w:tblPr>
        <w:tblStyle w:val="19"/>
        <w:tblW w:w="10049" w:type="dxa"/>
        <w:jc w:val="center"/>
        <w:tblLayout w:type="fixed"/>
        <w:tblCellMar>
          <w:top w:w="0" w:type="dxa"/>
          <w:left w:w="108" w:type="dxa"/>
          <w:bottom w:w="0" w:type="dxa"/>
          <w:right w:w="108" w:type="dxa"/>
        </w:tblCellMar>
      </w:tblPr>
      <w:tblGrid>
        <w:gridCol w:w="726"/>
        <w:gridCol w:w="1395"/>
        <w:gridCol w:w="1430"/>
        <w:gridCol w:w="1000"/>
        <w:gridCol w:w="1050"/>
        <w:gridCol w:w="1275"/>
        <w:gridCol w:w="1230"/>
        <w:gridCol w:w="1215"/>
        <w:gridCol w:w="728"/>
      </w:tblGrid>
      <w:tr>
        <w:tblPrEx>
          <w:tblCellMar>
            <w:top w:w="0" w:type="dxa"/>
            <w:left w:w="108" w:type="dxa"/>
            <w:bottom w:w="0" w:type="dxa"/>
            <w:right w:w="108" w:type="dxa"/>
          </w:tblCellMar>
        </w:tblPrEx>
        <w:trPr>
          <w:trHeight w:val="124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kern w:val="1"/>
                <w:sz w:val="24"/>
                <w:szCs w:val="24"/>
                <w:lang w:eastAsia="zh-CN"/>
              </w:rPr>
            </w:pPr>
            <w:r>
              <w:rPr>
                <w:rFonts w:hint="eastAsia" w:ascii="宋体" w:hAnsi="宋体" w:eastAsia="宋体" w:cs="宋体"/>
                <w:color w:val="auto"/>
                <w:kern w:val="1"/>
                <w:sz w:val="24"/>
                <w:szCs w:val="24"/>
                <w:lang w:eastAsia="zh-CN"/>
              </w:rPr>
              <w:t>序号</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val="0"/>
                <w:bCs w:val="0"/>
                <w:color w:val="auto"/>
                <w:kern w:val="1"/>
                <w:sz w:val="24"/>
                <w:szCs w:val="24"/>
                <w:lang w:eastAsia="zh-CN"/>
              </w:rPr>
            </w:pPr>
            <w:r>
              <w:rPr>
                <w:rFonts w:hint="eastAsia" w:ascii="宋体" w:hAnsi="宋体" w:eastAsia="宋体" w:cs="宋体"/>
                <w:b w:val="0"/>
                <w:bCs w:val="0"/>
                <w:color w:val="auto"/>
                <w:kern w:val="1"/>
                <w:sz w:val="24"/>
                <w:szCs w:val="24"/>
                <w:lang w:eastAsia="zh-CN"/>
              </w:rPr>
              <w:t>货物名称</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val="0"/>
                <w:bCs w:val="0"/>
                <w:color w:val="auto"/>
                <w:sz w:val="24"/>
                <w:szCs w:val="24"/>
                <w:u w:val="none"/>
                <w:lang w:val="en-US" w:eastAsia="zh-CN"/>
              </w:rPr>
            </w:pPr>
            <w:r>
              <w:rPr>
                <w:rFonts w:hint="eastAsia" w:hAnsi="宋体"/>
                <w:b w:val="0"/>
                <w:bCs w:val="0"/>
                <w:color w:val="auto"/>
                <w:sz w:val="24"/>
              </w:rPr>
              <w:t>制造商家及规格型号</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数量</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单价</w:t>
            </w:r>
          </w:p>
          <w:p>
            <w:pPr>
              <w:spacing w:line="360" w:lineRule="auto"/>
              <w:jc w:val="cente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（元）</w:t>
            </w:r>
          </w:p>
        </w:tc>
        <w:tc>
          <w:tcPr>
            <w:tcW w:w="1275"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总价</w:t>
            </w:r>
          </w:p>
          <w:p>
            <w:pPr>
              <w:spacing w:line="360" w:lineRule="auto"/>
              <w:jc w:val="cente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（元）</w:t>
            </w:r>
          </w:p>
        </w:tc>
        <w:tc>
          <w:tcPr>
            <w:tcW w:w="1230"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交货期</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是否属于进口产品</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备注</w:t>
            </w:r>
          </w:p>
        </w:tc>
      </w:tr>
      <w:tr>
        <w:tblPrEx>
          <w:tblCellMar>
            <w:top w:w="0" w:type="dxa"/>
            <w:left w:w="108" w:type="dxa"/>
            <w:bottom w:w="0" w:type="dxa"/>
            <w:right w:w="108" w:type="dxa"/>
          </w:tblCellMar>
        </w:tblPrEx>
        <w:trPr>
          <w:trHeight w:val="89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kern w:val="1"/>
                <w:sz w:val="24"/>
                <w:szCs w:val="24"/>
                <w:lang w:eastAsia="zh-CN"/>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kern w:val="1"/>
                <w:sz w:val="24"/>
                <w:szCs w:val="24"/>
              </w:rPr>
            </w:pP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050" w:type="dxa"/>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215"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rPr>
            </w:pPr>
          </w:p>
        </w:tc>
      </w:tr>
      <w:tr>
        <w:tblPrEx>
          <w:tblCellMar>
            <w:top w:w="0" w:type="dxa"/>
            <w:left w:w="108" w:type="dxa"/>
            <w:bottom w:w="0" w:type="dxa"/>
            <w:right w:w="108" w:type="dxa"/>
          </w:tblCellMar>
        </w:tblPrEx>
        <w:trPr>
          <w:trHeight w:val="89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kern w:val="1"/>
                <w:sz w:val="24"/>
                <w:szCs w:val="24"/>
                <w:lang w:eastAsia="zh-CN"/>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kern w:val="1"/>
                <w:sz w:val="24"/>
                <w:szCs w:val="24"/>
              </w:rPr>
            </w:pP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050" w:type="dxa"/>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szCs w:val="24"/>
              </w:rPr>
            </w:pPr>
          </w:p>
        </w:tc>
        <w:tc>
          <w:tcPr>
            <w:tcW w:w="1215"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rPr>
            </w:pPr>
          </w:p>
        </w:tc>
      </w:tr>
      <w:tr>
        <w:tblPrEx>
          <w:tblCellMar>
            <w:top w:w="0" w:type="dxa"/>
            <w:left w:w="108" w:type="dxa"/>
            <w:bottom w:w="0" w:type="dxa"/>
            <w:right w:w="108" w:type="dxa"/>
          </w:tblCellMar>
        </w:tblPrEx>
        <w:trPr>
          <w:trHeight w:val="89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kern w:val="1"/>
                <w:sz w:val="24"/>
                <w:szCs w:val="24"/>
                <w:lang w:eastAsia="zh-CN"/>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kern w:val="1"/>
                <w:sz w:val="24"/>
                <w:szCs w:val="24"/>
              </w:rPr>
            </w:pP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050" w:type="dxa"/>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szCs w:val="24"/>
              </w:rPr>
            </w:pPr>
          </w:p>
        </w:tc>
        <w:tc>
          <w:tcPr>
            <w:tcW w:w="1215"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rPr>
            </w:pPr>
          </w:p>
        </w:tc>
      </w:tr>
      <w:tr>
        <w:tblPrEx>
          <w:tblCellMar>
            <w:top w:w="0" w:type="dxa"/>
            <w:left w:w="108" w:type="dxa"/>
            <w:bottom w:w="0" w:type="dxa"/>
            <w:right w:w="108" w:type="dxa"/>
          </w:tblCellMar>
        </w:tblPrEx>
        <w:trPr>
          <w:trHeight w:val="895" w:hRule="atLeast"/>
          <w:jc w:val="center"/>
        </w:trPr>
        <w:tc>
          <w:tcPr>
            <w:tcW w:w="10049" w:type="dxa"/>
            <w:gridSpan w:val="9"/>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hint="eastAsia" w:ascii="宋体" w:hAnsi="宋体" w:eastAsia="宋体" w:cs="宋体"/>
                <w:color w:val="auto"/>
                <w:kern w:val="1"/>
                <w:sz w:val="24"/>
                <w:szCs w:val="24"/>
                <w:lang w:eastAsia="zh-CN"/>
              </w:rPr>
            </w:pPr>
            <w:r>
              <w:rPr>
                <w:rFonts w:hint="eastAsia" w:ascii="宋体" w:hAnsi="宋体" w:eastAsia="宋体" w:cs="宋体"/>
                <w:color w:val="auto"/>
                <w:kern w:val="1"/>
                <w:sz w:val="24"/>
                <w:szCs w:val="24"/>
                <w:lang w:eastAsia="zh-CN"/>
              </w:rPr>
              <w:t>投标</w:t>
            </w:r>
            <w:r>
              <w:rPr>
                <w:rFonts w:hint="eastAsia" w:ascii="宋体" w:hAnsi="宋体" w:eastAsia="宋体" w:cs="宋体"/>
                <w:color w:val="auto"/>
                <w:kern w:val="1"/>
                <w:sz w:val="24"/>
                <w:szCs w:val="24"/>
              </w:rPr>
              <w:t>报价</w:t>
            </w:r>
            <w:r>
              <w:rPr>
                <w:rFonts w:hint="eastAsia" w:ascii="宋体" w:hAnsi="宋体" w:eastAsia="宋体" w:cs="宋体"/>
                <w:color w:val="auto"/>
                <w:kern w:val="1"/>
                <w:sz w:val="24"/>
                <w:szCs w:val="24"/>
                <w:lang w:eastAsia="zh-CN"/>
              </w:rPr>
              <w:t>：</w:t>
            </w:r>
            <w:r>
              <w:rPr>
                <w:rFonts w:hint="eastAsia" w:ascii="宋体" w:hAnsi="宋体" w:eastAsia="宋体" w:cs="宋体"/>
                <w:color w:val="auto"/>
                <w:kern w:val="1"/>
                <w:sz w:val="24"/>
                <w:szCs w:val="24"/>
              </w:rPr>
              <w:t>人民币：</w:t>
            </w:r>
            <w:r>
              <w:rPr>
                <w:rFonts w:hint="eastAsia" w:ascii="宋体" w:hAnsi="宋体" w:eastAsia="宋体" w:cs="宋体"/>
                <w:color w:val="auto"/>
                <w:sz w:val="24"/>
                <w:szCs w:val="24"/>
                <w:u w:val="none"/>
                <w:lang w:val="en-US" w:eastAsia="zh-CN"/>
              </w:rPr>
              <w:t>xxx</w:t>
            </w:r>
            <w:r>
              <w:rPr>
                <w:rFonts w:hint="eastAsia" w:ascii="宋体" w:hAnsi="宋体" w:eastAsia="宋体" w:cs="宋体"/>
                <w:color w:val="auto"/>
                <w:kern w:val="1"/>
                <w:sz w:val="24"/>
                <w:szCs w:val="24"/>
              </w:rPr>
              <w:t>（元） 大写：</w:t>
            </w:r>
            <w:r>
              <w:rPr>
                <w:rFonts w:hint="eastAsia" w:ascii="宋体" w:hAnsi="宋体" w:eastAsia="宋体" w:cs="宋体"/>
                <w:color w:val="auto"/>
                <w:sz w:val="24"/>
                <w:szCs w:val="24"/>
                <w:u w:val="none"/>
                <w:lang w:val="en-US" w:eastAsia="zh-CN"/>
              </w:rPr>
              <w:t xml:space="preserve">xxx 元 </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注：1. </w:t>
      </w:r>
      <w:r>
        <w:rPr>
          <w:rFonts w:hint="eastAsia" w:ascii="宋体" w:hAnsi="宋体" w:eastAsia="宋体" w:cs="宋体"/>
          <w:color w:val="auto"/>
          <w:sz w:val="24"/>
          <w:szCs w:val="24"/>
          <w:highlight w:val="none"/>
          <w:lang w:val="en-US" w:eastAsia="zh-CN"/>
        </w:rPr>
        <w:t>报价应是投标人响应招标项目要求的工作内容的价格体现，包括完成本项目所涉及人员工资、办公费用、交通费用、通讯费用、人员食宿费用、设备投入、税费、招标代理服务费等完成本项目所涉及的一切费用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2.“开标一览表”除了单独密封递交外，其他投标文件(正副本)中也应当提供，如有遗漏，将视为无效投标</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报价表</w:t>
      </w:r>
      <w:r>
        <w:rPr>
          <w:rFonts w:hint="eastAsia" w:ascii="宋体" w:hAnsi="宋体" w:eastAsia="宋体" w:cs="宋体"/>
          <w:color w:val="auto"/>
          <w:sz w:val="24"/>
          <w:szCs w:val="24"/>
          <w:highlight w:val="none"/>
        </w:rPr>
        <w:t>”为多页的，每页均需由法定代表人或授权代表签字并盖</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印章。</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4.若“投标函”中投标报价与“开标一览表”中投标报价不一致，投标报价以开标一览表为准。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投标人名称：</w:t>
      </w:r>
      <w:r>
        <w:rPr>
          <w:rFonts w:hint="eastAsia" w:ascii="宋体" w:hAnsi="宋体" w:eastAsia="宋体" w:cs="宋体"/>
          <w:color w:val="auto"/>
          <w:sz w:val="24"/>
          <w:szCs w:val="24"/>
          <w:highlight w:val="none"/>
          <w:lang w:val="en-US" w:eastAsia="zh-CN"/>
        </w:rPr>
        <w:t>xxx</w:t>
      </w:r>
      <w:r>
        <w:rPr>
          <w:rFonts w:hint="eastAsia" w:ascii="宋体" w:hAnsi="宋体" w:eastAsia="宋体" w:cs="宋体"/>
          <w:color w:val="auto"/>
          <w:sz w:val="24"/>
          <w:szCs w:val="24"/>
          <w:highlight w:val="none"/>
          <w:lang w:eastAsia="zh-CN"/>
        </w:rPr>
        <w:t>（单位盖章）</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单位负责人或授权代表（签字或加盖个人名章）：</w:t>
      </w:r>
      <w:r>
        <w:rPr>
          <w:rFonts w:hint="eastAsia" w:ascii="宋体" w:hAnsi="宋体" w:eastAsia="宋体" w:cs="宋体"/>
          <w:color w:val="auto"/>
          <w:sz w:val="24"/>
          <w:szCs w:val="24"/>
          <w:highlight w:val="none"/>
          <w:lang w:val="en-US" w:eastAsia="zh-CN"/>
        </w:rPr>
        <w:t>xxx</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  期：</w:t>
      </w:r>
      <w:r>
        <w:rPr>
          <w:rFonts w:hint="eastAsia" w:ascii="宋体" w:hAnsi="宋体" w:eastAsia="宋体" w:cs="宋体"/>
          <w:color w:val="auto"/>
          <w:sz w:val="24"/>
          <w:szCs w:val="24"/>
          <w:highlight w:val="none"/>
          <w:lang w:val="en-US" w:eastAsia="zh-CN"/>
        </w:rPr>
        <w:t>xx</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xx</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xx</w:t>
      </w:r>
      <w:r>
        <w:rPr>
          <w:rFonts w:hint="eastAsia" w:ascii="宋体" w:hAnsi="宋体" w:eastAsia="宋体" w:cs="宋体"/>
          <w:color w:val="auto"/>
          <w:sz w:val="24"/>
          <w:szCs w:val="24"/>
          <w:highlight w:val="none"/>
          <w:lang w:eastAsia="zh-CN"/>
        </w:rPr>
        <w:t>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pPr>
        <w:adjustRightInd w:val="0"/>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商务应答表</w:t>
      </w:r>
    </w:p>
    <w:p>
      <w:pPr>
        <w:adjustRightInd w:val="0"/>
        <w:spacing w:line="360" w:lineRule="auto"/>
        <w:jc w:val="center"/>
        <w:outlineLvl w:val="9"/>
        <w:rPr>
          <w:rFonts w:hint="eastAsia" w:ascii="宋体" w:hAnsi="宋体" w:eastAsia="宋体" w:cs="宋体"/>
          <w:b/>
          <w:bCs/>
          <w:color w:val="auto"/>
          <w:sz w:val="24"/>
          <w:szCs w:val="24"/>
          <w:highlight w:val="none"/>
        </w:rPr>
      </w:pP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u w:val="none"/>
          <w:lang w:val="en-US" w:eastAsia="zh-CN"/>
        </w:rPr>
        <w:t>xxx</w:t>
      </w:r>
      <w:r>
        <w:rPr>
          <w:rFonts w:hint="eastAsia" w:ascii="宋体" w:hAnsi="宋体" w:eastAsia="宋体" w:cs="宋体"/>
          <w:color w:val="auto"/>
          <w:sz w:val="24"/>
          <w:szCs w:val="24"/>
          <w:highlight w:val="none"/>
          <w:lang w:val="en-US" w:eastAsia="zh-CN"/>
        </w:rPr>
        <w:t xml:space="preserve"> </w:t>
      </w:r>
    </w:p>
    <w:p>
      <w:pPr>
        <w:pStyle w:val="14"/>
        <w:pBdr>
          <w:bottom w:val="none" w:color="auto" w:sz="0" w:space="0"/>
        </w:pBdr>
        <w:tabs>
          <w:tab w:val="clear" w:pos="4153"/>
          <w:tab w:val="clear" w:pos="8306"/>
        </w:tabs>
        <w:snapToGrid/>
        <w:spacing w:beforeLines="10" w:afterLines="10" w:line="360" w:lineRule="auto"/>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none"/>
          <w:lang w:val="en-US" w:eastAsia="zh-CN"/>
        </w:rPr>
        <w:t>xxx</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813"/>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77" w:type="dxa"/>
            <w:noWrap w:val="0"/>
            <w:vAlign w:val="center"/>
          </w:tcPr>
          <w:p>
            <w:pPr>
              <w:spacing w:beforeLines="10" w:afterLines="10"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3813" w:type="dxa"/>
            <w:noWrap w:val="0"/>
            <w:vAlign w:val="center"/>
          </w:tcPr>
          <w:p>
            <w:pPr>
              <w:spacing w:beforeLines="10" w:afterLines="10"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招标要求</w:t>
            </w:r>
          </w:p>
        </w:tc>
        <w:tc>
          <w:tcPr>
            <w:tcW w:w="3795" w:type="dxa"/>
            <w:noWrap w:val="0"/>
            <w:vAlign w:val="center"/>
          </w:tcPr>
          <w:p>
            <w:pPr>
              <w:spacing w:beforeLines="10" w:afterLines="10"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077" w:type="dxa"/>
            <w:noWrap w:val="0"/>
            <w:vAlign w:val="center"/>
          </w:tcPr>
          <w:p>
            <w:pPr>
              <w:spacing w:beforeLines="10" w:afterLines="1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813" w:type="dxa"/>
            <w:noWrap w:val="0"/>
            <w:vAlign w:val="center"/>
          </w:tcPr>
          <w:p>
            <w:pPr>
              <w:spacing w:beforeLines="10" w:afterLines="10" w:line="360" w:lineRule="auto"/>
              <w:jc w:val="center"/>
              <w:rPr>
                <w:rFonts w:hint="eastAsia" w:ascii="宋体" w:hAnsi="宋体" w:eastAsia="宋体" w:cs="宋体"/>
                <w:color w:val="auto"/>
                <w:sz w:val="24"/>
                <w:szCs w:val="24"/>
                <w:highlight w:val="none"/>
              </w:rPr>
            </w:pPr>
          </w:p>
        </w:tc>
        <w:tc>
          <w:tcPr>
            <w:tcW w:w="3795" w:type="dxa"/>
            <w:noWrap w:val="0"/>
            <w:vAlign w:val="center"/>
          </w:tcPr>
          <w:p>
            <w:pPr>
              <w:spacing w:beforeLines="10" w:afterLines="10" w:line="360" w:lineRule="auto"/>
              <w:ind w:left="277" w:hanging="316" w:hangingChars="132"/>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077" w:type="dxa"/>
            <w:noWrap w:val="0"/>
            <w:vAlign w:val="center"/>
          </w:tcPr>
          <w:p>
            <w:pPr>
              <w:spacing w:beforeLines="10" w:afterLines="1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813" w:type="dxa"/>
            <w:noWrap w:val="0"/>
            <w:vAlign w:val="center"/>
          </w:tcPr>
          <w:p>
            <w:pPr>
              <w:spacing w:beforeLines="10" w:afterLines="10" w:line="360" w:lineRule="auto"/>
              <w:jc w:val="center"/>
              <w:rPr>
                <w:rFonts w:hint="eastAsia" w:ascii="宋体" w:hAnsi="宋体" w:eastAsia="宋体" w:cs="宋体"/>
                <w:color w:val="auto"/>
                <w:sz w:val="24"/>
                <w:szCs w:val="24"/>
                <w:highlight w:val="none"/>
              </w:rPr>
            </w:pPr>
          </w:p>
        </w:tc>
        <w:tc>
          <w:tcPr>
            <w:tcW w:w="3795" w:type="dxa"/>
            <w:noWrap w:val="0"/>
            <w:vAlign w:val="center"/>
          </w:tcPr>
          <w:p>
            <w:pPr>
              <w:spacing w:beforeLines="10" w:afterLines="1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077" w:type="dxa"/>
            <w:noWrap w:val="0"/>
            <w:vAlign w:val="center"/>
          </w:tcPr>
          <w:p>
            <w:pPr>
              <w:spacing w:beforeLines="10" w:afterLines="1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813" w:type="dxa"/>
            <w:noWrap w:val="0"/>
            <w:vAlign w:val="center"/>
          </w:tcPr>
          <w:p>
            <w:pPr>
              <w:spacing w:beforeLines="10" w:afterLines="10" w:line="360" w:lineRule="auto"/>
              <w:jc w:val="center"/>
              <w:rPr>
                <w:rFonts w:hint="eastAsia" w:ascii="宋体" w:hAnsi="宋体" w:eastAsia="宋体" w:cs="宋体"/>
                <w:color w:val="auto"/>
                <w:sz w:val="24"/>
                <w:szCs w:val="24"/>
                <w:highlight w:val="none"/>
              </w:rPr>
            </w:pPr>
          </w:p>
        </w:tc>
        <w:tc>
          <w:tcPr>
            <w:tcW w:w="3795" w:type="dxa"/>
            <w:noWrap w:val="0"/>
            <w:vAlign w:val="center"/>
          </w:tcPr>
          <w:p>
            <w:pPr>
              <w:spacing w:beforeLines="10" w:afterLines="1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077" w:type="dxa"/>
            <w:noWrap w:val="0"/>
            <w:vAlign w:val="center"/>
          </w:tcPr>
          <w:p>
            <w:pPr>
              <w:spacing w:beforeLines="10" w:afterLines="1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813" w:type="dxa"/>
            <w:noWrap w:val="0"/>
            <w:vAlign w:val="center"/>
          </w:tcPr>
          <w:p>
            <w:pPr>
              <w:spacing w:beforeLines="10" w:afterLines="10" w:line="360" w:lineRule="auto"/>
              <w:jc w:val="center"/>
              <w:rPr>
                <w:rFonts w:hint="eastAsia" w:ascii="宋体" w:hAnsi="宋体" w:eastAsia="宋体" w:cs="宋体"/>
                <w:color w:val="auto"/>
                <w:sz w:val="24"/>
                <w:szCs w:val="24"/>
                <w:highlight w:val="none"/>
              </w:rPr>
            </w:pPr>
          </w:p>
        </w:tc>
        <w:tc>
          <w:tcPr>
            <w:tcW w:w="3795" w:type="dxa"/>
            <w:noWrap w:val="0"/>
            <w:vAlign w:val="center"/>
          </w:tcPr>
          <w:p>
            <w:pPr>
              <w:spacing w:beforeLines="10" w:afterLines="10" w:line="360" w:lineRule="auto"/>
              <w:jc w:val="center"/>
              <w:rPr>
                <w:rFonts w:hint="eastAsia" w:ascii="宋体" w:hAnsi="宋体" w:eastAsia="宋体" w:cs="宋体"/>
                <w:color w:val="auto"/>
                <w:sz w:val="24"/>
                <w:szCs w:val="24"/>
                <w:highlight w:val="none"/>
              </w:rPr>
            </w:pPr>
          </w:p>
        </w:tc>
      </w:tr>
    </w:tbl>
    <w:p>
      <w:pPr>
        <w:widowControl/>
        <w:spacing w:line="360" w:lineRule="auto"/>
        <w:ind w:firstLine="950" w:firstLineChars="396"/>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必须据实填写，不得虚假填写，否则将取消其投标或中标资格。</w:t>
      </w:r>
    </w:p>
    <w:p>
      <w:pPr>
        <w:widowControl/>
        <w:spacing w:line="360" w:lineRule="auto"/>
        <w:ind w:firstLine="470" w:firstLineChars="196"/>
        <w:jc w:val="left"/>
        <w:outlineLvl w:val="9"/>
        <w:rPr>
          <w:rFonts w:hint="eastAsia" w:ascii="宋体" w:hAnsi="宋体" w:eastAsia="宋体" w:cs="宋体"/>
          <w:color w:val="auto"/>
          <w:sz w:val="24"/>
          <w:szCs w:val="24"/>
        </w:rPr>
      </w:pPr>
    </w:p>
    <w:p>
      <w:pPr>
        <w:widowControl/>
        <w:spacing w:line="360" w:lineRule="auto"/>
        <w:ind w:firstLine="470" w:firstLineChars="196"/>
        <w:jc w:val="left"/>
        <w:outlineLvl w:val="9"/>
        <w:rPr>
          <w:rFonts w:hint="eastAsia" w:ascii="宋体" w:hAnsi="宋体" w:eastAsia="宋体" w:cs="宋体"/>
          <w:color w:val="auto"/>
          <w:sz w:val="24"/>
          <w:szCs w:val="24"/>
          <w:highlight w:val="none"/>
          <w:lang w:eastAsia="zh-CN"/>
        </w:rPr>
      </w:pPr>
    </w:p>
    <w:p>
      <w:pPr>
        <w:widowControl/>
        <w:spacing w:line="360" w:lineRule="auto"/>
        <w:ind w:firstLine="470" w:firstLineChars="196"/>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u w:val="none"/>
          <w:lang w:val="en-US" w:eastAsia="zh-CN"/>
        </w:rPr>
        <w:t>xxx</w:t>
      </w:r>
      <w:r>
        <w:rPr>
          <w:rFonts w:hint="eastAsia" w:ascii="宋体" w:hAnsi="宋体" w:eastAsia="宋体" w:cs="宋体"/>
          <w:color w:val="auto"/>
          <w:sz w:val="24"/>
          <w:szCs w:val="24"/>
          <w:highlight w:val="none"/>
        </w:rPr>
        <w:t>（单位盖章）</w:t>
      </w:r>
    </w:p>
    <w:p>
      <w:pPr>
        <w:widowControl/>
        <w:spacing w:line="360" w:lineRule="auto"/>
        <w:ind w:firstLine="470" w:firstLineChars="196"/>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单位负责人或授权代表（签字或加盖个人名章）：</w:t>
      </w:r>
      <w:r>
        <w:rPr>
          <w:rFonts w:hint="eastAsia" w:ascii="宋体" w:hAnsi="宋体" w:eastAsia="宋体" w:cs="宋体"/>
          <w:color w:val="auto"/>
          <w:sz w:val="24"/>
          <w:szCs w:val="24"/>
          <w:u w:val="none"/>
          <w:lang w:val="en-US" w:eastAsia="zh-CN"/>
        </w:rPr>
        <w:t>xxx</w:t>
      </w:r>
    </w:p>
    <w:p>
      <w:pPr>
        <w:widowControl/>
        <w:spacing w:line="360" w:lineRule="auto"/>
        <w:ind w:firstLine="470" w:firstLineChars="196"/>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none"/>
          <w:lang w:val="en-US" w:eastAsia="zh-CN"/>
        </w:rPr>
        <w:t>xx</w:t>
      </w:r>
      <w:r>
        <w:rPr>
          <w:rFonts w:hint="eastAsia" w:ascii="宋体" w:hAnsi="宋体" w:eastAsia="宋体" w:cs="宋体"/>
          <w:color w:val="auto"/>
          <w:sz w:val="24"/>
          <w:szCs w:val="24"/>
        </w:rPr>
        <w:t>年</w:t>
      </w:r>
      <w:r>
        <w:rPr>
          <w:rFonts w:hint="eastAsia" w:ascii="宋体" w:hAnsi="宋体" w:eastAsia="宋体" w:cs="宋体"/>
          <w:color w:val="auto"/>
          <w:sz w:val="24"/>
          <w:szCs w:val="24"/>
          <w:u w:val="none"/>
          <w:lang w:val="en-US" w:eastAsia="zh-CN"/>
        </w:rPr>
        <w:t>xx</w:t>
      </w:r>
      <w:r>
        <w:rPr>
          <w:rFonts w:hint="eastAsia" w:ascii="宋体" w:hAnsi="宋体" w:eastAsia="宋体" w:cs="宋体"/>
          <w:color w:val="auto"/>
          <w:sz w:val="24"/>
          <w:szCs w:val="24"/>
        </w:rPr>
        <w:t>月</w:t>
      </w:r>
      <w:r>
        <w:rPr>
          <w:rFonts w:hint="eastAsia" w:ascii="宋体" w:hAnsi="宋体" w:eastAsia="宋体" w:cs="宋体"/>
          <w:color w:val="auto"/>
          <w:sz w:val="24"/>
          <w:szCs w:val="24"/>
          <w:u w:val="none"/>
          <w:lang w:val="en-US" w:eastAsia="zh-CN"/>
        </w:rPr>
        <w:t>xx</w:t>
      </w:r>
      <w:r>
        <w:rPr>
          <w:rFonts w:hint="eastAsia" w:ascii="宋体" w:hAnsi="宋体" w:eastAsia="宋体" w:cs="宋体"/>
          <w:color w:val="auto"/>
          <w:sz w:val="24"/>
          <w:szCs w:val="24"/>
        </w:rPr>
        <w:t>日</w:t>
      </w: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br w:type="page"/>
      </w:r>
    </w:p>
    <w:p>
      <w:pPr>
        <w:pStyle w:val="4"/>
        <w:spacing w:line="360" w:lineRule="auto"/>
        <w:jc w:val="center"/>
        <w:rPr>
          <w:rFonts w:hint="eastAsia" w:ascii="宋体" w:hAnsi="宋体" w:eastAsia="宋体"/>
          <w:b/>
          <w:color w:val="auto"/>
          <w:sz w:val="32"/>
          <w:lang w:eastAsia="zh-CN"/>
        </w:rPr>
      </w:pPr>
      <w:r>
        <w:rPr>
          <w:rFonts w:hint="eastAsia" w:ascii="宋体" w:hAnsi="宋体" w:cs="宋体"/>
          <w:bCs w:val="0"/>
          <w:color w:val="auto"/>
          <w:sz w:val="28"/>
          <w:szCs w:val="28"/>
          <w:highlight w:val="none"/>
          <w:lang w:eastAsia="zh-CN"/>
        </w:rPr>
        <w:t>五</w:t>
      </w:r>
      <w:r>
        <w:rPr>
          <w:rFonts w:hint="eastAsia" w:ascii="宋体" w:hAnsi="宋体" w:eastAsia="宋体" w:cs="宋体"/>
          <w:bCs w:val="0"/>
          <w:color w:val="auto"/>
          <w:sz w:val="28"/>
          <w:szCs w:val="28"/>
          <w:highlight w:val="none"/>
        </w:rPr>
        <w:t>、</w:t>
      </w:r>
      <w:r>
        <w:rPr>
          <w:rFonts w:hint="eastAsia" w:ascii="宋体" w:hAnsi="宋体"/>
          <w:b/>
          <w:color w:val="auto"/>
          <w:sz w:val="28"/>
          <w:szCs w:val="28"/>
          <w:lang w:eastAsia="zh-CN"/>
        </w:rPr>
        <w:t>投标产品技术参数表</w:t>
      </w:r>
    </w:p>
    <w:p>
      <w:pPr>
        <w:spacing w:line="360" w:lineRule="auto"/>
        <w:rPr>
          <w:rFonts w:ascii="Times New Roman" w:hAnsi="Times New Roman" w:eastAsia="Times New Roman"/>
          <w:color w:val="auto"/>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u w:val="none"/>
          <w:lang w:val="en-US" w:eastAsia="zh-CN"/>
        </w:rPr>
        <w:t>xxx</w:t>
      </w:r>
      <w:r>
        <w:rPr>
          <w:rFonts w:hint="eastAsia" w:ascii="宋体" w:hAnsi="宋体" w:eastAsia="宋体" w:cs="宋体"/>
          <w:color w:val="auto"/>
          <w:sz w:val="24"/>
          <w:szCs w:val="24"/>
          <w:highlight w:val="none"/>
          <w:lang w:val="en-US" w:eastAsia="zh-CN"/>
        </w:rPr>
        <w:t xml:space="preserve"> </w:t>
      </w:r>
    </w:p>
    <w:p>
      <w:pPr>
        <w:pStyle w:val="14"/>
        <w:pBdr>
          <w:bottom w:val="none" w:color="auto" w:sz="0" w:space="0"/>
        </w:pBdr>
        <w:tabs>
          <w:tab w:val="clear" w:pos="4153"/>
          <w:tab w:val="clear" w:pos="8306"/>
        </w:tabs>
        <w:snapToGrid/>
        <w:spacing w:beforeLines="10" w:afterLines="1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none"/>
          <w:lang w:val="en-US" w:eastAsia="zh-CN"/>
        </w:rPr>
        <w:t>xxx</w:t>
      </w:r>
    </w:p>
    <w:tbl>
      <w:tblPr>
        <w:tblStyle w:val="19"/>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2508"/>
        <w:gridCol w:w="2152"/>
        <w:gridCol w:w="2382"/>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12" w:type="dxa"/>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508" w:type="dxa"/>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货物（设备）名称</w:t>
            </w:r>
          </w:p>
        </w:tc>
        <w:tc>
          <w:tcPr>
            <w:tcW w:w="2152" w:type="dxa"/>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采购文件要求</w:t>
            </w:r>
          </w:p>
        </w:tc>
        <w:tc>
          <w:tcPr>
            <w:tcW w:w="2382" w:type="dxa"/>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报价产品技术参数</w:t>
            </w:r>
          </w:p>
        </w:tc>
        <w:tc>
          <w:tcPr>
            <w:tcW w:w="1515" w:type="dxa"/>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508"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15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38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1515"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508"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15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38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1515"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508"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15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38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1515"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508"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15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38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1515"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508"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15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38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1515"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508"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15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38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1515"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1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508"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15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38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1515"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r>
    </w:tbl>
    <w:p>
      <w:pPr>
        <w:pageBreakBefore w:val="0"/>
        <w:kinsoku/>
        <w:overflowPunct/>
        <w:bidi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必须把采购项目的全部技术参数列入此表。</w:t>
      </w:r>
    </w:p>
    <w:p>
      <w:pPr>
        <w:pageBreakBefore w:val="0"/>
        <w:kinsoku/>
        <w:overflowPunct/>
        <w:bidi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2.按照采购项目技术要求的顺序对应填写。</w:t>
      </w:r>
    </w:p>
    <w:p>
      <w:pPr>
        <w:pageBreakBefore w:val="0"/>
        <w:kinsoku/>
        <w:overflowPunct/>
        <w:bidi w:val="0"/>
        <w:snapToGrid w:val="0"/>
        <w:spacing w:line="312"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必须据实填写，不得虚假填写，否则，其响应文件无效并按规定追究其相关责任。</w:t>
      </w:r>
    </w:p>
    <w:p>
      <w:pPr>
        <w:widowControl/>
        <w:spacing w:line="360" w:lineRule="auto"/>
        <w:ind w:firstLine="470" w:firstLineChars="196"/>
        <w:jc w:val="left"/>
        <w:outlineLvl w:val="1"/>
        <w:rPr>
          <w:rFonts w:hint="eastAsia" w:ascii="宋体" w:hAnsi="宋体" w:eastAsia="宋体" w:cs="宋体"/>
          <w:color w:val="auto"/>
          <w:sz w:val="24"/>
          <w:szCs w:val="24"/>
          <w:highlight w:val="none"/>
        </w:rPr>
      </w:pPr>
    </w:p>
    <w:p>
      <w:pPr>
        <w:widowControl/>
        <w:spacing w:line="360" w:lineRule="auto"/>
        <w:jc w:val="left"/>
        <w:outlineLvl w:val="1"/>
        <w:rPr>
          <w:rFonts w:hint="eastAsia" w:ascii="宋体" w:hAnsi="宋体" w:eastAsia="宋体" w:cs="宋体"/>
          <w:color w:val="auto"/>
          <w:sz w:val="24"/>
          <w:szCs w:val="24"/>
          <w:highlight w:val="none"/>
        </w:rPr>
      </w:pPr>
    </w:p>
    <w:p>
      <w:pPr>
        <w:widowControl/>
        <w:spacing w:line="360" w:lineRule="auto"/>
        <w:ind w:firstLine="470" w:firstLineChars="196"/>
        <w:jc w:val="left"/>
        <w:outlineLvl w:val="1"/>
        <w:rPr>
          <w:rFonts w:hint="eastAsia" w:ascii="宋体" w:hAnsi="宋体" w:eastAsia="宋体" w:cs="宋体"/>
          <w:color w:val="auto"/>
          <w:sz w:val="24"/>
          <w:szCs w:val="24"/>
          <w:highlight w:val="none"/>
        </w:rPr>
      </w:pPr>
    </w:p>
    <w:p>
      <w:pPr>
        <w:widowControl/>
        <w:spacing w:line="360" w:lineRule="auto"/>
        <w:ind w:firstLine="470" w:firstLineChars="196"/>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u w:val="none"/>
          <w:lang w:val="en-US" w:eastAsia="zh-CN"/>
        </w:rPr>
        <w:t>xxx</w:t>
      </w:r>
      <w:r>
        <w:rPr>
          <w:rFonts w:hint="eastAsia" w:ascii="宋体" w:hAnsi="宋体" w:eastAsia="宋体" w:cs="宋体"/>
          <w:color w:val="auto"/>
          <w:sz w:val="24"/>
          <w:szCs w:val="24"/>
          <w:highlight w:val="none"/>
        </w:rPr>
        <w:t>（单位盖章）</w:t>
      </w:r>
    </w:p>
    <w:p>
      <w:pPr>
        <w:widowControl/>
        <w:spacing w:line="360" w:lineRule="auto"/>
        <w:ind w:firstLine="470" w:firstLineChars="196"/>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单位负责人或授权代表（签字或加盖个人名章）：</w:t>
      </w:r>
      <w:r>
        <w:rPr>
          <w:rFonts w:hint="eastAsia" w:ascii="宋体" w:hAnsi="宋体" w:eastAsia="宋体" w:cs="宋体"/>
          <w:color w:val="auto"/>
          <w:sz w:val="24"/>
          <w:szCs w:val="24"/>
          <w:u w:val="none"/>
          <w:lang w:val="en-US" w:eastAsia="zh-CN"/>
        </w:rPr>
        <w:t>xxx</w:t>
      </w:r>
    </w:p>
    <w:p>
      <w:pPr>
        <w:widowControl/>
        <w:spacing w:line="360" w:lineRule="auto"/>
        <w:ind w:firstLine="470" w:firstLineChars="196"/>
        <w:jc w:val="left"/>
        <w:outlineLvl w:val="1"/>
        <w:rPr>
          <w:rFonts w:ascii="宋体"/>
          <w:color w:val="auto"/>
          <w:sz w:val="28"/>
          <w:szCs w:val="28"/>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none"/>
          <w:lang w:val="en-US" w:eastAsia="zh-CN"/>
        </w:rPr>
        <w:t>xx</w:t>
      </w:r>
      <w:r>
        <w:rPr>
          <w:rFonts w:hint="eastAsia" w:ascii="宋体" w:hAnsi="宋体" w:eastAsia="宋体" w:cs="宋体"/>
          <w:color w:val="auto"/>
          <w:sz w:val="24"/>
          <w:szCs w:val="24"/>
        </w:rPr>
        <w:t>年</w:t>
      </w:r>
      <w:r>
        <w:rPr>
          <w:rFonts w:hint="eastAsia" w:ascii="宋体" w:hAnsi="宋体" w:eastAsia="宋体" w:cs="宋体"/>
          <w:color w:val="auto"/>
          <w:sz w:val="24"/>
          <w:szCs w:val="24"/>
          <w:u w:val="none"/>
          <w:lang w:val="en-US" w:eastAsia="zh-CN"/>
        </w:rPr>
        <w:t>xx</w:t>
      </w:r>
      <w:r>
        <w:rPr>
          <w:rFonts w:hint="eastAsia" w:ascii="宋体" w:hAnsi="宋体" w:eastAsia="宋体" w:cs="宋体"/>
          <w:color w:val="auto"/>
          <w:sz w:val="24"/>
          <w:szCs w:val="24"/>
        </w:rPr>
        <w:t>月</w:t>
      </w:r>
      <w:r>
        <w:rPr>
          <w:rFonts w:hint="eastAsia" w:ascii="宋体" w:hAnsi="宋体" w:eastAsia="宋体" w:cs="宋体"/>
          <w:color w:val="auto"/>
          <w:sz w:val="24"/>
          <w:szCs w:val="24"/>
          <w:u w:val="none"/>
          <w:lang w:val="en-US" w:eastAsia="zh-CN"/>
        </w:rPr>
        <w:t>xx</w:t>
      </w:r>
      <w:r>
        <w:rPr>
          <w:rFonts w:hint="eastAsia" w:ascii="宋体" w:hAnsi="宋体" w:eastAsia="宋体" w:cs="宋体"/>
          <w:color w:val="auto"/>
          <w:sz w:val="24"/>
          <w:szCs w:val="24"/>
        </w:rPr>
        <w:t>日</w:t>
      </w:r>
    </w:p>
    <w:p>
      <w:pPr>
        <w:spacing w:line="360" w:lineRule="auto"/>
        <w:rPr>
          <w:rFonts w:hint="eastAsia"/>
          <w:color w:val="auto"/>
        </w:rPr>
      </w:pPr>
    </w:p>
    <w:p>
      <w:pPr>
        <w:rPr>
          <w:rFonts w:hint="eastAsia" w:ascii="宋体" w:hAnsi="宋体" w:cs="宋体"/>
          <w:bCs w:val="0"/>
          <w:color w:val="auto"/>
          <w:sz w:val="28"/>
          <w:szCs w:val="28"/>
          <w:highlight w:val="none"/>
          <w:lang w:eastAsia="zh-CN"/>
        </w:rPr>
      </w:pPr>
      <w:r>
        <w:rPr>
          <w:rFonts w:hint="eastAsia" w:ascii="宋体" w:hAnsi="宋体" w:cs="宋体"/>
          <w:bCs w:val="0"/>
          <w:color w:val="auto"/>
          <w:sz w:val="28"/>
          <w:szCs w:val="28"/>
          <w:highlight w:val="none"/>
          <w:lang w:eastAsia="zh-CN"/>
        </w:rPr>
        <w:br w:type="page"/>
      </w:r>
    </w:p>
    <w:p>
      <w:pPr>
        <w:pStyle w:val="4"/>
        <w:spacing w:line="360" w:lineRule="auto"/>
        <w:jc w:val="center"/>
        <w:rPr>
          <w:rFonts w:hint="eastAsia" w:ascii="宋体" w:hAnsi="宋体" w:eastAsia="宋体" w:cs="宋体"/>
          <w:bCs w:val="0"/>
          <w:color w:val="auto"/>
          <w:sz w:val="28"/>
          <w:szCs w:val="28"/>
          <w:highlight w:val="none"/>
        </w:rPr>
      </w:pPr>
      <w:r>
        <w:rPr>
          <w:rFonts w:hint="eastAsia" w:ascii="宋体" w:hAnsi="宋体" w:cs="宋体"/>
          <w:bCs w:val="0"/>
          <w:color w:val="auto"/>
          <w:sz w:val="28"/>
          <w:szCs w:val="28"/>
          <w:highlight w:val="none"/>
          <w:lang w:eastAsia="zh-CN"/>
        </w:rPr>
        <w:t>六、投标人</w:t>
      </w:r>
      <w:r>
        <w:rPr>
          <w:rFonts w:hint="eastAsia" w:ascii="宋体" w:hAnsi="宋体" w:eastAsia="宋体" w:cs="宋体"/>
          <w:bCs w:val="0"/>
          <w:color w:val="auto"/>
          <w:sz w:val="28"/>
          <w:szCs w:val="28"/>
          <w:highlight w:val="none"/>
        </w:rPr>
        <w:t>基本情况表</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项目名称：xxx </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招标编号：xxx </w:t>
      </w:r>
    </w:p>
    <w:tbl>
      <w:tblPr>
        <w:tblStyle w:val="1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217"/>
        <w:gridCol w:w="1168"/>
        <w:gridCol w:w="1500"/>
        <w:gridCol w:w="210"/>
        <w:gridCol w:w="1748"/>
        <w:gridCol w:w="1348"/>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7965" w:type="dxa"/>
            <w:gridSpan w:val="7"/>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4095" w:type="dxa"/>
            <w:gridSpan w:val="4"/>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74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122"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0" w:type="dxa"/>
            <w:vMerge w:val="restart"/>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217"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878" w:type="dxa"/>
            <w:gridSpan w:val="3"/>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74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122"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1950"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217"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878" w:type="dxa"/>
            <w:gridSpan w:val="3"/>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74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2122"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965" w:type="dxa"/>
            <w:gridSpan w:val="7"/>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217"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710"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74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34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774" w:type="dxa"/>
            <w:noWrap w:val="0"/>
            <w:vAlign w:val="center"/>
          </w:tcPr>
          <w:p>
            <w:pPr>
              <w:autoSpaceDE w:val="0"/>
              <w:autoSpaceDN w:val="0"/>
              <w:adjustRightInd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217"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710"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74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34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774" w:type="dxa"/>
            <w:noWrap w:val="0"/>
            <w:vAlign w:val="center"/>
          </w:tcPr>
          <w:p>
            <w:pPr>
              <w:autoSpaceDE w:val="0"/>
              <w:autoSpaceDN w:val="0"/>
              <w:adjustRightInd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385"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5580" w:type="dxa"/>
            <w:gridSpan w:val="5"/>
            <w:noWrap w:val="0"/>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2385"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500" w:type="dxa"/>
            <w:vMerge w:val="restart"/>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958"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2122" w:type="dxa"/>
            <w:gridSpan w:val="2"/>
            <w:noWrap w:val="0"/>
            <w:vAlign w:val="center"/>
          </w:tcPr>
          <w:p>
            <w:pPr>
              <w:autoSpaceDE w:val="0"/>
              <w:autoSpaceDN w:val="0"/>
              <w:adjustRightInd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2385"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500"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958"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2122" w:type="dxa"/>
            <w:gridSpan w:val="2"/>
            <w:noWrap w:val="0"/>
            <w:vAlign w:val="center"/>
          </w:tcPr>
          <w:p>
            <w:pPr>
              <w:autoSpaceDE w:val="0"/>
              <w:autoSpaceDN w:val="0"/>
              <w:adjustRightInd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385"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500"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958"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2122" w:type="dxa"/>
            <w:gridSpan w:val="2"/>
            <w:noWrap w:val="0"/>
            <w:vAlign w:val="center"/>
          </w:tcPr>
          <w:p>
            <w:pPr>
              <w:autoSpaceDE w:val="0"/>
              <w:autoSpaceDN w:val="0"/>
              <w:adjustRightInd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385"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500"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958"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2122" w:type="dxa"/>
            <w:gridSpan w:val="2"/>
            <w:noWrap w:val="0"/>
            <w:vAlign w:val="center"/>
          </w:tcPr>
          <w:p>
            <w:pPr>
              <w:autoSpaceDE w:val="0"/>
              <w:autoSpaceDN w:val="0"/>
              <w:adjustRightInd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2385"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500"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958"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技工</w:t>
            </w:r>
          </w:p>
        </w:tc>
        <w:tc>
          <w:tcPr>
            <w:tcW w:w="2122" w:type="dxa"/>
            <w:gridSpan w:val="2"/>
            <w:noWrap w:val="0"/>
            <w:vAlign w:val="center"/>
          </w:tcPr>
          <w:p>
            <w:pPr>
              <w:autoSpaceDE w:val="0"/>
              <w:autoSpaceDN w:val="0"/>
              <w:adjustRightInd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965" w:type="dxa"/>
            <w:gridSpan w:val="7"/>
            <w:noWrap w:val="0"/>
            <w:vAlign w:val="center"/>
          </w:tcPr>
          <w:p>
            <w:pPr>
              <w:autoSpaceDE w:val="0"/>
              <w:autoSpaceDN w:val="0"/>
              <w:adjustRightInd w:val="0"/>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950" w:type="dxa"/>
            <w:noWrap w:val="0"/>
            <w:vAlign w:val="top"/>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965" w:type="dxa"/>
            <w:gridSpan w:val="7"/>
            <w:noWrap w:val="0"/>
            <w:vAlign w:val="top"/>
          </w:tcPr>
          <w:p>
            <w:pPr>
              <w:autoSpaceDE w:val="0"/>
              <w:autoSpaceDN w:val="0"/>
              <w:adjustRightInd w:val="0"/>
              <w:spacing w:line="360" w:lineRule="auto"/>
              <w:jc w:val="left"/>
              <w:rPr>
                <w:rFonts w:hint="eastAsia" w:ascii="宋体" w:hAnsi="宋体" w:eastAsia="宋体" w:cs="宋体"/>
                <w:color w:val="auto"/>
                <w:sz w:val="24"/>
                <w:szCs w:val="24"/>
                <w:highlight w:val="none"/>
              </w:rPr>
            </w:pPr>
          </w:p>
        </w:tc>
      </w:tr>
    </w:tbl>
    <w:p>
      <w:pPr>
        <w:spacing w:after="50" w:line="360" w:lineRule="auto"/>
        <w:ind w:right="332" w:rightChars="158"/>
        <w:rPr>
          <w:rFonts w:hint="eastAsia" w:ascii="宋体" w:hAnsi="宋体" w:eastAsia="宋体" w:cs="宋体"/>
          <w:bCs/>
          <w:color w:val="auto"/>
          <w:kern w:val="1"/>
          <w:sz w:val="24"/>
          <w:szCs w:val="24"/>
          <w:highlight w:val="none"/>
          <w:lang w:val="zh-CN"/>
        </w:rPr>
      </w:pPr>
      <w:r>
        <w:rPr>
          <w:rFonts w:hint="eastAsia" w:ascii="宋体" w:hAnsi="宋体" w:eastAsia="宋体" w:cs="宋体"/>
          <w:bCs/>
          <w:color w:val="auto"/>
          <w:kern w:val="1"/>
          <w:sz w:val="24"/>
          <w:szCs w:val="24"/>
          <w:highlight w:val="none"/>
          <w:lang w:val="zh-CN"/>
        </w:rPr>
        <w:t>注：投标人根据自身实际情况填写，对不涉及的内容可填写“/”。</w:t>
      </w:r>
    </w:p>
    <w:p>
      <w:pPr>
        <w:spacing w:after="50" w:line="360" w:lineRule="auto"/>
        <w:ind w:right="332" w:rightChars="158"/>
        <w:rPr>
          <w:rFonts w:hint="eastAsia" w:ascii="宋体" w:hAnsi="宋体" w:eastAsia="宋体" w:cs="宋体"/>
          <w:bCs/>
          <w:color w:val="auto"/>
          <w:kern w:val="1"/>
          <w:sz w:val="24"/>
          <w:szCs w:val="24"/>
          <w:highlight w:val="none"/>
          <w:lang w:val="zh-CN"/>
        </w:rPr>
      </w:pPr>
    </w:p>
    <w:p>
      <w:pPr>
        <w:spacing w:after="50" w:line="360" w:lineRule="auto"/>
        <w:ind w:right="332" w:rightChars="158"/>
        <w:rPr>
          <w:rFonts w:hint="eastAsia" w:ascii="宋体" w:hAnsi="宋体" w:eastAsia="宋体" w:cs="宋体"/>
          <w:bCs/>
          <w:color w:val="auto"/>
          <w:kern w:val="1"/>
          <w:sz w:val="24"/>
          <w:szCs w:val="24"/>
          <w:highlight w:val="none"/>
          <w:lang w:val="zh-CN"/>
        </w:rPr>
      </w:pPr>
    </w:p>
    <w:p>
      <w:pPr>
        <w:spacing w:after="50" w:line="360" w:lineRule="auto"/>
        <w:ind w:right="332" w:rightChars="158"/>
        <w:rPr>
          <w:rFonts w:hint="eastAsia" w:ascii="宋体" w:hAnsi="宋体" w:eastAsia="宋体" w:cs="宋体"/>
          <w:bCs/>
          <w:color w:val="auto"/>
          <w:kern w:val="1"/>
          <w:sz w:val="24"/>
          <w:szCs w:val="24"/>
          <w:highlight w:val="none"/>
          <w:lang w:val="zh-CN"/>
        </w:rPr>
      </w:pPr>
      <w:r>
        <w:rPr>
          <w:rFonts w:hint="eastAsia" w:ascii="宋体" w:hAnsi="宋体" w:eastAsia="宋体" w:cs="宋体"/>
          <w:bCs/>
          <w:color w:val="auto"/>
          <w:kern w:val="1"/>
          <w:sz w:val="24"/>
          <w:szCs w:val="24"/>
          <w:highlight w:val="none"/>
          <w:lang w:val="zh-CN"/>
        </w:rPr>
        <w:t>投标人名称：</w:t>
      </w:r>
      <w:r>
        <w:rPr>
          <w:rFonts w:hint="eastAsia" w:ascii="宋体" w:hAnsi="宋体" w:eastAsia="宋体" w:cs="宋体"/>
          <w:color w:val="auto"/>
          <w:sz w:val="24"/>
          <w:szCs w:val="24"/>
          <w:highlight w:val="none"/>
        </w:rPr>
        <w:t>xxx</w:t>
      </w:r>
      <w:r>
        <w:rPr>
          <w:rFonts w:hint="eastAsia" w:ascii="宋体" w:hAnsi="宋体" w:eastAsia="宋体" w:cs="宋体"/>
          <w:bCs/>
          <w:color w:val="auto"/>
          <w:kern w:val="1"/>
          <w:sz w:val="24"/>
          <w:szCs w:val="24"/>
          <w:highlight w:val="none"/>
          <w:lang w:val="zh-CN"/>
        </w:rPr>
        <w:t>（单位盖章）</w:t>
      </w:r>
    </w:p>
    <w:p>
      <w:pPr>
        <w:spacing w:after="50" w:line="360" w:lineRule="auto"/>
        <w:ind w:right="332" w:rightChars="158"/>
        <w:rPr>
          <w:rFonts w:hint="eastAsia" w:ascii="宋体" w:hAnsi="宋体" w:eastAsia="宋体" w:cs="宋体"/>
          <w:color w:val="auto"/>
          <w:sz w:val="24"/>
          <w:szCs w:val="24"/>
          <w:highlight w:val="none"/>
        </w:rPr>
      </w:pPr>
      <w:r>
        <w:rPr>
          <w:rFonts w:hint="eastAsia" w:ascii="宋体" w:hAnsi="宋体" w:eastAsia="宋体" w:cs="宋体"/>
          <w:bCs/>
          <w:color w:val="auto"/>
          <w:kern w:val="1"/>
          <w:sz w:val="24"/>
          <w:szCs w:val="24"/>
          <w:highlight w:val="none"/>
          <w:lang w:val="zh-CN"/>
        </w:rPr>
        <w:t>法定代表人/单位负责人或授权代表（签字或加盖个人名章）：</w:t>
      </w:r>
      <w:r>
        <w:rPr>
          <w:rFonts w:hint="eastAsia" w:ascii="宋体" w:hAnsi="宋体" w:eastAsia="宋体" w:cs="宋体"/>
          <w:color w:val="auto"/>
          <w:sz w:val="24"/>
          <w:szCs w:val="24"/>
          <w:highlight w:val="none"/>
        </w:rPr>
        <w:t>xxx</w:t>
      </w:r>
    </w:p>
    <w:p>
      <w:pPr>
        <w:widowControl/>
        <w:spacing w:line="360" w:lineRule="auto"/>
        <w:jc w:val="left"/>
        <w:outlineLvl w:val="1"/>
        <w:rPr>
          <w:rFonts w:hint="eastAsia" w:ascii="宋体" w:hAnsi="宋体" w:eastAsia="宋体" w:cs="宋体"/>
          <w:bCs/>
          <w:color w:val="auto"/>
          <w:kern w:val="1"/>
          <w:sz w:val="24"/>
          <w:szCs w:val="24"/>
          <w:highlight w:val="none"/>
        </w:rPr>
      </w:pPr>
      <w:r>
        <w:rPr>
          <w:rFonts w:hint="eastAsia" w:ascii="宋体" w:hAnsi="宋体" w:eastAsia="宋体" w:cs="宋体"/>
          <w:color w:val="auto"/>
          <w:sz w:val="24"/>
          <w:szCs w:val="24"/>
          <w:highlight w:val="none"/>
        </w:rPr>
        <w:t>日     期：xx年xx月xx日</w:t>
      </w:r>
    </w:p>
    <w:p>
      <w:pPr>
        <w:pStyle w:val="4"/>
        <w:spacing w:line="360" w:lineRule="auto"/>
        <w:jc w:val="center"/>
        <w:rPr>
          <w:rFonts w:hint="eastAsia" w:ascii="宋体" w:hAnsi="宋体" w:eastAsia="宋体" w:cs="宋体"/>
          <w:bCs w:val="0"/>
          <w:color w:val="auto"/>
          <w:sz w:val="28"/>
          <w:szCs w:val="28"/>
          <w:highlight w:val="none"/>
        </w:rPr>
      </w:pPr>
      <w:r>
        <w:rPr>
          <w:rFonts w:hint="eastAsia" w:ascii="宋体" w:hAnsi="宋体" w:cs="宋体"/>
          <w:color w:val="auto"/>
          <w:sz w:val="28"/>
          <w:szCs w:val="28"/>
          <w:highlight w:val="none"/>
          <w:lang w:eastAsia="zh-CN"/>
        </w:rPr>
        <w:t>七</w:t>
      </w:r>
      <w:r>
        <w:rPr>
          <w:rFonts w:hint="eastAsia" w:ascii="宋体" w:hAnsi="宋体" w:eastAsia="宋体" w:cs="宋体"/>
          <w:color w:val="auto"/>
          <w:sz w:val="28"/>
          <w:szCs w:val="28"/>
          <w:highlight w:val="none"/>
        </w:rPr>
        <w:t>、</w:t>
      </w:r>
      <w:bookmarkStart w:id="115" w:name="_Toc217446089"/>
      <w:bookmarkStart w:id="116" w:name="_Toc307493012"/>
      <w:r>
        <w:rPr>
          <w:rFonts w:hint="eastAsia" w:ascii="宋体" w:hAnsi="宋体" w:eastAsia="宋体" w:cs="宋体"/>
          <w:bCs w:val="0"/>
          <w:color w:val="auto"/>
          <w:sz w:val="28"/>
          <w:szCs w:val="28"/>
          <w:highlight w:val="none"/>
        </w:rPr>
        <w:t>投标人项目业绩一览表</w:t>
      </w:r>
      <w:bookmarkEnd w:id="115"/>
      <w:bookmarkEnd w:id="116"/>
    </w:p>
    <w:p>
      <w:pPr>
        <w:widowControl/>
        <w:spacing w:line="360" w:lineRule="auto"/>
        <w:ind w:firstLine="472" w:firstLineChars="196"/>
        <w:jc w:val="left"/>
        <w:outlineLvl w:val="9"/>
        <w:rPr>
          <w:rFonts w:hint="eastAsia" w:ascii="宋体" w:hAnsi="宋体" w:eastAsia="宋体" w:cs="宋体"/>
          <w:b/>
          <w:color w:val="auto"/>
          <w:sz w:val="24"/>
          <w:szCs w:val="24"/>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37"/>
        <w:gridCol w:w="1440"/>
        <w:gridCol w:w="1260"/>
        <w:gridCol w:w="1245"/>
        <w:gridCol w:w="1440"/>
        <w:gridCol w:w="2269"/>
        <w:gridCol w:w="10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7" w:type="dxa"/>
            <w:tcBorders>
              <w:top w:val="single" w:color="auto" w:sz="4" w:space="0"/>
            </w:tcBorders>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年份</w:t>
            </w:r>
          </w:p>
        </w:tc>
        <w:tc>
          <w:tcPr>
            <w:tcW w:w="1440" w:type="dxa"/>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用户名称</w:t>
            </w:r>
          </w:p>
        </w:tc>
        <w:tc>
          <w:tcPr>
            <w:tcW w:w="1260" w:type="dxa"/>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245" w:type="dxa"/>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完成时间</w:t>
            </w:r>
          </w:p>
        </w:tc>
        <w:tc>
          <w:tcPr>
            <w:tcW w:w="1440" w:type="dxa"/>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2269" w:type="dxa"/>
            <w:tcBorders>
              <w:right w:val="single" w:color="auto" w:sz="4" w:space="0"/>
            </w:tcBorders>
            <w:noWrap w:val="0"/>
            <w:vAlign w:val="center"/>
          </w:tcPr>
          <w:p>
            <w:pPr>
              <w:widowControl/>
              <w:spacing w:line="360" w:lineRule="auto"/>
              <w:jc w:val="center"/>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是否通过验收</w:t>
            </w:r>
          </w:p>
        </w:tc>
        <w:tc>
          <w:tcPr>
            <w:tcW w:w="1050" w:type="dxa"/>
            <w:tcBorders>
              <w:right w:val="single" w:color="auto" w:sz="4" w:space="0"/>
            </w:tcBorders>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7"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7"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7"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7"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7"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tcBorders>
              <w:lef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7"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7"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7"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7"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37" w:type="dxa"/>
            <w:tcBorders>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tcBorders>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tcBorders>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left w:val="single" w:color="auto" w:sz="4" w:space="0"/>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left w:val="single" w:color="auto" w:sz="4" w:space="0"/>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37"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top w:val="single" w:color="auto" w:sz="4" w:space="0"/>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37"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top w:val="single" w:color="auto" w:sz="4" w:space="0"/>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8" w:hRule="atLeast"/>
          <w:jc w:val="center"/>
        </w:trPr>
        <w:tc>
          <w:tcPr>
            <w:tcW w:w="837"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top w:val="single" w:color="auto" w:sz="4" w:space="0"/>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8" w:hRule="atLeast"/>
          <w:jc w:val="center"/>
        </w:trPr>
        <w:tc>
          <w:tcPr>
            <w:tcW w:w="837" w:type="dxa"/>
            <w:tcBorders>
              <w:top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top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tcBorders>
              <w:top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tcBorders>
              <w:top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top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top w:val="single" w:color="auto" w:sz="4" w:space="0"/>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bl>
    <w:p>
      <w:pPr>
        <w:widowControl/>
        <w:spacing w:line="360" w:lineRule="auto"/>
        <w:jc w:val="left"/>
        <w:outlineLvl w:val="9"/>
        <w:rPr>
          <w:rFonts w:hint="eastAsia" w:ascii="宋体" w:hAnsi="宋体" w:eastAsia="宋体" w:cs="宋体"/>
          <w:color w:val="auto"/>
          <w:sz w:val="24"/>
          <w:szCs w:val="24"/>
          <w:highlight w:val="none"/>
        </w:rPr>
      </w:pPr>
    </w:p>
    <w:p>
      <w:pPr>
        <w:widowControl/>
        <w:spacing w:line="360" w:lineRule="auto"/>
        <w:ind w:firstLine="470" w:firstLineChars="196"/>
        <w:jc w:val="left"/>
        <w:outlineLvl w:val="1"/>
        <w:rPr>
          <w:rFonts w:hint="eastAsia" w:ascii="宋体" w:hAnsi="宋体" w:eastAsia="宋体" w:cs="宋体"/>
          <w:bCs/>
          <w:color w:val="auto"/>
          <w:kern w:val="1"/>
          <w:sz w:val="24"/>
          <w:szCs w:val="24"/>
          <w:highlight w:val="none"/>
          <w:lang w:val="zh-CN"/>
        </w:rPr>
      </w:pPr>
      <w:r>
        <w:rPr>
          <w:rFonts w:hint="eastAsia" w:ascii="宋体" w:hAnsi="宋体" w:eastAsia="宋体" w:cs="宋体"/>
          <w:bCs/>
          <w:color w:val="auto"/>
          <w:kern w:val="1"/>
          <w:sz w:val="24"/>
          <w:szCs w:val="24"/>
          <w:highlight w:val="none"/>
          <w:lang w:val="zh-CN"/>
        </w:rPr>
        <w:t>注：以上业绩需提供招标文件要求的有关书面证明材料。</w:t>
      </w:r>
    </w:p>
    <w:p>
      <w:pPr>
        <w:widowControl/>
        <w:spacing w:line="360" w:lineRule="auto"/>
        <w:ind w:firstLine="470" w:firstLineChars="196"/>
        <w:jc w:val="left"/>
        <w:outlineLvl w:val="9"/>
        <w:rPr>
          <w:rFonts w:hint="eastAsia" w:ascii="宋体" w:hAnsi="宋体" w:eastAsia="宋体" w:cs="宋体"/>
          <w:color w:val="auto"/>
          <w:sz w:val="24"/>
          <w:szCs w:val="24"/>
          <w:highlight w:val="none"/>
        </w:rPr>
      </w:pPr>
      <w:r>
        <w:rPr>
          <w:rFonts w:hint="eastAsia" w:ascii="宋体" w:hAnsi="宋体" w:eastAsia="宋体" w:cs="宋体"/>
          <w:bCs/>
          <w:color w:val="auto"/>
          <w:kern w:val="1"/>
          <w:sz w:val="24"/>
          <w:szCs w:val="24"/>
          <w:highlight w:val="none"/>
        </w:rPr>
        <w:t xml:space="preserve">    </w:t>
      </w:r>
    </w:p>
    <w:p>
      <w:pPr>
        <w:widowControl/>
        <w:spacing w:line="360" w:lineRule="auto"/>
        <w:jc w:val="left"/>
        <w:outlineLvl w:val="9"/>
        <w:rPr>
          <w:rFonts w:hint="eastAsia" w:ascii="宋体" w:hAnsi="宋体" w:eastAsia="宋体" w:cs="宋体"/>
          <w:color w:val="auto"/>
          <w:sz w:val="24"/>
          <w:szCs w:val="24"/>
          <w:highlight w:val="none"/>
        </w:rPr>
      </w:pPr>
    </w:p>
    <w:p>
      <w:pPr>
        <w:widowControl/>
        <w:spacing w:line="360" w:lineRule="auto"/>
        <w:ind w:firstLine="470" w:firstLineChars="196"/>
        <w:jc w:val="left"/>
        <w:outlineLvl w:val="1"/>
        <w:rPr>
          <w:rFonts w:hint="eastAsia" w:ascii="宋体" w:hAnsi="宋体" w:eastAsia="宋体" w:cs="宋体"/>
          <w:bCs/>
          <w:color w:val="auto"/>
          <w:kern w:val="1"/>
          <w:sz w:val="24"/>
          <w:szCs w:val="24"/>
          <w:highlight w:val="none"/>
          <w:lang w:val="zh-CN"/>
        </w:rPr>
      </w:pPr>
      <w:r>
        <w:rPr>
          <w:rFonts w:hint="eastAsia" w:ascii="宋体" w:hAnsi="宋体" w:eastAsia="宋体" w:cs="宋体"/>
          <w:bCs/>
          <w:color w:val="auto"/>
          <w:kern w:val="1"/>
          <w:sz w:val="24"/>
          <w:szCs w:val="24"/>
          <w:highlight w:val="none"/>
          <w:lang w:val="zh-CN"/>
        </w:rPr>
        <w:t>投标人名称：</w:t>
      </w:r>
      <w:r>
        <w:rPr>
          <w:rFonts w:hint="eastAsia" w:ascii="宋体" w:hAnsi="宋体" w:eastAsia="宋体" w:cs="宋体"/>
          <w:color w:val="auto"/>
          <w:sz w:val="24"/>
          <w:szCs w:val="24"/>
          <w:highlight w:val="none"/>
        </w:rPr>
        <w:t>xxx</w:t>
      </w:r>
      <w:r>
        <w:rPr>
          <w:rFonts w:hint="eastAsia" w:ascii="宋体" w:hAnsi="宋体" w:eastAsia="宋体" w:cs="宋体"/>
          <w:bCs/>
          <w:color w:val="auto"/>
          <w:kern w:val="1"/>
          <w:sz w:val="24"/>
          <w:szCs w:val="24"/>
          <w:highlight w:val="none"/>
          <w:lang w:val="zh-CN"/>
        </w:rPr>
        <w:t>（单位盖章）</w:t>
      </w:r>
    </w:p>
    <w:p>
      <w:pPr>
        <w:widowControl/>
        <w:spacing w:line="360" w:lineRule="auto"/>
        <w:ind w:firstLine="470" w:firstLineChars="196"/>
        <w:jc w:val="left"/>
        <w:outlineLvl w:val="1"/>
        <w:rPr>
          <w:rFonts w:hint="eastAsia" w:ascii="宋体" w:hAnsi="宋体" w:eastAsia="宋体" w:cs="宋体"/>
          <w:color w:val="auto"/>
          <w:sz w:val="24"/>
          <w:szCs w:val="24"/>
          <w:highlight w:val="none"/>
        </w:rPr>
      </w:pPr>
      <w:r>
        <w:rPr>
          <w:rFonts w:hint="eastAsia" w:ascii="宋体" w:hAnsi="宋体" w:eastAsia="宋体" w:cs="宋体"/>
          <w:bCs/>
          <w:color w:val="auto"/>
          <w:kern w:val="1"/>
          <w:sz w:val="24"/>
          <w:szCs w:val="24"/>
          <w:highlight w:val="none"/>
          <w:lang w:val="zh-CN"/>
        </w:rPr>
        <w:t>法定代表人/单位负责人或授权代表（签字或加盖个人名章）：</w:t>
      </w:r>
      <w:r>
        <w:rPr>
          <w:rFonts w:hint="eastAsia" w:ascii="宋体" w:hAnsi="宋体" w:eastAsia="宋体" w:cs="宋体"/>
          <w:color w:val="auto"/>
          <w:sz w:val="24"/>
          <w:szCs w:val="24"/>
          <w:highlight w:val="none"/>
        </w:rPr>
        <w:t>xxx</w:t>
      </w:r>
    </w:p>
    <w:p>
      <w:pPr>
        <w:widowControl/>
        <w:spacing w:line="360" w:lineRule="auto"/>
        <w:ind w:firstLine="470" w:firstLineChars="196"/>
        <w:jc w:val="left"/>
        <w:outlineLvl w:val="1"/>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     期：xx年xx月xx日</w:t>
      </w:r>
    </w:p>
    <w:p>
      <w:pPr>
        <w:spacing w:line="360" w:lineRule="auto"/>
        <w:rPr>
          <w:rFonts w:hint="eastAsia" w:ascii="宋体" w:hAnsi="宋体" w:eastAsia="宋体" w:cs="宋体"/>
          <w:b/>
          <w:color w:val="auto"/>
          <w:sz w:val="24"/>
          <w:szCs w:val="24"/>
          <w:highlight w:val="none"/>
        </w:rPr>
      </w:pPr>
    </w:p>
    <w:p>
      <w:pPr>
        <w:widowControl/>
        <w:spacing w:line="360" w:lineRule="auto"/>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lang w:eastAsia="zh-CN"/>
        </w:rPr>
        <w:t>八</w:t>
      </w:r>
      <w:r>
        <w:rPr>
          <w:rFonts w:hint="eastAsia" w:ascii="宋体" w:hAnsi="宋体" w:eastAsia="宋体" w:cs="宋体"/>
          <w:b/>
          <w:color w:val="auto"/>
          <w:sz w:val="28"/>
          <w:szCs w:val="28"/>
          <w:highlight w:val="none"/>
        </w:rPr>
        <w:t>、投标人本项目管理、技术、服务人员情况表</w:t>
      </w:r>
    </w:p>
    <w:p>
      <w:pPr>
        <w:widowControl/>
        <w:spacing w:line="360" w:lineRule="auto"/>
        <w:ind w:firstLine="472" w:firstLineChars="196"/>
        <w:jc w:val="left"/>
        <w:outlineLvl w:val="9"/>
        <w:rPr>
          <w:rFonts w:hint="eastAsia" w:ascii="宋体" w:hAnsi="宋体" w:eastAsia="宋体" w:cs="宋体"/>
          <w:b/>
          <w:color w:val="auto"/>
          <w:sz w:val="24"/>
          <w:szCs w:val="24"/>
          <w:highlight w:val="none"/>
        </w:rPr>
      </w:pP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项目名称：xxx </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招标编号：xxx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990"/>
        <w:gridCol w:w="1080"/>
        <w:gridCol w:w="1140"/>
        <w:gridCol w:w="1020"/>
        <w:gridCol w:w="1200"/>
        <w:gridCol w:w="1200"/>
        <w:gridCol w:w="1080"/>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47"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990"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080"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40"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020"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常住地</w:t>
            </w:r>
          </w:p>
        </w:tc>
        <w:tc>
          <w:tcPr>
            <w:tcW w:w="4526" w:type="dxa"/>
            <w:gridSpan w:val="4"/>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47"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990"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080"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140"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020"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200" w:type="dxa"/>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w:t>
            </w:r>
          </w:p>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200" w:type="dxa"/>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1080" w:type="dxa"/>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1046" w:type="dxa"/>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47" w:type="dxa"/>
            <w:vMerge w:val="restart"/>
            <w:noWrap w:val="0"/>
            <w:vAlign w:val="top"/>
          </w:tcPr>
          <w:p>
            <w:pPr>
              <w:widowControl/>
              <w:spacing w:line="360" w:lineRule="auto"/>
              <w:jc w:val="left"/>
              <w:outlineLvl w:val="1"/>
              <w:rPr>
                <w:rFonts w:hint="eastAsia" w:ascii="宋体" w:hAnsi="宋体" w:eastAsia="宋体" w:cs="宋体"/>
                <w:color w:val="auto"/>
                <w:sz w:val="24"/>
                <w:szCs w:val="24"/>
                <w:highlight w:val="none"/>
              </w:rPr>
            </w:pPr>
          </w:p>
        </w:tc>
        <w:tc>
          <w:tcPr>
            <w:tcW w:w="99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14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2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46"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47" w:type="dxa"/>
            <w:vMerge w:val="continue"/>
            <w:noWrap w:val="0"/>
            <w:vAlign w:val="top"/>
          </w:tcPr>
          <w:p>
            <w:pPr>
              <w:spacing w:line="360" w:lineRule="auto"/>
              <w:rPr>
                <w:rFonts w:hint="eastAsia" w:ascii="宋体" w:hAnsi="宋体" w:eastAsia="宋体" w:cs="宋体"/>
                <w:color w:val="auto"/>
                <w:sz w:val="24"/>
                <w:szCs w:val="24"/>
                <w:highlight w:val="none"/>
              </w:rPr>
            </w:pPr>
          </w:p>
        </w:tc>
        <w:tc>
          <w:tcPr>
            <w:tcW w:w="99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14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2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46"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47" w:type="dxa"/>
            <w:vMerge w:val="continue"/>
            <w:noWrap w:val="0"/>
            <w:vAlign w:val="top"/>
          </w:tcPr>
          <w:p>
            <w:pPr>
              <w:spacing w:line="360" w:lineRule="auto"/>
              <w:rPr>
                <w:rFonts w:hint="eastAsia" w:ascii="宋体" w:hAnsi="宋体" w:eastAsia="宋体" w:cs="宋体"/>
                <w:color w:val="auto"/>
                <w:sz w:val="24"/>
                <w:szCs w:val="24"/>
                <w:highlight w:val="none"/>
              </w:rPr>
            </w:pPr>
          </w:p>
        </w:tc>
        <w:tc>
          <w:tcPr>
            <w:tcW w:w="99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14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2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46"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47" w:type="dxa"/>
            <w:vMerge w:val="restart"/>
            <w:noWrap w:val="0"/>
            <w:vAlign w:val="top"/>
          </w:tcPr>
          <w:p>
            <w:pPr>
              <w:widowControl/>
              <w:spacing w:line="360" w:lineRule="auto"/>
              <w:jc w:val="left"/>
              <w:outlineLvl w:val="1"/>
              <w:rPr>
                <w:rFonts w:hint="eastAsia" w:ascii="宋体" w:hAnsi="宋体" w:eastAsia="宋体" w:cs="宋体"/>
                <w:color w:val="auto"/>
                <w:sz w:val="24"/>
                <w:szCs w:val="24"/>
                <w:highlight w:val="none"/>
              </w:rPr>
            </w:pPr>
          </w:p>
        </w:tc>
        <w:tc>
          <w:tcPr>
            <w:tcW w:w="99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14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2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46"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47" w:type="dxa"/>
            <w:vMerge w:val="continue"/>
            <w:noWrap w:val="0"/>
            <w:vAlign w:val="top"/>
          </w:tcPr>
          <w:p>
            <w:pPr>
              <w:spacing w:line="360" w:lineRule="auto"/>
              <w:rPr>
                <w:rFonts w:hint="eastAsia" w:ascii="宋体" w:hAnsi="宋体" w:eastAsia="宋体" w:cs="宋体"/>
                <w:color w:val="auto"/>
                <w:sz w:val="24"/>
                <w:szCs w:val="24"/>
                <w:highlight w:val="none"/>
              </w:rPr>
            </w:pPr>
          </w:p>
        </w:tc>
        <w:tc>
          <w:tcPr>
            <w:tcW w:w="99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14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2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46"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47" w:type="dxa"/>
            <w:vMerge w:val="continue"/>
            <w:noWrap w:val="0"/>
            <w:vAlign w:val="top"/>
          </w:tcPr>
          <w:p>
            <w:pPr>
              <w:spacing w:line="360" w:lineRule="auto"/>
              <w:rPr>
                <w:rFonts w:hint="eastAsia" w:ascii="宋体" w:hAnsi="宋体" w:eastAsia="宋体" w:cs="宋体"/>
                <w:color w:val="auto"/>
                <w:sz w:val="24"/>
                <w:szCs w:val="24"/>
                <w:highlight w:val="none"/>
              </w:rPr>
            </w:pPr>
          </w:p>
        </w:tc>
        <w:tc>
          <w:tcPr>
            <w:tcW w:w="99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14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2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46"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47" w:type="dxa"/>
            <w:vMerge w:val="restart"/>
            <w:noWrap w:val="0"/>
            <w:vAlign w:val="top"/>
          </w:tcPr>
          <w:p>
            <w:pPr>
              <w:widowControl/>
              <w:spacing w:line="360" w:lineRule="auto"/>
              <w:jc w:val="left"/>
              <w:outlineLvl w:val="1"/>
              <w:rPr>
                <w:rFonts w:hint="eastAsia" w:ascii="宋体" w:hAnsi="宋体" w:eastAsia="宋体" w:cs="宋体"/>
                <w:color w:val="auto"/>
                <w:sz w:val="24"/>
                <w:szCs w:val="24"/>
                <w:highlight w:val="none"/>
              </w:rPr>
            </w:pPr>
          </w:p>
        </w:tc>
        <w:tc>
          <w:tcPr>
            <w:tcW w:w="99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14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2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46"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47" w:type="dxa"/>
            <w:vMerge w:val="continue"/>
            <w:tcBorders>
              <w:bottom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990" w:type="dxa"/>
            <w:tcBorders>
              <w:bottom w:val="single" w:color="auto" w:sz="4" w:space="0"/>
            </w:tcBorders>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14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2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46"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rPr>
      </w:pPr>
    </w:p>
    <w:p>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注：附相关人员</w:t>
      </w:r>
      <w:r>
        <w:rPr>
          <w:rFonts w:hint="eastAsia" w:ascii="宋体" w:hAnsi="宋体" w:eastAsia="宋体" w:cs="宋体"/>
          <w:bCs/>
          <w:color w:val="auto"/>
          <w:kern w:val="1"/>
          <w:sz w:val="24"/>
          <w:szCs w:val="24"/>
          <w:highlight w:val="none"/>
          <w:lang w:val="zh-CN"/>
        </w:rPr>
        <w:t>有关</w:t>
      </w:r>
      <w:r>
        <w:rPr>
          <w:rFonts w:hint="eastAsia" w:ascii="宋体" w:hAnsi="宋体" w:eastAsia="宋体" w:cs="宋体"/>
          <w:color w:val="auto"/>
          <w:sz w:val="24"/>
          <w:szCs w:val="24"/>
          <w:highlight w:val="none"/>
        </w:rPr>
        <w:t>证明材料。</w:t>
      </w:r>
    </w:p>
    <w:p>
      <w:pPr>
        <w:spacing w:line="360" w:lineRule="auto"/>
        <w:rPr>
          <w:rFonts w:hint="eastAsia" w:ascii="宋体" w:hAnsi="宋体" w:eastAsia="宋体" w:cs="宋体"/>
          <w:color w:val="auto"/>
          <w:sz w:val="24"/>
          <w:szCs w:val="24"/>
          <w:highlight w:val="none"/>
        </w:rPr>
      </w:pPr>
    </w:p>
    <w:p>
      <w:pPr>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投标人名称：xxx（盖章）</w:t>
      </w:r>
    </w:p>
    <w:p>
      <w:pPr>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 ：xxx（签字）</w:t>
      </w:r>
    </w:p>
    <w:p>
      <w:pPr>
        <w:adjustRightInd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  期：xx年xx月xx日</w:t>
      </w:r>
    </w:p>
    <w:p>
      <w:pPr>
        <w:pStyle w:val="11"/>
        <w:spacing w:line="360" w:lineRule="auto"/>
        <w:jc w:val="center"/>
        <w:outlineLvl w:val="9"/>
        <w:rPr>
          <w:rFonts w:hint="eastAsia" w:ascii="宋体" w:hAnsi="宋体" w:eastAsia="宋体" w:cs="宋体"/>
          <w:b/>
          <w:bCs/>
          <w:color w:val="auto"/>
          <w:sz w:val="24"/>
          <w:szCs w:val="24"/>
          <w:highlight w:val="none"/>
        </w:rPr>
      </w:pPr>
    </w:p>
    <w:p>
      <w:pPr>
        <w:pStyle w:val="11"/>
        <w:spacing w:line="360" w:lineRule="auto"/>
        <w:jc w:val="center"/>
        <w:outlineLvl w:val="9"/>
        <w:rPr>
          <w:rFonts w:hint="eastAsia" w:ascii="宋体" w:hAnsi="宋体" w:eastAsia="宋体" w:cs="宋体"/>
          <w:b/>
          <w:bCs/>
          <w:color w:val="auto"/>
          <w:sz w:val="24"/>
          <w:szCs w:val="24"/>
          <w:highlight w:val="none"/>
        </w:rPr>
      </w:pPr>
    </w:p>
    <w:p>
      <w:pPr>
        <w:pStyle w:val="11"/>
        <w:spacing w:line="360" w:lineRule="auto"/>
        <w:jc w:val="center"/>
        <w:outlineLvl w:val="9"/>
        <w:rPr>
          <w:rFonts w:hint="eastAsia" w:ascii="宋体" w:hAnsi="宋体" w:eastAsia="宋体" w:cs="宋体"/>
          <w:b/>
          <w:bCs/>
          <w:color w:val="auto"/>
          <w:sz w:val="24"/>
          <w:szCs w:val="24"/>
          <w:highlight w:val="none"/>
        </w:rPr>
      </w:pPr>
    </w:p>
    <w:p>
      <w:pPr>
        <w:pStyle w:val="11"/>
        <w:spacing w:line="360" w:lineRule="auto"/>
        <w:jc w:val="center"/>
        <w:outlineLvl w:val="9"/>
        <w:rPr>
          <w:rFonts w:hint="eastAsia" w:ascii="宋体" w:hAnsi="宋体" w:eastAsia="宋体" w:cs="宋体"/>
          <w:b/>
          <w:bCs/>
          <w:color w:val="auto"/>
          <w:sz w:val="24"/>
          <w:szCs w:val="24"/>
          <w:highlight w:val="none"/>
        </w:rPr>
      </w:pPr>
    </w:p>
    <w:p>
      <w:pPr>
        <w:pStyle w:val="11"/>
        <w:spacing w:line="360" w:lineRule="auto"/>
        <w:outlineLvl w:val="9"/>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4"/>
        <w:spacing w:line="360" w:lineRule="auto"/>
        <w:jc w:val="center"/>
        <w:rPr>
          <w:rFonts w:hint="eastAsia" w:ascii="宋体" w:hAnsi="宋体" w:eastAsia="宋体" w:cs="宋体"/>
          <w:bCs w:val="0"/>
          <w:color w:val="auto"/>
          <w:sz w:val="28"/>
          <w:szCs w:val="28"/>
          <w:highlight w:val="none"/>
        </w:rPr>
      </w:pPr>
      <w:r>
        <w:rPr>
          <w:rFonts w:hint="eastAsia" w:ascii="宋体" w:hAnsi="宋体" w:cs="宋体"/>
          <w:b/>
          <w:color w:val="auto"/>
          <w:sz w:val="28"/>
          <w:szCs w:val="28"/>
          <w:highlight w:val="none"/>
          <w:lang w:eastAsia="zh-CN"/>
        </w:rPr>
        <w:t>九</w:t>
      </w:r>
      <w:r>
        <w:rPr>
          <w:rFonts w:hint="eastAsia" w:ascii="宋体" w:hAnsi="宋体" w:eastAsia="宋体" w:cs="宋体"/>
          <w:b/>
          <w:color w:val="auto"/>
          <w:sz w:val="28"/>
          <w:szCs w:val="28"/>
          <w:highlight w:val="none"/>
        </w:rPr>
        <w:t>、</w:t>
      </w:r>
      <w:r>
        <w:rPr>
          <w:rFonts w:hint="eastAsia" w:ascii="宋体" w:hAnsi="宋体" w:eastAsia="宋体" w:cs="宋体"/>
          <w:color w:val="auto"/>
          <w:sz w:val="28"/>
          <w:szCs w:val="28"/>
          <w:lang w:eastAsia="zh-CN"/>
        </w:rPr>
        <w:t>服务方案</w:t>
      </w:r>
    </w:p>
    <w:p>
      <w:pPr>
        <w:spacing w:line="360" w:lineRule="auto"/>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eastAsia="zh-CN"/>
        </w:rPr>
        <w:t>应按照招标文件第六章中“技术、</w:t>
      </w:r>
      <w:r>
        <w:rPr>
          <w:rFonts w:hint="eastAsia" w:ascii="宋体" w:hAnsi="宋体" w:eastAsia="宋体" w:cs="宋体"/>
          <w:b/>
          <w:color w:val="auto"/>
          <w:sz w:val="24"/>
          <w:szCs w:val="24"/>
          <w:highlight w:val="none"/>
          <w:lang w:val="en-US" w:eastAsia="zh-CN"/>
        </w:rPr>
        <w:t>服务内容及要求</w:t>
      </w:r>
      <w:r>
        <w:rPr>
          <w:rFonts w:hint="eastAsia" w:ascii="宋体" w:hAnsi="宋体" w:eastAsia="宋体" w:cs="宋体"/>
          <w:b/>
          <w:color w:val="auto"/>
          <w:sz w:val="24"/>
          <w:szCs w:val="24"/>
          <w:highlight w:val="none"/>
          <w:lang w:eastAsia="zh-CN"/>
        </w:rPr>
        <w:t>”结合投标人自身实力经验进行</w:t>
      </w:r>
      <w:r>
        <w:rPr>
          <w:rFonts w:hint="eastAsia" w:ascii="宋体" w:hAnsi="宋体" w:eastAsia="宋体" w:cs="宋体"/>
          <w:b/>
          <w:color w:val="auto"/>
          <w:sz w:val="24"/>
          <w:szCs w:val="24"/>
          <w:highlight w:val="none"/>
          <w:lang w:val="en-US" w:eastAsia="zh-CN"/>
        </w:rPr>
        <w:t>自行</w:t>
      </w:r>
      <w:r>
        <w:rPr>
          <w:rFonts w:hint="eastAsia" w:ascii="宋体" w:hAnsi="宋体" w:eastAsia="宋体" w:cs="宋体"/>
          <w:b/>
          <w:color w:val="auto"/>
          <w:sz w:val="24"/>
          <w:szCs w:val="24"/>
          <w:highlight w:val="none"/>
          <w:lang w:eastAsia="zh-CN"/>
        </w:rPr>
        <w:t>编制</w:t>
      </w:r>
      <w:r>
        <w:rPr>
          <w:rFonts w:hint="eastAsia" w:ascii="宋体" w:hAnsi="宋体" w:eastAsia="宋体" w:cs="宋体"/>
          <w:b/>
          <w:color w:val="auto"/>
          <w:sz w:val="24"/>
          <w:szCs w:val="24"/>
          <w:highlight w:val="none"/>
        </w:rPr>
        <w:t>，格式自拟</w:t>
      </w:r>
      <w:r>
        <w:rPr>
          <w:rFonts w:hint="eastAsia" w:ascii="宋体" w:hAnsi="宋体" w:eastAsia="宋体" w:cs="宋体"/>
          <w:b/>
          <w:color w:val="auto"/>
          <w:sz w:val="24"/>
          <w:szCs w:val="24"/>
          <w:highlight w:val="none"/>
          <w:lang w:eastAsia="zh-CN"/>
        </w:rPr>
        <w:t>。</w:t>
      </w: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both"/>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widowControl/>
        <w:spacing w:line="360" w:lineRule="auto"/>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名称：</w:t>
      </w:r>
      <w:r>
        <w:rPr>
          <w:rFonts w:hint="eastAsia" w:ascii="宋体" w:hAnsi="宋体" w:eastAsia="宋体" w:cs="宋体"/>
          <w:color w:val="auto"/>
          <w:sz w:val="24"/>
          <w:szCs w:val="24"/>
          <w:lang w:val="en-US" w:eastAsia="zh-CN"/>
        </w:rPr>
        <w:t>xxx</w:t>
      </w:r>
      <w:r>
        <w:rPr>
          <w:rFonts w:hint="eastAsia" w:ascii="宋体" w:hAnsi="宋体" w:eastAsia="宋体" w:cs="宋体"/>
          <w:color w:val="auto"/>
          <w:sz w:val="24"/>
          <w:szCs w:val="24"/>
        </w:rPr>
        <w:t>（单位盖章）</w:t>
      </w:r>
    </w:p>
    <w:p>
      <w:pPr>
        <w:widowControl/>
        <w:spacing w:line="360" w:lineRule="auto"/>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或</w:t>
      </w:r>
      <w:r>
        <w:rPr>
          <w:rFonts w:hint="eastAsia" w:ascii="宋体" w:hAnsi="宋体" w:eastAsia="宋体" w:cs="宋体"/>
          <w:color w:val="auto"/>
          <w:sz w:val="24"/>
          <w:szCs w:val="24"/>
        </w:rPr>
        <w:t>单位负责人或授权代表（签字或加盖个人名章）：</w:t>
      </w:r>
      <w:r>
        <w:rPr>
          <w:rFonts w:hint="eastAsia" w:ascii="宋体" w:hAnsi="宋体" w:eastAsia="宋体" w:cs="宋体"/>
          <w:color w:val="auto"/>
          <w:sz w:val="24"/>
          <w:szCs w:val="24"/>
          <w:lang w:val="en-US" w:eastAsia="zh-CN"/>
        </w:rPr>
        <w:t>xxx</w:t>
      </w:r>
    </w:p>
    <w:p>
      <w:pPr>
        <w:widowControl/>
        <w:spacing w:line="360" w:lineRule="auto"/>
        <w:jc w:val="left"/>
        <w:outlineLvl w:val="1"/>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none"/>
          <w:lang w:val="en-US" w:eastAsia="zh-CN"/>
        </w:rPr>
        <w:t>xx</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none"/>
          <w:lang w:val="en-US" w:eastAsia="zh-CN"/>
        </w:rPr>
        <w:t>xx</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none"/>
          <w:lang w:val="en-US" w:eastAsia="zh-CN"/>
        </w:rPr>
        <w:t>xx</w:t>
      </w:r>
      <w:r>
        <w:rPr>
          <w:rFonts w:hint="eastAsia" w:ascii="宋体" w:hAnsi="宋体" w:eastAsia="宋体" w:cs="宋体"/>
          <w:color w:val="auto"/>
          <w:sz w:val="24"/>
          <w:szCs w:val="24"/>
          <w:highlight w:val="none"/>
          <w:lang w:val="en-US" w:eastAsia="zh-CN"/>
        </w:rPr>
        <w:t>日</w:t>
      </w:r>
    </w:p>
    <w:p>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b/>
          <w:color w:val="auto"/>
          <w:sz w:val="24"/>
          <w:szCs w:val="24"/>
          <w:highlight w:val="none"/>
          <w:lang w:eastAsia="zh-CN"/>
        </w:rPr>
        <w:br w:type="page"/>
      </w:r>
    </w:p>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十、其它证明材料</w:t>
      </w:r>
    </w:p>
    <w:p>
      <w:pPr>
        <w:spacing w:line="360" w:lineRule="auto"/>
        <w:jc w:val="center"/>
        <w:rPr>
          <w:rFonts w:hint="eastAsia" w:ascii="宋体" w:hAnsi="宋体" w:eastAsia="宋体" w:cs="宋体"/>
          <w:b/>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注：招标文件规定的其它证明材料</w:t>
      </w:r>
    </w:p>
    <w:p>
      <w:pPr>
        <w:pStyle w:val="2"/>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jc w:val="center"/>
        <w:textAlignment w:val="auto"/>
        <w:rPr>
          <w:rFonts w:hint="eastAsia" w:ascii="宋体" w:hAnsi="宋体" w:eastAsia="宋体" w:cs="宋体"/>
          <w:color w:val="auto"/>
          <w:kern w:val="1"/>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napToGrid w:val="0"/>
        <w:spacing w:beforeAutospacing="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宋体" w:hAnsi="宋体" w:eastAsia="宋体" w:cs="宋体"/>
          <w:color w:val="auto"/>
          <w:sz w:val="32"/>
          <w:szCs w:val="32"/>
          <w:highlight w:val="none"/>
        </w:rPr>
      </w:pPr>
      <w:bookmarkStart w:id="117" w:name="_Toc31625"/>
      <w:r>
        <w:rPr>
          <w:rFonts w:hint="eastAsia" w:ascii="宋体" w:hAnsi="宋体" w:eastAsia="宋体" w:cs="宋体"/>
          <w:b/>
          <w:bCs/>
          <w:color w:val="auto"/>
          <w:sz w:val="32"/>
          <w:szCs w:val="32"/>
          <w:highlight w:val="none"/>
        </w:rPr>
        <w:t>第四章  投标人和投标产品的资格、资质性</w:t>
      </w:r>
      <w:bookmarkStart w:id="118" w:name="_Toc352167775"/>
      <w:r>
        <w:rPr>
          <w:rFonts w:hint="eastAsia" w:ascii="宋体" w:hAnsi="宋体" w:eastAsia="宋体" w:cs="宋体"/>
          <w:b/>
          <w:bCs/>
          <w:color w:val="auto"/>
          <w:sz w:val="32"/>
          <w:szCs w:val="32"/>
          <w:highlight w:val="none"/>
        </w:rPr>
        <w:t>及其他类似效力要求</w:t>
      </w:r>
      <w:bookmarkEnd w:id="117"/>
      <w:bookmarkEnd w:id="118"/>
    </w:p>
    <w:p>
      <w:pPr>
        <w:pStyle w:val="4"/>
        <w:pageBreakBefore w:val="0"/>
        <w:widowControl w:val="0"/>
        <w:numPr>
          <w:ilvl w:val="0"/>
          <w:numId w:val="4"/>
        </w:numPr>
        <w:kinsoku/>
        <w:wordWrap/>
        <w:overflowPunct/>
        <w:topLinePunct w:val="0"/>
        <w:autoSpaceDE/>
        <w:autoSpaceDN/>
        <w:bidi w:val="0"/>
        <w:adjustRightInd/>
        <w:snapToGrid w:val="0"/>
        <w:spacing w:before="0" w:after="0" w:line="360" w:lineRule="auto"/>
        <w:ind w:firstLine="120" w:firstLineChar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投标人资格、资质性及其他类似效力要求</w:t>
      </w:r>
    </w:p>
    <w:p>
      <w:pPr>
        <w:pStyle w:val="4"/>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highlight w:val="none"/>
        </w:rPr>
        <w:t>（一）资格要求：</w:t>
      </w:r>
    </w:p>
    <w:p>
      <w:pPr>
        <w:pageBreakBefore w:val="0"/>
        <w:widowControl w:val="0"/>
        <w:kinsoku/>
        <w:wordWrap/>
        <w:overflowPunct/>
        <w:topLinePunct w:val="0"/>
        <w:autoSpaceDE/>
        <w:autoSpaceDN/>
        <w:bidi w:val="0"/>
        <w:adjustRightInd/>
        <w:snapToGrid w:val="0"/>
        <w:spacing w:line="360" w:lineRule="auto"/>
        <w:ind w:left="-2" w:leftChars="-1" w:firstLine="569"/>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具有独立承担民事责任的能力</w:t>
      </w:r>
      <w:r>
        <w:rPr>
          <w:rFonts w:hint="eastAsia" w:ascii="宋体" w:hAnsi="宋体" w:eastAsia="宋体" w:cs="宋体"/>
          <w:bCs/>
          <w:color w:val="auto"/>
          <w:sz w:val="24"/>
          <w:szCs w:val="24"/>
        </w:rPr>
        <w:t>；</w:t>
      </w:r>
    </w:p>
    <w:p>
      <w:pPr>
        <w:pageBreakBefore w:val="0"/>
        <w:widowControl w:val="0"/>
        <w:kinsoku/>
        <w:wordWrap/>
        <w:overflowPunct/>
        <w:topLinePunct w:val="0"/>
        <w:autoSpaceDE/>
        <w:autoSpaceDN/>
        <w:bidi w:val="0"/>
        <w:adjustRightInd/>
        <w:snapToGrid w:val="0"/>
        <w:spacing w:line="360" w:lineRule="auto"/>
        <w:ind w:left="-2" w:leftChars="-1" w:firstLine="569"/>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2、具有良好的商业信誉和健全的财务会计制度；</w:t>
      </w:r>
    </w:p>
    <w:p>
      <w:pPr>
        <w:pageBreakBefore w:val="0"/>
        <w:widowControl w:val="0"/>
        <w:kinsoku/>
        <w:wordWrap/>
        <w:overflowPunct/>
        <w:topLinePunct w:val="0"/>
        <w:autoSpaceDE/>
        <w:autoSpaceDN/>
        <w:bidi w:val="0"/>
        <w:adjustRightInd/>
        <w:snapToGrid w:val="0"/>
        <w:spacing w:line="360" w:lineRule="auto"/>
        <w:ind w:left="-2" w:leftChars="-1" w:firstLine="569"/>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3、具有履行合同所必须的设备和专业技术能力；</w:t>
      </w:r>
    </w:p>
    <w:p>
      <w:pPr>
        <w:pageBreakBefore w:val="0"/>
        <w:widowControl w:val="0"/>
        <w:kinsoku/>
        <w:wordWrap/>
        <w:overflowPunct/>
        <w:topLinePunct w:val="0"/>
        <w:autoSpaceDE/>
        <w:autoSpaceDN/>
        <w:bidi w:val="0"/>
        <w:adjustRightInd/>
        <w:snapToGrid w:val="0"/>
        <w:spacing w:line="360" w:lineRule="auto"/>
        <w:ind w:left="-2" w:leftChars="-1" w:firstLine="569"/>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4、具有依法缴纳税收和社会保障资金的良好记录；</w:t>
      </w:r>
    </w:p>
    <w:p>
      <w:pPr>
        <w:pageBreakBefore w:val="0"/>
        <w:widowControl w:val="0"/>
        <w:kinsoku/>
        <w:wordWrap/>
        <w:overflowPunct/>
        <w:topLinePunct w:val="0"/>
        <w:autoSpaceDE/>
        <w:autoSpaceDN/>
        <w:bidi w:val="0"/>
        <w:adjustRightInd/>
        <w:snapToGrid w:val="0"/>
        <w:spacing w:line="360" w:lineRule="auto"/>
        <w:ind w:left="-2" w:leftChars="-1" w:firstLine="569"/>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5、参加本次政府采购活动前三年内，在经营活动中没有重大违法记录；</w:t>
      </w:r>
    </w:p>
    <w:p>
      <w:pPr>
        <w:pageBreakBefore w:val="0"/>
        <w:widowControl w:val="0"/>
        <w:kinsoku/>
        <w:wordWrap/>
        <w:overflowPunct/>
        <w:topLinePunct w:val="0"/>
        <w:autoSpaceDE/>
        <w:autoSpaceDN/>
        <w:bidi w:val="0"/>
        <w:adjustRightInd/>
        <w:snapToGrid w:val="0"/>
        <w:spacing w:line="360" w:lineRule="auto"/>
        <w:ind w:left="-2" w:leftChars="-1" w:firstLine="569"/>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6、法律、行政法规规定的其他条件；</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、本项目规定的特定资格条件：</w:t>
      </w:r>
    </w:p>
    <w:p>
      <w:pPr>
        <w:keepNext w:val="0"/>
        <w:keepLines w:val="0"/>
        <w:pageBreakBefore w:val="0"/>
        <w:kinsoku/>
        <w:wordWrap/>
        <w:overflowPunct/>
        <w:topLinePunct w:val="0"/>
        <w:autoSpaceDE/>
        <w:autoSpaceDN/>
        <w:bidi w:val="0"/>
        <w:adjustRightInd/>
        <w:snapToGrid w:val="0"/>
        <w:spacing w:line="360" w:lineRule="auto"/>
        <w:ind w:left="-2" w:leftChars="-1" w:firstLine="569"/>
        <w:textAlignment w:val="auto"/>
        <w:rPr>
          <w:rFonts w:hint="eastAsia" w:ascii="宋体" w:hAnsi="宋体" w:eastAsia="宋体" w:cs="宋体"/>
          <w:bCs/>
          <w:color w:val="auto"/>
          <w:sz w:val="24"/>
          <w:szCs w:val="22"/>
        </w:rPr>
      </w:pPr>
      <w:r>
        <w:rPr>
          <w:rFonts w:hint="eastAsia" w:ascii="宋体" w:hAnsi="宋体" w:eastAsia="宋体" w:cs="宋体"/>
          <w:color w:val="auto"/>
          <w:sz w:val="24"/>
          <w:szCs w:val="24"/>
        </w:rPr>
        <w:t>（1）</w:t>
      </w:r>
      <w:r>
        <w:rPr>
          <w:rFonts w:hint="eastAsia" w:ascii="宋体" w:hAnsi="宋体" w:eastAsia="宋体" w:cs="宋体"/>
          <w:bCs/>
          <w:color w:val="auto"/>
          <w:sz w:val="24"/>
          <w:szCs w:val="22"/>
        </w:rPr>
        <w:t>投标人须具有城市道路照明工程专业承包叁级及以上资质；</w:t>
      </w:r>
    </w:p>
    <w:p>
      <w:pPr>
        <w:keepNext w:val="0"/>
        <w:keepLines w:val="0"/>
        <w:pageBreakBefore w:val="0"/>
        <w:kinsoku/>
        <w:wordWrap/>
        <w:overflowPunct/>
        <w:topLinePunct w:val="0"/>
        <w:autoSpaceDE/>
        <w:autoSpaceDN/>
        <w:bidi w:val="0"/>
        <w:adjustRightInd/>
        <w:snapToGrid w:val="0"/>
        <w:spacing w:line="360" w:lineRule="auto"/>
        <w:ind w:left="-2" w:leftChars="-1" w:firstLine="569"/>
        <w:textAlignment w:val="auto"/>
        <w:rPr>
          <w:rFonts w:hint="eastAsia" w:ascii="宋体" w:hAnsi="宋体" w:eastAsia="宋体" w:cs="宋体"/>
          <w:bCs/>
          <w:color w:val="auto"/>
          <w:sz w:val="24"/>
          <w:szCs w:val="22"/>
        </w:rPr>
      </w:pPr>
      <w:r>
        <w:rPr>
          <w:rFonts w:hint="eastAsia" w:ascii="宋体" w:hAnsi="宋体" w:eastAsia="宋体" w:cs="宋体"/>
          <w:bCs/>
          <w:color w:val="auto"/>
          <w:sz w:val="24"/>
          <w:szCs w:val="22"/>
        </w:rPr>
        <w:t>（2）投标人须具有有效期内的安全生产许可证；</w:t>
      </w:r>
    </w:p>
    <w:p>
      <w:pPr>
        <w:keepNext w:val="0"/>
        <w:keepLines w:val="0"/>
        <w:pageBreakBefore w:val="0"/>
        <w:kinsoku/>
        <w:wordWrap/>
        <w:overflowPunct/>
        <w:topLinePunct w:val="0"/>
        <w:autoSpaceDE/>
        <w:autoSpaceDN/>
        <w:bidi w:val="0"/>
        <w:adjustRightInd/>
        <w:snapToGrid w:val="0"/>
        <w:spacing w:line="360" w:lineRule="auto"/>
        <w:ind w:left="-2" w:leftChars="-1" w:firstLine="569"/>
        <w:textAlignment w:val="auto"/>
        <w:rPr>
          <w:rFonts w:hint="eastAsia" w:ascii="宋体" w:hAnsi="宋体" w:eastAsia="宋体" w:cs="宋体"/>
          <w:bCs/>
          <w:color w:val="auto"/>
          <w:sz w:val="24"/>
          <w:szCs w:val="22"/>
        </w:rPr>
      </w:pPr>
      <w:r>
        <w:rPr>
          <w:rFonts w:hint="eastAsia" w:ascii="宋体" w:hAnsi="宋体" w:eastAsia="宋体" w:cs="宋体"/>
          <w:bCs/>
          <w:color w:val="auto"/>
          <w:sz w:val="24"/>
          <w:szCs w:val="22"/>
        </w:rPr>
        <w:t>（3）本项目参加政府采购活动的投标人</w:t>
      </w:r>
      <w:r>
        <w:rPr>
          <w:rFonts w:hint="eastAsia" w:ascii="宋体" w:hAnsi="宋体" w:eastAsia="宋体" w:cs="宋体"/>
          <w:bCs/>
          <w:color w:val="auto"/>
          <w:sz w:val="24"/>
          <w:szCs w:val="22"/>
          <w:lang w:val="zh-CN"/>
        </w:rPr>
        <w:t>及其现任法定代表人</w:t>
      </w:r>
      <w:r>
        <w:rPr>
          <w:rFonts w:hint="eastAsia" w:ascii="宋体" w:hAnsi="宋体" w:eastAsia="宋体" w:cs="宋体"/>
          <w:bCs/>
          <w:color w:val="auto"/>
          <w:sz w:val="24"/>
          <w:szCs w:val="22"/>
        </w:rPr>
        <w:t>/单位负责人</w:t>
      </w:r>
      <w:r>
        <w:rPr>
          <w:rFonts w:hint="eastAsia" w:ascii="宋体" w:hAnsi="宋体" w:eastAsia="宋体" w:cs="宋体"/>
          <w:bCs/>
          <w:color w:val="auto"/>
          <w:sz w:val="24"/>
          <w:szCs w:val="22"/>
          <w:lang w:val="zh-CN"/>
        </w:rPr>
        <w:t>、主要负责人</w:t>
      </w:r>
      <w:r>
        <w:rPr>
          <w:rFonts w:hint="eastAsia" w:ascii="宋体" w:hAnsi="宋体" w:eastAsia="宋体" w:cs="宋体"/>
          <w:bCs/>
          <w:color w:val="auto"/>
          <w:sz w:val="24"/>
          <w:szCs w:val="22"/>
        </w:rPr>
        <w:t>在前3年内不得具有行贿犯罪记录（提供承诺函）；</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auto"/>
          <w:sz w:val="24"/>
          <w:szCs w:val="22"/>
        </w:rPr>
      </w:pPr>
      <w:r>
        <w:rPr>
          <w:rFonts w:hint="eastAsia" w:ascii="宋体" w:hAnsi="宋体" w:eastAsia="宋体" w:cs="宋体"/>
          <w:bCs/>
          <w:color w:val="auto"/>
          <w:sz w:val="24"/>
          <w:szCs w:val="22"/>
        </w:rPr>
        <w:t>（4）本项目不接受联合体投标；</w:t>
      </w:r>
    </w:p>
    <w:p>
      <w:pPr>
        <w:pageBreakBefore w:val="0"/>
        <w:widowControl w:val="0"/>
        <w:kinsoku/>
        <w:wordWrap/>
        <w:overflowPunct/>
        <w:topLinePunct w:val="0"/>
        <w:autoSpaceDE/>
        <w:autoSpaceDN/>
        <w:bidi w:val="0"/>
        <w:adjustRightInd/>
        <w:snapToGrid w:val="0"/>
        <w:spacing w:line="360" w:lineRule="auto"/>
        <w:ind w:left="-2" w:leftChars="-1" w:firstLine="569"/>
        <w:textAlignment w:val="auto"/>
        <w:rPr>
          <w:rFonts w:hint="eastAsia" w:ascii="宋体" w:hAnsi="宋体" w:eastAsia="宋体" w:cs="宋体"/>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落实政府采购政策的资格条件：本项目为专门面向中小微企业（残疾人企业、监狱企业、符合中小企业划型的个体工商户视同中小企业），非中小企业参与的将视为无效投标；</w:t>
      </w:r>
    </w:p>
    <w:p>
      <w:pPr>
        <w:pStyle w:val="4"/>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（二）资质性要求：无</w:t>
      </w:r>
    </w:p>
    <w:p>
      <w:pPr>
        <w:pStyle w:val="4"/>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（三）其他类似效力要求：</w:t>
      </w:r>
    </w:p>
    <w:p>
      <w:pPr>
        <w:pageBreakBefore w:val="0"/>
        <w:widowControl w:val="0"/>
        <w:kinsoku/>
        <w:wordWrap/>
        <w:overflowPunct/>
        <w:topLinePunct w:val="0"/>
        <w:autoSpaceDE/>
        <w:autoSpaceDN/>
        <w:bidi w:val="0"/>
        <w:adjustRightInd/>
        <w:snapToGrid w:val="0"/>
        <w:spacing w:line="360" w:lineRule="auto"/>
        <w:ind w:right="31"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授权参加本次投标活动的投标人代表证明材料。</w:t>
      </w:r>
    </w:p>
    <w:p>
      <w:pPr>
        <w:pStyle w:val="4"/>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二、投标产品的资格、资质性及其他具有类似效力的要求</w:t>
      </w:r>
    </w:p>
    <w:p>
      <w:pPr>
        <w:pageBreakBefore w:val="0"/>
        <w:widowControl w:val="0"/>
        <w:kinsoku/>
        <w:wordWrap/>
        <w:overflowPunct/>
        <w:topLinePunct w:val="0"/>
        <w:autoSpaceDE/>
        <w:autoSpaceDN/>
        <w:bidi w:val="0"/>
        <w:adjustRightInd/>
        <w:snapToGrid w:val="0"/>
        <w:spacing w:line="360" w:lineRule="auto"/>
        <w:ind w:right="31"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（一）资格要求：无</w:t>
      </w:r>
    </w:p>
    <w:p>
      <w:pPr>
        <w:pageBreakBefore w:val="0"/>
        <w:widowControl w:val="0"/>
        <w:kinsoku/>
        <w:wordWrap/>
        <w:overflowPunct/>
        <w:topLinePunct w:val="0"/>
        <w:autoSpaceDE/>
        <w:autoSpaceDN/>
        <w:bidi w:val="0"/>
        <w:adjustRightInd/>
        <w:snapToGrid w:val="0"/>
        <w:spacing w:line="360" w:lineRule="auto"/>
        <w:ind w:right="31"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（二）资质性要求：无</w:t>
      </w:r>
    </w:p>
    <w:p>
      <w:pPr>
        <w:pageBreakBefore w:val="0"/>
        <w:widowControl w:val="0"/>
        <w:kinsoku/>
        <w:wordWrap/>
        <w:overflowPunct/>
        <w:topLinePunct w:val="0"/>
        <w:autoSpaceDE/>
        <w:autoSpaceDN/>
        <w:bidi w:val="0"/>
        <w:adjustRightInd/>
        <w:snapToGrid w:val="0"/>
        <w:spacing w:line="360" w:lineRule="auto"/>
        <w:ind w:right="31"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（三）其他类似效力要求：无</w:t>
      </w:r>
    </w:p>
    <w:p>
      <w:pPr>
        <w:pageBreakBefore w:val="0"/>
        <w:widowControl w:val="0"/>
        <w:kinsoku/>
        <w:wordWrap/>
        <w:overflowPunct/>
        <w:topLinePunct w:val="0"/>
        <w:autoSpaceDE/>
        <w:autoSpaceDN/>
        <w:bidi w:val="0"/>
        <w:adjustRightInd/>
        <w:snapToGrid w:val="0"/>
        <w:spacing w:line="360" w:lineRule="auto"/>
        <w:ind w:right="31"/>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w:t>
      </w:r>
    </w:p>
    <w:p>
      <w:pPr>
        <w:pageBreakBefore w:val="0"/>
        <w:widowControl w:val="0"/>
        <w:numPr>
          <w:ilvl w:val="0"/>
          <w:numId w:val="5"/>
        </w:numPr>
        <w:kinsoku/>
        <w:wordWrap/>
        <w:overflowPunct/>
        <w:topLinePunct w:val="0"/>
        <w:autoSpaceDE/>
        <w:autoSpaceDN/>
        <w:bidi w:val="0"/>
        <w:adjustRightInd/>
        <w:snapToGrid w:val="0"/>
        <w:spacing w:beforeAutospacing="0" w:afterAutospacing="0" w:line="360" w:lineRule="auto"/>
        <w:ind w:right="31"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重大违法记录是指申请人因违法经营受到刑事处罚或者责令停产停业、吊销许可证或者执照、较大数额罚款等行政处罚。</w:t>
      </w:r>
    </w:p>
    <w:p>
      <w:pPr>
        <w:pageBreakBefore w:val="0"/>
        <w:widowControl w:val="0"/>
        <w:numPr>
          <w:ilvl w:val="0"/>
          <w:numId w:val="5"/>
        </w:numPr>
        <w:kinsoku/>
        <w:wordWrap/>
        <w:overflowPunct/>
        <w:topLinePunct w:val="0"/>
        <w:autoSpaceDE/>
        <w:autoSpaceDN/>
        <w:bidi w:val="0"/>
        <w:adjustRightInd/>
        <w:snapToGrid w:val="0"/>
        <w:spacing w:beforeAutospacing="0" w:afterAutospacing="0" w:line="360" w:lineRule="auto"/>
        <w:ind w:left="0" w:leftChars="0" w:right="31"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本项目确定申请人重大违法记录中较大数额罚款的金额标准为：对在经营活动中的违法行为处以罚款或者没收财产 5 万元以上；省外较大数额的标准应以作出行政处罚地域的政府规定为准；行业另有规定的提供证明文件，以行业规定为准。</w:t>
      </w:r>
    </w:p>
    <w:p>
      <w:pPr>
        <w:pageBreakBefore w:val="0"/>
        <w:widowControl w:val="0"/>
        <w:numPr>
          <w:ilvl w:val="0"/>
          <w:numId w:val="0"/>
        </w:numPr>
        <w:kinsoku/>
        <w:wordWrap/>
        <w:overflowPunct/>
        <w:topLinePunct w:val="0"/>
        <w:autoSpaceDE/>
        <w:autoSpaceDN/>
        <w:bidi w:val="0"/>
        <w:adjustRightInd/>
        <w:snapToGrid w:val="0"/>
        <w:spacing w:beforeAutospacing="0" w:afterAutospacing="0" w:line="360" w:lineRule="auto"/>
        <w:ind w:right="31" w:rightChars="0" w:firstLine="480" w:firstLineChars="200"/>
        <w:textAlignment w:val="auto"/>
        <w:rPr>
          <w:rFonts w:hint="eastAsia" w:hAnsi="宋体" w:cs="宋体"/>
          <w:color w:val="auto"/>
          <w:sz w:val="32"/>
          <w:szCs w:val="32"/>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申请人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Fonts w:hint="eastAsia" w:ascii="宋体" w:hAnsi="宋体" w:eastAsia="宋体" w:cs="宋体"/>
          <w:bCs/>
          <w:color w:val="auto"/>
          <w:sz w:val="24"/>
          <w:szCs w:val="24"/>
          <w:highlight w:val="none"/>
          <w:lang w:eastAsia="zh-CN"/>
        </w:rPr>
        <w:t>。</w:t>
      </w:r>
      <w:bookmarkStart w:id="119" w:name="_Toc352167776"/>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color w:val="auto"/>
        </w:rPr>
      </w:pPr>
    </w:p>
    <w:p>
      <w:pPr>
        <w:pStyle w:val="3"/>
        <w:spacing w:line="360" w:lineRule="auto"/>
        <w:jc w:val="center"/>
        <w:rPr>
          <w:rFonts w:hint="eastAsia" w:ascii="宋体" w:hAnsi="宋体" w:eastAsia="宋体" w:cs="宋体"/>
          <w:color w:val="auto"/>
          <w:sz w:val="28"/>
          <w:szCs w:val="28"/>
          <w:highlight w:val="none"/>
        </w:rPr>
      </w:pPr>
      <w:bookmarkStart w:id="120" w:name="_Toc20331"/>
      <w:r>
        <w:rPr>
          <w:rFonts w:hint="eastAsia" w:ascii="宋体" w:hAnsi="宋体" w:eastAsia="宋体" w:cs="宋体"/>
          <w:color w:val="auto"/>
          <w:sz w:val="32"/>
          <w:szCs w:val="32"/>
          <w:highlight w:val="none"/>
        </w:rPr>
        <w:t>第五章  投标人应当提供的资格、资质性及其他类似效力要求的相关证明材料</w:t>
      </w:r>
      <w:bookmarkEnd w:id="119"/>
      <w:bookmarkEnd w:id="120"/>
    </w:p>
    <w:p>
      <w:pPr>
        <w:pStyle w:val="4"/>
        <w:numPr>
          <w:ilvl w:val="0"/>
          <w:numId w:val="6"/>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投标人资格、资质性及其他类似效力要求的相关证明材料</w:t>
      </w:r>
    </w:p>
    <w:p>
      <w:pPr>
        <w:pStyle w:val="4"/>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（一）资格要求相关证明材料：</w:t>
      </w:r>
    </w:p>
    <w:p>
      <w:pPr>
        <w:pStyle w:val="32"/>
        <w:pageBreakBefore w:val="0"/>
        <w:widowControl w:val="0"/>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注：①投标人若为企业法人：提供“统一社会信用代码营业执照副本”；未换证的提供“营业执照副本、税务登记证副本、组织机构代码证副本或三证合一的营业执照副本；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32"/>
        <w:pageBreakBefore w:val="0"/>
        <w:widowControl w:val="0"/>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2、具备良好商业信誉的证明材料（可提供承诺函，格式详见第三章）；</w:t>
      </w:r>
    </w:p>
    <w:p>
      <w:pPr>
        <w:pStyle w:val="32"/>
        <w:pageBreakBefore w:val="0"/>
        <w:widowControl w:val="0"/>
        <w:kinsoku/>
        <w:wordWrap/>
        <w:overflowPunct/>
        <w:topLinePunct w:val="0"/>
        <w:autoSpaceDE/>
        <w:autoSpaceDN/>
        <w:bidi w:val="0"/>
        <w:adjustRightInd/>
        <w:snapToGrid w:val="0"/>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3、具备健全的财务会计制度的证明材料｛①可</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年度经审计的财务报告复印件（包含审计报告和审计报告中所涉及的财务报表和报表附注），②也可提供</w:t>
      </w:r>
      <w:r>
        <w:rPr>
          <w:rFonts w:hint="eastAsia" w:ascii="宋体" w:hAnsi="宋体" w:eastAsia="宋体" w:cs="宋体"/>
          <w:color w:val="auto"/>
          <w:sz w:val="24"/>
          <w:szCs w:val="24"/>
          <w:highlight w:val="none"/>
          <w:lang w:val="en-US" w:eastAsia="zh-CN"/>
        </w:rPr>
        <w:t>2020年度</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内部的财务报表复印件</w:t>
      </w:r>
      <w:r>
        <w:rPr>
          <w:rFonts w:hint="eastAsia" w:ascii="宋体" w:hAnsi="宋体" w:eastAsia="宋体" w:cs="宋体"/>
          <w:color w:val="auto"/>
          <w:sz w:val="24"/>
          <w:szCs w:val="24"/>
          <w:highlight w:val="none"/>
          <w:lang w:eastAsia="zh-CN"/>
        </w:rPr>
        <w:t>（包含资产负债表、现金流量表、利润表）</w:t>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eastAsia="zh-CN"/>
        </w:rPr>
        <w:t>也可提供距响应文件递交截止日一年内银行出具的资信证明复印件，④供应商</w:t>
      </w:r>
      <w:r>
        <w:rPr>
          <w:rFonts w:hint="eastAsia" w:ascii="宋体" w:hAnsi="宋体" w:eastAsia="宋体" w:cs="宋体"/>
          <w:color w:val="auto"/>
          <w:sz w:val="24"/>
          <w:szCs w:val="24"/>
          <w:highlight w:val="none"/>
        </w:rPr>
        <w:t>企业注册时间距开标截止时间不足一年的</w:t>
      </w:r>
      <w:r>
        <w:rPr>
          <w:rFonts w:hint="eastAsia" w:ascii="宋体" w:hAnsi="宋体" w:eastAsia="宋体" w:cs="宋体"/>
          <w:color w:val="auto"/>
          <w:sz w:val="24"/>
          <w:szCs w:val="24"/>
          <w:highlight w:val="none"/>
          <w:lang w:eastAsia="zh-CN"/>
        </w:rPr>
        <w:t>，可提供</w:t>
      </w:r>
      <w:r>
        <w:rPr>
          <w:rFonts w:hint="eastAsia" w:ascii="宋体" w:hAnsi="宋体" w:eastAsia="宋体" w:cs="宋体"/>
          <w:color w:val="auto"/>
          <w:sz w:val="24"/>
          <w:szCs w:val="24"/>
          <w:highlight w:val="none"/>
        </w:rPr>
        <w:t>工商备案的公司章程｝；</w:t>
      </w:r>
    </w:p>
    <w:p>
      <w:pPr>
        <w:pStyle w:val="32"/>
        <w:pageBreakBefore w:val="0"/>
        <w:widowControl w:val="0"/>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rPr>
        <w:t>具有依法缴纳税收和社会保障资金的良好记录（提供承诺函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rPr>
        <w:t>格式详见第三章）；</w:t>
      </w:r>
    </w:p>
    <w:p>
      <w:pPr>
        <w:pStyle w:val="32"/>
        <w:pageBreakBefore w:val="0"/>
        <w:widowControl w:val="0"/>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5、具备履行合同所必需的设备和专业技术能力的证明材料（可提供承诺函，格式详见第三章）；</w:t>
      </w:r>
    </w:p>
    <w:p>
      <w:pPr>
        <w:pStyle w:val="32"/>
        <w:pageBreakBefore w:val="0"/>
        <w:widowControl w:val="0"/>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lang w:val="en-US" w:eastAsia="zh-CN"/>
        </w:rPr>
        <w:t>落实政府采购政策的资格条件：本项目为专门面向中小微企业（残疾人企业、监狱企业、符合中小企业划型的个体工商户视同中小企业）</w:t>
      </w:r>
      <w:r>
        <w:rPr>
          <w:rFonts w:hint="eastAsia" w:ascii="宋体" w:hAnsi="宋体" w:eastAsia="宋体" w:cs="宋体"/>
          <w:color w:val="auto"/>
          <w:sz w:val="24"/>
          <w:szCs w:val="24"/>
        </w:rPr>
        <w:t>（提供承诺函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rPr>
        <w:t>格式详见第三章）</w:t>
      </w:r>
      <w:r>
        <w:rPr>
          <w:rFonts w:hint="eastAsia" w:ascii="宋体" w:hAnsi="宋体" w:eastAsia="宋体" w:cs="宋体"/>
          <w:b w:val="0"/>
          <w:bCs w:val="0"/>
          <w:color w:val="auto"/>
          <w:sz w:val="24"/>
          <w:szCs w:val="24"/>
        </w:rPr>
        <w:t>；</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Cs/>
          <w:color w:val="auto"/>
          <w:sz w:val="24"/>
          <w:szCs w:val="22"/>
        </w:rPr>
      </w:pPr>
      <w:r>
        <w:rPr>
          <w:rFonts w:hint="eastAsia" w:ascii="宋体" w:hAnsi="宋体" w:eastAsia="宋体" w:cs="宋体"/>
          <w:b/>
          <w:bCs w:val="0"/>
          <w:color w:val="auto"/>
          <w:sz w:val="24"/>
          <w:szCs w:val="24"/>
          <w:lang w:val="en-US" w:eastAsia="zh-CN"/>
        </w:rPr>
        <w:t>7、</w:t>
      </w:r>
      <w:r>
        <w:rPr>
          <w:rFonts w:hint="eastAsia" w:ascii="宋体" w:hAnsi="宋体" w:eastAsia="宋体" w:cs="宋体"/>
          <w:b/>
          <w:bCs w:val="0"/>
          <w:color w:val="auto"/>
          <w:sz w:val="24"/>
          <w:szCs w:val="22"/>
        </w:rPr>
        <w:t>投标人须具有城市道路照明工程专业承包叁级及以上资质；</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Cs/>
          <w:color w:val="auto"/>
          <w:sz w:val="24"/>
          <w:szCs w:val="22"/>
        </w:rPr>
      </w:pPr>
      <w:r>
        <w:rPr>
          <w:rFonts w:hint="eastAsia" w:ascii="宋体" w:hAnsi="宋体" w:eastAsia="宋体" w:cs="宋体"/>
          <w:b/>
          <w:bCs w:val="0"/>
          <w:color w:val="auto"/>
          <w:sz w:val="24"/>
          <w:szCs w:val="22"/>
          <w:lang w:val="en-US" w:eastAsia="zh-CN"/>
        </w:rPr>
        <w:t>8、</w:t>
      </w:r>
      <w:r>
        <w:rPr>
          <w:rFonts w:hint="eastAsia" w:ascii="宋体" w:hAnsi="宋体" w:eastAsia="宋体" w:cs="宋体"/>
          <w:b/>
          <w:bCs w:val="0"/>
          <w:color w:val="auto"/>
          <w:sz w:val="24"/>
          <w:szCs w:val="22"/>
        </w:rPr>
        <w:t>投标人须具有有效期内的安全生产许可证；</w:t>
      </w:r>
    </w:p>
    <w:p>
      <w:pPr>
        <w:pStyle w:val="32"/>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参加政府采购活动前3年内在经营活动中没有重大违法记录的承诺函（格式详见第三章）；</w:t>
      </w:r>
    </w:p>
    <w:p>
      <w:pPr>
        <w:pStyle w:val="32"/>
        <w:pageBreakBefore w:val="0"/>
        <w:widowControl w:val="0"/>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、符合法律、行政法规规定的其他条件（可提供承诺函，格式详见第三章）；</w:t>
      </w:r>
    </w:p>
    <w:p>
      <w:pPr>
        <w:pStyle w:val="32"/>
        <w:pageBreakBefore w:val="0"/>
        <w:widowControl w:val="0"/>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、投标单位及其现任法定代表人/单位负责人、</w:t>
      </w:r>
      <w:r>
        <w:rPr>
          <w:rFonts w:hint="eastAsia" w:ascii="宋体" w:hAnsi="宋体" w:eastAsia="宋体" w:cs="宋体"/>
          <w:color w:val="auto"/>
          <w:kern w:val="1"/>
          <w:sz w:val="24"/>
          <w:szCs w:val="24"/>
          <w:highlight w:val="none"/>
          <w:lang w:val="zh-CN"/>
        </w:rPr>
        <w:t>主要负责人</w:t>
      </w:r>
      <w:r>
        <w:rPr>
          <w:rFonts w:hint="eastAsia" w:ascii="宋体" w:hAnsi="宋体" w:eastAsia="宋体" w:cs="宋体"/>
          <w:color w:val="auto"/>
          <w:kern w:val="1"/>
          <w:sz w:val="24"/>
          <w:szCs w:val="24"/>
          <w:highlight w:val="none"/>
        </w:rPr>
        <w:t>在前3年内不得具有行贿犯罪记录</w:t>
      </w:r>
      <w:r>
        <w:rPr>
          <w:rFonts w:hint="eastAsia" w:ascii="宋体" w:hAnsi="宋体" w:eastAsia="宋体" w:cs="宋体"/>
          <w:color w:val="auto"/>
          <w:sz w:val="24"/>
          <w:szCs w:val="24"/>
          <w:highlight w:val="none"/>
        </w:rPr>
        <w:t>（在投标文件中进行承诺，如果虚假承诺，作无效响应、中标处理）；</w:t>
      </w:r>
    </w:p>
    <w:p>
      <w:pPr>
        <w:pStyle w:val="32"/>
        <w:pageBreakBefore w:val="0"/>
        <w:widowControl w:val="0"/>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1"/>
          <w:sz w:val="24"/>
          <w:szCs w:val="24"/>
          <w:highlight w:val="none"/>
          <w:lang w:val="en-US" w:eastAsia="zh-CN"/>
        </w:rPr>
        <w:t>12</w:t>
      </w:r>
      <w:r>
        <w:rPr>
          <w:rFonts w:hint="eastAsia" w:ascii="宋体" w:hAnsi="宋体" w:eastAsia="宋体" w:cs="宋体"/>
          <w:color w:val="auto"/>
          <w:kern w:val="1"/>
          <w:sz w:val="24"/>
          <w:szCs w:val="24"/>
          <w:highlight w:val="none"/>
        </w:rPr>
        <w:t>、本项目</w:t>
      </w:r>
      <w:r>
        <w:rPr>
          <w:rFonts w:hint="eastAsia" w:ascii="宋体" w:hAnsi="宋体" w:eastAsia="宋体" w:cs="宋体"/>
          <w:color w:val="auto"/>
          <w:kern w:val="1"/>
          <w:sz w:val="24"/>
          <w:szCs w:val="24"/>
          <w:highlight w:val="none"/>
          <w:lang w:eastAsia="zh-CN"/>
        </w:rPr>
        <w:t>不</w:t>
      </w:r>
      <w:r>
        <w:rPr>
          <w:rFonts w:hint="eastAsia" w:ascii="宋体" w:hAnsi="宋体" w:eastAsia="宋体" w:cs="宋体"/>
          <w:color w:val="auto"/>
          <w:kern w:val="1"/>
          <w:sz w:val="24"/>
          <w:szCs w:val="24"/>
          <w:highlight w:val="none"/>
        </w:rPr>
        <w:t>接受联合体投标。</w:t>
      </w:r>
    </w:p>
    <w:p>
      <w:pPr>
        <w:pStyle w:val="4"/>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（二）资质性要求相关证明材料：无</w:t>
      </w:r>
    </w:p>
    <w:p>
      <w:pPr>
        <w:pStyle w:val="4"/>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（三）其他类似效力要求相关证明材料：</w:t>
      </w:r>
    </w:p>
    <w:p>
      <w:pPr>
        <w:pStyle w:val="32"/>
        <w:pageBreakBefore w:val="0"/>
        <w:widowControl w:val="0"/>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法定代表人/单位负责人身份证明材料复印件。</w:t>
      </w:r>
    </w:p>
    <w:p>
      <w:pPr>
        <w:pStyle w:val="32"/>
        <w:pageBreakBefore w:val="0"/>
        <w:widowControl w:val="0"/>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法定代表人/单位负责人授权代理书原件及代理人身份证明材料复印件（注：①法定代表人/单位负责人授权代理书原件需加盖公章；②如投标文件均由投标人法定代表人/单位负责人签字的且法定代表人/单位负责人本人参与投标的，则可不提供。）。</w:t>
      </w:r>
    </w:p>
    <w:p>
      <w:pPr>
        <w:pStyle w:val="4"/>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二、应当提供的投标产品的资格、资质性及其他具有类似效力的要求的相关证明材料</w:t>
      </w:r>
    </w:p>
    <w:p>
      <w:pPr>
        <w:pStyle w:val="4"/>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（一）资格要求相关证明材料：无</w:t>
      </w:r>
    </w:p>
    <w:p>
      <w:pPr>
        <w:pStyle w:val="4"/>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（二）资质性要求相关证明材料：无</w:t>
      </w:r>
    </w:p>
    <w:p>
      <w:pPr>
        <w:pStyle w:val="4"/>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（三）其他类似效力要求相关证明材料：无</w:t>
      </w:r>
    </w:p>
    <w:p>
      <w:pPr>
        <w:pageBreakBefore w:val="0"/>
        <w:widowControl w:val="0"/>
        <w:kinsoku/>
        <w:wordWrap/>
        <w:overflowPunct/>
        <w:topLinePunct w:val="0"/>
        <w:autoSpaceDE/>
        <w:autoSpaceDN/>
        <w:bidi w:val="0"/>
        <w:adjustRightInd/>
        <w:snapToGrid w:val="0"/>
        <w:spacing w:line="360" w:lineRule="auto"/>
        <w:ind w:right="-21" w:rightChars="-1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 1、以上要求投标人提供的证明材料复印件（身份证明材料除外）必须加盖投标人印章（鲜章）。</w:t>
      </w:r>
    </w:p>
    <w:p>
      <w:pPr>
        <w:spacing w:line="360" w:lineRule="auto"/>
        <w:rPr>
          <w:rFonts w:hint="eastAsia"/>
          <w:color w:val="auto"/>
        </w:rPr>
      </w:pPr>
      <w:r>
        <w:rPr>
          <w:rFonts w:hint="eastAsia" w:ascii="宋体" w:hAnsi="宋体" w:eastAsia="宋体" w:cs="宋体"/>
          <w:b/>
          <w:color w:val="auto"/>
          <w:sz w:val="24"/>
          <w:szCs w:val="24"/>
          <w:highlight w:val="none"/>
        </w:rPr>
        <w:br w:type="page"/>
      </w:r>
    </w:p>
    <w:p>
      <w:pPr>
        <w:pStyle w:val="3"/>
        <w:numPr>
          <w:ilvl w:val="0"/>
          <w:numId w:val="7"/>
        </w:numPr>
        <w:spacing w:line="360" w:lineRule="auto"/>
        <w:jc w:val="center"/>
        <w:rPr>
          <w:rFonts w:hint="eastAsia" w:hAnsi="宋体" w:cs="宋体"/>
          <w:color w:val="auto"/>
          <w:spacing w:val="-4"/>
          <w:sz w:val="30"/>
          <w:szCs w:val="30"/>
          <w:highlight w:val="none"/>
        </w:rPr>
      </w:pPr>
      <w:bookmarkStart w:id="121" w:name="_Toc323110302"/>
      <w:bookmarkStart w:id="122" w:name="_Toc318729336"/>
      <w:bookmarkStart w:id="123" w:name="_Toc1266"/>
      <w:r>
        <w:rPr>
          <w:rFonts w:hint="eastAsia" w:ascii="宋体" w:hAnsi="宋体" w:eastAsia="宋体" w:cs="宋体"/>
          <w:color w:val="auto"/>
          <w:sz w:val="32"/>
          <w:szCs w:val="32"/>
          <w:highlight w:val="none"/>
        </w:rPr>
        <w:t>招标项目技术、服务、政府采购合同内容条款及其他商务要求</w:t>
      </w:r>
      <w:bookmarkEnd w:id="121"/>
      <w:bookmarkEnd w:id="122"/>
      <w:bookmarkEnd w:id="123"/>
    </w:p>
    <w:p>
      <w:pPr>
        <w:widowControl/>
        <w:snapToGrid w:val="0"/>
        <w:spacing w:line="312" w:lineRule="auto"/>
        <w:jc w:val="left"/>
        <w:rPr>
          <w:rFonts w:hint="eastAsia" w:ascii="宋体" w:hAnsi="宋体" w:cs="宋体"/>
          <w:color w:val="auto"/>
          <w:sz w:val="24"/>
          <w:szCs w:val="24"/>
        </w:rPr>
      </w:pPr>
      <w:r>
        <w:rPr>
          <w:rFonts w:hint="eastAsia" w:ascii="宋体" w:hAnsi="宋体" w:cs="宋体"/>
          <w:b/>
          <w:color w:val="auto"/>
          <w:kern w:val="0"/>
          <w:sz w:val="24"/>
          <w:szCs w:val="24"/>
          <w:lang w:bidi="ar"/>
        </w:rPr>
        <w:t xml:space="preserve">一、 项目情况 </w:t>
      </w:r>
    </w:p>
    <w:p>
      <w:pPr>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应成都市双流区路灯管理所</w:t>
      </w:r>
      <w:r>
        <w:rPr>
          <w:rFonts w:hint="eastAsia" w:ascii="宋体" w:hAnsi="宋体" w:cs="宋体"/>
          <w:color w:val="auto"/>
          <w:kern w:val="1"/>
          <w:sz w:val="24"/>
          <w:szCs w:val="24"/>
        </w:rPr>
        <w:t>工作的需要，</w:t>
      </w:r>
      <w:r>
        <w:rPr>
          <w:rFonts w:hint="eastAsia" w:ascii="宋体" w:hAnsi="宋体" w:cs="宋体"/>
          <w:color w:val="auto"/>
          <w:sz w:val="24"/>
          <w:szCs w:val="24"/>
        </w:rPr>
        <w:t>对双流区背街小巷进行“有路无灯”整治路灯设施安装采购项目。</w:t>
      </w:r>
    </w:p>
    <w:p>
      <w:pPr>
        <w:numPr>
          <w:ilvl w:val="0"/>
          <w:numId w:val="6"/>
        </w:numPr>
        <w:snapToGrid w:val="0"/>
        <w:spacing w:line="312" w:lineRule="auto"/>
        <w:ind w:left="0" w:leftChars="0" w:firstLine="0" w:firstLineChars="0"/>
        <w:rPr>
          <w:rFonts w:hint="eastAsia" w:ascii="宋体" w:hAnsi="宋体" w:cs="宋体"/>
          <w:b/>
          <w:color w:val="auto"/>
          <w:kern w:val="0"/>
          <w:sz w:val="24"/>
          <w:szCs w:val="24"/>
          <w:lang w:bidi="ar"/>
        </w:rPr>
      </w:pPr>
      <w:r>
        <w:rPr>
          <w:rFonts w:hint="eastAsia" w:ascii="宋体" w:hAnsi="宋体" w:cs="宋体"/>
          <w:b/>
          <w:color w:val="auto"/>
          <w:kern w:val="0"/>
          <w:sz w:val="24"/>
          <w:szCs w:val="24"/>
          <w:lang w:bidi="ar"/>
        </w:rPr>
        <w:t>技术规格、参数与要求</w:t>
      </w:r>
    </w:p>
    <w:p>
      <w:pPr>
        <w:numPr>
          <w:ilvl w:val="0"/>
          <w:numId w:val="0"/>
        </w:numPr>
        <w:snapToGrid w:val="0"/>
        <w:spacing w:line="312" w:lineRule="auto"/>
        <w:ind w:leftChars="0"/>
        <w:rPr>
          <w:rFonts w:hint="eastAsia" w:ascii="宋体" w:hAnsi="宋体" w:cs="宋体"/>
          <w:b/>
          <w:color w:val="auto"/>
          <w:kern w:val="0"/>
          <w:sz w:val="24"/>
          <w:szCs w:val="24"/>
          <w:lang w:eastAsia="zh-CN" w:bidi="ar"/>
        </w:rPr>
      </w:pPr>
      <w:r>
        <w:rPr>
          <w:rFonts w:hint="eastAsia" w:ascii="宋体" w:hAnsi="宋体" w:cs="宋体"/>
          <w:b/>
          <w:color w:val="auto"/>
          <w:kern w:val="0"/>
          <w:sz w:val="24"/>
          <w:szCs w:val="24"/>
          <w:lang w:eastAsia="zh-CN" w:bidi="ar"/>
        </w:rPr>
        <w:t>（本项目核心产品为：6米（单臂）路灯灯杆</w:t>
      </w:r>
      <w:r>
        <w:rPr>
          <w:rFonts w:hint="eastAsia" w:ascii="宋体" w:hAnsi="宋体" w:cs="宋体"/>
          <w:b/>
          <w:color w:val="auto"/>
          <w:kern w:val="0"/>
          <w:sz w:val="24"/>
          <w:szCs w:val="24"/>
          <w:lang w:val="en-US" w:eastAsia="zh-CN" w:bidi="ar"/>
        </w:rPr>
        <w:t>和</w:t>
      </w:r>
      <w:r>
        <w:rPr>
          <w:rFonts w:hint="eastAsia" w:ascii="宋体" w:hAnsi="宋体" w:cs="宋体"/>
          <w:b/>
          <w:color w:val="auto"/>
          <w:kern w:val="0"/>
          <w:sz w:val="24"/>
          <w:szCs w:val="24"/>
          <w:lang w:eastAsia="zh-CN" w:bidi="ar"/>
        </w:rPr>
        <w:t>90W微光灯具）</w:t>
      </w:r>
    </w:p>
    <w:p>
      <w:pPr>
        <w:widowControl/>
        <w:adjustRightInd w:val="0"/>
        <w:snapToGrid w:val="0"/>
        <w:spacing w:line="312" w:lineRule="auto"/>
        <w:jc w:val="left"/>
        <w:rPr>
          <w:rFonts w:hint="eastAsia" w:ascii="宋体" w:hAnsi="宋体" w:cs="宋体"/>
          <w:color w:val="auto"/>
          <w:kern w:val="0"/>
          <w:sz w:val="24"/>
          <w:szCs w:val="24"/>
        </w:rPr>
      </w:pPr>
      <w:r>
        <w:rPr>
          <w:rFonts w:hint="eastAsia" w:ascii="宋体" w:hAnsi="宋体" w:cs="宋体"/>
          <w:color w:val="auto"/>
          <w:kern w:val="0"/>
          <w:sz w:val="24"/>
          <w:szCs w:val="24"/>
        </w:rPr>
        <w:t>（一）数量</w:t>
      </w:r>
    </w:p>
    <w:p>
      <w:pPr>
        <w:widowControl/>
        <w:snapToGrid w:val="0"/>
        <w:spacing w:line="312" w:lineRule="auto"/>
        <w:ind w:firstLine="480" w:firstLineChars="200"/>
        <w:textAlignment w:val="center"/>
        <w:rPr>
          <w:rFonts w:hint="eastAsia" w:ascii="宋体" w:hAnsi="宋体" w:cs="宋体"/>
          <w:color w:val="auto"/>
          <w:sz w:val="24"/>
          <w:szCs w:val="24"/>
        </w:rPr>
      </w:pPr>
      <w:r>
        <w:rPr>
          <w:rFonts w:hint="eastAsia" w:ascii="宋体" w:hAnsi="宋体" w:cs="宋体"/>
          <w:color w:val="auto"/>
          <w:kern w:val="0"/>
          <w:sz w:val="24"/>
          <w:szCs w:val="24"/>
        </w:rPr>
        <w:t>6米（单臂）路灯灯杆90柱、90W微光灯具90套（具体数量见附件1）</w:t>
      </w:r>
    </w:p>
    <w:p>
      <w:pPr>
        <w:widowControl/>
        <w:numPr>
          <w:ilvl w:val="0"/>
          <w:numId w:val="8"/>
        </w:numPr>
        <w:adjustRightInd w:val="0"/>
        <w:snapToGrid w:val="0"/>
        <w:spacing w:line="312" w:lineRule="auto"/>
        <w:jc w:val="left"/>
        <w:rPr>
          <w:rFonts w:hint="eastAsia" w:ascii="宋体" w:hAnsi="宋体" w:cs="宋体"/>
          <w:color w:val="auto"/>
          <w:kern w:val="0"/>
          <w:sz w:val="24"/>
          <w:szCs w:val="24"/>
        </w:rPr>
      </w:pPr>
      <w:r>
        <w:rPr>
          <w:rFonts w:hint="eastAsia" w:ascii="宋体" w:hAnsi="宋体" w:cs="宋体"/>
          <w:color w:val="auto"/>
          <w:kern w:val="0"/>
          <w:sz w:val="24"/>
          <w:szCs w:val="24"/>
        </w:rPr>
        <w:t>用途的简要说明</w:t>
      </w:r>
    </w:p>
    <w:p>
      <w:pPr>
        <w:widowControl/>
        <w:adjustRightInd w:val="0"/>
        <w:snapToGrid w:val="0"/>
        <w:spacing w:line="312"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用于背街小巷有路无灯道路路灯的安装。</w:t>
      </w:r>
    </w:p>
    <w:p>
      <w:pPr>
        <w:widowControl/>
        <w:numPr>
          <w:ilvl w:val="0"/>
          <w:numId w:val="8"/>
        </w:numPr>
        <w:adjustRightInd w:val="0"/>
        <w:snapToGrid w:val="0"/>
        <w:spacing w:line="312" w:lineRule="auto"/>
        <w:jc w:val="left"/>
        <w:rPr>
          <w:rFonts w:hint="eastAsia" w:ascii="宋体" w:hAnsi="宋体" w:cs="宋体"/>
          <w:color w:val="auto"/>
          <w:kern w:val="0"/>
          <w:sz w:val="24"/>
          <w:szCs w:val="24"/>
        </w:rPr>
      </w:pPr>
      <w:r>
        <w:rPr>
          <w:rFonts w:hint="eastAsia" w:ascii="宋体" w:hAnsi="宋体" w:cs="宋体"/>
          <w:color w:val="auto"/>
          <w:kern w:val="0"/>
          <w:sz w:val="24"/>
          <w:szCs w:val="24"/>
        </w:rPr>
        <w:t>技术规格、参数与要求（含技术文件、图纸、标准、工作条件、环境要求等）(具体参数指标参见附件2大样图）</w:t>
      </w:r>
    </w:p>
    <w:p>
      <w:pPr>
        <w:widowControl/>
        <w:adjustRightInd w:val="0"/>
        <w:snapToGrid w:val="0"/>
        <w:spacing w:line="312" w:lineRule="auto"/>
        <w:jc w:val="left"/>
        <w:rPr>
          <w:rFonts w:hint="eastAsia" w:ascii="宋体" w:hAnsi="宋体" w:cs="宋体"/>
          <w:color w:val="auto"/>
          <w:kern w:val="0"/>
          <w:sz w:val="24"/>
          <w:szCs w:val="24"/>
        </w:rPr>
      </w:pPr>
      <w:r>
        <w:rPr>
          <w:rFonts w:hint="eastAsia" w:ascii="宋体" w:hAnsi="宋体" w:cs="宋体"/>
          <w:color w:val="auto"/>
          <w:kern w:val="0"/>
          <w:sz w:val="24"/>
          <w:szCs w:val="24"/>
        </w:rPr>
        <w:t>（四）★技术要求：</w:t>
      </w:r>
    </w:p>
    <w:p>
      <w:pPr>
        <w:widowControl/>
        <w:adjustRightInd w:val="0"/>
        <w:snapToGrid w:val="0"/>
        <w:spacing w:line="312" w:lineRule="auto"/>
        <w:jc w:val="left"/>
        <w:rPr>
          <w:rFonts w:hint="eastAsia" w:ascii="宋体" w:hAnsi="宋体" w:cs="宋体"/>
          <w:color w:val="auto"/>
          <w:kern w:val="0"/>
          <w:sz w:val="24"/>
          <w:szCs w:val="24"/>
        </w:rPr>
      </w:pPr>
      <w:r>
        <w:rPr>
          <w:rFonts w:hint="eastAsia" w:ascii="宋体" w:hAnsi="宋体" w:cs="宋体"/>
          <w:color w:val="auto"/>
          <w:kern w:val="0"/>
          <w:sz w:val="24"/>
          <w:szCs w:val="24"/>
        </w:rPr>
        <w:t>1、灯杆材质：</w:t>
      </w:r>
    </w:p>
    <w:p>
      <w:pPr>
        <w:widowControl/>
        <w:adjustRightInd w:val="0"/>
        <w:snapToGrid w:val="0"/>
        <w:spacing w:line="312" w:lineRule="auto"/>
        <w:ind w:firstLine="240" w:firstLineChars="100"/>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（1）灯杆高6米：采用优质Q235钢材，折弯成型的锥形杆，一次成型。灯杆上口径Φ75mm，下口径Φ152mm，壁厚δ≥4mm，主杆颜色为标准深灰色CD-001。其他具体尺寸见灯杆大样图。    </w:t>
      </w:r>
    </w:p>
    <w:p>
      <w:pPr>
        <w:widowControl/>
        <w:adjustRightInd w:val="0"/>
        <w:snapToGrid w:val="0"/>
        <w:spacing w:line="312" w:lineRule="auto"/>
        <w:jc w:val="left"/>
        <w:rPr>
          <w:rFonts w:hint="eastAsia" w:ascii="宋体" w:hAnsi="宋体" w:cs="宋体"/>
          <w:color w:val="auto"/>
          <w:kern w:val="0"/>
          <w:sz w:val="24"/>
          <w:szCs w:val="24"/>
        </w:rPr>
      </w:pPr>
      <w:r>
        <w:rPr>
          <w:rFonts w:hint="eastAsia" w:ascii="宋体" w:hAnsi="宋体" w:cs="宋体"/>
          <w:color w:val="auto"/>
          <w:kern w:val="0"/>
          <w:sz w:val="24"/>
          <w:szCs w:val="24"/>
        </w:rPr>
        <w:t>2、灯具技术要求：</w:t>
      </w:r>
    </w:p>
    <w:p>
      <w:pPr>
        <w:widowControl/>
        <w:adjustRightInd w:val="0"/>
        <w:snapToGrid w:val="0"/>
        <w:spacing w:line="312" w:lineRule="auto"/>
        <w:ind w:firstLine="240" w:firstLineChars="100"/>
        <w:jc w:val="left"/>
        <w:rPr>
          <w:rFonts w:hint="eastAsia" w:ascii="宋体" w:hAnsi="宋体" w:cs="宋体"/>
          <w:color w:val="auto"/>
          <w:kern w:val="0"/>
          <w:sz w:val="24"/>
          <w:szCs w:val="24"/>
        </w:rPr>
      </w:pPr>
      <w:r>
        <w:rPr>
          <w:rFonts w:hint="eastAsia" w:ascii="宋体" w:hAnsi="宋体" w:cs="宋体"/>
          <w:color w:val="auto"/>
          <w:kern w:val="0"/>
          <w:sz w:val="24"/>
          <w:szCs w:val="24"/>
        </w:rPr>
        <w:t>（1）90W微光灯具：</w:t>
      </w:r>
    </w:p>
    <w:p>
      <w:pPr>
        <w:widowControl/>
        <w:adjustRightInd w:val="0"/>
        <w:snapToGrid w:val="0"/>
        <w:spacing w:line="312" w:lineRule="auto"/>
        <w:ind w:firstLine="240" w:firstLineChars="100"/>
        <w:jc w:val="left"/>
        <w:rPr>
          <w:rFonts w:hint="eastAsia" w:ascii="宋体" w:hAnsi="宋体" w:cs="宋体"/>
          <w:color w:val="auto"/>
          <w:kern w:val="0"/>
          <w:sz w:val="24"/>
          <w:szCs w:val="24"/>
        </w:rPr>
      </w:pPr>
      <w:r>
        <w:rPr>
          <w:rFonts w:hint="eastAsia" w:ascii="宋体" w:hAnsi="宋体" w:cs="宋体"/>
          <w:color w:val="auto"/>
          <w:kern w:val="0"/>
          <w:sz w:val="24"/>
          <w:szCs w:val="24"/>
        </w:rPr>
        <w:t>LED光源：    90W，防水模组光源；</w:t>
      </w:r>
    </w:p>
    <w:p>
      <w:pPr>
        <w:widowControl/>
        <w:adjustRightInd w:val="0"/>
        <w:snapToGrid w:val="0"/>
        <w:spacing w:line="312" w:lineRule="auto"/>
        <w:ind w:firstLine="240" w:firstLineChars="100"/>
        <w:jc w:val="left"/>
        <w:rPr>
          <w:rFonts w:hint="eastAsia" w:ascii="宋体" w:hAnsi="宋体" w:cs="宋体"/>
          <w:color w:val="auto"/>
          <w:kern w:val="0"/>
          <w:sz w:val="24"/>
          <w:szCs w:val="24"/>
        </w:rPr>
      </w:pPr>
      <w:r>
        <w:rPr>
          <w:rFonts w:hint="eastAsia" w:ascii="宋体" w:hAnsi="宋体" w:cs="宋体"/>
          <w:color w:val="auto"/>
          <w:kern w:val="0"/>
          <w:sz w:val="24"/>
          <w:szCs w:val="24"/>
        </w:rPr>
        <w:t>照度：        180 LM/W</w:t>
      </w:r>
    </w:p>
    <w:p>
      <w:pPr>
        <w:widowControl/>
        <w:adjustRightInd w:val="0"/>
        <w:snapToGrid w:val="0"/>
        <w:spacing w:line="312" w:lineRule="auto"/>
        <w:ind w:firstLine="240" w:firstLineChars="100"/>
        <w:jc w:val="left"/>
        <w:rPr>
          <w:rFonts w:ascii="宋体" w:hAnsi="宋体" w:cs="宋体"/>
          <w:color w:val="auto"/>
          <w:kern w:val="0"/>
          <w:sz w:val="24"/>
          <w:szCs w:val="24"/>
        </w:rPr>
      </w:pPr>
      <w:r>
        <w:rPr>
          <w:rFonts w:hint="eastAsia" w:ascii="宋体" w:hAnsi="宋体" w:cs="宋体"/>
          <w:color w:val="auto"/>
          <w:kern w:val="0"/>
          <w:sz w:val="24"/>
          <w:szCs w:val="24"/>
        </w:rPr>
        <w:t>电池板：      18V/200W</w:t>
      </w:r>
    </w:p>
    <w:p>
      <w:pPr>
        <w:widowControl/>
        <w:adjustRightInd w:val="0"/>
        <w:snapToGrid w:val="0"/>
        <w:spacing w:line="312" w:lineRule="auto"/>
        <w:ind w:firstLine="240" w:firstLineChars="100"/>
        <w:jc w:val="left"/>
        <w:rPr>
          <w:rFonts w:hint="eastAsia" w:ascii="宋体" w:hAnsi="宋体" w:cs="宋体"/>
          <w:color w:val="auto"/>
          <w:kern w:val="0"/>
          <w:sz w:val="24"/>
          <w:szCs w:val="24"/>
        </w:rPr>
      </w:pPr>
      <w:r>
        <w:rPr>
          <w:rFonts w:hint="eastAsia" w:ascii="宋体" w:hAnsi="宋体" w:cs="宋体"/>
          <w:color w:val="auto"/>
          <w:kern w:val="0"/>
          <w:sz w:val="24"/>
          <w:szCs w:val="24"/>
        </w:rPr>
        <w:t>电压 锂电池： 磷酸铁锂锂电池12.8V/80AH</w:t>
      </w:r>
    </w:p>
    <w:p>
      <w:pPr>
        <w:widowControl/>
        <w:adjustRightInd w:val="0"/>
        <w:snapToGrid w:val="0"/>
        <w:spacing w:line="312" w:lineRule="auto"/>
        <w:ind w:firstLine="240" w:firstLineChars="100"/>
        <w:jc w:val="left"/>
        <w:rPr>
          <w:rFonts w:hint="eastAsia" w:ascii="宋体" w:hAnsi="宋体" w:cs="宋体"/>
          <w:color w:val="auto"/>
          <w:kern w:val="0"/>
          <w:sz w:val="24"/>
          <w:szCs w:val="24"/>
        </w:rPr>
      </w:pPr>
      <w:r>
        <w:rPr>
          <w:rFonts w:hint="eastAsia" w:ascii="宋体" w:hAnsi="宋体" w:cs="宋体"/>
          <w:color w:val="auto"/>
          <w:kern w:val="0"/>
          <w:sz w:val="24"/>
          <w:szCs w:val="24"/>
        </w:rPr>
        <w:t>色温：        3000K～5000K</w:t>
      </w:r>
    </w:p>
    <w:p>
      <w:pPr>
        <w:widowControl/>
        <w:adjustRightInd w:val="0"/>
        <w:snapToGrid w:val="0"/>
        <w:spacing w:line="312" w:lineRule="auto"/>
        <w:ind w:firstLine="240" w:firstLineChars="100"/>
        <w:jc w:val="left"/>
        <w:rPr>
          <w:rFonts w:ascii="宋体" w:hAnsi="宋体" w:cs="宋体"/>
          <w:color w:val="auto"/>
          <w:kern w:val="0"/>
          <w:sz w:val="24"/>
          <w:szCs w:val="24"/>
        </w:rPr>
      </w:pPr>
      <w:r>
        <w:rPr>
          <w:rFonts w:hint="eastAsia" w:ascii="宋体" w:hAnsi="宋体" w:cs="宋体"/>
          <w:color w:val="auto"/>
          <w:kern w:val="0"/>
          <w:sz w:val="24"/>
          <w:szCs w:val="24"/>
        </w:rPr>
        <w:t>显色指数：    75</w:t>
      </w:r>
    </w:p>
    <w:p>
      <w:pPr>
        <w:widowControl/>
        <w:adjustRightInd w:val="0"/>
        <w:snapToGrid w:val="0"/>
        <w:spacing w:line="312" w:lineRule="auto"/>
        <w:ind w:firstLine="240" w:firstLineChars="100"/>
        <w:jc w:val="left"/>
        <w:rPr>
          <w:rFonts w:hint="eastAsia" w:ascii="宋体" w:hAnsi="宋体" w:cs="宋体"/>
          <w:color w:val="auto"/>
          <w:kern w:val="0"/>
          <w:sz w:val="24"/>
          <w:szCs w:val="24"/>
        </w:rPr>
      </w:pPr>
      <w:r>
        <w:rPr>
          <w:rFonts w:hint="eastAsia" w:ascii="宋体" w:hAnsi="宋体" w:cs="宋体"/>
          <w:color w:val="auto"/>
          <w:kern w:val="0"/>
          <w:sz w:val="24"/>
          <w:szCs w:val="24"/>
        </w:rPr>
        <w:t>使用环境：    -40℃～70℃</w:t>
      </w:r>
    </w:p>
    <w:p>
      <w:pPr>
        <w:widowControl/>
        <w:adjustRightInd w:val="0"/>
        <w:snapToGrid w:val="0"/>
        <w:spacing w:line="312" w:lineRule="auto"/>
        <w:ind w:firstLine="240" w:firstLineChars="100"/>
        <w:jc w:val="left"/>
        <w:rPr>
          <w:rFonts w:hint="eastAsia" w:ascii="宋体" w:hAnsi="宋体" w:cs="宋体"/>
          <w:color w:val="auto"/>
          <w:kern w:val="0"/>
          <w:sz w:val="24"/>
          <w:szCs w:val="24"/>
        </w:rPr>
      </w:pPr>
      <w:r>
        <w:rPr>
          <w:rFonts w:hint="eastAsia" w:ascii="宋体" w:hAnsi="宋体" w:cs="宋体"/>
          <w:color w:val="auto"/>
          <w:kern w:val="0"/>
          <w:sz w:val="24"/>
          <w:szCs w:val="24"/>
        </w:rPr>
        <w:t>灯具材质：    型材铝，套头Q235钢</w:t>
      </w:r>
    </w:p>
    <w:p>
      <w:pPr>
        <w:widowControl/>
        <w:adjustRightInd w:val="0"/>
        <w:snapToGrid w:val="0"/>
        <w:spacing w:line="312" w:lineRule="auto"/>
        <w:ind w:firstLine="240" w:firstLineChars="100"/>
        <w:jc w:val="left"/>
        <w:rPr>
          <w:rFonts w:hint="eastAsia" w:ascii="宋体" w:hAnsi="宋体" w:cs="宋体"/>
          <w:color w:val="auto"/>
          <w:sz w:val="24"/>
          <w:szCs w:val="24"/>
        </w:rPr>
      </w:pPr>
      <w:r>
        <w:rPr>
          <w:rFonts w:hint="eastAsia" w:ascii="宋体" w:hAnsi="宋体" w:cs="宋体"/>
          <w:color w:val="auto"/>
          <w:kern w:val="0"/>
          <w:sz w:val="24"/>
          <w:szCs w:val="24"/>
        </w:rPr>
        <w:t>防护等级：    IP65</w:t>
      </w:r>
    </w:p>
    <w:p>
      <w:pPr>
        <w:widowControl/>
        <w:adjustRightInd w:val="0"/>
        <w:snapToGrid w:val="0"/>
        <w:spacing w:line="312" w:lineRule="auto"/>
        <w:jc w:val="left"/>
        <w:rPr>
          <w:rFonts w:hint="eastAsia" w:ascii="宋体" w:hAnsi="宋体" w:cs="宋体"/>
          <w:color w:val="auto"/>
          <w:kern w:val="0"/>
          <w:sz w:val="24"/>
          <w:szCs w:val="24"/>
        </w:rPr>
      </w:pPr>
      <w:r>
        <w:rPr>
          <w:rFonts w:hint="eastAsia" w:ascii="宋体" w:hAnsi="宋体" w:cs="宋体"/>
          <w:color w:val="auto"/>
          <w:kern w:val="0"/>
          <w:sz w:val="24"/>
          <w:szCs w:val="24"/>
        </w:rPr>
        <w:t>3、路灯基础：灯杆基础采用ф300*1500预制，安装灯杆基础时，基础法兰盘表面低于地面20cm。</w:t>
      </w:r>
    </w:p>
    <w:p>
      <w:pPr>
        <w:widowControl/>
        <w:adjustRightInd w:val="0"/>
        <w:snapToGrid w:val="0"/>
        <w:spacing w:line="312" w:lineRule="auto"/>
        <w:jc w:val="left"/>
        <w:rPr>
          <w:rFonts w:hint="eastAsia" w:ascii="宋体" w:hAnsi="宋体" w:cs="宋体"/>
          <w:color w:val="auto"/>
          <w:kern w:val="0"/>
          <w:sz w:val="24"/>
          <w:szCs w:val="24"/>
        </w:rPr>
      </w:pPr>
      <w:r>
        <w:rPr>
          <w:rFonts w:hint="eastAsia" w:ascii="宋体" w:hAnsi="宋体" w:cs="宋体"/>
          <w:color w:val="auto"/>
          <w:kern w:val="0"/>
          <w:sz w:val="24"/>
          <w:szCs w:val="24"/>
        </w:rPr>
        <w:t>4、其他要求：</w:t>
      </w:r>
    </w:p>
    <w:p>
      <w:pPr>
        <w:widowControl/>
        <w:adjustRightInd w:val="0"/>
        <w:snapToGrid w:val="0"/>
        <w:spacing w:line="312" w:lineRule="auto"/>
        <w:jc w:val="left"/>
        <w:rPr>
          <w:rFonts w:hint="eastAsia" w:ascii="宋体" w:hAnsi="宋体" w:cs="宋体"/>
          <w:color w:val="auto"/>
          <w:kern w:val="0"/>
          <w:sz w:val="24"/>
          <w:szCs w:val="24"/>
        </w:rPr>
      </w:pPr>
      <w:r>
        <w:rPr>
          <w:rFonts w:hint="eastAsia" w:ascii="宋体" w:hAnsi="宋体" w:cs="宋体"/>
          <w:color w:val="auto"/>
          <w:kern w:val="0"/>
          <w:sz w:val="24"/>
          <w:szCs w:val="24"/>
        </w:rPr>
        <w:t>此次灯杆灯具采购项目包含运输、安装、调试等。</w:t>
      </w:r>
    </w:p>
    <w:p>
      <w:pPr>
        <w:widowControl/>
        <w:adjustRightInd w:val="0"/>
        <w:snapToGrid w:val="0"/>
        <w:spacing w:line="312" w:lineRule="auto"/>
        <w:jc w:val="left"/>
        <w:rPr>
          <w:rFonts w:hint="eastAsia" w:ascii="宋体" w:hAnsi="宋体" w:cs="宋体"/>
          <w:b/>
          <w:color w:val="auto"/>
          <w:kern w:val="0"/>
          <w:sz w:val="24"/>
          <w:szCs w:val="24"/>
        </w:rPr>
      </w:pPr>
    </w:p>
    <w:p>
      <w:pPr>
        <w:widowControl/>
        <w:adjustRightInd w:val="0"/>
        <w:snapToGrid w:val="0"/>
        <w:spacing w:line="312" w:lineRule="auto"/>
        <w:jc w:val="left"/>
        <w:rPr>
          <w:rFonts w:hint="eastAsia" w:ascii="宋体" w:hAnsi="宋体" w:cs="宋体"/>
          <w:b/>
          <w:color w:val="auto"/>
          <w:kern w:val="0"/>
          <w:sz w:val="24"/>
          <w:szCs w:val="24"/>
        </w:rPr>
      </w:pPr>
      <w:r>
        <w:rPr>
          <w:rFonts w:hint="eastAsia" w:ascii="宋体" w:hAnsi="宋体" w:cs="宋体"/>
          <w:b/>
          <w:color w:val="auto"/>
          <w:kern w:val="0"/>
          <w:sz w:val="24"/>
          <w:szCs w:val="24"/>
        </w:rPr>
        <w:t>三、售后服务的要求</w:t>
      </w:r>
    </w:p>
    <w:p>
      <w:pPr>
        <w:widowControl/>
        <w:adjustRightInd w:val="0"/>
        <w:snapToGrid w:val="0"/>
        <w:spacing w:line="312"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灯杆</w:t>
      </w:r>
      <w:r>
        <w:rPr>
          <w:rFonts w:hint="eastAsia" w:ascii="宋体" w:hAnsi="宋体" w:cs="宋体"/>
          <w:color w:val="auto"/>
          <w:kern w:val="0"/>
          <w:sz w:val="24"/>
          <w:szCs w:val="24"/>
          <w:lang w:eastAsia="zh-CN"/>
        </w:rPr>
        <w:t>和灯具</w:t>
      </w:r>
      <w:r>
        <w:rPr>
          <w:rFonts w:hint="eastAsia" w:ascii="宋体" w:hAnsi="宋体" w:cs="宋体"/>
          <w:color w:val="auto"/>
          <w:kern w:val="0"/>
          <w:sz w:val="24"/>
          <w:szCs w:val="24"/>
        </w:rPr>
        <w:t>质量保质期为</w:t>
      </w:r>
      <w:r>
        <w:rPr>
          <w:rFonts w:hint="eastAsia" w:ascii="宋体" w:hAnsi="宋体" w:cs="宋体"/>
          <w:color w:val="auto"/>
          <w:kern w:val="0"/>
          <w:sz w:val="24"/>
          <w:szCs w:val="24"/>
          <w:lang w:eastAsia="zh-CN"/>
        </w:rPr>
        <w:t>三</w:t>
      </w:r>
      <w:r>
        <w:rPr>
          <w:rFonts w:hint="eastAsia" w:ascii="宋体" w:hAnsi="宋体" w:cs="宋体"/>
          <w:color w:val="auto"/>
          <w:kern w:val="0"/>
          <w:sz w:val="24"/>
          <w:szCs w:val="24"/>
        </w:rPr>
        <w:t>年，蓄电池质保期为一年；如因产品质量本身质量缺陷问题在一日内进行整改。</w:t>
      </w:r>
    </w:p>
    <w:p>
      <w:pPr>
        <w:pStyle w:val="30"/>
        <w:numPr>
          <w:ilvl w:val="0"/>
          <w:numId w:val="0"/>
        </w:numPr>
        <w:snapToGrid w:val="0"/>
        <w:spacing w:before="0" w:after="0" w:line="312" w:lineRule="auto"/>
        <w:rPr>
          <w:rFonts w:hint="eastAsia" w:ascii="宋体" w:hAnsi="宋体" w:eastAsia="宋体" w:cs="宋体"/>
          <w:color w:val="auto"/>
          <w:szCs w:val="24"/>
        </w:rPr>
      </w:pPr>
      <w:r>
        <w:rPr>
          <w:rFonts w:hint="eastAsia" w:ascii="宋体" w:hAnsi="宋体" w:eastAsia="宋体" w:cs="宋体"/>
          <w:bCs/>
          <w:color w:val="auto"/>
          <w:szCs w:val="24"/>
        </w:rPr>
        <w:t>★</w:t>
      </w:r>
      <w:r>
        <w:rPr>
          <w:rFonts w:hint="eastAsia" w:ascii="宋体" w:hAnsi="宋体" w:eastAsia="宋体" w:cs="宋体"/>
          <w:color w:val="auto"/>
          <w:szCs w:val="24"/>
        </w:rPr>
        <w:t>四、商务要求</w:t>
      </w:r>
    </w:p>
    <w:p>
      <w:pPr>
        <w:widowControl/>
        <w:adjustRightInd w:val="0"/>
        <w:snapToGrid w:val="0"/>
        <w:spacing w:line="312" w:lineRule="auto"/>
        <w:ind w:firstLine="480" w:firstLineChars="200"/>
        <w:jc w:val="left"/>
        <w:rPr>
          <w:rFonts w:hint="eastAsia" w:ascii="宋体" w:hAnsi="宋体" w:cs="宋体"/>
          <w:color w:val="auto"/>
          <w:kern w:val="0"/>
          <w:sz w:val="24"/>
          <w:szCs w:val="24"/>
        </w:rPr>
      </w:pPr>
      <w:r>
        <w:rPr>
          <w:rFonts w:hint="eastAsia" w:ascii="宋体" w:hAnsi="宋体" w:cs="宋体"/>
          <w:color w:val="auto"/>
          <w:sz w:val="24"/>
          <w:szCs w:val="24"/>
        </w:rPr>
        <w:t>1、</w:t>
      </w:r>
      <w:r>
        <w:rPr>
          <w:rFonts w:hint="eastAsia" w:ascii="宋体" w:hAnsi="宋体" w:cs="宋体"/>
          <w:color w:val="auto"/>
          <w:kern w:val="0"/>
          <w:sz w:val="24"/>
          <w:szCs w:val="24"/>
        </w:rPr>
        <w:t>付款方法：签订合同后5个工作日内支付合同金额的30%，合同签订交货并安装调试合格后10个工作日内支付至合同金额的97%，待质保期满后15个工作日内支付最后的3%。</w:t>
      </w:r>
    </w:p>
    <w:p>
      <w:pPr>
        <w:widowControl/>
        <w:adjustRightInd w:val="0"/>
        <w:snapToGrid w:val="0"/>
        <w:spacing w:line="312"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2、供货地点：双流区辖区内指定地点。</w:t>
      </w:r>
    </w:p>
    <w:p>
      <w:pPr>
        <w:widowControl/>
        <w:adjustRightInd w:val="0"/>
        <w:snapToGrid w:val="0"/>
        <w:spacing w:line="312"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3、服务期限：签订合同日起20日安装完毕并验收合格。</w:t>
      </w:r>
    </w:p>
    <w:p>
      <w:pPr>
        <w:pStyle w:val="30"/>
        <w:numPr>
          <w:ilvl w:val="4"/>
          <w:numId w:val="0"/>
        </w:numPr>
        <w:snapToGrid w:val="0"/>
        <w:spacing w:before="0" w:after="0" w:line="312" w:lineRule="auto"/>
        <w:rPr>
          <w:rFonts w:hint="eastAsia" w:ascii="宋体" w:hAnsi="宋体" w:eastAsia="宋体" w:cs="宋体"/>
          <w:color w:val="auto"/>
          <w:szCs w:val="24"/>
        </w:rPr>
      </w:pPr>
      <w:r>
        <w:rPr>
          <w:rFonts w:hint="eastAsia" w:ascii="宋体" w:hAnsi="宋体" w:eastAsia="宋体" w:cs="宋体"/>
          <w:color w:val="auto"/>
          <w:szCs w:val="24"/>
        </w:rPr>
        <w:t>四、项目验收</w:t>
      </w:r>
    </w:p>
    <w:p>
      <w:pPr>
        <w:widowControl/>
        <w:snapToGrid w:val="0"/>
        <w:spacing w:line="312" w:lineRule="auto"/>
        <w:jc w:val="left"/>
        <w:rPr>
          <w:rFonts w:hint="eastAsia" w:ascii="宋体" w:hAnsi="宋体" w:cs="宋体"/>
          <w:color w:val="auto"/>
          <w:kern w:val="0"/>
          <w:sz w:val="24"/>
          <w:szCs w:val="24"/>
        </w:rPr>
      </w:pPr>
      <w:r>
        <w:rPr>
          <w:rFonts w:hint="eastAsia" w:ascii="宋体" w:hAnsi="宋体" w:cs="宋体"/>
          <w:color w:val="auto"/>
          <w:kern w:val="0"/>
          <w:sz w:val="24"/>
          <w:szCs w:val="24"/>
        </w:rPr>
        <w:t>（一）</w:t>
      </w:r>
      <w:r>
        <w:rPr>
          <w:rFonts w:hint="eastAsia" w:ascii="宋体" w:hAnsi="宋体" w:cs="宋体"/>
          <w:color w:val="auto"/>
          <w:kern w:val="0"/>
          <w:sz w:val="24"/>
          <w:szCs w:val="24"/>
          <w:lang w:val="zh-CN"/>
        </w:rPr>
        <w:t>中标</w:t>
      </w:r>
      <w:r>
        <w:rPr>
          <w:rFonts w:hint="eastAsia" w:ascii="宋体" w:hAnsi="宋体" w:cs="宋体"/>
          <w:color w:val="auto"/>
          <w:kern w:val="0"/>
          <w:sz w:val="24"/>
          <w:szCs w:val="24"/>
        </w:rPr>
        <w:t>人</w:t>
      </w:r>
      <w:r>
        <w:rPr>
          <w:rFonts w:hint="eastAsia" w:ascii="宋体" w:hAnsi="宋体" w:cs="宋体"/>
          <w:color w:val="auto"/>
          <w:kern w:val="0"/>
          <w:sz w:val="24"/>
          <w:szCs w:val="24"/>
          <w:lang w:val="zh-CN"/>
        </w:rPr>
        <w:t>在采购过程中无条件接受采购人的监督、检查、审核，</w:t>
      </w:r>
      <w:r>
        <w:rPr>
          <w:rFonts w:hint="eastAsia" w:ascii="宋体" w:hAnsi="宋体" w:cs="宋体"/>
          <w:color w:val="auto"/>
          <w:kern w:val="0"/>
          <w:sz w:val="24"/>
          <w:szCs w:val="24"/>
        </w:rPr>
        <w:t>严格按照《财政部关于进一步加强政府采购需求和履约验收管理的指导意见》(财库(2016) 205号)规定的要求进行验收。</w:t>
      </w:r>
    </w:p>
    <w:p>
      <w:pPr>
        <w:pStyle w:val="30"/>
        <w:numPr>
          <w:ilvl w:val="4"/>
          <w:numId w:val="0"/>
        </w:numPr>
        <w:snapToGrid w:val="0"/>
        <w:spacing w:before="0" w:after="0" w:line="312" w:lineRule="auto"/>
        <w:rPr>
          <w:rFonts w:hint="eastAsia" w:ascii="宋体" w:hAnsi="宋体" w:eastAsia="宋体" w:cs="宋体"/>
          <w:color w:val="auto"/>
          <w:szCs w:val="24"/>
        </w:rPr>
      </w:pPr>
      <w:r>
        <w:rPr>
          <w:rFonts w:hint="eastAsia" w:ascii="宋体" w:hAnsi="宋体" w:eastAsia="宋体" w:cs="宋体"/>
          <w:color w:val="auto"/>
          <w:szCs w:val="24"/>
        </w:rPr>
        <w:t>（二）</w:t>
      </w:r>
      <w:r>
        <w:rPr>
          <w:rFonts w:hint="eastAsia" w:ascii="宋体" w:hAnsi="宋体" w:eastAsia="宋体" w:cs="宋体"/>
          <w:color w:val="auto"/>
          <w:spacing w:val="-10"/>
          <w:szCs w:val="24"/>
        </w:rPr>
        <w:t>验收标准和方法</w:t>
      </w:r>
    </w:p>
    <w:p>
      <w:pPr>
        <w:widowControl/>
        <w:adjustRightInd w:val="0"/>
        <w:snapToGrid w:val="0"/>
        <w:spacing w:line="312"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 1、《LED道路照明应用技术规范》(T/CMEA 1-2018)的规定；</w:t>
      </w:r>
    </w:p>
    <w:p>
      <w:pPr>
        <w:snapToGrid w:val="0"/>
        <w:spacing w:line="312"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2、《户外照明用碳素结构钢制灯杆通用规范》DB51/T 1460的规定；</w:t>
      </w:r>
    </w:p>
    <w:p>
      <w:pPr>
        <w:widowControl/>
        <w:adjustRightInd w:val="0"/>
        <w:snapToGrid w:val="0"/>
        <w:spacing w:line="312" w:lineRule="auto"/>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    3、《金属覆盖层 钢铁制件热浸镀锌层 技术要求及试验方法》GB/T 13912的规定；</w:t>
      </w:r>
    </w:p>
    <w:p>
      <w:pPr>
        <w:widowControl/>
        <w:adjustRightInd w:val="0"/>
        <w:snapToGrid w:val="0"/>
        <w:spacing w:line="312" w:lineRule="auto"/>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    4、灯杆外观颜色参照DB510100/T 201《成都市市政管理设施标准图集与技术指引》内相关要求执行；</w:t>
      </w:r>
    </w:p>
    <w:p>
      <w:pPr>
        <w:widowControl/>
        <w:adjustRightInd w:val="0"/>
        <w:snapToGrid w:val="0"/>
        <w:spacing w:line="312" w:lineRule="auto"/>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    5、《灯具一般要求与试验》GB7000.1，《道路与街路照明灯具性能要求》GB/T24827；</w:t>
      </w:r>
    </w:p>
    <w:p>
      <w:pPr>
        <w:widowControl/>
        <w:adjustRightInd w:val="0"/>
        <w:snapToGrid w:val="0"/>
        <w:spacing w:line="312" w:lineRule="auto"/>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    6、《城市道路照明工程施工及验收规程》CJJ89-2012；</w:t>
      </w:r>
    </w:p>
    <w:p>
      <w:pPr>
        <w:widowControl/>
        <w:adjustRightInd w:val="0"/>
        <w:snapToGrid w:val="0"/>
        <w:spacing w:line="312"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7、安装调试及技术服务(含培训)要求，按《城市道路照明工程施工及验收规程》CJJ89-2012规定执行。</w:t>
      </w:r>
    </w:p>
    <w:p>
      <w:pPr>
        <w:pStyle w:val="30"/>
        <w:numPr>
          <w:ilvl w:val="4"/>
          <w:numId w:val="0"/>
        </w:numPr>
        <w:snapToGrid w:val="0"/>
        <w:spacing w:before="0" w:after="0" w:line="312" w:lineRule="auto"/>
        <w:rPr>
          <w:rFonts w:hint="eastAsia" w:ascii="宋体" w:hAnsi="宋体" w:eastAsia="宋体" w:cs="宋体"/>
          <w:color w:val="auto"/>
          <w:kern w:val="1"/>
          <w:szCs w:val="24"/>
        </w:rPr>
      </w:pPr>
      <w:r>
        <w:rPr>
          <w:rFonts w:hint="eastAsia" w:ascii="宋体" w:hAnsi="宋体" w:eastAsia="宋体" w:cs="宋体"/>
          <w:color w:val="auto"/>
          <w:szCs w:val="24"/>
        </w:rPr>
        <w:t>五、其他要求</w:t>
      </w:r>
      <w:r>
        <w:rPr>
          <w:rFonts w:hint="eastAsia" w:ascii="宋体" w:hAnsi="宋体" w:eastAsia="宋体" w:cs="宋体"/>
          <w:color w:val="auto"/>
          <w:kern w:val="1"/>
          <w:szCs w:val="24"/>
        </w:rPr>
        <w:tab/>
      </w:r>
    </w:p>
    <w:p>
      <w:pPr>
        <w:tabs>
          <w:tab w:val="left" w:pos="3904"/>
        </w:tabs>
        <w:autoSpaceDE w:val="0"/>
        <w:autoSpaceDN w:val="0"/>
        <w:snapToGrid w:val="0"/>
        <w:spacing w:line="312" w:lineRule="auto"/>
        <w:ind w:firstLine="440" w:firstLineChars="200"/>
        <w:jc w:val="left"/>
        <w:rPr>
          <w:rFonts w:hint="eastAsia" w:ascii="宋体" w:hAnsi="宋体" w:cs="宋体"/>
          <w:color w:val="auto"/>
          <w:spacing w:val="-10"/>
          <w:sz w:val="24"/>
          <w:szCs w:val="24"/>
        </w:rPr>
      </w:pPr>
      <w:r>
        <w:rPr>
          <w:rFonts w:hint="eastAsia" w:ascii="宋体" w:hAnsi="宋体" w:cs="宋体"/>
          <w:color w:val="auto"/>
          <w:spacing w:val="-10"/>
          <w:sz w:val="24"/>
          <w:szCs w:val="24"/>
        </w:rPr>
        <w:t>1、</w:t>
      </w:r>
      <w:r>
        <w:rPr>
          <w:rFonts w:hint="eastAsia" w:ascii="宋体" w:hAnsi="宋体" w:cs="宋体"/>
          <w:color w:val="auto"/>
          <w:kern w:val="0"/>
          <w:sz w:val="24"/>
          <w:szCs w:val="24"/>
        </w:rPr>
        <w:t>此次采购产品含安装，</w:t>
      </w:r>
      <w:r>
        <w:rPr>
          <w:rFonts w:hint="eastAsia" w:ascii="宋体" w:hAnsi="宋体" w:cs="宋体"/>
          <w:color w:val="auto"/>
          <w:sz w:val="24"/>
          <w:szCs w:val="24"/>
        </w:rPr>
        <w:t>中标人应充分考虑实施安装过程中可能带来的风险（如非采购人提出的工程量及材料数量增加、采购清单以外的设施设备增加、供电系统送电调试检测的费用，现场实际工作中的协调以及施工过程中产生的额外其他费用），所产生一切费用均由中标人提供，采购人除合同约定应付费用及电费外不支付任何其他费用</w:t>
      </w:r>
      <w:r>
        <w:rPr>
          <w:rFonts w:hint="eastAsia" w:ascii="宋体" w:hAnsi="宋体" w:cs="宋体"/>
          <w:color w:val="auto"/>
          <w:spacing w:val="-10"/>
          <w:sz w:val="24"/>
          <w:szCs w:val="24"/>
        </w:rPr>
        <w:t>。</w:t>
      </w:r>
    </w:p>
    <w:p>
      <w:pPr>
        <w:tabs>
          <w:tab w:val="left" w:pos="3904"/>
        </w:tabs>
        <w:autoSpaceDE w:val="0"/>
        <w:autoSpaceDN w:val="0"/>
        <w:snapToGrid w:val="0"/>
        <w:spacing w:line="312"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2、违约责任：提供虚假检测报告、合格证的；未按要求时间交付货品及安装的；提供的货品与采购货品外观有明显差异的、未达到质量要求的。解决争议的方式为：向人民法院提诉讼。</w:t>
      </w:r>
    </w:p>
    <w:p>
      <w:pPr>
        <w:tabs>
          <w:tab w:val="left" w:pos="3904"/>
        </w:tabs>
        <w:autoSpaceDE w:val="0"/>
        <w:autoSpaceDN w:val="0"/>
        <w:snapToGrid w:val="0"/>
        <w:spacing w:line="312"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3、其他未尽条款在合同中约定。</w:t>
      </w:r>
    </w:p>
    <w:p>
      <w:pPr>
        <w:widowControl/>
        <w:snapToGrid w:val="0"/>
        <w:spacing w:line="312" w:lineRule="auto"/>
        <w:ind w:firstLine="480" w:firstLineChars="200"/>
        <w:jc w:val="left"/>
        <w:rPr>
          <w:rFonts w:hint="eastAsia" w:ascii="宋体" w:hAnsi="宋体" w:cs="宋体"/>
          <w:color w:val="auto"/>
          <w:sz w:val="24"/>
          <w:szCs w:val="24"/>
        </w:rPr>
      </w:pPr>
    </w:p>
    <w:p>
      <w:pPr>
        <w:pStyle w:val="17"/>
        <w:widowControl/>
        <w:snapToGrid w:val="0"/>
        <w:spacing w:line="312" w:lineRule="auto"/>
        <w:rPr>
          <w:rFonts w:cs="宋体"/>
          <w:b/>
          <w:bCs/>
          <w:color w:val="auto"/>
          <w:kern w:val="1"/>
        </w:rPr>
      </w:pPr>
      <w:r>
        <w:rPr>
          <w:rFonts w:cs="宋体"/>
          <w:b/>
          <w:bCs/>
          <w:color w:val="auto"/>
          <w:kern w:val="1"/>
        </w:rPr>
        <w:t>注：1、本章采购需求中标注“</w:t>
      </w:r>
      <w:r>
        <w:rPr>
          <w:rFonts w:cs="宋体"/>
          <w:b/>
          <w:color w:val="auto"/>
        </w:rPr>
        <w:t>★</w:t>
      </w:r>
      <w:r>
        <w:rPr>
          <w:rFonts w:cs="宋体"/>
          <w:b/>
          <w:bCs/>
          <w:color w:val="auto"/>
          <w:kern w:val="1"/>
        </w:rPr>
        <w:t>”号的条款为本次采购项目的实质性要求，不允许有负偏离；</w:t>
      </w:r>
    </w:p>
    <w:p>
      <w:pPr>
        <w:pStyle w:val="17"/>
        <w:widowControl/>
        <w:numPr>
          <w:ilvl w:val="0"/>
          <w:numId w:val="9"/>
        </w:numPr>
        <w:snapToGrid w:val="0"/>
        <w:spacing w:line="312" w:lineRule="auto"/>
        <w:ind w:firstLine="482" w:firstLineChars="200"/>
        <w:rPr>
          <w:rFonts w:cs="宋体"/>
          <w:color w:val="auto"/>
        </w:rPr>
      </w:pPr>
      <w:r>
        <w:rPr>
          <w:rFonts w:cs="宋体"/>
          <w:b/>
          <w:bCs/>
          <w:color w:val="auto"/>
          <w:kern w:val="1"/>
        </w:rPr>
        <w:t>若技术要求中指定或变相指定品牌、型号、产地等均不作为招标文件要求。</w:t>
      </w:r>
    </w:p>
    <w:p>
      <w:pPr>
        <w:jc w:val="left"/>
        <w:rPr>
          <w:rFonts w:hint="eastAsia" w:ascii="宋体" w:hAnsi="宋体" w:cs="宋体"/>
          <w:b/>
          <w:bCs/>
          <w:color w:val="auto"/>
          <w:sz w:val="24"/>
          <w:szCs w:val="24"/>
        </w:rPr>
      </w:pPr>
      <w:bookmarkStart w:id="124" w:name="_Toc23969"/>
      <w:bookmarkStart w:id="125" w:name="_Toc30692"/>
    </w:p>
    <w:p>
      <w:pPr>
        <w:jc w:val="left"/>
        <w:rPr>
          <w:rFonts w:hint="eastAsia" w:ascii="宋体" w:hAnsi="宋体" w:cs="宋体"/>
          <w:b/>
          <w:bCs/>
          <w:color w:val="auto"/>
          <w:sz w:val="24"/>
          <w:szCs w:val="24"/>
        </w:rPr>
      </w:pPr>
    </w:p>
    <w:p>
      <w:pPr>
        <w:jc w:val="left"/>
        <w:rPr>
          <w:rFonts w:hint="eastAsia" w:ascii="宋体" w:hAnsi="宋体" w:cs="宋体"/>
          <w:b/>
          <w:bCs/>
          <w:color w:val="auto"/>
          <w:sz w:val="24"/>
          <w:szCs w:val="24"/>
        </w:rPr>
      </w:pPr>
    </w:p>
    <w:p>
      <w:pPr>
        <w:jc w:val="left"/>
        <w:rPr>
          <w:rFonts w:hint="eastAsia" w:ascii="宋体" w:hAnsi="宋体" w:cs="宋体"/>
          <w:b/>
          <w:bCs/>
          <w:color w:val="auto"/>
          <w:sz w:val="24"/>
          <w:szCs w:val="24"/>
        </w:rPr>
      </w:pPr>
    </w:p>
    <w:p>
      <w:pPr>
        <w:jc w:val="left"/>
        <w:rPr>
          <w:rFonts w:hint="eastAsia" w:ascii="宋体" w:hAnsi="宋体" w:cs="宋体"/>
          <w:b/>
          <w:bCs/>
          <w:color w:val="auto"/>
          <w:sz w:val="24"/>
          <w:szCs w:val="24"/>
        </w:rPr>
      </w:pPr>
    </w:p>
    <w:p>
      <w:pPr>
        <w:rPr>
          <w:rFonts w:hint="eastAsia" w:ascii="宋体" w:hAnsi="宋体" w:cs="宋体"/>
          <w:b/>
          <w:bCs/>
          <w:color w:val="auto"/>
          <w:sz w:val="24"/>
          <w:szCs w:val="24"/>
        </w:rPr>
      </w:pPr>
      <w:r>
        <w:rPr>
          <w:rFonts w:hint="eastAsia" w:ascii="宋体" w:hAnsi="宋体" w:cs="宋体"/>
          <w:b/>
          <w:bCs/>
          <w:color w:val="auto"/>
          <w:sz w:val="24"/>
          <w:szCs w:val="24"/>
        </w:rPr>
        <w:br w:type="page"/>
      </w:r>
    </w:p>
    <w:p>
      <w:pPr>
        <w:jc w:val="left"/>
        <w:rPr>
          <w:rFonts w:eastAsia="黑体"/>
          <w:color w:val="auto"/>
          <w:sz w:val="32"/>
          <w:szCs w:val="32"/>
        </w:rPr>
      </w:pPr>
      <w:r>
        <w:rPr>
          <w:rFonts w:hint="eastAsia" w:ascii="宋体" w:hAnsi="宋体" w:cs="宋体"/>
          <w:b/>
          <w:bCs/>
          <w:color w:val="auto"/>
          <w:sz w:val="24"/>
          <w:szCs w:val="24"/>
        </w:rPr>
        <w:t>附件1</w:t>
      </w:r>
    </w:p>
    <w:p>
      <w:pPr>
        <w:spacing w:line="440" w:lineRule="exact"/>
        <w:jc w:val="center"/>
        <w:rPr>
          <w:rFonts w:hint="eastAsia" w:ascii="宋体" w:hAnsi="宋体" w:cs="宋体"/>
          <w:b/>
          <w:bCs/>
          <w:color w:val="auto"/>
          <w:sz w:val="32"/>
          <w:szCs w:val="32"/>
        </w:rPr>
      </w:pPr>
      <w:r>
        <w:rPr>
          <w:rFonts w:hint="eastAsia" w:ascii="宋体" w:hAnsi="宋体" w:cs="宋体"/>
          <w:b/>
          <w:bCs/>
          <w:color w:val="auto"/>
          <w:sz w:val="32"/>
          <w:szCs w:val="32"/>
        </w:rPr>
        <w:t>双流区背街小巷有路无灯整治微光路灯安装统计表</w:t>
      </w:r>
    </w:p>
    <w:p>
      <w:pPr>
        <w:pStyle w:val="2"/>
        <w:rPr>
          <w:rFonts w:hint="eastAsia"/>
          <w:color w:val="auto"/>
        </w:rPr>
      </w:pPr>
    </w:p>
    <w:tbl>
      <w:tblPr>
        <w:tblStyle w:val="19"/>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160"/>
        <w:gridCol w:w="4049"/>
        <w:gridCol w:w="1237"/>
        <w:gridCol w:w="1294"/>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05" w:type="dxa"/>
            <w:noWrap w:val="0"/>
            <w:vAlign w:val="center"/>
          </w:tcPr>
          <w:p>
            <w:pPr>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序号</w:t>
            </w:r>
          </w:p>
        </w:tc>
        <w:tc>
          <w:tcPr>
            <w:tcW w:w="2160" w:type="dxa"/>
            <w:noWrap w:val="0"/>
            <w:vAlign w:val="center"/>
          </w:tcPr>
          <w:p>
            <w:pPr>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道路名称</w:t>
            </w:r>
          </w:p>
        </w:tc>
        <w:tc>
          <w:tcPr>
            <w:tcW w:w="4049" w:type="dxa"/>
            <w:noWrap w:val="0"/>
            <w:vAlign w:val="center"/>
          </w:tcPr>
          <w:p>
            <w:pPr>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改造方案</w:t>
            </w:r>
          </w:p>
        </w:tc>
        <w:tc>
          <w:tcPr>
            <w:tcW w:w="1237" w:type="dxa"/>
            <w:noWrap w:val="0"/>
            <w:vAlign w:val="center"/>
          </w:tcPr>
          <w:p>
            <w:pPr>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灯杆（柱）</w:t>
            </w:r>
          </w:p>
        </w:tc>
        <w:tc>
          <w:tcPr>
            <w:tcW w:w="1294" w:type="dxa"/>
            <w:noWrap w:val="0"/>
            <w:vAlign w:val="center"/>
          </w:tcPr>
          <w:p>
            <w:pPr>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灯具（套）</w:t>
            </w:r>
          </w:p>
        </w:tc>
        <w:tc>
          <w:tcPr>
            <w:tcW w:w="713" w:type="dxa"/>
            <w:noWrap w:val="0"/>
            <w:vAlign w:val="center"/>
          </w:tcPr>
          <w:p>
            <w:pPr>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5" w:type="dxa"/>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1</w:t>
            </w:r>
          </w:p>
        </w:tc>
        <w:tc>
          <w:tcPr>
            <w:tcW w:w="2160" w:type="dxa"/>
            <w:noWrap w:val="0"/>
            <w:vAlign w:val="center"/>
          </w:tcPr>
          <w:p>
            <w:pPr>
              <w:spacing w:line="360" w:lineRule="auto"/>
              <w:jc w:val="center"/>
              <w:rPr>
                <w:color w:val="auto"/>
                <w:sz w:val="24"/>
                <w:szCs w:val="24"/>
              </w:rPr>
            </w:pPr>
            <w:r>
              <w:rPr>
                <w:color w:val="auto"/>
                <w:sz w:val="24"/>
                <w:szCs w:val="24"/>
              </w:rPr>
              <w:t>西航港大道与</w:t>
            </w:r>
          </w:p>
          <w:p>
            <w:pPr>
              <w:spacing w:line="360" w:lineRule="auto"/>
              <w:jc w:val="center"/>
              <w:rPr>
                <w:rFonts w:hint="eastAsia" w:ascii="宋体" w:hAnsi="宋体" w:cs="宋体"/>
                <w:color w:val="auto"/>
                <w:sz w:val="24"/>
                <w:szCs w:val="24"/>
              </w:rPr>
            </w:pPr>
            <w:r>
              <w:rPr>
                <w:color w:val="auto"/>
                <w:sz w:val="24"/>
                <w:szCs w:val="24"/>
              </w:rPr>
              <w:t>机场高速节点</w:t>
            </w:r>
          </w:p>
        </w:tc>
        <w:tc>
          <w:tcPr>
            <w:tcW w:w="4049" w:type="dxa"/>
            <w:noWrap w:val="0"/>
            <w:vAlign w:val="center"/>
          </w:tcPr>
          <w:p>
            <w:pPr>
              <w:spacing w:line="360" w:lineRule="auto"/>
              <w:jc w:val="center"/>
              <w:rPr>
                <w:rFonts w:hint="eastAsia" w:ascii="宋体" w:hAnsi="宋体" w:cs="宋体"/>
                <w:b/>
                <w:bCs/>
                <w:color w:val="auto"/>
                <w:sz w:val="24"/>
                <w:szCs w:val="24"/>
              </w:rPr>
            </w:pPr>
            <w:r>
              <w:rPr>
                <w:color w:val="auto"/>
                <w:sz w:val="24"/>
                <w:szCs w:val="24"/>
              </w:rPr>
              <w:t>灯杆高6米</w:t>
            </w:r>
            <w:r>
              <w:rPr>
                <w:rFonts w:hint="eastAsia"/>
                <w:color w:val="auto"/>
                <w:sz w:val="24"/>
                <w:szCs w:val="24"/>
              </w:rPr>
              <w:t>（单臂）</w:t>
            </w:r>
            <w:r>
              <w:rPr>
                <w:color w:val="auto"/>
                <w:sz w:val="24"/>
                <w:szCs w:val="24"/>
              </w:rPr>
              <w:t>、</w:t>
            </w:r>
            <w:r>
              <w:rPr>
                <w:rFonts w:hint="eastAsia"/>
                <w:color w:val="auto"/>
                <w:sz w:val="24"/>
                <w:szCs w:val="24"/>
              </w:rPr>
              <w:t>90W</w:t>
            </w:r>
            <w:r>
              <w:rPr>
                <w:color w:val="auto"/>
                <w:sz w:val="24"/>
                <w:szCs w:val="24"/>
              </w:rPr>
              <w:t>微光路灯</w:t>
            </w:r>
          </w:p>
        </w:tc>
        <w:tc>
          <w:tcPr>
            <w:tcW w:w="1237" w:type="dxa"/>
            <w:noWrap w:val="0"/>
            <w:vAlign w:val="center"/>
          </w:tcPr>
          <w:p>
            <w:pPr>
              <w:spacing w:line="360" w:lineRule="auto"/>
              <w:jc w:val="center"/>
              <w:rPr>
                <w:rFonts w:hint="eastAsia" w:ascii="宋体" w:hAnsi="宋体" w:cs="宋体"/>
                <w:b/>
                <w:bCs/>
                <w:color w:val="auto"/>
                <w:sz w:val="24"/>
                <w:szCs w:val="24"/>
              </w:rPr>
            </w:pPr>
            <w:r>
              <w:rPr>
                <w:color w:val="auto"/>
                <w:sz w:val="24"/>
                <w:szCs w:val="24"/>
              </w:rPr>
              <w:t>18</w:t>
            </w:r>
          </w:p>
        </w:tc>
        <w:tc>
          <w:tcPr>
            <w:tcW w:w="1294" w:type="dxa"/>
            <w:noWrap w:val="0"/>
            <w:vAlign w:val="center"/>
          </w:tcPr>
          <w:p>
            <w:pPr>
              <w:spacing w:line="360" w:lineRule="auto"/>
              <w:jc w:val="center"/>
              <w:rPr>
                <w:rFonts w:hint="eastAsia" w:ascii="宋体" w:hAnsi="宋体" w:cs="宋体"/>
                <w:b/>
                <w:bCs/>
                <w:color w:val="auto"/>
                <w:sz w:val="24"/>
                <w:szCs w:val="24"/>
              </w:rPr>
            </w:pPr>
            <w:r>
              <w:rPr>
                <w:color w:val="auto"/>
                <w:sz w:val="24"/>
                <w:szCs w:val="24"/>
              </w:rPr>
              <w:t>18</w:t>
            </w:r>
          </w:p>
        </w:tc>
        <w:tc>
          <w:tcPr>
            <w:tcW w:w="713" w:type="dxa"/>
            <w:noWrap w:val="0"/>
            <w:vAlign w:val="center"/>
          </w:tcPr>
          <w:p>
            <w:pPr>
              <w:spacing w:line="360" w:lineRule="auto"/>
              <w:jc w:val="center"/>
              <w:rPr>
                <w:rFonts w:hint="eastAsia"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5" w:type="dxa"/>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2</w:t>
            </w:r>
          </w:p>
        </w:tc>
        <w:tc>
          <w:tcPr>
            <w:tcW w:w="2160" w:type="dxa"/>
            <w:noWrap w:val="0"/>
            <w:vAlign w:val="center"/>
          </w:tcPr>
          <w:p>
            <w:pPr>
              <w:spacing w:line="360" w:lineRule="auto"/>
              <w:jc w:val="center"/>
              <w:rPr>
                <w:rFonts w:hint="eastAsia" w:ascii="宋体" w:hAnsi="宋体" w:cs="宋体"/>
                <w:color w:val="auto"/>
                <w:sz w:val="24"/>
                <w:szCs w:val="24"/>
              </w:rPr>
            </w:pPr>
            <w:r>
              <w:rPr>
                <w:color w:val="auto"/>
                <w:sz w:val="24"/>
                <w:szCs w:val="24"/>
              </w:rPr>
              <w:t>吴家坝北街支巷</w:t>
            </w:r>
          </w:p>
        </w:tc>
        <w:tc>
          <w:tcPr>
            <w:tcW w:w="4049" w:type="dxa"/>
            <w:noWrap w:val="0"/>
            <w:vAlign w:val="center"/>
          </w:tcPr>
          <w:p>
            <w:pPr>
              <w:spacing w:line="360" w:lineRule="auto"/>
              <w:jc w:val="center"/>
              <w:rPr>
                <w:rFonts w:hint="eastAsia" w:ascii="宋体" w:hAnsi="宋体" w:cs="宋体"/>
                <w:b/>
                <w:bCs/>
                <w:color w:val="auto"/>
                <w:sz w:val="24"/>
                <w:szCs w:val="24"/>
              </w:rPr>
            </w:pPr>
            <w:r>
              <w:rPr>
                <w:color w:val="auto"/>
                <w:sz w:val="24"/>
                <w:szCs w:val="24"/>
              </w:rPr>
              <w:t>灯杆高6米</w:t>
            </w:r>
            <w:r>
              <w:rPr>
                <w:rFonts w:hint="eastAsia"/>
                <w:color w:val="auto"/>
                <w:sz w:val="24"/>
                <w:szCs w:val="24"/>
              </w:rPr>
              <w:t>（单臂）</w:t>
            </w:r>
            <w:r>
              <w:rPr>
                <w:color w:val="auto"/>
                <w:sz w:val="24"/>
                <w:szCs w:val="24"/>
              </w:rPr>
              <w:t>、</w:t>
            </w:r>
            <w:r>
              <w:rPr>
                <w:rFonts w:hint="eastAsia"/>
                <w:color w:val="auto"/>
                <w:sz w:val="24"/>
                <w:szCs w:val="24"/>
              </w:rPr>
              <w:t>90W</w:t>
            </w:r>
            <w:r>
              <w:rPr>
                <w:color w:val="auto"/>
                <w:sz w:val="24"/>
                <w:szCs w:val="24"/>
              </w:rPr>
              <w:t>微光路灯</w:t>
            </w:r>
          </w:p>
        </w:tc>
        <w:tc>
          <w:tcPr>
            <w:tcW w:w="1237" w:type="dxa"/>
            <w:noWrap w:val="0"/>
            <w:vAlign w:val="center"/>
          </w:tcPr>
          <w:p>
            <w:pPr>
              <w:spacing w:line="360" w:lineRule="auto"/>
              <w:jc w:val="center"/>
              <w:rPr>
                <w:rFonts w:hint="eastAsia" w:ascii="宋体" w:hAnsi="宋体" w:cs="宋体"/>
                <w:b/>
                <w:bCs/>
                <w:color w:val="auto"/>
                <w:sz w:val="24"/>
                <w:szCs w:val="24"/>
              </w:rPr>
            </w:pPr>
            <w:r>
              <w:rPr>
                <w:color w:val="auto"/>
                <w:sz w:val="24"/>
                <w:szCs w:val="24"/>
              </w:rPr>
              <w:t>11</w:t>
            </w:r>
          </w:p>
        </w:tc>
        <w:tc>
          <w:tcPr>
            <w:tcW w:w="1294" w:type="dxa"/>
            <w:noWrap w:val="0"/>
            <w:vAlign w:val="center"/>
          </w:tcPr>
          <w:p>
            <w:pPr>
              <w:spacing w:line="360" w:lineRule="auto"/>
              <w:jc w:val="center"/>
              <w:rPr>
                <w:rFonts w:hint="eastAsia" w:ascii="宋体" w:hAnsi="宋体" w:cs="宋体"/>
                <w:b/>
                <w:bCs/>
                <w:color w:val="auto"/>
                <w:sz w:val="24"/>
                <w:szCs w:val="24"/>
              </w:rPr>
            </w:pPr>
            <w:r>
              <w:rPr>
                <w:color w:val="auto"/>
                <w:sz w:val="24"/>
                <w:szCs w:val="24"/>
              </w:rPr>
              <w:t>11</w:t>
            </w:r>
          </w:p>
        </w:tc>
        <w:tc>
          <w:tcPr>
            <w:tcW w:w="713" w:type="dxa"/>
            <w:noWrap w:val="0"/>
            <w:vAlign w:val="center"/>
          </w:tcPr>
          <w:p>
            <w:pPr>
              <w:spacing w:line="360" w:lineRule="auto"/>
              <w:jc w:val="center"/>
              <w:rPr>
                <w:rFonts w:hint="eastAsia"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5" w:type="dxa"/>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3</w:t>
            </w:r>
          </w:p>
        </w:tc>
        <w:tc>
          <w:tcPr>
            <w:tcW w:w="2160" w:type="dxa"/>
            <w:noWrap w:val="0"/>
            <w:vAlign w:val="center"/>
          </w:tcPr>
          <w:p>
            <w:pPr>
              <w:spacing w:line="360" w:lineRule="auto"/>
              <w:jc w:val="center"/>
              <w:rPr>
                <w:rFonts w:hint="eastAsia" w:ascii="宋体" w:hAnsi="宋体" w:cs="宋体"/>
                <w:color w:val="auto"/>
                <w:sz w:val="24"/>
                <w:szCs w:val="24"/>
              </w:rPr>
            </w:pPr>
            <w:r>
              <w:rPr>
                <w:color w:val="auto"/>
                <w:sz w:val="24"/>
                <w:szCs w:val="24"/>
              </w:rPr>
              <w:t>新鸿路北一街</w:t>
            </w:r>
          </w:p>
        </w:tc>
        <w:tc>
          <w:tcPr>
            <w:tcW w:w="4049" w:type="dxa"/>
            <w:noWrap w:val="0"/>
            <w:vAlign w:val="center"/>
          </w:tcPr>
          <w:p>
            <w:pPr>
              <w:spacing w:line="360" w:lineRule="auto"/>
              <w:jc w:val="center"/>
              <w:rPr>
                <w:rFonts w:hint="eastAsia" w:ascii="宋体" w:hAnsi="宋体" w:cs="宋体"/>
                <w:b/>
                <w:bCs/>
                <w:color w:val="auto"/>
                <w:sz w:val="24"/>
                <w:szCs w:val="24"/>
              </w:rPr>
            </w:pPr>
            <w:r>
              <w:rPr>
                <w:color w:val="auto"/>
                <w:sz w:val="24"/>
                <w:szCs w:val="24"/>
              </w:rPr>
              <w:t>灯杆高6米</w:t>
            </w:r>
            <w:r>
              <w:rPr>
                <w:rFonts w:hint="eastAsia"/>
                <w:color w:val="auto"/>
                <w:sz w:val="24"/>
                <w:szCs w:val="24"/>
              </w:rPr>
              <w:t>（单臂）</w:t>
            </w:r>
            <w:r>
              <w:rPr>
                <w:color w:val="auto"/>
                <w:sz w:val="24"/>
                <w:szCs w:val="24"/>
              </w:rPr>
              <w:t>、</w:t>
            </w:r>
            <w:r>
              <w:rPr>
                <w:rFonts w:hint="eastAsia"/>
                <w:color w:val="auto"/>
                <w:sz w:val="24"/>
                <w:szCs w:val="24"/>
              </w:rPr>
              <w:t>90W</w:t>
            </w:r>
            <w:r>
              <w:rPr>
                <w:color w:val="auto"/>
                <w:sz w:val="24"/>
                <w:szCs w:val="24"/>
              </w:rPr>
              <w:t>微光路灯</w:t>
            </w:r>
          </w:p>
        </w:tc>
        <w:tc>
          <w:tcPr>
            <w:tcW w:w="1237" w:type="dxa"/>
            <w:noWrap w:val="0"/>
            <w:vAlign w:val="center"/>
          </w:tcPr>
          <w:p>
            <w:pPr>
              <w:spacing w:line="360" w:lineRule="auto"/>
              <w:jc w:val="center"/>
              <w:rPr>
                <w:rFonts w:hint="eastAsia" w:ascii="宋体" w:hAnsi="宋体" w:cs="宋体"/>
                <w:b/>
                <w:bCs/>
                <w:color w:val="auto"/>
                <w:sz w:val="24"/>
                <w:szCs w:val="24"/>
              </w:rPr>
            </w:pPr>
            <w:r>
              <w:rPr>
                <w:color w:val="auto"/>
                <w:sz w:val="24"/>
                <w:szCs w:val="24"/>
              </w:rPr>
              <w:t>14</w:t>
            </w:r>
          </w:p>
        </w:tc>
        <w:tc>
          <w:tcPr>
            <w:tcW w:w="1294" w:type="dxa"/>
            <w:noWrap w:val="0"/>
            <w:vAlign w:val="center"/>
          </w:tcPr>
          <w:p>
            <w:pPr>
              <w:spacing w:line="360" w:lineRule="auto"/>
              <w:jc w:val="center"/>
              <w:rPr>
                <w:rFonts w:hint="eastAsia" w:ascii="宋体" w:hAnsi="宋体" w:cs="宋体"/>
                <w:b/>
                <w:bCs/>
                <w:color w:val="auto"/>
                <w:sz w:val="24"/>
                <w:szCs w:val="24"/>
              </w:rPr>
            </w:pPr>
            <w:r>
              <w:rPr>
                <w:color w:val="auto"/>
                <w:sz w:val="24"/>
                <w:szCs w:val="24"/>
              </w:rPr>
              <w:t>14</w:t>
            </w:r>
          </w:p>
        </w:tc>
        <w:tc>
          <w:tcPr>
            <w:tcW w:w="713" w:type="dxa"/>
            <w:noWrap w:val="0"/>
            <w:vAlign w:val="center"/>
          </w:tcPr>
          <w:p>
            <w:pPr>
              <w:spacing w:line="360" w:lineRule="auto"/>
              <w:jc w:val="center"/>
              <w:rPr>
                <w:rFonts w:hint="eastAsia"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5" w:type="dxa"/>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4</w:t>
            </w:r>
          </w:p>
        </w:tc>
        <w:tc>
          <w:tcPr>
            <w:tcW w:w="2160" w:type="dxa"/>
            <w:noWrap w:val="0"/>
            <w:vAlign w:val="center"/>
          </w:tcPr>
          <w:p>
            <w:pPr>
              <w:spacing w:line="360" w:lineRule="auto"/>
              <w:jc w:val="center"/>
              <w:rPr>
                <w:rFonts w:hint="eastAsia" w:ascii="宋体" w:hAnsi="宋体" w:cs="宋体"/>
                <w:color w:val="auto"/>
                <w:sz w:val="24"/>
                <w:szCs w:val="24"/>
              </w:rPr>
            </w:pPr>
            <w:r>
              <w:rPr>
                <w:color w:val="auto"/>
                <w:sz w:val="24"/>
                <w:szCs w:val="24"/>
              </w:rPr>
              <w:t>欧香花园</w:t>
            </w:r>
          </w:p>
        </w:tc>
        <w:tc>
          <w:tcPr>
            <w:tcW w:w="4049" w:type="dxa"/>
            <w:noWrap w:val="0"/>
            <w:vAlign w:val="center"/>
          </w:tcPr>
          <w:p>
            <w:pPr>
              <w:spacing w:line="360" w:lineRule="auto"/>
              <w:jc w:val="center"/>
              <w:rPr>
                <w:rFonts w:hint="eastAsia" w:ascii="宋体" w:hAnsi="宋体" w:cs="宋体"/>
                <w:b/>
                <w:bCs/>
                <w:color w:val="auto"/>
                <w:sz w:val="24"/>
                <w:szCs w:val="24"/>
              </w:rPr>
            </w:pPr>
            <w:r>
              <w:rPr>
                <w:color w:val="auto"/>
                <w:sz w:val="24"/>
                <w:szCs w:val="24"/>
              </w:rPr>
              <w:t>灯杆高6米</w:t>
            </w:r>
            <w:r>
              <w:rPr>
                <w:rFonts w:hint="eastAsia"/>
                <w:color w:val="auto"/>
                <w:sz w:val="24"/>
                <w:szCs w:val="24"/>
              </w:rPr>
              <w:t>（单臂）</w:t>
            </w:r>
            <w:r>
              <w:rPr>
                <w:color w:val="auto"/>
                <w:sz w:val="24"/>
                <w:szCs w:val="24"/>
              </w:rPr>
              <w:t>、</w:t>
            </w:r>
            <w:r>
              <w:rPr>
                <w:rFonts w:hint="eastAsia"/>
                <w:color w:val="auto"/>
                <w:sz w:val="24"/>
                <w:szCs w:val="24"/>
              </w:rPr>
              <w:t>90W</w:t>
            </w:r>
            <w:r>
              <w:rPr>
                <w:color w:val="auto"/>
                <w:sz w:val="24"/>
                <w:szCs w:val="24"/>
              </w:rPr>
              <w:t>微光路灯</w:t>
            </w:r>
          </w:p>
        </w:tc>
        <w:tc>
          <w:tcPr>
            <w:tcW w:w="1237" w:type="dxa"/>
            <w:noWrap w:val="0"/>
            <w:vAlign w:val="center"/>
          </w:tcPr>
          <w:p>
            <w:pPr>
              <w:spacing w:line="360" w:lineRule="auto"/>
              <w:jc w:val="center"/>
              <w:rPr>
                <w:rFonts w:hint="eastAsia" w:ascii="宋体" w:hAnsi="宋体" w:cs="宋体"/>
                <w:b/>
                <w:bCs/>
                <w:color w:val="auto"/>
                <w:sz w:val="24"/>
                <w:szCs w:val="24"/>
              </w:rPr>
            </w:pPr>
            <w:r>
              <w:rPr>
                <w:color w:val="auto"/>
                <w:sz w:val="24"/>
                <w:szCs w:val="24"/>
              </w:rPr>
              <w:t>4</w:t>
            </w:r>
          </w:p>
        </w:tc>
        <w:tc>
          <w:tcPr>
            <w:tcW w:w="1294" w:type="dxa"/>
            <w:noWrap w:val="0"/>
            <w:vAlign w:val="center"/>
          </w:tcPr>
          <w:p>
            <w:pPr>
              <w:spacing w:line="360" w:lineRule="auto"/>
              <w:jc w:val="center"/>
              <w:rPr>
                <w:rFonts w:hint="eastAsia" w:ascii="宋体" w:hAnsi="宋体" w:cs="宋体"/>
                <w:b/>
                <w:bCs/>
                <w:color w:val="auto"/>
                <w:sz w:val="24"/>
                <w:szCs w:val="24"/>
              </w:rPr>
            </w:pPr>
            <w:r>
              <w:rPr>
                <w:color w:val="auto"/>
                <w:sz w:val="24"/>
                <w:szCs w:val="24"/>
              </w:rPr>
              <w:t>4</w:t>
            </w:r>
          </w:p>
        </w:tc>
        <w:tc>
          <w:tcPr>
            <w:tcW w:w="713" w:type="dxa"/>
            <w:noWrap w:val="0"/>
            <w:vAlign w:val="center"/>
          </w:tcPr>
          <w:p>
            <w:pPr>
              <w:spacing w:line="360" w:lineRule="auto"/>
              <w:jc w:val="center"/>
              <w:rPr>
                <w:rFonts w:hint="eastAsia"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5" w:type="dxa"/>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5</w:t>
            </w:r>
          </w:p>
        </w:tc>
        <w:tc>
          <w:tcPr>
            <w:tcW w:w="2160" w:type="dxa"/>
            <w:noWrap w:val="0"/>
            <w:vAlign w:val="center"/>
          </w:tcPr>
          <w:p>
            <w:pPr>
              <w:spacing w:line="360" w:lineRule="auto"/>
              <w:jc w:val="center"/>
              <w:rPr>
                <w:rFonts w:hint="eastAsia" w:ascii="宋体" w:hAnsi="宋体" w:cs="宋体"/>
                <w:color w:val="auto"/>
                <w:sz w:val="24"/>
                <w:szCs w:val="24"/>
              </w:rPr>
            </w:pPr>
            <w:r>
              <w:rPr>
                <w:color w:val="auto"/>
                <w:sz w:val="24"/>
                <w:szCs w:val="24"/>
              </w:rPr>
              <w:t>艺术公园公厕</w:t>
            </w:r>
          </w:p>
        </w:tc>
        <w:tc>
          <w:tcPr>
            <w:tcW w:w="4049" w:type="dxa"/>
            <w:noWrap w:val="0"/>
            <w:vAlign w:val="center"/>
          </w:tcPr>
          <w:p>
            <w:pPr>
              <w:spacing w:line="360" w:lineRule="auto"/>
              <w:jc w:val="center"/>
              <w:rPr>
                <w:rFonts w:hint="eastAsia" w:ascii="宋体" w:hAnsi="宋体" w:cs="宋体"/>
                <w:b/>
                <w:bCs/>
                <w:color w:val="auto"/>
                <w:sz w:val="24"/>
                <w:szCs w:val="24"/>
              </w:rPr>
            </w:pPr>
            <w:r>
              <w:rPr>
                <w:color w:val="auto"/>
                <w:sz w:val="24"/>
                <w:szCs w:val="24"/>
              </w:rPr>
              <w:t>灯杆高6米</w:t>
            </w:r>
            <w:r>
              <w:rPr>
                <w:rFonts w:hint="eastAsia"/>
                <w:color w:val="auto"/>
                <w:sz w:val="24"/>
                <w:szCs w:val="24"/>
              </w:rPr>
              <w:t>（单臂）</w:t>
            </w:r>
            <w:r>
              <w:rPr>
                <w:color w:val="auto"/>
                <w:sz w:val="24"/>
                <w:szCs w:val="24"/>
              </w:rPr>
              <w:t>、</w:t>
            </w:r>
            <w:r>
              <w:rPr>
                <w:rFonts w:hint="eastAsia"/>
                <w:color w:val="auto"/>
                <w:sz w:val="24"/>
                <w:szCs w:val="24"/>
              </w:rPr>
              <w:t>90W</w:t>
            </w:r>
            <w:r>
              <w:rPr>
                <w:color w:val="auto"/>
                <w:sz w:val="24"/>
                <w:szCs w:val="24"/>
              </w:rPr>
              <w:t>微光路灯</w:t>
            </w:r>
          </w:p>
        </w:tc>
        <w:tc>
          <w:tcPr>
            <w:tcW w:w="1237" w:type="dxa"/>
            <w:noWrap w:val="0"/>
            <w:vAlign w:val="center"/>
          </w:tcPr>
          <w:p>
            <w:pPr>
              <w:spacing w:line="360" w:lineRule="auto"/>
              <w:jc w:val="center"/>
              <w:rPr>
                <w:rFonts w:hint="eastAsia" w:ascii="宋体" w:hAnsi="宋体" w:cs="宋体"/>
                <w:b/>
                <w:bCs/>
                <w:color w:val="auto"/>
                <w:sz w:val="24"/>
                <w:szCs w:val="24"/>
              </w:rPr>
            </w:pPr>
            <w:r>
              <w:rPr>
                <w:color w:val="auto"/>
                <w:sz w:val="24"/>
                <w:szCs w:val="24"/>
              </w:rPr>
              <w:t>1</w:t>
            </w:r>
          </w:p>
        </w:tc>
        <w:tc>
          <w:tcPr>
            <w:tcW w:w="1294" w:type="dxa"/>
            <w:noWrap w:val="0"/>
            <w:vAlign w:val="center"/>
          </w:tcPr>
          <w:p>
            <w:pPr>
              <w:spacing w:line="360" w:lineRule="auto"/>
              <w:jc w:val="center"/>
              <w:rPr>
                <w:rFonts w:hint="eastAsia" w:ascii="宋体" w:hAnsi="宋体" w:cs="宋体"/>
                <w:b/>
                <w:bCs/>
                <w:color w:val="auto"/>
                <w:sz w:val="24"/>
                <w:szCs w:val="24"/>
              </w:rPr>
            </w:pPr>
            <w:r>
              <w:rPr>
                <w:color w:val="auto"/>
                <w:sz w:val="24"/>
                <w:szCs w:val="24"/>
              </w:rPr>
              <w:t>1</w:t>
            </w:r>
          </w:p>
        </w:tc>
        <w:tc>
          <w:tcPr>
            <w:tcW w:w="713" w:type="dxa"/>
            <w:noWrap w:val="0"/>
            <w:vAlign w:val="center"/>
          </w:tcPr>
          <w:p>
            <w:pPr>
              <w:spacing w:line="360" w:lineRule="auto"/>
              <w:jc w:val="center"/>
              <w:rPr>
                <w:rFonts w:hint="eastAsia"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5" w:type="dxa"/>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6</w:t>
            </w:r>
          </w:p>
        </w:tc>
        <w:tc>
          <w:tcPr>
            <w:tcW w:w="2160" w:type="dxa"/>
            <w:noWrap w:val="0"/>
            <w:vAlign w:val="center"/>
          </w:tcPr>
          <w:p>
            <w:pPr>
              <w:spacing w:line="360" w:lineRule="auto"/>
              <w:jc w:val="center"/>
              <w:rPr>
                <w:rFonts w:hint="eastAsia" w:ascii="宋体" w:hAnsi="宋体" w:cs="宋体"/>
                <w:color w:val="auto"/>
                <w:sz w:val="24"/>
                <w:szCs w:val="24"/>
              </w:rPr>
            </w:pPr>
            <w:r>
              <w:rPr>
                <w:color w:val="auto"/>
                <w:sz w:val="24"/>
                <w:szCs w:val="24"/>
              </w:rPr>
              <w:t>顺风路</w:t>
            </w:r>
          </w:p>
        </w:tc>
        <w:tc>
          <w:tcPr>
            <w:tcW w:w="4049" w:type="dxa"/>
            <w:noWrap w:val="0"/>
            <w:vAlign w:val="center"/>
          </w:tcPr>
          <w:p>
            <w:pPr>
              <w:spacing w:line="360" w:lineRule="auto"/>
              <w:jc w:val="center"/>
              <w:rPr>
                <w:rFonts w:hint="eastAsia" w:ascii="宋体" w:hAnsi="宋体" w:cs="宋体"/>
                <w:b/>
                <w:bCs/>
                <w:color w:val="auto"/>
                <w:sz w:val="24"/>
                <w:szCs w:val="24"/>
              </w:rPr>
            </w:pPr>
            <w:r>
              <w:rPr>
                <w:color w:val="auto"/>
                <w:sz w:val="24"/>
                <w:szCs w:val="24"/>
              </w:rPr>
              <w:t>灯杆高6米</w:t>
            </w:r>
            <w:r>
              <w:rPr>
                <w:rFonts w:hint="eastAsia"/>
                <w:color w:val="auto"/>
                <w:sz w:val="24"/>
                <w:szCs w:val="24"/>
              </w:rPr>
              <w:t>（单臂）</w:t>
            </w:r>
            <w:r>
              <w:rPr>
                <w:color w:val="auto"/>
                <w:sz w:val="24"/>
                <w:szCs w:val="24"/>
              </w:rPr>
              <w:t>、</w:t>
            </w:r>
            <w:r>
              <w:rPr>
                <w:rFonts w:hint="eastAsia"/>
                <w:color w:val="auto"/>
                <w:sz w:val="24"/>
                <w:szCs w:val="24"/>
              </w:rPr>
              <w:t>90W</w:t>
            </w:r>
            <w:r>
              <w:rPr>
                <w:color w:val="auto"/>
                <w:sz w:val="24"/>
                <w:szCs w:val="24"/>
              </w:rPr>
              <w:t>微光路灯</w:t>
            </w:r>
          </w:p>
        </w:tc>
        <w:tc>
          <w:tcPr>
            <w:tcW w:w="1237" w:type="dxa"/>
            <w:noWrap w:val="0"/>
            <w:vAlign w:val="center"/>
          </w:tcPr>
          <w:p>
            <w:pPr>
              <w:spacing w:line="360" w:lineRule="auto"/>
              <w:jc w:val="center"/>
              <w:rPr>
                <w:rFonts w:hint="eastAsia" w:ascii="宋体" w:hAnsi="宋体" w:cs="宋体"/>
                <w:b/>
                <w:bCs/>
                <w:color w:val="auto"/>
                <w:sz w:val="24"/>
                <w:szCs w:val="24"/>
              </w:rPr>
            </w:pPr>
            <w:r>
              <w:rPr>
                <w:color w:val="auto"/>
                <w:sz w:val="24"/>
                <w:szCs w:val="24"/>
              </w:rPr>
              <w:t>34</w:t>
            </w:r>
          </w:p>
        </w:tc>
        <w:tc>
          <w:tcPr>
            <w:tcW w:w="1294" w:type="dxa"/>
            <w:noWrap w:val="0"/>
            <w:vAlign w:val="center"/>
          </w:tcPr>
          <w:p>
            <w:pPr>
              <w:spacing w:line="360" w:lineRule="auto"/>
              <w:jc w:val="center"/>
              <w:rPr>
                <w:rFonts w:hint="eastAsia" w:ascii="宋体" w:hAnsi="宋体" w:cs="宋体"/>
                <w:b/>
                <w:bCs/>
                <w:color w:val="auto"/>
                <w:sz w:val="24"/>
                <w:szCs w:val="24"/>
              </w:rPr>
            </w:pPr>
            <w:r>
              <w:rPr>
                <w:color w:val="auto"/>
                <w:sz w:val="24"/>
                <w:szCs w:val="24"/>
              </w:rPr>
              <w:t>34</w:t>
            </w:r>
          </w:p>
        </w:tc>
        <w:tc>
          <w:tcPr>
            <w:tcW w:w="713" w:type="dxa"/>
            <w:noWrap w:val="0"/>
            <w:vAlign w:val="center"/>
          </w:tcPr>
          <w:p>
            <w:pPr>
              <w:spacing w:line="360" w:lineRule="auto"/>
              <w:jc w:val="center"/>
              <w:rPr>
                <w:rFonts w:hint="eastAsia"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5" w:type="dxa"/>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7</w:t>
            </w:r>
          </w:p>
        </w:tc>
        <w:tc>
          <w:tcPr>
            <w:tcW w:w="2160" w:type="dxa"/>
            <w:noWrap w:val="0"/>
            <w:vAlign w:val="center"/>
          </w:tcPr>
          <w:p>
            <w:pPr>
              <w:spacing w:line="360" w:lineRule="auto"/>
              <w:jc w:val="center"/>
              <w:rPr>
                <w:rFonts w:hint="eastAsia" w:ascii="宋体" w:hAnsi="宋体" w:cs="宋体"/>
                <w:color w:val="auto"/>
                <w:sz w:val="24"/>
                <w:szCs w:val="24"/>
              </w:rPr>
            </w:pPr>
            <w:r>
              <w:rPr>
                <w:color w:val="auto"/>
                <w:sz w:val="24"/>
                <w:szCs w:val="24"/>
              </w:rPr>
              <w:t>鸿兴路支巷</w:t>
            </w:r>
          </w:p>
        </w:tc>
        <w:tc>
          <w:tcPr>
            <w:tcW w:w="4049" w:type="dxa"/>
            <w:noWrap w:val="0"/>
            <w:vAlign w:val="center"/>
          </w:tcPr>
          <w:p>
            <w:pPr>
              <w:spacing w:line="360" w:lineRule="auto"/>
              <w:jc w:val="center"/>
              <w:rPr>
                <w:rFonts w:hint="eastAsia" w:ascii="宋体" w:hAnsi="宋体" w:cs="宋体"/>
                <w:b/>
                <w:bCs/>
                <w:color w:val="auto"/>
                <w:sz w:val="24"/>
                <w:szCs w:val="24"/>
              </w:rPr>
            </w:pPr>
            <w:r>
              <w:rPr>
                <w:color w:val="auto"/>
                <w:sz w:val="24"/>
                <w:szCs w:val="24"/>
              </w:rPr>
              <w:t>灯杆高6米</w:t>
            </w:r>
            <w:r>
              <w:rPr>
                <w:rFonts w:hint="eastAsia"/>
                <w:color w:val="auto"/>
                <w:sz w:val="24"/>
                <w:szCs w:val="24"/>
              </w:rPr>
              <w:t>（单臂）</w:t>
            </w:r>
            <w:r>
              <w:rPr>
                <w:color w:val="auto"/>
                <w:sz w:val="24"/>
                <w:szCs w:val="24"/>
              </w:rPr>
              <w:t>、</w:t>
            </w:r>
            <w:r>
              <w:rPr>
                <w:rFonts w:hint="eastAsia"/>
                <w:color w:val="auto"/>
                <w:sz w:val="24"/>
                <w:szCs w:val="24"/>
              </w:rPr>
              <w:t>90W</w:t>
            </w:r>
            <w:r>
              <w:rPr>
                <w:color w:val="auto"/>
                <w:sz w:val="24"/>
                <w:szCs w:val="24"/>
              </w:rPr>
              <w:t>微光路灯</w:t>
            </w:r>
          </w:p>
        </w:tc>
        <w:tc>
          <w:tcPr>
            <w:tcW w:w="1237" w:type="dxa"/>
            <w:noWrap w:val="0"/>
            <w:vAlign w:val="center"/>
          </w:tcPr>
          <w:p>
            <w:pPr>
              <w:spacing w:line="360" w:lineRule="auto"/>
              <w:jc w:val="center"/>
              <w:rPr>
                <w:rFonts w:hint="eastAsia" w:ascii="宋体" w:hAnsi="宋体" w:cs="宋体"/>
                <w:b/>
                <w:bCs/>
                <w:color w:val="auto"/>
                <w:sz w:val="24"/>
                <w:szCs w:val="24"/>
              </w:rPr>
            </w:pPr>
            <w:r>
              <w:rPr>
                <w:color w:val="auto"/>
                <w:sz w:val="24"/>
                <w:szCs w:val="24"/>
              </w:rPr>
              <w:t>8</w:t>
            </w:r>
          </w:p>
        </w:tc>
        <w:tc>
          <w:tcPr>
            <w:tcW w:w="1294" w:type="dxa"/>
            <w:noWrap w:val="0"/>
            <w:vAlign w:val="center"/>
          </w:tcPr>
          <w:p>
            <w:pPr>
              <w:spacing w:line="360" w:lineRule="auto"/>
              <w:jc w:val="center"/>
              <w:rPr>
                <w:rFonts w:hint="eastAsia" w:ascii="宋体" w:hAnsi="宋体" w:cs="宋体"/>
                <w:b/>
                <w:bCs/>
                <w:color w:val="auto"/>
                <w:sz w:val="24"/>
                <w:szCs w:val="24"/>
              </w:rPr>
            </w:pPr>
            <w:r>
              <w:rPr>
                <w:color w:val="auto"/>
                <w:sz w:val="24"/>
                <w:szCs w:val="24"/>
              </w:rPr>
              <w:t>8</w:t>
            </w:r>
          </w:p>
        </w:tc>
        <w:tc>
          <w:tcPr>
            <w:tcW w:w="713" w:type="dxa"/>
            <w:noWrap w:val="0"/>
            <w:vAlign w:val="center"/>
          </w:tcPr>
          <w:p>
            <w:pPr>
              <w:spacing w:line="360" w:lineRule="auto"/>
              <w:jc w:val="center"/>
              <w:rPr>
                <w:rFonts w:hint="eastAsia"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5" w:type="dxa"/>
            <w:vMerge w:val="restart"/>
            <w:noWrap w:val="0"/>
            <w:vAlign w:val="center"/>
          </w:tcPr>
          <w:p>
            <w:pPr>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合计</w:t>
            </w:r>
          </w:p>
        </w:tc>
        <w:tc>
          <w:tcPr>
            <w:tcW w:w="2160" w:type="dxa"/>
            <w:noWrap w:val="0"/>
            <w:vAlign w:val="center"/>
          </w:tcPr>
          <w:p>
            <w:pPr>
              <w:spacing w:line="360" w:lineRule="auto"/>
              <w:jc w:val="center"/>
              <w:rPr>
                <w:rFonts w:hint="eastAsia" w:ascii="宋体" w:hAnsi="宋体" w:cs="宋体"/>
                <w:b/>
                <w:bCs/>
                <w:color w:val="auto"/>
                <w:sz w:val="24"/>
                <w:szCs w:val="24"/>
              </w:rPr>
            </w:pPr>
            <w:r>
              <w:rPr>
                <w:b/>
                <w:bCs/>
                <w:color w:val="auto"/>
                <w:sz w:val="24"/>
                <w:szCs w:val="24"/>
              </w:rPr>
              <w:t>6米</w:t>
            </w:r>
            <w:r>
              <w:rPr>
                <w:rFonts w:hint="eastAsia"/>
                <w:b/>
                <w:bCs/>
                <w:color w:val="auto"/>
                <w:sz w:val="24"/>
                <w:szCs w:val="24"/>
              </w:rPr>
              <w:t>单臂</w:t>
            </w:r>
            <w:r>
              <w:rPr>
                <w:b/>
                <w:bCs/>
                <w:color w:val="auto"/>
                <w:sz w:val="24"/>
                <w:szCs w:val="24"/>
              </w:rPr>
              <w:t>灯杆小计</w:t>
            </w:r>
          </w:p>
        </w:tc>
        <w:tc>
          <w:tcPr>
            <w:tcW w:w="4049" w:type="dxa"/>
            <w:noWrap w:val="0"/>
            <w:vAlign w:val="center"/>
          </w:tcPr>
          <w:p>
            <w:pPr>
              <w:spacing w:line="360" w:lineRule="auto"/>
              <w:jc w:val="center"/>
              <w:rPr>
                <w:rFonts w:hint="eastAsia" w:ascii="宋体" w:hAnsi="宋体" w:cs="宋体"/>
                <w:b/>
                <w:bCs/>
                <w:color w:val="auto"/>
                <w:sz w:val="24"/>
                <w:szCs w:val="24"/>
              </w:rPr>
            </w:pPr>
          </w:p>
        </w:tc>
        <w:tc>
          <w:tcPr>
            <w:tcW w:w="1237" w:type="dxa"/>
            <w:noWrap w:val="0"/>
            <w:vAlign w:val="center"/>
          </w:tcPr>
          <w:p>
            <w:pPr>
              <w:spacing w:line="360" w:lineRule="auto"/>
              <w:jc w:val="center"/>
              <w:rPr>
                <w:rFonts w:hint="eastAsia" w:ascii="宋体" w:hAnsi="宋体" w:cs="宋体"/>
                <w:b/>
                <w:bCs/>
                <w:color w:val="auto"/>
                <w:sz w:val="24"/>
                <w:szCs w:val="24"/>
              </w:rPr>
            </w:pPr>
            <w:r>
              <w:rPr>
                <w:b/>
                <w:bCs/>
                <w:color w:val="auto"/>
                <w:sz w:val="24"/>
                <w:szCs w:val="24"/>
              </w:rPr>
              <w:t>90</w:t>
            </w:r>
          </w:p>
        </w:tc>
        <w:tc>
          <w:tcPr>
            <w:tcW w:w="1294" w:type="dxa"/>
            <w:noWrap w:val="0"/>
            <w:vAlign w:val="center"/>
          </w:tcPr>
          <w:p>
            <w:pPr>
              <w:spacing w:line="360" w:lineRule="auto"/>
              <w:jc w:val="center"/>
              <w:rPr>
                <w:rFonts w:hint="eastAsia" w:ascii="宋体" w:hAnsi="宋体" w:cs="宋体"/>
                <w:b/>
                <w:bCs/>
                <w:color w:val="auto"/>
                <w:sz w:val="24"/>
                <w:szCs w:val="24"/>
              </w:rPr>
            </w:pPr>
          </w:p>
        </w:tc>
        <w:tc>
          <w:tcPr>
            <w:tcW w:w="713" w:type="dxa"/>
            <w:noWrap w:val="0"/>
            <w:vAlign w:val="center"/>
          </w:tcPr>
          <w:p>
            <w:pPr>
              <w:spacing w:line="360" w:lineRule="auto"/>
              <w:jc w:val="center"/>
              <w:rPr>
                <w:rFonts w:hint="eastAsia"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5" w:type="dxa"/>
            <w:vMerge w:val="continue"/>
            <w:noWrap w:val="0"/>
            <w:vAlign w:val="center"/>
          </w:tcPr>
          <w:p>
            <w:pPr>
              <w:spacing w:line="360" w:lineRule="auto"/>
              <w:jc w:val="center"/>
              <w:rPr>
                <w:rFonts w:hint="eastAsia" w:ascii="宋体" w:hAnsi="宋体" w:cs="宋体"/>
                <w:b/>
                <w:bCs/>
                <w:color w:val="auto"/>
                <w:sz w:val="24"/>
                <w:szCs w:val="24"/>
              </w:rPr>
            </w:pPr>
          </w:p>
        </w:tc>
        <w:tc>
          <w:tcPr>
            <w:tcW w:w="2160" w:type="dxa"/>
            <w:noWrap w:val="0"/>
            <w:vAlign w:val="center"/>
          </w:tcPr>
          <w:p>
            <w:pPr>
              <w:spacing w:line="360" w:lineRule="auto"/>
              <w:jc w:val="center"/>
              <w:rPr>
                <w:rFonts w:hint="eastAsia" w:ascii="宋体" w:hAnsi="宋体" w:cs="宋体"/>
                <w:b/>
                <w:bCs/>
                <w:color w:val="auto"/>
                <w:sz w:val="24"/>
                <w:szCs w:val="24"/>
              </w:rPr>
            </w:pPr>
            <w:r>
              <w:rPr>
                <w:rFonts w:hint="eastAsia"/>
                <w:b/>
                <w:bCs/>
                <w:color w:val="auto"/>
                <w:sz w:val="24"/>
                <w:szCs w:val="24"/>
              </w:rPr>
              <w:t>90W</w:t>
            </w:r>
            <w:r>
              <w:rPr>
                <w:b/>
                <w:bCs/>
                <w:color w:val="auto"/>
                <w:sz w:val="24"/>
                <w:szCs w:val="24"/>
              </w:rPr>
              <w:t>微光路灯小计</w:t>
            </w:r>
          </w:p>
        </w:tc>
        <w:tc>
          <w:tcPr>
            <w:tcW w:w="4049" w:type="dxa"/>
            <w:noWrap w:val="0"/>
            <w:vAlign w:val="center"/>
          </w:tcPr>
          <w:p>
            <w:pPr>
              <w:spacing w:line="360" w:lineRule="auto"/>
              <w:jc w:val="center"/>
              <w:rPr>
                <w:rFonts w:hint="eastAsia" w:ascii="宋体" w:hAnsi="宋体" w:cs="宋体"/>
                <w:b/>
                <w:bCs/>
                <w:color w:val="auto"/>
                <w:sz w:val="24"/>
                <w:szCs w:val="24"/>
              </w:rPr>
            </w:pPr>
          </w:p>
        </w:tc>
        <w:tc>
          <w:tcPr>
            <w:tcW w:w="1237" w:type="dxa"/>
            <w:noWrap w:val="0"/>
            <w:vAlign w:val="center"/>
          </w:tcPr>
          <w:p>
            <w:pPr>
              <w:spacing w:line="360" w:lineRule="auto"/>
              <w:jc w:val="center"/>
              <w:rPr>
                <w:rFonts w:hint="eastAsia" w:ascii="宋体" w:hAnsi="宋体" w:cs="宋体"/>
                <w:b/>
                <w:bCs/>
                <w:color w:val="auto"/>
                <w:sz w:val="24"/>
                <w:szCs w:val="24"/>
              </w:rPr>
            </w:pPr>
          </w:p>
        </w:tc>
        <w:tc>
          <w:tcPr>
            <w:tcW w:w="1294" w:type="dxa"/>
            <w:noWrap w:val="0"/>
            <w:vAlign w:val="center"/>
          </w:tcPr>
          <w:p>
            <w:pPr>
              <w:spacing w:line="360" w:lineRule="auto"/>
              <w:jc w:val="center"/>
              <w:rPr>
                <w:rFonts w:hint="eastAsia" w:ascii="宋体" w:hAnsi="宋体" w:cs="宋体"/>
                <w:b/>
                <w:bCs/>
                <w:color w:val="auto"/>
                <w:sz w:val="24"/>
                <w:szCs w:val="24"/>
              </w:rPr>
            </w:pPr>
            <w:r>
              <w:rPr>
                <w:b/>
                <w:bCs/>
                <w:color w:val="auto"/>
                <w:sz w:val="24"/>
                <w:szCs w:val="24"/>
              </w:rPr>
              <w:t>90</w:t>
            </w:r>
          </w:p>
        </w:tc>
        <w:tc>
          <w:tcPr>
            <w:tcW w:w="713" w:type="dxa"/>
            <w:noWrap w:val="0"/>
            <w:vAlign w:val="center"/>
          </w:tcPr>
          <w:p>
            <w:pPr>
              <w:spacing w:line="360" w:lineRule="auto"/>
              <w:jc w:val="center"/>
              <w:rPr>
                <w:rFonts w:hint="eastAsia" w:ascii="宋体" w:hAnsi="宋体" w:cs="宋体"/>
                <w:b/>
                <w:bCs/>
                <w:color w:val="auto"/>
                <w:sz w:val="24"/>
                <w:szCs w:val="24"/>
              </w:rPr>
            </w:pPr>
          </w:p>
        </w:tc>
      </w:tr>
    </w:tbl>
    <w:p>
      <w:pPr>
        <w:rPr>
          <w:rFonts w:hint="eastAsia"/>
          <w:color w:val="auto"/>
          <w:sz w:val="32"/>
          <w:szCs w:val="32"/>
        </w:rPr>
      </w:pPr>
    </w:p>
    <w:p>
      <w:pPr>
        <w:rPr>
          <w:rFonts w:hint="eastAsia"/>
          <w:color w:val="auto"/>
          <w:sz w:val="32"/>
          <w:szCs w:val="32"/>
        </w:rPr>
      </w:pPr>
    </w:p>
    <w:p>
      <w:pPr>
        <w:pStyle w:val="2"/>
        <w:snapToGrid w:val="0"/>
        <w:spacing w:after="0" w:line="312" w:lineRule="auto"/>
        <w:rPr>
          <w:rFonts w:hint="eastAsia" w:ascii="宋体" w:hAnsi="宋体" w:cs="宋体"/>
          <w:color w:val="auto"/>
          <w:sz w:val="24"/>
          <w:szCs w:val="24"/>
        </w:rPr>
      </w:pPr>
      <w:r>
        <w:rPr>
          <w:rFonts w:ascii="宋体" w:hAnsi="宋体" w:cs="宋体"/>
          <w:color w:val="auto"/>
          <w:sz w:val="24"/>
          <w:szCs w:val="24"/>
        </w:rPr>
        <w:br w:type="page"/>
      </w:r>
      <w:r>
        <w:rPr>
          <w:rFonts w:hint="eastAsia" w:ascii="宋体" w:hAnsi="宋体" w:cs="宋体"/>
          <w:b/>
          <w:bCs/>
          <w:color w:val="auto"/>
          <w:sz w:val="24"/>
          <w:szCs w:val="24"/>
        </w:rPr>
        <w:t xml:space="preserve">附件2  </w:t>
      </w:r>
    </w:p>
    <w:p>
      <w:pPr>
        <w:rPr>
          <w:rFonts w:hint="eastAsia" w:ascii="宋体" w:hAnsi="宋体" w:cs="宋体"/>
          <w:color w:val="auto"/>
          <w:sz w:val="24"/>
          <w:szCs w:val="24"/>
        </w:rPr>
      </w:pPr>
      <w:r>
        <w:rPr>
          <w:color w:val="auto"/>
        </w:rPr>
        <w:drawing>
          <wp:anchor distT="0" distB="0" distL="114300" distR="114300" simplePos="0" relativeHeight="251664384" behindDoc="0" locked="0" layoutInCell="1" allowOverlap="1">
            <wp:simplePos x="0" y="0"/>
            <wp:positionH relativeFrom="column">
              <wp:posOffset>2049780</wp:posOffset>
            </wp:positionH>
            <wp:positionV relativeFrom="paragraph">
              <wp:posOffset>2349500</wp:posOffset>
            </wp:positionV>
            <wp:extent cx="2771140" cy="1697355"/>
            <wp:effectExtent l="0" t="0" r="10160" b="17145"/>
            <wp:wrapNone/>
            <wp:docPr id="3" name="图片 1" descr="微信图片_2021060916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210609161959"/>
                    <pic:cNvPicPr>
                      <a:picLocks noChangeAspect="1"/>
                    </pic:cNvPicPr>
                  </pic:nvPicPr>
                  <pic:blipFill>
                    <a:blip r:embed="rId7"/>
                    <a:srcRect b="12619"/>
                    <a:stretch>
                      <a:fillRect/>
                    </a:stretch>
                  </pic:blipFill>
                  <pic:spPr>
                    <a:xfrm>
                      <a:off x="0" y="0"/>
                      <a:ext cx="2771140" cy="1697355"/>
                    </a:xfrm>
                    <a:prstGeom prst="rect">
                      <a:avLst/>
                    </a:prstGeom>
                    <a:noFill/>
                    <a:ln>
                      <a:noFill/>
                    </a:ln>
                  </pic:spPr>
                </pic:pic>
              </a:graphicData>
            </a:graphic>
          </wp:anchor>
        </w:drawing>
      </w:r>
      <w:r>
        <w:rPr>
          <w:color w:val="auto"/>
        </w:rPr>
        <w:drawing>
          <wp:anchor distT="0" distB="0" distL="114300" distR="114300" simplePos="0" relativeHeight="251659264" behindDoc="1" locked="0" layoutInCell="1" allowOverlap="1">
            <wp:simplePos x="0" y="0"/>
            <wp:positionH relativeFrom="column">
              <wp:posOffset>-114300</wp:posOffset>
            </wp:positionH>
            <wp:positionV relativeFrom="paragraph">
              <wp:posOffset>130175</wp:posOffset>
            </wp:positionV>
            <wp:extent cx="5657215" cy="8634095"/>
            <wp:effectExtent l="0" t="0" r="635" b="14605"/>
            <wp:wrapNone/>
            <wp:docPr id="2" name="图片 3" descr="6米微光60W灯杆图纸 CAD版本  可修改-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6米微光60W灯杆图纸 CAD版本  可修改-Model"/>
                    <pic:cNvPicPr>
                      <a:picLocks noChangeAspect="1"/>
                    </pic:cNvPicPr>
                  </pic:nvPicPr>
                  <pic:blipFill>
                    <a:blip r:embed="rId8"/>
                    <a:srcRect l="11119" t="2574" r="9070"/>
                    <a:stretch>
                      <a:fillRect/>
                    </a:stretch>
                  </pic:blipFill>
                  <pic:spPr>
                    <a:xfrm>
                      <a:off x="0" y="0"/>
                      <a:ext cx="5657215" cy="8634095"/>
                    </a:xfrm>
                    <a:prstGeom prst="rect">
                      <a:avLst/>
                    </a:prstGeom>
                    <a:noFill/>
                    <a:ln>
                      <a:noFill/>
                    </a:ln>
                  </pic:spPr>
                </pic:pic>
              </a:graphicData>
            </a:graphic>
          </wp:anchor>
        </w:drawing>
      </w:r>
      <w:r>
        <w:rPr>
          <w:color w:val="auto"/>
        </w:rPr>
        <mc:AlternateContent>
          <mc:Choice Requires="wps">
            <w:drawing>
              <wp:anchor distT="0" distB="0" distL="114300" distR="114300" simplePos="0" relativeHeight="251661312" behindDoc="0" locked="0" layoutInCell="1" allowOverlap="1">
                <wp:simplePos x="0" y="0"/>
                <wp:positionH relativeFrom="column">
                  <wp:posOffset>2780030</wp:posOffset>
                </wp:positionH>
                <wp:positionV relativeFrom="paragraph">
                  <wp:posOffset>3971290</wp:posOffset>
                </wp:positionV>
                <wp:extent cx="1955800" cy="4762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55800" cy="476250"/>
                        </a:xfrm>
                        <a:prstGeom prst="rect">
                          <a:avLst/>
                        </a:prstGeom>
                        <a:noFill/>
                        <a:ln>
                          <a:noFill/>
                        </a:ln>
                      </wps:spPr>
                      <wps:txbx>
                        <w:txbxContent>
                          <w:p>
                            <w:pPr>
                              <w:rPr>
                                <w:rFonts w:hint="eastAsia"/>
                                <w:sz w:val="24"/>
                                <w:szCs w:val="24"/>
                              </w:rPr>
                            </w:pPr>
                            <w:r>
                              <w:rPr>
                                <w:rFonts w:hint="eastAsia"/>
                                <w:sz w:val="24"/>
                                <w:szCs w:val="24"/>
                              </w:rPr>
                              <w:t>90W灯具样式图（参考）</w:t>
                            </w:r>
                          </w:p>
                        </w:txbxContent>
                      </wps:txbx>
                      <wps:bodyPr upright="1"/>
                    </wps:wsp>
                  </a:graphicData>
                </a:graphic>
              </wp:anchor>
            </w:drawing>
          </mc:Choice>
          <mc:Fallback>
            <w:pict>
              <v:shape id="_x0000_s1026" o:spid="_x0000_s1026" o:spt="202" type="#_x0000_t202" style="position:absolute;left:0pt;margin-left:218.9pt;margin-top:312.7pt;height:37.5pt;width:154pt;z-index:251661312;mso-width-relative:page;mso-height-relative:page;" filled="f" stroked="f" coordsize="21600,21600" o:gfxdata="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e91sNgA&#10;AAALAQAADwAAAAAAAAABACAAAAAiAAAAZHJzL2Rvd25yZXYueG1sUEsBAhQAFAAAAAgAh07iQFnS&#10;R/utAQAATgMAAA4AAAAAAAAAAQAgAAAAJwEAAGRycy9lMm9Eb2MueG1sUEsFBgAAAAAGAAYAWQEA&#10;AEYFAAAAAA==&#10;">
                <v:fill on="f" focussize="0,0"/>
                <v:stroke on="f"/>
                <v:imagedata o:title=""/>
                <o:lock v:ext="edit" aspectratio="f"/>
                <v:textbox>
                  <w:txbxContent>
                    <w:p>
                      <w:pPr>
                        <w:rPr>
                          <w:rFonts w:hint="eastAsia"/>
                          <w:sz w:val="24"/>
                          <w:szCs w:val="24"/>
                        </w:rPr>
                      </w:pPr>
                      <w:r>
                        <w:rPr>
                          <w:rFonts w:hint="eastAsia"/>
                          <w:sz w:val="24"/>
                          <w:szCs w:val="24"/>
                        </w:rPr>
                        <w:t>90W灯具样式图（参考）</w:t>
                      </w:r>
                    </w:p>
                  </w:txbxContent>
                </v:textbox>
              </v:shape>
            </w:pict>
          </mc:Fallback>
        </mc:AlternateContent>
      </w:r>
      <w:r>
        <w:rPr>
          <w:color w:val="auto"/>
        </w:rPr>
        <w:br w:type="page"/>
      </w:r>
      <w:r>
        <w:rPr>
          <w:rFonts w:eastAsia="黑体"/>
          <w:color w:val="auto"/>
          <w:sz w:val="32"/>
          <w:szCs w:val="32"/>
        </w:rPr>
        <w:drawing>
          <wp:anchor distT="0" distB="0" distL="114300" distR="114300" simplePos="0" relativeHeight="251662336" behindDoc="0" locked="0" layoutInCell="1" allowOverlap="1">
            <wp:simplePos x="0" y="0"/>
            <wp:positionH relativeFrom="column">
              <wp:posOffset>-386080</wp:posOffset>
            </wp:positionH>
            <wp:positionV relativeFrom="paragraph">
              <wp:posOffset>-69850</wp:posOffset>
            </wp:positionV>
            <wp:extent cx="6049010" cy="8261350"/>
            <wp:effectExtent l="0" t="0" r="8890" b="6350"/>
            <wp:wrapNone/>
            <wp:docPr id="4" name="图片 5" descr="基础图-Model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基础图-Model_00"/>
                    <pic:cNvPicPr>
                      <a:picLocks noChangeAspect="1"/>
                    </pic:cNvPicPr>
                  </pic:nvPicPr>
                  <pic:blipFill>
                    <a:blip r:embed="rId9"/>
                    <a:srcRect l="1314" t="3967" r="648" b="1447"/>
                    <a:stretch>
                      <a:fillRect/>
                    </a:stretch>
                  </pic:blipFill>
                  <pic:spPr>
                    <a:xfrm>
                      <a:off x="0" y="0"/>
                      <a:ext cx="6049010" cy="8261350"/>
                    </a:xfrm>
                    <a:prstGeom prst="rect">
                      <a:avLst/>
                    </a:prstGeom>
                    <a:noFill/>
                    <a:ln>
                      <a:noFill/>
                    </a:ln>
                  </pic:spPr>
                </pic:pic>
              </a:graphicData>
            </a:graphic>
          </wp:anchor>
        </w:drawing>
      </w:r>
      <w:r>
        <w:rPr>
          <w:rFonts w:eastAsia="黑体"/>
          <w:color w:val="auto"/>
          <w:sz w:val="32"/>
          <w:szCs w:val="32"/>
        </w:rPr>
        <w:br w:type="page"/>
      </w:r>
      <w:r>
        <w:rPr>
          <w:rFonts w:eastAsia="黑体"/>
          <w:color w:val="auto"/>
          <w:sz w:val="32"/>
          <w:szCs w:val="32"/>
        </w:rPr>
        <w:drawing>
          <wp:anchor distT="0" distB="0" distL="114300" distR="114300" simplePos="0" relativeHeight="251663360" behindDoc="0" locked="0" layoutInCell="1" allowOverlap="1">
            <wp:simplePos x="0" y="0"/>
            <wp:positionH relativeFrom="column">
              <wp:posOffset>-372110</wp:posOffset>
            </wp:positionH>
            <wp:positionV relativeFrom="paragraph">
              <wp:posOffset>23495</wp:posOffset>
            </wp:positionV>
            <wp:extent cx="6060440" cy="8463280"/>
            <wp:effectExtent l="0" t="0" r="16510" b="13970"/>
            <wp:wrapNone/>
            <wp:docPr id="1" name="图片 6" descr="基础图2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基础图2_00"/>
                    <pic:cNvPicPr>
                      <a:picLocks noChangeAspect="1"/>
                    </pic:cNvPicPr>
                  </pic:nvPicPr>
                  <pic:blipFill>
                    <a:blip r:embed="rId10"/>
                    <a:srcRect l="1758" t="676" r="1314" b="3702"/>
                    <a:stretch>
                      <a:fillRect/>
                    </a:stretch>
                  </pic:blipFill>
                  <pic:spPr>
                    <a:xfrm>
                      <a:off x="0" y="0"/>
                      <a:ext cx="6060440" cy="8463280"/>
                    </a:xfrm>
                    <a:prstGeom prst="rect">
                      <a:avLst/>
                    </a:prstGeom>
                    <a:noFill/>
                    <a:ln>
                      <a:noFill/>
                    </a:ln>
                  </pic:spPr>
                </pic:pic>
              </a:graphicData>
            </a:graphic>
          </wp:anchor>
        </w:drawing>
      </w:r>
      <w:r>
        <w:rPr>
          <w:rFonts w:eastAsia="黑体"/>
          <w:color w:val="auto"/>
          <w:sz w:val="32"/>
          <w:szCs w:val="32"/>
        </w:rPr>
        <w:br w:type="page"/>
      </w:r>
    </w:p>
    <w:p>
      <w:pPr>
        <w:pStyle w:val="6"/>
        <w:numPr>
          <w:ilvl w:val="0"/>
          <w:numId w:val="0"/>
        </w:numPr>
        <w:ind w:left="426"/>
        <w:rPr>
          <w:rFonts w:hint="eastAsia" w:ascii="宋体" w:hAnsi="宋体" w:cs="宋体"/>
          <w:color w:val="auto"/>
          <w:sz w:val="24"/>
          <w:szCs w:val="24"/>
          <w:lang w:val="en-US"/>
        </w:rPr>
      </w:pPr>
    </w:p>
    <w:p>
      <w:pPr>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0"/>
        <w:rPr>
          <w:rFonts w:hint="eastAsia" w:ascii="宋体" w:hAnsi="宋体" w:eastAsia="宋体" w:cs="宋体"/>
          <w:b/>
          <w:bCs/>
          <w:color w:val="auto"/>
          <w:sz w:val="32"/>
          <w:szCs w:val="32"/>
          <w:highlight w:val="none"/>
        </w:rPr>
      </w:pPr>
      <w:bookmarkStart w:id="126" w:name="_Toc20994"/>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eastAsia="zh-CN"/>
        </w:rPr>
        <w:t>七</w:t>
      </w:r>
      <w:r>
        <w:rPr>
          <w:rFonts w:hint="eastAsia" w:ascii="宋体" w:hAnsi="宋体" w:eastAsia="宋体" w:cs="宋体"/>
          <w:b/>
          <w:bCs/>
          <w:color w:val="auto"/>
          <w:sz w:val="32"/>
          <w:szCs w:val="32"/>
          <w:highlight w:val="none"/>
        </w:rPr>
        <w:t>章  评审方法</w:t>
      </w:r>
      <w:bookmarkEnd w:id="124"/>
      <w:bookmarkEnd w:id="125"/>
      <w:bookmarkEnd w:id="126"/>
      <w:bookmarkStart w:id="127" w:name="_Toc101250640"/>
      <w:bookmarkStart w:id="128" w:name="_Toc430773924"/>
      <w:bookmarkStart w:id="129" w:name="_Toc101174146"/>
      <w:bookmarkStart w:id="130" w:name="_Toc209847065"/>
      <w:bookmarkStart w:id="131" w:name="_Toc101338358"/>
    </w:p>
    <w:bookmarkEnd w:id="127"/>
    <w:bookmarkEnd w:id="128"/>
    <w:bookmarkEnd w:id="129"/>
    <w:bookmarkEnd w:id="130"/>
    <w:bookmarkEnd w:id="131"/>
    <w:p>
      <w:pPr>
        <w:pStyle w:val="4"/>
        <w:pageBreakBefore w:val="0"/>
        <w:widowControl w:val="0"/>
        <w:kinsoku/>
        <w:wordWrap/>
        <w:overflowPunct/>
        <w:topLinePunct w:val="0"/>
        <w:autoSpaceDE/>
        <w:autoSpaceDN/>
        <w:bidi w:val="0"/>
        <w:adjustRightInd/>
        <w:snapToGrid w:val="0"/>
        <w:spacing w:before="0" w:after="0" w:line="360" w:lineRule="auto"/>
        <w:ind w:firstLine="562" w:firstLineChars="200"/>
        <w:jc w:val="left"/>
        <w:textAlignment w:val="auto"/>
        <w:rPr>
          <w:rFonts w:ascii="宋体" w:hAnsi="宋体" w:eastAsia="宋体" w:cs="宋体"/>
          <w:bCs w:val="0"/>
          <w:color w:val="auto"/>
          <w:sz w:val="28"/>
          <w:szCs w:val="28"/>
          <w:highlight w:val="none"/>
        </w:rPr>
      </w:pPr>
      <w:bookmarkStart w:id="132" w:name="_Toc21980"/>
      <w:bookmarkStart w:id="133" w:name="_Toc29159"/>
      <w:bookmarkStart w:id="134" w:name="_Toc11950"/>
      <w:r>
        <w:rPr>
          <w:rFonts w:hint="eastAsia" w:ascii="宋体" w:hAnsi="宋体" w:eastAsia="宋体" w:cs="宋体"/>
          <w:color w:val="auto"/>
          <w:sz w:val="28"/>
          <w:szCs w:val="28"/>
          <w:highlight w:val="none"/>
        </w:rPr>
        <w:t>1、总则</w:t>
      </w:r>
      <w:bookmarkEnd w:id="132"/>
      <w:bookmarkEnd w:id="133"/>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根据《中华人民共和国政府采购法》、《中华人民共和国政府采购法实施条例》、《政府采购货物和服务招标投标管理办法》等法律制度，结合采购项目特点制定本评标办法。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bCs/>
          <w:color w:val="auto"/>
          <w:sz w:val="24"/>
          <w:szCs w:val="24"/>
          <w:highlight w:val="none"/>
        </w:rPr>
        <w:t>评标工作由采购代理机构负责组织，具体评标事务由采购代理机构依法组建的评标委员会负责。评标委员会由采购人代表和有关技术、经济、法律等方面的专家组成。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评标工作应遵循公平、公正、科学及择优的原则，并以相同的评标程序和标准对待所有的投标人。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评标委员会按照招标文件规定的评标方法和标准进行评标，并独</w:t>
      </w:r>
      <w:bookmarkStart w:id="135" w:name="_Toc217446098"/>
      <w:r>
        <w:rPr>
          <w:rFonts w:hint="eastAsia" w:ascii="宋体" w:hAnsi="宋体" w:eastAsia="宋体" w:cs="宋体"/>
          <w:color w:val="auto"/>
          <w:sz w:val="24"/>
          <w:szCs w:val="24"/>
          <w:highlight w:val="none"/>
        </w:rPr>
        <w:t>立履行下列职责：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（一）熟悉和理解招标文件；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（二）审查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投标文件等是否满足招标文件要求，并作出评价；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（三）根据需要要求招标采购单位对招标文件作出解释；根据需要要求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对投标文件有关事项作出澄清、说明或者更正；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（四）推荐中标候选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，或者受采购人委托确定中标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（五）起草评标报告并进行签署；</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（六）向招标采购单位、财政部门或者其他监督部门报告非法干预评标工作的行为；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（七）法律、法规和规章规定的其他职责。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评标过程独立、保密。投标人非法干预评标评标过程的行为将导致其投标文件作为无效处理。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1.6评标委员会评价投标文件的响应性，对于投标人而言，除评标委员会要求其澄清、说明或者更正而提供的资料外，仅依据投标文件本身的内容，不寻求其他外部证据。</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2、评标方法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本项目评标方法为：</w:t>
      </w:r>
      <w:r>
        <w:rPr>
          <w:rFonts w:hint="eastAsia" w:ascii="宋体" w:hAnsi="宋体" w:eastAsia="宋体" w:cs="宋体"/>
          <w:b/>
          <w:bCs/>
          <w:color w:val="auto"/>
          <w:sz w:val="24"/>
          <w:szCs w:val="24"/>
          <w:highlight w:val="none"/>
        </w:rPr>
        <w:t>综合评分法</w:t>
      </w:r>
      <w:r>
        <w:rPr>
          <w:rFonts w:hint="eastAsia" w:ascii="宋体" w:hAnsi="宋体" w:eastAsia="宋体" w:cs="宋体"/>
          <w:color w:val="auto"/>
          <w:sz w:val="24"/>
          <w:szCs w:val="24"/>
          <w:highlight w:val="none"/>
        </w:rPr>
        <w:t>。</w:t>
      </w:r>
      <w:bookmarkEnd w:id="135"/>
    </w:p>
    <w:p>
      <w:pPr>
        <w:spacing w:line="360" w:lineRule="auto"/>
        <w:ind w:firstLine="482" w:firstLineChars="200"/>
        <w:rPr>
          <w:rFonts w:hint="eastAsia" w:ascii="宋体" w:hAnsi="宋体" w:eastAsia="宋体" w:cs="宋体"/>
          <w:b/>
          <w:color w:val="auto"/>
          <w:sz w:val="24"/>
          <w:szCs w:val="24"/>
          <w:highlight w:val="none"/>
        </w:rPr>
      </w:pPr>
      <w:bookmarkStart w:id="136" w:name="_Toc217446103"/>
      <w:r>
        <w:rPr>
          <w:rFonts w:hint="eastAsia" w:ascii="宋体" w:hAnsi="宋体" w:eastAsia="宋体" w:cs="宋体"/>
          <w:b/>
          <w:color w:val="auto"/>
          <w:sz w:val="24"/>
          <w:szCs w:val="24"/>
          <w:highlight w:val="none"/>
        </w:rPr>
        <w:t>3、 评标程序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3.1熟悉和理解招标文件和停止评标。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3.1.2评标委员会熟悉和理解招标文件以及评标过程中，发现本招标文件有下列情形之一的，评标委员会应当停止评标：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（1）招标文件的规定存在歧义、重大缺陷的；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（2）招标文件明显以不合理条件对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实行差别待遇或者歧视待遇的；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（3）采购项目属于国家规定的优先、强制采购范围，但是招标文件未依法体现优先、强制采购相关规定的；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（4）采购项目属于政府采购促进中小企业发展的范围，但是招标文件未依法体现促进中小企业发展相关规定的；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（5）招标文件规定的评标方法是综合评分法、最低评标价法之外的评标方法，或者虽然名称为综合评分法、最低评标价法，但实际上不符合国家规定；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（6）招标文件将投标人的资格条件列为评分因素的；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（7）招标文件有违反国家其他有关强制性规定的情形。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3.2资格性检查。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采购人或采购代理机构应依据法律法规和本招标文件的规定，对投标文件是否按照规定要求提供资格性证明材料、是否按照规定交纳投标保证金、是否属于禁止参加投标的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等进行审查，以确定投标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是否具备投标资格。</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注：资格性检查适用于招标采购单位自行进行资格性检查，但有</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的资格在评标阶段已经发生变化的采购项目。本项目不需要评标委员会进行资格性检查。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3.3符合性检查。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评标委员会依据本招标文件的实质性要求及无效投标情形，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3.3.2投标文件（包括单独递交的开标一览表）有下列情形的，本项目不作为实质性要求进行规定，即不作为符合性审查事项，不得作为无效投标处理：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（一）正副本数量齐全、密封完好，只是未按照招标文件要求进行分装或者统装的；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（二）存在个别地方（不超过2个）没有法定代表人/单位负责人签字，但有法定代表人/单位负责人的私人印章或者有效授权代理人签字的；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（三）除招标文件明确要求加盖单位(法人)公章的以外，其他地方以相关专用章加盖的；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（四）以骑缝章的形式代替投标文件内容逐页盖章的（但是骑缝章模糊不清，印章名称无法辨认的除外）；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（五）其他不影响采购项目实质性要求的情形。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3.3.3除政府采购法律制度规定的情形外，本项目投标人或者其投标文件有下列情形之一的，作为无效投标处理：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（一）投标文件正副本数量不足的；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（二）投标文件组成明显不符合招标文件的规定要求，影响评标委员会评判的；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（三）投标文件的格式、语言、计量单位、报价货币、知识产权、投标有效期等不符合招标文件的规定，影响评标委员会评判的；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（四）投标报价不符合招标文件规定的采购预算或限价或其他报价规定的；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（五）技术应答内容完全或者绝大部分复制招标文件规定要求，且无相关证明材料的（主要适用于专用设备和电子信息化建设采购项目，政府采购工程、政府采购协议供货或定点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采购、政府采购的货物属于规格标准统一或者订制产品的除外）；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（六）商务、技术、服务应答内容没有完全响应招标文件的实质性要求的；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（七）未载明或者载明的招标项目履约时间、方式、数量及其他政府采购合同实质性内容与招标文件要求不一致，且招标采购单位无法接受的。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3.4比较与评价。按招标文件中规定的评标方法和标准，对未作无效投标处理的投标文件进行技术、服务、商务等方面评估，综合比较与评价。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3.5复核。评分汇总结束后，评标委员会应当进行复核，特别要对拟推荐为中标候选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的、报价最低的、投标文件被认定为无效的进行重点复核。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3.6推荐中标候选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排序。采用最低评标价法的，评标结果按投标报价由低到高顺序排列。投标报价相同的，按技术指标优劣顺序排列。采用综合评分法的，按评审后得分由高到低顺序排列。得分相同的，按投标报价由低到高顺序排列。得分且投标报价相同的，按技术指标优劣顺序排列。得分且报价相同且技术指标得分均相同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并列，由采购人自主采取公平、择优的方式选择中标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评标委员会可推荐的中标候选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数量不能满足招标文件规定的数量的，只有在获得采购人书面同意后，可以根据实际情况推荐中标候选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。未获得采购人的书面同意,评标委员会不得在招标文件规定之外推荐中标候选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，否则，采购人可以不予认可。</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3.7出具评标报告。评标委员会推荐中标候选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后，应当向招标采购单位出具评标报告。评标报告应当包括下列内容：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（一）招标公告刊登的媒体名称、开标日期和地点；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（二）获取招标文件的投标人名单和评标委员会成员名单；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（三）评标方法和标准；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（四）开标记录和评标情况及说明，包括无效投标人名单及原因；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（五）评标结果和中标候选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排序表；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（六）评标委员会授标建议；</w:t>
      </w:r>
    </w:p>
    <w:p>
      <w:pPr>
        <w:spacing w:line="360" w:lineRule="auto"/>
        <w:ind w:firstLine="480" w:firstLineChars="200"/>
        <w:rPr>
          <w:color w:val="auto"/>
          <w:sz w:val="28"/>
          <w:szCs w:val="28"/>
          <w:highlight w:val="none"/>
        </w:rPr>
      </w:pPr>
      <w:r>
        <w:rPr>
          <w:rFonts w:hint="eastAsia" w:ascii="宋体" w:hAnsi="宋体" w:eastAsia="宋体" w:cs="宋体"/>
          <w:color w:val="auto"/>
          <w:sz w:val="24"/>
          <w:szCs w:val="24"/>
          <w:highlight w:val="none"/>
        </w:rPr>
        <w:t>（七）报价最高的投标人为中标候选人的，评标委员会应当对其报价的合理性予以特别说明。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3.8评标争议处理规则。评标委员会在评审过程中，对于资格性审查、符合性审查、对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应当书面澄清、说明或者更正。</w:t>
      </w:r>
    </w:p>
    <w:bookmarkEnd w:id="136"/>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9.1</w:t>
      </w:r>
      <w:r>
        <w:rPr>
          <w:rFonts w:hint="eastAsia" w:ascii="宋体" w:hAnsi="宋体" w:eastAsia="宋体" w:cs="宋体"/>
          <w:color w:val="auto"/>
          <w:sz w:val="24"/>
          <w:szCs w:val="24"/>
          <w:highlight w:val="none"/>
        </w:rPr>
        <w:t>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9.2</w:t>
      </w:r>
      <w:r>
        <w:rPr>
          <w:rFonts w:hint="eastAsia" w:ascii="宋体" w:hAnsi="宋体" w:eastAsia="宋体" w:cs="宋体"/>
          <w:color w:val="auto"/>
          <w:sz w:val="24"/>
          <w:szCs w:val="24"/>
          <w:highlight w:val="none"/>
          <w:lang w:val="zh-CN"/>
        </w:rPr>
        <w:t>投标人提交的书面说明、相关证明材料（如涉及），应当加盖投标人（法定名称）电子印章，在评标委员会要求的时间内通过政府采购云平台进行递交，否则无效（给予供应商澄清、说明的时间不得少于30分钟，供应商已明确表示澄清、说明完毕的除外）。</w:t>
      </w:r>
      <w:r>
        <w:rPr>
          <w:rFonts w:hint="eastAsia" w:ascii="宋体" w:hAnsi="宋体" w:eastAsia="宋体" w:cs="宋体"/>
          <w:color w:val="auto"/>
          <w:sz w:val="24"/>
          <w:szCs w:val="24"/>
          <w:highlight w:val="none"/>
        </w:rPr>
        <w:t>澄清、说明或者更正不影响投标文件的效力，有效的澄清、说明或者更正材料，是投标文件的组成部分。</w:t>
      </w:r>
      <w:r>
        <w:rPr>
          <w:rFonts w:hint="eastAsia" w:ascii="宋体" w:hAnsi="宋体" w:eastAsia="宋体" w:cs="宋体"/>
          <w:color w:val="auto"/>
          <w:sz w:val="24"/>
          <w:szCs w:val="24"/>
          <w:highlight w:val="none"/>
          <w:lang w:val="zh-CN"/>
        </w:rPr>
        <w:t>如因系统故障（</w:t>
      </w:r>
      <w:r>
        <w:rPr>
          <w:rFonts w:hint="eastAsia" w:ascii="宋体" w:hAnsi="宋体" w:eastAsia="宋体" w:cs="宋体"/>
          <w:color w:val="auto"/>
          <w:sz w:val="24"/>
          <w:szCs w:val="24"/>
          <w:highlight w:val="none"/>
        </w:rPr>
        <w:t>包括组织场所停电、断网等）</w:t>
      </w:r>
      <w:r>
        <w:rPr>
          <w:rFonts w:hint="eastAsia" w:ascii="宋体" w:hAnsi="宋体" w:eastAsia="宋体" w:cs="宋体"/>
          <w:color w:val="auto"/>
          <w:sz w:val="24"/>
          <w:szCs w:val="24"/>
          <w:highlight w:val="none"/>
          <w:lang w:val="zh-CN"/>
        </w:rPr>
        <w:t>导致系统无法使用的，由投标人按评标委员会的要求进行澄清或者说明。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.3评标委员会要求供应商澄清、说明或者更正，不得超出招标文件的范围，不得以此让供应商实质改变投标文件的内容，不得影响供应商公平竞争。本项目下列内容不得澄清：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（一）按财政部规定应当在评标时不予承认的投标文件内容事项；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（二）投标文件中已经明确的内容事项；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.4 本项目采购过程中，投标文件报价出现前后不一致的，按照下列规定修正：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（一）投标文件中开标一览表（报价表）内容与投标文件中相应内容不一致的，以开标一览表（报价表）为准；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（二）大写金额和小写金额不一致的，以大写金额为准；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（三）单价金额小数点或者百分比有明显错位的，以开标一览表的总价为准，并修改单价；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（四）总价金额与按单价汇总金额不一致的，以单价金额计算结果为准。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同时出现两种以上不一致的，按照前款规定的顺序修正。修正后的报价按照本章3.</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.3的规定经投标人确认后产生约束力，投标人不确认的，其投标无效。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注：评标委员会当积极履行澄清、说明或者更正的职责，不得滥用权力。供应商的投标文件应当要求澄清、说明或者更正的，不得未经澄清、说明或者更正而直接作无效投标处理。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zh-CN"/>
        </w:rPr>
        <w:t>投标人提交的书面说明、相关证明材料（如涉及），应当加盖投标人（法定名称）电子印章，在评标委员会要求的时间内通过政府采购云平台进行递交，否则无效（给予供应商澄清、说明的时间不得少于</w:t>
      </w:r>
      <w:r>
        <w:rPr>
          <w:rFonts w:hint="eastAsia" w:ascii="宋体" w:hAnsi="宋体" w:eastAsia="宋体" w:cs="宋体"/>
          <w:color w:val="auto"/>
          <w:sz w:val="24"/>
          <w:szCs w:val="24"/>
          <w:highlight w:val="none"/>
        </w:rPr>
        <w:t>30分钟，供应商已明确表示澄清、说明完毕的除外</w:t>
      </w:r>
      <w:r>
        <w:rPr>
          <w:rFonts w:hint="eastAsia" w:ascii="宋体" w:hAnsi="宋体" w:eastAsia="宋体" w:cs="宋体"/>
          <w:color w:val="auto"/>
          <w:sz w:val="24"/>
          <w:szCs w:val="24"/>
          <w:highlight w:val="none"/>
          <w:lang w:val="zh-CN"/>
        </w:rPr>
        <w:t>）。如因系统故障（</w:t>
      </w:r>
      <w:r>
        <w:rPr>
          <w:rFonts w:hint="eastAsia" w:ascii="宋体" w:hAnsi="宋体" w:eastAsia="宋体" w:cs="宋体"/>
          <w:color w:val="auto"/>
          <w:sz w:val="24"/>
          <w:szCs w:val="24"/>
          <w:highlight w:val="none"/>
        </w:rPr>
        <w:t>包括组织场所停电、断网等）</w:t>
      </w:r>
      <w:r>
        <w:rPr>
          <w:rFonts w:hint="eastAsia" w:ascii="宋体" w:hAnsi="宋体" w:eastAsia="宋体" w:cs="宋体"/>
          <w:color w:val="auto"/>
          <w:sz w:val="24"/>
          <w:szCs w:val="24"/>
          <w:highlight w:val="none"/>
          <w:lang w:val="zh-CN"/>
        </w:rPr>
        <w:t>导致系统无法使用的，由投标人按评标委员会的要求进行澄清或者说明。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招标采购单位现场复核评标结果。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（一）分值汇总计算错误的；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（二）分项评分超出评分标准范围的；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（三）客观评分不一致的；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（四）经评标委员会认定评分畸高畸低的。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.2有下列情形之一的，不得修改评标结果或者重新评审：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（一）招标采购单位现场复核时，复核工作人员数量不足的；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（二）招标采购单位现场复核时，没有采购监督人员现场监督的；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（三）招标采购单位现场复核内容超出规定范围的；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（四）招标采购单位未提供书面建议的。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.3出现下列情形之一的，应当中止电子化采购活动，并保留相关证明材料备查：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（一）系统发生故障（包括感染病毒、应用或数据库出错）而无法正常使用的；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（二）因组织场所停电、断网等原因，导致采购活动无法继续通过交易系统实施的；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（三）其他无法保证电子化交易的公平、公正和安全的情况。</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出现前款规定的情形，不影响采购公平、公正的，待上述情形消除后继续组织采购活动；影响或者可能影响采购公平、公正的，应当依法废标或者终止采购活动。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4.评标细则及标准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4.1本项目采用综合评分法，评分因素详见综合评分明细表。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10"/>
        <w:keepNext w:val="0"/>
        <w:keepLines w:val="0"/>
        <w:pageBreakBefore w:val="0"/>
        <w:tabs>
          <w:tab w:val="left" w:pos="600"/>
        </w:tabs>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4.3综合评分明细表</w:t>
      </w:r>
    </w:p>
    <w:p>
      <w:pPr>
        <w:pStyle w:val="10"/>
        <w:keepNext w:val="0"/>
        <w:keepLines w:val="0"/>
        <w:pageBreakBefore w:val="0"/>
        <w:tabs>
          <w:tab w:val="left" w:pos="600"/>
        </w:tabs>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4.3.1综合评分明细表的制定以科学合理、降低评委会自由裁量权为原则。</w:t>
      </w:r>
    </w:p>
    <w:p>
      <w:pPr>
        <w:keepNext w:val="0"/>
        <w:keepLines w:val="0"/>
        <w:pageBreakBefore w:val="0"/>
        <w:widowControl/>
        <w:kinsoku/>
        <w:overflowPunct/>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 综合评分明细表按须知表中的相关要求进行价格调整，再参与价格分评审。</w:t>
      </w:r>
    </w:p>
    <w:p>
      <w:pPr>
        <w:keepNext w:val="0"/>
        <w:keepLines w:val="0"/>
        <w:pageBreakBefore w:val="0"/>
        <w:kinsoku/>
        <w:wordWrap w:val="0"/>
        <w:overflowPunct/>
        <w:topLinePunct/>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4.3.3综合评分明细表</w:t>
      </w:r>
    </w:p>
    <w:p>
      <w:pPr>
        <w:keepNext w:val="0"/>
        <w:keepLines w:val="0"/>
        <w:pageBreakBefore w:val="0"/>
        <w:kinsoku/>
        <w:overflowPunct/>
        <w:bidi w:val="0"/>
        <w:snapToGrid w:val="0"/>
        <w:spacing w:line="360" w:lineRule="auto"/>
        <w:jc w:val="center"/>
        <w:textAlignment w:val="auto"/>
        <w:rPr>
          <w:rFonts w:hint="eastAsia" w:ascii="宋体" w:hAnsi="宋体" w:eastAsia="宋体" w:cs="宋体"/>
          <w:b/>
          <w:bCs/>
          <w:color w:val="auto"/>
          <w:sz w:val="24"/>
          <w:szCs w:val="24"/>
          <w:highlight w:val="none"/>
        </w:rPr>
      </w:pPr>
      <w:bookmarkStart w:id="137" w:name="_Toc200854713"/>
      <w:bookmarkStart w:id="138" w:name="_Toc17197784"/>
      <w:bookmarkStart w:id="139" w:name="_Toc200854592"/>
      <w:bookmarkStart w:id="140" w:name="_Toc177715953"/>
      <w:bookmarkStart w:id="141" w:name="_Toc194829225"/>
      <w:bookmarkStart w:id="142" w:name="_Toc56590948"/>
      <w:r>
        <w:rPr>
          <w:rFonts w:hint="eastAsia" w:ascii="宋体" w:hAnsi="宋体" w:eastAsia="宋体" w:cs="宋体"/>
          <w:b/>
          <w:bCs/>
          <w:color w:val="auto"/>
          <w:sz w:val="24"/>
          <w:szCs w:val="24"/>
          <w:highlight w:val="none"/>
        </w:rPr>
        <w:t>项目综合评分标准</w:t>
      </w:r>
    </w:p>
    <w:tbl>
      <w:tblPr>
        <w:tblStyle w:val="19"/>
        <w:tblpPr w:leftFromText="180" w:rightFromText="180" w:vertAnchor="text" w:horzAnchor="page" w:tblpX="1217" w:tblpY="477"/>
        <w:tblOverlap w:val="never"/>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271"/>
        <w:gridCol w:w="1175"/>
        <w:gridCol w:w="5858"/>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6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评分因素及权重</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58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c>
          <w:tcPr>
            <w:tcW w:w="7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6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报价（30%）</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（30分）</w:t>
            </w:r>
          </w:p>
        </w:tc>
        <w:tc>
          <w:tcPr>
            <w:tcW w:w="58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经评审，通过资格性和符合性审查，且投标报价最低的投标人的投标报价作为评标基准价；投标报价得分=(评标基准价／投标报价)×30×100%。</w:t>
            </w:r>
          </w:p>
          <w:p>
            <w:pPr>
              <w:snapToGrid w:val="0"/>
              <w:spacing w:line="312"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注：本项目为专门面向中小微企业不在对其价格进行扣除。</w:t>
            </w:r>
          </w:p>
        </w:tc>
        <w:tc>
          <w:tcPr>
            <w:tcW w:w="77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5" w:hRule="atLeast"/>
        </w:trPr>
        <w:tc>
          <w:tcPr>
            <w:tcW w:w="618" w:type="dxa"/>
            <w:vMerge w:val="restart"/>
            <w:tcBorders>
              <w:top w:val="single" w:color="auto" w:sz="4" w:space="0"/>
              <w:left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二</w:t>
            </w:r>
          </w:p>
        </w:tc>
        <w:tc>
          <w:tcPr>
            <w:tcW w:w="1271" w:type="dxa"/>
            <w:vMerge w:val="restart"/>
            <w:tcBorders>
              <w:top w:val="single" w:color="auto" w:sz="4" w:space="0"/>
              <w:left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技术服务方案（40%）</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需求分析（15分）</w:t>
            </w:r>
          </w:p>
        </w:tc>
        <w:tc>
          <w:tcPr>
            <w:tcW w:w="58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2"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投标人对</w:t>
            </w:r>
            <w:r>
              <w:rPr>
                <w:rFonts w:hint="eastAsia" w:ascii="宋体" w:hAnsi="宋体" w:eastAsia="宋体" w:cs="宋体"/>
                <w:color w:val="auto"/>
                <w:sz w:val="24"/>
                <w:szCs w:val="24"/>
                <w:lang w:eastAsia="zh-CN"/>
              </w:rPr>
              <w:t>本项目的需求分析进行综合评分：包含对</w:t>
            </w:r>
            <w:r>
              <w:rPr>
                <w:rFonts w:hint="eastAsia" w:ascii="宋体" w:hAnsi="宋体" w:eastAsia="宋体" w:cs="宋体"/>
                <w:color w:val="auto"/>
                <w:sz w:val="24"/>
                <w:szCs w:val="24"/>
              </w:rPr>
              <w:t>项目设施现状及安装条件，对设备各项功能、适用性，</w:t>
            </w:r>
            <w:r>
              <w:rPr>
                <w:rFonts w:hint="eastAsia" w:ascii="宋体" w:hAnsi="宋体" w:eastAsia="宋体" w:cs="宋体"/>
                <w:color w:val="auto"/>
                <w:sz w:val="24"/>
                <w:szCs w:val="24"/>
                <w:lang w:eastAsia="zh-CN"/>
              </w:rPr>
              <w:t>对</w:t>
            </w:r>
            <w:r>
              <w:rPr>
                <w:rFonts w:hint="eastAsia" w:ascii="宋体" w:hAnsi="宋体" w:eastAsia="宋体" w:cs="宋体"/>
                <w:color w:val="auto"/>
                <w:sz w:val="24"/>
                <w:szCs w:val="24"/>
              </w:rPr>
              <w:t>管理目的及效益</w:t>
            </w:r>
            <w:r>
              <w:rPr>
                <w:rFonts w:hint="eastAsia" w:ascii="宋体" w:hAnsi="宋体" w:eastAsia="宋体" w:cs="宋体"/>
                <w:color w:val="auto"/>
                <w:sz w:val="24"/>
                <w:szCs w:val="24"/>
                <w:lang w:eastAsia="zh-CN"/>
              </w:rPr>
              <w:t>等内容；</w:t>
            </w:r>
            <w:r>
              <w:rPr>
                <w:rFonts w:hint="eastAsia" w:ascii="宋体" w:hAnsi="宋体" w:eastAsia="宋体" w:cs="宋体"/>
                <w:color w:val="auto"/>
                <w:sz w:val="24"/>
                <w:szCs w:val="24"/>
              </w:rPr>
              <w:t>需求分析合理全面，且满足招标文件要求的得15分；每缺一项</w:t>
            </w:r>
            <w:r>
              <w:rPr>
                <w:rFonts w:hint="eastAsia" w:ascii="宋体" w:hAnsi="宋体" w:eastAsia="宋体" w:cs="宋体"/>
                <w:color w:val="auto"/>
                <w:sz w:val="24"/>
                <w:szCs w:val="24"/>
                <w:lang w:eastAsia="zh-CN"/>
              </w:rPr>
              <w:t>（共</w:t>
            </w:r>
            <w:r>
              <w:rPr>
                <w:rFonts w:hint="eastAsia" w:ascii="宋体" w:hAnsi="宋体" w:eastAsia="宋体" w:cs="宋体"/>
                <w:color w:val="auto"/>
                <w:sz w:val="24"/>
                <w:szCs w:val="24"/>
                <w:lang w:val="en-US" w:eastAsia="zh-CN"/>
              </w:rPr>
              <w:t>3项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分；每有一项内容描述不够</w:t>
            </w:r>
            <w:r>
              <w:rPr>
                <w:rFonts w:hint="eastAsia" w:ascii="宋体" w:hAnsi="宋体" w:eastAsia="宋体" w:cs="宋体"/>
                <w:color w:val="auto"/>
                <w:sz w:val="24"/>
                <w:szCs w:val="24"/>
                <w:lang w:eastAsia="zh-CN"/>
              </w:rPr>
              <w:t>清晰完善或描述模糊或前后逻辑错误或与项目要求不匹配的每有一处扣</w:t>
            </w:r>
            <w:r>
              <w:rPr>
                <w:rFonts w:hint="eastAsia" w:ascii="宋体" w:hAnsi="宋体" w:eastAsia="宋体" w:cs="宋体"/>
                <w:color w:val="auto"/>
                <w:sz w:val="24"/>
                <w:szCs w:val="24"/>
                <w:lang w:val="en-US" w:eastAsia="zh-CN"/>
              </w:rPr>
              <w:t>1分，扣完为止。</w:t>
            </w:r>
          </w:p>
        </w:tc>
        <w:tc>
          <w:tcPr>
            <w:tcW w:w="77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trPr>
        <w:tc>
          <w:tcPr>
            <w:tcW w:w="618" w:type="dxa"/>
            <w:vMerge w:val="continue"/>
            <w:tcBorders>
              <w:left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color w:val="auto"/>
                <w:sz w:val="24"/>
                <w:szCs w:val="24"/>
              </w:rPr>
            </w:pPr>
          </w:p>
        </w:tc>
        <w:tc>
          <w:tcPr>
            <w:tcW w:w="1271" w:type="dxa"/>
            <w:vMerge w:val="continue"/>
            <w:tcBorders>
              <w:left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color w:val="auto"/>
                <w:sz w:val="24"/>
                <w:szCs w:val="24"/>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方案内容</w:t>
            </w:r>
          </w:p>
          <w:p>
            <w:pPr>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（25分）</w:t>
            </w:r>
          </w:p>
        </w:tc>
        <w:tc>
          <w:tcPr>
            <w:tcW w:w="585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2"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投标人对本项目提供的服务方案进行综合评分：包含施工方案与技术措施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质量管理体系与措施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安全管理体系与措施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环境保护管理体系与措施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工程进度计划与措施5个方面的服务内容，方案内容完善对关键性技术问题有相应的解决办法和对策措施满足招标文件要求的得25分；每缺一项扣</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分；每有一项内容描述不够</w:t>
            </w:r>
            <w:r>
              <w:rPr>
                <w:rFonts w:hint="eastAsia" w:ascii="宋体" w:hAnsi="宋体" w:eastAsia="宋体" w:cs="宋体"/>
                <w:color w:val="auto"/>
                <w:sz w:val="24"/>
                <w:szCs w:val="24"/>
                <w:lang w:eastAsia="zh-CN"/>
              </w:rPr>
              <w:t>清晰完善或描述模糊或前后逻辑错误或与项目要求不匹配的每有一处扣</w:t>
            </w:r>
            <w:r>
              <w:rPr>
                <w:rFonts w:hint="eastAsia" w:ascii="宋体" w:hAnsi="宋体" w:eastAsia="宋体" w:cs="宋体"/>
                <w:color w:val="auto"/>
                <w:sz w:val="24"/>
                <w:szCs w:val="24"/>
                <w:lang w:val="en-US" w:eastAsia="zh-CN"/>
              </w:rPr>
              <w:t>1分，扣完为止。</w:t>
            </w:r>
          </w:p>
        </w:tc>
        <w:tc>
          <w:tcPr>
            <w:tcW w:w="77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6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三</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售后服务保证措施（9%）</w:t>
            </w:r>
          </w:p>
          <w:p>
            <w:pPr>
              <w:snapToGrid w:val="0"/>
              <w:spacing w:line="312" w:lineRule="auto"/>
              <w:rPr>
                <w:rFonts w:hint="eastAsia" w:ascii="宋体" w:hAnsi="宋体" w:eastAsia="宋体" w:cs="宋体"/>
                <w:color w:val="auto"/>
                <w:sz w:val="24"/>
                <w:szCs w:val="24"/>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（9分）</w:t>
            </w:r>
          </w:p>
        </w:tc>
        <w:tc>
          <w:tcPr>
            <w:tcW w:w="5858" w:type="dxa"/>
            <w:tcBorders>
              <w:top w:val="single" w:color="auto" w:sz="4" w:space="0"/>
              <w:left w:val="single" w:color="auto" w:sz="4" w:space="0"/>
              <w:bottom w:val="single" w:color="auto" w:sz="4" w:space="0"/>
              <w:right w:val="single" w:color="auto" w:sz="4" w:space="0"/>
            </w:tcBorders>
            <w:noWrap w:val="0"/>
            <w:vAlign w:val="center"/>
          </w:tcPr>
          <w:p>
            <w:pPr>
              <w:pStyle w:val="2"/>
              <w:snapToGrid w:val="0"/>
              <w:spacing w:line="312"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投标人对本项目提供的售后服务保证措施进行综合评分：</w:t>
            </w:r>
            <w:r>
              <w:rPr>
                <w:rFonts w:hint="eastAsia" w:ascii="宋体" w:hAnsi="宋体" w:eastAsia="宋体" w:cs="宋体"/>
                <w:color w:val="auto"/>
                <w:sz w:val="24"/>
                <w:szCs w:val="24"/>
              </w:rPr>
              <w:t>包括保修期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响应时间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维保服务的零配件供应及相应配合等内容。售后服务承诺明确、措施完善，有利于项目实施满足招标文件的得9分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每缺一项</w:t>
            </w:r>
            <w:r>
              <w:rPr>
                <w:rFonts w:hint="eastAsia" w:ascii="宋体" w:hAnsi="宋体" w:eastAsia="宋体" w:cs="宋体"/>
                <w:color w:val="auto"/>
                <w:sz w:val="24"/>
                <w:szCs w:val="24"/>
                <w:lang w:eastAsia="zh-CN"/>
              </w:rPr>
              <w:t>（共</w:t>
            </w:r>
            <w:r>
              <w:rPr>
                <w:rFonts w:hint="eastAsia" w:ascii="宋体" w:hAnsi="宋体" w:eastAsia="宋体" w:cs="宋体"/>
                <w:color w:val="auto"/>
                <w:sz w:val="24"/>
                <w:szCs w:val="24"/>
                <w:lang w:val="en-US" w:eastAsia="zh-CN"/>
              </w:rPr>
              <w:t>3项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分；每有一项内容描述不够</w:t>
            </w:r>
            <w:r>
              <w:rPr>
                <w:rFonts w:hint="eastAsia" w:ascii="宋体" w:hAnsi="宋体" w:eastAsia="宋体" w:cs="宋体"/>
                <w:color w:val="auto"/>
                <w:sz w:val="24"/>
                <w:szCs w:val="24"/>
                <w:lang w:eastAsia="zh-CN"/>
              </w:rPr>
              <w:t>清晰完善或描述模糊或前后逻辑错误或与项目要求不匹配的每有一处扣</w:t>
            </w:r>
            <w:r>
              <w:rPr>
                <w:rFonts w:hint="eastAsia" w:ascii="宋体" w:hAnsi="宋体" w:eastAsia="宋体" w:cs="宋体"/>
                <w:color w:val="auto"/>
                <w:sz w:val="24"/>
                <w:szCs w:val="24"/>
                <w:lang w:val="en-US" w:eastAsia="zh-CN"/>
              </w:rPr>
              <w:t>1分，扣完为止。</w:t>
            </w:r>
          </w:p>
        </w:tc>
        <w:tc>
          <w:tcPr>
            <w:tcW w:w="7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trPr>
        <w:tc>
          <w:tcPr>
            <w:tcW w:w="618" w:type="dxa"/>
            <w:vMerge w:val="restart"/>
            <w:tcBorders>
              <w:top w:val="single" w:color="auto" w:sz="4" w:space="0"/>
              <w:left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四</w:t>
            </w:r>
          </w:p>
        </w:tc>
        <w:tc>
          <w:tcPr>
            <w:tcW w:w="1271" w:type="dxa"/>
            <w:vMerge w:val="restart"/>
            <w:tcBorders>
              <w:top w:val="single" w:color="auto" w:sz="4" w:space="0"/>
              <w:left w:val="single" w:color="auto" w:sz="4" w:space="0"/>
              <w:right w:val="single" w:color="auto" w:sz="4" w:space="0"/>
            </w:tcBorders>
            <w:noWrap w:val="0"/>
            <w:vAlign w:val="center"/>
          </w:tcPr>
          <w:p>
            <w:pPr>
              <w:widowControl/>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综合实力（1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ind w:firstLine="28"/>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设备</w:t>
            </w:r>
          </w:p>
          <w:p>
            <w:pPr>
              <w:snapToGrid w:val="0"/>
              <w:spacing w:line="312"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tc>
        <w:tc>
          <w:tcPr>
            <w:tcW w:w="58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1、投标人具有满足路灯安装所需的8T及以上吊车1台得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snapToGrid w:val="0"/>
              <w:spacing w:line="312"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2、投标人具有满足路灯安装所需12M及以上高空作业车1台得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snapToGrid w:val="0"/>
              <w:spacing w:line="312" w:lineRule="auto"/>
              <w:ind w:firstLine="240" w:firstLineChars="100"/>
              <w:rPr>
                <w:rFonts w:hint="eastAsia" w:ascii="宋体" w:hAnsi="宋体" w:eastAsia="宋体" w:cs="宋体"/>
                <w:color w:val="auto"/>
                <w:sz w:val="24"/>
                <w:szCs w:val="24"/>
              </w:rPr>
            </w:pPr>
            <w:r>
              <w:rPr>
                <w:rFonts w:hint="eastAsia" w:ascii="宋体" w:hAnsi="宋体" w:eastAsia="宋体" w:cs="宋体"/>
                <w:bCs/>
                <w:color w:val="auto"/>
                <w:sz w:val="24"/>
                <w:szCs w:val="24"/>
              </w:rPr>
              <w:t>注：</w:t>
            </w:r>
            <w:r>
              <w:rPr>
                <w:rFonts w:hint="eastAsia" w:ascii="宋体" w:hAnsi="宋体" w:eastAsia="宋体" w:cs="宋体"/>
                <w:bCs/>
                <w:color w:val="auto"/>
                <w:sz w:val="24"/>
                <w:szCs w:val="24"/>
                <w:lang w:eastAsia="zh-CN"/>
              </w:rPr>
              <w:t>自有</w:t>
            </w:r>
            <w:r>
              <w:rPr>
                <w:rFonts w:hint="eastAsia" w:ascii="宋体" w:hAnsi="宋体" w:eastAsia="宋体" w:cs="宋体"/>
                <w:bCs/>
                <w:color w:val="auto"/>
                <w:sz w:val="24"/>
                <w:szCs w:val="24"/>
              </w:rPr>
              <w:t>车辆提供</w:t>
            </w:r>
            <w:r>
              <w:rPr>
                <w:rFonts w:hint="eastAsia" w:ascii="宋体" w:hAnsi="宋体" w:eastAsia="宋体" w:cs="宋体"/>
                <w:color w:val="auto"/>
                <w:sz w:val="24"/>
                <w:szCs w:val="24"/>
              </w:rPr>
              <w:t>购买发票复印件</w:t>
            </w:r>
            <w:r>
              <w:rPr>
                <w:rFonts w:hint="eastAsia" w:ascii="宋体" w:hAnsi="宋体" w:eastAsia="宋体" w:cs="宋体"/>
                <w:color w:val="auto"/>
                <w:sz w:val="24"/>
                <w:szCs w:val="24"/>
                <w:lang w:eastAsia="zh-CN"/>
              </w:rPr>
              <w:t>和</w:t>
            </w:r>
            <w:r>
              <w:rPr>
                <w:rFonts w:hint="eastAsia" w:ascii="宋体" w:hAnsi="宋体" w:eastAsia="宋体" w:cs="宋体"/>
                <w:color w:val="auto"/>
                <w:sz w:val="24"/>
                <w:szCs w:val="24"/>
              </w:rPr>
              <w:t>行驶证复印件，加盖投标人公章。租赁</w:t>
            </w:r>
            <w:r>
              <w:rPr>
                <w:rFonts w:hint="eastAsia" w:ascii="宋体" w:hAnsi="宋体" w:eastAsia="宋体" w:cs="宋体"/>
                <w:color w:val="auto"/>
                <w:sz w:val="24"/>
                <w:szCs w:val="24"/>
                <w:lang w:eastAsia="zh-CN"/>
              </w:rPr>
              <w:t>车辆</w:t>
            </w:r>
            <w:r>
              <w:rPr>
                <w:rFonts w:hint="eastAsia" w:ascii="宋体" w:hAnsi="宋体" w:eastAsia="宋体" w:cs="宋体"/>
                <w:color w:val="auto"/>
                <w:sz w:val="24"/>
                <w:szCs w:val="24"/>
              </w:rPr>
              <w:t>须提供有效期内的租赁合同和租赁收据复印件、车辆提供行驶证。</w:t>
            </w:r>
          </w:p>
        </w:tc>
        <w:tc>
          <w:tcPr>
            <w:tcW w:w="77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trPr>
        <w:tc>
          <w:tcPr>
            <w:tcW w:w="618" w:type="dxa"/>
            <w:vMerge w:val="continue"/>
            <w:tcBorders>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color w:val="auto"/>
                <w:sz w:val="24"/>
                <w:szCs w:val="24"/>
              </w:rPr>
            </w:pPr>
          </w:p>
        </w:tc>
        <w:tc>
          <w:tcPr>
            <w:tcW w:w="1271" w:type="dxa"/>
            <w:vMerge w:val="continue"/>
            <w:tcBorders>
              <w:left w:val="single" w:color="auto" w:sz="4" w:space="0"/>
              <w:bottom w:val="single" w:color="auto" w:sz="4" w:space="0"/>
              <w:right w:val="single" w:color="auto" w:sz="4" w:space="0"/>
            </w:tcBorders>
            <w:noWrap w:val="0"/>
            <w:vAlign w:val="center"/>
          </w:tcPr>
          <w:p>
            <w:pPr>
              <w:snapToGrid w:val="0"/>
              <w:spacing w:line="312" w:lineRule="auto"/>
              <w:ind w:firstLine="28"/>
              <w:jc w:val="center"/>
              <w:rPr>
                <w:rFonts w:hint="eastAsia" w:ascii="宋体" w:hAnsi="宋体" w:eastAsia="宋体" w:cs="宋体"/>
                <w:color w:val="auto"/>
                <w:sz w:val="24"/>
                <w:szCs w:val="24"/>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ind w:firstLine="28"/>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人员</w:t>
            </w:r>
          </w:p>
          <w:p>
            <w:pPr>
              <w:snapToGrid w:val="0"/>
              <w:spacing w:line="312"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8分</w:t>
            </w:r>
            <w:r>
              <w:rPr>
                <w:rFonts w:hint="eastAsia" w:ascii="宋体" w:hAnsi="宋体" w:eastAsia="宋体" w:cs="宋体"/>
                <w:color w:val="auto"/>
                <w:sz w:val="24"/>
                <w:szCs w:val="24"/>
                <w:lang w:eastAsia="zh-CN"/>
              </w:rPr>
              <w:t>）</w:t>
            </w:r>
          </w:p>
        </w:tc>
        <w:tc>
          <w:tcPr>
            <w:tcW w:w="58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1、项目负责人具有二级</w:t>
            </w:r>
            <w:r>
              <w:rPr>
                <w:rFonts w:hint="eastAsia" w:ascii="宋体" w:hAnsi="宋体" w:eastAsia="宋体" w:cs="宋体"/>
                <w:color w:val="auto"/>
                <w:sz w:val="24"/>
                <w:szCs w:val="24"/>
                <w:lang w:eastAsia="zh-CN"/>
              </w:rPr>
              <w:t>及以上</w:t>
            </w:r>
            <w:r>
              <w:rPr>
                <w:rFonts w:hint="eastAsia" w:ascii="宋体" w:hAnsi="宋体" w:eastAsia="宋体" w:cs="宋体"/>
                <w:color w:val="auto"/>
                <w:sz w:val="24"/>
                <w:szCs w:val="24"/>
              </w:rPr>
              <w:t>建造师（机电或市政专业）同时具备有效的安全生产考核合格B证的得2分；未提供不得分。</w:t>
            </w:r>
          </w:p>
          <w:p>
            <w:pPr>
              <w:snapToGrid w:val="0"/>
              <w:spacing w:line="312"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2、技术负责人具有机电或市政专业中级</w:t>
            </w:r>
            <w:r>
              <w:rPr>
                <w:rFonts w:hint="eastAsia" w:ascii="宋体" w:hAnsi="宋体" w:eastAsia="宋体" w:cs="宋体"/>
                <w:color w:val="auto"/>
                <w:sz w:val="24"/>
                <w:szCs w:val="24"/>
                <w:lang w:eastAsia="zh-CN"/>
              </w:rPr>
              <w:t>及以上</w:t>
            </w:r>
            <w:r>
              <w:rPr>
                <w:rFonts w:hint="eastAsia" w:ascii="宋体" w:hAnsi="宋体" w:eastAsia="宋体" w:cs="宋体"/>
                <w:color w:val="auto"/>
                <w:sz w:val="24"/>
                <w:szCs w:val="24"/>
              </w:rPr>
              <w:t>职称得2分；未提供不得分。</w:t>
            </w:r>
          </w:p>
          <w:p>
            <w:pPr>
              <w:snapToGrid w:val="0"/>
              <w:spacing w:line="312"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3、施工员、安全员、质量员、材料员配置齐全的得4分；缺少1人扣1分；缺少2人及以上不得分。</w:t>
            </w:r>
          </w:p>
          <w:p>
            <w:pPr>
              <w:snapToGrid w:val="0"/>
              <w:spacing w:line="312"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注：1、人员提供相关证明材料复印件，加盖投标人公章。</w:t>
            </w:r>
          </w:p>
          <w:p>
            <w:pPr>
              <w:snapToGrid w:val="0"/>
              <w:spacing w:line="312"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2、以上人员不重复计分。</w:t>
            </w:r>
          </w:p>
        </w:tc>
        <w:tc>
          <w:tcPr>
            <w:tcW w:w="77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6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五</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业绩（6%）</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58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ind w:firstLine="271" w:firstLineChars="113"/>
              <w:rPr>
                <w:rFonts w:hint="eastAsia" w:ascii="宋体" w:hAnsi="宋体" w:eastAsia="宋体" w:cs="宋体"/>
                <w:color w:val="auto"/>
                <w:sz w:val="24"/>
                <w:szCs w:val="24"/>
              </w:rPr>
            </w:pPr>
            <w:r>
              <w:rPr>
                <w:rFonts w:hint="eastAsia" w:ascii="宋体" w:hAnsi="宋体" w:eastAsia="宋体" w:cs="宋体"/>
                <w:color w:val="auto"/>
                <w:sz w:val="24"/>
                <w:szCs w:val="24"/>
              </w:rPr>
              <w:t>投标人2018年以来具有</w:t>
            </w:r>
            <w:r>
              <w:rPr>
                <w:rFonts w:hint="eastAsia" w:ascii="宋体" w:hAnsi="宋体" w:eastAsia="宋体" w:cs="宋体"/>
                <w:b w:val="0"/>
                <w:bCs w:val="0"/>
                <w:color w:val="auto"/>
                <w:sz w:val="24"/>
                <w:szCs w:val="24"/>
                <w:lang w:eastAsia="zh-CN"/>
              </w:rPr>
              <w:t>照明系统安装</w:t>
            </w:r>
            <w:r>
              <w:rPr>
                <w:rFonts w:hint="eastAsia" w:ascii="宋体" w:hAnsi="宋体" w:eastAsia="宋体" w:cs="宋体"/>
                <w:color w:val="auto"/>
                <w:sz w:val="24"/>
                <w:szCs w:val="24"/>
              </w:rPr>
              <w:t>业绩</w:t>
            </w:r>
            <w:r>
              <w:rPr>
                <w:rFonts w:hint="eastAsia" w:ascii="宋体" w:hAnsi="宋体" w:eastAsia="宋体" w:cs="宋体"/>
                <w:color w:val="auto"/>
                <w:sz w:val="24"/>
                <w:szCs w:val="24"/>
                <w:lang w:eastAsia="zh-CN"/>
              </w:rPr>
              <w:t>的每有</w:t>
            </w:r>
            <w:r>
              <w:rPr>
                <w:rFonts w:hint="eastAsia" w:ascii="宋体" w:hAnsi="宋体" w:eastAsia="宋体" w:cs="宋体"/>
                <w:color w:val="auto"/>
                <w:sz w:val="24"/>
                <w:szCs w:val="24"/>
              </w:rPr>
              <w:t>一个得2分，本项最多得6分。</w:t>
            </w:r>
          </w:p>
          <w:p>
            <w:pPr>
              <w:snapToGrid w:val="0"/>
              <w:spacing w:line="312"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注：须提供中标/成交通知书或合同复印件等印证材料。</w:t>
            </w:r>
          </w:p>
        </w:tc>
        <w:tc>
          <w:tcPr>
            <w:tcW w:w="772" w:type="dxa"/>
            <w:tcBorders>
              <w:top w:val="single" w:color="auto" w:sz="4" w:space="0"/>
              <w:left w:val="single" w:color="auto" w:sz="4" w:space="0"/>
              <w:bottom w:val="single" w:color="auto" w:sz="4" w:space="0"/>
              <w:right w:val="single" w:color="auto" w:sz="4" w:space="0"/>
            </w:tcBorders>
            <w:noWrap w:val="0"/>
            <w:vAlign w:val="center"/>
          </w:tcPr>
          <w:p>
            <w:pPr>
              <w:ind w:firstLine="28"/>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trPr>
        <w:tc>
          <w:tcPr>
            <w:tcW w:w="6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六</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节能、环保标志产品使用1%</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1分</w:t>
            </w:r>
          </w:p>
        </w:tc>
        <w:tc>
          <w:tcPr>
            <w:tcW w:w="5858" w:type="dxa"/>
            <w:tcBorders>
              <w:top w:val="single" w:color="auto" w:sz="4" w:space="0"/>
              <w:left w:val="single" w:color="auto" w:sz="4" w:space="0"/>
              <w:bottom w:val="single" w:color="auto" w:sz="4" w:space="0"/>
              <w:right w:val="single" w:color="auto" w:sz="4" w:space="0"/>
            </w:tcBorders>
            <w:noWrap w:val="0"/>
            <w:vAlign w:val="top"/>
          </w:tcPr>
          <w:p>
            <w:pPr>
              <w:snapToGrid w:val="0"/>
              <w:spacing w:line="312"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报价产品中属于政府采购优先采购范围的，则每有一项为节能产品或者环境标志产品或者无线局域网产品的得0.5分，非节能、环境标志产品的、无线局域网产品的不得分。本项最多得1分。 </w:t>
            </w:r>
          </w:p>
          <w:p>
            <w:pPr>
              <w:snapToGrid w:val="0"/>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注：1.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 </w:t>
            </w:r>
          </w:p>
          <w:p>
            <w:pPr>
              <w:snapToGrid w:val="0"/>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 响应产品属于优先采购范围内的节能产品或者环境标志产品的，根据财库[2019]9号文，按财库[2019]19号、财库[2019]18号、财政部 2019年第16号文规定提供国家确定的认证机构出具的、处于有效期之内的节能产品、环境标志产品认证证书复印件加盖供应商公章（鲜章），并将对应产品标识出来。 </w:t>
            </w:r>
          </w:p>
          <w:p>
            <w:pPr>
              <w:snapToGrid w:val="0"/>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3. 报价产品属于优先采购范围内的无线局域网产品的，提供政府采购清单对应页并加盖供应商单位公章（鲜章)。</w:t>
            </w:r>
          </w:p>
        </w:tc>
        <w:tc>
          <w:tcPr>
            <w:tcW w:w="77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szCs w:val="24"/>
              </w:rPr>
            </w:pPr>
          </w:p>
        </w:tc>
      </w:tr>
    </w:tbl>
    <w:p>
      <w:pPr>
        <w:pStyle w:val="9"/>
        <w:keepNext w:val="0"/>
        <w:keepLines w:val="0"/>
        <w:pageBreakBefore w:val="0"/>
        <w:kinsoku/>
        <w:overflowPunct/>
        <w:bidi w:val="0"/>
        <w:snapToGrid w:val="0"/>
        <w:spacing w:line="360" w:lineRule="auto"/>
        <w:textAlignment w:val="auto"/>
        <w:rPr>
          <w:rFonts w:hint="eastAsia" w:ascii="宋体" w:hAnsi="宋体" w:eastAsia="宋体" w:cs="宋体"/>
          <w:color w:val="auto"/>
          <w:sz w:val="24"/>
          <w:szCs w:val="24"/>
          <w:highlight w:val="none"/>
        </w:rPr>
      </w:pPr>
    </w:p>
    <w:p>
      <w:pPr>
        <w:pStyle w:val="9"/>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 本次综合评分法由评标委员会各成员独立对通过初审（资格检查和符合性检查）的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的投标文件进行评审和打分。  </w:t>
      </w:r>
      <w:bookmarkStart w:id="143" w:name="_Toc217446060"/>
    </w:p>
    <w:p>
      <w:pPr>
        <w:pStyle w:val="9"/>
        <w:keepNext w:val="0"/>
        <w:keepLines w:val="0"/>
        <w:pageBreakBefore w:val="0"/>
        <w:kinsoku/>
        <w:overflowPunct/>
        <w:bidi w:val="0"/>
        <w:snapToGrid w:val="0"/>
        <w:spacing w:line="360" w:lineRule="auto"/>
        <w:ind w:firstLine="422" w:firstLineChars="17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 废 标</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5.1本次政府采购活动中，出现下列情形之一的，予以废标：</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（1）符合专业条件的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或者对招标文件作实质响应的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不足三家的；</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（3）投标人的报价均超过了采购预算，采购人不能支付的；</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（4）因重大变故，采购任务取消的。</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废标后，采购代理机构应在四川政府采购网上公告，并公告废标的情形。投标人需要知晓导致废标情形的具体原因和理由的，可以通过书面形式询问招标采购单位。</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5.2对于评标过程中废标的采购项目，评标委员会应当对招标文件是否存在倾向性和歧视性、是否存在不合理条款进行论证，并出具书面论证</w:t>
      </w:r>
      <w:bookmarkEnd w:id="143"/>
      <w:bookmarkStart w:id="144" w:name="_Toc217446061"/>
      <w:r>
        <w:rPr>
          <w:rFonts w:hint="eastAsia" w:ascii="宋体" w:hAnsi="宋体" w:eastAsia="宋体" w:cs="宋体"/>
          <w:color w:val="auto"/>
          <w:sz w:val="24"/>
          <w:szCs w:val="24"/>
          <w:highlight w:val="none"/>
        </w:rPr>
        <w:t>意见。</w:t>
      </w:r>
    </w:p>
    <w:p>
      <w:pPr>
        <w:keepNext w:val="0"/>
        <w:keepLines w:val="0"/>
        <w:pageBreakBefore w:val="0"/>
        <w:kinsoku/>
        <w:overflowPunct/>
        <w:bidi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6、定标</w:t>
      </w:r>
    </w:p>
    <w:bookmarkEnd w:id="144"/>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定标原则：本项目根据评标委员会推荐的中标候选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名单，按顺序确</w:t>
      </w:r>
      <w:bookmarkStart w:id="145" w:name="_Toc217446062"/>
      <w:r>
        <w:rPr>
          <w:rFonts w:hint="eastAsia" w:ascii="宋体" w:hAnsi="宋体" w:eastAsia="宋体" w:cs="宋体"/>
          <w:color w:val="auto"/>
          <w:sz w:val="24"/>
          <w:szCs w:val="24"/>
          <w:highlight w:val="none"/>
        </w:rPr>
        <w:t>定中标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bookmarkEnd w:id="145"/>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定标程序</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 评标委员会将评标情况写出书面报告，推荐中标候选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 采购代理机构在评标结束后2个工作日内将评标报告送采购人。</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 采购人在收到评标报告后5个工作日内，按照评标报告中推荐的中标候选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顺序确定中标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采用最低评标价法的，评标结果按投标报价由低到高顺序排列。投标报价相同的，按技术指标优劣顺序排列。采用综合评分法的，按评审后得分由高到低顺序排列。得分相同的，按投标报价由低到高顺序排列。得分且投标报价相同的，按技术指标优劣顺序排列。得分且报价相同且技术指标得分均相同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并列，由采购人自主采取公平、择优的方式选择中标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keepNext w:val="0"/>
        <w:keepLines w:val="0"/>
        <w:pageBreakBefore w:val="0"/>
        <w:kinsoku/>
        <w:overflowPunct/>
        <w:bidi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注意，采购人按照推荐的中标候选</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顺序确定中标</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，不能认为采购人只能确定第一中标候选</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为中标</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，采购人有正当理由的，可以确定后一顺序中标候选</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为中标</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，依次类推。</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 根据采购人确定的中标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，采购代理机构在四川政府采购网上发布中标公告，并自采购人确定中标之日起2个工作日内向中标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发出中标通知书。</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6.2.5 招标采购单位不退回投标人</w:t>
      </w:r>
      <w:bookmarkStart w:id="146" w:name="_Toc183582297"/>
      <w:bookmarkStart w:id="147" w:name="_Toc208849022"/>
      <w:bookmarkStart w:id="148" w:name="_Toc217446105"/>
      <w:bookmarkStart w:id="149" w:name="_Toc183682432"/>
      <w:r>
        <w:rPr>
          <w:rFonts w:hint="eastAsia" w:ascii="宋体" w:hAnsi="宋体" w:eastAsia="宋体" w:cs="宋体"/>
          <w:color w:val="auto"/>
          <w:sz w:val="24"/>
          <w:szCs w:val="24"/>
          <w:highlight w:val="none"/>
        </w:rPr>
        <w:t>投标文件和其他</w:t>
      </w:r>
      <w:bookmarkEnd w:id="146"/>
      <w:bookmarkEnd w:id="147"/>
      <w:bookmarkEnd w:id="148"/>
      <w:bookmarkEnd w:id="149"/>
      <w:r>
        <w:rPr>
          <w:rFonts w:hint="eastAsia" w:ascii="宋体" w:hAnsi="宋体" w:eastAsia="宋体" w:cs="宋体"/>
          <w:color w:val="auto"/>
          <w:sz w:val="24"/>
          <w:szCs w:val="24"/>
          <w:highlight w:val="none"/>
        </w:rPr>
        <w:t>投标资料。</w:t>
      </w:r>
    </w:p>
    <w:p>
      <w:pPr>
        <w:keepNext w:val="0"/>
        <w:keepLines w:val="0"/>
        <w:pageBreakBefore w:val="0"/>
        <w:kinsoku/>
        <w:overflowPunct/>
        <w:bidi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评标专家在政府采购活动中承担以下义务：</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（一）遵守评审工作纪律； </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（二）按照客观、公正、审慎的原则，根据采购文件规定的评审程序、评审方法和评审标准进行独立评审；</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（三）不得泄露评审文件、评审情况和在评审过程中获悉的商业秘密；</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（四）及时向监督部门报告评审过程中采购组织单位向评审专家做倾向性、误导性的解释或者说明，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行贿、提供虚假材料或者串通、受到的非法干预情况等违法违规行为；</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（五）发现采购文件内容违反国家有关强制性规定或者存在歧义、重大缺陷导致评审工作无法进行时，停止评审并向采购组织单位书面说明情况；</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（六）配合答复处理</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的询问、质疑和投诉等事项；</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（七）法律、法规和规章规定的其他义务。</w:t>
      </w:r>
    </w:p>
    <w:p>
      <w:pPr>
        <w:keepNext w:val="0"/>
        <w:keepLines w:val="0"/>
        <w:pageBreakBefore w:val="0"/>
        <w:kinsoku/>
        <w:overflowPunct/>
        <w:bidi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8.评标专家在政府采购活动中应当遵守以下工作纪律：</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（一）遵行《政府采购法》第十二条和《政府采购法实施条例》第九条及财政部关于回避的规定。</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（二）评标前，应当将通讯工具或者相关电子设备交由招标采购单位统一保管。</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（三）评标过程中，不得与外界联系，因发生不可预见情况，确实需要与外界联系的，应当在监督人员监督之下办理。</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（四）评标过程中，不得干预或者影响正常评标工作，不得发表倾向性、引导性意见，不得修改或细化招标文件确定的评标程序、评标方法、评标因素和评标标准，不得接受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主动提出的澄清和解释，不得征询采购人代表的意见，不得协商评分，不得违反规定的评标格式评分和撰写评标意见，不得拒绝对自己的评标意见签字确认。</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（五）在评标过程中和评标结束后，不得记录、复制或带走任何评标资料，除因规定的义务外，不得向外界透露评标内容。</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（六）服从评标现场招标采购单位的现场秩序管理，接受评标现场监督人员的合法监督。</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（七）遵守有关廉洁自律规定，不得私下接触</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，不得收受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及有关业务单位和个人的财物或好处，不得接受采购组织单位的请托。</w:t>
      </w:r>
      <w:bookmarkEnd w:id="137"/>
      <w:bookmarkEnd w:id="138"/>
      <w:bookmarkEnd w:id="139"/>
      <w:bookmarkEnd w:id="140"/>
      <w:bookmarkEnd w:id="141"/>
      <w:bookmarkEnd w:id="142"/>
    </w:p>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bookmarkEnd w:id="134"/>
    <w:p>
      <w:pPr>
        <w:pStyle w:val="3"/>
        <w:pageBreakBefore w:val="0"/>
        <w:kinsoku/>
        <w:overflowPunct/>
        <w:bidi w:val="0"/>
        <w:snapToGrid w:val="0"/>
        <w:spacing w:before="0" w:beforeAutospacing="0" w:after="0" w:afterAutospacing="0" w:line="312" w:lineRule="auto"/>
        <w:ind w:firstLine="321" w:firstLineChars="100"/>
        <w:jc w:val="center"/>
        <w:rPr>
          <w:rFonts w:hint="eastAsia" w:ascii="宋体" w:hAnsi="宋体" w:eastAsia="宋体" w:cs="宋体"/>
          <w:color w:val="auto"/>
          <w:sz w:val="32"/>
          <w:szCs w:val="32"/>
          <w:highlight w:val="none"/>
        </w:rPr>
      </w:pPr>
      <w:bookmarkStart w:id="150" w:name="_Toc25418"/>
      <w:bookmarkStart w:id="151" w:name="_Toc24151"/>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八</w:t>
      </w:r>
      <w:r>
        <w:rPr>
          <w:rFonts w:hint="eastAsia" w:ascii="宋体" w:hAnsi="宋体" w:eastAsia="宋体" w:cs="宋体"/>
          <w:color w:val="auto"/>
          <w:sz w:val="32"/>
          <w:szCs w:val="32"/>
          <w:highlight w:val="none"/>
        </w:rPr>
        <w:t>章  政府采购合同（草案）</w:t>
      </w:r>
      <w:bookmarkEnd w:id="150"/>
      <w:bookmarkEnd w:id="151"/>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bookmarkStart w:id="152" w:name="_Hlt101846155"/>
      <w:bookmarkEnd w:id="152"/>
      <w:r>
        <w:rPr>
          <w:rFonts w:hint="eastAsia" w:ascii="宋体" w:hAnsi="宋体" w:eastAsia="宋体" w:cs="宋体"/>
          <w:color w:val="auto"/>
          <w:sz w:val="24"/>
          <w:szCs w:val="24"/>
        </w:rPr>
        <w:t xml:space="preserve">合同编号：XXX                                         </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签订地点：XXX                                         </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签订时间：XXX年XXX月XXX日                                         </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采购人（甲方）：XXX                                          </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供应商（乙方）：XXX                                          </w:t>
      </w:r>
    </w:p>
    <w:p>
      <w:pPr>
        <w:pageBreakBefore w:val="0"/>
        <w:kinsoku/>
        <w:overflowPunct/>
        <w:bidi w:val="0"/>
        <w:snapToGrid w:val="0"/>
        <w:spacing w:line="312" w:lineRule="auto"/>
        <w:rPr>
          <w:rFonts w:hint="eastAsia" w:ascii="宋体" w:hAnsi="宋体" w:eastAsia="宋体" w:cs="宋体"/>
          <w:color w:val="auto"/>
          <w:sz w:val="24"/>
          <w:szCs w:val="24"/>
        </w:rPr>
      </w:pP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》及XXX采购项目（项目编号：XXX）的《</w:t>
      </w:r>
      <w:r>
        <w:rPr>
          <w:rFonts w:hint="eastAsia" w:ascii="宋体" w:hAnsi="宋体" w:eastAsia="宋体" w:cs="宋体"/>
          <w:bCs/>
          <w:color w:val="auto"/>
          <w:sz w:val="24"/>
          <w:szCs w:val="24"/>
        </w:rPr>
        <w:t>谈判</w:t>
      </w:r>
      <w:r>
        <w:rPr>
          <w:rFonts w:hint="eastAsia" w:ascii="宋体" w:hAnsi="宋体" w:eastAsia="宋体" w:cs="宋体"/>
          <w:color w:val="auto"/>
          <w:sz w:val="24"/>
          <w:szCs w:val="24"/>
        </w:rPr>
        <w:t>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w:t>
      </w:r>
    </w:p>
    <w:p>
      <w:pPr>
        <w:pageBreakBefore w:val="0"/>
        <w:numPr>
          <w:ilvl w:val="0"/>
          <w:numId w:val="10"/>
        </w:numPr>
        <w:kinsoku/>
        <w:overflowPunct/>
        <w:bidi w:val="0"/>
        <w:snapToGrid w:val="0"/>
        <w:spacing w:line="312"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合同货物</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pageBreakBefore w:val="0"/>
              <w:kinsoku/>
              <w:overflowPunct/>
              <w:bidi w:val="0"/>
              <w:snapToGrid w:val="0"/>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货物品名</w:t>
            </w:r>
          </w:p>
        </w:tc>
        <w:tc>
          <w:tcPr>
            <w:tcW w:w="1027" w:type="dxa"/>
            <w:vMerge w:val="restart"/>
            <w:tcBorders>
              <w:top w:val="single" w:color="auto" w:sz="4" w:space="0"/>
              <w:left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604" w:type="dxa"/>
            <w:vMerge w:val="restart"/>
            <w:tcBorders>
              <w:top w:val="single" w:color="auto" w:sz="4" w:space="0"/>
              <w:left w:val="single" w:color="auto" w:sz="4" w:space="0"/>
              <w:right w:val="single" w:color="auto" w:sz="4" w:space="0"/>
            </w:tcBorders>
            <w:noWrap w:val="0"/>
            <w:vAlign w:val="center"/>
          </w:tcPr>
          <w:p>
            <w:pPr>
              <w:pageBreakBefore w:val="0"/>
              <w:kinsoku/>
              <w:overflowPunct/>
              <w:bidi w:val="0"/>
              <w:snapToGrid w:val="0"/>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531" w:type="dxa"/>
            <w:vMerge w:val="restart"/>
            <w:tcBorders>
              <w:top w:val="single" w:color="auto" w:sz="4" w:space="0"/>
              <w:left w:val="single" w:color="auto" w:sz="4" w:space="0"/>
              <w:right w:val="single" w:color="auto" w:sz="4" w:space="0"/>
            </w:tcBorders>
            <w:noWrap w:val="0"/>
            <w:vAlign w:val="center"/>
          </w:tcPr>
          <w:p>
            <w:pPr>
              <w:pageBreakBefore w:val="0"/>
              <w:kinsoku/>
              <w:overflowPunct/>
              <w:bidi w:val="0"/>
              <w:snapToGrid w:val="0"/>
              <w:spacing w:line="312" w:lineRule="auto"/>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064" w:type="dxa"/>
            <w:vMerge w:val="restart"/>
            <w:tcBorders>
              <w:top w:val="single" w:color="auto" w:sz="4" w:space="0"/>
              <w:left w:val="single" w:color="auto" w:sz="4" w:space="0"/>
              <w:right w:val="single" w:color="auto" w:sz="4" w:space="0"/>
            </w:tcBorders>
            <w:noWrap w:val="0"/>
            <w:vAlign w:val="center"/>
          </w:tcPr>
          <w:p>
            <w:pPr>
              <w:pageBreakBefore w:val="0"/>
              <w:kinsoku/>
              <w:overflowPunct/>
              <w:bidi w:val="0"/>
              <w:snapToGrid w:val="0"/>
              <w:spacing w:line="312" w:lineRule="auto"/>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（万元）</w:t>
            </w:r>
          </w:p>
        </w:tc>
        <w:tc>
          <w:tcPr>
            <w:tcW w:w="888" w:type="dxa"/>
            <w:vMerge w:val="restart"/>
            <w:tcBorders>
              <w:top w:val="single" w:color="auto" w:sz="4" w:space="0"/>
              <w:left w:val="single" w:color="auto" w:sz="4" w:space="0"/>
              <w:right w:val="single" w:color="auto" w:sz="4" w:space="0"/>
            </w:tcBorders>
            <w:noWrap w:val="0"/>
            <w:vAlign w:val="center"/>
          </w:tcPr>
          <w:p>
            <w:pPr>
              <w:pageBreakBefore w:val="0"/>
              <w:kinsoku/>
              <w:overflowPunct/>
              <w:bidi w:val="0"/>
              <w:snapToGrid w:val="0"/>
              <w:spacing w:line="312" w:lineRule="auto"/>
              <w:ind w:leftChars="-1" w:right="-88" w:rightChars="-42" w:hanging="2" w:hangingChars="1"/>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p>
            <w:pPr>
              <w:pageBreakBefore w:val="0"/>
              <w:kinsoku/>
              <w:overflowPunct/>
              <w:bidi w:val="0"/>
              <w:snapToGrid w:val="0"/>
              <w:spacing w:line="312" w:lineRule="auto"/>
              <w:ind w:leftChars="-1" w:right="-88" w:rightChars="-42" w:hanging="2" w:hangingChars="1"/>
              <w:jc w:val="center"/>
              <w:rPr>
                <w:rFonts w:hint="eastAsia" w:ascii="宋体" w:hAnsi="宋体" w:eastAsia="宋体" w:cs="宋体"/>
                <w:color w:val="auto"/>
                <w:sz w:val="24"/>
                <w:szCs w:val="24"/>
              </w:rPr>
            </w:pPr>
            <w:r>
              <w:rPr>
                <w:rFonts w:hint="eastAsia" w:ascii="宋体" w:hAnsi="宋体" w:eastAsia="宋体" w:cs="宋体"/>
                <w:color w:val="auto"/>
                <w:sz w:val="24"/>
                <w:szCs w:val="24"/>
              </w:rPr>
              <w:t>（万元）</w:t>
            </w:r>
          </w:p>
        </w:tc>
        <w:tc>
          <w:tcPr>
            <w:tcW w:w="917" w:type="dxa"/>
            <w:vMerge w:val="restart"/>
            <w:tcBorders>
              <w:top w:val="single" w:color="auto" w:sz="4" w:space="0"/>
              <w:left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随机</w:t>
            </w:r>
          </w:p>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配件</w:t>
            </w:r>
          </w:p>
        </w:tc>
        <w:tc>
          <w:tcPr>
            <w:tcW w:w="932" w:type="dxa"/>
            <w:vMerge w:val="restart"/>
            <w:tcBorders>
              <w:top w:val="single" w:color="auto" w:sz="4" w:space="0"/>
              <w:left w:val="single" w:color="auto" w:sz="4" w:space="0"/>
              <w:right w:val="single" w:color="auto" w:sz="4" w:space="0"/>
            </w:tcBorders>
            <w:noWrap w:val="0"/>
            <w:vAlign w:val="center"/>
          </w:tcPr>
          <w:p>
            <w:pPr>
              <w:pageBreakBefore w:val="0"/>
              <w:kinsoku/>
              <w:overflowPunct/>
              <w:bidi w:val="0"/>
              <w:snapToGrid w:val="0"/>
              <w:spacing w:line="312" w:lineRule="auto"/>
              <w:ind w:leftChars="-22" w:hanging="52" w:hangingChars="22"/>
              <w:rPr>
                <w:rFonts w:hint="eastAsia" w:ascii="宋体" w:hAnsi="宋体" w:eastAsia="宋体" w:cs="宋体"/>
                <w:color w:val="auto"/>
                <w:sz w:val="24"/>
                <w:szCs w:val="24"/>
              </w:rPr>
            </w:pPr>
            <w:r>
              <w:rPr>
                <w:rFonts w:hint="eastAsia" w:ascii="宋体" w:hAnsi="宋体" w:eastAsia="宋体" w:cs="宋体"/>
                <w:color w:val="auto"/>
                <w:sz w:val="24"/>
                <w:szCs w:val="24"/>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line="312"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ind w:firstLine="240" w:firstLineChars="100"/>
              <w:rPr>
                <w:rFonts w:hint="eastAsia" w:ascii="宋体" w:hAnsi="宋体" w:eastAsia="宋体" w:cs="宋体"/>
                <w:color w:val="auto"/>
                <w:sz w:val="24"/>
                <w:szCs w:val="24"/>
              </w:rPr>
            </w:pPr>
          </w:p>
        </w:tc>
        <w:tc>
          <w:tcPr>
            <w:tcW w:w="1027" w:type="dxa"/>
            <w:vMerge w:val="continue"/>
            <w:tcBorders>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p>
        </w:tc>
        <w:tc>
          <w:tcPr>
            <w:tcW w:w="604" w:type="dxa"/>
            <w:vMerge w:val="continue"/>
            <w:tcBorders>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rPr>
                <w:rFonts w:hint="eastAsia" w:ascii="宋体" w:hAnsi="宋体" w:eastAsia="宋体" w:cs="宋体"/>
                <w:color w:val="auto"/>
                <w:sz w:val="24"/>
                <w:szCs w:val="24"/>
              </w:rPr>
            </w:pPr>
          </w:p>
        </w:tc>
        <w:tc>
          <w:tcPr>
            <w:tcW w:w="531" w:type="dxa"/>
            <w:vMerge w:val="continue"/>
            <w:tcBorders>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ind w:firstLine="120" w:firstLineChars="50"/>
              <w:rPr>
                <w:rFonts w:hint="eastAsia" w:ascii="宋体" w:hAnsi="宋体" w:eastAsia="宋体" w:cs="宋体"/>
                <w:color w:val="auto"/>
                <w:sz w:val="24"/>
                <w:szCs w:val="24"/>
              </w:rPr>
            </w:pPr>
          </w:p>
        </w:tc>
        <w:tc>
          <w:tcPr>
            <w:tcW w:w="1064" w:type="dxa"/>
            <w:vMerge w:val="continue"/>
            <w:tcBorders>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ind w:firstLine="120" w:firstLineChars="50"/>
              <w:jc w:val="center"/>
              <w:rPr>
                <w:rFonts w:hint="eastAsia" w:ascii="宋体" w:hAnsi="宋体" w:eastAsia="宋体" w:cs="宋体"/>
                <w:color w:val="auto"/>
                <w:sz w:val="24"/>
                <w:szCs w:val="24"/>
              </w:rPr>
            </w:pPr>
          </w:p>
        </w:tc>
        <w:tc>
          <w:tcPr>
            <w:tcW w:w="888" w:type="dxa"/>
            <w:vMerge w:val="continue"/>
            <w:tcBorders>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ind w:firstLine="240" w:firstLineChars="100"/>
              <w:rPr>
                <w:rFonts w:hint="eastAsia" w:ascii="宋体" w:hAnsi="宋体" w:eastAsia="宋体" w:cs="宋体"/>
                <w:color w:val="auto"/>
                <w:sz w:val="24"/>
                <w:szCs w:val="24"/>
              </w:rPr>
            </w:pPr>
          </w:p>
        </w:tc>
        <w:tc>
          <w:tcPr>
            <w:tcW w:w="917" w:type="dxa"/>
            <w:vMerge w:val="continue"/>
            <w:tcBorders>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p>
        </w:tc>
        <w:tc>
          <w:tcPr>
            <w:tcW w:w="932" w:type="dxa"/>
            <w:vMerge w:val="continue"/>
            <w:tcBorders>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ind w:firstLine="120" w:firstLineChars="50"/>
              <w:rPr>
                <w:rFonts w:hint="eastAsia" w:ascii="宋体" w:hAnsi="宋体" w:eastAsia="宋体" w:cs="宋体"/>
                <w:color w:val="auto"/>
                <w:sz w:val="24"/>
                <w:szCs w:val="24"/>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line="312"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line="312"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line="312"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自</w:t>
            </w:r>
          </w:p>
          <w:p>
            <w:pPr>
              <w:pageBreakBefore w:val="0"/>
              <w:kinsoku/>
              <w:overflowPunct/>
              <w:autoSpaceDE w:val="0"/>
              <w:autoSpaceDN w:val="0"/>
              <w:bidi w:val="0"/>
              <w:adjustRightInd w:val="0"/>
              <w:snapToGrid w:val="0"/>
              <w:spacing w:line="312" w:lineRule="auto"/>
              <w:jc w:val="center"/>
              <w:rPr>
                <w:rFonts w:hint="eastAsia" w:ascii="宋体" w:hAnsi="宋体" w:eastAsia="宋体" w:cs="宋体"/>
                <w:color w:val="auto"/>
                <w:sz w:val="24"/>
                <w:szCs w:val="24"/>
                <w:lang w:val="zh-CN"/>
              </w:rPr>
            </w:pPr>
          </w:p>
          <w:p>
            <w:pPr>
              <w:pageBreakBefore w:val="0"/>
              <w:kinsoku/>
              <w:overflowPunct/>
              <w:autoSpaceDE w:val="0"/>
              <w:autoSpaceDN w:val="0"/>
              <w:bidi w:val="0"/>
              <w:adjustRightInd w:val="0"/>
              <w:snapToGrid w:val="0"/>
              <w:spacing w:line="312"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line="312"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其</w:t>
            </w:r>
          </w:p>
          <w:p>
            <w:pPr>
              <w:pageBreakBefore w:val="0"/>
              <w:kinsoku/>
              <w:overflowPunct/>
              <w:autoSpaceDE w:val="0"/>
              <w:autoSpaceDN w:val="0"/>
              <w:bidi w:val="0"/>
              <w:adjustRightInd w:val="0"/>
              <w:snapToGrid w:val="0"/>
              <w:spacing w:line="312" w:lineRule="auto"/>
              <w:jc w:val="center"/>
              <w:rPr>
                <w:rFonts w:hint="eastAsia" w:ascii="宋体" w:hAnsi="宋体" w:eastAsia="宋体" w:cs="宋体"/>
                <w:color w:val="auto"/>
                <w:sz w:val="24"/>
                <w:szCs w:val="24"/>
                <w:lang w:val="zh-CN"/>
              </w:rPr>
            </w:pPr>
          </w:p>
          <w:p>
            <w:pPr>
              <w:pageBreakBefore w:val="0"/>
              <w:kinsoku/>
              <w:overflowPunct/>
              <w:autoSpaceDE w:val="0"/>
              <w:autoSpaceDN w:val="0"/>
              <w:bidi w:val="0"/>
              <w:adjustRightInd w:val="0"/>
              <w:snapToGrid w:val="0"/>
              <w:spacing w:line="312"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line="312" w:lineRule="auto"/>
              <w:jc w:val="center"/>
              <w:rPr>
                <w:rFonts w:hint="eastAsia" w:ascii="宋体" w:hAnsi="宋体" w:eastAsia="宋体" w:cs="宋体"/>
                <w:color w:val="auto"/>
                <w:sz w:val="24"/>
                <w:szCs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line="312" w:lineRule="auto"/>
              <w:jc w:val="center"/>
              <w:rPr>
                <w:rFonts w:hint="eastAsia" w:ascii="宋体" w:hAnsi="宋体" w:eastAsia="宋体" w:cs="宋体"/>
                <w:color w:val="auto"/>
                <w:sz w:val="24"/>
                <w:szCs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line="312" w:lineRule="auto"/>
              <w:jc w:val="center"/>
              <w:rPr>
                <w:rFonts w:hint="eastAsia" w:ascii="宋体" w:hAnsi="宋体" w:eastAsia="宋体" w:cs="宋体"/>
                <w:color w:val="auto"/>
                <w:sz w:val="24"/>
                <w:szCs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line="312"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line="312" w:lineRule="auto"/>
              <w:jc w:val="center"/>
              <w:rPr>
                <w:rFonts w:hint="eastAsia" w:ascii="宋体" w:hAnsi="宋体" w:eastAsia="宋体" w:cs="宋体"/>
                <w:color w:val="auto"/>
                <w:sz w:val="24"/>
                <w:szCs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line="312" w:lineRule="auto"/>
              <w:jc w:val="center"/>
              <w:rPr>
                <w:rFonts w:hint="eastAsia" w:ascii="宋体" w:hAnsi="宋体" w:eastAsia="宋体" w:cs="宋体"/>
                <w:color w:val="auto"/>
                <w:sz w:val="24"/>
                <w:szCs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line="312" w:lineRule="auto"/>
              <w:jc w:val="center"/>
              <w:rPr>
                <w:rFonts w:hint="eastAsia" w:ascii="宋体" w:hAnsi="宋体" w:eastAsia="宋体" w:cs="宋体"/>
                <w:color w:val="auto"/>
                <w:sz w:val="24"/>
                <w:szCs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line="312" w:lineRule="auto"/>
              <w:jc w:val="center"/>
              <w:rPr>
                <w:rFonts w:hint="eastAsia" w:ascii="宋体" w:hAnsi="宋体" w:eastAsia="宋体" w:cs="宋体"/>
                <w:color w:val="auto"/>
                <w:sz w:val="24"/>
                <w:szCs w:val="24"/>
              </w:rPr>
            </w:pPr>
          </w:p>
        </w:tc>
      </w:tr>
    </w:tbl>
    <w:p>
      <w:pPr>
        <w:pageBreakBefore w:val="0"/>
        <w:kinsoku/>
        <w:overflowPunct/>
        <w:bidi w:val="0"/>
        <w:snapToGrid w:val="0"/>
        <w:spacing w:line="312" w:lineRule="auto"/>
        <w:rPr>
          <w:rFonts w:hint="eastAsia" w:ascii="宋体" w:hAnsi="宋体" w:eastAsia="宋体" w:cs="宋体"/>
          <w:b/>
          <w:color w:val="auto"/>
          <w:sz w:val="24"/>
          <w:szCs w:val="24"/>
        </w:rPr>
      </w:pPr>
    </w:p>
    <w:p>
      <w:pPr>
        <w:pageBreakBefore w:val="0"/>
        <w:kinsoku/>
        <w:overflowPunct/>
        <w:bidi w:val="0"/>
        <w:snapToGrid w:val="0"/>
        <w:spacing w:line="312"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二、合同总价</w:t>
      </w:r>
    </w:p>
    <w:p>
      <w:pPr>
        <w:pStyle w:val="8"/>
        <w:pageBreakBefore w:val="0"/>
        <w:kinsoku/>
        <w:overflowPunct/>
        <w:bidi w:val="0"/>
        <w:snapToGrid w:val="0"/>
        <w:spacing w:line="312"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pageBreakBefore w:val="0"/>
        <w:tabs>
          <w:tab w:val="left" w:pos="2145"/>
        </w:tabs>
        <w:kinsoku/>
        <w:overflowPunct/>
        <w:bidi w:val="0"/>
        <w:snapToGrid w:val="0"/>
        <w:spacing w:line="312"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三、质量要求</w:t>
      </w:r>
      <w:r>
        <w:rPr>
          <w:rFonts w:hint="eastAsia" w:ascii="宋体" w:hAnsi="宋体" w:eastAsia="宋体" w:cs="宋体"/>
          <w:b/>
          <w:color w:val="auto"/>
          <w:sz w:val="24"/>
          <w:szCs w:val="24"/>
        </w:rPr>
        <w:tab/>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1.乙方须提供全新的货物（含零部件、配件等），表面无划伤、无碰撞痕迹，且权属清楚，不得侵害他人的知识产权。</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2.货物必须符合或优于国家（行业）XXX标准，以及本项目谈判文件的质量要求和技术指标与出厂标准。</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4.货物制造质量出现问题，乙方应负责三包（包修、包换、包退），费用由乙方负担，甲方有权到乙方生产场地检查货物质量和生产进度。</w:t>
      </w:r>
    </w:p>
    <w:p>
      <w:pPr>
        <w:pStyle w:val="50"/>
        <w:pageBreakBefore w:val="0"/>
        <w:kinsoku/>
        <w:overflowPunct/>
        <w:bidi w:val="0"/>
        <w:snapToGrid w:val="0"/>
        <w:spacing w:line="312"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rPr>
        <w:t>5.货物到现场后由于甲方保管不当造成的质量问题，乙方亦应负责修理，但费用由甲方负担。</w:t>
      </w:r>
    </w:p>
    <w:p>
      <w:pPr>
        <w:pageBreakBefore w:val="0"/>
        <w:kinsoku/>
        <w:overflowPunct/>
        <w:bidi w:val="0"/>
        <w:snapToGrid w:val="0"/>
        <w:spacing w:line="312" w:lineRule="auto"/>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四、交货及验收</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1.乙方交货期限为合同签订生效后的XXX日内，在合同签订生效之日起（XXX）天内交货到甲方指定地点，随即在XXX日内全部完成安装调试验收合格交付使用 (如由于采购人的原因造成合同延迟签订或验收的，时间顺延)。交货验收时须提供产品质检部门从同类产品中抽样检查合格的检测报告。</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2.验收由甲方组织，乙方配合进行：</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 验收标准：按国家有关规定以及甲方谈判文件的质量要求和技术指标、乙方的投标文件及承诺与本合同约定标准进行验收；甲乙双方如对质量要求和技术指标的约定标准有相互抵触或异议的事项，由甲方在谈判文件及响应文件中按质量要求和技术指标比较优胜的原则确定该项的约定标准进行验收；</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(4)如质量验收合格，双方签署质量验收报告。</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3.货物安装调试完毕后XXX日内，甲方无故不进行验收工作并已使用货物的，视同验收合格。</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5.如货物经乙方XXX次维修仍不能达到合同约定的质量标准，甲方有权退货，并视作乙方不能交付货物且须支付违约赔偿金给甲方，甲方还可依法追究乙方的违约责任。</w:t>
      </w:r>
    </w:p>
    <w:p>
      <w:pPr>
        <w:pStyle w:val="50"/>
        <w:pageBreakBefore w:val="0"/>
        <w:kinsoku/>
        <w:overflowPunct/>
        <w:bidi w:val="0"/>
        <w:snapToGrid w:val="0"/>
        <w:spacing w:line="312"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rPr>
        <w:t>6.其他未尽事宜应严格按照《四川省政府采购项目需求论证和履约验收管理办法》（川财采〔2015〕32号）的要求进行。 </w:t>
      </w:r>
    </w:p>
    <w:p>
      <w:pPr>
        <w:pageBreakBefore w:val="0"/>
        <w:kinsoku/>
        <w:overflowPunct/>
        <w:bidi w:val="0"/>
        <w:snapToGrid w:val="0"/>
        <w:spacing w:line="312" w:lineRule="auto"/>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五、付款方式</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3.乙方须向甲方出具合法有效完整的完税发票及凭证资料进行支付结算。</w:t>
      </w:r>
    </w:p>
    <w:p>
      <w:pPr>
        <w:pStyle w:val="50"/>
        <w:pageBreakBefore w:val="0"/>
        <w:kinsoku/>
        <w:overflowPunct/>
        <w:bidi w:val="0"/>
        <w:snapToGrid w:val="0"/>
        <w:spacing w:line="312"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rPr>
        <w:t>4.履约保证金：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50"/>
        <w:pageBreakBefore w:val="0"/>
        <w:kinsoku/>
        <w:overflowPunct/>
        <w:bidi w:val="0"/>
        <w:snapToGrid w:val="0"/>
        <w:spacing w:line="312"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六、售后服务</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质保期为验收合格后XX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50"/>
        <w:pageBreakBefore w:val="0"/>
        <w:kinsoku/>
        <w:overflowPunct/>
        <w:bidi w:val="0"/>
        <w:snapToGrid w:val="0"/>
        <w:spacing w:line="312"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rPr>
        <w:t>2.乙方须指派专人负责与甲方联系售后服务事宜。 </w:t>
      </w:r>
    </w:p>
    <w:p>
      <w:pPr>
        <w:pageBreakBefore w:val="0"/>
        <w:kinsoku/>
        <w:overflowPunct/>
        <w:bidi w:val="0"/>
        <w:snapToGrid w:val="0"/>
        <w:spacing w:line="312" w:lineRule="auto"/>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七、违约责任</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1.甲方违约责任</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（1）甲方无正当理由拒收货物的，甲方应偿付合同总价百分之XXX的违约金；</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（2）甲方逾期支付货款的，除应及时付足货款外，应向乙方偿付欠款总额万分之XXX/天的违约金；逾期付款超过XXX天的，乙方有权终止合同；</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 甲方偿付的违约金不足以弥补乙方损失的，还应按乙方损失尚未弥补的部分，支付赔偿金给乙方。</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2.乙方违约责任</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乙方不能交付货物或逾期交付货物而违约的，除应及时交足货物外，应向甲方偿付逾期交货部分货款总额的万分之XXX/天的违约金；逾期交货超过XX天，甲方有权终止合同，乙方则应按合同总价的百分之XXX的款额向甲方偿付赔偿金，并须全额退还甲方已经付给乙方的货款及其利息。</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50"/>
        <w:pageBreakBefore w:val="0"/>
        <w:kinsoku/>
        <w:overflowPunct/>
        <w:bidi w:val="0"/>
        <w:snapToGrid w:val="0"/>
        <w:spacing w:line="312"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rPr>
        <w:t>（5）乙方偿付的违约金不足以弥补甲方损失的，还应按甲方损失尚未弥补的部分，支付赔偿金给甲方。</w:t>
      </w:r>
    </w:p>
    <w:p>
      <w:pPr>
        <w:pageBreakBefore w:val="0"/>
        <w:kinsoku/>
        <w:overflowPunct/>
        <w:bidi w:val="0"/>
        <w:snapToGrid w:val="0"/>
        <w:spacing w:line="312"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八、争议解决办法</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1.因货物的质量问题发生争议，由质量技术监督部门或其指定的质量鉴定机构进行质量鉴定。货物符合标准的，鉴定费由甲方承担；货物不符合质量标准的，鉴定费由乙方承担。</w:t>
      </w:r>
    </w:p>
    <w:p>
      <w:pPr>
        <w:pStyle w:val="50"/>
        <w:pageBreakBefore w:val="0"/>
        <w:kinsoku/>
        <w:overflowPunct/>
        <w:bidi w:val="0"/>
        <w:snapToGrid w:val="0"/>
        <w:spacing w:line="312"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rPr>
        <w:t>2.合同履行期间,若双方发生争议，可协商或由有关部门调解解决，协商或调解不成的，由当事人依法维护其合法权益。</w:t>
      </w:r>
    </w:p>
    <w:p>
      <w:pPr>
        <w:pageBreakBefore w:val="0"/>
        <w:kinsoku/>
        <w:overflowPunct/>
        <w:bidi w:val="0"/>
        <w:snapToGrid w:val="0"/>
        <w:spacing w:line="312" w:lineRule="auto"/>
        <w:ind w:firstLine="308" w:firstLineChars="128"/>
        <w:rPr>
          <w:rFonts w:hint="eastAsia" w:ascii="宋体" w:hAnsi="宋体" w:eastAsia="宋体" w:cs="宋体"/>
          <w:b/>
          <w:color w:val="auto"/>
          <w:sz w:val="24"/>
          <w:szCs w:val="24"/>
        </w:rPr>
      </w:pPr>
      <w:r>
        <w:rPr>
          <w:rFonts w:hint="eastAsia" w:ascii="宋体" w:hAnsi="宋体" w:eastAsia="宋体" w:cs="宋体"/>
          <w:b/>
          <w:color w:val="auto"/>
          <w:sz w:val="24"/>
          <w:szCs w:val="24"/>
        </w:rPr>
        <w:t>九、其他</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1.如有未尽事宜，由双方依法订立补充合同。</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2.本合同双方应加盖骑缝章。</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3.本合同一式四份，自双方签章并经代理机构审核编号后生效。甲方、乙方、政府采购管理部门、采购代理机构各一份。</w:t>
      </w:r>
    </w:p>
    <w:p>
      <w:pPr>
        <w:pStyle w:val="57"/>
        <w:pageBreakBefore w:val="0"/>
        <w:kinsoku/>
        <w:overflowPunct/>
        <w:bidi w:val="0"/>
        <w:snapToGrid w:val="0"/>
        <w:spacing w:line="312" w:lineRule="auto"/>
        <w:ind w:firstLine="480"/>
        <w:rPr>
          <w:rFonts w:hint="eastAsia" w:ascii="宋体" w:hAnsi="宋体" w:eastAsia="宋体" w:cs="宋体"/>
          <w:color w:val="auto"/>
          <w:sz w:val="24"/>
          <w:szCs w:val="24"/>
        </w:rPr>
      </w:pPr>
    </w:p>
    <w:p>
      <w:pPr>
        <w:pageBreakBefore w:val="0"/>
        <w:kinsoku/>
        <w:overflowPunct/>
        <w:bidi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   （盖单位公章）   </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乙方：   （盖单位公章）</w:t>
      </w:r>
    </w:p>
    <w:p>
      <w:pPr>
        <w:pageBreakBefore w:val="0"/>
        <w:kinsoku/>
        <w:overflowPunct/>
        <w:bidi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            法定代表人（授权代表）：</w:t>
      </w:r>
    </w:p>
    <w:p>
      <w:pPr>
        <w:pageBreakBefore w:val="0"/>
        <w:kinsoku/>
        <w:overflowPunct/>
        <w:bidi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                         地    址：</w:t>
      </w:r>
    </w:p>
    <w:p>
      <w:pPr>
        <w:pageBreakBefore w:val="0"/>
        <w:kinsoku/>
        <w:overflowPunct/>
        <w:bidi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开户银行：                         开户银行：</w:t>
      </w:r>
    </w:p>
    <w:p>
      <w:pPr>
        <w:pageBreakBefore w:val="0"/>
        <w:kinsoku/>
        <w:overflowPunct/>
        <w:bidi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账号：                             账号：</w:t>
      </w:r>
    </w:p>
    <w:p>
      <w:pPr>
        <w:pageBreakBefore w:val="0"/>
        <w:kinsoku/>
        <w:overflowPunct/>
        <w:bidi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    话：                         电    话：</w:t>
      </w:r>
    </w:p>
    <w:p>
      <w:pPr>
        <w:pageBreakBefore w:val="0"/>
        <w:kinsoku/>
        <w:overflowPunct/>
        <w:bidi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    真：                         传    真：</w:t>
      </w:r>
    </w:p>
    <w:p>
      <w:pPr>
        <w:pageBreakBefore w:val="0"/>
        <w:kinsoku/>
        <w:overflowPunct/>
        <w:bidi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签约日期：XX年XX月XX日 </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签约日期：XX年XX月XX日</w:t>
      </w:r>
    </w:p>
    <w:p>
      <w:pPr>
        <w:pStyle w:val="2"/>
        <w:pageBreakBefore w:val="0"/>
        <w:kinsoku/>
        <w:overflowPunct/>
        <w:bidi w:val="0"/>
        <w:snapToGrid w:val="0"/>
        <w:spacing w:beforeAutospacing="0" w:after="0" w:afterAutospacing="0" w:line="312" w:lineRule="auto"/>
        <w:rPr>
          <w:rFonts w:hint="eastAsia" w:ascii="宋体" w:hAnsi="宋体" w:eastAsia="宋体" w:cs="宋体"/>
          <w:color w:val="auto"/>
          <w:sz w:val="24"/>
          <w:szCs w:val="24"/>
          <w:highlight w:val="none"/>
          <w:lang w:val="en-US" w:eastAsia="zh-CN"/>
        </w:rPr>
      </w:pPr>
    </w:p>
    <w:p>
      <w:pPr>
        <w:pStyle w:val="2"/>
        <w:pageBreakBefore w:val="0"/>
        <w:kinsoku/>
        <w:overflowPunct/>
        <w:bidi w:val="0"/>
        <w:snapToGrid w:val="0"/>
        <w:spacing w:beforeAutospacing="0" w:after="0" w:afterAutospacing="0" w:line="312" w:lineRule="auto"/>
        <w:rPr>
          <w:rFonts w:hint="eastAsia" w:ascii="宋体" w:hAnsi="宋体" w:eastAsia="宋体" w:cs="宋体"/>
          <w:color w:val="auto"/>
          <w:sz w:val="24"/>
          <w:szCs w:val="24"/>
          <w:highlight w:val="none"/>
          <w:lang w:val="en-US" w:eastAsia="zh-CN"/>
        </w:rPr>
      </w:pPr>
    </w:p>
    <w:sectPr>
      <w:headerReference r:id="rId4" w:type="default"/>
      <w:footerReference r:id="rId5" w:type="default"/>
      <w:pgSz w:w="11906" w:h="16838"/>
      <w:pgMar w:top="1440" w:right="1283" w:bottom="1440" w:left="138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ind w:left="48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5DBE9"/>
    <w:multiLevelType w:val="singleLevel"/>
    <w:tmpl w:val="8765DBE9"/>
    <w:lvl w:ilvl="0" w:tentative="0">
      <w:start w:val="7"/>
      <w:numFmt w:val="chineseCounting"/>
      <w:suff w:val="nothing"/>
      <w:lvlText w:val="%1、"/>
      <w:lvlJc w:val="left"/>
      <w:rPr>
        <w:rFonts w:hint="eastAsia"/>
      </w:rPr>
    </w:lvl>
  </w:abstractNum>
  <w:abstractNum w:abstractNumId="1">
    <w:nsid w:val="B0A9B931"/>
    <w:multiLevelType w:val="singleLevel"/>
    <w:tmpl w:val="B0A9B931"/>
    <w:lvl w:ilvl="0" w:tentative="0">
      <w:start w:val="2"/>
      <w:numFmt w:val="decimal"/>
      <w:suff w:val="nothing"/>
      <w:lvlText w:val="%1、"/>
      <w:lvlJc w:val="left"/>
      <w:rPr>
        <w:rFonts w:hint="default"/>
        <w:b/>
        <w:bCs/>
      </w:rPr>
    </w:lvl>
  </w:abstractNum>
  <w:abstractNum w:abstractNumId="2">
    <w:nsid w:val="00B14B4D"/>
    <w:multiLevelType w:val="singleLevel"/>
    <w:tmpl w:val="00B14B4D"/>
    <w:lvl w:ilvl="0" w:tentative="0">
      <w:start w:val="6"/>
      <w:numFmt w:val="chineseCounting"/>
      <w:suff w:val="space"/>
      <w:lvlText w:val="第%1章"/>
      <w:lvlJc w:val="left"/>
      <w:rPr>
        <w:rFonts w:hint="eastAsia"/>
      </w:rPr>
    </w:lvl>
  </w:abstractNum>
  <w:abstractNum w:abstractNumId="3">
    <w:nsid w:val="29B9B182"/>
    <w:multiLevelType w:val="singleLevel"/>
    <w:tmpl w:val="29B9B182"/>
    <w:lvl w:ilvl="0" w:tentative="0">
      <w:start w:val="1"/>
      <w:numFmt w:val="decimal"/>
      <w:suff w:val="space"/>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43820B06"/>
    <w:multiLevelType w:val="multilevel"/>
    <w:tmpl w:val="43820B06"/>
    <w:lvl w:ilvl="0" w:tentative="0">
      <w:start w:val="1"/>
      <w:numFmt w:val="decimal"/>
      <w:lvlText w:val="第%1章"/>
      <w:lvlJc w:val="left"/>
      <w:pPr>
        <w:ind w:left="3402" w:hanging="425"/>
      </w:pPr>
      <w:rPr>
        <w:rFonts w:hint="default" w:ascii="微软雅黑" w:hAnsi="微软雅黑" w:eastAsia="微软雅黑"/>
        <w:b/>
        <w:i w:val="0"/>
        <w:sz w:val="28"/>
        <w:szCs w:val="28"/>
      </w:rPr>
    </w:lvl>
    <w:lvl w:ilvl="1" w:tentative="0">
      <w:start w:val="1"/>
      <w:numFmt w:val="decimal"/>
      <w:suff w:val="nothing"/>
      <w:lvlText w:val="%1.%2"/>
      <w:lvlJc w:val="left"/>
      <w:pPr>
        <w:ind w:left="567" w:hanging="567"/>
      </w:pPr>
      <w:rPr>
        <w:rFonts w:hint="default" w:ascii="微软雅黑" w:hAnsi="微软雅黑" w:eastAsia="微软雅黑" w:cs="Times New Roman"/>
        <w:b/>
        <w:i w:val="0"/>
        <w:color w:val="auto"/>
        <w:sz w:val="24"/>
        <w:szCs w:val="24"/>
        <w:lang w:val="en-US"/>
      </w:rPr>
    </w:lvl>
    <w:lvl w:ilvl="2" w:tentative="0">
      <w:start w:val="1"/>
      <w:numFmt w:val="decimal"/>
      <w:suff w:val="space"/>
      <w:lvlText w:val="%1.%2.%3"/>
      <w:lvlJc w:val="left"/>
      <w:pPr>
        <w:ind w:left="567" w:hanging="567"/>
      </w:pPr>
      <w:rPr>
        <w:rFonts w:hint="default" w:ascii="Times New Roman" w:hAnsi="Times New Roman" w:eastAsia="宋体" w:cs="Times New Roman"/>
        <w:b/>
        <w:i w:val="0"/>
        <w:color w:val="auto"/>
        <w:sz w:val="21"/>
        <w:szCs w:val="21"/>
      </w:rPr>
    </w:lvl>
    <w:lvl w:ilvl="3" w:tentative="0">
      <w:start w:val="1"/>
      <w:numFmt w:val="decimal"/>
      <w:pStyle w:val="6"/>
      <w:suff w:val="nothing"/>
      <w:lvlText w:val="%1.%2.%3.%4"/>
      <w:lvlJc w:val="left"/>
      <w:pPr>
        <w:ind w:left="1134" w:hanging="708"/>
      </w:pPr>
      <w:rPr>
        <w:rFonts w:hint="default" w:ascii="微软雅黑" w:hAnsi="微软雅黑" w:eastAsia="微软雅黑" w:cs="Times New Roman"/>
        <w:b/>
        <w:i w:val="0"/>
        <w:sz w:val="24"/>
        <w:szCs w:val="24"/>
      </w:rPr>
    </w:lvl>
    <w:lvl w:ilvl="4" w:tentative="0">
      <w:start w:val="1"/>
      <w:numFmt w:val="decimal"/>
      <w:lvlText w:val="6.2.1.2.%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6">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8A276A7"/>
    <w:multiLevelType w:val="singleLevel"/>
    <w:tmpl w:val="58A276A7"/>
    <w:lvl w:ilvl="0" w:tentative="0">
      <w:start w:val="2"/>
      <w:numFmt w:val="chineseCounting"/>
      <w:suff w:val="nothing"/>
      <w:lvlText w:val="（%1）"/>
      <w:lvlJc w:val="left"/>
    </w:lvl>
  </w:abstractNum>
  <w:abstractNum w:abstractNumId="8">
    <w:nsid w:val="59CB1FA3"/>
    <w:multiLevelType w:val="singleLevel"/>
    <w:tmpl w:val="59CB1FA3"/>
    <w:lvl w:ilvl="0" w:tentative="0">
      <w:start w:val="1"/>
      <w:numFmt w:val="chineseCounting"/>
      <w:suff w:val="nothing"/>
      <w:lvlText w:val="%1、"/>
      <w:lvlJc w:val="left"/>
    </w:lvl>
  </w:abstractNum>
  <w:abstractNum w:abstractNumId="9">
    <w:nsid w:val="59CB30E0"/>
    <w:multiLevelType w:val="singleLevel"/>
    <w:tmpl w:val="59CB30E0"/>
    <w:lvl w:ilvl="0" w:tentative="0">
      <w:start w:val="1"/>
      <w:numFmt w:val="chineseCounting"/>
      <w:suff w:val="nothing"/>
      <w:lvlText w:val="%1、"/>
      <w:lvlJc w:val="left"/>
    </w:lvl>
  </w:abstractNum>
  <w:num w:numId="1">
    <w:abstractNumId w:val="5"/>
  </w:num>
  <w:num w:numId="2">
    <w:abstractNumId w:val="4"/>
  </w:num>
  <w:num w:numId="3">
    <w:abstractNumId w:val="0"/>
  </w:num>
  <w:num w:numId="4">
    <w:abstractNumId w:val="8"/>
  </w:num>
  <w:num w:numId="5">
    <w:abstractNumId w:val="3"/>
  </w:num>
  <w:num w:numId="6">
    <w:abstractNumId w:val="9"/>
  </w:num>
  <w:num w:numId="7">
    <w:abstractNumId w:val="2"/>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372A7"/>
    <w:rsid w:val="00563274"/>
    <w:rsid w:val="00853D42"/>
    <w:rsid w:val="00F662BA"/>
    <w:rsid w:val="010529FB"/>
    <w:rsid w:val="01215B32"/>
    <w:rsid w:val="018578B0"/>
    <w:rsid w:val="01BE13A8"/>
    <w:rsid w:val="02092801"/>
    <w:rsid w:val="024540CE"/>
    <w:rsid w:val="02A93B2F"/>
    <w:rsid w:val="02EE1F33"/>
    <w:rsid w:val="036B7036"/>
    <w:rsid w:val="03717ADD"/>
    <w:rsid w:val="04131279"/>
    <w:rsid w:val="044E04AD"/>
    <w:rsid w:val="050843C2"/>
    <w:rsid w:val="0525672E"/>
    <w:rsid w:val="058C1F43"/>
    <w:rsid w:val="05C86B51"/>
    <w:rsid w:val="05FC60C4"/>
    <w:rsid w:val="06D760E2"/>
    <w:rsid w:val="07676B22"/>
    <w:rsid w:val="07DD31C3"/>
    <w:rsid w:val="07E93D59"/>
    <w:rsid w:val="08385E7E"/>
    <w:rsid w:val="0864124B"/>
    <w:rsid w:val="08CF04B6"/>
    <w:rsid w:val="09184F41"/>
    <w:rsid w:val="09513610"/>
    <w:rsid w:val="096D2E5C"/>
    <w:rsid w:val="0AFA122E"/>
    <w:rsid w:val="0B4E0037"/>
    <w:rsid w:val="0CC76FF5"/>
    <w:rsid w:val="0D423A44"/>
    <w:rsid w:val="0D76770E"/>
    <w:rsid w:val="0DE00DE2"/>
    <w:rsid w:val="0E40668F"/>
    <w:rsid w:val="0E5A0A5C"/>
    <w:rsid w:val="0F032474"/>
    <w:rsid w:val="0F255FD8"/>
    <w:rsid w:val="0F8D4332"/>
    <w:rsid w:val="0FD146C5"/>
    <w:rsid w:val="0FF37C94"/>
    <w:rsid w:val="103400D7"/>
    <w:rsid w:val="105276F9"/>
    <w:rsid w:val="12394D25"/>
    <w:rsid w:val="12DD6D6F"/>
    <w:rsid w:val="13343251"/>
    <w:rsid w:val="135D4695"/>
    <w:rsid w:val="1399636A"/>
    <w:rsid w:val="14F33386"/>
    <w:rsid w:val="15EF4D71"/>
    <w:rsid w:val="160A4D43"/>
    <w:rsid w:val="16117C23"/>
    <w:rsid w:val="16694588"/>
    <w:rsid w:val="16B63368"/>
    <w:rsid w:val="16D609EE"/>
    <w:rsid w:val="1721154A"/>
    <w:rsid w:val="17396E76"/>
    <w:rsid w:val="17875344"/>
    <w:rsid w:val="1855604F"/>
    <w:rsid w:val="18562867"/>
    <w:rsid w:val="186805BB"/>
    <w:rsid w:val="18DC6089"/>
    <w:rsid w:val="18FF55BF"/>
    <w:rsid w:val="197F72E7"/>
    <w:rsid w:val="1ADD4E1C"/>
    <w:rsid w:val="1B5C5F3A"/>
    <w:rsid w:val="1BAB0465"/>
    <w:rsid w:val="1BF21607"/>
    <w:rsid w:val="1C1D2368"/>
    <w:rsid w:val="1C90746B"/>
    <w:rsid w:val="1CED37C2"/>
    <w:rsid w:val="1D1E03F3"/>
    <w:rsid w:val="1D9B305B"/>
    <w:rsid w:val="1EC542EF"/>
    <w:rsid w:val="1ECC5CD2"/>
    <w:rsid w:val="1F177969"/>
    <w:rsid w:val="1F6E5537"/>
    <w:rsid w:val="1F925125"/>
    <w:rsid w:val="20DF63BF"/>
    <w:rsid w:val="221A20FB"/>
    <w:rsid w:val="22942C53"/>
    <w:rsid w:val="22A00BB7"/>
    <w:rsid w:val="22DB4BD5"/>
    <w:rsid w:val="22E34322"/>
    <w:rsid w:val="22FB5E08"/>
    <w:rsid w:val="230B24AF"/>
    <w:rsid w:val="23200995"/>
    <w:rsid w:val="23A04085"/>
    <w:rsid w:val="24357347"/>
    <w:rsid w:val="250D5A24"/>
    <w:rsid w:val="25191098"/>
    <w:rsid w:val="25446B12"/>
    <w:rsid w:val="256D1FD2"/>
    <w:rsid w:val="25BD7E44"/>
    <w:rsid w:val="25EF300D"/>
    <w:rsid w:val="26B9718A"/>
    <w:rsid w:val="26D40EEC"/>
    <w:rsid w:val="277C0220"/>
    <w:rsid w:val="27B34618"/>
    <w:rsid w:val="2902736E"/>
    <w:rsid w:val="2937059D"/>
    <w:rsid w:val="2B956387"/>
    <w:rsid w:val="2BD14587"/>
    <w:rsid w:val="2CC838ED"/>
    <w:rsid w:val="2D2F4765"/>
    <w:rsid w:val="2D3F0473"/>
    <w:rsid w:val="2D9C0E84"/>
    <w:rsid w:val="2E394593"/>
    <w:rsid w:val="2E9D5BE8"/>
    <w:rsid w:val="2F0D3067"/>
    <w:rsid w:val="30173625"/>
    <w:rsid w:val="305121B7"/>
    <w:rsid w:val="308A13E2"/>
    <w:rsid w:val="3211226F"/>
    <w:rsid w:val="329B4B25"/>
    <w:rsid w:val="32DE0D5D"/>
    <w:rsid w:val="32EE7896"/>
    <w:rsid w:val="337D37E0"/>
    <w:rsid w:val="337E41AB"/>
    <w:rsid w:val="33B61A61"/>
    <w:rsid w:val="33FF7965"/>
    <w:rsid w:val="34B5665D"/>
    <w:rsid w:val="34F372A7"/>
    <w:rsid w:val="354343F4"/>
    <w:rsid w:val="35974006"/>
    <w:rsid w:val="36815464"/>
    <w:rsid w:val="375029AD"/>
    <w:rsid w:val="37946EF9"/>
    <w:rsid w:val="3798636A"/>
    <w:rsid w:val="37FF408F"/>
    <w:rsid w:val="38696A6E"/>
    <w:rsid w:val="38CD0B5B"/>
    <w:rsid w:val="38EF0C76"/>
    <w:rsid w:val="39884692"/>
    <w:rsid w:val="39C17CCA"/>
    <w:rsid w:val="3A623E90"/>
    <w:rsid w:val="3A657077"/>
    <w:rsid w:val="3B34354A"/>
    <w:rsid w:val="3B826D73"/>
    <w:rsid w:val="3BA763C2"/>
    <w:rsid w:val="3C152CEA"/>
    <w:rsid w:val="3C3F1C1F"/>
    <w:rsid w:val="3C517522"/>
    <w:rsid w:val="3CAA2484"/>
    <w:rsid w:val="3CE25E4F"/>
    <w:rsid w:val="3D0739AE"/>
    <w:rsid w:val="3D722772"/>
    <w:rsid w:val="3DC67C55"/>
    <w:rsid w:val="3DE32B35"/>
    <w:rsid w:val="3EB411AD"/>
    <w:rsid w:val="3EB67570"/>
    <w:rsid w:val="3ED05FFE"/>
    <w:rsid w:val="3F186F56"/>
    <w:rsid w:val="3F625D4D"/>
    <w:rsid w:val="40153088"/>
    <w:rsid w:val="40A059CD"/>
    <w:rsid w:val="40A80B2E"/>
    <w:rsid w:val="414716A1"/>
    <w:rsid w:val="416843AA"/>
    <w:rsid w:val="42724C32"/>
    <w:rsid w:val="42F43818"/>
    <w:rsid w:val="43206353"/>
    <w:rsid w:val="435F3477"/>
    <w:rsid w:val="43D532F9"/>
    <w:rsid w:val="44227A57"/>
    <w:rsid w:val="44462A87"/>
    <w:rsid w:val="44900B7E"/>
    <w:rsid w:val="45022BF0"/>
    <w:rsid w:val="453C4496"/>
    <w:rsid w:val="45441CF4"/>
    <w:rsid w:val="465F51BC"/>
    <w:rsid w:val="474163C0"/>
    <w:rsid w:val="47514501"/>
    <w:rsid w:val="48707FBA"/>
    <w:rsid w:val="48F846F4"/>
    <w:rsid w:val="49093E3D"/>
    <w:rsid w:val="4935353F"/>
    <w:rsid w:val="494B453B"/>
    <w:rsid w:val="4954697E"/>
    <w:rsid w:val="49683114"/>
    <w:rsid w:val="499D1CA6"/>
    <w:rsid w:val="4AF61482"/>
    <w:rsid w:val="4B3020EE"/>
    <w:rsid w:val="4B3B1594"/>
    <w:rsid w:val="4DC611FF"/>
    <w:rsid w:val="4E955CA0"/>
    <w:rsid w:val="4F546F05"/>
    <w:rsid w:val="4F554BF4"/>
    <w:rsid w:val="4F8F75B6"/>
    <w:rsid w:val="4F9179CC"/>
    <w:rsid w:val="4FE72056"/>
    <w:rsid w:val="50120F88"/>
    <w:rsid w:val="50A20B72"/>
    <w:rsid w:val="50A365B5"/>
    <w:rsid w:val="50B11757"/>
    <w:rsid w:val="50D45C61"/>
    <w:rsid w:val="50F53BD5"/>
    <w:rsid w:val="51284DD2"/>
    <w:rsid w:val="5167052B"/>
    <w:rsid w:val="51937C9A"/>
    <w:rsid w:val="51D720C4"/>
    <w:rsid w:val="52E951AC"/>
    <w:rsid w:val="53A95029"/>
    <w:rsid w:val="547901D0"/>
    <w:rsid w:val="55A905CF"/>
    <w:rsid w:val="56475DD6"/>
    <w:rsid w:val="568668E8"/>
    <w:rsid w:val="57056C49"/>
    <w:rsid w:val="57622E24"/>
    <w:rsid w:val="57B515C6"/>
    <w:rsid w:val="58026229"/>
    <w:rsid w:val="580D0A8D"/>
    <w:rsid w:val="580D3E07"/>
    <w:rsid w:val="580F5357"/>
    <w:rsid w:val="581E638A"/>
    <w:rsid w:val="58615C7D"/>
    <w:rsid w:val="5974111A"/>
    <w:rsid w:val="59BB4EAF"/>
    <w:rsid w:val="59D011DE"/>
    <w:rsid w:val="5AD24BF7"/>
    <w:rsid w:val="5AD41C53"/>
    <w:rsid w:val="5B147ABD"/>
    <w:rsid w:val="5B177BA8"/>
    <w:rsid w:val="5C071585"/>
    <w:rsid w:val="5C815875"/>
    <w:rsid w:val="5CC868EB"/>
    <w:rsid w:val="5D0450C2"/>
    <w:rsid w:val="5D62593D"/>
    <w:rsid w:val="5D704234"/>
    <w:rsid w:val="5D8C3FA9"/>
    <w:rsid w:val="5DCA438C"/>
    <w:rsid w:val="5E071EC0"/>
    <w:rsid w:val="5EA85AC7"/>
    <w:rsid w:val="5EF523D4"/>
    <w:rsid w:val="5F890793"/>
    <w:rsid w:val="5FD9499E"/>
    <w:rsid w:val="5FFD32CB"/>
    <w:rsid w:val="604125D6"/>
    <w:rsid w:val="60545BBC"/>
    <w:rsid w:val="60690A52"/>
    <w:rsid w:val="607D04A5"/>
    <w:rsid w:val="60F46C6E"/>
    <w:rsid w:val="60FC1FB9"/>
    <w:rsid w:val="613D169E"/>
    <w:rsid w:val="616E0D04"/>
    <w:rsid w:val="617431E5"/>
    <w:rsid w:val="62292F9B"/>
    <w:rsid w:val="628B7840"/>
    <w:rsid w:val="64E54825"/>
    <w:rsid w:val="651126FD"/>
    <w:rsid w:val="657816DC"/>
    <w:rsid w:val="65D33500"/>
    <w:rsid w:val="65FC54C8"/>
    <w:rsid w:val="66F43E3D"/>
    <w:rsid w:val="67D44DFA"/>
    <w:rsid w:val="68DA07F9"/>
    <w:rsid w:val="68E8751B"/>
    <w:rsid w:val="68FD1DBB"/>
    <w:rsid w:val="692A1B63"/>
    <w:rsid w:val="69557DF2"/>
    <w:rsid w:val="6958534C"/>
    <w:rsid w:val="69C43C55"/>
    <w:rsid w:val="6A400A25"/>
    <w:rsid w:val="6A61114D"/>
    <w:rsid w:val="6B005CB6"/>
    <w:rsid w:val="6B596733"/>
    <w:rsid w:val="6CE65877"/>
    <w:rsid w:val="6D342045"/>
    <w:rsid w:val="6E164055"/>
    <w:rsid w:val="6E9670BD"/>
    <w:rsid w:val="6FD7130F"/>
    <w:rsid w:val="704D0B88"/>
    <w:rsid w:val="70F418FA"/>
    <w:rsid w:val="716C0CD7"/>
    <w:rsid w:val="72154EC6"/>
    <w:rsid w:val="722300CE"/>
    <w:rsid w:val="724666CD"/>
    <w:rsid w:val="724A5178"/>
    <w:rsid w:val="726F18CC"/>
    <w:rsid w:val="72E509D8"/>
    <w:rsid w:val="731E2E47"/>
    <w:rsid w:val="7334689C"/>
    <w:rsid w:val="7362565E"/>
    <w:rsid w:val="73BF4730"/>
    <w:rsid w:val="746E2A3C"/>
    <w:rsid w:val="75176B5B"/>
    <w:rsid w:val="75C233F7"/>
    <w:rsid w:val="75E30751"/>
    <w:rsid w:val="76147FD6"/>
    <w:rsid w:val="761D433A"/>
    <w:rsid w:val="765950E4"/>
    <w:rsid w:val="77550265"/>
    <w:rsid w:val="77B025C7"/>
    <w:rsid w:val="78297DC0"/>
    <w:rsid w:val="787E6B5B"/>
    <w:rsid w:val="78862A7A"/>
    <w:rsid w:val="78F07E66"/>
    <w:rsid w:val="792B3D50"/>
    <w:rsid w:val="794A4666"/>
    <w:rsid w:val="79B91F40"/>
    <w:rsid w:val="7A5C049F"/>
    <w:rsid w:val="7AA27CE7"/>
    <w:rsid w:val="7B867CFC"/>
    <w:rsid w:val="7B9A132B"/>
    <w:rsid w:val="7BBE654F"/>
    <w:rsid w:val="7BC00B9A"/>
    <w:rsid w:val="7BF81FAB"/>
    <w:rsid w:val="7C313264"/>
    <w:rsid w:val="7CCC6130"/>
    <w:rsid w:val="7DC8325F"/>
    <w:rsid w:val="7E0918BD"/>
    <w:rsid w:val="7E116C01"/>
    <w:rsid w:val="7F0E159D"/>
    <w:rsid w:val="7F996382"/>
    <w:rsid w:val="7FCC28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500" w:lineRule="exact"/>
      <w:jc w:val="center"/>
      <w:outlineLvl w:val="1"/>
    </w:pPr>
    <w:rPr>
      <w:rFonts w:ascii="Arial" w:hAnsi="Arial" w:eastAsia="宋体" w:cs="Arial"/>
      <w:b/>
      <w:color w:val="000000"/>
      <w:sz w:val="32"/>
      <w:szCs w:val="2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1"/>
    <w:pPr>
      <w:keepNext/>
      <w:keepLines/>
      <w:numPr>
        <w:ilvl w:val="3"/>
        <w:numId w:val="1"/>
      </w:numPr>
      <w:spacing w:before="120" w:after="120" w:line="360" w:lineRule="auto"/>
      <w:jc w:val="left"/>
      <w:outlineLvl w:val="3"/>
    </w:pPr>
    <w:rPr>
      <w:rFonts w:ascii="Arial" w:hAnsi="Arial"/>
      <w:b/>
      <w:bCs/>
      <w:kern w:val="0"/>
      <w:sz w:val="28"/>
      <w:szCs w:val="28"/>
      <w:lang w:val="zh-CN" w:eastAsia="zh-CN"/>
    </w:rPr>
  </w:style>
  <w:style w:type="paragraph" w:styleId="7">
    <w:name w:val="heading 6"/>
    <w:basedOn w:val="1"/>
    <w:next w:val="1"/>
    <w:qFormat/>
    <w:uiPriority w:val="99"/>
    <w:pPr>
      <w:keepNext/>
      <w:keepLines/>
      <w:spacing w:before="240" w:after="64" w:line="317" w:lineRule="auto"/>
      <w:outlineLvl w:val="5"/>
    </w:pPr>
    <w:rPr>
      <w:rFonts w:ascii="Cambria" w:hAnsi="Cambria" w:cs="Cambria"/>
      <w:b/>
      <w:bCs/>
      <w:sz w:val="24"/>
      <w:szCs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Indent"/>
    <w:basedOn w:val="1"/>
    <w:qFormat/>
    <w:uiPriority w:val="0"/>
    <w:pPr>
      <w:ind w:firstLine="630"/>
    </w:pPr>
    <w:rPr>
      <w:sz w:val="32"/>
      <w:szCs w:val="20"/>
    </w:rPr>
  </w:style>
  <w:style w:type="paragraph" w:styleId="11">
    <w:name w:val="Plain Text"/>
    <w:basedOn w:val="1"/>
    <w:qFormat/>
    <w:uiPriority w:val="0"/>
    <w:rPr>
      <w:rFonts w:hAnsi="Courier New" w:cs="Courier New"/>
      <w:szCs w:val="21"/>
    </w:rPr>
  </w:style>
  <w:style w:type="paragraph" w:styleId="12">
    <w:name w:val="Body Text Indent 2"/>
    <w:basedOn w:val="1"/>
    <w:qFormat/>
    <w:uiPriority w:val="0"/>
    <w:pPr>
      <w:autoSpaceDE w:val="0"/>
      <w:autoSpaceDN w:val="0"/>
      <w:adjustRightInd w:val="0"/>
      <w:ind w:firstLine="315"/>
      <w:textAlignment w:val="baseline"/>
    </w:pPr>
    <w:rPr>
      <w:rFonts w:ascii="宋体"/>
      <w:kern w:val="0"/>
      <w:sz w:val="20"/>
      <w:szCs w:val="20"/>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qFormat/>
    <w:uiPriority w:val="0"/>
    <w:rPr>
      <w:color w:val="3D3D3D"/>
      <w:u w:val="none"/>
    </w:rPr>
  </w:style>
  <w:style w:type="character" w:styleId="23">
    <w:name w:val="HTML Definition"/>
    <w:basedOn w:val="21"/>
    <w:qFormat/>
    <w:uiPriority w:val="0"/>
  </w:style>
  <w:style w:type="character" w:styleId="24">
    <w:name w:val="HTML Variable"/>
    <w:basedOn w:val="21"/>
    <w:qFormat/>
    <w:uiPriority w:val="0"/>
  </w:style>
  <w:style w:type="character" w:styleId="25">
    <w:name w:val="Hyperlink"/>
    <w:basedOn w:val="21"/>
    <w:qFormat/>
    <w:uiPriority w:val="0"/>
    <w:rPr>
      <w:color w:val="3D3D3D"/>
      <w:u w:val="none"/>
    </w:rPr>
  </w:style>
  <w:style w:type="character" w:styleId="26">
    <w:name w:val="HTML Code"/>
    <w:basedOn w:val="21"/>
    <w:qFormat/>
    <w:uiPriority w:val="0"/>
    <w:rPr>
      <w:rFonts w:ascii="Courier New" w:hAnsi="Courier New"/>
      <w:sz w:val="20"/>
    </w:rPr>
  </w:style>
  <w:style w:type="character" w:styleId="27">
    <w:name w:val="HTML Cite"/>
    <w:basedOn w:val="21"/>
    <w:qFormat/>
    <w:uiPriority w:val="0"/>
  </w:style>
  <w:style w:type="paragraph" w:customStyle="1" w:styleId="28">
    <w:name w:val="正文（绿盟科技）"/>
    <w:qFormat/>
    <w:uiPriority w:val="0"/>
    <w:pPr>
      <w:spacing w:line="300" w:lineRule="auto"/>
    </w:pPr>
    <w:rPr>
      <w:rFonts w:ascii="Arial" w:hAnsi="Arial" w:eastAsia="宋体" w:cs="黑体"/>
      <w:sz w:val="21"/>
      <w:szCs w:val="21"/>
      <w:lang w:val="en-US" w:eastAsia="zh-CN" w:bidi="ar-SA"/>
    </w:rPr>
  </w:style>
  <w:style w:type="paragraph" w:styleId="29">
    <w:name w:val="Quote"/>
    <w:basedOn w:val="1"/>
    <w:next w:val="1"/>
    <w:qFormat/>
    <w:uiPriority w:val="0"/>
    <w:pPr>
      <w:wordWrap w:val="0"/>
      <w:spacing w:before="200" w:after="160"/>
      <w:ind w:left="864" w:right="864"/>
      <w:jc w:val="center"/>
    </w:pPr>
    <w:rPr>
      <w:i/>
      <w:sz w:val="21"/>
      <w:lang w:val="en-US" w:eastAsia="zh-CN" w:bidi="ar-SA"/>
    </w:rPr>
  </w:style>
  <w:style w:type="paragraph" w:customStyle="1" w:styleId="30">
    <w:name w:val="标题 5（有编号）（绿盟科技）"/>
    <w:basedOn w:val="1"/>
    <w:next w:val="28"/>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正文首行缩进两字符"/>
    <w:basedOn w:val="1"/>
    <w:qFormat/>
    <w:uiPriority w:val="0"/>
    <w:pPr>
      <w:spacing w:line="360" w:lineRule="auto"/>
      <w:ind w:firstLine="200" w:firstLineChars="200"/>
    </w:pPr>
  </w:style>
  <w:style w:type="paragraph" w:customStyle="1" w:styleId="33">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34">
    <w:name w:val="Normal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35">
    <w:name w:val="p0"/>
    <w:basedOn w:val="1"/>
    <w:qFormat/>
    <w:uiPriority w:val="99"/>
    <w:pPr>
      <w:widowControl/>
    </w:pPr>
    <w:rPr>
      <w:kern w:val="0"/>
      <w:szCs w:val="21"/>
    </w:rPr>
  </w:style>
  <w:style w:type="paragraph" w:customStyle="1" w:styleId="36">
    <w:name w:val="列出段落"/>
    <w:basedOn w:val="1"/>
    <w:qFormat/>
    <w:uiPriority w:val="0"/>
    <w:pPr>
      <w:ind w:firstLine="420" w:firstLineChars="200"/>
    </w:pPr>
    <w:rPr>
      <w:sz w:val="18"/>
      <w:szCs w:val="18"/>
    </w:rPr>
  </w:style>
  <w:style w:type="paragraph" w:customStyle="1" w:styleId="37">
    <w:name w:val="正文缩进HS-正文1"/>
    <w:basedOn w:val="1"/>
    <w:qFormat/>
    <w:uiPriority w:val="0"/>
    <w:pPr>
      <w:jc w:val="center"/>
    </w:pPr>
    <w:rPr>
      <w:rFonts w:hAnsi="宋体"/>
      <w:color w:val="000000"/>
      <w:szCs w:val="21"/>
    </w:rPr>
  </w:style>
  <w:style w:type="paragraph" w:customStyle="1" w:styleId="38">
    <w:name w:val="默认段落字体 Para Char"/>
    <w:basedOn w:val="1"/>
    <w:qFormat/>
    <w:uiPriority w:val="0"/>
    <w:pPr>
      <w:adjustRightInd w:val="0"/>
      <w:spacing w:line="360" w:lineRule="auto"/>
    </w:pPr>
    <w:rPr>
      <w:sz w:val="24"/>
    </w:rPr>
  </w:style>
  <w:style w:type="paragraph" w:customStyle="1" w:styleId="39">
    <w:name w:val="Default"/>
    <w:next w:val="1"/>
    <w:unhideWhenUsed/>
    <w:qFormat/>
    <w:uiPriority w:val="0"/>
    <w:pPr>
      <w:widowControl w:val="0"/>
      <w:autoSpaceDE w:val="0"/>
      <w:autoSpaceDN w:val="0"/>
      <w:adjustRightInd w:val="0"/>
    </w:pPr>
    <w:rPr>
      <w:rFonts w:hint="eastAsia" w:ascii="宋体" w:hAnsi="Calibri" w:eastAsia="宋体" w:cs="Times New Roman"/>
      <w:color w:val="000000"/>
      <w:sz w:val="24"/>
      <w:szCs w:val="22"/>
      <w:lang w:val="en-US" w:eastAsia="zh-CN" w:bidi="ar-SA"/>
    </w:rPr>
  </w:style>
  <w:style w:type="paragraph" w:customStyle="1" w:styleId="40">
    <w:name w:val="Other|1"/>
    <w:basedOn w:val="1"/>
    <w:qFormat/>
    <w:uiPriority w:val="0"/>
    <w:pPr>
      <w:widowControl w:val="0"/>
      <w:shd w:val="clear" w:color="auto" w:fill="auto"/>
      <w:spacing w:line="408" w:lineRule="auto"/>
      <w:ind w:firstLine="400"/>
    </w:pPr>
    <w:rPr>
      <w:rFonts w:ascii="宋体" w:hAnsi="宋体" w:eastAsia="宋体" w:cs="宋体"/>
      <w:sz w:val="22"/>
      <w:szCs w:val="22"/>
      <w:u w:val="none"/>
      <w:shd w:val="clear" w:color="auto" w:fill="auto"/>
      <w:lang w:val="zh-TW" w:eastAsia="zh-TW" w:bidi="zh-TW"/>
    </w:rPr>
  </w:style>
  <w:style w:type="paragraph" w:customStyle="1" w:styleId="41">
    <w:name w:val="表格内容"/>
    <w:basedOn w:val="1"/>
    <w:qFormat/>
    <w:uiPriority w:val="2"/>
    <w:pPr>
      <w:jc w:val="center"/>
    </w:pPr>
  </w:style>
  <w:style w:type="paragraph" w:customStyle="1" w:styleId="42">
    <w:name w:val="Table Paragraph"/>
    <w:basedOn w:val="1"/>
    <w:qFormat/>
    <w:uiPriority w:val="1"/>
    <w:rPr>
      <w:rFonts w:ascii="宋体" w:hAnsi="宋体" w:eastAsia="宋体" w:cs="宋体"/>
      <w:lang w:val="zh-CN" w:eastAsia="zh-CN" w:bidi="zh-CN"/>
    </w:rPr>
  </w:style>
  <w:style w:type="paragraph" w:customStyle="1" w:styleId="43">
    <w:name w:val="Body text|1"/>
    <w:basedOn w:val="1"/>
    <w:qFormat/>
    <w:uiPriority w:val="0"/>
    <w:pPr>
      <w:spacing w:line="456" w:lineRule="auto"/>
      <w:ind w:firstLine="400"/>
      <w:jc w:val="left"/>
    </w:pPr>
    <w:rPr>
      <w:rFonts w:ascii="宋体" w:hAnsi="宋体" w:cs="宋体"/>
      <w:kern w:val="0"/>
      <w:sz w:val="26"/>
      <w:szCs w:val="26"/>
      <w:lang w:val="zh-TW" w:eastAsia="zh-TW" w:bidi="zh-TW"/>
    </w:rPr>
  </w:style>
  <w:style w:type="paragraph" w:customStyle="1" w:styleId="44">
    <w:name w:val="Char1"/>
    <w:basedOn w:val="1"/>
    <w:qFormat/>
    <w:uiPriority w:val="0"/>
  </w:style>
  <w:style w:type="paragraph" w:customStyle="1" w:styleId="45">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46">
    <w:name w:val="表名"/>
    <w:basedOn w:val="1"/>
    <w:qFormat/>
    <w:uiPriority w:val="0"/>
    <w:pPr>
      <w:ind w:firstLine="100" w:firstLineChars="100"/>
    </w:pPr>
    <w:rPr>
      <w:rFonts w:ascii="黑体" w:hAnsi="宋体" w:eastAsia="黑体"/>
      <w:sz w:val="21"/>
    </w:rPr>
  </w:style>
  <w:style w:type="paragraph" w:customStyle="1" w:styleId="47">
    <w:name w:val="表格"/>
    <w:basedOn w:val="1"/>
    <w:qFormat/>
    <w:uiPriority w:val="0"/>
    <w:pPr>
      <w:spacing w:line="240" w:lineRule="auto"/>
      <w:ind w:firstLine="0" w:firstLineChars="0"/>
      <w:jc w:val="center"/>
    </w:pPr>
    <w:rPr>
      <w:rFonts w:hAnsi="宋体"/>
      <w:sz w:val="21"/>
    </w:rPr>
  </w:style>
  <w:style w:type="paragraph" w:customStyle="1" w:styleId="48">
    <w:name w:val="样式 标题4段1特点 + 首行缩进:  2 字符"/>
    <w:basedOn w:val="49"/>
    <w:qFormat/>
    <w:uiPriority w:val="0"/>
    <w:pPr>
      <w:spacing w:line="360" w:lineRule="auto"/>
      <w:ind w:firstLine="480"/>
    </w:pPr>
    <w:rPr>
      <w:rFonts w:ascii="Arial" w:hAnsi="Arial"/>
      <w:bCs w:val="0"/>
      <w:sz w:val="24"/>
      <w:szCs w:val="24"/>
    </w:rPr>
  </w:style>
  <w:style w:type="paragraph" w:customStyle="1" w:styleId="49">
    <w:name w:val="标题4"/>
    <w:basedOn w:val="1"/>
    <w:qFormat/>
    <w:uiPriority w:val="0"/>
    <w:pPr>
      <w:autoSpaceDE w:val="0"/>
      <w:autoSpaceDN w:val="0"/>
      <w:spacing w:line="264" w:lineRule="auto"/>
    </w:pPr>
    <w:rPr>
      <w:rFonts w:ascii="宋体" w:hAnsi="宋体"/>
      <w:bCs/>
      <w:sz w:val="28"/>
      <w:szCs w:val="28"/>
    </w:rPr>
  </w:style>
  <w:style w:type="paragraph" w:customStyle="1" w:styleId="50">
    <w:name w:val="样式 首行缩进:  2 字符"/>
    <w:basedOn w:val="1"/>
    <w:qFormat/>
    <w:uiPriority w:val="99"/>
    <w:pPr>
      <w:spacing w:line="400" w:lineRule="exact"/>
      <w:ind w:firstLine="200" w:firstLineChars="200"/>
    </w:pPr>
    <w:rPr>
      <w:rFonts w:cs="宋体"/>
      <w:sz w:val="24"/>
    </w:rPr>
  </w:style>
  <w:style w:type="paragraph" w:customStyle="1" w:styleId="51">
    <w:name w:val="列出段落1"/>
    <w:basedOn w:val="1"/>
    <w:qFormat/>
    <w:uiPriority w:val="1"/>
    <w:pPr>
      <w:ind w:left="637" w:firstLine="480"/>
    </w:pPr>
    <w:rPr>
      <w:rFonts w:ascii="宋体" w:hAnsi="宋体" w:eastAsia="宋体" w:cs="宋体"/>
      <w:lang w:val="zh-CN" w:eastAsia="zh-CN" w:bidi="zh-CN"/>
    </w:rPr>
  </w:style>
  <w:style w:type="paragraph" w:customStyle="1" w:styleId="52">
    <w:name w:val="GW-正文"/>
    <w:basedOn w:val="1"/>
    <w:qFormat/>
    <w:uiPriority w:val="0"/>
    <w:pPr>
      <w:spacing w:line="360" w:lineRule="auto"/>
      <w:ind w:firstLine="200" w:firstLineChars="200"/>
    </w:pPr>
    <w:rPr>
      <w:rFonts w:ascii="Times New Roman" w:eastAsia="仿宋_GB2312"/>
      <w:kern w:val="2"/>
      <w:sz w:val="24"/>
      <w:szCs w:val="24"/>
    </w:rPr>
  </w:style>
  <w:style w:type="character" w:customStyle="1" w:styleId="53">
    <w:name w:val="img"/>
    <w:basedOn w:val="21"/>
    <w:qFormat/>
    <w:uiPriority w:val="0"/>
  </w:style>
  <w:style w:type="character" w:customStyle="1" w:styleId="54">
    <w:name w:val="img1"/>
    <w:basedOn w:val="21"/>
    <w:qFormat/>
    <w:uiPriority w:val="0"/>
  </w:style>
  <w:style w:type="paragraph" w:customStyle="1" w:styleId="55">
    <w:name w:val="Normal"/>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56">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39132</Words>
  <Characters>41144</Characters>
  <Lines>0</Lines>
  <Paragraphs>0</Paragraphs>
  <TotalTime>70</TotalTime>
  <ScaleCrop>false</ScaleCrop>
  <LinksUpToDate>false</LinksUpToDate>
  <CharactersWithSpaces>42006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2020-06-01T09:42:00Z</dcterms:created>
  <dc:creator>陳漠沉默</dc:creator>
  <cp:lastModifiedBy>舒城</cp:lastModifiedBy>
  <cp:lastPrinted>2021-08-24T05:54:00Z</cp:lastPrinted>
  <dcterms:modified xsi:type="dcterms:W3CDTF">2021-08-25T06:24:18Z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1B5F9F2BFA324B70B4F07552EB6E74AA</vt:lpwstr>
  </property>
</Properties>
</file>