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4"/>
        <w:tabs>
          <w:tab w:val="left" w:pos="488"/>
        </w:tabs>
        <w:spacing w:line="560" w:lineRule="exact"/>
        <w:ind w:left="0" w:leftChars="0" w:firstLine="0" w:firstLineChars="0"/>
        <w:jc w:val="center"/>
        <w:rPr>
          <w:rFonts w:hint="eastAsia" w:ascii="宋体" w:hAnsi="宋体" w:eastAsia="宋体" w:cs="宋体"/>
          <w:b/>
          <w:bCs/>
          <w:color w:val="000000" w:themeColor="text1"/>
          <w:sz w:val="48"/>
          <w:szCs w:val="48"/>
          <w:highlight w:val="none"/>
          <w:lang w:eastAsia="zh-CN"/>
          <w14:textFill>
            <w14:solidFill>
              <w14:schemeClr w14:val="tx1"/>
            </w14:solidFill>
          </w14:textFill>
        </w:rPr>
      </w:pPr>
      <w:r>
        <w:rPr>
          <w:rFonts w:hint="eastAsia" w:ascii="宋体" w:hAnsi="宋体" w:eastAsia="宋体" w:cs="宋体"/>
          <w:b/>
          <w:bCs/>
          <w:color w:val="000000" w:themeColor="text1"/>
          <w:sz w:val="48"/>
          <w:szCs w:val="48"/>
          <w:highlight w:val="none"/>
          <w:lang w:eastAsia="zh-CN"/>
          <w14:textFill>
            <w14:solidFill>
              <w14:schemeClr w14:val="tx1"/>
            </w14:solidFill>
          </w14:textFill>
        </w:rPr>
        <w:t>成都市妇女儿童中心医院病案缩微数字化服务采购项目</w:t>
      </w:r>
    </w:p>
    <w:p>
      <w:pPr>
        <w:ind w:firstLine="0" w:firstLineChars="0"/>
        <w:jc w:val="center"/>
        <w:rPr>
          <w:rFonts w:hint="eastAsia" w:ascii="宋体" w:hAnsi="宋体" w:eastAsia="宋体" w:cs="宋体"/>
          <w:b/>
          <w:color w:val="000000" w:themeColor="text1"/>
          <w:sz w:val="36"/>
          <w:szCs w:val="36"/>
          <w:highlight w:val="none"/>
          <w14:textFill>
            <w14:solidFill>
              <w14:schemeClr w14:val="tx1"/>
            </w14:solidFill>
          </w14:textFill>
        </w:rPr>
      </w:pPr>
    </w:p>
    <w:p>
      <w:pPr>
        <w:ind w:firstLine="0" w:firstLineChars="0"/>
        <w:jc w:val="center"/>
        <w:rPr>
          <w:rFonts w:hint="eastAsia" w:ascii="宋体" w:hAnsi="宋体" w:eastAsia="宋体" w:cs="宋体"/>
          <w:b/>
          <w:bCs/>
          <w:color w:val="auto"/>
          <w:sz w:val="36"/>
          <w:szCs w:val="36"/>
          <w:highlight w:val="none"/>
          <w:lang w:eastAsia="zh-CN"/>
        </w:rPr>
      </w:pPr>
      <w:r>
        <w:rPr>
          <w:rFonts w:hint="eastAsia" w:ascii="宋体" w:hAnsi="宋体" w:eastAsia="宋体" w:cs="宋体"/>
          <w:b/>
          <w:color w:val="auto"/>
          <w:sz w:val="36"/>
          <w:szCs w:val="36"/>
          <w:highlight w:val="none"/>
        </w:rPr>
        <w:t>项目编号：以四川政府网挂网编号为准</w:t>
      </w:r>
    </w:p>
    <w:p>
      <w:pPr>
        <w:pStyle w:val="2"/>
        <w:ind w:firstLine="480"/>
        <w:jc w:val="center"/>
        <w:rPr>
          <w:rFonts w:hint="eastAsia" w:ascii="宋体" w:hAnsi="宋体" w:eastAsia="宋体" w:cs="宋体"/>
          <w:color w:val="000000" w:themeColor="text1"/>
          <w:highlight w:val="none"/>
          <w14:textFill>
            <w14:solidFill>
              <w14:schemeClr w14:val="tx1"/>
            </w14:solidFill>
          </w14:textFill>
        </w:rPr>
      </w:pPr>
    </w:p>
    <w:p>
      <w:pPr>
        <w:ind w:firstLine="0" w:firstLineChars="0"/>
        <w:jc w:val="center"/>
        <w:rPr>
          <w:rFonts w:hint="eastAsia" w:ascii="宋体" w:hAnsi="宋体" w:eastAsia="宋体" w:cs="宋体"/>
          <w:b/>
          <w:color w:val="000000" w:themeColor="text1"/>
          <w:sz w:val="52"/>
          <w:szCs w:val="52"/>
          <w:highlight w:val="none"/>
          <w14:textFill>
            <w14:solidFill>
              <w14:schemeClr w14:val="tx1"/>
            </w14:solidFill>
          </w14:textFill>
        </w:rPr>
      </w:pPr>
      <w:r>
        <w:rPr>
          <w:rFonts w:hint="eastAsia" w:ascii="宋体" w:hAnsi="宋体" w:eastAsia="宋体" w:cs="宋体"/>
          <w:b/>
          <w:color w:val="000000" w:themeColor="text1"/>
          <w:sz w:val="52"/>
          <w:szCs w:val="52"/>
          <w:highlight w:val="none"/>
          <w14:textFill>
            <w14:solidFill>
              <w14:schemeClr w14:val="tx1"/>
            </w14:solidFill>
          </w14:textFill>
        </w:rPr>
        <w:t>竞</w:t>
      </w:r>
    </w:p>
    <w:p>
      <w:pPr>
        <w:ind w:firstLine="0" w:firstLineChars="0"/>
        <w:jc w:val="center"/>
        <w:rPr>
          <w:rFonts w:hint="eastAsia" w:ascii="宋体" w:hAnsi="宋体" w:eastAsia="宋体" w:cs="宋体"/>
          <w:b/>
          <w:color w:val="000000" w:themeColor="text1"/>
          <w:sz w:val="52"/>
          <w:szCs w:val="52"/>
          <w:highlight w:val="none"/>
          <w14:textFill>
            <w14:solidFill>
              <w14:schemeClr w14:val="tx1"/>
            </w14:solidFill>
          </w14:textFill>
        </w:rPr>
      </w:pPr>
      <w:r>
        <w:rPr>
          <w:rFonts w:hint="eastAsia" w:ascii="宋体" w:hAnsi="宋体" w:eastAsia="宋体" w:cs="宋体"/>
          <w:b/>
          <w:color w:val="000000" w:themeColor="text1"/>
          <w:sz w:val="52"/>
          <w:szCs w:val="52"/>
          <w:highlight w:val="none"/>
          <w14:textFill>
            <w14:solidFill>
              <w14:schemeClr w14:val="tx1"/>
            </w14:solidFill>
          </w14:textFill>
        </w:rPr>
        <w:t>争</w:t>
      </w:r>
    </w:p>
    <w:p>
      <w:pPr>
        <w:ind w:firstLine="0" w:firstLineChars="0"/>
        <w:jc w:val="center"/>
        <w:rPr>
          <w:rFonts w:hint="eastAsia" w:ascii="宋体" w:hAnsi="宋体" w:eastAsia="宋体" w:cs="宋体"/>
          <w:b/>
          <w:color w:val="000000" w:themeColor="text1"/>
          <w:sz w:val="52"/>
          <w:szCs w:val="52"/>
          <w:highlight w:val="none"/>
          <w14:textFill>
            <w14:solidFill>
              <w14:schemeClr w14:val="tx1"/>
            </w14:solidFill>
          </w14:textFill>
        </w:rPr>
      </w:pPr>
      <w:r>
        <w:rPr>
          <w:rFonts w:hint="eastAsia" w:ascii="宋体" w:hAnsi="宋体" w:eastAsia="宋体" w:cs="宋体"/>
          <w:b/>
          <w:color w:val="000000" w:themeColor="text1"/>
          <w:sz w:val="52"/>
          <w:szCs w:val="52"/>
          <w:highlight w:val="none"/>
          <w14:textFill>
            <w14:solidFill>
              <w14:schemeClr w14:val="tx1"/>
            </w14:solidFill>
          </w14:textFill>
        </w:rPr>
        <w:t>性</w:t>
      </w:r>
    </w:p>
    <w:p>
      <w:pPr>
        <w:ind w:firstLine="0" w:firstLineChars="0"/>
        <w:jc w:val="center"/>
        <w:rPr>
          <w:rFonts w:hint="eastAsia" w:ascii="宋体" w:hAnsi="宋体" w:eastAsia="宋体" w:cs="宋体"/>
          <w:b/>
          <w:color w:val="000000" w:themeColor="text1"/>
          <w:sz w:val="52"/>
          <w:szCs w:val="52"/>
          <w:highlight w:val="none"/>
          <w14:textFill>
            <w14:solidFill>
              <w14:schemeClr w14:val="tx1"/>
            </w14:solidFill>
          </w14:textFill>
        </w:rPr>
      </w:pPr>
      <w:r>
        <w:rPr>
          <w:rFonts w:hint="eastAsia" w:ascii="宋体" w:hAnsi="宋体" w:eastAsia="宋体" w:cs="宋体"/>
          <w:b/>
          <w:color w:val="000000" w:themeColor="text1"/>
          <w:sz w:val="52"/>
          <w:szCs w:val="52"/>
          <w:highlight w:val="none"/>
          <w14:textFill>
            <w14:solidFill>
              <w14:schemeClr w14:val="tx1"/>
            </w14:solidFill>
          </w14:textFill>
        </w:rPr>
        <w:t>磋</w:t>
      </w:r>
    </w:p>
    <w:p>
      <w:pPr>
        <w:ind w:firstLine="0" w:firstLineChars="0"/>
        <w:jc w:val="center"/>
        <w:rPr>
          <w:rFonts w:hint="eastAsia" w:ascii="宋体" w:hAnsi="宋体" w:eastAsia="宋体" w:cs="宋体"/>
          <w:b/>
          <w:color w:val="000000" w:themeColor="text1"/>
          <w:sz w:val="52"/>
          <w:szCs w:val="52"/>
          <w:highlight w:val="none"/>
          <w14:textFill>
            <w14:solidFill>
              <w14:schemeClr w14:val="tx1"/>
            </w14:solidFill>
          </w14:textFill>
        </w:rPr>
      </w:pPr>
      <w:r>
        <w:rPr>
          <w:rFonts w:hint="eastAsia" w:ascii="宋体" w:hAnsi="宋体" w:eastAsia="宋体" w:cs="宋体"/>
          <w:b/>
          <w:color w:val="000000" w:themeColor="text1"/>
          <w:sz w:val="52"/>
          <w:szCs w:val="52"/>
          <w:highlight w:val="none"/>
          <w14:textFill>
            <w14:solidFill>
              <w14:schemeClr w14:val="tx1"/>
            </w14:solidFill>
          </w14:textFill>
        </w:rPr>
        <w:t>商</w:t>
      </w:r>
    </w:p>
    <w:p>
      <w:pPr>
        <w:ind w:firstLine="0" w:firstLineChars="0"/>
        <w:jc w:val="center"/>
        <w:rPr>
          <w:rFonts w:hint="eastAsia" w:ascii="宋体" w:hAnsi="宋体" w:eastAsia="宋体" w:cs="宋体"/>
          <w:b/>
          <w:color w:val="000000" w:themeColor="text1"/>
          <w:sz w:val="52"/>
          <w:szCs w:val="52"/>
          <w:highlight w:val="none"/>
          <w14:textFill>
            <w14:solidFill>
              <w14:schemeClr w14:val="tx1"/>
            </w14:solidFill>
          </w14:textFill>
        </w:rPr>
      </w:pPr>
      <w:r>
        <w:rPr>
          <w:rFonts w:hint="eastAsia" w:ascii="宋体" w:hAnsi="宋体" w:eastAsia="宋体" w:cs="宋体"/>
          <w:b/>
          <w:color w:val="000000" w:themeColor="text1"/>
          <w:sz w:val="52"/>
          <w:szCs w:val="52"/>
          <w:highlight w:val="none"/>
          <w14:textFill>
            <w14:solidFill>
              <w14:schemeClr w14:val="tx1"/>
            </w14:solidFill>
          </w14:textFill>
        </w:rPr>
        <w:t>文</w:t>
      </w:r>
    </w:p>
    <w:p>
      <w:pPr>
        <w:ind w:firstLine="0" w:firstLineChars="0"/>
        <w:jc w:val="center"/>
        <w:rPr>
          <w:rFonts w:hint="eastAsia" w:ascii="宋体" w:hAnsi="宋体" w:eastAsia="宋体" w:cs="宋体"/>
          <w:b/>
          <w:color w:val="000000" w:themeColor="text1"/>
          <w:sz w:val="52"/>
          <w:szCs w:val="52"/>
          <w:highlight w:val="none"/>
          <w14:textFill>
            <w14:solidFill>
              <w14:schemeClr w14:val="tx1"/>
            </w14:solidFill>
          </w14:textFill>
        </w:rPr>
      </w:pPr>
      <w:r>
        <w:rPr>
          <w:rFonts w:hint="eastAsia" w:ascii="宋体" w:hAnsi="宋体" w:eastAsia="宋体" w:cs="宋体"/>
          <w:b/>
          <w:color w:val="000000" w:themeColor="text1"/>
          <w:sz w:val="52"/>
          <w:szCs w:val="52"/>
          <w:highlight w:val="none"/>
          <w14:textFill>
            <w14:solidFill>
              <w14:schemeClr w14:val="tx1"/>
            </w14:solidFill>
          </w14:textFill>
        </w:rPr>
        <w:t>件</w:t>
      </w:r>
    </w:p>
    <w:p>
      <w:pPr>
        <w:ind w:firstLine="643"/>
        <w:jc w:val="center"/>
        <w:rPr>
          <w:rFonts w:hint="eastAsia" w:ascii="宋体" w:hAnsi="宋体" w:eastAsia="宋体" w:cs="宋体"/>
          <w:b/>
          <w:color w:val="000000" w:themeColor="text1"/>
          <w:sz w:val="32"/>
          <w:szCs w:val="32"/>
          <w:highlight w:val="none"/>
          <w14:textFill>
            <w14:solidFill>
              <w14:schemeClr w14:val="tx1"/>
            </w14:solidFill>
          </w14:textFill>
        </w:rPr>
      </w:pPr>
    </w:p>
    <w:p>
      <w:pPr>
        <w:ind w:firstLine="643"/>
        <w:jc w:val="center"/>
        <w:rPr>
          <w:rFonts w:hint="eastAsia" w:ascii="宋体" w:hAnsi="宋体" w:eastAsia="宋体" w:cs="宋体"/>
          <w:b/>
          <w:color w:val="000000" w:themeColor="text1"/>
          <w:sz w:val="32"/>
          <w:szCs w:val="32"/>
          <w:highlight w:val="none"/>
          <w14:textFill>
            <w14:solidFill>
              <w14:schemeClr w14:val="tx1"/>
            </w14:solidFill>
          </w14:textFill>
        </w:rPr>
      </w:pPr>
      <w:r>
        <w:rPr>
          <w:rFonts w:hint="eastAsia" w:ascii="宋体" w:hAnsi="宋体" w:cs="宋体"/>
          <w:b/>
          <w:color w:val="000000" w:themeColor="text1"/>
          <w:sz w:val="32"/>
          <w:szCs w:val="32"/>
          <w:highlight w:val="none"/>
          <w:lang w:eastAsia="zh-CN"/>
          <w14:textFill>
            <w14:solidFill>
              <w14:schemeClr w14:val="tx1"/>
            </w14:solidFill>
          </w14:textFill>
        </w:rPr>
        <w:t>成都市妇女儿童中心医院</w:t>
      </w:r>
    </w:p>
    <w:p>
      <w:pPr>
        <w:ind w:firstLine="643"/>
        <w:jc w:val="center"/>
        <w:rPr>
          <w:rFonts w:hint="eastAsia" w:ascii="宋体" w:hAnsi="宋体" w:eastAsia="宋体" w:cs="宋体"/>
          <w:b/>
          <w:color w:val="000000" w:themeColor="text1"/>
          <w:sz w:val="32"/>
          <w:szCs w:val="32"/>
          <w:highlight w:val="none"/>
          <w14:textFill>
            <w14:solidFill>
              <w14:schemeClr w14:val="tx1"/>
            </w14:solidFill>
          </w14:textFill>
        </w:rPr>
      </w:pPr>
      <w:r>
        <w:rPr>
          <w:rFonts w:hint="eastAsia" w:ascii="宋体" w:hAnsi="宋体" w:eastAsia="宋体" w:cs="宋体"/>
          <w:b/>
          <w:color w:val="000000" w:themeColor="text1"/>
          <w:sz w:val="32"/>
          <w:szCs w:val="32"/>
          <w:highlight w:val="none"/>
          <w14:textFill>
            <w14:solidFill>
              <w14:schemeClr w14:val="tx1"/>
            </w14:solidFill>
          </w14:textFill>
        </w:rPr>
        <w:t>四川三盈招标代理有限公司</w:t>
      </w:r>
    </w:p>
    <w:p>
      <w:pPr>
        <w:ind w:firstLine="643"/>
        <w:jc w:val="center"/>
        <w:rPr>
          <w:rFonts w:hint="eastAsia" w:ascii="宋体" w:hAnsi="宋体" w:eastAsia="宋体" w:cs="宋体"/>
          <w:b/>
          <w:color w:val="000000" w:themeColor="text1"/>
          <w:sz w:val="32"/>
          <w:szCs w:val="32"/>
          <w:highlight w:val="none"/>
          <w14:textFill>
            <w14:solidFill>
              <w14:schemeClr w14:val="tx1"/>
            </w14:solidFill>
          </w14:textFill>
        </w:rPr>
      </w:pPr>
      <w:r>
        <w:rPr>
          <w:rFonts w:hint="eastAsia" w:ascii="宋体" w:hAnsi="宋体" w:eastAsia="宋体" w:cs="宋体"/>
          <w:b/>
          <w:color w:val="000000" w:themeColor="text1"/>
          <w:sz w:val="32"/>
          <w:szCs w:val="32"/>
          <w:highlight w:val="none"/>
          <w14:textFill>
            <w14:solidFill>
              <w14:schemeClr w14:val="tx1"/>
            </w14:solidFill>
          </w14:textFill>
        </w:rPr>
        <w:t>共同编制</w:t>
      </w:r>
    </w:p>
    <w:p>
      <w:pPr>
        <w:pStyle w:val="4"/>
        <w:keepNext w:val="0"/>
        <w:keepLines w:val="0"/>
        <w:spacing w:line="360" w:lineRule="auto"/>
        <w:ind w:firstLine="643"/>
        <w:rPr>
          <w:rFonts w:hint="eastAsia" w:ascii="宋体" w:hAnsi="宋体" w:eastAsia="宋体" w:cs="宋体"/>
          <w:color w:val="000000" w:themeColor="text1"/>
          <w:highlight w:val="none"/>
          <w14:textFill>
            <w14:solidFill>
              <w14:schemeClr w14:val="tx1"/>
            </w14:solidFill>
          </w14:textFill>
        </w:rPr>
        <w:sectPr>
          <w:headerReference r:id="rId7" w:type="first"/>
          <w:footerReference r:id="rId10" w:type="first"/>
          <w:headerReference r:id="rId5" w:type="default"/>
          <w:footerReference r:id="rId8" w:type="default"/>
          <w:headerReference r:id="rId6" w:type="even"/>
          <w:footerReference r:id="rId9" w:type="even"/>
          <w:pgSz w:w="11906" w:h="16838"/>
          <w:pgMar w:top="1418" w:right="1418" w:bottom="1418" w:left="1531" w:header="1247" w:footer="992" w:gutter="0"/>
          <w:pgNumType w:fmt="decimal"/>
          <w:cols w:space="720" w:num="1"/>
          <w:docGrid w:linePitch="326" w:charSpace="0"/>
        </w:sectPr>
      </w:pPr>
      <w:r>
        <w:rPr>
          <w:rFonts w:hint="eastAsia" w:ascii="宋体" w:hAnsi="宋体" w:eastAsia="宋体" w:cs="宋体"/>
          <w:color w:val="000000" w:themeColor="text1"/>
          <w:highlight w:val="none"/>
          <w:lang w:val="zh-CN"/>
          <w14:textFill>
            <w14:solidFill>
              <w14:schemeClr w14:val="tx1"/>
            </w14:solidFill>
          </w14:textFill>
        </w:rPr>
        <w:t>20</w:t>
      </w:r>
      <w:r>
        <w:rPr>
          <w:rFonts w:hint="eastAsia" w:ascii="宋体" w:hAnsi="宋体" w:eastAsia="宋体" w:cs="宋体"/>
          <w:color w:val="000000" w:themeColor="text1"/>
          <w:highlight w:val="none"/>
          <w14:textFill>
            <w14:solidFill>
              <w14:schemeClr w14:val="tx1"/>
            </w14:solidFill>
          </w14:textFill>
        </w:rPr>
        <w:t>2</w:t>
      </w:r>
      <w:r>
        <w:rPr>
          <w:rFonts w:hint="eastAsia" w:ascii="宋体" w:hAnsi="宋体" w:eastAsia="宋体" w:cs="宋体"/>
          <w:color w:val="000000" w:themeColor="text1"/>
          <w:highlight w:val="none"/>
          <w:lang w:val="en-US" w:eastAsia="zh-CN"/>
          <w14:textFill>
            <w14:solidFill>
              <w14:schemeClr w14:val="tx1"/>
            </w14:solidFill>
          </w14:textFill>
        </w:rPr>
        <w:t>1</w:t>
      </w:r>
      <w:r>
        <w:rPr>
          <w:rFonts w:hint="eastAsia" w:ascii="宋体" w:hAnsi="宋体" w:eastAsia="宋体" w:cs="宋体"/>
          <w:color w:val="000000" w:themeColor="text1"/>
          <w:highlight w:val="none"/>
          <w:lang w:val="zh-CN"/>
          <w14:textFill>
            <w14:solidFill>
              <w14:schemeClr w14:val="tx1"/>
            </w14:solidFill>
          </w14:textFill>
        </w:rPr>
        <w:t>年</w:t>
      </w:r>
      <w:r>
        <w:rPr>
          <w:rFonts w:hint="eastAsia" w:ascii="宋体" w:hAnsi="宋体" w:eastAsia="宋体" w:cs="宋体"/>
          <w:color w:val="000000" w:themeColor="text1"/>
          <w:highlight w:val="none"/>
          <w:lang w:val="en-US" w:eastAsia="zh-CN"/>
          <w14:textFill>
            <w14:solidFill>
              <w14:schemeClr w14:val="tx1"/>
            </w14:solidFill>
          </w14:textFill>
        </w:rPr>
        <w:t>8月</w:t>
      </w:r>
    </w:p>
    <w:p>
      <w:pPr>
        <w:pStyle w:val="4"/>
        <w:keepNext w:val="0"/>
        <w:keepLines w:val="0"/>
        <w:spacing w:line="360" w:lineRule="auto"/>
        <w:ind w:firstLine="723"/>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Cs w:val="0"/>
          <w:color w:val="000000" w:themeColor="text1"/>
          <w:sz w:val="36"/>
          <w:highlight w:val="none"/>
          <w14:textFill>
            <w14:solidFill>
              <w14:schemeClr w14:val="tx1"/>
            </w14:solidFill>
          </w14:textFill>
        </w:rPr>
        <w:t>目    录</w:t>
      </w:r>
    </w:p>
    <w:p>
      <w:pPr>
        <w:pStyle w:val="18"/>
        <w:tabs>
          <w:tab w:val="right" w:leader="dot" w:pos="9298"/>
        </w:tabs>
        <w:rPr>
          <w:color w:val="000000" w:themeColor="text1"/>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fldChar w:fldCharType="begin"/>
      </w:r>
      <w:r>
        <w:rPr>
          <w:rFonts w:hint="eastAsia" w:ascii="宋体" w:hAnsi="宋体" w:eastAsia="宋体" w:cs="宋体"/>
          <w:color w:val="000000" w:themeColor="text1"/>
          <w:sz w:val="24"/>
          <w:szCs w:val="24"/>
          <w:highlight w:val="none"/>
          <w14:textFill>
            <w14:solidFill>
              <w14:schemeClr w14:val="tx1"/>
            </w14:solidFill>
          </w14:textFill>
        </w:rPr>
        <w:instrText xml:space="preserve"> TOC \h \z \t "标题,1" </w:instrText>
      </w:r>
      <w:r>
        <w:rPr>
          <w:rFonts w:hint="eastAsia" w:ascii="宋体" w:hAnsi="宋体" w:eastAsia="宋体" w:cs="宋体"/>
          <w:color w:val="000000" w:themeColor="text1"/>
          <w:sz w:val="24"/>
          <w:szCs w:val="24"/>
          <w:highlight w:val="none"/>
          <w14:textFill>
            <w14:solidFill>
              <w14:schemeClr w14:val="tx1"/>
            </w14:solidFill>
          </w14:textFill>
        </w:rPr>
        <w:fldChar w:fldCharType="separate"/>
      </w:r>
      <w:r>
        <w:rPr>
          <w:rFonts w:hint="eastAsia" w:ascii="宋体" w:hAnsi="宋体" w:eastAsia="宋体" w:cs="宋体"/>
          <w:color w:val="000000" w:themeColor="text1"/>
          <w:szCs w:val="24"/>
          <w:highlight w:val="none"/>
          <w14:textFill>
            <w14:solidFill>
              <w14:schemeClr w14:val="tx1"/>
            </w14:solidFill>
          </w14:textFill>
        </w:rPr>
        <w:fldChar w:fldCharType="begin"/>
      </w:r>
      <w:r>
        <w:rPr>
          <w:rFonts w:hint="eastAsia" w:ascii="宋体" w:hAnsi="宋体" w:eastAsia="宋体" w:cs="宋体"/>
          <w:color w:val="000000" w:themeColor="text1"/>
          <w:szCs w:val="24"/>
          <w:highlight w:val="none"/>
          <w14:textFill>
            <w14:solidFill>
              <w14:schemeClr w14:val="tx1"/>
            </w14:solidFill>
          </w14:textFill>
        </w:rPr>
        <w:instrText xml:space="preserve"> HYPERLINK \l _Toc19047 </w:instrText>
      </w:r>
      <w:r>
        <w:rPr>
          <w:rFonts w:hint="eastAsia" w:ascii="宋体" w:hAnsi="宋体" w:eastAsia="宋体" w:cs="宋体"/>
          <w:color w:val="000000" w:themeColor="text1"/>
          <w:szCs w:val="24"/>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第一章  磋商邀请</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_Toc19047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w:t>
      </w:r>
      <w:r>
        <w:rPr>
          <w:color w:val="000000" w:themeColor="text1"/>
          <w:highlight w:val="none"/>
          <w14:textFill>
            <w14:solidFill>
              <w14:schemeClr w14:val="tx1"/>
            </w14:solidFill>
          </w14:textFill>
        </w:rPr>
        <w:fldChar w:fldCharType="end"/>
      </w:r>
      <w:r>
        <w:rPr>
          <w:rFonts w:hint="eastAsia" w:ascii="宋体" w:hAnsi="宋体" w:eastAsia="宋体" w:cs="宋体"/>
          <w:color w:val="000000" w:themeColor="text1"/>
          <w:szCs w:val="24"/>
          <w:highlight w:val="none"/>
          <w14:textFill>
            <w14:solidFill>
              <w14:schemeClr w14:val="tx1"/>
            </w14:solidFill>
          </w14:textFill>
        </w:rPr>
        <w:fldChar w:fldCharType="end"/>
      </w:r>
    </w:p>
    <w:p>
      <w:pPr>
        <w:pStyle w:val="18"/>
        <w:tabs>
          <w:tab w:val="right" w:leader="dot" w:pos="9298"/>
        </w:tabs>
        <w:rPr>
          <w:color w:val="000000" w:themeColor="text1"/>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fldChar w:fldCharType="begin"/>
      </w:r>
      <w:r>
        <w:rPr>
          <w:rFonts w:hint="eastAsia" w:ascii="宋体" w:hAnsi="宋体" w:eastAsia="宋体" w:cs="宋体"/>
          <w:color w:val="000000" w:themeColor="text1"/>
          <w:szCs w:val="24"/>
          <w:highlight w:val="none"/>
          <w14:textFill>
            <w14:solidFill>
              <w14:schemeClr w14:val="tx1"/>
            </w14:solidFill>
          </w14:textFill>
        </w:rPr>
        <w:instrText xml:space="preserve"> HYPERLINK \l _Toc8414 </w:instrText>
      </w:r>
      <w:r>
        <w:rPr>
          <w:rFonts w:hint="eastAsia" w:ascii="宋体" w:hAnsi="宋体" w:eastAsia="宋体" w:cs="宋体"/>
          <w:color w:val="000000" w:themeColor="text1"/>
          <w:szCs w:val="24"/>
          <w:highlight w:val="none"/>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第二章  磋商须知</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_Toc8414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fldChar w:fldCharType="end"/>
      </w:r>
      <w:r>
        <w:rPr>
          <w:rFonts w:hint="eastAsia" w:ascii="宋体" w:hAnsi="宋体" w:eastAsia="宋体" w:cs="宋体"/>
          <w:color w:val="000000" w:themeColor="text1"/>
          <w:szCs w:val="24"/>
          <w:highlight w:val="none"/>
          <w14:textFill>
            <w14:solidFill>
              <w14:schemeClr w14:val="tx1"/>
            </w14:solidFill>
          </w14:textFill>
        </w:rPr>
        <w:fldChar w:fldCharType="end"/>
      </w:r>
    </w:p>
    <w:p>
      <w:pPr>
        <w:pStyle w:val="18"/>
        <w:tabs>
          <w:tab w:val="right" w:leader="dot" w:pos="9298"/>
        </w:tabs>
        <w:rPr>
          <w:color w:val="000000" w:themeColor="text1"/>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fldChar w:fldCharType="begin"/>
      </w:r>
      <w:r>
        <w:rPr>
          <w:rFonts w:hint="eastAsia" w:ascii="宋体" w:hAnsi="宋体" w:eastAsia="宋体" w:cs="宋体"/>
          <w:color w:val="000000" w:themeColor="text1"/>
          <w:szCs w:val="24"/>
          <w:highlight w:val="none"/>
          <w14:textFill>
            <w14:solidFill>
              <w14:schemeClr w14:val="tx1"/>
            </w14:solidFill>
          </w14:textFill>
        </w:rPr>
        <w:instrText xml:space="preserve"> HYPERLINK \l _Toc1012 </w:instrText>
      </w:r>
      <w:r>
        <w:rPr>
          <w:rFonts w:hint="eastAsia" w:ascii="宋体" w:hAnsi="宋体" w:eastAsia="宋体" w:cs="宋体"/>
          <w:color w:val="000000" w:themeColor="text1"/>
          <w:szCs w:val="24"/>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第三章  供应商和报价产品的资格、资质性及其他类似效力要求</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_Toc1012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23</w:t>
      </w:r>
      <w:r>
        <w:rPr>
          <w:color w:val="000000" w:themeColor="text1"/>
          <w:highlight w:val="none"/>
          <w14:textFill>
            <w14:solidFill>
              <w14:schemeClr w14:val="tx1"/>
            </w14:solidFill>
          </w14:textFill>
        </w:rPr>
        <w:fldChar w:fldCharType="end"/>
      </w:r>
      <w:r>
        <w:rPr>
          <w:rFonts w:hint="eastAsia" w:ascii="宋体" w:hAnsi="宋体" w:eastAsia="宋体" w:cs="宋体"/>
          <w:color w:val="000000" w:themeColor="text1"/>
          <w:szCs w:val="24"/>
          <w:highlight w:val="none"/>
          <w14:textFill>
            <w14:solidFill>
              <w14:schemeClr w14:val="tx1"/>
            </w14:solidFill>
          </w14:textFill>
        </w:rPr>
        <w:fldChar w:fldCharType="end"/>
      </w:r>
    </w:p>
    <w:p>
      <w:pPr>
        <w:pStyle w:val="18"/>
        <w:tabs>
          <w:tab w:val="right" w:leader="dot" w:pos="9298"/>
        </w:tabs>
        <w:rPr>
          <w:color w:val="000000" w:themeColor="text1"/>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fldChar w:fldCharType="begin"/>
      </w:r>
      <w:r>
        <w:rPr>
          <w:rFonts w:hint="eastAsia" w:ascii="宋体" w:hAnsi="宋体" w:eastAsia="宋体" w:cs="宋体"/>
          <w:color w:val="000000" w:themeColor="text1"/>
          <w:szCs w:val="24"/>
          <w:highlight w:val="none"/>
          <w14:textFill>
            <w14:solidFill>
              <w14:schemeClr w14:val="tx1"/>
            </w14:solidFill>
          </w14:textFill>
        </w:rPr>
        <w:instrText xml:space="preserve"> HYPERLINK \l _Toc29302 </w:instrText>
      </w:r>
      <w:r>
        <w:rPr>
          <w:rFonts w:hint="eastAsia" w:ascii="宋体" w:hAnsi="宋体" w:eastAsia="宋体" w:cs="宋体"/>
          <w:color w:val="000000" w:themeColor="text1"/>
          <w:szCs w:val="24"/>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 xml:space="preserve">第四章 </w:t>
      </w:r>
      <w:r>
        <w:rPr>
          <w:rFonts w:hint="eastAsia"/>
          <w:color w:val="000000" w:themeColor="text1"/>
          <w:highlight w:val="none"/>
          <w:lang w:val="en-US" w:eastAsia="zh-CN"/>
          <w14:textFill>
            <w14:solidFill>
              <w14:schemeClr w14:val="tx1"/>
            </w14:solidFill>
          </w14:textFill>
        </w:rPr>
        <w:t xml:space="preserve"> 供应商应当提供的资格、资质性及其他类似效力要求的相关证明材料</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_Toc29302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24</w:t>
      </w:r>
      <w:r>
        <w:rPr>
          <w:color w:val="000000" w:themeColor="text1"/>
          <w:highlight w:val="none"/>
          <w14:textFill>
            <w14:solidFill>
              <w14:schemeClr w14:val="tx1"/>
            </w14:solidFill>
          </w14:textFill>
        </w:rPr>
        <w:fldChar w:fldCharType="end"/>
      </w:r>
      <w:r>
        <w:rPr>
          <w:rFonts w:hint="eastAsia" w:ascii="宋体" w:hAnsi="宋体" w:eastAsia="宋体" w:cs="宋体"/>
          <w:color w:val="000000" w:themeColor="text1"/>
          <w:szCs w:val="24"/>
          <w:highlight w:val="none"/>
          <w14:textFill>
            <w14:solidFill>
              <w14:schemeClr w14:val="tx1"/>
            </w14:solidFill>
          </w14:textFill>
        </w:rPr>
        <w:fldChar w:fldCharType="end"/>
      </w:r>
    </w:p>
    <w:p>
      <w:pPr>
        <w:pStyle w:val="18"/>
        <w:tabs>
          <w:tab w:val="right" w:leader="dot" w:pos="9298"/>
        </w:tabs>
        <w:rPr>
          <w:color w:val="000000" w:themeColor="text1"/>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fldChar w:fldCharType="begin"/>
      </w:r>
      <w:r>
        <w:rPr>
          <w:rFonts w:hint="eastAsia" w:ascii="宋体" w:hAnsi="宋体" w:eastAsia="宋体" w:cs="宋体"/>
          <w:color w:val="000000" w:themeColor="text1"/>
          <w:szCs w:val="24"/>
          <w:highlight w:val="none"/>
          <w14:textFill>
            <w14:solidFill>
              <w14:schemeClr w14:val="tx1"/>
            </w14:solidFill>
          </w14:textFill>
        </w:rPr>
        <w:instrText xml:space="preserve"> HYPERLINK \l _Toc15888 </w:instrText>
      </w:r>
      <w:r>
        <w:rPr>
          <w:rFonts w:hint="eastAsia" w:ascii="宋体" w:hAnsi="宋体" w:eastAsia="宋体" w:cs="宋体"/>
          <w:color w:val="000000" w:themeColor="text1"/>
          <w:szCs w:val="24"/>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第五章</w:t>
      </w:r>
      <w:r>
        <w:rPr>
          <w:rFonts w:hint="eastAsia"/>
          <w:color w:val="000000" w:themeColor="text1"/>
          <w:highlight w:val="none"/>
          <w:lang w:val="en-US" w:eastAsia="zh-CN"/>
          <w14:textFill>
            <w14:solidFill>
              <w14:schemeClr w14:val="tx1"/>
            </w14:solidFill>
          </w14:textFill>
        </w:rPr>
        <w:t xml:space="preserve"> </w:t>
      </w:r>
      <w:r>
        <w:rPr>
          <w:rFonts w:hint="eastAsia"/>
          <w:color w:val="000000" w:themeColor="text1"/>
          <w:highlight w:val="none"/>
          <w14:textFill>
            <w14:solidFill>
              <w14:schemeClr w14:val="tx1"/>
            </w14:solidFill>
          </w14:textFill>
        </w:rPr>
        <w:t xml:space="preserve"> 采购项目技术、服务、政府采购合同内容条款及其他商务要求</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_Toc15888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26</w:t>
      </w:r>
      <w:r>
        <w:rPr>
          <w:color w:val="000000" w:themeColor="text1"/>
          <w:highlight w:val="none"/>
          <w14:textFill>
            <w14:solidFill>
              <w14:schemeClr w14:val="tx1"/>
            </w14:solidFill>
          </w14:textFill>
        </w:rPr>
        <w:fldChar w:fldCharType="end"/>
      </w:r>
      <w:r>
        <w:rPr>
          <w:rFonts w:hint="eastAsia" w:ascii="宋体" w:hAnsi="宋体" w:eastAsia="宋体" w:cs="宋体"/>
          <w:color w:val="000000" w:themeColor="text1"/>
          <w:szCs w:val="24"/>
          <w:highlight w:val="none"/>
          <w14:textFill>
            <w14:solidFill>
              <w14:schemeClr w14:val="tx1"/>
            </w14:solidFill>
          </w14:textFill>
        </w:rPr>
        <w:fldChar w:fldCharType="end"/>
      </w:r>
    </w:p>
    <w:p>
      <w:pPr>
        <w:pStyle w:val="18"/>
        <w:tabs>
          <w:tab w:val="right" w:leader="dot" w:pos="9298"/>
        </w:tabs>
        <w:rPr>
          <w:color w:val="000000" w:themeColor="text1"/>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fldChar w:fldCharType="begin"/>
      </w:r>
      <w:r>
        <w:rPr>
          <w:rFonts w:hint="eastAsia" w:ascii="宋体" w:hAnsi="宋体" w:eastAsia="宋体" w:cs="宋体"/>
          <w:color w:val="000000" w:themeColor="text1"/>
          <w:szCs w:val="24"/>
          <w:highlight w:val="none"/>
          <w14:textFill>
            <w14:solidFill>
              <w14:schemeClr w14:val="tx1"/>
            </w14:solidFill>
          </w14:textFill>
        </w:rPr>
        <w:instrText xml:space="preserve"> HYPERLINK \l _Toc14991 </w:instrText>
      </w:r>
      <w:r>
        <w:rPr>
          <w:rFonts w:hint="eastAsia" w:ascii="宋体" w:hAnsi="宋体" w:eastAsia="宋体" w:cs="宋体"/>
          <w:color w:val="000000" w:themeColor="text1"/>
          <w:szCs w:val="24"/>
          <w:highlight w:val="none"/>
          <w14:textFill>
            <w14:solidFill>
              <w14:schemeClr w14:val="tx1"/>
            </w14:solidFill>
          </w14:textFill>
        </w:rPr>
        <w:fldChar w:fldCharType="separate"/>
      </w:r>
      <w:r>
        <w:rPr>
          <w:rFonts w:hint="eastAsia" w:ascii="宋体" w:hAnsi="宋体" w:eastAsia="宋体" w:cs="宋体"/>
          <w:color w:val="000000" w:themeColor="text1"/>
          <w:szCs w:val="28"/>
          <w:highlight w:val="none"/>
          <w14:textFill>
            <w14:solidFill>
              <w14:schemeClr w14:val="tx1"/>
            </w14:solidFill>
          </w14:textFill>
        </w:rPr>
        <w:t>第七章  响应文件格式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_Toc14991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35</w:t>
      </w:r>
      <w:r>
        <w:rPr>
          <w:color w:val="000000" w:themeColor="text1"/>
          <w:highlight w:val="none"/>
          <w14:textFill>
            <w14:solidFill>
              <w14:schemeClr w14:val="tx1"/>
            </w14:solidFill>
          </w14:textFill>
        </w:rPr>
        <w:fldChar w:fldCharType="end"/>
      </w:r>
      <w:r>
        <w:rPr>
          <w:rFonts w:hint="eastAsia" w:ascii="宋体" w:hAnsi="宋体" w:eastAsia="宋体" w:cs="宋体"/>
          <w:color w:val="000000" w:themeColor="text1"/>
          <w:szCs w:val="24"/>
          <w:highlight w:val="none"/>
          <w14:textFill>
            <w14:solidFill>
              <w14:schemeClr w14:val="tx1"/>
            </w14:solidFill>
          </w14:textFill>
        </w:rPr>
        <w:fldChar w:fldCharType="end"/>
      </w:r>
    </w:p>
    <w:p>
      <w:pPr>
        <w:pStyle w:val="18"/>
        <w:tabs>
          <w:tab w:val="right" w:leader="dot" w:pos="9298"/>
        </w:tabs>
        <w:rPr>
          <w:color w:val="000000" w:themeColor="text1"/>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fldChar w:fldCharType="begin"/>
      </w:r>
      <w:r>
        <w:rPr>
          <w:rFonts w:hint="eastAsia" w:ascii="宋体" w:hAnsi="宋体" w:eastAsia="宋体" w:cs="宋体"/>
          <w:color w:val="000000" w:themeColor="text1"/>
          <w:szCs w:val="24"/>
          <w:highlight w:val="none"/>
          <w14:textFill>
            <w14:solidFill>
              <w14:schemeClr w14:val="tx1"/>
            </w14:solidFill>
          </w14:textFill>
        </w:rPr>
        <w:instrText xml:space="preserve"> HYPERLINK \l _Toc31006 </w:instrText>
      </w:r>
      <w:r>
        <w:rPr>
          <w:rFonts w:hint="eastAsia" w:ascii="宋体" w:hAnsi="宋体" w:eastAsia="宋体" w:cs="宋体"/>
          <w:color w:val="000000" w:themeColor="text1"/>
          <w:szCs w:val="24"/>
          <w:highlight w:val="none"/>
          <w14:textFill>
            <w14:solidFill>
              <w14:schemeClr w14:val="tx1"/>
            </w14:solidFill>
          </w14:textFill>
        </w:rPr>
        <w:fldChar w:fldCharType="separate"/>
      </w:r>
      <w:r>
        <w:rPr>
          <w:rFonts w:hint="eastAsia" w:ascii="宋体" w:hAnsi="宋体" w:eastAsia="宋体" w:cs="宋体"/>
          <w:color w:val="000000" w:themeColor="text1"/>
          <w:szCs w:val="28"/>
          <w:highlight w:val="none"/>
          <w14:textFill>
            <w14:solidFill>
              <w14:schemeClr w14:val="tx1"/>
            </w14:solidFill>
          </w14:textFill>
        </w:rPr>
        <w:t>第八章  评审方法</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_Toc31006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63</w:t>
      </w:r>
      <w:r>
        <w:rPr>
          <w:color w:val="000000" w:themeColor="text1"/>
          <w:highlight w:val="none"/>
          <w14:textFill>
            <w14:solidFill>
              <w14:schemeClr w14:val="tx1"/>
            </w14:solidFill>
          </w14:textFill>
        </w:rPr>
        <w:fldChar w:fldCharType="end"/>
      </w:r>
      <w:r>
        <w:rPr>
          <w:rFonts w:hint="eastAsia" w:ascii="宋体" w:hAnsi="宋体" w:eastAsia="宋体" w:cs="宋体"/>
          <w:color w:val="000000" w:themeColor="text1"/>
          <w:szCs w:val="24"/>
          <w:highlight w:val="none"/>
          <w14:textFill>
            <w14:solidFill>
              <w14:schemeClr w14:val="tx1"/>
            </w14:solidFill>
          </w14:textFill>
        </w:rPr>
        <w:fldChar w:fldCharType="end"/>
      </w:r>
    </w:p>
    <w:p>
      <w:pPr>
        <w:pStyle w:val="18"/>
        <w:tabs>
          <w:tab w:val="right" w:leader="dot" w:pos="9298"/>
        </w:tabs>
        <w:rPr>
          <w:color w:val="000000" w:themeColor="text1"/>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fldChar w:fldCharType="begin"/>
      </w:r>
      <w:r>
        <w:rPr>
          <w:rFonts w:hint="eastAsia" w:ascii="宋体" w:hAnsi="宋体" w:eastAsia="宋体" w:cs="宋体"/>
          <w:color w:val="000000" w:themeColor="text1"/>
          <w:szCs w:val="24"/>
          <w:highlight w:val="none"/>
          <w14:textFill>
            <w14:solidFill>
              <w14:schemeClr w14:val="tx1"/>
            </w14:solidFill>
          </w14:textFill>
        </w:rPr>
        <w:instrText xml:space="preserve"> HYPERLINK \l _Toc27514 </w:instrText>
      </w:r>
      <w:r>
        <w:rPr>
          <w:rFonts w:hint="eastAsia" w:ascii="宋体" w:hAnsi="宋体" w:eastAsia="宋体" w:cs="宋体"/>
          <w:color w:val="000000" w:themeColor="text1"/>
          <w:szCs w:val="24"/>
          <w:highlight w:val="none"/>
          <w14:textFill>
            <w14:solidFill>
              <w14:schemeClr w14:val="tx1"/>
            </w14:solidFill>
          </w14:textFill>
        </w:rPr>
        <w:fldChar w:fldCharType="separate"/>
      </w:r>
      <w:r>
        <w:rPr>
          <w:rFonts w:hint="eastAsia" w:ascii="宋体" w:hAnsi="宋体" w:eastAsia="宋体" w:cs="宋体"/>
          <w:color w:val="000000" w:themeColor="text1"/>
          <w:szCs w:val="24"/>
          <w:highlight w:val="none"/>
          <w14:textFill>
            <w14:solidFill>
              <w14:schemeClr w14:val="tx1"/>
            </w14:solidFill>
          </w14:textFill>
        </w:rPr>
        <w:t xml:space="preserve">第九章  </w:t>
      </w:r>
      <w:r>
        <w:rPr>
          <w:rFonts w:hint="eastAsia" w:ascii="宋体" w:hAnsi="宋体" w:eastAsia="宋体" w:cs="宋体"/>
          <w:bCs/>
          <w:color w:val="000000" w:themeColor="text1"/>
          <w:szCs w:val="24"/>
          <w:highlight w:val="none"/>
          <w14:textFill>
            <w14:solidFill>
              <w14:schemeClr w14:val="tx1"/>
            </w14:solidFill>
          </w14:textFill>
        </w:rPr>
        <w:t>政府采购合同（草案）</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_Toc27514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74</w:t>
      </w:r>
      <w:r>
        <w:rPr>
          <w:color w:val="000000" w:themeColor="text1"/>
          <w:highlight w:val="none"/>
          <w14:textFill>
            <w14:solidFill>
              <w14:schemeClr w14:val="tx1"/>
            </w14:solidFill>
          </w14:textFill>
        </w:rPr>
        <w:fldChar w:fldCharType="end"/>
      </w:r>
      <w:r>
        <w:rPr>
          <w:rFonts w:hint="eastAsia" w:ascii="宋体" w:hAnsi="宋体" w:eastAsia="宋体" w:cs="宋体"/>
          <w:color w:val="000000" w:themeColor="text1"/>
          <w:szCs w:val="24"/>
          <w:highlight w:val="none"/>
          <w14:textFill>
            <w14:solidFill>
              <w14:schemeClr w14:val="tx1"/>
            </w14:solidFill>
          </w14:textFill>
        </w:rPr>
        <w:fldChar w:fldCharType="end"/>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fldChar w:fldCharType="end"/>
      </w:r>
    </w:p>
    <w:p>
      <w:pPr>
        <w:pStyle w:val="3"/>
        <w:ind w:firstLine="723"/>
        <w:rPr>
          <w:rFonts w:hint="eastAsia" w:ascii="宋体" w:hAnsi="宋体" w:eastAsia="宋体" w:cs="宋体"/>
          <w:color w:val="000000" w:themeColor="text1"/>
          <w:highlight w:val="none"/>
          <w14:textFill>
            <w14:solidFill>
              <w14:schemeClr w14:val="tx1"/>
            </w14:solidFill>
          </w14:textFill>
        </w:rPr>
        <w:sectPr>
          <w:footerReference r:id="rId11" w:type="default"/>
          <w:pgSz w:w="11906" w:h="16838"/>
          <w:pgMar w:top="1418" w:right="1361" w:bottom="1418" w:left="1247" w:header="1247" w:footer="992" w:gutter="0"/>
          <w:pgNumType w:fmt="decimal" w:start="1"/>
          <w:cols w:space="720" w:num="1"/>
          <w:docGrid w:linePitch="326" w:charSpace="0"/>
        </w:sectPr>
      </w:pPr>
      <w:bookmarkStart w:id="0" w:name="_Toc509579140"/>
    </w:p>
    <w:p>
      <w:pPr>
        <w:pStyle w:val="21"/>
        <w:bidi w:val="0"/>
        <w:rPr>
          <w:rFonts w:hint="eastAsia"/>
          <w:color w:val="000000" w:themeColor="text1"/>
          <w:highlight w:val="none"/>
          <w14:textFill>
            <w14:solidFill>
              <w14:schemeClr w14:val="tx1"/>
            </w14:solidFill>
          </w14:textFill>
        </w:rPr>
      </w:pPr>
      <w:bookmarkStart w:id="1" w:name="_Toc19047"/>
      <w:r>
        <w:rPr>
          <w:rFonts w:hint="eastAsia"/>
          <w:color w:val="000000" w:themeColor="text1"/>
          <w:highlight w:val="none"/>
          <w14:textFill>
            <w14:solidFill>
              <w14:schemeClr w14:val="tx1"/>
            </w14:solidFill>
          </w14:textFill>
        </w:rPr>
        <w:t>第一章  磋商邀请</w:t>
      </w:r>
      <w:bookmarkEnd w:id="0"/>
      <w:bookmarkEnd w:id="1"/>
    </w:p>
    <w:p>
      <w:pPr>
        <w:pageBreakBefore w:val="0"/>
        <w:kinsoku/>
        <w:wordWrap/>
        <w:overflowPunct/>
        <w:topLinePunct w:val="0"/>
        <w:bidi w:val="0"/>
        <w:spacing w:line="360" w:lineRule="auto"/>
        <w:ind w:firstLine="723" w:firstLineChars="30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u w:val="single"/>
          <w:lang w:val="en-US" w:eastAsia="zh-CN"/>
          <w14:textFill>
            <w14:solidFill>
              <w14:schemeClr w14:val="tx1"/>
            </w14:solidFill>
          </w14:textFill>
        </w:rPr>
        <w:t xml:space="preserve"> 四</w:t>
      </w:r>
      <w:r>
        <w:rPr>
          <w:rFonts w:hint="eastAsia" w:ascii="宋体" w:hAnsi="宋体" w:eastAsia="宋体" w:cs="宋体"/>
          <w:b/>
          <w:bCs/>
          <w:color w:val="000000" w:themeColor="text1"/>
          <w:sz w:val="24"/>
          <w:szCs w:val="24"/>
          <w:highlight w:val="none"/>
          <w:u w:val="single"/>
          <w14:textFill>
            <w14:solidFill>
              <w14:schemeClr w14:val="tx1"/>
            </w14:solidFill>
          </w14:textFill>
        </w:rPr>
        <w:t>川三盈招标代理有限公司</w:t>
      </w:r>
      <w:r>
        <w:rPr>
          <w:rFonts w:hint="eastAsia" w:ascii="宋体" w:hAnsi="宋体" w:cs="宋体"/>
          <w:b/>
          <w:bCs/>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受</w:t>
      </w:r>
      <w:r>
        <w:rPr>
          <w:rFonts w:hint="eastAsia" w:ascii="宋体" w:hAnsi="宋体" w:cs="宋体"/>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cs="宋体"/>
          <w:b/>
          <w:bCs w:val="0"/>
          <w:color w:val="000000" w:themeColor="text1"/>
          <w:sz w:val="24"/>
          <w:szCs w:val="24"/>
          <w:highlight w:val="none"/>
          <w:u w:val="single"/>
          <w:lang w:eastAsia="zh-CN"/>
          <w14:textFill>
            <w14:solidFill>
              <w14:schemeClr w14:val="tx1"/>
            </w14:solidFill>
          </w14:textFill>
        </w:rPr>
        <w:t>成都市妇女儿童中心医院</w:t>
      </w:r>
      <w:r>
        <w:rPr>
          <w:rFonts w:hint="eastAsia" w:ascii="宋体" w:hAnsi="宋体" w:eastAsia="宋体" w:cs="宋体"/>
          <w:color w:val="000000" w:themeColor="text1"/>
          <w:sz w:val="24"/>
          <w:szCs w:val="24"/>
          <w:highlight w:val="none"/>
          <w14:textFill>
            <w14:solidFill>
              <w14:schemeClr w14:val="tx1"/>
            </w14:solidFill>
          </w14:textFill>
        </w:rPr>
        <w:t>委托，拟对</w:t>
      </w:r>
      <w:bookmarkStart w:id="2" w:name="PO_默认文件内容_1"/>
      <w:r>
        <w:rPr>
          <w:rFonts w:hint="eastAsia" w:ascii="宋体" w:hAnsi="宋体" w:cs="宋体"/>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cs="宋体"/>
          <w:b/>
          <w:bCs/>
          <w:color w:val="000000" w:themeColor="text1"/>
          <w:sz w:val="24"/>
          <w:szCs w:val="24"/>
          <w:highlight w:val="none"/>
          <w:u w:val="single"/>
          <w:lang w:eastAsia="zh-CN"/>
          <w14:textFill>
            <w14:solidFill>
              <w14:schemeClr w14:val="tx1"/>
            </w14:solidFill>
          </w14:textFill>
        </w:rPr>
        <w:t>成都市妇女儿童中心医院病案缩微数字化服务采购项目</w:t>
      </w:r>
      <w:r>
        <w:rPr>
          <w:rFonts w:hint="eastAsia" w:ascii="宋体" w:hAnsi="宋体" w:cs="宋体"/>
          <w:b/>
          <w:bCs/>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采用竞争性磋商方式进行采购，特邀请符合本次采购要求的供应商参加本项目的竞争性磋商。</w:t>
      </w:r>
      <w:bookmarkEnd w:id="2"/>
    </w:p>
    <w:p>
      <w:pPr>
        <w:pageBreakBefore w:val="0"/>
        <w:kinsoku/>
        <w:wordWrap/>
        <w:overflowPunct/>
        <w:topLinePunct w:val="0"/>
        <w:bidi w:val="0"/>
        <w:spacing w:line="360" w:lineRule="auto"/>
        <w:ind w:left="0" w:leftChars="0" w:firstLine="482" w:firstLineChars="200"/>
        <w:jc w:val="left"/>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一、采购项目基本情况</w:t>
      </w:r>
    </w:p>
    <w:p>
      <w:pPr>
        <w:pageBreakBefore w:val="0"/>
        <w:kinsoku/>
        <w:wordWrap/>
        <w:overflowPunct/>
        <w:topLinePunct w:val="0"/>
        <w:bidi w:val="0"/>
        <w:spacing w:line="360" w:lineRule="auto"/>
        <w:ind w:firstLine="420" w:firstLineChars="175"/>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1.项目编号：以四川政府网挂网编号为准</w:t>
      </w:r>
    </w:p>
    <w:p>
      <w:pPr>
        <w:pageBreakBefore w:val="0"/>
        <w:kinsoku/>
        <w:wordWrap/>
        <w:overflowPunct/>
        <w:topLinePunct w:val="0"/>
        <w:bidi w:val="0"/>
        <w:spacing w:line="360" w:lineRule="auto"/>
        <w:ind w:firstLine="420" w:firstLineChars="175"/>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2.采购项目名称：</w:t>
      </w:r>
      <w:r>
        <w:rPr>
          <w:rFonts w:hint="eastAsia" w:ascii="宋体" w:hAnsi="宋体" w:cs="宋体"/>
          <w:color w:val="000000" w:themeColor="text1"/>
          <w:sz w:val="24"/>
          <w:szCs w:val="24"/>
          <w:highlight w:val="none"/>
          <w:lang w:eastAsia="zh-CN"/>
          <w14:textFill>
            <w14:solidFill>
              <w14:schemeClr w14:val="tx1"/>
            </w14:solidFill>
          </w14:textFill>
        </w:rPr>
        <w:t>成都市妇女儿童中心医院病案缩微数字化服务采购项目</w:t>
      </w:r>
    </w:p>
    <w:p>
      <w:pPr>
        <w:pageBreakBefore w:val="0"/>
        <w:kinsoku/>
        <w:wordWrap/>
        <w:overflowPunct/>
        <w:topLinePunct w:val="0"/>
        <w:bidi w:val="0"/>
        <w:spacing w:line="360" w:lineRule="auto"/>
        <w:ind w:firstLine="422" w:firstLineChars="175"/>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二、资金情况</w:t>
      </w:r>
    </w:p>
    <w:p>
      <w:pPr>
        <w:pageBreakBefore w:val="0"/>
        <w:kinsoku/>
        <w:wordWrap/>
        <w:overflowPunct/>
        <w:topLinePunct w:val="0"/>
        <w:bidi w:val="0"/>
        <w:spacing w:line="360" w:lineRule="auto"/>
        <w:ind w:right="36" w:rightChars="15" w:firstLine="420" w:firstLineChars="175"/>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资金来源及金额：财政性资金</w:t>
      </w:r>
      <w:r>
        <w:rPr>
          <w:rFonts w:hint="eastAsia" w:ascii="宋体" w:hAnsi="宋体" w:cs="宋体"/>
          <w:color w:val="000000" w:themeColor="text1"/>
          <w:sz w:val="24"/>
          <w:szCs w:val="24"/>
          <w:highlight w:val="none"/>
          <w:lang w:val="en-US" w:eastAsia="zh-CN"/>
          <w14:textFill>
            <w14:solidFill>
              <w14:schemeClr w14:val="tx1"/>
            </w14:solidFill>
          </w14:textFill>
        </w:rPr>
        <w:t>100万元</w:t>
      </w:r>
      <w:r>
        <w:rPr>
          <w:rFonts w:hint="eastAsia" w:ascii="宋体" w:hAnsi="宋体" w:eastAsia="宋体" w:cs="宋体"/>
          <w:color w:val="000000" w:themeColor="text1"/>
          <w:sz w:val="24"/>
          <w:szCs w:val="24"/>
          <w:highlight w:val="none"/>
          <w14:textFill>
            <w14:solidFill>
              <w14:schemeClr w14:val="tx1"/>
            </w14:solidFill>
          </w14:textFill>
        </w:rPr>
        <w:t>。</w:t>
      </w:r>
    </w:p>
    <w:p>
      <w:pPr>
        <w:pageBreakBefore w:val="0"/>
        <w:kinsoku/>
        <w:wordWrap/>
        <w:overflowPunct/>
        <w:topLinePunct w:val="0"/>
        <w:bidi w:val="0"/>
        <w:spacing w:line="360" w:lineRule="auto"/>
        <w:ind w:firstLine="422" w:firstLineChars="175"/>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三</w:t>
      </w:r>
      <w:r>
        <w:rPr>
          <w:rFonts w:hint="eastAsia" w:ascii="宋体" w:hAnsi="宋体" w:eastAsia="宋体" w:cs="宋体"/>
          <w:b/>
          <w:bCs/>
          <w:color w:val="000000" w:themeColor="text1"/>
          <w:sz w:val="24"/>
          <w:szCs w:val="24"/>
          <w:highlight w:val="none"/>
          <w14:textFill>
            <w14:solidFill>
              <w14:schemeClr w14:val="tx1"/>
            </w14:solidFill>
          </w14:textFill>
        </w:rPr>
        <w:t>、</w:t>
      </w:r>
      <w:r>
        <w:rPr>
          <w:rFonts w:hint="eastAsia" w:ascii="宋体" w:hAnsi="宋体" w:eastAsia="宋体" w:cs="宋体"/>
          <w:b/>
          <w:color w:val="000000" w:themeColor="text1"/>
          <w:sz w:val="24"/>
          <w:szCs w:val="24"/>
          <w:highlight w:val="none"/>
          <w14:textFill>
            <w14:solidFill>
              <w14:schemeClr w14:val="tx1"/>
            </w14:solidFill>
          </w14:textFill>
        </w:rPr>
        <w:t>采购项目简介：</w:t>
      </w:r>
    </w:p>
    <w:p>
      <w:pPr>
        <w:spacing w:after="120" w:line="360" w:lineRule="auto"/>
        <w:ind w:firstLine="420" w:firstLineChars="175"/>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eastAsia="zh-CN"/>
          <w14:textFill>
            <w14:solidFill>
              <w14:schemeClr w14:val="tx1"/>
            </w14:solidFill>
          </w14:textFill>
        </w:rPr>
        <w:t>成都市妇女儿童中心医院病案缩微数字化服务采购项目；</w:t>
      </w:r>
      <w:r>
        <w:rPr>
          <w:rFonts w:hint="eastAsia" w:ascii="宋体" w:hAnsi="宋体" w:cs="宋体"/>
          <w:color w:val="000000" w:themeColor="text1"/>
          <w:sz w:val="24"/>
          <w:szCs w:val="24"/>
          <w:highlight w:val="none"/>
          <w:lang w:val="en-US" w:eastAsia="zh-CN"/>
          <w14:textFill>
            <w14:solidFill>
              <w14:schemeClr w14:val="tx1"/>
            </w14:solidFill>
          </w14:textFill>
        </w:rPr>
        <w:t>本项目共计1个包</w:t>
      </w:r>
      <w:r>
        <w:rPr>
          <w:rFonts w:hint="eastAsia" w:ascii="宋体" w:hAnsi="宋体" w:eastAsia="宋体" w:cs="宋体"/>
          <w:color w:val="000000" w:themeColor="text1"/>
          <w:sz w:val="24"/>
          <w:szCs w:val="24"/>
          <w:highlight w:val="none"/>
          <w14:textFill>
            <w14:solidFill>
              <w14:schemeClr w14:val="tx1"/>
            </w14:solidFill>
          </w14:textFill>
        </w:rPr>
        <w:t>（详见第五章要求）</w:t>
      </w:r>
    </w:p>
    <w:p>
      <w:pPr>
        <w:spacing w:after="120" w:line="360" w:lineRule="auto"/>
        <w:ind w:firstLine="420" w:firstLineChars="175"/>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Times New Roman"/>
          <w:sz w:val="24"/>
          <w:szCs w:val="22"/>
          <w:lang w:val="en-US" w:eastAsia="zh-CN" w:bidi="ar-SA"/>
        </w:rPr>
        <w:t>本项目非专门面向中小企业；所属行业</w:t>
      </w:r>
      <w:r>
        <w:rPr>
          <w:rFonts w:hint="eastAsia" w:ascii="宋体" w:hAnsi="宋体" w:eastAsia="宋体" w:cs="Times New Roman"/>
          <w:color w:val="auto"/>
          <w:sz w:val="24"/>
          <w:szCs w:val="22"/>
          <w:lang w:val="en-US" w:eastAsia="zh-CN" w:bidi="ar-SA"/>
        </w:rPr>
        <w:t>：软件和信息技术服务业。</w:t>
      </w:r>
    </w:p>
    <w:p>
      <w:pPr>
        <w:pageBreakBefore w:val="0"/>
        <w:kinsoku/>
        <w:wordWrap/>
        <w:overflowPunct/>
        <w:topLinePunct w:val="0"/>
        <w:bidi w:val="0"/>
        <w:spacing w:after="120" w:line="360" w:lineRule="auto"/>
        <w:ind w:firstLine="422" w:firstLineChars="175"/>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四、供应商邀请方式</w:t>
      </w:r>
    </w:p>
    <w:p>
      <w:pPr>
        <w:pageBreakBefore w:val="0"/>
        <w:kinsoku/>
        <w:wordWrap/>
        <w:overflowPunct/>
        <w:topLinePunct w:val="0"/>
        <w:bidi w:val="0"/>
        <w:spacing w:after="120" w:line="360" w:lineRule="auto"/>
        <w:ind w:firstLine="480"/>
        <w:rPr>
          <w:rFonts w:hint="eastAsia" w:ascii="宋体" w:hAnsi="宋体" w:eastAsia="宋体" w:cs="宋体"/>
          <w:b/>
          <w:bCs/>
          <w:color w:val="000000" w:themeColor="text1"/>
          <w:sz w:val="24"/>
          <w:szCs w:val="24"/>
          <w:highlight w:val="none"/>
          <w14:textFill>
            <w14:solidFill>
              <w14:schemeClr w14:val="tx1"/>
            </w14:solidFill>
          </w14:textFill>
        </w:rPr>
      </w:pPr>
      <w:bookmarkStart w:id="3" w:name="PO_默认文件内容_3"/>
      <w:r>
        <w:rPr>
          <w:rFonts w:hint="eastAsia" w:ascii="宋体" w:hAnsi="宋体" w:eastAsia="宋体" w:cs="宋体"/>
          <w:bCs/>
          <w:color w:val="000000" w:themeColor="text1"/>
          <w:sz w:val="24"/>
          <w:szCs w:val="24"/>
          <w:highlight w:val="none"/>
          <w14:textFill>
            <w14:solidFill>
              <w14:schemeClr w14:val="tx1"/>
            </w14:solidFill>
          </w14:textFill>
        </w:rPr>
        <w:t>本次竞争性磋商邀请在四川政府采购网（www.ccgp-sichuan.gov.cn）上以公告形式发布；</w:t>
      </w:r>
      <w:bookmarkEnd w:id="3"/>
    </w:p>
    <w:p>
      <w:pPr>
        <w:pageBreakBefore w:val="0"/>
        <w:kinsoku/>
        <w:wordWrap/>
        <w:overflowPunct/>
        <w:topLinePunct w:val="0"/>
        <w:bidi w:val="0"/>
        <w:spacing w:after="120" w:line="360" w:lineRule="auto"/>
        <w:ind w:firstLine="482"/>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五、供应商参加本次政府采购活动应具备下列条件</w:t>
      </w:r>
    </w:p>
    <w:p>
      <w:pPr>
        <w:spacing w:beforeAutospacing="0" w:afterAutospacing="0" w:line="576"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1.具有独立承担民事责任的能力；</w:t>
      </w:r>
    </w:p>
    <w:p>
      <w:pPr>
        <w:spacing w:beforeAutospacing="0" w:afterAutospacing="0" w:line="576"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2.具有良好的商业信誉和健全的财务会计制度；</w:t>
      </w:r>
    </w:p>
    <w:p>
      <w:pPr>
        <w:spacing w:beforeAutospacing="0" w:afterAutospacing="0" w:line="576"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3.具有履行合同所必需的设备和专业技术能力；</w:t>
      </w:r>
    </w:p>
    <w:p>
      <w:pPr>
        <w:spacing w:beforeAutospacing="0" w:afterAutospacing="0" w:line="576"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4.有依法缴纳税收和社会保障资金的良好记录；</w:t>
      </w:r>
    </w:p>
    <w:p>
      <w:pPr>
        <w:spacing w:beforeAutospacing="0" w:afterAutospacing="0" w:line="576"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5.参加政府采购活动前三年内，在经营活动中没有重大违法记录；</w:t>
      </w:r>
    </w:p>
    <w:p>
      <w:pPr>
        <w:spacing w:beforeAutospacing="0" w:afterAutospacing="0" w:line="576"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6.法律、行政法规规定的其他条件；</w:t>
      </w:r>
    </w:p>
    <w:p>
      <w:pPr>
        <w:spacing w:beforeAutospacing="0" w:afterAutospacing="0" w:line="576"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7.本项目不接受联合体。</w:t>
      </w:r>
    </w:p>
    <w:p>
      <w:pPr>
        <w:spacing w:before="48" w:beforeLines="20" w:after="48" w:afterLines="20" w:line="576" w:lineRule="exact"/>
        <w:ind w:right="360" w:rightChars="150"/>
        <w:rPr>
          <w:rFonts w:ascii="宋体" w:hAnsi="宋体"/>
          <w:szCs w:val="21"/>
        </w:rPr>
      </w:pPr>
      <w:r>
        <w:rPr>
          <w:rFonts w:hint="eastAsia" w:ascii="宋体" w:hAnsi="宋体"/>
          <w:szCs w:val="21"/>
        </w:rPr>
        <w:t>8.</w:t>
      </w:r>
      <w:r>
        <w:rPr>
          <w:rFonts w:hint="eastAsia" w:ascii="宋体" w:hAnsi="宋体"/>
          <w:szCs w:val="21"/>
          <w:lang w:eastAsia="zh-CN"/>
        </w:rPr>
        <w:t>供应商</w:t>
      </w:r>
      <w:r>
        <w:rPr>
          <w:rFonts w:hint="eastAsia" w:ascii="宋体" w:hAnsi="宋体"/>
          <w:szCs w:val="21"/>
        </w:rPr>
        <w:t>单位及其现任法定代表人、主要负责人不得具有行贿犯罪记录。</w:t>
      </w:r>
    </w:p>
    <w:p>
      <w:pPr>
        <w:spacing w:before="48" w:beforeLines="20" w:after="48" w:afterLines="20" w:line="576" w:lineRule="exact"/>
        <w:ind w:right="360" w:rightChars="15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color w:val="auto"/>
          <w:szCs w:val="21"/>
        </w:rPr>
        <w:t>9.</w:t>
      </w:r>
      <w:r>
        <w:rPr>
          <w:rFonts w:hint="eastAsia" w:ascii="宋体" w:hAnsi="宋体"/>
          <w:szCs w:val="21"/>
        </w:rPr>
        <w:t>按照本项目</w:t>
      </w:r>
      <w:r>
        <w:rPr>
          <w:rFonts w:hint="eastAsia" w:ascii="宋体" w:hAnsi="宋体"/>
          <w:szCs w:val="21"/>
          <w:lang w:eastAsia="zh-CN"/>
        </w:rPr>
        <w:t>竞争性磋商文件</w:t>
      </w:r>
      <w:r>
        <w:rPr>
          <w:rFonts w:hint="eastAsia" w:ascii="宋体" w:hAnsi="宋体"/>
          <w:szCs w:val="21"/>
        </w:rPr>
        <w:t>要求购买了</w:t>
      </w:r>
      <w:r>
        <w:rPr>
          <w:rFonts w:hint="eastAsia" w:ascii="宋体" w:hAnsi="宋体"/>
          <w:szCs w:val="21"/>
          <w:lang w:eastAsia="zh-CN"/>
        </w:rPr>
        <w:t>竞争性磋商文件</w:t>
      </w:r>
      <w:r>
        <w:rPr>
          <w:rFonts w:hint="eastAsia" w:ascii="宋体" w:hAnsi="宋体"/>
          <w:szCs w:val="21"/>
        </w:rPr>
        <w:t>。</w:t>
      </w:r>
      <w:r>
        <w:rPr>
          <w:rFonts w:hint="eastAsia" w:ascii="宋体" w:hAnsi="宋体" w:eastAsia="宋体" w:cs="宋体"/>
          <w:color w:val="000000" w:themeColor="text1"/>
          <w:sz w:val="24"/>
          <w:szCs w:val="24"/>
          <w:highlight w:val="none"/>
          <w14:textFill>
            <w14:solidFill>
              <w14:schemeClr w14:val="tx1"/>
            </w14:solidFill>
          </w14:textFill>
        </w:rPr>
        <w:t xml:space="preserve">    </w:t>
      </w:r>
    </w:p>
    <w:p>
      <w:pPr>
        <w:pageBreakBefore w:val="0"/>
        <w:numPr>
          <w:ilvl w:val="0"/>
          <w:numId w:val="0"/>
        </w:numPr>
        <w:kinsoku/>
        <w:wordWrap/>
        <w:overflowPunct/>
        <w:topLinePunct w:val="0"/>
        <w:bidi w:val="0"/>
        <w:spacing w:line="360" w:lineRule="auto"/>
        <w:ind w:leftChars="200"/>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六、禁止参加本次采购活动的供应商</w:t>
      </w:r>
    </w:p>
    <w:p>
      <w:pPr>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bookmarkStart w:id="4" w:name="PO_默认文件内容_4"/>
      <w:r>
        <w:rPr>
          <w:rFonts w:hint="eastAsia" w:ascii="宋体" w:hAnsi="宋体" w:eastAsia="宋体" w:cs="宋体"/>
          <w:color w:val="000000" w:themeColor="text1"/>
          <w:sz w:val="24"/>
          <w:szCs w:val="24"/>
          <w:highlight w:val="none"/>
          <w14:textFill>
            <w14:solidFill>
              <w14:schemeClr w14:val="tx1"/>
            </w14:solidFill>
          </w14:textFill>
        </w:rPr>
        <w:t>1.</w:t>
      </w:r>
      <w:r>
        <w:rPr>
          <w:rFonts w:hint="eastAsia" w:ascii="宋体" w:hAnsi="宋体" w:cs="宋体"/>
          <w:color w:val="000000" w:themeColor="text1"/>
          <w:sz w:val="24"/>
          <w:szCs w:val="24"/>
          <w:highlight w:val="none"/>
          <w:lang w:eastAsia="zh-CN"/>
          <w14:textFill>
            <w14:solidFill>
              <w14:schemeClr w14:val="tx1"/>
            </w14:solidFill>
          </w14:textFill>
        </w:rPr>
        <w:t>参照《关于在政府采购活动中查询及使用信用记录有关问题的通知》</w:t>
      </w:r>
      <w:r>
        <w:rPr>
          <w:rFonts w:hint="eastAsia" w:ascii="宋体" w:hAnsi="宋体" w:eastAsia="宋体" w:cs="宋体"/>
          <w:color w:val="000000" w:themeColor="text1"/>
          <w:sz w:val="24"/>
          <w:szCs w:val="24"/>
          <w:highlight w:val="none"/>
          <w14:textFill>
            <w14:solidFill>
              <w14:schemeClr w14:val="tx1"/>
            </w14:solidFill>
          </w14:textFill>
        </w:rPr>
        <w:t>（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p>
      <w:pPr>
        <w:pageBreakBefore w:val="0"/>
        <w:kinsoku/>
        <w:wordWrap/>
        <w:overflowPunct/>
        <w:topLinePunct w:val="0"/>
        <w:bidi w:val="0"/>
        <w:spacing w:line="360" w:lineRule="auto"/>
        <w:ind w:firstLine="480"/>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为采购项目提供整体设计、规范编制或者项目管理、监理、检测等服务的供应商，不得参加本采购项目。供应商为采购人、采购代理机构在确定采购需求、编制磋商文件过程中提供咨询论证，其提供的咨询论证意见成为磋商文件中规定的供应商资格条件、技术服务商务要求、评审因素和标准、政府采购合同等实质性内容条款的，视同为采购项目提供规范编制。</w:t>
      </w:r>
      <w:bookmarkEnd w:id="4"/>
    </w:p>
    <w:p>
      <w:pPr>
        <w:pageBreakBefore w:val="0"/>
        <w:kinsoku/>
        <w:wordWrap/>
        <w:overflowPunct/>
        <w:topLinePunct w:val="0"/>
        <w:bidi w:val="0"/>
        <w:spacing w:line="360" w:lineRule="auto"/>
        <w:ind w:firstLine="482"/>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七、磋商文件获取方式、时间、地点：</w:t>
      </w:r>
    </w:p>
    <w:p>
      <w:pPr>
        <w:pageBreakBefore w:val="0"/>
        <w:kinsoku/>
        <w:wordWrap/>
        <w:overflowPunct/>
        <w:topLinePunct w:val="0"/>
        <w:bidi w:val="0"/>
        <w:spacing w:after="120"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磋商文件自</w:t>
      </w:r>
      <w:r>
        <w:rPr>
          <w:rFonts w:hint="eastAsia" w:ascii="宋体" w:hAnsi="宋体"/>
          <w:b/>
          <w:bCs/>
          <w:color w:val="000000" w:themeColor="text1"/>
          <w:sz w:val="24"/>
          <w:highlight w:val="yellow"/>
          <w14:textFill>
            <w14:solidFill>
              <w14:schemeClr w14:val="tx1"/>
            </w14:solidFill>
          </w14:textFill>
        </w:rPr>
        <w:t>202</w:t>
      </w:r>
      <w:r>
        <w:rPr>
          <w:rFonts w:hint="eastAsia" w:ascii="宋体" w:hAnsi="宋体"/>
          <w:b/>
          <w:bCs/>
          <w:color w:val="000000" w:themeColor="text1"/>
          <w:sz w:val="24"/>
          <w:highlight w:val="yellow"/>
          <w:lang w:val="en-US" w:eastAsia="zh-CN"/>
          <w14:textFill>
            <w14:solidFill>
              <w14:schemeClr w14:val="tx1"/>
            </w14:solidFill>
          </w14:textFill>
        </w:rPr>
        <w:t>1</w:t>
      </w:r>
      <w:r>
        <w:rPr>
          <w:rFonts w:hint="eastAsia" w:ascii="宋体" w:hAnsi="宋体"/>
          <w:b/>
          <w:bCs/>
          <w:color w:val="000000" w:themeColor="text1"/>
          <w:sz w:val="24"/>
          <w:highlight w:val="yellow"/>
          <w14:textFill>
            <w14:solidFill>
              <w14:schemeClr w14:val="tx1"/>
            </w14:solidFill>
          </w14:textFill>
        </w:rPr>
        <w:t>年</w:t>
      </w:r>
      <w:r>
        <w:rPr>
          <w:rFonts w:hint="eastAsia" w:ascii="宋体" w:hAnsi="宋体"/>
          <w:b/>
          <w:bCs/>
          <w:color w:val="000000" w:themeColor="text1"/>
          <w:sz w:val="24"/>
          <w:highlight w:val="yellow"/>
          <w:lang w:val="en-US" w:eastAsia="zh-CN"/>
          <w14:textFill>
            <w14:solidFill>
              <w14:schemeClr w14:val="tx1"/>
            </w14:solidFill>
          </w14:textFill>
        </w:rPr>
        <w:t xml:space="preserve"> 8  </w:t>
      </w:r>
      <w:r>
        <w:rPr>
          <w:rFonts w:hint="eastAsia" w:ascii="宋体" w:hAnsi="宋体"/>
          <w:b/>
          <w:bCs/>
          <w:color w:val="000000" w:themeColor="text1"/>
          <w:sz w:val="24"/>
          <w:highlight w:val="yellow"/>
          <w14:textFill>
            <w14:solidFill>
              <w14:schemeClr w14:val="tx1"/>
            </w14:solidFill>
          </w14:textFill>
        </w:rPr>
        <w:t>月</w:t>
      </w:r>
      <w:r>
        <w:rPr>
          <w:rFonts w:hint="eastAsia" w:ascii="宋体" w:hAnsi="宋体"/>
          <w:b/>
          <w:bCs/>
          <w:color w:val="000000" w:themeColor="text1"/>
          <w:sz w:val="24"/>
          <w:highlight w:val="yellow"/>
          <w:lang w:val="en-US" w:eastAsia="zh-CN"/>
          <w14:textFill>
            <w14:solidFill>
              <w14:schemeClr w14:val="tx1"/>
            </w14:solidFill>
          </w14:textFill>
        </w:rPr>
        <w:t xml:space="preserve">  23 </w:t>
      </w:r>
      <w:r>
        <w:rPr>
          <w:rFonts w:hint="eastAsia" w:ascii="宋体" w:hAnsi="宋体"/>
          <w:b/>
          <w:bCs/>
          <w:color w:val="000000" w:themeColor="text1"/>
          <w:sz w:val="24"/>
          <w:highlight w:val="yellow"/>
          <w14:textFill>
            <w14:solidFill>
              <w14:schemeClr w14:val="tx1"/>
            </w14:solidFill>
          </w14:textFill>
        </w:rPr>
        <w:t>日至202</w:t>
      </w:r>
      <w:r>
        <w:rPr>
          <w:rFonts w:hint="eastAsia" w:ascii="宋体" w:hAnsi="宋体"/>
          <w:b/>
          <w:bCs/>
          <w:color w:val="000000" w:themeColor="text1"/>
          <w:sz w:val="24"/>
          <w:highlight w:val="yellow"/>
          <w:lang w:val="en-US" w:eastAsia="zh-CN"/>
          <w14:textFill>
            <w14:solidFill>
              <w14:schemeClr w14:val="tx1"/>
            </w14:solidFill>
          </w14:textFill>
        </w:rPr>
        <w:t>1</w:t>
      </w:r>
      <w:r>
        <w:rPr>
          <w:rFonts w:hint="eastAsia" w:ascii="宋体" w:hAnsi="宋体"/>
          <w:b/>
          <w:bCs/>
          <w:color w:val="000000" w:themeColor="text1"/>
          <w:sz w:val="24"/>
          <w:highlight w:val="yellow"/>
          <w14:textFill>
            <w14:solidFill>
              <w14:schemeClr w14:val="tx1"/>
            </w14:solidFill>
          </w14:textFill>
        </w:rPr>
        <w:t>年</w:t>
      </w:r>
      <w:r>
        <w:rPr>
          <w:rFonts w:hint="eastAsia" w:ascii="宋体" w:hAnsi="宋体"/>
          <w:b/>
          <w:bCs/>
          <w:color w:val="000000" w:themeColor="text1"/>
          <w:sz w:val="24"/>
          <w:highlight w:val="yellow"/>
          <w:lang w:val="en-US" w:eastAsia="zh-CN"/>
          <w14:textFill>
            <w14:solidFill>
              <w14:schemeClr w14:val="tx1"/>
            </w14:solidFill>
          </w14:textFill>
        </w:rPr>
        <w:t xml:space="preserve"> 8 </w:t>
      </w:r>
      <w:r>
        <w:rPr>
          <w:rFonts w:hint="eastAsia" w:ascii="宋体" w:hAnsi="宋体"/>
          <w:b/>
          <w:bCs/>
          <w:color w:val="000000" w:themeColor="text1"/>
          <w:sz w:val="24"/>
          <w:highlight w:val="yellow"/>
          <w14:textFill>
            <w14:solidFill>
              <w14:schemeClr w14:val="tx1"/>
            </w14:solidFill>
          </w14:textFill>
        </w:rPr>
        <w:t>月</w:t>
      </w:r>
      <w:r>
        <w:rPr>
          <w:rFonts w:hint="eastAsia" w:ascii="宋体" w:hAnsi="宋体"/>
          <w:b/>
          <w:bCs/>
          <w:color w:val="000000" w:themeColor="text1"/>
          <w:sz w:val="24"/>
          <w:highlight w:val="yellow"/>
          <w:lang w:val="en-US" w:eastAsia="zh-CN"/>
          <w14:textFill>
            <w14:solidFill>
              <w14:schemeClr w14:val="tx1"/>
            </w14:solidFill>
          </w14:textFill>
        </w:rPr>
        <w:t xml:space="preserve">   27 </w:t>
      </w:r>
      <w:r>
        <w:rPr>
          <w:rFonts w:hint="eastAsia" w:ascii="宋体" w:hAnsi="宋体"/>
          <w:b/>
          <w:bCs/>
          <w:color w:val="000000" w:themeColor="text1"/>
          <w:sz w:val="24"/>
          <w:highlight w:val="yellow"/>
          <w14:textFill>
            <w14:solidFill>
              <w14:schemeClr w14:val="tx1"/>
            </w14:solidFill>
          </w14:textFill>
        </w:rPr>
        <w:t>日</w:t>
      </w:r>
      <w:r>
        <w:rPr>
          <w:rFonts w:hint="eastAsia" w:ascii="宋体" w:hAnsi="宋体" w:eastAsia="宋体" w:cs="宋体"/>
          <w:color w:val="000000" w:themeColor="text1"/>
          <w:sz w:val="24"/>
          <w:szCs w:val="24"/>
          <w:highlight w:val="none"/>
          <w14:textFill>
            <w14:solidFill>
              <w14:schemeClr w14:val="tx1"/>
            </w14:solidFill>
          </w14:textFill>
        </w:rPr>
        <w:t>09:</w:t>
      </w:r>
      <w:r>
        <w:rPr>
          <w:rFonts w:hint="eastAsia" w:ascii="宋体" w:hAnsi="宋体" w:cs="宋体"/>
          <w:color w:val="000000" w:themeColor="text1"/>
          <w:sz w:val="24"/>
          <w:szCs w:val="24"/>
          <w:highlight w:val="none"/>
          <w:lang w:val="en-US" w:eastAsia="zh-CN"/>
          <w14:textFill>
            <w14:solidFill>
              <w14:schemeClr w14:val="tx1"/>
            </w14:solidFill>
          </w14:textFill>
        </w:rPr>
        <w:t>0</w:t>
      </w:r>
      <w:r>
        <w:rPr>
          <w:rFonts w:hint="eastAsia" w:ascii="宋体" w:hAnsi="宋体" w:eastAsia="宋体" w:cs="宋体"/>
          <w:color w:val="000000" w:themeColor="text1"/>
          <w:sz w:val="24"/>
          <w:szCs w:val="24"/>
          <w:highlight w:val="none"/>
          <w14:textFill>
            <w14:solidFill>
              <w14:schemeClr w14:val="tx1"/>
            </w14:solidFill>
          </w14:textFill>
        </w:rPr>
        <w:t>0-1</w:t>
      </w:r>
      <w:r>
        <w:rPr>
          <w:rFonts w:hint="eastAsia" w:ascii="宋体" w:hAnsi="宋体" w:cs="宋体"/>
          <w:color w:val="000000" w:themeColor="text1"/>
          <w:sz w:val="24"/>
          <w:szCs w:val="24"/>
          <w:highlight w:val="none"/>
          <w:lang w:val="en-US" w:eastAsia="zh-CN"/>
          <w14:textFill>
            <w14:solidFill>
              <w14:schemeClr w14:val="tx1"/>
            </w14:solidFill>
          </w14:textFill>
        </w:rPr>
        <w:t>2</w:t>
      </w: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0</w:t>
      </w:r>
      <w:r>
        <w:rPr>
          <w:rFonts w:hint="eastAsia" w:ascii="宋体" w:hAnsi="宋体" w:eastAsia="宋体" w:cs="宋体"/>
          <w:color w:val="000000" w:themeColor="text1"/>
          <w:sz w:val="24"/>
          <w:szCs w:val="24"/>
          <w:highlight w:val="none"/>
          <w14:textFill>
            <w14:solidFill>
              <w14:schemeClr w14:val="tx1"/>
            </w14:solidFill>
          </w14:textFill>
        </w:rPr>
        <w:t>0,1</w:t>
      </w:r>
      <w:r>
        <w:rPr>
          <w:rFonts w:hint="eastAsia" w:ascii="宋体" w:hAnsi="宋体" w:cs="宋体"/>
          <w:color w:val="000000" w:themeColor="text1"/>
          <w:sz w:val="24"/>
          <w:szCs w:val="24"/>
          <w:highlight w:val="none"/>
          <w:lang w:val="en-US" w:eastAsia="zh-CN"/>
          <w14:textFill>
            <w14:solidFill>
              <w14:schemeClr w14:val="tx1"/>
            </w14:solidFill>
          </w14:textFill>
        </w:rPr>
        <w:t>2</w:t>
      </w:r>
      <w:r>
        <w:rPr>
          <w:rFonts w:hint="eastAsia" w:ascii="宋体" w:hAnsi="宋体" w:eastAsia="宋体" w:cs="宋体"/>
          <w:color w:val="000000" w:themeColor="text1"/>
          <w:sz w:val="24"/>
          <w:szCs w:val="24"/>
          <w:highlight w:val="none"/>
          <w14:textFill>
            <w14:solidFill>
              <w14:schemeClr w14:val="tx1"/>
            </w14:solidFill>
          </w14:textFill>
        </w:rPr>
        <w:t>:00-1</w:t>
      </w:r>
      <w:r>
        <w:rPr>
          <w:rFonts w:hint="eastAsia" w:ascii="宋体" w:hAnsi="宋体" w:cs="宋体"/>
          <w:color w:val="000000" w:themeColor="text1"/>
          <w:sz w:val="24"/>
          <w:szCs w:val="24"/>
          <w:highlight w:val="none"/>
          <w:lang w:val="en-US" w:eastAsia="zh-CN"/>
          <w14:textFill>
            <w14:solidFill>
              <w14:schemeClr w14:val="tx1"/>
            </w14:solidFill>
          </w14:textFill>
        </w:rPr>
        <w:t>7</w:t>
      </w: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0</w:t>
      </w:r>
      <w:r>
        <w:rPr>
          <w:rFonts w:hint="eastAsia" w:ascii="宋体" w:hAnsi="宋体" w:eastAsia="宋体" w:cs="宋体"/>
          <w:color w:val="000000" w:themeColor="text1"/>
          <w:sz w:val="24"/>
          <w:szCs w:val="24"/>
          <w:highlight w:val="none"/>
          <w14:textFill>
            <w14:solidFill>
              <w14:schemeClr w14:val="tx1"/>
            </w14:solidFill>
          </w14:textFill>
        </w:rPr>
        <w:t>0（北京时间，法定节假日除外）</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竞争性磋商文件售价：人民币</w:t>
      </w:r>
      <w:r>
        <w:rPr>
          <w:rFonts w:hint="eastAsia" w:ascii="宋体" w:hAnsi="宋体" w:cs="宋体"/>
          <w:color w:val="000000" w:themeColor="text1"/>
          <w:sz w:val="24"/>
          <w:szCs w:val="24"/>
          <w:highlight w:val="none"/>
          <w:lang w:val="en-US" w:eastAsia="zh-CN"/>
          <w14:textFill>
            <w14:solidFill>
              <w14:schemeClr w14:val="tx1"/>
            </w14:solidFill>
          </w14:textFill>
        </w:rPr>
        <w:t>0</w:t>
      </w:r>
      <w:r>
        <w:rPr>
          <w:rFonts w:hint="eastAsia" w:ascii="宋体" w:hAnsi="宋体" w:eastAsia="宋体" w:cs="宋体"/>
          <w:color w:val="000000" w:themeColor="text1"/>
          <w:sz w:val="24"/>
          <w:szCs w:val="24"/>
          <w:highlight w:val="none"/>
          <w14:textFill>
            <w14:solidFill>
              <w14:schemeClr w14:val="tx1"/>
            </w14:solidFill>
          </w14:textFill>
        </w:rPr>
        <w:t>.00元/份（竞争性磋商文件售后不退, 投标资格不能转让）。</w:t>
      </w:r>
    </w:p>
    <w:p>
      <w:pPr>
        <w:spacing w:line="360" w:lineRule="auto"/>
        <w:ind w:firstLine="480" w:firstLineChars="200"/>
        <w:rPr>
          <w:rFonts w:hint="eastAsia" w:ascii="宋体" w:hAnsi="宋体"/>
          <w:sz w:val="24"/>
        </w:rPr>
      </w:pPr>
      <w:r>
        <w:rPr>
          <w:rFonts w:hint="eastAsia" w:ascii="宋体" w:hAnsi="宋体"/>
          <w:sz w:val="24"/>
        </w:rPr>
        <w:t>1.现场购买：</w:t>
      </w:r>
      <w:r>
        <w:rPr>
          <w:rFonts w:ascii="宋体" w:hAnsi="宋体" w:cs="宋体"/>
          <w:sz w:val="24"/>
        </w:rPr>
        <w:t>在四川省成都市高新区盛和一路88号1栋1单元7层701-1号（地址）购买。获取招标文件时，经办人员当场提交以下资料：单位介绍信原件（内容至少包含项目名称、项目编号）、经办人身份证正反面复印件加盖报名单位鲜章（须查验身份证原件）</w:t>
      </w:r>
    </w:p>
    <w:p>
      <w:pPr>
        <w:spacing w:line="360" w:lineRule="auto"/>
        <w:ind w:firstLine="480" w:firstLineChars="200"/>
        <w:rPr>
          <w:rFonts w:hint="eastAsia" w:ascii="宋体" w:hAnsi="宋体"/>
          <w:color w:val="000000" w:themeColor="text1"/>
          <w:sz w:val="24"/>
          <w:szCs w:val="28"/>
          <w:highlight w:val="none"/>
          <w:lang w:val="en-US" w:eastAsia="zh-CN"/>
          <w14:textFill>
            <w14:solidFill>
              <w14:schemeClr w14:val="tx1"/>
            </w14:solidFill>
          </w14:textFill>
        </w:rPr>
      </w:pPr>
      <w:r>
        <w:rPr>
          <w:rFonts w:hint="eastAsia" w:ascii="宋体" w:hAnsi="宋体"/>
          <w:color w:val="000000" w:themeColor="text1"/>
          <w:sz w:val="24"/>
          <w:szCs w:val="28"/>
          <w:highlight w:val="none"/>
          <w:lang w:val="en-US" w:eastAsia="zh-CN"/>
          <w14:textFill>
            <w14:solidFill>
              <w14:schemeClr w14:val="tx1"/>
            </w14:solidFill>
          </w14:textFill>
        </w:rPr>
        <w:t>2.网上购买：</w:t>
      </w:r>
    </w:p>
    <w:p>
      <w:pPr>
        <w:pageBreakBefore w:val="0"/>
        <w:kinsoku/>
        <w:wordWrap/>
        <w:overflowPunct/>
        <w:topLinePunct w:val="0"/>
        <w:bidi w:val="0"/>
        <w:spacing w:after="120" w:line="360" w:lineRule="auto"/>
        <w:ind w:firstLine="480"/>
        <w:rPr>
          <w:rFonts w:hint="eastAsia" w:ascii="宋体" w:hAnsi="宋体"/>
          <w:color w:val="000000" w:themeColor="text1"/>
          <w:sz w:val="24"/>
          <w:szCs w:val="28"/>
          <w:highlight w:val="none"/>
          <w:lang w:val="en-US" w:eastAsia="zh-CN"/>
          <w14:textFill>
            <w14:solidFill>
              <w14:schemeClr w14:val="tx1"/>
            </w14:solidFill>
          </w14:textFill>
        </w:rPr>
      </w:pPr>
      <w:r>
        <w:rPr>
          <w:rFonts w:hint="eastAsia" w:ascii="宋体" w:hAnsi="宋体"/>
          <w:color w:val="000000" w:themeColor="text1"/>
          <w:sz w:val="24"/>
          <w:szCs w:val="28"/>
          <w:highlight w:val="none"/>
          <w:lang w:val="en-US" w:eastAsia="zh-CN"/>
          <w14:textFill>
            <w14:solidFill>
              <w14:schemeClr w14:val="tx1"/>
            </w14:solidFill>
          </w14:textFill>
        </w:rPr>
        <w:t>供应商网上报名须知：(1)供应商网上办理报名时，请先自行下载附件中的《报名登记表》，并按相关要求填写信息(单位名称、经办人姓名、联系电话、电子邮箱等)。(2)将已填写的《报名登记表》、《介绍信或授权书》(附经办人身份证复印件)加盖供应商单位公章后分页扫描成PDF格式发送至电子邮箱：doc@syba.net.cn，并备注公司全称及报名项目全称，报名成功后，采购代理机构将采购文件电子版发送至供应商报名登记表载明的电子邮箱。（3）报名咨询电话：028-87654015。（注：若当天报名未收到采购代理机构发售采购文件，请致电咨询，请不要重复提交报名表。）</w:t>
      </w:r>
    </w:p>
    <w:p>
      <w:pPr>
        <w:pageBreakBefore w:val="0"/>
        <w:kinsoku/>
        <w:wordWrap/>
        <w:overflowPunct/>
        <w:topLinePunct w:val="0"/>
        <w:bidi w:val="0"/>
        <w:spacing w:after="120" w:line="360" w:lineRule="auto"/>
        <w:ind w:firstLine="480"/>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八、递交响应文件截止时间：</w:t>
      </w:r>
      <w:r>
        <w:rPr>
          <w:rFonts w:hint="eastAsia" w:ascii="宋体" w:hAnsi="宋体"/>
          <w:b/>
          <w:bCs/>
          <w:color w:val="000000" w:themeColor="text1"/>
          <w:sz w:val="24"/>
          <w:highlight w:val="yellow"/>
          <w14:textFill>
            <w14:solidFill>
              <w14:schemeClr w14:val="tx1"/>
            </w14:solidFill>
          </w14:textFill>
        </w:rPr>
        <w:t>202</w:t>
      </w:r>
      <w:r>
        <w:rPr>
          <w:rFonts w:hint="eastAsia" w:ascii="宋体" w:hAnsi="宋体"/>
          <w:b/>
          <w:bCs/>
          <w:color w:val="000000" w:themeColor="text1"/>
          <w:sz w:val="24"/>
          <w:highlight w:val="yellow"/>
          <w:lang w:val="en-US" w:eastAsia="zh-CN"/>
          <w14:textFill>
            <w14:solidFill>
              <w14:schemeClr w14:val="tx1"/>
            </w14:solidFill>
          </w14:textFill>
        </w:rPr>
        <w:t>1</w:t>
      </w:r>
      <w:r>
        <w:rPr>
          <w:rFonts w:hint="eastAsia" w:ascii="宋体" w:hAnsi="宋体"/>
          <w:b/>
          <w:bCs/>
          <w:color w:val="000000" w:themeColor="text1"/>
          <w:sz w:val="24"/>
          <w:highlight w:val="yellow"/>
          <w14:textFill>
            <w14:solidFill>
              <w14:schemeClr w14:val="tx1"/>
            </w14:solidFill>
          </w14:textFill>
        </w:rPr>
        <w:t>年</w:t>
      </w:r>
      <w:r>
        <w:rPr>
          <w:rFonts w:hint="eastAsia" w:ascii="宋体" w:hAnsi="宋体"/>
          <w:b/>
          <w:bCs/>
          <w:color w:val="000000" w:themeColor="text1"/>
          <w:sz w:val="24"/>
          <w:highlight w:val="yellow"/>
          <w:lang w:val="en-US" w:eastAsia="zh-CN"/>
          <w14:textFill>
            <w14:solidFill>
              <w14:schemeClr w14:val="tx1"/>
            </w14:solidFill>
          </w14:textFill>
        </w:rPr>
        <w:t xml:space="preserve">  9 </w:t>
      </w:r>
      <w:r>
        <w:rPr>
          <w:rFonts w:hint="eastAsia" w:ascii="宋体" w:hAnsi="宋体"/>
          <w:b/>
          <w:bCs/>
          <w:color w:val="000000" w:themeColor="text1"/>
          <w:sz w:val="24"/>
          <w:highlight w:val="yellow"/>
          <w14:textFill>
            <w14:solidFill>
              <w14:schemeClr w14:val="tx1"/>
            </w14:solidFill>
          </w14:textFill>
        </w:rPr>
        <w:t>月</w:t>
      </w:r>
      <w:r>
        <w:rPr>
          <w:rFonts w:hint="eastAsia" w:ascii="宋体" w:hAnsi="宋体"/>
          <w:b/>
          <w:bCs/>
          <w:color w:val="000000" w:themeColor="text1"/>
          <w:sz w:val="24"/>
          <w:highlight w:val="yellow"/>
          <w:lang w:val="en-US" w:eastAsia="zh-CN"/>
          <w14:textFill>
            <w14:solidFill>
              <w14:schemeClr w14:val="tx1"/>
            </w14:solidFill>
          </w14:textFill>
        </w:rPr>
        <w:t xml:space="preserve"> 2 </w:t>
      </w:r>
      <w:r>
        <w:rPr>
          <w:rFonts w:hint="eastAsia" w:ascii="宋体" w:hAnsi="宋体"/>
          <w:b/>
          <w:bCs/>
          <w:color w:val="000000" w:themeColor="text1"/>
          <w:sz w:val="24"/>
          <w:highlight w:val="yellow"/>
          <w14:textFill>
            <w14:solidFill>
              <w14:schemeClr w14:val="tx1"/>
            </w14:solidFill>
          </w14:textFill>
        </w:rPr>
        <w:t xml:space="preserve">日 </w:t>
      </w:r>
      <w:r>
        <w:rPr>
          <w:rFonts w:hint="eastAsia" w:ascii="宋体" w:hAnsi="宋体"/>
          <w:b/>
          <w:bCs/>
          <w:color w:val="000000" w:themeColor="text1"/>
          <w:sz w:val="24"/>
          <w:highlight w:val="yellow"/>
          <w:lang w:val="en-US" w:eastAsia="zh-CN"/>
          <w14:textFill>
            <w14:solidFill>
              <w14:schemeClr w14:val="tx1"/>
            </w14:solidFill>
          </w14:textFill>
        </w:rPr>
        <w:t>10</w:t>
      </w:r>
      <w:r>
        <w:rPr>
          <w:rFonts w:hint="eastAsia" w:ascii="宋体" w:hAnsi="宋体"/>
          <w:b/>
          <w:bCs/>
          <w:color w:val="000000" w:themeColor="text1"/>
          <w:sz w:val="24"/>
          <w:highlight w:val="yellow"/>
          <w14:textFill>
            <w14:solidFill>
              <w14:schemeClr w14:val="tx1"/>
            </w14:solidFill>
          </w14:textFill>
        </w:rPr>
        <w:t>：</w:t>
      </w:r>
      <w:r>
        <w:rPr>
          <w:rFonts w:hint="eastAsia" w:ascii="宋体" w:hAnsi="宋体"/>
          <w:b/>
          <w:bCs/>
          <w:color w:val="000000" w:themeColor="text1"/>
          <w:sz w:val="24"/>
          <w:highlight w:val="yellow"/>
          <w:lang w:val="en-US" w:eastAsia="zh-CN"/>
          <w14:textFill>
            <w14:solidFill>
              <w14:schemeClr w14:val="tx1"/>
            </w14:solidFill>
          </w14:textFill>
        </w:rPr>
        <w:t>0</w:t>
      </w:r>
      <w:r>
        <w:rPr>
          <w:rFonts w:hint="eastAsia" w:ascii="宋体" w:hAnsi="宋体"/>
          <w:b/>
          <w:bCs/>
          <w:color w:val="000000" w:themeColor="text1"/>
          <w:sz w:val="24"/>
          <w:highlight w:val="yellow"/>
          <w14:textFill>
            <w14:solidFill>
              <w14:schemeClr w14:val="tx1"/>
            </w14:solidFill>
          </w14:textFill>
        </w:rPr>
        <w:t>0</w:t>
      </w:r>
      <w:r>
        <w:rPr>
          <w:rFonts w:hint="eastAsia" w:ascii="宋体" w:hAnsi="宋体" w:eastAsia="宋体" w:cs="宋体"/>
          <w:color w:val="000000" w:themeColor="text1"/>
          <w:sz w:val="24"/>
          <w:szCs w:val="24"/>
          <w:highlight w:val="yellow"/>
          <w14:textFill>
            <w14:solidFill>
              <w14:schemeClr w14:val="tx1"/>
            </w14:solidFill>
          </w14:textFill>
        </w:rPr>
        <w:t>（北京时间）。</w:t>
      </w:r>
      <w:r>
        <w:rPr>
          <w:rFonts w:hint="eastAsia" w:ascii="宋体" w:hAnsi="宋体" w:eastAsia="宋体" w:cs="宋体"/>
          <w:color w:val="000000" w:themeColor="text1"/>
          <w:sz w:val="24"/>
          <w:szCs w:val="24"/>
          <w:highlight w:val="none"/>
          <w14:textFill>
            <w14:solidFill>
              <w14:schemeClr w14:val="tx1"/>
            </w14:solidFill>
          </w14:textFill>
        </w:rPr>
        <w:t xml:space="preserve"> </w:t>
      </w:r>
    </w:p>
    <w:p>
      <w:pPr>
        <w:pageBreakBefore w:val="0"/>
        <w:kinsoku/>
        <w:wordWrap/>
        <w:overflowPunct/>
        <w:topLinePunct w:val="0"/>
        <w:bidi w:val="0"/>
        <w:spacing w:after="120" w:line="360" w:lineRule="auto"/>
        <w:ind w:firstLine="482"/>
        <w:rPr>
          <w:rFonts w:hint="eastAsia" w:ascii="宋体" w:hAnsi="宋体" w:eastAsia="宋体" w:cs="宋体"/>
          <w:b/>
          <w:color w:val="000000" w:themeColor="text1"/>
          <w:sz w:val="24"/>
          <w:szCs w:val="24"/>
          <w:highlight w:val="yellow"/>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九、递交响应文件地点：</w:t>
      </w:r>
      <w:bookmarkStart w:id="5" w:name="PO_默认文件内容_7"/>
      <w:r>
        <w:rPr>
          <w:rFonts w:hint="eastAsia" w:ascii="宋体" w:hAnsi="宋体" w:eastAsia="宋体" w:cs="宋体"/>
          <w:color w:val="000000" w:themeColor="text1"/>
          <w:sz w:val="24"/>
          <w:szCs w:val="24"/>
          <w:highlight w:val="none"/>
          <w14:textFill>
            <w14:solidFill>
              <w14:schemeClr w14:val="tx1"/>
            </w14:solidFill>
          </w14:textFill>
        </w:rPr>
        <w:t>响应文件必须在递交响应文件截止时间前送达磋商地点。逾期送达或没有密封的响应文件恕不接收。本次采购不接收邮寄的响应文件。</w:t>
      </w:r>
      <w:bookmarkEnd w:id="5"/>
      <w:r>
        <w:rPr>
          <w:rFonts w:hint="eastAsia" w:ascii="宋体" w:hAnsi="宋体" w:eastAsia="宋体" w:cs="宋体"/>
          <w:b/>
          <w:bCs/>
          <w:color w:val="000000" w:themeColor="text1"/>
          <w:sz w:val="24"/>
          <w:szCs w:val="24"/>
          <w:highlight w:val="yellow"/>
          <w14:textFill>
            <w14:solidFill>
              <w14:schemeClr w14:val="tx1"/>
            </w14:solidFill>
          </w14:textFill>
        </w:rPr>
        <w:t>（文件接收时间：</w:t>
      </w:r>
      <w:r>
        <w:rPr>
          <w:rFonts w:hint="eastAsia" w:ascii="宋体" w:hAnsi="宋体" w:eastAsia="宋体" w:cs="宋体"/>
          <w:color w:val="000000" w:themeColor="text1"/>
          <w:sz w:val="24"/>
          <w:szCs w:val="24"/>
          <w:highlight w:val="yellow"/>
          <w:lang w:eastAsia="zh-CN"/>
          <w14:textFill>
            <w14:solidFill>
              <w14:schemeClr w14:val="tx1"/>
            </w14:solidFill>
          </w14:textFill>
        </w:rPr>
        <w:t>202</w:t>
      </w:r>
      <w:r>
        <w:rPr>
          <w:rFonts w:hint="eastAsia" w:ascii="宋体" w:hAnsi="宋体" w:cs="宋体"/>
          <w:color w:val="000000" w:themeColor="text1"/>
          <w:sz w:val="24"/>
          <w:szCs w:val="24"/>
          <w:highlight w:val="yellow"/>
          <w:lang w:val="en-US" w:eastAsia="zh-CN"/>
          <w14:textFill>
            <w14:solidFill>
              <w14:schemeClr w14:val="tx1"/>
            </w14:solidFill>
          </w14:textFill>
        </w:rPr>
        <w:t>1</w:t>
      </w:r>
      <w:r>
        <w:rPr>
          <w:rFonts w:hint="eastAsia" w:ascii="宋体" w:hAnsi="宋体" w:eastAsia="宋体" w:cs="宋体"/>
          <w:color w:val="000000" w:themeColor="text1"/>
          <w:sz w:val="24"/>
          <w:szCs w:val="24"/>
          <w:highlight w:val="yellow"/>
          <w:lang w:eastAsia="zh-CN"/>
          <w14:textFill>
            <w14:solidFill>
              <w14:schemeClr w14:val="tx1"/>
            </w14:solidFill>
          </w14:textFill>
        </w:rPr>
        <w:t>年</w:t>
      </w:r>
      <w:r>
        <w:rPr>
          <w:rFonts w:hint="eastAsia" w:ascii="宋体" w:hAnsi="宋体" w:cs="宋体"/>
          <w:color w:val="000000" w:themeColor="text1"/>
          <w:sz w:val="24"/>
          <w:szCs w:val="24"/>
          <w:highlight w:val="yellow"/>
          <w:lang w:val="en-US" w:eastAsia="zh-CN"/>
          <w14:textFill>
            <w14:solidFill>
              <w14:schemeClr w14:val="tx1"/>
            </w14:solidFill>
          </w14:textFill>
        </w:rPr>
        <w:t xml:space="preserve"> 9</w:t>
      </w:r>
      <w:r>
        <w:rPr>
          <w:rFonts w:hint="eastAsia" w:ascii="宋体" w:hAnsi="宋体" w:eastAsia="宋体" w:cs="宋体"/>
          <w:color w:val="000000" w:themeColor="text1"/>
          <w:sz w:val="24"/>
          <w:szCs w:val="24"/>
          <w:highlight w:val="yellow"/>
          <w:lang w:eastAsia="zh-CN"/>
          <w14:textFill>
            <w14:solidFill>
              <w14:schemeClr w14:val="tx1"/>
            </w14:solidFill>
          </w14:textFill>
        </w:rPr>
        <w:t>月</w:t>
      </w:r>
      <w:r>
        <w:rPr>
          <w:rFonts w:hint="eastAsia" w:ascii="宋体" w:hAnsi="宋体" w:cs="宋体"/>
          <w:color w:val="000000" w:themeColor="text1"/>
          <w:sz w:val="24"/>
          <w:szCs w:val="24"/>
          <w:highlight w:val="yellow"/>
          <w:lang w:val="en-US" w:eastAsia="zh-CN"/>
          <w14:textFill>
            <w14:solidFill>
              <w14:schemeClr w14:val="tx1"/>
            </w14:solidFill>
          </w14:textFill>
        </w:rPr>
        <w:t xml:space="preserve">2 </w:t>
      </w:r>
      <w:r>
        <w:rPr>
          <w:rFonts w:hint="eastAsia" w:ascii="宋体" w:hAnsi="宋体" w:eastAsia="宋体" w:cs="宋体"/>
          <w:color w:val="000000" w:themeColor="text1"/>
          <w:sz w:val="24"/>
          <w:szCs w:val="24"/>
          <w:highlight w:val="yellow"/>
          <w14:textFill>
            <w14:solidFill>
              <w14:schemeClr w14:val="tx1"/>
            </w14:solidFill>
          </w14:textFill>
        </w:rPr>
        <w:t>日</w:t>
      </w:r>
      <w:r>
        <w:rPr>
          <w:rFonts w:hint="eastAsia" w:ascii="宋体" w:hAnsi="宋体" w:cs="宋体"/>
          <w:color w:val="000000" w:themeColor="text1"/>
          <w:sz w:val="24"/>
          <w:szCs w:val="24"/>
          <w:highlight w:val="yellow"/>
          <w:lang w:val="en-US" w:eastAsia="zh-CN"/>
          <w14:textFill>
            <w14:solidFill>
              <w14:schemeClr w14:val="tx1"/>
            </w14:solidFill>
          </w14:textFill>
        </w:rPr>
        <w:t>9</w:t>
      </w:r>
      <w:r>
        <w:rPr>
          <w:rFonts w:hint="eastAsia" w:ascii="宋体" w:hAnsi="宋体" w:eastAsia="宋体" w:cs="宋体"/>
          <w:color w:val="000000" w:themeColor="text1"/>
          <w:sz w:val="24"/>
          <w:szCs w:val="24"/>
          <w:highlight w:val="yellow"/>
          <w14:textFill>
            <w14:solidFill>
              <w14:schemeClr w14:val="tx1"/>
            </w14:solidFill>
          </w14:textFill>
        </w:rPr>
        <w:t>:</w:t>
      </w:r>
      <w:r>
        <w:rPr>
          <w:rFonts w:hint="eastAsia" w:ascii="宋体" w:hAnsi="宋体" w:cs="宋体"/>
          <w:color w:val="000000" w:themeColor="text1"/>
          <w:sz w:val="24"/>
          <w:szCs w:val="24"/>
          <w:highlight w:val="yellow"/>
          <w:lang w:val="en-US" w:eastAsia="zh-CN"/>
          <w14:textFill>
            <w14:solidFill>
              <w14:schemeClr w14:val="tx1"/>
            </w14:solidFill>
          </w14:textFill>
        </w:rPr>
        <w:t>3</w:t>
      </w:r>
      <w:r>
        <w:rPr>
          <w:rFonts w:hint="eastAsia" w:ascii="宋体" w:hAnsi="宋体" w:eastAsia="宋体" w:cs="宋体"/>
          <w:color w:val="000000" w:themeColor="text1"/>
          <w:sz w:val="24"/>
          <w:szCs w:val="24"/>
          <w:highlight w:val="yellow"/>
          <w14:textFill>
            <w14:solidFill>
              <w14:schemeClr w14:val="tx1"/>
            </w14:solidFill>
          </w14:textFill>
        </w:rPr>
        <w:t>0-202</w:t>
      </w:r>
      <w:r>
        <w:rPr>
          <w:rFonts w:hint="eastAsia" w:ascii="宋体" w:hAnsi="宋体" w:cs="宋体"/>
          <w:color w:val="000000" w:themeColor="text1"/>
          <w:sz w:val="24"/>
          <w:szCs w:val="24"/>
          <w:highlight w:val="yellow"/>
          <w:lang w:val="en-US" w:eastAsia="zh-CN"/>
          <w14:textFill>
            <w14:solidFill>
              <w14:schemeClr w14:val="tx1"/>
            </w14:solidFill>
          </w14:textFill>
        </w:rPr>
        <w:t>1</w:t>
      </w:r>
      <w:r>
        <w:rPr>
          <w:rFonts w:hint="eastAsia" w:ascii="宋体" w:hAnsi="宋体" w:eastAsia="宋体" w:cs="宋体"/>
          <w:color w:val="000000" w:themeColor="text1"/>
          <w:sz w:val="24"/>
          <w:szCs w:val="24"/>
          <w:highlight w:val="yellow"/>
          <w14:textFill>
            <w14:solidFill>
              <w14:schemeClr w14:val="tx1"/>
            </w14:solidFill>
          </w14:textFill>
        </w:rPr>
        <w:t>年</w:t>
      </w:r>
      <w:r>
        <w:rPr>
          <w:rFonts w:hint="eastAsia" w:ascii="宋体" w:hAnsi="宋体" w:cs="宋体"/>
          <w:color w:val="000000" w:themeColor="text1"/>
          <w:sz w:val="24"/>
          <w:szCs w:val="24"/>
          <w:highlight w:val="yellow"/>
          <w:lang w:val="en-US" w:eastAsia="zh-CN"/>
          <w14:textFill>
            <w14:solidFill>
              <w14:schemeClr w14:val="tx1"/>
            </w14:solidFill>
          </w14:textFill>
        </w:rPr>
        <w:t>9</w:t>
      </w:r>
      <w:r>
        <w:rPr>
          <w:rFonts w:hint="eastAsia" w:ascii="宋体" w:hAnsi="宋体" w:eastAsia="宋体" w:cs="宋体"/>
          <w:color w:val="000000" w:themeColor="text1"/>
          <w:sz w:val="24"/>
          <w:szCs w:val="24"/>
          <w:highlight w:val="yellow"/>
          <w:lang w:eastAsia="zh-CN"/>
          <w14:textFill>
            <w14:solidFill>
              <w14:schemeClr w14:val="tx1"/>
            </w14:solidFill>
          </w14:textFill>
        </w:rPr>
        <w:t>月</w:t>
      </w:r>
      <w:r>
        <w:rPr>
          <w:rFonts w:hint="eastAsia" w:ascii="宋体" w:hAnsi="宋体" w:cs="宋体"/>
          <w:color w:val="000000" w:themeColor="text1"/>
          <w:sz w:val="24"/>
          <w:szCs w:val="24"/>
          <w:highlight w:val="yellow"/>
          <w:lang w:val="en-US" w:eastAsia="zh-CN"/>
          <w14:textFill>
            <w14:solidFill>
              <w14:schemeClr w14:val="tx1"/>
            </w14:solidFill>
          </w14:textFill>
        </w:rPr>
        <w:t>2</w:t>
      </w:r>
      <w:r>
        <w:rPr>
          <w:rFonts w:hint="eastAsia" w:ascii="宋体" w:hAnsi="宋体" w:eastAsia="宋体" w:cs="宋体"/>
          <w:color w:val="000000" w:themeColor="text1"/>
          <w:sz w:val="24"/>
          <w:szCs w:val="24"/>
          <w:highlight w:val="yellow"/>
          <w14:textFill>
            <w14:solidFill>
              <w14:schemeClr w14:val="tx1"/>
            </w14:solidFill>
          </w14:textFill>
        </w:rPr>
        <w:t>日1</w:t>
      </w:r>
      <w:r>
        <w:rPr>
          <w:rFonts w:hint="eastAsia" w:ascii="宋体" w:hAnsi="宋体" w:cs="宋体"/>
          <w:color w:val="000000" w:themeColor="text1"/>
          <w:sz w:val="24"/>
          <w:szCs w:val="24"/>
          <w:highlight w:val="yellow"/>
          <w:lang w:val="en-US" w:eastAsia="zh-CN"/>
          <w14:textFill>
            <w14:solidFill>
              <w14:schemeClr w14:val="tx1"/>
            </w14:solidFill>
          </w14:textFill>
        </w:rPr>
        <w:t>0</w:t>
      </w:r>
      <w:r>
        <w:rPr>
          <w:rFonts w:hint="eastAsia" w:ascii="宋体" w:hAnsi="宋体" w:eastAsia="宋体" w:cs="宋体"/>
          <w:color w:val="000000" w:themeColor="text1"/>
          <w:sz w:val="24"/>
          <w:szCs w:val="24"/>
          <w:highlight w:val="yellow"/>
          <w14:textFill>
            <w14:solidFill>
              <w14:schemeClr w14:val="tx1"/>
            </w14:solidFill>
          </w14:textFill>
        </w:rPr>
        <w:t>：</w:t>
      </w:r>
      <w:r>
        <w:rPr>
          <w:rFonts w:hint="eastAsia" w:ascii="宋体" w:hAnsi="宋体" w:cs="宋体"/>
          <w:color w:val="000000" w:themeColor="text1"/>
          <w:sz w:val="24"/>
          <w:szCs w:val="24"/>
          <w:highlight w:val="yellow"/>
          <w:lang w:val="en-US" w:eastAsia="zh-CN"/>
          <w14:textFill>
            <w14:solidFill>
              <w14:schemeClr w14:val="tx1"/>
            </w14:solidFill>
          </w14:textFill>
        </w:rPr>
        <w:t>0</w:t>
      </w:r>
      <w:r>
        <w:rPr>
          <w:rFonts w:hint="eastAsia" w:ascii="宋体" w:hAnsi="宋体" w:eastAsia="宋体" w:cs="宋体"/>
          <w:color w:val="000000" w:themeColor="text1"/>
          <w:sz w:val="24"/>
          <w:szCs w:val="24"/>
          <w:highlight w:val="yellow"/>
          <w14:textFill>
            <w14:solidFill>
              <w14:schemeClr w14:val="tx1"/>
            </w14:solidFill>
          </w14:textFill>
        </w:rPr>
        <w:t>0</w:t>
      </w:r>
      <w:r>
        <w:rPr>
          <w:rFonts w:hint="eastAsia" w:ascii="宋体" w:hAnsi="宋体" w:eastAsia="宋体" w:cs="宋体"/>
          <w:b/>
          <w:bCs/>
          <w:color w:val="000000" w:themeColor="text1"/>
          <w:sz w:val="24"/>
          <w:szCs w:val="24"/>
          <w:highlight w:val="yellow"/>
          <w14:textFill>
            <w14:solidFill>
              <w14:schemeClr w14:val="tx1"/>
            </w14:solidFill>
          </w14:textFill>
        </w:rPr>
        <w:t>）</w:t>
      </w:r>
    </w:p>
    <w:p>
      <w:pPr>
        <w:pageBreakBefore w:val="0"/>
        <w:kinsoku/>
        <w:wordWrap/>
        <w:overflowPunct/>
        <w:topLinePunct w:val="0"/>
        <w:bidi w:val="0"/>
        <w:spacing w:after="120" w:line="360" w:lineRule="auto"/>
        <w:ind w:firstLine="482"/>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十、响应文件开启时间：</w:t>
      </w:r>
      <w:r>
        <w:rPr>
          <w:rFonts w:hint="eastAsia" w:ascii="宋体" w:hAnsi="宋体"/>
          <w:b/>
          <w:bCs/>
          <w:color w:val="000000" w:themeColor="text1"/>
          <w:sz w:val="24"/>
          <w:highlight w:val="yellow"/>
          <w14:textFill>
            <w14:solidFill>
              <w14:schemeClr w14:val="tx1"/>
            </w14:solidFill>
          </w14:textFill>
        </w:rPr>
        <w:t>202</w:t>
      </w:r>
      <w:r>
        <w:rPr>
          <w:rFonts w:hint="eastAsia" w:ascii="宋体" w:hAnsi="宋体"/>
          <w:b/>
          <w:bCs/>
          <w:color w:val="000000" w:themeColor="text1"/>
          <w:sz w:val="24"/>
          <w:highlight w:val="yellow"/>
          <w:lang w:val="en-US" w:eastAsia="zh-CN"/>
          <w14:textFill>
            <w14:solidFill>
              <w14:schemeClr w14:val="tx1"/>
            </w14:solidFill>
          </w14:textFill>
        </w:rPr>
        <w:t>1</w:t>
      </w:r>
      <w:r>
        <w:rPr>
          <w:rFonts w:hint="eastAsia" w:ascii="宋体" w:hAnsi="宋体"/>
          <w:b/>
          <w:bCs/>
          <w:color w:val="000000" w:themeColor="text1"/>
          <w:sz w:val="24"/>
          <w:highlight w:val="yellow"/>
          <w14:textFill>
            <w14:solidFill>
              <w14:schemeClr w14:val="tx1"/>
            </w14:solidFill>
          </w14:textFill>
        </w:rPr>
        <w:t>年</w:t>
      </w:r>
      <w:r>
        <w:rPr>
          <w:rFonts w:hint="eastAsia" w:ascii="宋体" w:hAnsi="宋体"/>
          <w:b/>
          <w:bCs/>
          <w:color w:val="000000" w:themeColor="text1"/>
          <w:sz w:val="24"/>
          <w:highlight w:val="yellow"/>
          <w:lang w:val="en-US" w:eastAsia="zh-CN"/>
          <w14:textFill>
            <w14:solidFill>
              <w14:schemeClr w14:val="tx1"/>
            </w14:solidFill>
          </w14:textFill>
        </w:rPr>
        <w:t xml:space="preserve">  9 </w:t>
      </w:r>
      <w:r>
        <w:rPr>
          <w:rFonts w:hint="eastAsia" w:ascii="宋体" w:hAnsi="宋体"/>
          <w:b/>
          <w:bCs/>
          <w:color w:val="000000" w:themeColor="text1"/>
          <w:sz w:val="24"/>
          <w:highlight w:val="yellow"/>
          <w14:textFill>
            <w14:solidFill>
              <w14:schemeClr w14:val="tx1"/>
            </w14:solidFill>
          </w14:textFill>
        </w:rPr>
        <w:t>月</w:t>
      </w:r>
      <w:r>
        <w:rPr>
          <w:rFonts w:hint="eastAsia" w:ascii="宋体" w:hAnsi="宋体"/>
          <w:b/>
          <w:bCs/>
          <w:color w:val="000000" w:themeColor="text1"/>
          <w:sz w:val="24"/>
          <w:highlight w:val="yellow"/>
          <w:lang w:val="en-US" w:eastAsia="zh-CN"/>
          <w14:textFill>
            <w14:solidFill>
              <w14:schemeClr w14:val="tx1"/>
            </w14:solidFill>
          </w14:textFill>
        </w:rPr>
        <w:t xml:space="preserve"> 2 </w:t>
      </w:r>
      <w:r>
        <w:rPr>
          <w:rFonts w:hint="eastAsia" w:ascii="宋体" w:hAnsi="宋体"/>
          <w:b/>
          <w:bCs/>
          <w:color w:val="000000" w:themeColor="text1"/>
          <w:sz w:val="24"/>
          <w:highlight w:val="yellow"/>
          <w14:textFill>
            <w14:solidFill>
              <w14:schemeClr w14:val="tx1"/>
            </w14:solidFill>
          </w14:textFill>
        </w:rPr>
        <w:t>日 1</w:t>
      </w:r>
      <w:r>
        <w:rPr>
          <w:rFonts w:hint="eastAsia" w:ascii="宋体" w:hAnsi="宋体"/>
          <w:b/>
          <w:bCs/>
          <w:color w:val="000000" w:themeColor="text1"/>
          <w:sz w:val="24"/>
          <w:highlight w:val="yellow"/>
          <w:lang w:val="en-US" w:eastAsia="zh-CN"/>
          <w14:textFill>
            <w14:solidFill>
              <w14:schemeClr w14:val="tx1"/>
            </w14:solidFill>
          </w14:textFill>
        </w:rPr>
        <w:t>0</w:t>
      </w:r>
      <w:r>
        <w:rPr>
          <w:rFonts w:hint="eastAsia" w:ascii="宋体" w:hAnsi="宋体"/>
          <w:b/>
          <w:bCs/>
          <w:color w:val="000000" w:themeColor="text1"/>
          <w:sz w:val="24"/>
          <w:highlight w:val="yellow"/>
          <w14:textFill>
            <w14:solidFill>
              <w14:schemeClr w14:val="tx1"/>
            </w14:solidFill>
          </w14:textFill>
        </w:rPr>
        <w:t>：</w:t>
      </w:r>
      <w:r>
        <w:rPr>
          <w:rFonts w:hint="eastAsia" w:ascii="宋体" w:hAnsi="宋体"/>
          <w:b/>
          <w:bCs/>
          <w:color w:val="000000" w:themeColor="text1"/>
          <w:sz w:val="24"/>
          <w:highlight w:val="yellow"/>
          <w:lang w:val="en-US" w:eastAsia="zh-CN"/>
          <w14:textFill>
            <w14:solidFill>
              <w14:schemeClr w14:val="tx1"/>
            </w14:solidFill>
          </w14:textFill>
        </w:rPr>
        <w:t>0</w:t>
      </w:r>
      <w:r>
        <w:rPr>
          <w:rFonts w:hint="eastAsia" w:ascii="宋体" w:hAnsi="宋体"/>
          <w:b/>
          <w:bCs/>
          <w:color w:val="000000" w:themeColor="text1"/>
          <w:sz w:val="24"/>
          <w:highlight w:val="yellow"/>
          <w14:textFill>
            <w14:solidFill>
              <w14:schemeClr w14:val="tx1"/>
            </w14:solidFill>
          </w14:textFill>
        </w:rPr>
        <w:t>0</w:t>
      </w:r>
      <w:r>
        <w:rPr>
          <w:rFonts w:hint="eastAsia" w:ascii="宋体" w:hAnsi="宋体" w:eastAsia="宋体" w:cs="宋体"/>
          <w:color w:val="000000" w:themeColor="text1"/>
          <w:sz w:val="24"/>
          <w:szCs w:val="24"/>
          <w:highlight w:val="yellow"/>
          <w14:textFill>
            <w14:solidFill>
              <w14:schemeClr w14:val="tx1"/>
            </w14:solidFill>
          </w14:textFill>
        </w:rPr>
        <w:t>（北京时间）</w:t>
      </w:r>
      <w:r>
        <w:rPr>
          <w:rFonts w:hint="eastAsia" w:ascii="宋体" w:hAnsi="宋体" w:eastAsia="宋体" w:cs="宋体"/>
          <w:color w:val="000000" w:themeColor="text1"/>
          <w:sz w:val="24"/>
          <w:szCs w:val="24"/>
          <w:highlight w:val="none"/>
          <w14:textFill>
            <w14:solidFill>
              <w14:schemeClr w14:val="tx1"/>
            </w14:solidFill>
          </w14:textFill>
        </w:rPr>
        <w:t>在磋商地点开启。</w:t>
      </w:r>
    </w:p>
    <w:p>
      <w:pPr>
        <w:pageBreakBefore w:val="0"/>
        <w:kinsoku/>
        <w:wordWrap/>
        <w:overflowPunct/>
        <w:topLinePunct w:val="0"/>
        <w:bidi w:val="0"/>
        <w:spacing w:line="360" w:lineRule="auto"/>
        <w:ind w:firstLine="489" w:firstLineChars="203"/>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十一、磋商地点：四川三盈招标代理有限公司开标室（地址：</w:t>
      </w:r>
      <w:r>
        <w:rPr>
          <w:rFonts w:hint="eastAsia" w:ascii="宋体" w:hAnsi="宋体" w:eastAsia="宋体" w:cs="宋体"/>
          <w:color w:val="000000" w:themeColor="text1"/>
          <w:sz w:val="24"/>
          <w:szCs w:val="24"/>
          <w:highlight w:val="none"/>
          <w14:textFill>
            <w14:solidFill>
              <w14:schemeClr w14:val="tx1"/>
            </w14:solidFill>
          </w14:textFill>
        </w:rPr>
        <w:t>成都市高新区盛和一路88号康普雷斯1栋1单元701号</w:t>
      </w:r>
      <w:r>
        <w:rPr>
          <w:rFonts w:hint="eastAsia" w:ascii="宋体" w:hAnsi="宋体" w:eastAsia="宋体" w:cs="宋体"/>
          <w:b/>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w:t>
      </w:r>
    </w:p>
    <w:p>
      <w:pPr>
        <w:pStyle w:val="52"/>
        <w:pageBreakBefore w:val="0"/>
        <w:kinsoku/>
        <w:wordWrap/>
        <w:overflowPunct/>
        <w:topLinePunct w:val="0"/>
        <w:bidi w:val="0"/>
        <w:spacing w:line="360" w:lineRule="auto"/>
        <w:ind w:firstLine="482"/>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十二、联系方式</w:t>
      </w:r>
      <w:bookmarkStart w:id="163" w:name="_GoBack"/>
      <w:bookmarkEnd w:id="163"/>
    </w:p>
    <w:p>
      <w:pPr>
        <w:pStyle w:val="52"/>
        <w:pageBreakBefore w:val="0"/>
        <w:kinsoku/>
        <w:wordWrap/>
        <w:overflowPunct/>
        <w:topLinePunct w:val="0"/>
        <w:bidi w:val="0"/>
        <w:spacing w:line="360" w:lineRule="auto"/>
        <w:ind w:firstLine="954" w:firstLineChars="396"/>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 xml:space="preserve">  采购人：</w:t>
      </w:r>
      <w:r>
        <w:rPr>
          <w:rFonts w:hint="eastAsia" w:ascii="宋体" w:hAnsi="宋体" w:cs="宋体"/>
          <w:b/>
          <w:color w:val="000000" w:themeColor="text1"/>
          <w:sz w:val="24"/>
          <w:szCs w:val="24"/>
          <w:highlight w:val="none"/>
          <w:lang w:eastAsia="zh-CN"/>
          <w14:textFill>
            <w14:solidFill>
              <w14:schemeClr w14:val="tx1"/>
            </w14:solidFill>
          </w14:textFill>
        </w:rPr>
        <w:t>成都市妇女儿童中心医院</w:t>
      </w:r>
    </w:p>
    <w:p>
      <w:pPr>
        <w:pStyle w:val="52"/>
        <w:pageBreakBefore w:val="0"/>
        <w:kinsoku/>
        <w:wordWrap/>
        <w:overflowPunct/>
        <w:topLinePunct w:val="0"/>
        <w:bidi w:val="0"/>
        <w:spacing w:line="360" w:lineRule="auto"/>
        <w:ind w:firstLine="1200" w:firstLineChars="500"/>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rPr>
        <w:t>通讯地址：</w:t>
      </w:r>
      <w:r>
        <w:rPr>
          <w:rFonts w:hint="eastAsia" w:ascii="宋体" w:hAnsi="宋体" w:cs="宋体"/>
          <w:bCs/>
          <w:color w:val="auto"/>
          <w:sz w:val="24"/>
          <w:szCs w:val="24"/>
          <w:highlight w:val="none"/>
          <w:lang w:eastAsia="zh-CN"/>
        </w:rPr>
        <w:t>成都市西三环外日月大道1617号</w:t>
      </w:r>
    </w:p>
    <w:p>
      <w:pPr>
        <w:pStyle w:val="52"/>
        <w:pageBreakBefore w:val="0"/>
        <w:kinsoku/>
        <w:wordWrap/>
        <w:overflowPunct/>
        <w:topLinePunct w:val="0"/>
        <w:bidi w:val="0"/>
        <w:spacing w:line="360" w:lineRule="auto"/>
        <w:ind w:firstLine="1200" w:firstLineChars="5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联系人：</w:t>
      </w:r>
      <w:r>
        <w:rPr>
          <w:rFonts w:hint="eastAsia" w:ascii="宋体" w:hAnsi="宋体" w:cs="宋体"/>
          <w:color w:val="auto"/>
          <w:sz w:val="24"/>
          <w:szCs w:val="24"/>
          <w:highlight w:val="none"/>
          <w:lang w:val="en-US" w:eastAsia="zh-CN"/>
        </w:rPr>
        <w:t>方老师</w:t>
      </w:r>
    </w:p>
    <w:p>
      <w:pPr>
        <w:pStyle w:val="52"/>
        <w:pageBreakBefore w:val="0"/>
        <w:kinsoku/>
        <w:wordWrap/>
        <w:overflowPunct/>
        <w:topLinePunct w:val="0"/>
        <w:bidi w:val="0"/>
        <w:spacing w:line="360" w:lineRule="auto"/>
        <w:ind w:firstLine="1200" w:firstLineChars="500"/>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联系电话：</w:t>
      </w:r>
      <w:r>
        <w:rPr>
          <w:rFonts w:hint="eastAsia" w:ascii="宋体" w:hAnsi="宋体" w:cs="宋体"/>
          <w:color w:val="auto"/>
          <w:sz w:val="24"/>
          <w:szCs w:val="24"/>
          <w:highlight w:val="none"/>
          <w:lang w:val="en-US" w:eastAsia="zh-CN"/>
        </w:rPr>
        <w:t>028-61866014</w:t>
      </w:r>
    </w:p>
    <w:p>
      <w:pPr>
        <w:pStyle w:val="52"/>
        <w:pageBreakBefore w:val="0"/>
        <w:kinsoku/>
        <w:wordWrap/>
        <w:overflowPunct/>
        <w:topLinePunct w:val="0"/>
        <w:bidi w:val="0"/>
        <w:spacing w:line="360" w:lineRule="auto"/>
        <w:ind w:firstLine="1195" w:firstLineChars="496"/>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采购代理机构：四川三盈招标代理有限公司</w:t>
      </w:r>
    </w:p>
    <w:p>
      <w:pPr>
        <w:pStyle w:val="52"/>
        <w:pageBreakBefore w:val="0"/>
        <w:kinsoku/>
        <w:wordWrap/>
        <w:overflowPunct/>
        <w:topLinePunct w:val="0"/>
        <w:bidi w:val="0"/>
        <w:spacing w:line="360" w:lineRule="auto"/>
        <w:ind w:firstLine="1200" w:firstLineChars="5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地址：成都市高新区盛和一路88号康普雷斯1栋1单元701号</w:t>
      </w:r>
    </w:p>
    <w:p>
      <w:pPr>
        <w:pStyle w:val="52"/>
        <w:pageBreakBefore w:val="0"/>
        <w:kinsoku/>
        <w:wordWrap/>
        <w:overflowPunct/>
        <w:topLinePunct w:val="0"/>
        <w:bidi w:val="0"/>
        <w:spacing w:line="360" w:lineRule="auto"/>
        <w:ind w:firstLine="1200" w:firstLineChars="5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联系人：</w:t>
      </w:r>
      <w:r>
        <w:rPr>
          <w:rFonts w:hint="eastAsia" w:ascii="宋体" w:hAnsi="宋体"/>
          <w:color w:val="000000" w:themeColor="text1"/>
          <w:sz w:val="24"/>
          <w:highlight w:val="none"/>
          <w:lang w:val="en-US" w:eastAsia="zh-CN"/>
          <w14:textFill>
            <w14:solidFill>
              <w14:schemeClr w14:val="tx1"/>
            </w14:solidFill>
          </w14:textFill>
        </w:rPr>
        <w:t>王女士、费女士</w:t>
      </w:r>
    </w:p>
    <w:p>
      <w:pPr>
        <w:pStyle w:val="52"/>
        <w:pageBreakBefore w:val="0"/>
        <w:kinsoku/>
        <w:wordWrap/>
        <w:overflowPunct/>
        <w:topLinePunct w:val="0"/>
        <w:bidi w:val="0"/>
        <w:spacing w:line="360" w:lineRule="auto"/>
        <w:ind w:firstLine="1200" w:firstLineChars="5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联系电话：028-</w:t>
      </w:r>
      <w:r>
        <w:rPr>
          <w:rFonts w:hint="eastAsia" w:ascii="宋体" w:hAnsi="宋体" w:eastAsia="宋体" w:cs="宋体"/>
          <w:color w:val="000000" w:themeColor="text1"/>
          <w:sz w:val="24"/>
          <w:szCs w:val="24"/>
          <w:highlight w:val="none"/>
          <w:lang w:val="en-US" w:eastAsia="zh-CN"/>
          <w14:textFill>
            <w14:solidFill>
              <w14:schemeClr w14:val="tx1"/>
            </w14:solidFill>
          </w14:textFill>
        </w:rPr>
        <w:t>87456828</w:t>
      </w:r>
      <w:r>
        <w:rPr>
          <w:rFonts w:hint="eastAsia" w:ascii="宋体" w:hAnsi="宋体" w:eastAsia="宋体" w:cs="宋体"/>
          <w:color w:val="000000" w:themeColor="text1"/>
          <w:sz w:val="24"/>
          <w:szCs w:val="24"/>
          <w:highlight w:val="none"/>
          <w14:textFill>
            <w14:solidFill>
              <w14:schemeClr w14:val="tx1"/>
            </w14:solidFill>
          </w14:textFill>
        </w:rPr>
        <w:t xml:space="preserve"> </w:t>
      </w:r>
    </w:p>
    <w:p>
      <w:pPr>
        <w:pStyle w:val="52"/>
        <w:pageBreakBefore w:val="0"/>
        <w:kinsoku/>
        <w:wordWrap/>
        <w:overflowPunct/>
        <w:topLinePunct w:val="0"/>
        <w:bidi w:val="0"/>
        <w:spacing w:line="360" w:lineRule="auto"/>
        <w:ind w:firstLine="1200" w:firstLineChars="500"/>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传</w:t>
      </w:r>
      <w:r>
        <w:rPr>
          <w:rFonts w:hint="eastAsia" w:ascii="宋体" w:hAnsi="宋体" w:cs="宋体"/>
          <w:color w:val="000000" w:themeColor="text1"/>
          <w:sz w:val="24"/>
          <w:szCs w:val="24"/>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真：028-</w:t>
      </w:r>
      <w:r>
        <w:rPr>
          <w:rFonts w:hint="eastAsia" w:ascii="宋体" w:hAnsi="宋体" w:eastAsia="宋体" w:cs="宋体"/>
          <w:color w:val="000000" w:themeColor="text1"/>
          <w:sz w:val="24"/>
          <w:szCs w:val="24"/>
          <w:highlight w:val="none"/>
          <w:lang w:val="en-US" w:eastAsia="zh-CN"/>
          <w14:textFill>
            <w14:solidFill>
              <w14:schemeClr w14:val="tx1"/>
            </w14:solidFill>
          </w14:textFill>
        </w:rPr>
        <w:t>87456828</w:t>
      </w:r>
      <w:r>
        <w:rPr>
          <w:rFonts w:hint="eastAsia" w:ascii="宋体" w:hAnsi="宋体" w:eastAsia="宋体" w:cs="宋体"/>
          <w:color w:val="000000" w:themeColor="text1"/>
          <w:sz w:val="28"/>
          <w:szCs w:val="28"/>
          <w:highlight w:val="none"/>
          <w14:textFill>
            <w14:solidFill>
              <w14:schemeClr w14:val="tx1"/>
            </w14:solidFill>
          </w14:textFill>
        </w:rPr>
        <w:t xml:space="preserve"> </w:t>
      </w:r>
    </w:p>
    <w:p>
      <w:pPr>
        <w:pStyle w:val="20"/>
        <w:pageBreakBefore w:val="0"/>
        <w:kinsoku/>
        <w:wordWrap/>
        <w:overflowPunct/>
        <w:topLinePunct w:val="0"/>
        <w:bidi w:val="0"/>
        <w:spacing w:before="0" w:beforeAutospacing="0" w:after="0" w:afterAutospacing="0" w:line="480" w:lineRule="auto"/>
        <w:ind w:left="0" w:leftChars="0" w:firstLine="0" w:firstLineChars="0"/>
        <w:jc w:val="center"/>
        <w:rPr>
          <w:rFonts w:hint="eastAsia" w:ascii="宋体" w:hAnsi="宋体" w:eastAsia="宋体" w:cs="宋体"/>
          <w:b/>
          <w:bCs/>
          <w:color w:val="000000" w:themeColor="text1"/>
          <w:kern w:val="44"/>
          <w:sz w:val="36"/>
          <w:szCs w:val="44"/>
          <w:highlight w:val="none"/>
          <w:lang w:val="en-US" w:eastAsia="zh-CN" w:bidi="ar-SA"/>
          <w14:textFill>
            <w14:solidFill>
              <w14:schemeClr w14:val="tx1"/>
            </w14:solidFill>
          </w14:textFill>
        </w:rPr>
      </w:pPr>
    </w:p>
    <w:p>
      <w:pPr>
        <w:pStyle w:val="20"/>
        <w:pageBreakBefore w:val="0"/>
        <w:kinsoku/>
        <w:wordWrap/>
        <w:overflowPunct/>
        <w:topLinePunct w:val="0"/>
        <w:bidi w:val="0"/>
        <w:spacing w:before="0" w:beforeAutospacing="0" w:after="0" w:afterAutospacing="0" w:line="480" w:lineRule="auto"/>
        <w:ind w:left="0" w:leftChars="0" w:firstLine="0" w:firstLineChars="0"/>
        <w:jc w:val="center"/>
        <w:rPr>
          <w:rFonts w:hint="eastAsia" w:ascii="宋体" w:hAnsi="宋体" w:eastAsia="宋体" w:cs="宋体"/>
          <w:b/>
          <w:bCs/>
          <w:color w:val="000000" w:themeColor="text1"/>
          <w:kern w:val="44"/>
          <w:sz w:val="36"/>
          <w:szCs w:val="44"/>
          <w:highlight w:val="none"/>
          <w:lang w:val="en-US" w:eastAsia="zh-CN" w:bidi="ar-SA"/>
          <w14:textFill>
            <w14:solidFill>
              <w14:schemeClr w14:val="tx1"/>
            </w14:solidFill>
          </w14:textFill>
        </w:rPr>
      </w:pPr>
    </w:p>
    <w:p>
      <w:pPr>
        <w:pStyle w:val="20"/>
        <w:pageBreakBefore w:val="0"/>
        <w:kinsoku/>
        <w:wordWrap/>
        <w:overflowPunct/>
        <w:topLinePunct w:val="0"/>
        <w:bidi w:val="0"/>
        <w:spacing w:before="0" w:beforeAutospacing="0" w:after="0" w:afterAutospacing="0" w:line="480" w:lineRule="auto"/>
        <w:ind w:left="0" w:leftChars="0" w:firstLine="0" w:firstLineChars="0"/>
        <w:jc w:val="center"/>
        <w:rPr>
          <w:rFonts w:hint="eastAsia" w:ascii="宋体" w:hAnsi="宋体" w:eastAsia="宋体" w:cs="宋体"/>
          <w:b/>
          <w:bCs/>
          <w:color w:val="000000" w:themeColor="text1"/>
          <w:kern w:val="44"/>
          <w:sz w:val="36"/>
          <w:szCs w:val="44"/>
          <w:highlight w:val="none"/>
          <w:lang w:val="en-US" w:eastAsia="zh-CN" w:bidi="ar-SA"/>
          <w14:textFill>
            <w14:solidFill>
              <w14:schemeClr w14:val="tx1"/>
            </w14:solidFill>
          </w14:textFill>
        </w:rPr>
      </w:pPr>
    </w:p>
    <w:p>
      <w:pPr>
        <w:pStyle w:val="21"/>
        <w:bidi w:val="0"/>
        <w:spacing w:after="0" w:afterAutospacing="0"/>
        <w:ind w:left="0" w:leftChars="0" w:firstLine="0" w:firstLineChars="0"/>
        <w:jc w:val="both"/>
        <w:rPr>
          <w:rFonts w:hint="eastAsia"/>
          <w:color w:val="000000" w:themeColor="text1"/>
          <w:highlight w:val="none"/>
          <w:lang w:val="en-US" w:eastAsia="zh-CN"/>
          <w14:textFill>
            <w14:solidFill>
              <w14:schemeClr w14:val="tx1"/>
            </w14:solidFill>
          </w14:textFill>
        </w:rPr>
      </w:pPr>
      <w:bookmarkStart w:id="6" w:name="_Toc213396945"/>
      <w:bookmarkStart w:id="7" w:name="_Toc213396759"/>
      <w:bookmarkStart w:id="8" w:name="_Toc213397009"/>
      <w:bookmarkStart w:id="9" w:name="_Toc217446031"/>
      <w:bookmarkStart w:id="10" w:name="_Toc213496267"/>
      <w:bookmarkStart w:id="11" w:name="_Toc8414"/>
      <w:bookmarkStart w:id="12" w:name="_Toc509579141"/>
    </w:p>
    <w:p>
      <w:pPr>
        <w:pStyle w:val="21"/>
        <w:bidi w:val="0"/>
        <w:spacing w:after="0" w:afterAutospacing="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第二章  磋商须知</w:t>
      </w:r>
      <w:bookmarkEnd w:id="6"/>
      <w:bookmarkEnd w:id="7"/>
      <w:bookmarkEnd w:id="8"/>
      <w:bookmarkEnd w:id="9"/>
      <w:bookmarkEnd w:id="10"/>
      <w:bookmarkEnd w:id="11"/>
      <w:bookmarkEnd w:id="12"/>
    </w:p>
    <w:p>
      <w:pPr>
        <w:pStyle w:val="4"/>
        <w:keepNext w:val="0"/>
        <w:keepLines w:val="0"/>
        <w:spacing w:before="0" w:after="0" w:line="360" w:lineRule="auto"/>
        <w:ind w:firstLine="0" w:firstLineChars="0"/>
        <w:jc w:val="center"/>
        <w:rPr>
          <w:rFonts w:hint="eastAsia" w:ascii="宋体" w:hAnsi="宋体" w:eastAsia="宋体" w:cs="Times New Roman"/>
          <w:color w:val="000000" w:themeColor="text1"/>
          <w:highlight w:val="none"/>
          <w14:textFill>
            <w14:solidFill>
              <w14:schemeClr w14:val="tx1"/>
            </w14:solidFill>
          </w14:textFill>
        </w:rPr>
      </w:pPr>
      <w:r>
        <w:rPr>
          <w:rFonts w:hint="eastAsia" w:ascii="宋体" w:hAnsi="宋体" w:eastAsia="宋体" w:cs="Times New Roman"/>
          <w:color w:val="000000" w:themeColor="text1"/>
          <w:highlight w:val="none"/>
          <w14:textFill>
            <w14:solidFill>
              <w14:schemeClr w14:val="tx1"/>
            </w14:solidFill>
          </w14:textFill>
        </w:rPr>
        <w:t>一、供应商须知附表</w:t>
      </w:r>
    </w:p>
    <w:tbl>
      <w:tblPr>
        <w:tblStyle w:val="24"/>
        <w:tblW w:w="9506"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603"/>
        <w:gridCol w:w="1623"/>
        <w:gridCol w:w="7280"/>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tblHeader/>
          <w:jc w:val="center"/>
        </w:trPr>
        <w:tc>
          <w:tcPr>
            <w:tcW w:w="603" w:type="dxa"/>
            <w:tcBorders>
              <w:top w:val="single" w:color="auto" w:sz="18" w:space="0"/>
            </w:tcBorders>
            <w:vAlign w:val="center"/>
          </w:tcPr>
          <w:p>
            <w:pPr>
              <w:pStyle w:val="53"/>
              <w:pageBreakBefore w:val="0"/>
              <w:kinsoku/>
              <w:wordWrap/>
              <w:overflowPunct/>
              <w:topLinePunct w:val="0"/>
              <w:bidi w:val="0"/>
              <w:spacing w:beforeAutospacing="0" w:line="360" w:lineRule="auto"/>
              <w:ind w:left="9"/>
              <w:jc w:val="center"/>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序号</w:t>
            </w:r>
          </w:p>
        </w:tc>
        <w:tc>
          <w:tcPr>
            <w:tcW w:w="1623" w:type="dxa"/>
            <w:tcBorders>
              <w:top w:val="single" w:color="auto" w:sz="18" w:space="0"/>
            </w:tcBorders>
            <w:vAlign w:val="center"/>
          </w:tcPr>
          <w:p>
            <w:pPr>
              <w:pStyle w:val="53"/>
              <w:pageBreakBefore w:val="0"/>
              <w:kinsoku/>
              <w:wordWrap/>
              <w:overflowPunct/>
              <w:topLinePunct w:val="0"/>
              <w:bidi w:val="0"/>
              <w:spacing w:line="360" w:lineRule="auto"/>
              <w:ind w:left="38"/>
              <w:jc w:val="center"/>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应知事项</w:t>
            </w:r>
          </w:p>
        </w:tc>
        <w:tc>
          <w:tcPr>
            <w:tcW w:w="7280" w:type="dxa"/>
            <w:tcBorders>
              <w:top w:val="single" w:color="auto" w:sz="18" w:space="0"/>
            </w:tcBorders>
            <w:vAlign w:val="center"/>
          </w:tcPr>
          <w:p>
            <w:pPr>
              <w:pStyle w:val="53"/>
              <w:pageBreakBefore w:val="0"/>
              <w:kinsoku/>
              <w:wordWrap/>
              <w:overflowPunct/>
              <w:topLinePunct w:val="0"/>
              <w:bidi w:val="0"/>
              <w:spacing w:line="360" w:lineRule="auto"/>
              <w:jc w:val="center"/>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72" w:hRule="atLeast"/>
          <w:jc w:val="center"/>
        </w:trPr>
        <w:tc>
          <w:tcPr>
            <w:tcW w:w="603" w:type="dxa"/>
            <w:vAlign w:val="center"/>
          </w:tcPr>
          <w:p>
            <w:pPr>
              <w:pStyle w:val="53"/>
              <w:pageBreakBefore w:val="0"/>
              <w:kinsoku/>
              <w:wordWrap/>
              <w:overflowPunct/>
              <w:topLinePunct w:val="0"/>
              <w:bidi w:val="0"/>
              <w:spacing w:line="360" w:lineRule="auto"/>
              <w:ind w:right="211" w:rightChars="88"/>
              <w:jc w:val="center"/>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1</w:t>
            </w:r>
          </w:p>
        </w:tc>
        <w:tc>
          <w:tcPr>
            <w:tcW w:w="1623" w:type="dxa"/>
            <w:vAlign w:val="center"/>
          </w:tcPr>
          <w:p>
            <w:pPr>
              <w:pStyle w:val="53"/>
              <w:pageBreakBefore w:val="0"/>
              <w:kinsoku/>
              <w:wordWrap/>
              <w:overflowPunct/>
              <w:topLinePunct w:val="0"/>
              <w:bidi w:val="0"/>
              <w:spacing w:line="240" w:lineRule="auto"/>
              <w:ind w:left="38"/>
              <w:jc w:val="center"/>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采购预算</w:t>
            </w:r>
          </w:p>
          <w:p>
            <w:pPr>
              <w:pStyle w:val="53"/>
              <w:pageBreakBefore w:val="0"/>
              <w:kinsoku/>
              <w:wordWrap/>
              <w:overflowPunct/>
              <w:topLinePunct w:val="0"/>
              <w:bidi w:val="0"/>
              <w:spacing w:line="240" w:lineRule="auto"/>
              <w:ind w:left="38"/>
              <w:jc w:val="center"/>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（实质性要求）</w:t>
            </w:r>
          </w:p>
        </w:tc>
        <w:tc>
          <w:tcPr>
            <w:tcW w:w="7280" w:type="dxa"/>
            <w:vAlign w:val="center"/>
          </w:tcPr>
          <w:p>
            <w:pPr>
              <w:pStyle w:val="53"/>
              <w:pageBreakBefore w:val="0"/>
              <w:kinsoku/>
              <w:wordWrap/>
              <w:overflowPunct/>
              <w:topLinePunct w:val="0"/>
              <w:bidi w:val="0"/>
              <w:spacing w:line="360" w:lineRule="auto"/>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采购预算</w:t>
            </w:r>
            <w:r>
              <w:rPr>
                <w:rFonts w:hint="eastAsia" w:cs="宋体"/>
                <w:color w:val="000000" w:themeColor="text1"/>
                <w:sz w:val="24"/>
                <w:szCs w:val="24"/>
                <w:highlight w:val="none"/>
                <w:lang w:val="en-US" w:eastAsia="zh-CN"/>
                <w14:textFill>
                  <w14:solidFill>
                    <w14:schemeClr w14:val="tx1"/>
                  </w14:solidFill>
                </w14:textFill>
              </w:rPr>
              <w:t>：100万元。</w:t>
            </w:r>
          </w:p>
          <w:p>
            <w:pPr>
              <w:pStyle w:val="53"/>
              <w:pageBreakBefore w:val="0"/>
              <w:kinsoku/>
              <w:wordWrap/>
              <w:overflowPunct/>
              <w:topLinePunct w:val="0"/>
              <w:bidi w:val="0"/>
              <w:spacing w:line="360" w:lineRule="auto"/>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报价超过采购预算,其响应文件按无效处理。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41" w:hRule="atLeast"/>
          <w:jc w:val="center"/>
        </w:trPr>
        <w:tc>
          <w:tcPr>
            <w:tcW w:w="603" w:type="dxa"/>
            <w:vAlign w:val="center"/>
          </w:tcPr>
          <w:p>
            <w:pPr>
              <w:pStyle w:val="53"/>
              <w:pageBreakBefore w:val="0"/>
              <w:kinsoku/>
              <w:wordWrap/>
              <w:overflowPunct/>
              <w:topLinePunct w:val="0"/>
              <w:bidi w:val="0"/>
              <w:spacing w:line="360" w:lineRule="auto"/>
              <w:ind w:right="230"/>
              <w:jc w:val="center"/>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2</w:t>
            </w:r>
          </w:p>
        </w:tc>
        <w:tc>
          <w:tcPr>
            <w:tcW w:w="1623" w:type="dxa"/>
            <w:vAlign w:val="center"/>
          </w:tcPr>
          <w:p>
            <w:pPr>
              <w:pStyle w:val="53"/>
              <w:pageBreakBefore w:val="0"/>
              <w:kinsoku/>
              <w:wordWrap/>
              <w:overflowPunct/>
              <w:topLinePunct w:val="0"/>
              <w:bidi w:val="0"/>
              <w:spacing w:line="240" w:lineRule="auto"/>
              <w:ind w:left="38"/>
              <w:jc w:val="center"/>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最高限价</w:t>
            </w:r>
          </w:p>
          <w:p>
            <w:pPr>
              <w:pStyle w:val="53"/>
              <w:pageBreakBefore w:val="0"/>
              <w:kinsoku/>
              <w:wordWrap/>
              <w:overflowPunct/>
              <w:topLinePunct w:val="0"/>
              <w:bidi w:val="0"/>
              <w:spacing w:line="240" w:lineRule="auto"/>
              <w:ind w:left="38"/>
              <w:jc w:val="center"/>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（实质性要求）</w:t>
            </w:r>
          </w:p>
        </w:tc>
        <w:tc>
          <w:tcPr>
            <w:tcW w:w="7280" w:type="dxa"/>
            <w:vAlign w:val="center"/>
          </w:tcPr>
          <w:p>
            <w:pPr>
              <w:pStyle w:val="53"/>
              <w:pageBreakBefore w:val="0"/>
              <w:kinsoku/>
              <w:wordWrap/>
              <w:overflowPunct/>
              <w:topLinePunct w:val="0"/>
              <w:bidi w:val="0"/>
              <w:spacing w:line="360" w:lineRule="auto"/>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最高限价</w:t>
            </w:r>
            <w:r>
              <w:rPr>
                <w:rFonts w:hint="eastAsia" w:cs="宋体"/>
                <w:color w:val="000000" w:themeColor="text1"/>
                <w:sz w:val="24"/>
                <w:szCs w:val="24"/>
                <w:highlight w:val="none"/>
                <w:lang w:eastAsia="zh-CN"/>
                <w14:textFill>
                  <w14:solidFill>
                    <w14:schemeClr w14:val="tx1"/>
                  </w14:solidFill>
                </w14:textFill>
              </w:rPr>
              <w:t>：</w:t>
            </w:r>
            <w:r>
              <w:rPr>
                <w:rFonts w:hint="eastAsia" w:cs="宋体"/>
                <w:color w:val="000000" w:themeColor="text1"/>
                <w:sz w:val="24"/>
                <w:szCs w:val="24"/>
                <w:highlight w:val="none"/>
                <w:lang w:val="en-US" w:eastAsia="zh-CN"/>
                <w14:textFill>
                  <w14:solidFill>
                    <w14:schemeClr w14:val="tx1"/>
                  </w14:solidFill>
                </w14:textFill>
              </w:rPr>
              <w:t xml:space="preserve"> </w:t>
            </w:r>
            <w:r>
              <w:rPr>
                <w:rFonts w:hint="eastAsia" w:cs="宋体"/>
                <w:b/>
                <w:bCs/>
                <w:color w:val="000000" w:themeColor="text1"/>
                <w:sz w:val="24"/>
                <w:szCs w:val="24"/>
                <w:highlight w:val="none"/>
                <w:lang w:val="en-US" w:eastAsia="zh-CN"/>
                <w14:textFill>
                  <w14:solidFill>
                    <w14:schemeClr w14:val="tx1"/>
                  </w14:solidFill>
                </w14:textFill>
              </w:rPr>
              <w:t>单价限价0.1元/页。</w:t>
            </w:r>
          </w:p>
          <w:p>
            <w:pPr>
              <w:pStyle w:val="53"/>
              <w:pageBreakBefore w:val="0"/>
              <w:kinsoku/>
              <w:wordWrap/>
              <w:overflowPunct/>
              <w:topLinePunct w:val="0"/>
              <w:bidi w:val="0"/>
              <w:spacing w:line="360" w:lineRule="auto"/>
              <w:jc w:val="both"/>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报价超过最高限价,其响应文件按无效处理。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012" w:hRule="atLeast"/>
          <w:jc w:val="center"/>
        </w:trPr>
        <w:tc>
          <w:tcPr>
            <w:tcW w:w="603" w:type="dxa"/>
            <w:vAlign w:val="center"/>
          </w:tcPr>
          <w:p>
            <w:pPr>
              <w:pStyle w:val="53"/>
              <w:pageBreakBefore w:val="0"/>
              <w:kinsoku/>
              <w:wordWrap/>
              <w:overflowPunct/>
              <w:topLinePunct w:val="0"/>
              <w:bidi w:val="0"/>
              <w:spacing w:line="360" w:lineRule="auto"/>
              <w:ind w:right="230"/>
              <w:jc w:val="center"/>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3</w:t>
            </w:r>
          </w:p>
        </w:tc>
        <w:tc>
          <w:tcPr>
            <w:tcW w:w="1623" w:type="dxa"/>
            <w:vAlign w:val="center"/>
          </w:tcPr>
          <w:p>
            <w:pPr>
              <w:pStyle w:val="53"/>
              <w:pageBreakBefore w:val="0"/>
              <w:kinsoku/>
              <w:wordWrap/>
              <w:overflowPunct/>
              <w:topLinePunct w:val="0"/>
              <w:bidi w:val="0"/>
              <w:spacing w:line="240" w:lineRule="auto"/>
              <w:ind w:left="38"/>
              <w:jc w:val="center"/>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进口产品</w:t>
            </w:r>
          </w:p>
          <w:p>
            <w:pPr>
              <w:pStyle w:val="53"/>
              <w:pageBreakBefore w:val="0"/>
              <w:kinsoku/>
              <w:wordWrap/>
              <w:overflowPunct/>
              <w:topLinePunct w:val="0"/>
              <w:bidi w:val="0"/>
              <w:spacing w:line="240" w:lineRule="auto"/>
              <w:ind w:left="38"/>
              <w:jc w:val="center"/>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不涉及</w:t>
            </w:r>
            <w:r>
              <w:rPr>
                <w:rFonts w:hint="eastAsia" w:ascii="宋体" w:hAnsi="宋体" w:eastAsia="宋体" w:cs="宋体"/>
                <w:color w:val="000000" w:themeColor="text1"/>
                <w:sz w:val="24"/>
                <w:szCs w:val="24"/>
                <w:highlight w:val="none"/>
                <w:lang w:val="zh-CN"/>
                <w14:textFill>
                  <w14:solidFill>
                    <w14:schemeClr w14:val="tx1"/>
                  </w14:solidFill>
                </w14:textFill>
              </w:rPr>
              <w:t>）</w:t>
            </w:r>
          </w:p>
        </w:tc>
        <w:tc>
          <w:tcPr>
            <w:tcW w:w="7280" w:type="dxa"/>
            <w:vAlign w:val="center"/>
          </w:tcPr>
          <w:p>
            <w:pPr>
              <w:pStyle w:val="53"/>
              <w:pageBreakBefore w:val="0"/>
              <w:kinsoku/>
              <w:wordWrap/>
              <w:overflowPunct/>
              <w:topLinePunct w:val="0"/>
              <w:bidi w:val="0"/>
              <w:spacing w:line="360" w:lineRule="auto"/>
              <w:ind w:firstLine="480" w:firstLineChars="200"/>
              <w:jc w:val="both"/>
              <w:rPr>
                <w:rFonts w:hint="eastAsia" w:ascii="宋体" w:hAnsi="宋体" w:eastAsia="宋体" w:cs="宋体"/>
                <w:color w:val="000000" w:themeColor="text1"/>
                <w:sz w:val="24"/>
                <w:szCs w:val="24"/>
                <w:highlight w:val="none"/>
                <w:lang w:val="zh-CN"/>
                <w14:textFill>
                  <w14:solidFill>
                    <w14:schemeClr w14:val="tx1"/>
                  </w14:solidFill>
                </w14:textFill>
              </w:rPr>
            </w:pPr>
            <w:bookmarkStart w:id="13" w:name="PO_默认文件内容_10"/>
            <w:r>
              <w:rPr>
                <w:rFonts w:hint="eastAsia" w:ascii="宋体" w:hAnsi="宋体" w:eastAsia="宋体" w:cs="宋体"/>
                <w:color w:val="000000" w:themeColor="text1"/>
                <w:sz w:val="24"/>
                <w:szCs w:val="24"/>
                <w:highlight w:val="none"/>
                <w14:textFill>
                  <w14:solidFill>
                    <w14:schemeClr w14:val="tx1"/>
                  </w14:solidFill>
                </w14:textFill>
              </w:rPr>
              <w:t>本项目竞争性磋商文件中未载明“允许采购进口产品”的产品，拒绝进口产品参与竞争。载明“允许采购进口产品”的产品，不限制国产产品参与竞争。</w:t>
            </w:r>
            <w:bookmarkEnd w:id="13"/>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52" w:hRule="atLeast"/>
          <w:jc w:val="center"/>
        </w:trPr>
        <w:tc>
          <w:tcPr>
            <w:tcW w:w="603" w:type="dxa"/>
            <w:vAlign w:val="center"/>
          </w:tcPr>
          <w:p>
            <w:pPr>
              <w:pStyle w:val="53"/>
              <w:pageBreakBefore w:val="0"/>
              <w:kinsoku/>
              <w:wordWrap/>
              <w:overflowPunct/>
              <w:topLinePunct w:val="0"/>
              <w:bidi w:val="0"/>
              <w:spacing w:line="360" w:lineRule="auto"/>
              <w:ind w:right="230"/>
              <w:jc w:val="center"/>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4</w:t>
            </w:r>
          </w:p>
        </w:tc>
        <w:tc>
          <w:tcPr>
            <w:tcW w:w="1623" w:type="dxa"/>
            <w:vAlign w:val="center"/>
          </w:tcPr>
          <w:p>
            <w:pPr>
              <w:pStyle w:val="53"/>
              <w:pageBreakBefore w:val="0"/>
              <w:kinsoku/>
              <w:wordWrap/>
              <w:overflowPunct/>
              <w:topLinePunct w:val="0"/>
              <w:bidi w:val="0"/>
              <w:spacing w:line="240" w:lineRule="auto"/>
              <w:ind w:left="38"/>
              <w:jc w:val="center"/>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联合体</w:t>
            </w:r>
          </w:p>
          <w:p>
            <w:pPr>
              <w:pStyle w:val="53"/>
              <w:pageBreakBefore w:val="0"/>
              <w:kinsoku/>
              <w:wordWrap/>
              <w:overflowPunct/>
              <w:topLinePunct w:val="0"/>
              <w:bidi w:val="0"/>
              <w:spacing w:line="240" w:lineRule="auto"/>
              <w:ind w:left="38"/>
              <w:jc w:val="center"/>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（实质性要求）</w:t>
            </w:r>
          </w:p>
        </w:tc>
        <w:tc>
          <w:tcPr>
            <w:tcW w:w="7280" w:type="dxa"/>
            <w:vAlign w:val="center"/>
          </w:tcPr>
          <w:p>
            <w:pPr>
              <w:pStyle w:val="53"/>
              <w:pageBreakBefore w:val="0"/>
              <w:kinsoku/>
              <w:wordWrap/>
              <w:overflowPunct/>
              <w:topLinePunct w:val="0"/>
              <w:bidi w:val="0"/>
              <w:spacing w:line="360" w:lineRule="auto"/>
              <w:ind w:firstLine="240" w:firstLineChars="100"/>
              <w:jc w:val="both"/>
              <w:rPr>
                <w:rFonts w:hint="eastAsia" w:ascii="宋体" w:hAnsi="宋体" w:eastAsia="宋体" w:cs="宋体"/>
                <w:color w:val="000000" w:themeColor="text1"/>
                <w:sz w:val="24"/>
                <w:szCs w:val="24"/>
                <w:highlight w:val="none"/>
                <w:lang w:val="zh-CN"/>
                <w14:textFill>
                  <w14:solidFill>
                    <w14:schemeClr w14:val="tx1"/>
                  </w14:solidFill>
                </w14:textFill>
              </w:rPr>
            </w:pPr>
            <w:bookmarkStart w:id="14" w:name="PO_默认文件内容_11"/>
            <w:r>
              <w:rPr>
                <w:rFonts w:hint="eastAsia" w:ascii="宋体" w:hAnsi="宋体" w:eastAsia="宋体" w:cs="宋体"/>
                <w:color w:val="000000" w:themeColor="text1"/>
                <w:sz w:val="24"/>
                <w:szCs w:val="24"/>
                <w:highlight w:val="none"/>
                <w:lang w:val="zh-CN"/>
                <w14:textFill>
                  <w14:solidFill>
                    <w14:schemeClr w14:val="tx1"/>
                  </w14:solidFill>
                </w14:textFill>
              </w:rPr>
              <w:t>不允许联合体</w:t>
            </w:r>
            <w:bookmarkEnd w:id="14"/>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85" w:hRule="atLeast"/>
          <w:jc w:val="center"/>
        </w:trPr>
        <w:tc>
          <w:tcPr>
            <w:tcW w:w="603" w:type="dxa"/>
            <w:vAlign w:val="center"/>
          </w:tcPr>
          <w:p>
            <w:pPr>
              <w:pStyle w:val="53"/>
              <w:pageBreakBefore w:val="0"/>
              <w:kinsoku/>
              <w:wordWrap/>
              <w:overflowPunct/>
              <w:topLinePunct w:val="0"/>
              <w:bidi w:val="0"/>
              <w:spacing w:line="360" w:lineRule="auto"/>
              <w:ind w:right="230"/>
              <w:jc w:val="center"/>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5</w:t>
            </w:r>
          </w:p>
        </w:tc>
        <w:tc>
          <w:tcPr>
            <w:tcW w:w="1623" w:type="dxa"/>
            <w:vAlign w:val="center"/>
          </w:tcPr>
          <w:p>
            <w:pPr>
              <w:pStyle w:val="53"/>
              <w:pageBreakBefore w:val="0"/>
              <w:kinsoku/>
              <w:wordWrap/>
              <w:overflowPunct/>
              <w:topLinePunct w:val="0"/>
              <w:bidi w:val="0"/>
              <w:spacing w:line="360" w:lineRule="auto"/>
              <w:ind w:left="38"/>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低于成本价</w:t>
            </w:r>
          </w:p>
          <w:p>
            <w:pPr>
              <w:pStyle w:val="53"/>
              <w:pageBreakBefore w:val="0"/>
              <w:kinsoku/>
              <w:wordWrap/>
              <w:overflowPunct/>
              <w:topLinePunct w:val="0"/>
              <w:bidi w:val="0"/>
              <w:spacing w:line="360" w:lineRule="auto"/>
              <w:ind w:left="38"/>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不正当竞争预防措施（实质性要求）</w:t>
            </w:r>
          </w:p>
        </w:tc>
        <w:tc>
          <w:tcPr>
            <w:tcW w:w="7280" w:type="dxa"/>
            <w:vAlign w:val="center"/>
          </w:tcPr>
          <w:p>
            <w:pPr>
              <w:pStyle w:val="53"/>
              <w:pageBreakBefore w:val="0"/>
              <w:kinsoku/>
              <w:wordWrap/>
              <w:overflowPunct/>
              <w:topLinePunct w:val="0"/>
              <w:bidi w:val="0"/>
              <w:spacing w:line="360" w:lineRule="auto"/>
              <w:ind w:firstLine="240" w:firstLineChars="100"/>
              <w:jc w:val="both"/>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在评标过程中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53"/>
              <w:pageBreakBefore w:val="0"/>
              <w:kinsoku/>
              <w:wordWrap/>
              <w:overflowPunct/>
              <w:topLinePunct w:val="0"/>
              <w:bidi w:val="0"/>
              <w:spacing w:line="360" w:lineRule="auto"/>
              <w:ind w:firstLine="240" w:firstLineChars="100"/>
              <w:jc w:val="both"/>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供应商书面说明应当按照国家财务会计制度的规定要求，逐项就供应商提供的货物、工程和服务的主营业务成本（应根据供应商企业类型予以区别）、税金及附加、销售费用、管理费用、财务费用等成本构成事项详细陈述。</w:t>
            </w:r>
          </w:p>
          <w:p>
            <w:pPr>
              <w:pStyle w:val="53"/>
              <w:pageBreakBefore w:val="0"/>
              <w:kinsoku/>
              <w:wordWrap/>
              <w:overflowPunct/>
              <w:topLinePunct w:val="0"/>
              <w:bidi w:val="0"/>
              <w:spacing w:line="360" w:lineRule="auto"/>
              <w:ind w:firstLine="240" w:firstLineChars="100"/>
              <w:jc w:val="both"/>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供应商书面说明应当签字确认或者加盖公章，否则无效。书面说明的签字确认，供应商为法人的，由其法定代表人或者代理人签字确认；供应商为其他组织的，由其主要负责人或者代理人签字确认；供应商为自然人的，由其本人或者代理人签字确认。</w:t>
            </w:r>
          </w:p>
          <w:p>
            <w:pPr>
              <w:pStyle w:val="53"/>
              <w:pageBreakBefore w:val="0"/>
              <w:kinsoku/>
              <w:wordWrap/>
              <w:overflowPunct/>
              <w:topLinePunct w:val="0"/>
              <w:bidi w:val="0"/>
              <w:spacing w:line="360" w:lineRule="auto"/>
              <w:ind w:firstLine="480" w:firstLineChars="200"/>
              <w:jc w:val="both"/>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供应商提供书面说明后，评标委员会应当结合采购项目采购需求、专业实际情况、供应商财务状况报告、与其他供应商比较情况等就供应商书面说明进行审查评价。供应商拒绝或者变相拒绝（包括未在规定时间内提供的）提供有效书面说明或者书面说明不能证明其报价合理性的，评标委员会应当将其磋商文件作为无效处理</w:t>
            </w:r>
            <w:r>
              <w:rPr>
                <w:rFonts w:hint="eastAsia" w:ascii="宋体" w:hAnsi="宋体" w:eastAsia="宋体" w:cs="宋体"/>
                <w:color w:val="000000" w:themeColor="text1"/>
                <w:sz w:val="24"/>
                <w:szCs w:val="24"/>
                <w:highlight w:val="none"/>
                <w:lang w:eastAsia="zh-CN"/>
                <w14:textFill>
                  <w14:solidFill>
                    <w14:schemeClr w14:val="tx1"/>
                  </w14:solidFill>
                </w14:textFill>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49" w:hRule="atLeast"/>
          <w:jc w:val="center"/>
        </w:trPr>
        <w:tc>
          <w:tcPr>
            <w:tcW w:w="603" w:type="dxa"/>
            <w:vMerge w:val="restart"/>
            <w:vAlign w:val="center"/>
          </w:tcPr>
          <w:p>
            <w:pPr>
              <w:pStyle w:val="53"/>
              <w:pageBreakBefore w:val="0"/>
              <w:kinsoku/>
              <w:wordWrap/>
              <w:overflowPunct/>
              <w:topLinePunct w:val="0"/>
              <w:bidi w:val="0"/>
              <w:spacing w:line="360" w:lineRule="auto"/>
              <w:ind w:right="230"/>
              <w:jc w:val="center"/>
              <w:rPr>
                <w:rFonts w:hint="eastAsia" w:cs="宋体"/>
                <w:color w:val="000000" w:themeColor="text1"/>
                <w:sz w:val="24"/>
                <w:szCs w:val="24"/>
                <w:highlight w:val="none"/>
                <w:lang w:val="en-US" w:eastAsia="zh-CN"/>
                <w14:textFill>
                  <w14:solidFill>
                    <w14:schemeClr w14:val="tx1"/>
                  </w14:solidFill>
                </w14:textFill>
              </w:rPr>
            </w:pPr>
            <w:r>
              <w:rPr>
                <w:rFonts w:hint="eastAsia" w:cs="宋体"/>
                <w:color w:val="000000" w:themeColor="text1"/>
                <w:sz w:val="24"/>
                <w:szCs w:val="24"/>
                <w:highlight w:val="none"/>
                <w:lang w:val="en-US" w:eastAsia="zh-CN"/>
                <w14:textFill>
                  <w14:solidFill>
                    <w14:schemeClr w14:val="tx1"/>
                  </w14:solidFill>
                </w14:textFill>
              </w:rPr>
              <w:t>6</w:t>
            </w:r>
          </w:p>
          <w:p>
            <w:pPr>
              <w:pStyle w:val="53"/>
              <w:pageBreakBefore w:val="0"/>
              <w:kinsoku/>
              <w:wordWrap/>
              <w:overflowPunct/>
              <w:topLinePunct w:val="0"/>
              <w:bidi w:val="0"/>
              <w:spacing w:line="360" w:lineRule="auto"/>
              <w:ind w:right="230"/>
              <w:jc w:val="center"/>
              <w:rPr>
                <w:rFonts w:hint="eastAsia" w:ascii="宋体" w:hAnsi="宋体" w:eastAsia="宋体" w:cs="宋体"/>
                <w:color w:val="000000" w:themeColor="text1"/>
                <w:sz w:val="24"/>
                <w:szCs w:val="24"/>
                <w:highlight w:val="none"/>
                <w:lang w:val="zh-CN"/>
                <w14:textFill>
                  <w14:solidFill>
                    <w14:schemeClr w14:val="tx1"/>
                  </w14:solidFill>
                </w14:textFill>
              </w:rPr>
            </w:pPr>
          </w:p>
        </w:tc>
        <w:tc>
          <w:tcPr>
            <w:tcW w:w="1623" w:type="dxa"/>
            <w:vAlign w:val="center"/>
          </w:tcPr>
          <w:p>
            <w:pPr>
              <w:pStyle w:val="53"/>
              <w:pageBreakBefore w:val="0"/>
              <w:kinsoku/>
              <w:wordWrap/>
              <w:overflowPunct/>
              <w:topLinePunct w:val="0"/>
              <w:bidi w:val="0"/>
              <w:spacing w:line="360" w:lineRule="auto"/>
              <w:ind w:left="38"/>
              <w:jc w:val="center"/>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小微企业</w:t>
            </w:r>
          </w:p>
          <w:p>
            <w:pPr>
              <w:pStyle w:val="53"/>
              <w:pageBreakBefore w:val="0"/>
              <w:kinsoku/>
              <w:wordWrap/>
              <w:overflowPunct/>
              <w:topLinePunct w:val="0"/>
              <w:bidi w:val="0"/>
              <w:spacing w:line="360" w:lineRule="auto"/>
              <w:ind w:left="38"/>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7280" w:type="dxa"/>
            <w:vAlign w:val="center"/>
          </w:tcPr>
          <w:p>
            <w:pPr>
              <w:ind w:right="120" w:rightChars="50"/>
              <w:rPr>
                <w:rFonts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小微企业（监狱企业、残疾人福利性单位视同小微企业）价格扣除</w:t>
            </w:r>
          </w:p>
          <w:p>
            <w:pPr>
              <w:ind w:left="120" w:leftChars="50" w:right="120" w:rightChars="50" w:firstLine="420"/>
              <w:rPr>
                <w:rFonts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1.根据</w:t>
            </w:r>
            <w:r>
              <w:rPr>
                <w:rFonts w:hint="eastAsia" w:ascii="宋体" w:hAnsi="宋体" w:cs="宋体"/>
                <w:color w:val="000000" w:themeColor="text1"/>
                <w:kern w:val="0"/>
                <w:sz w:val="24"/>
                <w:szCs w:val="24"/>
                <w:highlight w:val="none"/>
                <w:lang w:eastAsia="zh-CN"/>
                <w14:textFill>
                  <w14:solidFill>
                    <w14:schemeClr w14:val="tx1"/>
                  </w14:solidFill>
                </w14:textFill>
              </w:rPr>
              <w:t>《政府采购促进中小企业发展管理办法》（财库﹝2020﹞46 号）</w:t>
            </w:r>
            <w:r>
              <w:rPr>
                <w:rFonts w:hint="eastAsia" w:ascii="宋体" w:hAnsi="宋体" w:cs="宋体"/>
                <w:color w:val="000000" w:themeColor="text1"/>
                <w:kern w:val="0"/>
                <w:sz w:val="24"/>
                <w:szCs w:val="24"/>
                <w:highlight w:val="none"/>
                <w14:textFill>
                  <w14:solidFill>
                    <w14:schemeClr w14:val="tx1"/>
                  </w14:solidFill>
                </w14:textFill>
              </w:rPr>
              <w:t>的规定，对小型和微型企业的价格给予10%的价格扣除，用扣除后的价格参与评审。</w:t>
            </w:r>
          </w:p>
          <w:p>
            <w:pPr>
              <w:ind w:left="120" w:leftChars="50" w:right="120" w:rightChars="50" w:firstLine="420"/>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2.参加政府采购活动的中小企业应当提供《中小企业声明函》原件。监狱企业应当提供《监狱企业证明》原件。残疾人福利性单位应当提供《残疾人福利性单位声明函》原件。未提供的，视为放弃享受小微企业价格扣除优惠政策。</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810" w:hRule="atLeast"/>
          <w:jc w:val="center"/>
        </w:trPr>
        <w:tc>
          <w:tcPr>
            <w:tcW w:w="603" w:type="dxa"/>
            <w:vMerge w:val="continue"/>
            <w:vAlign w:val="center"/>
          </w:tcPr>
          <w:p>
            <w:pPr>
              <w:pStyle w:val="53"/>
              <w:pageBreakBefore w:val="0"/>
              <w:kinsoku/>
              <w:wordWrap/>
              <w:overflowPunct/>
              <w:topLinePunct w:val="0"/>
              <w:bidi w:val="0"/>
              <w:spacing w:line="360" w:lineRule="auto"/>
              <w:ind w:right="230"/>
              <w:jc w:val="center"/>
              <w:rPr>
                <w:rFonts w:hint="eastAsia" w:ascii="宋体" w:hAnsi="宋体" w:eastAsia="宋体" w:cs="宋体"/>
                <w:color w:val="000000" w:themeColor="text1"/>
                <w:sz w:val="24"/>
                <w:szCs w:val="24"/>
                <w:highlight w:val="none"/>
                <w:lang w:val="zh-CN"/>
                <w14:textFill>
                  <w14:solidFill>
                    <w14:schemeClr w14:val="tx1"/>
                  </w14:solidFill>
                </w14:textFill>
              </w:rPr>
            </w:pPr>
          </w:p>
        </w:tc>
        <w:tc>
          <w:tcPr>
            <w:tcW w:w="1623" w:type="dxa"/>
            <w:vAlign w:val="center"/>
          </w:tcPr>
          <w:p>
            <w:pPr>
              <w:pStyle w:val="53"/>
              <w:pageBreakBefore w:val="0"/>
              <w:kinsoku/>
              <w:wordWrap/>
              <w:overflowPunct/>
              <w:topLinePunct w:val="0"/>
              <w:bidi w:val="0"/>
              <w:spacing w:line="360" w:lineRule="auto"/>
              <w:ind w:left="38"/>
              <w:jc w:val="center"/>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失信企业报价加成或者扣分</w:t>
            </w:r>
          </w:p>
          <w:p>
            <w:pPr>
              <w:pStyle w:val="53"/>
              <w:pageBreakBefore w:val="0"/>
              <w:kinsoku/>
              <w:wordWrap/>
              <w:overflowPunct/>
              <w:topLinePunct w:val="0"/>
              <w:bidi w:val="0"/>
              <w:spacing w:line="360" w:lineRule="auto"/>
              <w:ind w:left="38"/>
              <w:jc w:val="center"/>
              <w:rPr>
                <w:rFonts w:hint="eastAsia" w:ascii="宋体" w:hAnsi="宋体" w:eastAsia="宋体" w:cs="宋体"/>
                <w:color w:val="000000" w:themeColor="text1"/>
                <w:sz w:val="24"/>
                <w:szCs w:val="24"/>
                <w:highlight w:val="none"/>
                <w:lang w:val="zh-CN"/>
                <w14:textFill>
                  <w14:solidFill>
                    <w14:schemeClr w14:val="tx1"/>
                  </w14:solidFill>
                </w14:textFill>
              </w:rPr>
            </w:pPr>
          </w:p>
        </w:tc>
        <w:tc>
          <w:tcPr>
            <w:tcW w:w="7280" w:type="dxa"/>
          </w:tcPr>
          <w:p>
            <w:pPr>
              <w:pageBreakBefore w:val="0"/>
              <w:kinsoku/>
              <w:wordWrap/>
              <w:overflowPunct/>
              <w:topLinePunct w:val="0"/>
              <w:bidi w:val="0"/>
              <w:spacing w:line="360" w:lineRule="auto"/>
              <w:ind w:left="120" w:leftChars="50" w:right="120" w:rightChars="50" w:firstLine="420"/>
              <w:rPr>
                <w:rFonts w:hint="eastAsia" w:ascii="宋体" w:hAnsi="宋体" w:eastAsia="宋体" w:cs="宋体"/>
                <w:color w:val="000000" w:themeColor="text1"/>
                <w:kern w:val="0"/>
                <w:sz w:val="24"/>
                <w:szCs w:val="24"/>
                <w:highlight w:val="none"/>
                <w14:textFill>
                  <w14:solidFill>
                    <w14:schemeClr w14:val="tx1"/>
                  </w14:solidFill>
                </w14:textFill>
              </w:rPr>
            </w:pPr>
            <w:bookmarkStart w:id="15" w:name="PO_默认文件内容_13"/>
            <w:r>
              <w:rPr>
                <w:rFonts w:hint="eastAsia" w:ascii="宋体" w:hAnsi="宋体" w:eastAsia="宋体" w:cs="宋体"/>
                <w:color w:val="000000" w:themeColor="text1"/>
                <w:kern w:val="0"/>
                <w:sz w:val="24"/>
                <w:szCs w:val="24"/>
                <w:highlight w:val="none"/>
                <w14:textFill>
                  <w14:solidFill>
                    <w14:schemeClr w14:val="tx1"/>
                  </w14:solidFill>
                </w14:textFill>
              </w:rPr>
              <w:t>1.对记入诚信档案且在有效期内的失信供应商，参加政府采购活动按照10%的报价加成，以加成后报价作为该供应商报价参与评审。供应商失信行为惩戒实行无限制累加制，因其失信行为进行报价加成惩戒后报价超过政府采购预算的，其响应文件按照无效处理。</w:t>
            </w:r>
          </w:p>
          <w:p>
            <w:pPr>
              <w:pageBreakBefore w:val="0"/>
              <w:kinsoku/>
              <w:wordWrap/>
              <w:overflowPunct/>
              <w:topLinePunct w:val="0"/>
              <w:bidi w:val="0"/>
              <w:spacing w:line="360" w:lineRule="auto"/>
              <w:ind w:left="120" w:leftChars="50" w:right="120" w:rightChars="50" w:firstLine="42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2.</w:t>
            </w:r>
            <w:r>
              <w:rPr>
                <w:rFonts w:hint="eastAsia" w:ascii="宋体" w:hAnsi="宋体" w:eastAsia="宋体" w:cs="宋体"/>
                <w:b/>
                <w:bCs/>
                <w:color w:val="000000" w:themeColor="text1"/>
                <w:kern w:val="0"/>
                <w:sz w:val="24"/>
                <w:szCs w:val="24"/>
                <w:highlight w:val="none"/>
                <w14:textFill>
                  <w14:solidFill>
                    <w14:schemeClr w14:val="tx1"/>
                  </w14:solidFill>
                </w14:textFill>
              </w:rPr>
              <w:t>供应商参加政府采购活动时，应当就自己的诚信情况</w:t>
            </w:r>
            <w:r>
              <w:rPr>
                <w:rFonts w:hint="eastAsia" w:ascii="宋体" w:hAnsi="宋体" w:eastAsia="宋体" w:cs="宋体"/>
                <w:b/>
                <w:bCs/>
                <w:color w:val="000000" w:themeColor="text1"/>
                <w:sz w:val="24"/>
                <w:szCs w:val="24"/>
                <w:highlight w:val="none"/>
                <w14:textFill>
                  <w14:solidFill>
                    <w14:schemeClr w14:val="tx1"/>
                  </w14:solidFill>
                </w14:textFill>
              </w:rPr>
              <w:t>在响应文件中进行承诺。</w:t>
            </w:r>
            <w:bookmarkEnd w:id="15"/>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603" w:type="dxa"/>
            <w:vAlign w:val="center"/>
          </w:tcPr>
          <w:p>
            <w:pPr>
              <w:pStyle w:val="53"/>
              <w:pageBreakBefore w:val="0"/>
              <w:kinsoku/>
              <w:wordWrap/>
              <w:overflowPunct/>
              <w:topLinePunct w:val="0"/>
              <w:bidi w:val="0"/>
              <w:spacing w:line="360" w:lineRule="auto"/>
              <w:ind w:right="23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7</w:t>
            </w:r>
          </w:p>
        </w:tc>
        <w:tc>
          <w:tcPr>
            <w:tcW w:w="1623" w:type="dxa"/>
            <w:vAlign w:val="center"/>
          </w:tcPr>
          <w:p>
            <w:pPr>
              <w:pStyle w:val="53"/>
              <w:pageBreakBefore w:val="0"/>
              <w:kinsoku/>
              <w:wordWrap/>
              <w:overflowPunct/>
              <w:topLinePunct w:val="0"/>
              <w:bidi w:val="0"/>
              <w:spacing w:line="360" w:lineRule="auto"/>
              <w:ind w:left="38"/>
              <w:jc w:val="center"/>
              <w:rPr>
                <w:rFonts w:hint="eastAsia" w:ascii="宋体" w:hAnsi="宋体" w:eastAsia="宋体" w:cs="宋体"/>
                <w:color w:val="000000" w:themeColor="text1"/>
                <w:kern w:val="2"/>
                <w:sz w:val="24"/>
                <w:szCs w:val="24"/>
                <w:highlight w:val="none"/>
                <w:lang w:val="zh-CN"/>
                <w14:textFill>
                  <w14:solidFill>
                    <w14:schemeClr w14:val="tx1"/>
                  </w14:solidFill>
                </w14:textFill>
              </w:rPr>
            </w:pPr>
            <w:r>
              <w:rPr>
                <w:rFonts w:hint="eastAsia" w:ascii="宋体" w:hAnsi="宋体" w:eastAsia="宋体" w:cs="宋体"/>
                <w:color w:val="000000" w:themeColor="text1"/>
                <w:kern w:val="2"/>
                <w:sz w:val="24"/>
                <w:szCs w:val="24"/>
                <w:highlight w:val="none"/>
                <w:lang w:val="zh-CN"/>
                <w14:textFill>
                  <w14:solidFill>
                    <w14:schemeClr w14:val="tx1"/>
                  </w14:solidFill>
                </w14:textFill>
              </w:rPr>
              <w:t>国家规定的强制采购范围 （</w:t>
            </w:r>
            <w:r>
              <w:rPr>
                <w:rFonts w:hint="eastAsia" w:cs="宋体"/>
                <w:color w:val="000000" w:themeColor="text1"/>
                <w:kern w:val="2"/>
                <w:sz w:val="24"/>
                <w:szCs w:val="24"/>
                <w:highlight w:val="none"/>
                <w:lang w:val="en-US" w:eastAsia="zh-CN"/>
                <w14:textFill>
                  <w14:solidFill>
                    <w14:schemeClr w14:val="tx1"/>
                  </w14:solidFill>
                </w14:textFill>
              </w:rPr>
              <w:t>如涉及</w:t>
            </w:r>
            <w:r>
              <w:rPr>
                <w:rFonts w:hint="eastAsia" w:ascii="宋体" w:hAnsi="宋体" w:eastAsia="宋体" w:cs="宋体"/>
                <w:color w:val="000000" w:themeColor="text1"/>
                <w:kern w:val="2"/>
                <w:sz w:val="24"/>
                <w:szCs w:val="24"/>
                <w:highlight w:val="none"/>
                <w:lang w:val="zh-CN"/>
                <w14:textFill>
                  <w14:solidFill>
                    <w14:schemeClr w14:val="tx1"/>
                  </w14:solidFill>
                </w14:textFill>
              </w:rPr>
              <w:t>）</w:t>
            </w:r>
          </w:p>
        </w:tc>
        <w:tc>
          <w:tcPr>
            <w:tcW w:w="7280" w:type="dxa"/>
          </w:tcPr>
          <w:p>
            <w:pPr>
              <w:pStyle w:val="53"/>
              <w:pageBreakBefore w:val="0"/>
              <w:kinsoku/>
              <w:wordWrap/>
              <w:overflowPunct/>
              <w:topLinePunct w:val="0"/>
              <w:bidi w:val="0"/>
              <w:spacing w:line="360" w:lineRule="auto"/>
              <w:rPr>
                <w:rFonts w:hint="eastAsia" w:ascii="宋体" w:hAnsi="宋体" w:eastAsia="宋体" w:cs="宋体"/>
                <w:color w:val="000000" w:themeColor="text1"/>
                <w:kern w:val="2"/>
                <w:sz w:val="24"/>
                <w:szCs w:val="24"/>
                <w:highlight w:val="none"/>
                <w:lang w:val="zh-CN"/>
                <w14:textFill>
                  <w14:solidFill>
                    <w14:schemeClr w14:val="tx1"/>
                  </w14:solidFill>
                </w14:textFill>
              </w:rPr>
            </w:pPr>
            <w:r>
              <w:rPr>
                <w:rFonts w:hint="eastAsia" w:ascii="宋体" w:hAnsi="宋体" w:eastAsia="宋体" w:cs="宋体"/>
                <w:color w:val="000000" w:themeColor="text1"/>
                <w:kern w:val="2"/>
                <w:sz w:val="24"/>
                <w:szCs w:val="24"/>
                <w:highlight w:val="none"/>
                <w:lang w:val="zh-CN"/>
                <w14:textFill>
                  <w14:solidFill>
                    <w14:schemeClr w14:val="tx1"/>
                  </w14:solidFill>
                </w14:textFill>
              </w:rPr>
              <w:t>节能、环保、无线局域网产品</w:t>
            </w:r>
          </w:p>
          <w:p>
            <w:pPr>
              <w:pageBreakBefore w:val="0"/>
              <w:numPr>
                <w:ilvl w:val="0"/>
                <w:numId w:val="2"/>
              </w:numPr>
              <w:kinsoku/>
              <w:wordWrap/>
              <w:overflowPunct/>
              <w:topLinePunct w:val="0"/>
              <w:bidi w:val="0"/>
              <w:spacing w:line="360" w:lineRule="auto"/>
              <w:ind w:firstLine="420"/>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pPr>
              <w:pageBreakBefore w:val="0"/>
              <w:numPr>
                <w:ilvl w:val="0"/>
                <w:numId w:val="2"/>
              </w:numPr>
              <w:kinsoku/>
              <w:wordWrap/>
              <w:overflowPunct/>
              <w:topLinePunct w:val="0"/>
              <w:bidi w:val="0"/>
              <w:spacing w:line="360" w:lineRule="auto"/>
              <w:ind w:firstLine="0" w:firstLineChars="0"/>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本项目采购的产品属于品目清单范围内强制采购的，供应商应按上述要求提供产品认证证书复印件并加盖供应商单位公章（鲜章），否则</w:t>
            </w:r>
            <w:r>
              <w:rPr>
                <w:rFonts w:hint="eastAsia" w:ascii="宋体" w:hAnsi="宋体" w:eastAsia="宋体" w:cs="宋体"/>
                <w:color w:val="000000" w:themeColor="text1"/>
                <w:sz w:val="24"/>
                <w:szCs w:val="24"/>
                <w:highlight w:val="none"/>
                <w14:textFill>
                  <w14:solidFill>
                    <w14:schemeClr w14:val="tx1"/>
                  </w14:solidFill>
                </w14:textFill>
              </w:rPr>
              <w:t>响应</w:t>
            </w:r>
            <w:r>
              <w:rPr>
                <w:rFonts w:hint="eastAsia" w:ascii="宋体" w:hAnsi="宋体" w:eastAsia="宋体" w:cs="宋体"/>
                <w:color w:val="000000" w:themeColor="text1"/>
                <w:sz w:val="24"/>
                <w:szCs w:val="24"/>
                <w:highlight w:val="none"/>
                <w:lang w:val="zh-CN"/>
                <w14:textFill>
                  <w14:solidFill>
                    <w14:schemeClr w14:val="tx1"/>
                  </w14:solidFill>
                </w14:textFill>
              </w:rPr>
              <w:t>无效。（实质性要求）</w:t>
            </w:r>
          </w:p>
          <w:p>
            <w:pPr>
              <w:pageBreakBefore w:val="0"/>
              <w:numPr>
                <w:ilvl w:val="0"/>
                <w:numId w:val="2"/>
              </w:numPr>
              <w:kinsoku/>
              <w:wordWrap/>
              <w:overflowPunct/>
              <w:topLinePunct w:val="0"/>
              <w:bidi w:val="0"/>
              <w:spacing w:line="360" w:lineRule="auto"/>
              <w:ind w:firstLine="0" w:firstLineChars="0"/>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本项目采购的产品属于品目清单范围内优先采购的，按照第八章《综合评分明细表》的规则进行加分。</w:t>
            </w:r>
          </w:p>
          <w:p>
            <w:pPr>
              <w:pageBreakBefore w:val="0"/>
              <w:kinsoku/>
              <w:wordWrap/>
              <w:overflowPunct/>
              <w:topLinePunct w:val="0"/>
              <w:bidi w:val="0"/>
              <w:spacing w:line="360" w:lineRule="auto"/>
              <w:ind w:firstLine="420"/>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注：对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w:t>
            </w:r>
          </w:p>
          <w:p>
            <w:pPr>
              <w:pStyle w:val="53"/>
              <w:pageBreakBefore w:val="0"/>
              <w:kinsoku/>
              <w:wordWrap/>
              <w:overflowPunct/>
              <w:topLinePunct w:val="0"/>
              <w:bidi w:val="0"/>
              <w:spacing w:line="360" w:lineRule="auto"/>
              <w:ind w:firstLine="240" w:firstLineChars="100"/>
              <w:jc w:val="both"/>
              <w:rPr>
                <w:rFonts w:hint="eastAsia" w:ascii="宋体" w:hAnsi="宋体" w:eastAsia="宋体" w:cs="宋体"/>
                <w:color w:val="000000" w:themeColor="text1"/>
                <w:kern w:val="2"/>
                <w:sz w:val="24"/>
                <w:szCs w:val="24"/>
                <w:highlight w:val="none"/>
                <w14:textFill>
                  <w14:solidFill>
                    <w14:schemeClr w14:val="tx1"/>
                  </w14:solidFill>
                </w14:textFill>
              </w:rPr>
            </w:pPr>
            <w:r>
              <w:rPr>
                <w:rFonts w:hint="eastAsia" w:ascii="宋体" w:hAnsi="宋体" w:eastAsia="宋体" w:cs="宋体"/>
                <w:color w:val="000000" w:themeColor="text1"/>
                <w:kern w:val="2"/>
                <w:sz w:val="24"/>
                <w:szCs w:val="24"/>
                <w:highlight w:val="none"/>
                <w14:textFill>
                  <w14:solidFill>
                    <w14:schemeClr w14:val="tx1"/>
                  </w14:solidFill>
                </w14:textFill>
              </w:rPr>
              <w:t>4.无线局域网产品政府采购政策：</w:t>
            </w:r>
          </w:p>
          <w:p>
            <w:pPr>
              <w:pStyle w:val="53"/>
              <w:pageBreakBefore w:val="0"/>
              <w:kinsoku/>
              <w:wordWrap/>
              <w:overflowPunct/>
              <w:topLinePunct w:val="0"/>
              <w:bidi w:val="0"/>
              <w:spacing w:line="360" w:lineRule="auto"/>
              <w:ind w:firstLine="240" w:firstLineChars="100"/>
              <w:jc w:val="both"/>
              <w:rPr>
                <w:rFonts w:hint="eastAsia" w:ascii="宋体" w:hAnsi="宋体" w:eastAsia="宋体" w:cs="宋体"/>
                <w:color w:val="000000" w:themeColor="text1"/>
                <w:kern w:val="2"/>
                <w:sz w:val="24"/>
                <w:szCs w:val="24"/>
                <w:highlight w:val="none"/>
                <w14:textFill>
                  <w14:solidFill>
                    <w14:schemeClr w14:val="tx1"/>
                  </w14:solidFill>
                </w14:textFill>
              </w:rPr>
            </w:pPr>
            <w:r>
              <w:rPr>
                <w:rFonts w:hint="eastAsia" w:ascii="宋体" w:hAnsi="宋体" w:eastAsia="宋体" w:cs="宋体"/>
                <w:color w:val="000000" w:themeColor="text1"/>
                <w:kern w:val="2"/>
                <w:sz w:val="24"/>
                <w:szCs w:val="24"/>
                <w:highlight w:val="none"/>
                <w14:textFill>
                  <w14:solidFill>
                    <w14:schemeClr w14:val="tx1"/>
                  </w14:solidFill>
                </w14:textFill>
              </w:rPr>
              <w:t>本项目采购的产品属于中国政府采购网公布的《无线局域网认证产品政府采购清单》的，将按照第八章《综合评分明细表》的规则进行加分。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87" w:hRule="atLeast"/>
          <w:jc w:val="center"/>
        </w:trPr>
        <w:tc>
          <w:tcPr>
            <w:tcW w:w="603" w:type="dxa"/>
            <w:vAlign w:val="center"/>
          </w:tcPr>
          <w:p>
            <w:pPr>
              <w:pStyle w:val="53"/>
              <w:pageBreakBefore w:val="0"/>
              <w:kinsoku/>
              <w:wordWrap/>
              <w:overflowPunct/>
              <w:topLinePunct w:val="0"/>
              <w:bidi w:val="0"/>
              <w:spacing w:line="360" w:lineRule="auto"/>
              <w:ind w:right="230"/>
              <w:jc w:val="center"/>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8</w:t>
            </w:r>
          </w:p>
        </w:tc>
        <w:tc>
          <w:tcPr>
            <w:tcW w:w="1623" w:type="dxa"/>
            <w:vAlign w:val="center"/>
          </w:tcPr>
          <w:p>
            <w:pPr>
              <w:pStyle w:val="53"/>
              <w:pageBreakBefore w:val="0"/>
              <w:kinsoku/>
              <w:wordWrap/>
              <w:overflowPunct/>
              <w:topLinePunct w:val="0"/>
              <w:bidi w:val="0"/>
              <w:spacing w:line="360" w:lineRule="auto"/>
              <w:ind w:left="38"/>
              <w:jc w:val="center"/>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磋商情况公告</w:t>
            </w:r>
          </w:p>
        </w:tc>
        <w:tc>
          <w:tcPr>
            <w:tcW w:w="7280" w:type="dxa"/>
            <w:vAlign w:val="center"/>
          </w:tcPr>
          <w:p>
            <w:pPr>
              <w:pStyle w:val="53"/>
              <w:pageBreakBefore w:val="0"/>
              <w:kinsoku/>
              <w:wordWrap/>
              <w:overflowPunct/>
              <w:topLinePunct w:val="0"/>
              <w:bidi w:val="0"/>
              <w:spacing w:line="360" w:lineRule="auto"/>
              <w:ind w:firstLine="240" w:firstLineChars="100"/>
              <w:jc w:val="both"/>
              <w:rPr>
                <w:rFonts w:hint="eastAsia" w:ascii="宋体" w:hAnsi="宋体" w:eastAsia="宋体" w:cs="宋体"/>
                <w:color w:val="000000" w:themeColor="text1"/>
                <w:sz w:val="24"/>
                <w:szCs w:val="24"/>
                <w:highlight w:val="none"/>
                <w:lang w:val="zh-CN"/>
                <w14:textFill>
                  <w14:solidFill>
                    <w14:schemeClr w14:val="tx1"/>
                  </w14:solidFill>
                </w14:textFill>
              </w:rPr>
            </w:pPr>
            <w:bookmarkStart w:id="16" w:name="PO_默认文件内容_15"/>
            <w:r>
              <w:rPr>
                <w:rFonts w:hint="eastAsia" w:ascii="宋体" w:hAnsi="宋体" w:eastAsia="宋体" w:cs="宋体"/>
                <w:color w:val="000000" w:themeColor="text1"/>
                <w:sz w:val="24"/>
                <w:szCs w:val="24"/>
                <w:highlight w:val="none"/>
                <w:lang w:val="zh-CN"/>
                <w14:textFill>
                  <w14:solidFill>
                    <w14:schemeClr w14:val="tx1"/>
                  </w14:solidFill>
                </w14:textFill>
              </w:rPr>
              <w:t>供应商资格审查情况、磋商情况、报价情况、磋商结果等在四川政府采购网上采购结果公告栏中予以公告。</w:t>
            </w:r>
            <w:bookmarkEnd w:id="16"/>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87" w:hRule="atLeast"/>
          <w:jc w:val="center"/>
        </w:trPr>
        <w:tc>
          <w:tcPr>
            <w:tcW w:w="603" w:type="dxa"/>
            <w:vAlign w:val="center"/>
          </w:tcPr>
          <w:p>
            <w:pPr>
              <w:pStyle w:val="53"/>
              <w:pageBreakBefore w:val="0"/>
              <w:kinsoku/>
              <w:wordWrap/>
              <w:overflowPunct/>
              <w:topLinePunct w:val="0"/>
              <w:bidi w:val="0"/>
              <w:spacing w:line="360" w:lineRule="auto"/>
              <w:ind w:right="230"/>
              <w:jc w:val="center"/>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9</w:t>
            </w:r>
          </w:p>
        </w:tc>
        <w:tc>
          <w:tcPr>
            <w:tcW w:w="1623" w:type="dxa"/>
            <w:vAlign w:val="center"/>
          </w:tcPr>
          <w:p>
            <w:pPr>
              <w:pStyle w:val="53"/>
              <w:pageBreakBefore w:val="0"/>
              <w:kinsoku/>
              <w:wordWrap/>
              <w:overflowPunct/>
              <w:topLinePunct w:val="0"/>
              <w:bidi w:val="0"/>
              <w:spacing w:line="360" w:lineRule="auto"/>
              <w:ind w:left="38"/>
              <w:jc w:val="center"/>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磋商保证金</w:t>
            </w:r>
          </w:p>
        </w:tc>
        <w:tc>
          <w:tcPr>
            <w:tcW w:w="7280" w:type="dxa"/>
            <w:vAlign w:val="center"/>
          </w:tcPr>
          <w:p>
            <w:pPr>
              <w:pStyle w:val="53"/>
              <w:pageBreakBefore w:val="0"/>
              <w:kinsoku/>
              <w:wordWrap/>
              <w:overflowPunct/>
              <w:topLinePunct w:val="0"/>
              <w:bidi w:val="0"/>
              <w:spacing w:line="360" w:lineRule="auto"/>
              <w:ind w:firstLine="240" w:firstLineChars="100"/>
              <w:jc w:val="both"/>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本项目无需缴纳</w:t>
            </w:r>
            <w:r>
              <w:rPr>
                <w:rFonts w:hint="eastAsia" w:ascii="宋体" w:hAnsi="宋体" w:eastAsia="宋体" w:cs="宋体"/>
                <w:color w:val="000000" w:themeColor="text1"/>
                <w:sz w:val="24"/>
                <w:szCs w:val="24"/>
                <w:highlight w:val="none"/>
                <w:lang w:val="en-US" w:eastAsia="zh-CN"/>
                <w14:textFill>
                  <w14:solidFill>
                    <w14:schemeClr w14:val="tx1"/>
                  </w14:solidFill>
                </w14:textFill>
              </w:rPr>
              <w:t>磋商</w:t>
            </w:r>
            <w:r>
              <w:rPr>
                <w:rFonts w:hint="eastAsia" w:ascii="宋体" w:hAnsi="宋体" w:eastAsia="宋体" w:cs="宋体"/>
                <w:color w:val="000000" w:themeColor="text1"/>
                <w:sz w:val="24"/>
                <w:szCs w:val="24"/>
                <w:highlight w:val="none"/>
                <w14:textFill>
                  <w14:solidFill>
                    <w14:schemeClr w14:val="tx1"/>
                  </w14:solidFill>
                </w14:textFill>
              </w:rPr>
              <w:t>保证金</w:t>
            </w:r>
            <w:r>
              <w:rPr>
                <w:rFonts w:hint="eastAsia" w:cs="宋体"/>
                <w:color w:val="000000" w:themeColor="text1"/>
                <w:sz w:val="24"/>
                <w:szCs w:val="24"/>
                <w:highlight w:val="none"/>
                <w:lang w:eastAsia="zh-CN"/>
                <w14:textFill>
                  <w14:solidFill>
                    <w14:schemeClr w14:val="tx1"/>
                  </w14:solidFill>
                </w14:textFill>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15" w:hRule="atLeast"/>
          <w:jc w:val="center"/>
        </w:trPr>
        <w:tc>
          <w:tcPr>
            <w:tcW w:w="603" w:type="dxa"/>
            <w:vAlign w:val="center"/>
          </w:tcPr>
          <w:p>
            <w:pPr>
              <w:pStyle w:val="53"/>
              <w:pageBreakBefore w:val="0"/>
              <w:kinsoku/>
              <w:wordWrap/>
              <w:overflowPunct/>
              <w:topLinePunct w:val="0"/>
              <w:bidi w:val="0"/>
              <w:spacing w:line="360" w:lineRule="auto"/>
              <w:ind w:right="23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10</w:t>
            </w:r>
          </w:p>
        </w:tc>
        <w:tc>
          <w:tcPr>
            <w:tcW w:w="1623" w:type="dxa"/>
            <w:vAlign w:val="center"/>
          </w:tcPr>
          <w:p>
            <w:pPr>
              <w:pStyle w:val="53"/>
              <w:pageBreakBefore w:val="0"/>
              <w:kinsoku/>
              <w:wordWrap/>
              <w:overflowPunct/>
              <w:topLinePunct w:val="0"/>
              <w:bidi w:val="0"/>
              <w:spacing w:line="360" w:lineRule="auto"/>
              <w:ind w:left="38"/>
              <w:jc w:val="center"/>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履约保证金</w:t>
            </w:r>
          </w:p>
        </w:tc>
        <w:tc>
          <w:tcPr>
            <w:tcW w:w="7280" w:type="dxa"/>
            <w:vAlign w:val="center"/>
          </w:tcPr>
          <w:p>
            <w:pPr>
              <w:pStyle w:val="53"/>
              <w:pageBreakBefore w:val="0"/>
              <w:kinsoku/>
              <w:wordWrap/>
              <w:overflowPunct/>
              <w:topLinePunct w:val="0"/>
              <w:bidi w:val="0"/>
              <w:spacing w:line="360" w:lineRule="auto"/>
              <w:ind w:firstLine="240" w:firstLineChars="100"/>
              <w:jc w:val="both"/>
              <w:rPr>
                <w:rFonts w:hint="eastAsia" w:ascii="宋体" w:hAnsi="宋体" w:eastAsia="宋体" w:cs="宋体"/>
                <w:color w:val="000000" w:themeColor="text1"/>
                <w:sz w:val="24"/>
                <w:szCs w:val="24"/>
                <w:highlight w:val="none"/>
                <w:lang w:val="zh-CN"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55" w:hRule="atLeast"/>
          <w:jc w:val="center"/>
        </w:trPr>
        <w:tc>
          <w:tcPr>
            <w:tcW w:w="603" w:type="dxa"/>
            <w:vAlign w:val="center"/>
          </w:tcPr>
          <w:p>
            <w:pPr>
              <w:pStyle w:val="53"/>
              <w:pageBreakBefore w:val="0"/>
              <w:kinsoku/>
              <w:wordWrap/>
              <w:overflowPunct/>
              <w:topLinePunct w:val="0"/>
              <w:bidi w:val="0"/>
              <w:spacing w:line="360" w:lineRule="auto"/>
              <w:ind w:right="23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11</w:t>
            </w:r>
          </w:p>
        </w:tc>
        <w:tc>
          <w:tcPr>
            <w:tcW w:w="1623" w:type="dxa"/>
            <w:vAlign w:val="center"/>
          </w:tcPr>
          <w:p>
            <w:pPr>
              <w:pStyle w:val="53"/>
              <w:pageBreakBefore w:val="0"/>
              <w:kinsoku/>
              <w:wordWrap/>
              <w:overflowPunct/>
              <w:topLinePunct w:val="0"/>
              <w:bidi w:val="0"/>
              <w:spacing w:line="360" w:lineRule="auto"/>
              <w:ind w:left="38"/>
              <w:jc w:val="center"/>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磋商</w:t>
            </w:r>
            <w:r>
              <w:rPr>
                <w:rFonts w:hint="eastAsia" w:ascii="宋体" w:hAnsi="宋体" w:eastAsia="宋体" w:cs="宋体"/>
                <w:color w:val="000000" w:themeColor="text1"/>
                <w:sz w:val="24"/>
                <w:szCs w:val="24"/>
                <w:highlight w:val="none"/>
                <w:lang w:val="zh-CN"/>
                <w14:textFill>
                  <w14:solidFill>
                    <w14:schemeClr w14:val="tx1"/>
                  </w14:solidFill>
                </w14:textFill>
              </w:rPr>
              <w:t>文件咨询</w:t>
            </w:r>
          </w:p>
        </w:tc>
        <w:tc>
          <w:tcPr>
            <w:tcW w:w="7280" w:type="dxa"/>
            <w:vAlign w:val="center"/>
          </w:tcPr>
          <w:p>
            <w:pPr>
              <w:pStyle w:val="53"/>
              <w:pageBreakBefore w:val="0"/>
              <w:kinsoku/>
              <w:wordWrap/>
              <w:overflowPunct/>
              <w:topLinePunct w:val="0"/>
              <w:bidi w:val="0"/>
              <w:spacing w:line="360" w:lineRule="auto"/>
              <w:ind w:firstLine="240" w:firstLineChars="100"/>
              <w:jc w:val="both"/>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联系人：</w:t>
            </w:r>
            <w:r>
              <w:rPr>
                <w:rFonts w:hint="eastAsia"/>
                <w:color w:val="000000" w:themeColor="text1"/>
                <w:sz w:val="24"/>
                <w:highlight w:val="none"/>
                <w:lang w:eastAsia="zh-CN"/>
                <w14:textFill>
                  <w14:solidFill>
                    <w14:schemeClr w14:val="tx1"/>
                  </w14:solidFill>
                </w14:textFill>
              </w:rPr>
              <w:t>王女士、费女士</w:t>
            </w:r>
            <w:r>
              <w:rPr>
                <w:rFonts w:hint="eastAsia" w:ascii="宋体" w:hAnsi="宋体" w:eastAsia="宋体" w:cs="宋体"/>
                <w:color w:val="000000" w:themeColor="text1"/>
                <w:sz w:val="24"/>
                <w:szCs w:val="24"/>
                <w:highlight w:val="none"/>
                <w:lang w:val="zh-CN"/>
                <w14:textFill>
                  <w14:solidFill>
                    <w14:schemeClr w14:val="tx1"/>
                  </w14:solidFill>
                </w14:textFill>
              </w:rPr>
              <w:t xml:space="preserve">    </w:t>
            </w:r>
          </w:p>
          <w:p>
            <w:pPr>
              <w:pStyle w:val="53"/>
              <w:pageBreakBefore w:val="0"/>
              <w:kinsoku/>
              <w:wordWrap/>
              <w:overflowPunct/>
              <w:topLinePunct w:val="0"/>
              <w:bidi w:val="0"/>
              <w:spacing w:line="360" w:lineRule="auto"/>
              <w:ind w:firstLine="240" w:firstLineChars="100"/>
              <w:jc w:val="both"/>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联系电话：028-</w:t>
            </w:r>
            <w:r>
              <w:rPr>
                <w:rFonts w:hint="eastAsia" w:ascii="宋体" w:hAnsi="宋体" w:eastAsia="宋体" w:cs="宋体"/>
                <w:color w:val="000000" w:themeColor="text1"/>
                <w:sz w:val="24"/>
                <w:szCs w:val="24"/>
                <w:highlight w:val="none"/>
                <w:lang w:val="en-US" w:eastAsia="zh-CN"/>
                <w14:textFill>
                  <w14:solidFill>
                    <w14:schemeClr w14:val="tx1"/>
                  </w14:solidFill>
                </w14:textFill>
              </w:rPr>
              <w:t>87456828</w:t>
            </w:r>
            <w:r>
              <w:rPr>
                <w:rFonts w:hint="eastAsia" w:ascii="宋体" w:hAnsi="宋体" w:eastAsia="宋体" w:cs="宋体"/>
                <w:color w:val="000000" w:themeColor="text1"/>
                <w:sz w:val="24"/>
                <w:szCs w:val="24"/>
                <w:highlight w:val="none"/>
                <w:lang w:val="zh-CN"/>
                <w14:textFill>
                  <w14:solidFill>
                    <w14:schemeClr w14:val="tx1"/>
                  </w14:solidFill>
                </w14:textFill>
              </w:rPr>
              <w:t xml:space="preserve">        </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04" w:hRule="atLeast"/>
          <w:jc w:val="center"/>
        </w:trPr>
        <w:tc>
          <w:tcPr>
            <w:tcW w:w="603" w:type="dxa"/>
            <w:vAlign w:val="center"/>
          </w:tcPr>
          <w:p>
            <w:pPr>
              <w:pStyle w:val="53"/>
              <w:pageBreakBefore w:val="0"/>
              <w:kinsoku/>
              <w:wordWrap/>
              <w:overflowPunct/>
              <w:topLinePunct w:val="0"/>
              <w:bidi w:val="0"/>
              <w:spacing w:line="360" w:lineRule="auto"/>
              <w:ind w:right="23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12</w:t>
            </w:r>
          </w:p>
        </w:tc>
        <w:tc>
          <w:tcPr>
            <w:tcW w:w="1623" w:type="dxa"/>
            <w:vAlign w:val="center"/>
          </w:tcPr>
          <w:p>
            <w:pPr>
              <w:pStyle w:val="53"/>
              <w:pageBreakBefore w:val="0"/>
              <w:kinsoku/>
              <w:wordWrap/>
              <w:overflowPunct/>
              <w:topLinePunct w:val="0"/>
              <w:bidi w:val="0"/>
              <w:spacing w:line="360" w:lineRule="auto"/>
              <w:ind w:left="38"/>
              <w:jc w:val="center"/>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磋商过程、结果工作咨询</w:t>
            </w:r>
          </w:p>
        </w:tc>
        <w:tc>
          <w:tcPr>
            <w:tcW w:w="7280" w:type="dxa"/>
            <w:vAlign w:val="center"/>
          </w:tcPr>
          <w:p>
            <w:pPr>
              <w:pStyle w:val="53"/>
              <w:pageBreakBefore w:val="0"/>
              <w:kinsoku/>
              <w:wordWrap/>
              <w:overflowPunct/>
              <w:topLinePunct w:val="0"/>
              <w:bidi w:val="0"/>
              <w:spacing w:line="360" w:lineRule="auto"/>
              <w:ind w:firstLine="240" w:firstLineChars="100"/>
              <w:jc w:val="both"/>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联系人：</w:t>
            </w:r>
            <w:r>
              <w:rPr>
                <w:rFonts w:hint="eastAsia"/>
                <w:color w:val="000000" w:themeColor="text1"/>
                <w:sz w:val="24"/>
                <w:highlight w:val="none"/>
                <w:lang w:eastAsia="zh-CN"/>
                <w14:textFill>
                  <w14:solidFill>
                    <w14:schemeClr w14:val="tx1"/>
                  </w14:solidFill>
                </w14:textFill>
              </w:rPr>
              <w:t>王女士、费女士</w:t>
            </w:r>
            <w:r>
              <w:rPr>
                <w:rFonts w:hint="eastAsia" w:ascii="宋体" w:hAnsi="宋体" w:eastAsia="宋体" w:cs="宋体"/>
                <w:color w:val="000000" w:themeColor="text1"/>
                <w:sz w:val="24"/>
                <w:szCs w:val="24"/>
                <w:highlight w:val="none"/>
                <w:lang w:val="zh-CN"/>
                <w14:textFill>
                  <w14:solidFill>
                    <w14:schemeClr w14:val="tx1"/>
                  </w14:solidFill>
                </w14:textFill>
              </w:rPr>
              <w:t xml:space="preserve">     </w:t>
            </w:r>
          </w:p>
          <w:p>
            <w:pPr>
              <w:pStyle w:val="53"/>
              <w:pageBreakBefore w:val="0"/>
              <w:kinsoku/>
              <w:wordWrap/>
              <w:overflowPunct/>
              <w:topLinePunct w:val="0"/>
              <w:bidi w:val="0"/>
              <w:spacing w:line="360" w:lineRule="auto"/>
              <w:ind w:firstLine="240" w:firstLineChars="100"/>
              <w:jc w:val="both"/>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联系电话：028-</w:t>
            </w:r>
            <w:r>
              <w:rPr>
                <w:rFonts w:hint="eastAsia" w:ascii="宋体" w:hAnsi="宋体" w:eastAsia="宋体" w:cs="宋体"/>
                <w:color w:val="000000" w:themeColor="text1"/>
                <w:sz w:val="24"/>
                <w:szCs w:val="24"/>
                <w:highlight w:val="none"/>
                <w:lang w:val="en-US" w:eastAsia="zh-CN"/>
                <w14:textFill>
                  <w14:solidFill>
                    <w14:schemeClr w14:val="tx1"/>
                  </w14:solidFill>
                </w14:textFill>
              </w:rPr>
              <w:t>87456828</w:t>
            </w:r>
            <w:r>
              <w:rPr>
                <w:rFonts w:hint="eastAsia" w:ascii="宋体" w:hAnsi="宋体" w:eastAsia="宋体" w:cs="宋体"/>
                <w:color w:val="000000" w:themeColor="text1"/>
                <w:sz w:val="24"/>
                <w:szCs w:val="24"/>
                <w:highlight w:val="none"/>
                <w:lang w:val="zh-CN"/>
                <w14:textFill>
                  <w14:solidFill>
                    <w14:schemeClr w14:val="tx1"/>
                  </w14:solidFill>
                </w14:textFill>
              </w:rPr>
              <w:t xml:space="preserve">     </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603" w:type="dxa"/>
            <w:vAlign w:val="center"/>
          </w:tcPr>
          <w:p>
            <w:pPr>
              <w:pStyle w:val="53"/>
              <w:pageBreakBefore w:val="0"/>
              <w:kinsoku/>
              <w:wordWrap/>
              <w:overflowPunct/>
              <w:topLinePunct w:val="0"/>
              <w:bidi w:val="0"/>
              <w:spacing w:line="360" w:lineRule="auto"/>
              <w:ind w:right="23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13</w:t>
            </w:r>
          </w:p>
        </w:tc>
        <w:tc>
          <w:tcPr>
            <w:tcW w:w="1623" w:type="dxa"/>
            <w:vAlign w:val="center"/>
          </w:tcPr>
          <w:p>
            <w:pPr>
              <w:pStyle w:val="53"/>
              <w:pageBreakBefore w:val="0"/>
              <w:kinsoku/>
              <w:wordWrap/>
              <w:overflowPunct/>
              <w:topLinePunct w:val="0"/>
              <w:bidi w:val="0"/>
              <w:spacing w:line="360" w:lineRule="auto"/>
              <w:ind w:left="38"/>
              <w:jc w:val="center"/>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成交通知书领取</w:t>
            </w:r>
          </w:p>
        </w:tc>
        <w:tc>
          <w:tcPr>
            <w:tcW w:w="7280" w:type="dxa"/>
            <w:vAlign w:val="center"/>
          </w:tcPr>
          <w:p>
            <w:pPr>
              <w:pStyle w:val="53"/>
              <w:pageBreakBefore w:val="0"/>
              <w:kinsoku/>
              <w:wordWrap/>
              <w:overflowPunct/>
              <w:topLinePunct w:val="0"/>
              <w:bidi w:val="0"/>
              <w:spacing w:line="360" w:lineRule="auto"/>
              <w:ind w:firstLine="240" w:firstLineChars="100"/>
              <w:rPr>
                <w:rFonts w:hint="eastAsia" w:ascii="宋体" w:hAnsi="宋体" w:eastAsia="宋体" w:cs="宋体"/>
                <w:color w:val="000000" w:themeColor="text1"/>
                <w:sz w:val="24"/>
                <w:szCs w:val="24"/>
                <w:highlight w:val="none"/>
                <w:lang w:val="zh-CN"/>
                <w14:textFill>
                  <w14:solidFill>
                    <w14:schemeClr w14:val="tx1"/>
                  </w14:solidFill>
                </w14:textFill>
              </w:rPr>
            </w:pPr>
            <w:bookmarkStart w:id="17" w:name="PO_默认文件内容_18"/>
            <w:r>
              <w:rPr>
                <w:rFonts w:hint="eastAsia" w:ascii="宋体" w:hAnsi="宋体" w:eastAsia="宋体" w:cs="宋体"/>
                <w:color w:val="000000" w:themeColor="text1"/>
                <w:sz w:val="24"/>
                <w:szCs w:val="24"/>
                <w:highlight w:val="none"/>
                <w:lang w:val="zh-CN"/>
                <w14:textFill>
                  <w14:solidFill>
                    <w14:schemeClr w14:val="tx1"/>
                  </w14:solidFill>
                </w14:textFill>
              </w:rPr>
              <w:t>采购结果公告在四川政府采购网上发布后，请成交供应商凭有效身份证明证件到采购代理机构领取成交通知书。</w:t>
            </w:r>
          </w:p>
          <w:p>
            <w:pPr>
              <w:pStyle w:val="53"/>
              <w:pageBreakBefore w:val="0"/>
              <w:kinsoku/>
              <w:wordWrap/>
              <w:overflowPunct/>
              <w:topLinePunct w:val="0"/>
              <w:bidi w:val="0"/>
              <w:spacing w:line="360" w:lineRule="auto"/>
              <w:ind w:firstLine="240" w:firstLineChars="100"/>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联 系 人：粟女士。</w:t>
            </w:r>
          </w:p>
          <w:p>
            <w:pPr>
              <w:pStyle w:val="53"/>
              <w:pageBreakBefore w:val="0"/>
              <w:kinsoku/>
              <w:wordWrap/>
              <w:overflowPunct/>
              <w:topLinePunct w:val="0"/>
              <w:bidi w:val="0"/>
              <w:spacing w:line="360" w:lineRule="auto"/>
              <w:ind w:firstLine="240" w:firstLineChars="100"/>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 xml:space="preserve">联系电话：028-87654015  </w:t>
            </w:r>
          </w:p>
          <w:p>
            <w:pPr>
              <w:pStyle w:val="53"/>
              <w:pageBreakBefore w:val="0"/>
              <w:kinsoku/>
              <w:wordWrap/>
              <w:overflowPunct/>
              <w:topLinePunct w:val="0"/>
              <w:bidi w:val="0"/>
              <w:spacing w:line="360" w:lineRule="auto"/>
              <w:ind w:firstLine="240" w:firstLineChars="100"/>
              <w:jc w:val="both"/>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地    址：成都市高新区盛和一路88号康普雷斯1栋1单元701</w:t>
            </w:r>
            <w:r>
              <w:rPr>
                <w:rFonts w:hint="eastAsia" w:cs="宋体"/>
                <w:color w:val="000000" w:themeColor="text1"/>
                <w:sz w:val="24"/>
                <w:szCs w:val="24"/>
                <w:highlight w:val="none"/>
                <w:lang w:val="en-US" w:eastAsia="zh-CN"/>
                <w14:textFill>
                  <w14:solidFill>
                    <w14:schemeClr w14:val="tx1"/>
                  </w14:solidFill>
                </w14:textFill>
              </w:rPr>
              <w:t>-1</w:t>
            </w:r>
            <w:r>
              <w:rPr>
                <w:rFonts w:hint="eastAsia" w:ascii="宋体" w:hAnsi="宋体" w:eastAsia="宋体" w:cs="宋体"/>
                <w:color w:val="000000" w:themeColor="text1"/>
                <w:sz w:val="24"/>
                <w:szCs w:val="24"/>
                <w:highlight w:val="none"/>
                <w:lang w:val="zh-CN"/>
                <w14:textFill>
                  <w14:solidFill>
                    <w14:schemeClr w14:val="tx1"/>
                  </w14:solidFill>
                </w14:textFill>
              </w:rPr>
              <w:t>号。</w:t>
            </w:r>
            <w:bookmarkEnd w:id="17"/>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409" w:hRule="atLeast"/>
          <w:jc w:val="center"/>
        </w:trPr>
        <w:tc>
          <w:tcPr>
            <w:tcW w:w="603" w:type="dxa"/>
            <w:vAlign w:val="center"/>
          </w:tcPr>
          <w:p>
            <w:pPr>
              <w:pStyle w:val="53"/>
              <w:pageBreakBefore w:val="0"/>
              <w:kinsoku/>
              <w:wordWrap/>
              <w:overflowPunct/>
              <w:topLinePunct w:val="0"/>
              <w:bidi w:val="0"/>
              <w:spacing w:line="360" w:lineRule="auto"/>
              <w:ind w:right="23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14</w:t>
            </w:r>
          </w:p>
        </w:tc>
        <w:tc>
          <w:tcPr>
            <w:tcW w:w="1623" w:type="dxa"/>
            <w:vAlign w:val="center"/>
          </w:tcPr>
          <w:p>
            <w:pPr>
              <w:pStyle w:val="53"/>
              <w:pageBreakBefore w:val="0"/>
              <w:kinsoku/>
              <w:wordWrap/>
              <w:overflowPunct/>
              <w:topLinePunct w:val="0"/>
              <w:bidi w:val="0"/>
              <w:spacing w:line="360" w:lineRule="auto"/>
              <w:ind w:left="38"/>
              <w:jc w:val="center"/>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供应商咨询、询问、质疑供应商质疑</w:t>
            </w:r>
          </w:p>
        </w:tc>
        <w:tc>
          <w:tcPr>
            <w:tcW w:w="7280" w:type="dxa"/>
          </w:tcPr>
          <w:p>
            <w:pPr>
              <w:pStyle w:val="53"/>
              <w:pageBreakBefore w:val="0"/>
              <w:kinsoku/>
              <w:wordWrap/>
              <w:overflowPunct/>
              <w:topLinePunct w:val="0"/>
              <w:bidi w:val="0"/>
              <w:spacing w:line="360" w:lineRule="auto"/>
              <w:ind w:firstLine="240" w:firstLineChars="100"/>
              <w:jc w:val="both"/>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对于采购文件中资格要求、技术/服务要求、商务要求、评分细则的质疑由采购人负责答复；对于采购过程由四川三盈招标代理有限公司负责答复；对于采购结果由四川三盈招标代理有限公司负责答复。</w:t>
            </w:r>
          </w:p>
          <w:p>
            <w:pPr>
              <w:pStyle w:val="53"/>
              <w:pageBreakBefore w:val="0"/>
              <w:kinsoku/>
              <w:wordWrap/>
              <w:overflowPunct/>
              <w:topLinePunct w:val="0"/>
              <w:bidi w:val="0"/>
              <w:spacing w:line="360" w:lineRule="auto"/>
              <w:ind w:firstLine="240" w:firstLineChars="100"/>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采购人：成都市妇女儿童中心医院</w:t>
            </w:r>
          </w:p>
          <w:p>
            <w:pPr>
              <w:pStyle w:val="53"/>
              <w:pageBreakBefore w:val="0"/>
              <w:kinsoku/>
              <w:wordWrap/>
              <w:overflowPunct/>
              <w:topLinePunct w:val="0"/>
              <w:bidi w:val="0"/>
              <w:spacing w:line="360" w:lineRule="auto"/>
              <w:ind w:firstLine="240" w:firstLineChars="100"/>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联系人：</w:t>
            </w:r>
            <w:r>
              <w:rPr>
                <w:rFonts w:hint="eastAsia" w:cs="宋体"/>
                <w:color w:val="000000" w:themeColor="text1"/>
                <w:sz w:val="24"/>
                <w:szCs w:val="24"/>
                <w:highlight w:val="none"/>
                <w:lang w:val="en-US" w:eastAsia="zh-CN"/>
                <w14:textFill>
                  <w14:solidFill>
                    <w14:schemeClr w14:val="tx1"/>
                  </w14:solidFill>
                </w14:textFill>
              </w:rPr>
              <w:t>方</w:t>
            </w:r>
            <w:r>
              <w:rPr>
                <w:rFonts w:hint="eastAsia" w:ascii="宋体" w:hAnsi="宋体" w:eastAsia="宋体" w:cs="宋体"/>
                <w:color w:val="000000" w:themeColor="text1"/>
                <w:sz w:val="24"/>
                <w:szCs w:val="24"/>
                <w:highlight w:val="none"/>
                <w:lang w:val="zh-CN"/>
                <w14:textFill>
                  <w14:solidFill>
                    <w14:schemeClr w14:val="tx1"/>
                  </w14:solidFill>
                </w14:textFill>
              </w:rPr>
              <w:t>老师</w:t>
            </w:r>
          </w:p>
          <w:p>
            <w:pPr>
              <w:pStyle w:val="53"/>
              <w:pageBreakBefore w:val="0"/>
              <w:kinsoku/>
              <w:wordWrap/>
              <w:overflowPunct/>
              <w:topLinePunct w:val="0"/>
              <w:bidi w:val="0"/>
              <w:spacing w:line="360" w:lineRule="auto"/>
              <w:ind w:firstLine="240" w:firstLineChars="1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联系电话：</w:t>
            </w:r>
            <w:r>
              <w:rPr>
                <w:rFonts w:hint="eastAsia" w:cs="宋体"/>
                <w:color w:val="auto"/>
                <w:sz w:val="24"/>
                <w:szCs w:val="24"/>
                <w:highlight w:val="none"/>
                <w:lang w:val="en-US" w:eastAsia="zh-CN"/>
              </w:rPr>
              <w:t>028-</w:t>
            </w:r>
            <w:r>
              <w:rPr>
                <w:rFonts w:hint="eastAsia" w:ascii="宋体" w:hAnsi="宋体" w:eastAsia="宋体" w:cs="宋体"/>
                <w:color w:val="auto"/>
                <w:sz w:val="24"/>
                <w:szCs w:val="24"/>
                <w:highlight w:val="none"/>
                <w:lang w:val="zh-CN"/>
              </w:rPr>
              <w:t>61866014</w:t>
            </w:r>
          </w:p>
          <w:p>
            <w:pPr>
              <w:pStyle w:val="53"/>
              <w:pageBreakBefore w:val="0"/>
              <w:kinsoku/>
              <w:wordWrap/>
              <w:overflowPunct/>
              <w:topLinePunct w:val="0"/>
              <w:bidi w:val="0"/>
              <w:spacing w:line="360" w:lineRule="auto"/>
              <w:ind w:firstLine="240" w:firstLineChars="100"/>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地址：</w:t>
            </w:r>
            <w:r>
              <w:rPr>
                <w:rFonts w:hint="eastAsia"/>
                <w:color w:val="000000" w:themeColor="text1"/>
                <w:sz w:val="24"/>
                <w:highlight w:val="none"/>
                <w:lang w:val="zh-CN"/>
                <w14:textFill>
                  <w14:solidFill>
                    <w14:schemeClr w14:val="tx1"/>
                  </w14:solidFill>
                </w14:textFill>
              </w:rPr>
              <w:t>成都市西三环外日月大道1617号</w:t>
            </w:r>
            <w:r>
              <w:rPr>
                <w:rFonts w:hint="eastAsia" w:ascii="宋体" w:hAnsi="宋体" w:eastAsia="宋体" w:cs="宋体"/>
                <w:color w:val="000000" w:themeColor="text1"/>
                <w:sz w:val="24"/>
                <w:szCs w:val="24"/>
                <w:highlight w:val="none"/>
                <w:lang w:val="zh-CN"/>
                <w14:textFill>
                  <w14:solidFill>
                    <w14:schemeClr w14:val="tx1"/>
                  </w14:solidFill>
                </w14:textFill>
              </w:rPr>
              <w:t xml:space="preserve"> </w:t>
            </w:r>
          </w:p>
          <w:p>
            <w:pPr>
              <w:pStyle w:val="53"/>
              <w:pageBreakBefore w:val="0"/>
              <w:kinsoku/>
              <w:wordWrap/>
              <w:overflowPunct/>
              <w:topLinePunct w:val="0"/>
              <w:bidi w:val="0"/>
              <w:spacing w:line="360" w:lineRule="auto"/>
              <w:ind w:firstLine="240" w:firstLineChars="100"/>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四川三盈招标代理有限公司</w:t>
            </w:r>
          </w:p>
          <w:p>
            <w:pPr>
              <w:pStyle w:val="53"/>
              <w:pageBreakBefore w:val="0"/>
              <w:kinsoku/>
              <w:wordWrap/>
              <w:overflowPunct/>
              <w:topLinePunct w:val="0"/>
              <w:bidi w:val="0"/>
              <w:spacing w:line="360" w:lineRule="auto"/>
              <w:ind w:firstLine="240" w:firstLineChars="1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联系人：</w:t>
            </w:r>
            <w:r>
              <w:rPr>
                <w:rFonts w:hint="eastAsia" w:cs="宋体"/>
                <w:color w:val="000000" w:themeColor="text1"/>
                <w:sz w:val="24"/>
                <w:szCs w:val="24"/>
                <w:highlight w:val="none"/>
                <w:lang w:val="en-US" w:eastAsia="zh-CN"/>
                <w14:textFill>
                  <w14:solidFill>
                    <w14:schemeClr w14:val="tx1"/>
                  </w14:solidFill>
                </w14:textFill>
              </w:rPr>
              <w:t>王女士、费女士</w:t>
            </w:r>
          </w:p>
          <w:p>
            <w:pPr>
              <w:pStyle w:val="53"/>
              <w:pageBreakBefore w:val="0"/>
              <w:kinsoku/>
              <w:wordWrap/>
              <w:overflowPunct/>
              <w:topLinePunct w:val="0"/>
              <w:bidi w:val="0"/>
              <w:spacing w:line="360" w:lineRule="auto"/>
              <w:ind w:firstLine="240" w:firstLineChars="100"/>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联系电话：0</w:t>
            </w:r>
            <w:r>
              <w:rPr>
                <w:rFonts w:hint="eastAsia" w:ascii="宋体" w:hAnsi="宋体"/>
                <w:color w:val="000000" w:themeColor="text1"/>
                <w:sz w:val="24"/>
                <w:highlight w:val="none"/>
                <w:lang w:val="zh-CN"/>
                <w14:textFill>
                  <w14:solidFill>
                    <w14:schemeClr w14:val="tx1"/>
                  </w14:solidFill>
                </w14:textFill>
              </w:rPr>
              <w:t>28-87</w:t>
            </w:r>
            <w:r>
              <w:rPr>
                <w:rFonts w:hint="eastAsia" w:ascii="宋体" w:hAnsi="宋体"/>
                <w:color w:val="000000" w:themeColor="text1"/>
                <w:sz w:val="24"/>
                <w:highlight w:val="none"/>
                <w:lang w:val="en-US" w:eastAsia="zh-CN"/>
                <w14:textFill>
                  <w14:solidFill>
                    <w14:schemeClr w14:val="tx1"/>
                  </w14:solidFill>
                </w14:textFill>
              </w:rPr>
              <w:t>456828</w:t>
            </w:r>
          </w:p>
          <w:p>
            <w:pPr>
              <w:pStyle w:val="53"/>
              <w:pageBreakBefore w:val="0"/>
              <w:kinsoku/>
              <w:wordWrap/>
              <w:overflowPunct/>
              <w:topLinePunct w:val="0"/>
              <w:bidi w:val="0"/>
              <w:spacing w:line="360" w:lineRule="auto"/>
              <w:ind w:firstLine="240" w:firstLineChars="100"/>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地址：成都市高新区盛和一路88号康普雷斯1栋1单元701号。</w:t>
            </w:r>
          </w:p>
          <w:p>
            <w:pPr>
              <w:pStyle w:val="53"/>
              <w:pageBreakBefore w:val="0"/>
              <w:kinsoku/>
              <w:wordWrap/>
              <w:overflowPunct/>
              <w:topLinePunct w:val="0"/>
              <w:bidi w:val="0"/>
              <w:spacing w:line="360" w:lineRule="auto"/>
              <w:ind w:firstLine="240" w:firstLineChars="100"/>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邮编：610000</w:t>
            </w:r>
          </w:p>
          <w:p>
            <w:pPr>
              <w:pStyle w:val="53"/>
              <w:pageBreakBefore w:val="0"/>
              <w:kinsoku/>
              <w:wordWrap/>
              <w:overflowPunct/>
              <w:topLinePunct w:val="0"/>
              <w:bidi w:val="0"/>
              <w:spacing w:line="360" w:lineRule="auto"/>
              <w:ind w:firstLine="240" w:firstLineChars="100"/>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注：1、根据《中华人民共和国政府采购法》的规定，供应商质疑不得超出磋商文件、磋商过程、磋商结果的范围。</w:t>
            </w:r>
          </w:p>
          <w:p>
            <w:pPr>
              <w:pStyle w:val="53"/>
              <w:pageBreakBefore w:val="0"/>
              <w:kinsoku/>
              <w:wordWrap/>
              <w:overflowPunct/>
              <w:topLinePunct w:val="0"/>
              <w:bidi w:val="0"/>
              <w:spacing w:line="360" w:lineRule="auto"/>
              <w:ind w:firstLine="240" w:firstLineChars="100"/>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2、供应商须在法定质疑期内一次性提出针对同一磋商程序环节的质疑。不得超出磋商文件、磋商过程、磋商结果的范围。</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442" w:hRule="atLeast"/>
          <w:jc w:val="center"/>
        </w:trPr>
        <w:tc>
          <w:tcPr>
            <w:tcW w:w="603" w:type="dxa"/>
            <w:vAlign w:val="center"/>
          </w:tcPr>
          <w:p>
            <w:pPr>
              <w:pStyle w:val="53"/>
              <w:pageBreakBefore w:val="0"/>
              <w:kinsoku/>
              <w:wordWrap/>
              <w:overflowPunct/>
              <w:topLinePunct w:val="0"/>
              <w:bidi w:val="0"/>
              <w:spacing w:line="360" w:lineRule="auto"/>
              <w:ind w:right="23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15</w:t>
            </w:r>
          </w:p>
        </w:tc>
        <w:tc>
          <w:tcPr>
            <w:tcW w:w="1623" w:type="dxa"/>
            <w:vAlign w:val="center"/>
          </w:tcPr>
          <w:p>
            <w:pPr>
              <w:pStyle w:val="53"/>
              <w:pageBreakBefore w:val="0"/>
              <w:kinsoku/>
              <w:wordWrap/>
              <w:overflowPunct/>
              <w:topLinePunct w:val="0"/>
              <w:bidi w:val="0"/>
              <w:spacing w:line="360" w:lineRule="auto"/>
              <w:ind w:left="96"/>
              <w:jc w:val="center"/>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供应商投诉</w:t>
            </w:r>
          </w:p>
        </w:tc>
        <w:tc>
          <w:tcPr>
            <w:tcW w:w="7280" w:type="dxa"/>
            <w:vAlign w:val="center"/>
          </w:tcPr>
          <w:p>
            <w:pPr>
              <w:spacing w:line="360" w:lineRule="auto"/>
              <w:ind w:left="0" w:leftChars="0" w:right="120" w:rightChars="50" w:firstLine="0" w:firstLineChars="0"/>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投诉受理单位：本采购项目同级财政部门，即省级为四川省财政厅，市州级为各市州财政局，区县为各区县财政局</w:t>
            </w:r>
            <w:r>
              <w:rPr>
                <w:rFonts w:hint="eastAsia" w:ascii="宋体" w:hAnsi="宋体"/>
                <w:color w:val="000000" w:themeColor="text1"/>
                <w:sz w:val="24"/>
                <w:highlight w:val="none"/>
                <w:lang w:val="zh-CN"/>
                <w14:textFill>
                  <w14:solidFill>
                    <w14:schemeClr w14:val="tx1"/>
                  </w14:solidFill>
                </w14:textFill>
              </w:rPr>
              <w:t>。</w:t>
            </w:r>
            <w:r>
              <w:rPr>
                <w:rFonts w:hint="eastAsia" w:ascii="宋体" w:hAnsi="宋体"/>
                <w:color w:val="000000" w:themeColor="text1"/>
                <w:sz w:val="24"/>
                <w:highlight w:val="none"/>
                <w14:textFill>
                  <w14:solidFill>
                    <w14:schemeClr w14:val="tx1"/>
                  </w14:solidFill>
                </w14:textFill>
              </w:rPr>
              <w:t xml:space="preserve"> </w:t>
            </w:r>
          </w:p>
          <w:p>
            <w:pPr>
              <w:spacing w:line="360" w:lineRule="auto"/>
              <w:ind w:left="0" w:leftChars="0" w:right="120" w:rightChars="50" w:firstLine="0" w:firstLineChars="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lang w:val="zh-CN"/>
                <w14:textFill>
                  <w14:solidFill>
                    <w14:schemeClr w14:val="tx1"/>
                  </w14:solidFill>
                </w14:textFill>
              </w:rPr>
              <w:t>本项目即成都市财政局。</w:t>
            </w:r>
            <w:r>
              <w:rPr>
                <w:rFonts w:hint="eastAsia" w:ascii="宋体" w:hAnsi="宋体"/>
                <w:color w:val="000000" w:themeColor="text1"/>
                <w:sz w:val="24"/>
                <w:highlight w:val="none"/>
                <w14:textFill>
                  <w14:solidFill>
                    <w14:schemeClr w14:val="tx1"/>
                  </w14:solidFill>
                </w14:textFill>
              </w:rPr>
              <w:t xml:space="preserve"> </w:t>
            </w:r>
          </w:p>
          <w:p>
            <w:pPr>
              <w:pStyle w:val="53"/>
              <w:pageBreakBefore w:val="0"/>
              <w:kinsoku/>
              <w:wordWrap/>
              <w:overflowPunct/>
              <w:topLinePunct w:val="0"/>
              <w:bidi w:val="0"/>
              <w:spacing w:line="360" w:lineRule="auto"/>
              <w:rPr>
                <w:rFonts w:hint="eastAsia" w:ascii="宋体" w:hAnsi="宋体"/>
                <w:color w:val="000000" w:themeColor="text1"/>
                <w:sz w:val="24"/>
                <w:highlight w:val="none"/>
                <w:lang w:val="zh-CN"/>
                <w14:textFill>
                  <w14:solidFill>
                    <w14:schemeClr w14:val="tx1"/>
                  </w14:solidFill>
                </w14:textFill>
              </w:rPr>
            </w:pPr>
            <w:r>
              <w:rPr>
                <w:rFonts w:hint="eastAsia" w:ascii="宋体" w:hAnsi="宋体"/>
                <w:color w:val="000000" w:themeColor="text1"/>
                <w:sz w:val="24"/>
                <w:highlight w:val="none"/>
                <w:lang w:val="zh-CN"/>
                <w14:textFill>
                  <w14:solidFill>
                    <w14:schemeClr w14:val="tx1"/>
                  </w14:solidFill>
                </w14:textFill>
              </w:rPr>
              <w:t xml:space="preserve">联系电话：028-61882648 </w:t>
            </w:r>
          </w:p>
          <w:p>
            <w:pPr>
              <w:pStyle w:val="53"/>
              <w:pageBreakBefore w:val="0"/>
              <w:kinsoku/>
              <w:wordWrap/>
              <w:overflowPunct/>
              <w:topLinePunct w:val="0"/>
              <w:bidi w:val="0"/>
              <w:spacing w:line="360" w:lineRule="auto"/>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地址：成都市锦城大道366号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313" w:hRule="atLeast"/>
          <w:jc w:val="center"/>
        </w:trPr>
        <w:tc>
          <w:tcPr>
            <w:tcW w:w="603" w:type="dxa"/>
            <w:vAlign w:val="center"/>
          </w:tcPr>
          <w:p>
            <w:pPr>
              <w:pStyle w:val="53"/>
              <w:pageBreakBefore w:val="0"/>
              <w:kinsoku/>
              <w:wordWrap/>
              <w:overflowPunct/>
              <w:topLinePunct w:val="0"/>
              <w:bidi w:val="0"/>
              <w:spacing w:line="360" w:lineRule="auto"/>
              <w:ind w:right="23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16</w:t>
            </w:r>
          </w:p>
        </w:tc>
        <w:tc>
          <w:tcPr>
            <w:tcW w:w="1623" w:type="dxa"/>
            <w:vAlign w:val="center"/>
          </w:tcPr>
          <w:p>
            <w:pPr>
              <w:pStyle w:val="53"/>
              <w:pageBreakBefore w:val="0"/>
              <w:kinsoku/>
              <w:wordWrap/>
              <w:overflowPunct/>
              <w:topLinePunct w:val="0"/>
              <w:bidi w:val="0"/>
              <w:spacing w:line="360" w:lineRule="auto"/>
              <w:ind w:left="96"/>
              <w:jc w:val="center"/>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政府采购合同</w:t>
            </w:r>
          </w:p>
          <w:p>
            <w:pPr>
              <w:pStyle w:val="53"/>
              <w:pageBreakBefore w:val="0"/>
              <w:kinsoku/>
              <w:wordWrap/>
              <w:overflowPunct/>
              <w:topLinePunct w:val="0"/>
              <w:bidi w:val="0"/>
              <w:spacing w:line="360" w:lineRule="auto"/>
              <w:ind w:left="96"/>
              <w:jc w:val="center"/>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公告备案</w:t>
            </w:r>
          </w:p>
        </w:tc>
        <w:tc>
          <w:tcPr>
            <w:tcW w:w="7280" w:type="dxa"/>
            <w:vAlign w:val="center"/>
          </w:tcPr>
          <w:p>
            <w:pPr>
              <w:pStyle w:val="53"/>
              <w:pageBreakBefore w:val="0"/>
              <w:kinsoku/>
              <w:wordWrap/>
              <w:overflowPunct/>
              <w:topLinePunct w:val="0"/>
              <w:bidi w:val="0"/>
              <w:spacing w:line="360" w:lineRule="auto"/>
              <w:rPr>
                <w:rFonts w:hint="eastAsia" w:ascii="宋体" w:hAnsi="宋体" w:eastAsia="宋体" w:cs="宋体"/>
                <w:color w:val="000000" w:themeColor="text1"/>
                <w:sz w:val="24"/>
                <w:szCs w:val="24"/>
                <w:highlight w:val="none"/>
                <w:lang w:val="zh-CN"/>
                <w14:textFill>
                  <w14:solidFill>
                    <w14:schemeClr w14:val="tx1"/>
                  </w14:solidFill>
                </w14:textFill>
              </w:rPr>
            </w:pPr>
            <w:bookmarkStart w:id="18" w:name="PO_默认文件内容_20"/>
            <w:r>
              <w:rPr>
                <w:rFonts w:hint="eastAsia" w:ascii="宋体" w:hAnsi="宋体" w:eastAsia="宋体" w:cs="宋体"/>
                <w:color w:val="000000" w:themeColor="text1"/>
                <w:sz w:val="24"/>
                <w:szCs w:val="24"/>
                <w:highlight w:val="none"/>
                <w:lang w:val="zh-CN"/>
                <w14:textFill>
                  <w14:solidFill>
                    <w14:schemeClr w14:val="tx1"/>
                  </w14:solidFill>
                </w14:textFill>
              </w:rPr>
              <w:t>政府采购合同签订之日起2个工作日内，政府采购合同将在四川政府采购网公告；政府采购合同签订之日起七个工作日内，政府采购合同将向采购项目同级财政部门备案。</w:t>
            </w:r>
            <w:bookmarkEnd w:id="18"/>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95" w:hRule="atLeast"/>
          <w:jc w:val="center"/>
        </w:trPr>
        <w:tc>
          <w:tcPr>
            <w:tcW w:w="603" w:type="dxa"/>
            <w:vAlign w:val="center"/>
          </w:tcPr>
          <w:p>
            <w:pPr>
              <w:pStyle w:val="53"/>
              <w:pageBreakBefore w:val="0"/>
              <w:kinsoku/>
              <w:wordWrap/>
              <w:overflowPunct/>
              <w:topLinePunct w:val="0"/>
              <w:bidi w:val="0"/>
              <w:spacing w:line="360" w:lineRule="auto"/>
              <w:ind w:right="23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17</w:t>
            </w:r>
          </w:p>
        </w:tc>
        <w:tc>
          <w:tcPr>
            <w:tcW w:w="1623" w:type="dxa"/>
            <w:vAlign w:val="center"/>
          </w:tcPr>
          <w:p>
            <w:pPr>
              <w:pStyle w:val="53"/>
              <w:pageBreakBefore w:val="0"/>
              <w:kinsoku/>
              <w:wordWrap/>
              <w:overflowPunct/>
              <w:topLinePunct w:val="0"/>
              <w:bidi w:val="0"/>
              <w:spacing w:line="360" w:lineRule="auto"/>
              <w:ind w:left="96"/>
              <w:jc w:val="center"/>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成交服务费</w:t>
            </w:r>
          </w:p>
        </w:tc>
        <w:tc>
          <w:tcPr>
            <w:tcW w:w="7280" w:type="dxa"/>
            <w:vAlign w:val="center"/>
          </w:tcPr>
          <w:p>
            <w:pPr>
              <w:pStyle w:val="66"/>
              <w:spacing w:before="0" w:beforeAutospacing="0" w:afterAutospacing="0" w:line="360" w:lineRule="auto"/>
              <w:ind w:left="0" w:leftChars="0" w:right="57" w:firstLine="480" w:firstLineChars="200"/>
              <w:jc w:val="left"/>
              <w:rPr>
                <w:rFonts w:hint="eastAsia" w:ascii="宋体" w:hAnsi="宋体" w:eastAsia="宋体" w:cs="宋体"/>
                <w:color w:val="000000" w:themeColor="text1"/>
                <w:sz w:val="24"/>
                <w:highlight w:val="none"/>
                <w:lang w:val="zh-CN" w:eastAsia="zh-CN" w:bidi="ar-SA"/>
                <w14:textFill>
                  <w14:solidFill>
                    <w14:schemeClr w14:val="tx1"/>
                  </w14:solidFill>
                </w14:textFill>
              </w:rPr>
            </w:pPr>
            <w:r>
              <w:rPr>
                <w:rFonts w:hint="eastAsia" w:ascii="宋体" w:hAnsi="宋体" w:eastAsia="宋体" w:cs="宋体"/>
                <w:color w:val="000000" w:themeColor="text1"/>
                <w:sz w:val="24"/>
                <w:highlight w:val="none"/>
                <w:lang w:val="zh-CN" w:eastAsia="zh-CN" w:bidi="ar-SA"/>
                <w14:textFill>
                  <w14:solidFill>
                    <w14:schemeClr w14:val="tx1"/>
                  </w14:solidFill>
                </w14:textFill>
              </w:rPr>
              <w:t>根据《四川省政府采购营商环境指标提升专项行动工作方案》中“成本+合理利润”原则,</w:t>
            </w:r>
            <w:r>
              <w:rPr>
                <w:rFonts w:hint="eastAsia" w:ascii="宋体" w:hAnsi="宋体" w:eastAsia="宋体" w:cs="宋体"/>
                <w:color w:val="000000" w:themeColor="text1"/>
                <w:sz w:val="24"/>
                <w:highlight w:val="none"/>
                <w:lang w:val="en-US" w:eastAsia="zh-CN" w:bidi="ar-SA"/>
                <w14:textFill>
                  <w14:solidFill>
                    <w14:schemeClr w14:val="tx1"/>
                  </w14:solidFill>
                </w14:textFill>
              </w:rPr>
              <w:t>向成交供应商收取15000元</w:t>
            </w:r>
            <w:r>
              <w:rPr>
                <w:rFonts w:hint="eastAsia" w:ascii="宋体" w:hAnsi="宋体" w:eastAsia="宋体" w:cs="宋体"/>
                <w:color w:val="000000" w:themeColor="text1"/>
                <w:sz w:val="24"/>
                <w:highlight w:val="none"/>
                <w:lang w:val="zh-CN" w:eastAsia="zh-CN" w:bidi="ar-SA"/>
                <w14:textFill>
                  <w14:solidFill>
                    <w14:schemeClr w14:val="tx1"/>
                  </w14:solidFill>
                </w14:textFill>
              </w:rPr>
              <w:t>:</w:t>
            </w:r>
            <w:r>
              <w:rPr>
                <w:rFonts w:hint="eastAsia" w:ascii="宋体" w:hAnsi="宋体" w:eastAsia="宋体" w:cs="宋体"/>
                <w:b/>
                <w:bCs/>
                <w:color w:val="000000" w:themeColor="text1"/>
                <w:sz w:val="24"/>
                <w:highlight w:val="none"/>
                <w:lang w:val="zh-CN" w:eastAsia="zh-CN" w:bidi="ar-SA"/>
                <w14:textFill>
                  <w14:solidFill>
                    <w14:schemeClr w14:val="tx1"/>
                  </w14:solidFill>
                </w14:textFill>
              </w:rPr>
              <w:t>(注明项目编号、项目名称，以便登记、查询)。</w:t>
            </w:r>
          </w:p>
          <w:p>
            <w:pPr>
              <w:pStyle w:val="66"/>
              <w:spacing w:before="0" w:beforeAutospacing="0" w:afterAutospacing="0" w:line="360" w:lineRule="auto"/>
              <w:ind w:left="0" w:leftChars="0" w:right="57" w:firstLine="0" w:firstLineChars="0"/>
              <w:jc w:val="left"/>
              <w:rPr>
                <w:rFonts w:hint="eastAsia" w:ascii="宋体" w:hAnsi="宋体" w:eastAsia="宋体" w:cs="宋体"/>
                <w:color w:val="000000" w:themeColor="text1"/>
                <w:sz w:val="24"/>
                <w:highlight w:val="none"/>
                <w:lang w:val="zh-CN" w:eastAsia="zh-CN" w:bidi="ar-SA"/>
                <w14:textFill>
                  <w14:solidFill>
                    <w14:schemeClr w14:val="tx1"/>
                  </w14:solidFill>
                </w14:textFill>
              </w:rPr>
            </w:pPr>
            <w:r>
              <w:rPr>
                <w:rFonts w:hint="eastAsia" w:ascii="宋体" w:hAnsi="宋体" w:eastAsia="宋体" w:cs="宋体"/>
                <w:color w:val="000000" w:themeColor="text1"/>
                <w:sz w:val="24"/>
                <w:highlight w:val="none"/>
                <w:lang w:val="zh-CN" w:eastAsia="zh-CN" w:bidi="ar-SA"/>
                <w14:textFill>
                  <w14:solidFill>
                    <w14:schemeClr w14:val="tx1"/>
                  </w14:solidFill>
                </w14:textFill>
              </w:rPr>
              <w:t>收款单位：四川三盈招标代理有限公司</w:t>
            </w:r>
          </w:p>
          <w:p>
            <w:pPr>
              <w:pStyle w:val="66"/>
              <w:spacing w:before="0" w:beforeAutospacing="0" w:line="360" w:lineRule="auto"/>
              <w:ind w:left="0" w:leftChars="0" w:right="57" w:firstLine="0" w:firstLineChars="0"/>
              <w:jc w:val="left"/>
              <w:rPr>
                <w:rFonts w:hint="eastAsia" w:ascii="宋体" w:hAnsi="宋体" w:eastAsia="宋体" w:cs="宋体"/>
                <w:color w:val="000000" w:themeColor="text1"/>
                <w:sz w:val="24"/>
                <w:highlight w:val="none"/>
                <w:lang w:val="zh-CN" w:eastAsia="zh-CN" w:bidi="ar-SA"/>
                <w14:textFill>
                  <w14:solidFill>
                    <w14:schemeClr w14:val="tx1"/>
                  </w14:solidFill>
                </w14:textFill>
              </w:rPr>
            </w:pPr>
            <w:r>
              <w:rPr>
                <w:rFonts w:hint="eastAsia" w:ascii="宋体" w:hAnsi="宋体" w:eastAsia="宋体" w:cs="宋体"/>
                <w:color w:val="000000" w:themeColor="text1"/>
                <w:sz w:val="24"/>
                <w:highlight w:val="none"/>
                <w:lang w:val="zh-CN" w:eastAsia="zh-CN" w:bidi="ar-SA"/>
                <w14:textFill>
                  <w14:solidFill>
                    <w14:schemeClr w14:val="tx1"/>
                  </w14:solidFill>
                </w14:textFill>
              </w:rPr>
              <w:t>开 户 行：工行成都高新天仁路支行</w:t>
            </w:r>
          </w:p>
          <w:p>
            <w:pPr>
              <w:pStyle w:val="53"/>
              <w:pageBreakBefore w:val="0"/>
              <w:kinsoku/>
              <w:wordWrap/>
              <w:overflowPunct/>
              <w:topLinePunct w:val="0"/>
              <w:bidi w:val="0"/>
              <w:spacing w:line="360" w:lineRule="auto"/>
              <w:jc w:val="both"/>
              <w:rPr>
                <w:rFonts w:hint="eastAsia" w:ascii="宋体" w:hAnsi="宋体" w:eastAsia="宋体" w:cs="宋体"/>
                <w:b/>
                <w:bCs/>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highlight w:val="none"/>
                <w:lang w:val="zh-CN" w:eastAsia="zh-CN" w:bidi="ar-SA"/>
                <w14:textFill>
                  <w14:solidFill>
                    <w14:schemeClr w14:val="tx1"/>
                  </w14:solidFill>
                </w14:textFill>
              </w:rPr>
              <w:t>银行账号：4402 2394 1910 0022 932</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95" w:hRule="atLeast"/>
          <w:jc w:val="center"/>
        </w:trPr>
        <w:tc>
          <w:tcPr>
            <w:tcW w:w="603" w:type="dxa"/>
            <w:vAlign w:val="center"/>
          </w:tcPr>
          <w:p>
            <w:pPr>
              <w:pStyle w:val="53"/>
              <w:pageBreakBefore w:val="0"/>
              <w:kinsoku/>
              <w:wordWrap/>
              <w:overflowPunct/>
              <w:topLinePunct w:val="0"/>
              <w:bidi w:val="0"/>
              <w:spacing w:line="360" w:lineRule="auto"/>
              <w:ind w:right="230"/>
              <w:jc w:val="center"/>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cs="宋体"/>
                <w:color w:val="000000" w:themeColor="text1"/>
                <w:sz w:val="24"/>
                <w:szCs w:val="24"/>
                <w:highlight w:val="none"/>
                <w:lang w:val="en-US" w:eastAsia="zh-CN"/>
                <w14:textFill>
                  <w14:solidFill>
                    <w14:schemeClr w14:val="tx1"/>
                  </w14:solidFill>
                </w14:textFill>
              </w:rPr>
              <w:t>18</w:t>
            </w:r>
          </w:p>
        </w:tc>
        <w:tc>
          <w:tcPr>
            <w:tcW w:w="1623" w:type="dxa"/>
            <w:vAlign w:val="center"/>
          </w:tcPr>
          <w:p>
            <w:pPr>
              <w:keepNext w:val="0"/>
              <w:keepLines w:val="0"/>
              <w:pageBreakBefore w:val="0"/>
              <w:widowControl w:val="0"/>
              <w:kinsoku/>
              <w:wordWrap/>
              <w:overflowPunct/>
              <w:topLinePunct w:val="0"/>
              <w:bidi w:val="0"/>
              <w:snapToGrid/>
              <w:spacing w:line="288" w:lineRule="auto"/>
              <w:ind w:left="0" w:leftChars="0" w:firstLine="0" w:firstLineChars="0"/>
              <w:jc w:val="both"/>
              <w:textAlignment w:val="auto"/>
              <w:rPr>
                <w:rFonts w:hint="eastAsia" w:ascii="宋体" w:hAnsi="宋体" w:eastAsia="宋体" w:cs="宋体"/>
                <w:sz w:val="24"/>
                <w:szCs w:val="24"/>
                <w:highlight w:val="none"/>
                <w:lang w:val="zh-CN" w:eastAsia="zh-CN" w:bidi="ar-SA"/>
              </w:rPr>
            </w:pPr>
            <w:r>
              <w:rPr>
                <w:rFonts w:hint="eastAsia" w:ascii="宋体" w:hAnsi="宋体" w:eastAsia="宋体" w:cs="宋体"/>
                <w:sz w:val="24"/>
                <w:szCs w:val="24"/>
                <w:highlight w:val="none"/>
                <w:lang w:val="zh-CN" w:eastAsia="zh-CN" w:bidi="ar-SA"/>
              </w:rPr>
              <w:t>强制认证产品</w:t>
            </w:r>
          </w:p>
          <w:p>
            <w:pPr>
              <w:keepNext w:val="0"/>
              <w:keepLines w:val="0"/>
              <w:pageBreakBefore w:val="0"/>
              <w:widowControl w:val="0"/>
              <w:kinsoku/>
              <w:wordWrap/>
              <w:overflowPunct/>
              <w:topLinePunct w:val="0"/>
              <w:bidi w:val="0"/>
              <w:snapToGrid/>
              <w:spacing w:line="288" w:lineRule="auto"/>
              <w:ind w:left="0" w:leftChars="0" w:firstLine="0" w:firstLineChars="0"/>
              <w:jc w:val="both"/>
              <w:textAlignment w:val="auto"/>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sz w:val="24"/>
                <w:szCs w:val="24"/>
                <w:highlight w:val="none"/>
                <w:lang w:val="zh-CN" w:eastAsia="zh-CN" w:bidi="ar-SA"/>
              </w:rPr>
              <w:t>（实质性</w:t>
            </w:r>
            <w:r>
              <w:rPr>
                <w:rFonts w:hint="eastAsia" w:ascii="宋体" w:hAnsi="宋体" w:eastAsia="宋体" w:cs="宋体"/>
                <w:sz w:val="24"/>
                <w:szCs w:val="24"/>
                <w:highlight w:val="none"/>
                <w:lang w:val="en-US" w:eastAsia="zh-CN" w:bidi="ar-SA"/>
              </w:rPr>
              <w:t>要求）</w:t>
            </w:r>
          </w:p>
        </w:tc>
        <w:tc>
          <w:tcPr>
            <w:tcW w:w="7280" w:type="dxa"/>
            <w:vAlign w:val="center"/>
          </w:tcPr>
          <w:p>
            <w:pPr>
              <w:keepNext w:val="0"/>
              <w:keepLines w:val="0"/>
              <w:pageBreakBefore w:val="0"/>
              <w:widowControl w:val="0"/>
              <w:kinsoku/>
              <w:wordWrap/>
              <w:overflowPunct/>
              <w:topLinePunct w:val="0"/>
              <w:bidi w:val="0"/>
              <w:snapToGrid/>
              <w:spacing w:line="288" w:lineRule="auto"/>
              <w:ind w:firstLine="480" w:firstLineChars="200"/>
              <w:jc w:val="both"/>
              <w:textAlignment w:val="auto"/>
              <w:rPr>
                <w:rFonts w:hint="eastAsia" w:ascii="宋体" w:hAnsi="宋体" w:eastAsia="宋体" w:cs="宋体"/>
                <w:color w:val="000000" w:themeColor="text1"/>
                <w:sz w:val="24"/>
                <w:highlight w:val="none"/>
                <w:lang w:val="zh-CN" w:eastAsia="zh-CN" w:bidi="ar-SA"/>
                <w14:textFill>
                  <w14:solidFill>
                    <w14:schemeClr w14:val="tx1"/>
                  </w14:solidFill>
                </w14:textFill>
              </w:rPr>
            </w:pPr>
            <w:r>
              <w:rPr>
                <w:rFonts w:hint="eastAsia" w:ascii="宋体" w:hAnsi="宋体" w:eastAsia="宋体" w:cs="宋体"/>
                <w:sz w:val="24"/>
                <w:szCs w:val="24"/>
                <w:highlight w:val="none"/>
                <w:lang w:val="en-US" w:eastAsia="zh-CN" w:bidi="ar-SA"/>
              </w:rPr>
              <w:t>如本项目有涉及 CCC 认证产品参与</w:t>
            </w:r>
            <w:r>
              <w:rPr>
                <w:rFonts w:hint="eastAsia" w:hAnsi="宋体" w:cs="宋体"/>
                <w:sz w:val="24"/>
                <w:szCs w:val="24"/>
                <w:highlight w:val="none"/>
                <w:lang w:val="en-US" w:eastAsia="zh-CN" w:bidi="ar-SA"/>
              </w:rPr>
              <w:t>磋商</w:t>
            </w:r>
            <w:r>
              <w:rPr>
                <w:rFonts w:hint="eastAsia" w:ascii="宋体" w:hAnsi="宋体" w:eastAsia="宋体" w:cs="宋体"/>
                <w:sz w:val="24"/>
                <w:szCs w:val="24"/>
                <w:highlight w:val="none"/>
                <w:lang w:val="en-US" w:eastAsia="zh-CN" w:bidi="ar-SA"/>
              </w:rPr>
              <w:t>的，应在</w:t>
            </w:r>
            <w:r>
              <w:rPr>
                <w:rFonts w:hint="eastAsia" w:hAnsi="宋体" w:eastAsia="宋体" w:cs="宋体"/>
                <w:sz w:val="24"/>
                <w:szCs w:val="24"/>
                <w:highlight w:val="none"/>
                <w:lang w:val="en-US" w:eastAsia="zh-CN" w:bidi="ar-SA"/>
              </w:rPr>
              <w:t>响应</w:t>
            </w:r>
            <w:r>
              <w:rPr>
                <w:rFonts w:hint="eastAsia" w:ascii="宋体" w:hAnsi="宋体" w:eastAsia="宋体" w:cs="宋体"/>
                <w:sz w:val="24"/>
                <w:szCs w:val="24"/>
                <w:highlight w:val="none"/>
                <w:lang w:val="en-US" w:eastAsia="zh-CN" w:bidi="ar-SA"/>
              </w:rPr>
              <w:t>文件中提供 CCC 认证证书（复印件）或提供承诺（</w:t>
            </w:r>
            <w:r>
              <w:rPr>
                <w:rFonts w:hint="eastAsia" w:ascii="宋体" w:hAnsi="宋体" w:cs="宋体"/>
                <w:sz w:val="24"/>
                <w:szCs w:val="24"/>
                <w:highlight w:val="none"/>
                <w:lang w:val="en-US" w:eastAsia="zh-CN" w:bidi="ar-SA"/>
              </w:rPr>
              <w:t>磋商</w:t>
            </w:r>
            <w:r>
              <w:rPr>
                <w:rFonts w:hint="eastAsia" w:ascii="宋体" w:hAnsi="宋体" w:eastAsia="宋体" w:cs="宋体"/>
                <w:sz w:val="24"/>
                <w:szCs w:val="24"/>
                <w:highlight w:val="none"/>
                <w:lang w:val="en-US" w:eastAsia="zh-CN" w:bidi="ar-SA"/>
              </w:rPr>
              <w:t>文件另有要求的除外），承诺供应商在签订合同前将 CCC 认证证书（复印件）提供至采购人，</w:t>
            </w:r>
            <w:r>
              <w:rPr>
                <w:rFonts w:hint="eastAsia" w:hAnsi="宋体" w:cs="宋体"/>
                <w:sz w:val="24"/>
                <w:szCs w:val="24"/>
                <w:highlight w:val="none"/>
                <w:lang w:val="en-US" w:eastAsia="zh-CN" w:bidi="ar-SA"/>
              </w:rPr>
              <w:t>磋商</w:t>
            </w:r>
            <w:r>
              <w:rPr>
                <w:rFonts w:hint="eastAsia" w:ascii="宋体" w:hAnsi="宋体" w:eastAsia="宋体" w:cs="宋体"/>
                <w:sz w:val="24"/>
                <w:szCs w:val="24"/>
                <w:highlight w:val="none"/>
                <w:lang w:val="en-US" w:eastAsia="zh-CN" w:bidi="ar-SA"/>
              </w:rPr>
              <w:t>时 CCC 认证证书应在有效期内，未提供或不能提供的视为虚假响应。</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59" w:hRule="atLeast"/>
          <w:jc w:val="center"/>
        </w:trPr>
        <w:tc>
          <w:tcPr>
            <w:tcW w:w="603" w:type="dxa"/>
            <w:vAlign w:val="center"/>
          </w:tcPr>
          <w:p>
            <w:pPr>
              <w:pStyle w:val="53"/>
              <w:pageBreakBefore w:val="0"/>
              <w:kinsoku/>
              <w:wordWrap/>
              <w:overflowPunct/>
              <w:topLinePunct w:val="0"/>
              <w:bidi w:val="0"/>
              <w:spacing w:line="360" w:lineRule="auto"/>
              <w:ind w:right="230"/>
              <w:jc w:val="center"/>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w:t>
            </w:r>
            <w:r>
              <w:rPr>
                <w:rFonts w:hint="eastAsia" w:cs="宋体"/>
                <w:color w:val="000000" w:themeColor="text1"/>
                <w:sz w:val="24"/>
                <w:szCs w:val="24"/>
                <w:highlight w:val="none"/>
                <w:lang w:val="en-US" w:eastAsia="zh-CN"/>
                <w14:textFill>
                  <w14:solidFill>
                    <w14:schemeClr w14:val="tx1"/>
                  </w14:solidFill>
                </w14:textFill>
              </w:rPr>
              <w:t>9</w:t>
            </w:r>
          </w:p>
        </w:tc>
        <w:tc>
          <w:tcPr>
            <w:tcW w:w="1623" w:type="dxa"/>
            <w:vAlign w:val="center"/>
          </w:tcPr>
          <w:p>
            <w:pPr>
              <w:pStyle w:val="53"/>
              <w:pageBreakBefore w:val="0"/>
              <w:kinsoku/>
              <w:wordWrap/>
              <w:overflowPunct/>
              <w:topLinePunct w:val="0"/>
              <w:bidi w:val="0"/>
              <w:spacing w:line="360" w:lineRule="auto"/>
              <w:ind w:left="96"/>
              <w:jc w:val="center"/>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分包</w:t>
            </w:r>
          </w:p>
        </w:tc>
        <w:tc>
          <w:tcPr>
            <w:tcW w:w="7280" w:type="dxa"/>
            <w:vAlign w:val="center"/>
          </w:tcPr>
          <w:p>
            <w:pPr>
              <w:pStyle w:val="53"/>
              <w:pageBreakBefore w:val="0"/>
              <w:kinsoku/>
              <w:wordWrap/>
              <w:overflowPunct/>
              <w:topLinePunct w:val="0"/>
              <w:bidi w:val="0"/>
              <w:spacing w:line="360" w:lineRule="auto"/>
              <w:jc w:val="both"/>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cs="宋体"/>
                <w:color w:val="000000" w:themeColor="text1"/>
                <w:sz w:val="24"/>
                <w:szCs w:val="24"/>
                <w:highlight w:val="none"/>
                <w:lang w:val="en-US" w:eastAsia="zh-CN"/>
                <w14:textFill>
                  <w14:solidFill>
                    <w14:schemeClr w14:val="tx1"/>
                  </w14:solidFill>
                </w14:textFill>
              </w:rPr>
              <w:t>不</w:t>
            </w:r>
            <w:r>
              <w:rPr>
                <w:rFonts w:hint="eastAsia" w:ascii="宋体" w:hAnsi="宋体" w:eastAsia="宋体" w:cs="宋体"/>
                <w:color w:val="000000" w:themeColor="text1"/>
                <w:sz w:val="24"/>
                <w:szCs w:val="24"/>
                <w:highlight w:val="none"/>
                <w:lang w:val="zh-CN"/>
                <w14:textFill>
                  <w14:solidFill>
                    <w14:schemeClr w14:val="tx1"/>
                  </w14:solidFill>
                </w14:textFill>
              </w:rPr>
              <w:t>允许分包</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603" w:type="dxa"/>
            <w:vAlign w:val="center"/>
          </w:tcPr>
          <w:p>
            <w:pPr>
              <w:pStyle w:val="53"/>
              <w:pageBreakBefore w:val="0"/>
              <w:kinsoku/>
              <w:wordWrap/>
              <w:overflowPunct/>
              <w:topLinePunct w:val="0"/>
              <w:bidi w:val="0"/>
              <w:spacing w:line="360" w:lineRule="auto"/>
              <w:ind w:right="230"/>
              <w:jc w:val="center"/>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cs="宋体"/>
                <w:color w:val="000000" w:themeColor="text1"/>
                <w:sz w:val="24"/>
                <w:szCs w:val="24"/>
                <w:highlight w:val="none"/>
                <w:lang w:val="en-US" w:eastAsia="zh-CN"/>
                <w14:textFill>
                  <w14:solidFill>
                    <w14:schemeClr w14:val="tx1"/>
                  </w14:solidFill>
                </w14:textFill>
              </w:rPr>
              <w:t>20</w:t>
            </w:r>
          </w:p>
        </w:tc>
        <w:tc>
          <w:tcPr>
            <w:tcW w:w="1623" w:type="dxa"/>
            <w:vAlign w:val="center"/>
          </w:tcPr>
          <w:p>
            <w:pPr>
              <w:pageBreakBefore w:val="0"/>
              <w:kinsoku/>
              <w:wordWrap/>
              <w:overflowPunct/>
              <w:topLinePunct w:val="0"/>
              <w:bidi w:val="0"/>
              <w:spacing w:line="360" w:lineRule="auto"/>
              <w:ind w:firstLine="480" w:firstLineChars="200"/>
              <w:jc w:val="center"/>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信用融资</w:t>
            </w:r>
          </w:p>
        </w:tc>
        <w:tc>
          <w:tcPr>
            <w:tcW w:w="7280" w:type="dxa"/>
            <w:vAlign w:val="center"/>
          </w:tcPr>
          <w:p>
            <w:pPr>
              <w:pStyle w:val="66"/>
              <w:pageBreakBefore w:val="0"/>
              <w:kinsoku/>
              <w:wordWrap/>
              <w:overflowPunct/>
              <w:topLinePunct w:val="0"/>
              <w:bidi w:val="0"/>
              <w:spacing w:before="109" w:line="360" w:lineRule="auto"/>
              <w:ind w:left="107" w:right="57"/>
              <w:jc w:val="left"/>
              <w:rPr>
                <w:rFonts w:hint="eastAsia" w:ascii="宋体" w:hAnsi="宋体" w:eastAsia="宋体" w:cs="宋体"/>
                <w:color w:val="000000" w:themeColor="text1"/>
                <w:sz w:val="24"/>
                <w:szCs w:val="24"/>
                <w:highlight w:val="none"/>
                <w:lang w:val="en-US" w:bidi="ar-SA"/>
                <w14:textFill>
                  <w14:solidFill>
                    <w14:schemeClr w14:val="tx1"/>
                  </w14:solidFill>
                </w14:textFill>
              </w:rPr>
            </w:pPr>
            <w:r>
              <w:rPr>
                <w:rFonts w:hint="eastAsia" w:ascii="宋体" w:hAnsi="宋体" w:eastAsia="宋体" w:cs="宋体"/>
                <w:color w:val="000000" w:themeColor="text1"/>
                <w:sz w:val="24"/>
                <w:szCs w:val="24"/>
                <w:highlight w:val="none"/>
                <w:lang w:val="en-US" w:bidi="ar-SA"/>
                <w14:textFill>
                  <w14:solidFill>
                    <w14:schemeClr w14:val="tx1"/>
                  </w14:solidFill>
                </w14:textFill>
              </w:rPr>
              <w:t>政府采购供应商信用融资，是指银行以政府采购供应商信用审查和政府采购信誉为基础，依托政府采购合同，按优于一般企业的贷款程序和利率， 直接向申请贷款的供应商发放无财产抵押贷款的一种融资模式。</w:t>
            </w:r>
          </w:p>
          <w:p>
            <w:pPr>
              <w:pageBreakBefore w:val="0"/>
              <w:kinsoku/>
              <w:wordWrap/>
              <w:overflowPunct/>
              <w:topLinePunct w:val="0"/>
              <w:bidi w:val="0"/>
              <w:spacing w:line="360" w:lineRule="auto"/>
              <w:ind w:right="120" w:rightChars="50" w:firstLine="480" w:firstLineChars="200"/>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财政部门推进政府采购供应商信用融资工作，银行和供应商按照自愿原则参与。供应商自愿选择是否申请信用融资，银行依据其内部审查制度和决策程序决定是否为供应商提供融资，自担风险。有融资需求的供应商可详见《四川省财政厅关于推进四川省政府采购供应商信用融资工作的通知》（川财采〔2018〕123 号）、《成都市财政局 中国人民银行成都分行营业管理部关于印发&lt;成都市中小企业政府采购信用融资暂行办法&gt;和&lt;成都市级支持中小企业政府采购信用融资实施方案&gt;的通知》（成财采【2019】17号）规定等相关规定，上述文件及详细情形见附件。</w:t>
            </w:r>
          </w:p>
        </w:tc>
      </w:tr>
    </w:tbl>
    <w:p>
      <w:pPr>
        <w:pStyle w:val="12"/>
        <w:pageBreakBefore w:val="0"/>
        <w:kinsoku/>
        <w:wordWrap/>
        <w:overflowPunct/>
        <w:topLinePunct w:val="0"/>
        <w:bidi w:val="0"/>
        <w:spacing w:line="480" w:lineRule="auto"/>
        <w:ind w:firstLine="480"/>
        <w:rPr>
          <w:rFonts w:hint="eastAsia" w:ascii="宋体" w:hAnsi="宋体" w:eastAsia="宋体" w:cs="宋体"/>
          <w:color w:val="000000" w:themeColor="text1"/>
          <w:sz w:val="28"/>
          <w:szCs w:val="28"/>
          <w:highlight w:val="none"/>
          <w14:textFill>
            <w14:solidFill>
              <w14:schemeClr w14:val="tx1"/>
            </w14:solidFill>
          </w14:textFill>
        </w:rPr>
      </w:pPr>
    </w:p>
    <w:p>
      <w:pPr>
        <w:pageBreakBefore w:val="0"/>
        <w:widowControl/>
        <w:kinsoku/>
        <w:wordWrap/>
        <w:overflowPunct/>
        <w:topLinePunct w:val="0"/>
        <w:bidi w:val="0"/>
        <w:spacing w:line="480" w:lineRule="auto"/>
        <w:ind w:firstLine="480"/>
        <w:jc w:val="left"/>
        <w:rPr>
          <w:rFonts w:hint="eastAsia" w:ascii="宋体" w:hAnsi="宋体" w:eastAsia="宋体" w:cs="宋体"/>
          <w:b/>
          <w:color w:val="000000" w:themeColor="text1"/>
          <w:sz w:val="28"/>
          <w:szCs w:val="28"/>
          <w:highlight w:val="none"/>
          <w14:textFill>
            <w14:solidFill>
              <w14:schemeClr w14:val="tx1"/>
            </w14:solidFill>
          </w14:textFill>
        </w:rPr>
      </w:pPr>
      <w:r>
        <w:rPr>
          <w:rFonts w:hint="eastAsia" w:ascii="宋体" w:hAnsi="宋体" w:eastAsia="宋体" w:cs="宋体"/>
          <w:bCs/>
          <w:color w:val="000000" w:themeColor="text1"/>
          <w:sz w:val="28"/>
          <w:szCs w:val="28"/>
          <w:highlight w:val="none"/>
          <w14:textFill>
            <w14:solidFill>
              <w14:schemeClr w14:val="tx1"/>
            </w14:solidFill>
          </w14:textFill>
        </w:rPr>
        <w:br w:type="page"/>
      </w:r>
    </w:p>
    <w:p>
      <w:pPr>
        <w:pStyle w:val="4"/>
        <w:pageBreakBefore w:val="0"/>
        <w:kinsoku/>
        <w:wordWrap/>
        <w:overflowPunct/>
        <w:topLinePunct w:val="0"/>
        <w:bidi w:val="0"/>
        <w:spacing w:line="360" w:lineRule="auto"/>
        <w:ind w:firstLine="643"/>
        <w:rPr>
          <w:rFonts w:hint="eastAsia" w:ascii="宋体" w:hAnsi="宋体" w:eastAsia="宋体" w:cs="宋体"/>
          <w:color w:val="000000" w:themeColor="text1"/>
          <w:sz w:val="24"/>
          <w:szCs w:val="24"/>
          <w:highlight w:val="none"/>
          <w14:textFill>
            <w14:solidFill>
              <w14:schemeClr w14:val="tx1"/>
            </w14:solidFill>
          </w14:textFill>
        </w:rPr>
      </w:pPr>
      <w:bookmarkStart w:id="19" w:name="PO_默认文件内容_24"/>
      <w:r>
        <w:rPr>
          <w:rFonts w:hint="eastAsia" w:ascii="宋体" w:hAnsi="宋体" w:eastAsia="宋体" w:cs="宋体"/>
          <w:color w:val="000000" w:themeColor="text1"/>
          <w:sz w:val="24"/>
          <w:szCs w:val="24"/>
          <w:highlight w:val="none"/>
          <w14:textFill>
            <w14:solidFill>
              <w14:schemeClr w14:val="tx1"/>
            </w14:solidFill>
          </w14:textFill>
        </w:rPr>
        <w:t>二、总  则</w:t>
      </w:r>
      <w:bookmarkStart w:id="20" w:name="_Toc183682342"/>
      <w:bookmarkStart w:id="21" w:name="_Toc183582205"/>
      <w:bookmarkStart w:id="22" w:name="_Toc217446034"/>
    </w:p>
    <w:p>
      <w:pPr>
        <w:pStyle w:val="5"/>
        <w:pageBreakBefore w:val="0"/>
        <w:kinsoku/>
        <w:wordWrap/>
        <w:overflowPunct/>
        <w:topLinePunct w:val="0"/>
        <w:bidi w:val="0"/>
        <w:spacing w:after="0" w:afterAutospacing="0" w:line="360" w:lineRule="auto"/>
        <w:ind w:firstLine="482"/>
        <w:rPr>
          <w:rFonts w:hint="eastAsia" w:ascii="宋体" w:hAnsi="宋体" w:eastAsia="宋体" w:cs="宋体"/>
          <w:color w:val="000000" w:themeColor="text1"/>
          <w:sz w:val="24"/>
          <w:szCs w:val="24"/>
          <w:highlight w:val="none"/>
          <w14:textFill>
            <w14:solidFill>
              <w14:schemeClr w14:val="tx1"/>
            </w14:solidFill>
          </w14:textFill>
        </w:rPr>
      </w:pPr>
      <w:bookmarkStart w:id="23" w:name="PO_默认文件内容_23"/>
      <w:r>
        <w:rPr>
          <w:rFonts w:hint="eastAsia" w:ascii="宋体" w:hAnsi="宋体" w:eastAsia="宋体" w:cs="宋体"/>
          <w:color w:val="000000" w:themeColor="text1"/>
          <w:sz w:val="24"/>
          <w:szCs w:val="24"/>
          <w:highlight w:val="none"/>
          <w14:textFill>
            <w14:solidFill>
              <w14:schemeClr w14:val="tx1"/>
            </w14:solidFill>
          </w14:textFill>
        </w:rPr>
        <w:t>1.</w:t>
      </w:r>
      <w:bookmarkEnd w:id="20"/>
      <w:bookmarkEnd w:id="21"/>
      <w:r>
        <w:rPr>
          <w:rFonts w:hint="eastAsia" w:ascii="宋体" w:hAnsi="宋体" w:eastAsia="宋体" w:cs="宋体"/>
          <w:color w:val="000000" w:themeColor="text1"/>
          <w:sz w:val="24"/>
          <w:szCs w:val="24"/>
          <w:highlight w:val="none"/>
          <w14:textFill>
            <w14:solidFill>
              <w14:schemeClr w14:val="tx1"/>
            </w14:solidFill>
          </w14:textFill>
        </w:rPr>
        <w:t>适用范围</w:t>
      </w:r>
      <w:bookmarkEnd w:id="22"/>
    </w:p>
    <w:p>
      <w:pPr>
        <w:pageBreakBefore w:val="0"/>
        <w:tabs>
          <w:tab w:val="left" w:pos="7665"/>
        </w:tabs>
        <w:kinsoku/>
        <w:wordWrap/>
        <w:overflowPunct/>
        <w:topLinePunct w:val="0"/>
        <w:bidi w:val="0"/>
        <w:spacing w:beforeAutospacing="0"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1.1 本磋商文件仅适用于本次磋商采购项目。</w:t>
      </w:r>
    </w:p>
    <w:p>
      <w:pPr>
        <w:pageBreakBefore w:val="0"/>
        <w:tabs>
          <w:tab w:val="left" w:pos="7665"/>
        </w:tabs>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1.2 本磋商文件的解释权归采购人和采购代理机构所有。</w:t>
      </w:r>
      <w:bookmarkEnd w:id="23"/>
    </w:p>
    <w:p>
      <w:pPr>
        <w:pStyle w:val="5"/>
        <w:keepNext w:val="0"/>
        <w:keepLines w:val="0"/>
        <w:pageBreakBefore w:val="0"/>
        <w:kinsoku/>
        <w:wordWrap/>
        <w:overflowPunct/>
        <w:topLinePunct w:val="0"/>
        <w:bidi w:val="0"/>
        <w:spacing w:before="0" w:after="0" w:line="360" w:lineRule="auto"/>
        <w:ind w:firstLine="482"/>
        <w:rPr>
          <w:rFonts w:hint="eastAsia" w:ascii="宋体" w:hAnsi="宋体" w:eastAsia="宋体" w:cs="宋体"/>
          <w:color w:val="000000" w:themeColor="text1"/>
          <w:sz w:val="24"/>
          <w:szCs w:val="24"/>
          <w:highlight w:val="none"/>
          <w14:textFill>
            <w14:solidFill>
              <w14:schemeClr w14:val="tx1"/>
            </w14:solidFill>
          </w14:textFill>
        </w:rPr>
      </w:pPr>
      <w:bookmarkStart w:id="24" w:name="_Toc183682343"/>
      <w:bookmarkStart w:id="25" w:name="_Toc217446035"/>
      <w:bookmarkStart w:id="26" w:name="_Toc183582206"/>
      <w:r>
        <w:rPr>
          <w:rFonts w:hint="eastAsia" w:ascii="宋体" w:hAnsi="宋体" w:eastAsia="宋体" w:cs="宋体"/>
          <w:color w:val="000000" w:themeColor="text1"/>
          <w:sz w:val="24"/>
          <w:szCs w:val="24"/>
          <w:highlight w:val="none"/>
          <w14:textFill>
            <w14:solidFill>
              <w14:schemeClr w14:val="tx1"/>
            </w14:solidFill>
          </w14:textFill>
        </w:rPr>
        <w:t>2.</w:t>
      </w:r>
      <w:bookmarkEnd w:id="24"/>
      <w:bookmarkEnd w:id="25"/>
      <w:bookmarkEnd w:id="26"/>
      <w:r>
        <w:rPr>
          <w:rFonts w:hint="eastAsia" w:ascii="宋体" w:hAnsi="宋体" w:eastAsia="宋体" w:cs="宋体"/>
          <w:color w:val="000000" w:themeColor="text1"/>
          <w:sz w:val="24"/>
          <w:szCs w:val="24"/>
          <w:highlight w:val="none"/>
          <w14:textFill>
            <w14:solidFill>
              <w14:schemeClr w14:val="tx1"/>
            </w14:solidFill>
          </w14:textFill>
        </w:rPr>
        <w:t>采购主体</w:t>
      </w:r>
    </w:p>
    <w:p>
      <w:pPr>
        <w:pageBreakBefore w:val="0"/>
        <w:tabs>
          <w:tab w:val="left" w:pos="7665"/>
        </w:tabs>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2.1本次磋商的采购人是</w:t>
      </w:r>
      <w:r>
        <w:rPr>
          <w:rFonts w:hint="eastAsia" w:ascii="宋体" w:hAnsi="宋体" w:cs="宋体"/>
          <w:color w:val="000000" w:themeColor="text1"/>
          <w:sz w:val="24"/>
          <w:szCs w:val="24"/>
          <w:highlight w:val="none"/>
          <w:u w:val="single"/>
          <w:lang w:eastAsia="zh-CN"/>
          <w14:textFill>
            <w14:solidFill>
              <w14:schemeClr w14:val="tx1"/>
            </w14:solidFill>
          </w14:textFill>
        </w:rPr>
        <w:t>成都市妇女儿童中心医院</w:t>
      </w:r>
      <w:r>
        <w:rPr>
          <w:rFonts w:hint="eastAsia" w:ascii="宋体" w:hAnsi="宋体" w:eastAsia="宋体" w:cs="宋体"/>
          <w:color w:val="000000" w:themeColor="text1"/>
          <w:sz w:val="24"/>
          <w:szCs w:val="24"/>
          <w:highlight w:val="none"/>
          <w14:textFill>
            <w14:solidFill>
              <w14:schemeClr w14:val="tx1"/>
            </w14:solidFill>
          </w14:textFill>
        </w:rPr>
        <w:t>。</w:t>
      </w:r>
    </w:p>
    <w:p>
      <w:pPr>
        <w:pageBreakBefore w:val="0"/>
        <w:tabs>
          <w:tab w:val="left" w:pos="7665"/>
        </w:tabs>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2.2本次磋商的采购代理机构是</w:t>
      </w:r>
      <w:r>
        <w:rPr>
          <w:rFonts w:hint="eastAsia" w:ascii="宋体" w:hAnsi="宋体" w:eastAsia="宋体" w:cs="宋体"/>
          <w:color w:val="000000" w:themeColor="text1"/>
          <w:sz w:val="24"/>
          <w:szCs w:val="24"/>
          <w:highlight w:val="none"/>
          <w:u w:val="single"/>
          <w14:textFill>
            <w14:solidFill>
              <w14:schemeClr w14:val="tx1"/>
            </w14:solidFill>
          </w14:textFill>
        </w:rPr>
        <w:t>四川三盈招标代理有限公司</w:t>
      </w:r>
      <w:r>
        <w:rPr>
          <w:rFonts w:hint="eastAsia" w:ascii="宋体" w:hAnsi="宋体" w:eastAsia="宋体" w:cs="宋体"/>
          <w:color w:val="000000" w:themeColor="text1"/>
          <w:sz w:val="24"/>
          <w:szCs w:val="24"/>
          <w:highlight w:val="none"/>
          <w14:textFill>
            <w14:solidFill>
              <w14:schemeClr w14:val="tx1"/>
            </w14:solidFill>
          </w14:textFill>
        </w:rPr>
        <w:t>。</w:t>
      </w:r>
    </w:p>
    <w:p>
      <w:pPr>
        <w:pStyle w:val="5"/>
        <w:keepNext w:val="0"/>
        <w:keepLines w:val="0"/>
        <w:pageBreakBefore w:val="0"/>
        <w:kinsoku/>
        <w:wordWrap/>
        <w:overflowPunct/>
        <w:topLinePunct w:val="0"/>
        <w:bidi w:val="0"/>
        <w:spacing w:before="0" w:after="0" w:line="360" w:lineRule="auto"/>
        <w:ind w:firstLine="482"/>
        <w:rPr>
          <w:rFonts w:hint="eastAsia" w:ascii="宋体" w:hAnsi="宋体" w:eastAsia="宋体" w:cs="宋体"/>
          <w:color w:val="000000" w:themeColor="text1"/>
          <w:sz w:val="24"/>
          <w:szCs w:val="24"/>
          <w:highlight w:val="none"/>
          <w14:textFill>
            <w14:solidFill>
              <w14:schemeClr w14:val="tx1"/>
            </w14:solidFill>
          </w14:textFill>
        </w:rPr>
      </w:pPr>
      <w:bookmarkStart w:id="27" w:name="_Toc183582207"/>
      <w:bookmarkStart w:id="28" w:name="_Toc183682344"/>
      <w:bookmarkStart w:id="29" w:name="_Toc217446036"/>
      <w:bookmarkStart w:id="30" w:name="_Toc217390843"/>
      <w:r>
        <w:rPr>
          <w:rFonts w:hint="eastAsia" w:ascii="宋体" w:hAnsi="宋体" w:eastAsia="宋体" w:cs="宋体"/>
          <w:color w:val="000000" w:themeColor="text1"/>
          <w:sz w:val="24"/>
          <w:szCs w:val="24"/>
          <w:highlight w:val="none"/>
          <w14:textFill>
            <w14:solidFill>
              <w14:schemeClr w14:val="tx1"/>
            </w14:solidFill>
          </w14:textFill>
        </w:rPr>
        <w:t>3. 合格</w:t>
      </w:r>
      <w:bookmarkEnd w:id="27"/>
      <w:bookmarkEnd w:id="28"/>
      <w:bookmarkEnd w:id="29"/>
      <w:bookmarkEnd w:id="30"/>
      <w:r>
        <w:rPr>
          <w:rFonts w:hint="eastAsia" w:ascii="宋体" w:hAnsi="宋体" w:eastAsia="宋体" w:cs="宋体"/>
          <w:color w:val="000000" w:themeColor="text1"/>
          <w:sz w:val="24"/>
          <w:szCs w:val="24"/>
          <w:highlight w:val="none"/>
          <w14:textFill>
            <w14:solidFill>
              <w14:schemeClr w14:val="tx1"/>
            </w14:solidFill>
          </w14:textFill>
        </w:rPr>
        <w:t>供应商（实质性要求）</w:t>
      </w:r>
    </w:p>
    <w:p>
      <w:pPr>
        <w:pageBreakBefore w:val="0"/>
        <w:tabs>
          <w:tab w:val="left" w:pos="7665"/>
        </w:tabs>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合格供应商应具备以下条件：</w:t>
      </w:r>
    </w:p>
    <w:p>
      <w:pPr>
        <w:pageBreakBefore w:val="0"/>
        <w:tabs>
          <w:tab w:val="left" w:pos="7665"/>
        </w:tabs>
        <w:kinsoku/>
        <w:wordWrap/>
        <w:overflowPunct/>
        <w:topLinePunct w:val="0"/>
        <w:bidi w:val="0"/>
        <w:spacing w:line="360" w:lineRule="auto"/>
        <w:ind w:firstLine="480"/>
        <w:rPr>
          <w:rFonts w:hint="eastAsia" w:ascii="宋体" w:hAnsi="宋体" w:eastAsia="宋体" w:cs="宋体"/>
          <w:color w:val="000000" w:themeColor="text1"/>
          <w:spacing w:val="-4"/>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3.1 具备法律法规和本采购文件规定的资格条件</w:t>
      </w:r>
      <w:r>
        <w:rPr>
          <w:rFonts w:hint="eastAsia" w:ascii="宋体" w:hAnsi="宋体" w:eastAsia="宋体" w:cs="宋体"/>
          <w:color w:val="000000" w:themeColor="text1"/>
          <w:spacing w:val="-4"/>
          <w:sz w:val="24"/>
          <w:szCs w:val="24"/>
          <w:highlight w:val="none"/>
          <w14:textFill>
            <w14:solidFill>
              <w14:schemeClr w14:val="tx1"/>
            </w14:solidFill>
          </w14:textFill>
        </w:rPr>
        <w:t>；</w:t>
      </w:r>
    </w:p>
    <w:p>
      <w:pPr>
        <w:pageBreakBefore w:val="0"/>
        <w:tabs>
          <w:tab w:val="left" w:pos="7665"/>
        </w:tabs>
        <w:kinsoku/>
        <w:wordWrap/>
        <w:overflowPunct/>
        <w:topLinePunct w:val="0"/>
        <w:bidi w:val="0"/>
        <w:spacing w:line="360" w:lineRule="auto"/>
        <w:ind w:firstLine="464"/>
        <w:rPr>
          <w:rFonts w:hint="eastAsia" w:ascii="宋体" w:hAnsi="宋体" w:eastAsia="宋体" w:cs="宋体"/>
          <w:color w:val="000000" w:themeColor="text1"/>
          <w:spacing w:val="-4"/>
          <w:sz w:val="24"/>
          <w:szCs w:val="24"/>
          <w:highlight w:val="none"/>
          <w14:textFill>
            <w14:solidFill>
              <w14:schemeClr w14:val="tx1"/>
            </w14:solidFill>
          </w14:textFill>
        </w:rPr>
      </w:pPr>
      <w:r>
        <w:rPr>
          <w:rFonts w:hint="eastAsia" w:ascii="宋体" w:hAnsi="宋体" w:eastAsia="宋体" w:cs="宋体"/>
          <w:color w:val="000000" w:themeColor="text1"/>
          <w:spacing w:val="-4"/>
          <w:sz w:val="24"/>
          <w:szCs w:val="24"/>
          <w:highlight w:val="none"/>
          <w14:textFill>
            <w14:solidFill>
              <w14:schemeClr w14:val="tx1"/>
            </w14:solidFill>
          </w14:textFill>
        </w:rPr>
        <w:t>3.2 不属于禁止参加本项目采购活动的供应商；</w:t>
      </w:r>
    </w:p>
    <w:p>
      <w:pPr>
        <w:pageBreakBefore w:val="0"/>
        <w:tabs>
          <w:tab w:val="left" w:pos="7665"/>
        </w:tabs>
        <w:kinsoku/>
        <w:wordWrap/>
        <w:overflowPunct/>
        <w:topLinePunct w:val="0"/>
        <w:bidi w:val="0"/>
        <w:spacing w:line="360" w:lineRule="auto"/>
        <w:ind w:firstLine="464"/>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pacing w:val="-4"/>
          <w:sz w:val="24"/>
          <w:szCs w:val="24"/>
          <w:highlight w:val="none"/>
          <w14:textFill>
            <w14:solidFill>
              <w14:schemeClr w14:val="tx1"/>
            </w14:solidFill>
          </w14:textFill>
        </w:rPr>
        <w:t>3.3 按照规定</w:t>
      </w:r>
      <w:r>
        <w:rPr>
          <w:rFonts w:hint="eastAsia" w:ascii="宋体" w:hAnsi="宋体" w:eastAsia="宋体" w:cs="宋体"/>
          <w:color w:val="000000" w:themeColor="text1"/>
          <w:sz w:val="24"/>
          <w:szCs w:val="24"/>
          <w:highlight w:val="none"/>
          <w14:textFill>
            <w14:solidFill>
              <w14:schemeClr w14:val="tx1"/>
            </w14:solidFill>
          </w14:textFill>
        </w:rPr>
        <w:t>获取了磋商文件，属于实质性参加政府采购活动的供应商。</w:t>
      </w:r>
      <w:bookmarkStart w:id="31" w:name="_Toc217446037"/>
      <w:bookmarkStart w:id="32" w:name="_Toc183682345"/>
      <w:bookmarkStart w:id="33" w:name="_Toc183582208"/>
    </w:p>
    <w:p>
      <w:pPr>
        <w:pStyle w:val="5"/>
        <w:keepNext w:val="0"/>
        <w:keepLines w:val="0"/>
        <w:pageBreakBefore w:val="0"/>
        <w:kinsoku/>
        <w:wordWrap/>
        <w:overflowPunct/>
        <w:topLinePunct w:val="0"/>
        <w:bidi w:val="0"/>
        <w:spacing w:before="0" w:after="0" w:line="360" w:lineRule="auto"/>
        <w:ind w:firstLine="482"/>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 磋商费用</w:t>
      </w:r>
      <w:bookmarkEnd w:id="31"/>
      <w:bookmarkEnd w:id="32"/>
      <w:bookmarkEnd w:id="33"/>
    </w:p>
    <w:p>
      <w:pPr>
        <w:pageBreakBefore w:val="0"/>
        <w:tabs>
          <w:tab w:val="left" w:pos="7665"/>
        </w:tabs>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供应商应自行承担参加磋商活动的全部费用。</w:t>
      </w:r>
    </w:p>
    <w:p>
      <w:pPr>
        <w:pStyle w:val="54"/>
        <w:pageBreakBefore w:val="0"/>
        <w:kinsoku/>
        <w:wordWrap/>
        <w:overflowPunct/>
        <w:topLinePunct w:val="0"/>
        <w:bidi w:val="0"/>
        <w:spacing w:line="360" w:lineRule="auto"/>
        <w:ind w:left="1" w:firstLine="482" w:firstLineChars="200"/>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5.充分、公平竞争保障措施（实质性要求）</w:t>
      </w:r>
    </w:p>
    <w:p>
      <w:pPr>
        <w:pStyle w:val="54"/>
        <w:pageBreakBefore w:val="0"/>
        <w:kinsoku/>
        <w:wordWrap/>
        <w:overflowPunct/>
        <w:topLinePunct w:val="0"/>
        <w:bidi w:val="0"/>
        <w:spacing w:line="360" w:lineRule="auto"/>
        <w:ind w:left="1" w:firstLine="482"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5.1利害关系供应商处理。</w:t>
      </w:r>
      <w:r>
        <w:rPr>
          <w:rFonts w:hint="eastAsia" w:ascii="宋体" w:hAnsi="宋体" w:eastAsia="宋体" w:cs="宋体"/>
          <w:color w:val="000000" w:themeColor="text1"/>
          <w:sz w:val="24"/>
          <w:szCs w:val="24"/>
          <w:highlight w:val="none"/>
          <w14:textFill>
            <w14:solidFill>
              <w14:schemeClr w14:val="tx1"/>
            </w14:solidFill>
          </w14:textFill>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pPr>
        <w:pStyle w:val="54"/>
        <w:pageBreakBefore w:val="0"/>
        <w:kinsoku/>
        <w:wordWrap/>
        <w:overflowPunct/>
        <w:topLinePunct w:val="0"/>
        <w:bidi w:val="0"/>
        <w:spacing w:line="360" w:lineRule="auto"/>
        <w:ind w:left="1" w:firstLine="482"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5.2利害关系授权代表处理。</w:t>
      </w:r>
      <w:r>
        <w:rPr>
          <w:rFonts w:hint="eastAsia" w:ascii="宋体" w:hAnsi="宋体" w:eastAsia="宋体" w:cs="宋体"/>
          <w:color w:val="000000" w:themeColor="text1"/>
          <w:sz w:val="24"/>
          <w:szCs w:val="24"/>
          <w:highlight w:val="none"/>
          <w14:textFill>
            <w14:solidFill>
              <w14:schemeClr w14:val="tx1"/>
            </w14:solidFill>
          </w14:textFill>
        </w:rPr>
        <w:t>两家以上的供应商不得在同一合同项下的采购项目中，委托同一个自然人、同一家庭的人员、同一单位的人员作为其授权代表，否则，其响应文件作为无效处理。</w:t>
      </w:r>
    </w:p>
    <w:p>
      <w:pPr>
        <w:pStyle w:val="54"/>
        <w:pageBreakBefore w:val="0"/>
        <w:kinsoku/>
        <w:wordWrap/>
        <w:overflowPunct/>
        <w:topLinePunct w:val="0"/>
        <w:bidi w:val="0"/>
        <w:spacing w:line="360" w:lineRule="auto"/>
        <w:ind w:left="1" w:firstLine="482"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5.3前期参与供应商处理。</w:t>
      </w:r>
      <w:r>
        <w:rPr>
          <w:rFonts w:hint="eastAsia" w:ascii="宋体" w:hAnsi="宋体" w:eastAsia="宋体" w:cs="宋体"/>
          <w:color w:val="000000" w:themeColor="text1"/>
          <w:sz w:val="24"/>
          <w:szCs w:val="24"/>
          <w:highlight w:val="none"/>
          <w14:textFill>
            <w14:solidFill>
              <w14:schemeClr w14:val="tx1"/>
            </w14:solidFill>
          </w14:textFill>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p>
    <w:p>
      <w:pPr>
        <w:pStyle w:val="54"/>
        <w:pageBreakBefore w:val="0"/>
        <w:kinsoku/>
        <w:wordWrap/>
        <w:overflowPunct/>
        <w:topLinePunct w:val="0"/>
        <w:bidi w:val="0"/>
        <w:spacing w:line="360" w:lineRule="auto"/>
        <w:ind w:left="1"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5.4（不适用）提供相同品牌产品处理。提供相同品牌产品且通过资格审查的不同供应商参加同一合同项下采购项目的，按一家供应商计算，评审后得分最高的同品牌供应商获得成交供应商推荐资格；评审得分相同的，由采购人/采购人委托磋商小组自主采取公平、择优的方式确定一个供应商获得成交供应商推荐资格，其他同品牌供应商不作为成交供应商候选人。</w:t>
      </w:r>
    </w:p>
    <w:p>
      <w:pPr>
        <w:pStyle w:val="54"/>
        <w:pageBreakBefore w:val="0"/>
        <w:kinsoku/>
        <w:wordWrap/>
        <w:overflowPunct/>
        <w:topLinePunct w:val="0"/>
        <w:bidi w:val="0"/>
        <w:spacing w:line="360" w:lineRule="auto"/>
        <w:ind w:left="1"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5.5供应商实际控制人或者中高级管理人员，同时是采购代理机构工作人员，不得参与本项目政府采购活动。</w:t>
      </w:r>
    </w:p>
    <w:p>
      <w:pPr>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5.6同一母公司的两家以上的子公司只能组成联合体参加本项目同一合同项下的采购活动，不得以不同供应商身份同时参加本项目同一合同项下的采购活动。</w:t>
      </w:r>
    </w:p>
    <w:p>
      <w:pPr>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5.7供应商与采购代理机构存在关联关系，或者是采购代理机构的母公司或子公司，不得参加本项目政府采购活动。</w:t>
      </w:r>
    </w:p>
    <w:p>
      <w:pPr>
        <w:pStyle w:val="54"/>
        <w:pageBreakBefore w:val="0"/>
        <w:kinsoku/>
        <w:wordWrap/>
        <w:overflowPunct/>
        <w:topLinePunct w:val="0"/>
        <w:bidi w:val="0"/>
        <w:spacing w:line="360" w:lineRule="auto"/>
        <w:ind w:left="1"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5.8回避。政府采购活动中，采购人员及相关人员与供应商有下列利害关系之一的，应当回避：</w:t>
      </w:r>
    </w:p>
    <w:p>
      <w:pPr>
        <w:pStyle w:val="54"/>
        <w:pageBreakBefore w:val="0"/>
        <w:kinsoku/>
        <w:wordWrap/>
        <w:overflowPunct/>
        <w:topLinePunct w:val="0"/>
        <w:bidi w:val="0"/>
        <w:spacing w:line="360" w:lineRule="auto"/>
        <w:ind w:left="1"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（1）参加采购活动前3年内与供应商存在劳动关系；</w:t>
      </w:r>
    </w:p>
    <w:p>
      <w:pPr>
        <w:pStyle w:val="54"/>
        <w:pageBreakBefore w:val="0"/>
        <w:kinsoku/>
        <w:wordWrap/>
        <w:overflowPunct/>
        <w:topLinePunct w:val="0"/>
        <w:bidi w:val="0"/>
        <w:spacing w:line="360" w:lineRule="auto"/>
        <w:ind w:left="1"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（2）参加采购活动前3年内担任供应商的董事、监事；</w:t>
      </w:r>
    </w:p>
    <w:p>
      <w:pPr>
        <w:pStyle w:val="54"/>
        <w:pageBreakBefore w:val="0"/>
        <w:kinsoku/>
        <w:wordWrap/>
        <w:overflowPunct/>
        <w:topLinePunct w:val="0"/>
        <w:bidi w:val="0"/>
        <w:spacing w:line="360" w:lineRule="auto"/>
        <w:ind w:left="1"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（3）参加采购活动前3年内是供应商的控股股东或者实际控制人；</w:t>
      </w:r>
    </w:p>
    <w:p>
      <w:pPr>
        <w:pStyle w:val="54"/>
        <w:pageBreakBefore w:val="0"/>
        <w:kinsoku/>
        <w:wordWrap/>
        <w:overflowPunct/>
        <w:topLinePunct w:val="0"/>
        <w:bidi w:val="0"/>
        <w:spacing w:line="360" w:lineRule="auto"/>
        <w:ind w:left="1"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（4）与供应商的法定代表人或者负责人有夫妻、直系血亲、三代以内旁系血亲或者近姻亲关系；</w:t>
      </w:r>
    </w:p>
    <w:p>
      <w:pPr>
        <w:pStyle w:val="54"/>
        <w:pageBreakBefore w:val="0"/>
        <w:kinsoku/>
        <w:wordWrap/>
        <w:overflowPunct/>
        <w:topLinePunct w:val="0"/>
        <w:bidi w:val="0"/>
        <w:spacing w:line="360" w:lineRule="auto"/>
        <w:ind w:left="1"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（5）与供应商有其他可能影响政府采购活动公平、公正进行的关系。</w:t>
      </w:r>
    </w:p>
    <w:p>
      <w:pPr>
        <w:pStyle w:val="54"/>
        <w:pageBreakBefore w:val="0"/>
        <w:kinsoku/>
        <w:wordWrap/>
        <w:overflowPunct/>
        <w:topLinePunct w:val="0"/>
        <w:bidi w:val="0"/>
        <w:spacing w:line="360" w:lineRule="auto"/>
        <w:ind w:left="1"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磋商小组成员。</w:t>
      </w:r>
    </w:p>
    <w:p>
      <w:pPr>
        <w:pStyle w:val="54"/>
        <w:pageBreakBefore w:val="0"/>
        <w:kinsoku/>
        <w:wordWrap/>
        <w:overflowPunct/>
        <w:topLinePunct w:val="0"/>
        <w:bidi w:val="0"/>
        <w:spacing w:line="360" w:lineRule="auto"/>
        <w:ind w:left="1" w:firstLine="480" w:firstLineChars="200"/>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供应商认为采购人员及相关人员与其他供应商有利害关系的，可以向采购代理机构书面提出回避申请，并说明理由。采购代理机构将及时询问被申请回避人员，有利害关系的被申请回避人员应当回避。</w:t>
      </w:r>
    </w:p>
    <w:p>
      <w:pPr>
        <w:pStyle w:val="54"/>
        <w:pageBreakBefore w:val="0"/>
        <w:kinsoku/>
        <w:wordWrap/>
        <w:overflowPunct/>
        <w:topLinePunct w:val="0"/>
        <w:bidi w:val="0"/>
        <w:spacing w:line="360" w:lineRule="auto"/>
        <w:ind w:left="1" w:firstLine="482" w:firstLineChars="200"/>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6.联合体竞争性磋商（</w:t>
      </w:r>
      <w:r>
        <w:rPr>
          <w:rFonts w:hint="eastAsia" w:ascii="宋体" w:hAnsi="宋体" w:eastAsia="宋体" w:cs="宋体"/>
          <w:b/>
          <w:color w:val="000000" w:themeColor="text1"/>
          <w:sz w:val="24"/>
          <w:szCs w:val="24"/>
          <w:highlight w:val="none"/>
          <w:lang w:val="en-US" w:eastAsia="zh-CN"/>
          <w14:textFill>
            <w14:solidFill>
              <w14:schemeClr w14:val="tx1"/>
            </w14:solidFill>
          </w14:textFill>
        </w:rPr>
        <w:t>本项目不接受联合体</w:t>
      </w:r>
      <w:r>
        <w:rPr>
          <w:rFonts w:hint="eastAsia" w:ascii="宋体" w:hAnsi="宋体" w:eastAsia="宋体" w:cs="宋体"/>
          <w:b/>
          <w:color w:val="000000" w:themeColor="text1"/>
          <w:sz w:val="24"/>
          <w:szCs w:val="24"/>
          <w:highlight w:val="none"/>
          <w14:textFill>
            <w14:solidFill>
              <w14:schemeClr w14:val="tx1"/>
            </w14:solidFill>
          </w14:textFill>
        </w:rPr>
        <w:t>）</w:t>
      </w:r>
    </w:p>
    <w:p>
      <w:pPr>
        <w:pStyle w:val="54"/>
        <w:pageBreakBefore w:val="0"/>
        <w:kinsoku/>
        <w:wordWrap/>
        <w:overflowPunct/>
        <w:topLinePunct w:val="0"/>
        <w:bidi w:val="0"/>
        <w:spacing w:line="360" w:lineRule="auto"/>
        <w:ind w:left="1" w:firstLine="482" w:firstLineChars="200"/>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7.磋商保证金（</w:t>
      </w:r>
      <w:r>
        <w:rPr>
          <w:rFonts w:hint="eastAsia" w:ascii="宋体" w:hAnsi="宋体" w:eastAsia="宋体" w:cs="宋体"/>
          <w:b/>
          <w:color w:val="000000" w:themeColor="text1"/>
          <w:sz w:val="24"/>
          <w:szCs w:val="24"/>
          <w:highlight w:val="none"/>
          <w:lang w:val="en-US" w:eastAsia="zh-CN"/>
          <w14:textFill>
            <w14:solidFill>
              <w14:schemeClr w14:val="tx1"/>
            </w14:solidFill>
          </w14:textFill>
        </w:rPr>
        <w:t>本项目无需缴纳磋商保证金</w:t>
      </w:r>
      <w:r>
        <w:rPr>
          <w:rFonts w:hint="eastAsia" w:ascii="宋体" w:hAnsi="宋体" w:eastAsia="宋体" w:cs="宋体"/>
          <w:b/>
          <w:color w:val="000000" w:themeColor="text1"/>
          <w:sz w:val="24"/>
          <w:szCs w:val="24"/>
          <w:highlight w:val="none"/>
          <w14:textFill>
            <w14:solidFill>
              <w14:schemeClr w14:val="tx1"/>
            </w14:solidFill>
          </w14:textFill>
        </w:rPr>
        <w:t>）</w:t>
      </w:r>
    </w:p>
    <w:p>
      <w:pPr>
        <w:pageBreakBefore w:val="0"/>
        <w:kinsoku/>
        <w:wordWrap/>
        <w:overflowPunct/>
        <w:topLinePunct w:val="0"/>
        <w:bidi w:val="0"/>
        <w:spacing w:line="360" w:lineRule="auto"/>
        <w:ind w:firstLine="470" w:firstLineChars="196"/>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7.1 供应商必须以人民币按磋商文件要求足额缴纳磋商保证金。联合体磋商的，可以由联合体的一方或者共同提交磋商保证金，以一方名义提交磋商保证金的，对联合体各方均具有约束力。</w:t>
      </w:r>
    </w:p>
    <w:p>
      <w:pPr>
        <w:pageBreakBefore w:val="0"/>
        <w:kinsoku/>
        <w:wordWrap/>
        <w:overflowPunct/>
        <w:topLinePunct w:val="0"/>
        <w:bidi w:val="0"/>
        <w:spacing w:line="360" w:lineRule="auto"/>
        <w:ind w:firstLine="470" w:firstLineChars="196"/>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7.2 未按磋商文件要求在规定时间前交纳规定数额磋商保证金的响应文件无效。</w:t>
      </w:r>
    </w:p>
    <w:p>
      <w:pPr>
        <w:pageBreakBefore w:val="0"/>
        <w:kinsoku/>
        <w:wordWrap/>
        <w:overflowPunct/>
        <w:topLinePunct w:val="0"/>
        <w:bidi w:val="0"/>
        <w:spacing w:line="360" w:lineRule="auto"/>
        <w:ind w:firstLine="470" w:firstLineChars="196"/>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7.3 供应商所交纳的磋商保证金不计利息。</w:t>
      </w:r>
    </w:p>
    <w:p>
      <w:pPr>
        <w:pageBreakBefore w:val="0"/>
        <w:kinsoku/>
        <w:wordWrap/>
        <w:overflowPunct/>
        <w:topLinePunct w:val="0"/>
        <w:bidi w:val="0"/>
        <w:spacing w:line="360" w:lineRule="auto"/>
        <w:ind w:firstLine="470" w:firstLineChars="196"/>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7.4 未成交供应商的磋商保证金，将在成交通知书发出后五个工作日内全额退还。成交供应商的磋商保证金，在合同签订生效并按规定交纳了履约保证金后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pPr>
        <w:pageBreakBefore w:val="0"/>
        <w:kinsoku/>
        <w:wordWrap/>
        <w:overflowPunct/>
        <w:topLinePunct w:val="0"/>
        <w:bidi w:val="0"/>
        <w:spacing w:line="360" w:lineRule="auto"/>
        <w:ind w:firstLine="470" w:firstLineChars="196"/>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7.5发生下列情形之一的，采购代理机构/采购人将不予退还磋商保证金：</w:t>
      </w:r>
    </w:p>
    <w:p>
      <w:pPr>
        <w:pageBreakBefore w:val="0"/>
        <w:kinsoku/>
        <w:wordWrap/>
        <w:overflowPunct/>
        <w:topLinePunct w:val="0"/>
        <w:bidi w:val="0"/>
        <w:spacing w:line="360" w:lineRule="auto"/>
        <w:ind w:firstLine="470" w:firstLineChars="196"/>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（一）在磋商文件规定的递交响应文件截止时间后撤销响应文件的；</w:t>
      </w:r>
    </w:p>
    <w:p>
      <w:pPr>
        <w:pageBreakBefore w:val="0"/>
        <w:kinsoku/>
        <w:wordWrap/>
        <w:overflowPunct/>
        <w:topLinePunct w:val="0"/>
        <w:bidi w:val="0"/>
        <w:spacing w:line="360" w:lineRule="auto"/>
        <w:ind w:firstLine="470" w:firstLineChars="196"/>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（二）在采购人确定成交供应商之前放弃成交候选资格的；</w:t>
      </w:r>
    </w:p>
    <w:p>
      <w:pPr>
        <w:pageBreakBefore w:val="0"/>
        <w:kinsoku/>
        <w:wordWrap/>
        <w:overflowPunct/>
        <w:topLinePunct w:val="0"/>
        <w:bidi w:val="0"/>
        <w:spacing w:line="360" w:lineRule="auto"/>
        <w:ind w:firstLine="470" w:firstLineChars="196"/>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（三）成交后放弃、不领取或者不接收成交通知书的；</w:t>
      </w:r>
    </w:p>
    <w:p>
      <w:pPr>
        <w:pageBreakBefore w:val="0"/>
        <w:kinsoku/>
        <w:wordWrap/>
        <w:overflowPunct/>
        <w:topLinePunct w:val="0"/>
        <w:bidi w:val="0"/>
        <w:spacing w:line="360" w:lineRule="auto"/>
        <w:ind w:firstLine="470" w:firstLineChars="196"/>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（四）由于成交供应商的原因未能按照磋商文件的规定与采购人签订合同的；</w:t>
      </w:r>
    </w:p>
    <w:p>
      <w:pPr>
        <w:pageBreakBefore w:val="0"/>
        <w:kinsoku/>
        <w:wordWrap/>
        <w:overflowPunct/>
        <w:topLinePunct w:val="0"/>
        <w:bidi w:val="0"/>
        <w:spacing w:line="360" w:lineRule="auto"/>
        <w:ind w:firstLine="470" w:firstLineChars="196"/>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（五）由于成交供应商的原因未能按照磋商文件的规定交纳履约保证金的；</w:t>
      </w:r>
    </w:p>
    <w:p>
      <w:pPr>
        <w:pageBreakBefore w:val="0"/>
        <w:kinsoku/>
        <w:wordWrap/>
        <w:overflowPunct/>
        <w:topLinePunct w:val="0"/>
        <w:bidi w:val="0"/>
        <w:spacing w:line="360" w:lineRule="auto"/>
        <w:ind w:firstLine="470" w:firstLineChars="196"/>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（六）供应商在政府采购活动中提供虚假材料的；</w:t>
      </w:r>
    </w:p>
    <w:p>
      <w:pPr>
        <w:pageBreakBefore w:val="0"/>
        <w:kinsoku/>
        <w:wordWrap/>
        <w:overflowPunct/>
        <w:topLinePunct w:val="0"/>
        <w:bidi w:val="0"/>
        <w:spacing w:line="360" w:lineRule="auto"/>
        <w:ind w:firstLine="470" w:firstLineChars="196"/>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（七）响应文件有效期内，供应商在政府采购活动中有违法、违规、违纪行为。</w:t>
      </w:r>
    </w:p>
    <w:p>
      <w:pPr>
        <w:pageBreakBefore w:val="0"/>
        <w:kinsoku/>
        <w:wordWrap/>
        <w:overflowPunct/>
        <w:topLinePunct w:val="0"/>
        <w:bidi w:val="0"/>
        <w:spacing w:line="360" w:lineRule="auto"/>
        <w:ind w:firstLine="472" w:firstLineChars="196"/>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8.响应文件有效期（实质性要求）</w:t>
      </w:r>
    </w:p>
    <w:p>
      <w:pPr>
        <w:pageBreakBefore w:val="0"/>
        <w:kinsoku/>
        <w:wordWrap/>
        <w:overflowPunct/>
        <w:topLinePunct w:val="0"/>
        <w:bidi w:val="0"/>
        <w:spacing w:line="360" w:lineRule="auto"/>
        <w:ind w:firstLine="470" w:firstLineChars="196"/>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本项目响应文件有效期为递交磋商响应文件截止之日起90天。供应商响应文件中必须载明响应文件有效期，响应文件中载明的响应文件有效期可以长于磋商文件规定的期限，但不得短于磋商文件规定的期限。否则，其响应文件将作为无效处理。</w:t>
      </w:r>
    </w:p>
    <w:p>
      <w:pPr>
        <w:pStyle w:val="5"/>
        <w:pageBreakBefore w:val="0"/>
        <w:kinsoku/>
        <w:wordWrap/>
        <w:overflowPunct/>
        <w:topLinePunct w:val="0"/>
        <w:bidi w:val="0"/>
        <w:spacing w:line="360" w:lineRule="auto"/>
        <w:ind w:firstLine="482"/>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9.知识产权（实质性要求）</w:t>
      </w:r>
    </w:p>
    <w:p>
      <w:pPr>
        <w:pStyle w:val="10"/>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9.1供应商应保证在本项目中使用的任何产品和服务（包括部分使用），不会产生因第三方提出侵犯其专利权、商标权或其它知识产权而引起的法律和经济纠纷，如因专利权、商标权或其它知识产权而引起法律和经济纠纷，由供应商承担所有相关责任。</w:t>
      </w:r>
    </w:p>
    <w:p>
      <w:pPr>
        <w:pStyle w:val="10"/>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9.2 除非磋商文件特别规定，采购人享有本项目实施过程中产生的知识成果及知识产权。</w:t>
      </w:r>
    </w:p>
    <w:p>
      <w:pPr>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9.3供应商将在采购项目实施过程中采用自有或者第三方知识成果的，使用该知识成果后，供应商需提供开发接口和开发手册等技术资料，并承诺提供无限期支持，采购人享有使用权（含采购人委托第三方在该项目后续开发的使用权）。</w:t>
      </w:r>
    </w:p>
    <w:p>
      <w:pPr>
        <w:pageBreakBefore w:val="0"/>
        <w:kinsoku/>
        <w:wordWrap/>
        <w:overflowPunct/>
        <w:topLinePunct w:val="0"/>
        <w:bidi w:val="0"/>
        <w:spacing w:line="360" w:lineRule="auto"/>
        <w:ind w:firstLine="460" w:firstLineChars="192"/>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9.4 如采用供应商所不拥有的知识产权，则在报价中必须包括合法获取该知识产权的相关费用。</w:t>
      </w:r>
      <w:bookmarkEnd w:id="19"/>
      <w:r>
        <w:rPr>
          <w:rFonts w:hint="eastAsia" w:ascii="宋体" w:hAnsi="宋体" w:eastAsia="宋体" w:cs="宋体"/>
          <w:color w:val="000000" w:themeColor="text1"/>
          <w:sz w:val="24"/>
          <w:szCs w:val="24"/>
          <w:highlight w:val="none"/>
          <w14:textFill>
            <w14:solidFill>
              <w14:schemeClr w14:val="tx1"/>
            </w14:solidFill>
          </w14:textFill>
        </w:rPr>
        <w:t xml:space="preserve"> </w:t>
      </w:r>
      <w:bookmarkStart w:id="34" w:name="_Toc89075875"/>
      <w:bookmarkStart w:id="35" w:name="_Toc183582209"/>
      <w:bookmarkStart w:id="36" w:name="_Toc217446038"/>
      <w:bookmarkStart w:id="37" w:name="_Toc183682346"/>
      <w:bookmarkStart w:id="38" w:name="_Toc77400779"/>
    </w:p>
    <w:p>
      <w:pPr>
        <w:pStyle w:val="4"/>
        <w:keepNext w:val="0"/>
        <w:keepLines w:val="0"/>
        <w:pageBreakBefore w:val="0"/>
        <w:kinsoku/>
        <w:wordWrap/>
        <w:overflowPunct/>
        <w:topLinePunct w:val="0"/>
        <w:bidi w:val="0"/>
        <w:spacing w:before="0" w:after="0" w:line="360" w:lineRule="auto"/>
        <w:ind w:firstLine="643"/>
        <w:rPr>
          <w:rFonts w:hint="eastAsia" w:ascii="宋体" w:hAnsi="宋体" w:eastAsia="宋体" w:cs="宋体"/>
          <w:bCs w:val="0"/>
          <w:color w:val="000000" w:themeColor="text1"/>
          <w:sz w:val="24"/>
          <w:szCs w:val="24"/>
          <w:highlight w:val="none"/>
          <w14:textFill>
            <w14:solidFill>
              <w14:schemeClr w14:val="tx1"/>
            </w14:solidFill>
          </w14:textFill>
        </w:rPr>
      </w:pPr>
      <w:r>
        <w:rPr>
          <w:rFonts w:hint="eastAsia" w:ascii="宋体" w:hAnsi="宋体" w:eastAsia="宋体" w:cs="宋体"/>
          <w:bCs w:val="0"/>
          <w:color w:val="000000" w:themeColor="text1"/>
          <w:sz w:val="24"/>
          <w:szCs w:val="24"/>
          <w:highlight w:val="none"/>
          <w14:textFill>
            <w14:solidFill>
              <w14:schemeClr w14:val="tx1"/>
            </w14:solidFill>
          </w14:textFill>
        </w:rPr>
        <w:t>三、磋商文件</w:t>
      </w:r>
      <w:bookmarkEnd w:id="34"/>
      <w:bookmarkEnd w:id="35"/>
      <w:bookmarkEnd w:id="36"/>
      <w:bookmarkEnd w:id="37"/>
      <w:bookmarkEnd w:id="38"/>
    </w:p>
    <w:p>
      <w:pPr>
        <w:pStyle w:val="5"/>
        <w:pageBreakBefore w:val="0"/>
        <w:kinsoku/>
        <w:wordWrap/>
        <w:overflowPunct/>
        <w:topLinePunct w:val="0"/>
        <w:bidi w:val="0"/>
        <w:spacing w:line="360" w:lineRule="auto"/>
        <w:rPr>
          <w:rFonts w:hint="eastAsia" w:ascii="宋体" w:hAnsi="宋体" w:eastAsia="宋体" w:cs="宋体"/>
          <w:color w:val="000000" w:themeColor="text1"/>
          <w:sz w:val="24"/>
          <w:szCs w:val="24"/>
          <w:highlight w:val="none"/>
          <w14:textFill>
            <w14:solidFill>
              <w14:schemeClr w14:val="tx1"/>
            </w14:solidFill>
          </w14:textFill>
        </w:rPr>
      </w:pPr>
      <w:bookmarkStart w:id="39" w:name="_Toc183682347"/>
      <w:bookmarkStart w:id="40" w:name="_Toc183582210"/>
      <w:bookmarkStart w:id="41" w:name="_Toc217446039"/>
      <w:bookmarkStart w:id="42" w:name="PO_默认文件内容_25"/>
      <w:r>
        <w:rPr>
          <w:rFonts w:hint="eastAsia" w:ascii="宋体" w:hAnsi="宋体" w:eastAsia="宋体" w:cs="宋体"/>
          <w:color w:val="000000" w:themeColor="text1"/>
          <w:sz w:val="24"/>
          <w:szCs w:val="24"/>
          <w:highlight w:val="none"/>
          <w14:textFill>
            <w14:solidFill>
              <w14:schemeClr w14:val="tx1"/>
            </w14:solidFill>
          </w14:textFill>
        </w:rPr>
        <w:t>10．磋商文件的构成</w:t>
      </w:r>
      <w:bookmarkEnd w:id="39"/>
      <w:bookmarkEnd w:id="40"/>
      <w:bookmarkEnd w:id="41"/>
    </w:p>
    <w:p>
      <w:pPr>
        <w:pageBreakBefore w:val="0"/>
        <w:tabs>
          <w:tab w:val="left" w:pos="720"/>
        </w:tabs>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10</w:t>
      </w:r>
      <w:r>
        <w:rPr>
          <w:rFonts w:hint="eastAsia" w:ascii="宋体" w:hAnsi="宋体" w:eastAsia="宋体" w:cs="宋体"/>
          <w:b/>
          <w:bCs/>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1 磋商文件是供应商准备响应文件和参加磋商的依据，同时也是磋商的重要依据。磋商文件用以阐明磋商项目所需的资质、技术、服务及报价等要求、磋商程序、有关规定和注意事项以及合同主要条款等。</w:t>
      </w:r>
    </w:p>
    <w:p>
      <w:pPr>
        <w:pageBreakBefore w:val="0"/>
        <w:tabs>
          <w:tab w:val="left" w:pos="7665"/>
        </w:tabs>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10</w:t>
      </w:r>
      <w:r>
        <w:rPr>
          <w:rFonts w:hint="eastAsia" w:ascii="宋体" w:hAnsi="宋体" w:eastAsia="宋体" w:cs="宋体"/>
          <w:b/>
          <w:bCs/>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2 供应商应认真阅读和充分理解磋商文件中所有的事项、格式条款和规范要求。供应商应详细阅读磋商文件的全部内容，按照磋商文件的要求提供响应文件，并保证所提供的全部资料的真实性和有效性，一经发现有虚假行为的，将取消其参加磋商或成交资格，并承担相应的法律责任。</w:t>
      </w:r>
      <w:bookmarkStart w:id="43" w:name="_Toc183682348"/>
      <w:bookmarkStart w:id="44" w:name="_Toc183582211"/>
      <w:bookmarkStart w:id="45" w:name="_Toc217446040"/>
    </w:p>
    <w:p>
      <w:pPr>
        <w:pStyle w:val="5"/>
        <w:keepNext w:val="0"/>
        <w:keepLines w:val="0"/>
        <w:pageBreakBefore w:val="0"/>
        <w:kinsoku/>
        <w:wordWrap/>
        <w:overflowPunct/>
        <w:topLinePunct w:val="0"/>
        <w:bidi w:val="0"/>
        <w:spacing w:before="0" w:after="0" w:line="360" w:lineRule="auto"/>
        <w:ind w:firstLine="482"/>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11. 磋商文件的澄清</w:t>
      </w:r>
      <w:bookmarkEnd w:id="43"/>
      <w:bookmarkEnd w:id="44"/>
      <w:r>
        <w:rPr>
          <w:rFonts w:hint="eastAsia" w:ascii="宋体" w:hAnsi="宋体" w:eastAsia="宋体" w:cs="宋体"/>
          <w:color w:val="000000" w:themeColor="text1"/>
          <w:sz w:val="24"/>
          <w:szCs w:val="24"/>
          <w:highlight w:val="none"/>
          <w14:textFill>
            <w14:solidFill>
              <w14:schemeClr w14:val="tx1"/>
            </w14:solidFill>
          </w14:textFill>
        </w:rPr>
        <w:t>和修改</w:t>
      </w:r>
      <w:bookmarkEnd w:id="45"/>
    </w:p>
    <w:p>
      <w:pPr>
        <w:pageBreakBefore w:val="0"/>
        <w:tabs>
          <w:tab w:val="left" w:pos="720"/>
        </w:tabs>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11.1 在递交响应文件截止时间前，采购人、采购代理机构可以对磋商文件进行澄清或者修改。</w:t>
      </w:r>
    </w:p>
    <w:p>
      <w:pPr>
        <w:pageBreakBefore w:val="0"/>
        <w:tabs>
          <w:tab w:val="left" w:pos="720"/>
        </w:tabs>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11.2 采购代理机构对已发出的磋商文件进行澄清或者修改，应当以书面形式将澄清或者修改的内容通知所有购买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提交首次响应文件截止之日起5日前；不足上述时间的，应当顺延递交响应文件的截止时间。</w:t>
      </w:r>
    </w:p>
    <w:p>
      <w:pPr>
        <w:pageBreakBefore w:val="0"/>
        <w:tabs>
          <w:tab w:val="left" w:pos="7665"/>
        </w:tabs>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11.3 供应商应于递交响应文件截止前，在四川政府采购网查询本项目的更正公告，以保证其对磋商文件做出正确的响应。供应商未按要求下载相关文件，或由于未及时关注更正公告的信息造成的后果，其责任由供应商自行负责。</w:t>
      </w:r>
    </w:p>
    <w:p>
      <w:pPr>
        <w:pageBreakBefore w:val="0"/>
        <w:tabs>
          <w:tab w:val="left" w:pos="7665"/>
        </w:tabs>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更正公告通过供应商报名时备注的电子邮箱发送至所有购买磋商文件的供应商，供应商在收到相应更正公告后，以书面形式给予确认，该更正公告作为磋商文件的组成部分，具有约束作用。如供应商未给予书面回复，则视为收到并认可该更正公告的内容。</w:t>
      </w:r>
    </w:p>
    <w:p>
      <w:pPr>
        <w:pageBreakBefore w:val="0"/>
        <w:tabs>
          <w:tab w:val="left" w:pos="720"/>
        </w:tabs>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11.4供应商认为需要对磋商文件进行澄清或者修改的，可以以书面形式向采购人或采购代理机构提出申请，由采购人或采购代理机构决定是否采纳供应商的申请事项。</w:t>
      </w:r>
    </w:p>
    <w:p>
      <w:pPr>
        <w:pStyle w:val="5"/>
        <w:keepNext w:val="0"/>
        <w:keepLines w:val="0"/>
        <w:pageBreakBefore w:val="0"/>
        <w:kinsoku/>
        <w:wordWrap/>
        <w:overflowPunct/>
        <w:topLinePunct w:val="0"/>
        <w:bidi w:val="0"/>
        <w:spacing w:before="0" w:after="0" w:line="360" w:lineRule="auto"/>
        <w:ind w:firstLine="482"/>
        <w:rPr>
          <w:rFonts w:hint="eastAsia" w:ascii="宋体" w:hAnsi="宋体" w:eastAsia="宋体" w:cs="宋体"/>
          <w:color w:val="000000" w:themeColor="text1"/>
          <w:sz w:val="24"/>
          <w:szCs w:val="24"/>
          <w:highlight w:val="none"/>
          <w14:textFill>
            <w14:solidFill>
              <w14:schemeClr w14:val="tx1"/>
            </w14:solidFill>
          </w14:textFill>
        </w:rPr>
      </w:pPr>
      <w:bookmarkStart w:id="46" w:name="_Toc208848971"/>
      <w:bookmarkStart w:id="47" w:name="_Toc217446041"/>
      <w:r>
        <w:rPr>
          <w:rFonts w:hint="eastAsia" w:ascii="宋体" w:hAnsi="宋体" w:eastAsia="宋体" w:cs="宋体"/>
          <w:color w:val="000000" w:themeColor="text1"/>
          <w:sz w:val="24"/>
          <w:szCs w:val="24"/>
          <w:highlight w:val="none"/>
          <w14:textFill>
            <w14:solidFill>
              <w14:schemeClr w14:val="tx1"/>
            </w14:solidFill>
          </w14:textFill>
        </w:rPr>
        <w:t>12. 答疑会和现场考察</w:t>
      </w:r>
      <w:bookmarkEnd w:id="46"/>
      <w:bookmarkEnd w:id="47"/>
    </w:p>
    <w:p>
      <w:pPr>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12.1 根据采购项目和具体情况，采购人、采购代理机构认为有必要，可以在磋商文件提供期限截止后响应文件提交截止前，组织已获取磋商文件的潜在供应商现场考察或者召开答疑会。</w:t>
      </w:r>
    </w:p>
    <w:p>
      <w:pPr>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12.2采购人、采购代理机构组织现场考察或者召开答疑会的，将以书面形式通知所有获取磋商文件的潜在供应商。供应商接到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pPr>
        <w:pageBreakBefore w:val="0"/>
        <w:kinsoku/>
        <w:wordWrap/>
        <w:overflowPunct/>
        <w:topLinePunct w:val="0"/>
        <w:bidi w:val="0"/>
        <w:adjustRightInd w:val="0"/>
        <w:snapToGrid w:val="0"/>
        <w:spacing w:line="360" w:lineRule="auto"/>
        <w:ind w:firstLine="420" w:firstLineChars="175"/>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12.3 供应商考察现场或者参加答疑会所发生的一切费用由供应商自己承担。</w:t>
      </w:r>
      <w:bookmarkEnd w:id="42"/>
      <w:bookmarkStart w:id="48" w:name="_Toc183582214"/>
      <w:bookmarkStart w:id="49" w:name="_Toc89075876"/>
      <w:bookmarkStart w:id="50" w:name="_Toc77400780"/>
      <w:bookmarkStart w:id="51" w:name="_Toc217446042"/>
      <w:bookmarkStart w:id="52" w:name="_Toc183682351"/>
    </w:p>
    <w:p>
      <w:pPr>
        <w:pStyle w:val="4"/>
        <w:keepNext w:val="0"/>
        <w:keepLines w:val="0"/>
        <w:pageBreakBefore w:val="0"/>
        <w:kinsoku/>
        <w:wordWrap/>
        <w:overflowPunct/>
        <w:topLinePunct w:val="0"/>
        <w:bidi w:val="0"/>
        <w:spacing w:before="0" w:after="0" w:line="360" w:lineRule="auto"/>
        <w:ind w:firstLine="643"/>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Cs w:val="0"/>
          <w:color w:val="000000" w:themeColor="text1"/>
          <w:sz w:val="24"/>
          <w:szCs w:val="24"/>
          <w:highlight w:val="none"/>
          <w14:textFill>
            <w14:solidFill>
              <w14:schemeClr w14:val="tx1"/>
            </w14:solidFill>
          </w14:textFill>
        </w:rPr>
        <w:t>四、响应文件</w:t>
      </w:r>
      <w:bookmarkEnd w:id="48"/>
      <w:bookmarkEnd w:id="49"/>
      <w:bookmarkEnd w:id="50"/>
      <w:bookmarkEnd w:id="51"/>
      <w:bookmarkEnd w:id="52"/>
    </w:p>
    <w:p>
      <w:pPr>
        <w:pStyle w:val="5"/>
        <w:keepNext w:val="0"/>
        <w:keepLines w:val="0"/>
        <w:pageBreakBefore w:val="0"/>
        <w:kinsoku/>
        <w:wordWrap/>
        <w:overflowPunct/>
        <w:topLinePunct w:val="0"/>
        <w:bidi w:val="0"/>
        <w:spacing w:before="0" w:after="0" w:line="360" w:lineRule="auto"/>
        <w:ind w:firstLine="482"/>
        <w:rPr>
          <w:rFonts w:hint="eastAsia" w:ascii="宋体" w:hAnsi="宋体" w:eastAsia="宋体" w:cs="宋体"/>
          <w:color w:val="000000" w:themeColor="text1"/>
          <w:sz w:val="24"/>
          <w:szCs w:val="24"/>
          <w:highlight w:val="none"/>
          <w14:textFill>
            <w14:solidFill>
              <w14:schemeClr w14:val="tx1"/>
            </w14:solidFill>
          </w14:textFill>
        </w:rPr>
      </w:pPr>
      <w:bookmarkStart w:id="53" w:name="_Toc183582215"/>
      <w:bookmarkStart w:id="54" w:name="_Toc217446043"/>
      <w:bookmarkStart w:id="55" w:name="_Toc183682352"/>
      <w:bookmarkStart w:id="56" w:name="PO_默认文件内容_26"/>
      <w:r>
        <w:rPr>
          <w:rFonts w:hint="eastAsia" w:ascii="宋体" w:hAnsi="宋体" w:eastAsia="宋体" w:cs="宋体"/>
          <w:color w:val="000000" w:themeColor="text1"/>
          <w:sz w:val="24"/>
          <w:szCs w:val="24"/>
          <w:highlight w:val="none"/>
          <w14:textFill>
            <w14:solidFill>
              <w14:schemeClr w14:val="tx1"/>
            </w14:solidFill>
          </w14:textFill>
        </w:rPr>
        <w:t>13.响应文件的组成（实质性要求）</w:t>
      </w:r>
    </w:p>
    <w:p>
      <w:pPr>
        <w:pageBreakBefore w:val="0"/>
        <w:kinsoku/>
        <w:wordWrap/>
        <w:overflowPunct/>
        <w:topLinePunct w:val="0"/>
        <w:bidi w:val="0"/>
        <w:spacing w:line="360" w:lineRule="auto"/>
        <w:ind w:left="2" w:leftChars="1" w:firstLine="480"/>
        <w:rPr>
          <w:rFonts w:hint="eastAsia" w:ascii="宋体" w:hAnsi="宋体" w:eastAsia="宋体" w:cs="宋体"/>
          <w:color w:val="000000" w:themeColor="text1"/>
          <w:sz w:val="24"/>
          <w:szCs w:val="24"/>
          <w:highlight w:val="green"/>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供应商应按照磋商文件的规定和要求编制响应文件。供应商在成交后将成交项目的非主体、非关键性工作分包他人完成的，应当在响应文件中载明或磋商过程中澄清。</w:t>
      </w:r>
    </w:p>
    <w:p>
      <w:pPr>
        <w:pStyle w:val="5"/>
        <w:keepNext w:val="0"/>
        <w:keepLines w:val="0"/>
        <w:pageBreakBefore w:val="0"/>
        <w:kinsoku/>
        <w:wordWrap/>
        <w:overflowPunct/>
        <w:topLinePunct w:val="0"/>
        <w:bidi w:val="0"/>
        <w:spacing w:before="0" w:after="0" w:line="360" w:lineRule="auto"/>
        <w:ind w:firstLine="482"/>
        <w:rPr>
          <w:rFonts w:hint="eastAsia" w:ascii="宋体" w:hAnsi="宋体" w:eastAsia="宋体" w:cs="宋体"/>
          <w:bCs w:val="0"/>
          <w:color w:val="000000" w:themeColor="text1"/>
          <w:sz w:val="24"/>
          <w:szCs w:val="24"/>
          <w:highlight w:val="none"/>
          <w14:textFill>
            <w14:solidFill>
              <w14:schemeClr w14:val="tx1"/>
            </w14:solidFill>
          </w14:textFill>
        </w:rPr>
      </w:pPr>
      <w:r>
        <w:rPr>
          <w:rFonts w:hint="eastAsia" w:ascii="宋体" w:hAnsi="宋体" w:eastAsia="宋体" w:cs="宋体"/>
          <w:bCs w:val="0"/>
          <w:color w:val="000000" w:themeColor="text1"/>
          <w:sz w:val="24"/>
          <w:szCs w:val="24"/>
          <w:highlight w:val="none"/>
          <w14:textFill>
            <w14:solidFill>
              <w14:schemeClr w14:val="tx1"/>
            </w14:solidFill>
          </w14:textFill>
        </w:rPr>
        <w:t>14.响应文件的语言</w:t>
      </w:r>
      <w:bookmarkEnd w:id="53"/>
      <w:bookmarkEnd w:id="54"/>
      <w:bookmarkEnd w:id="55"/>
      <w:r>
        <w:rPr>
          <w:rFonts w:hint="eastAsia" w:ascii="宋体" w:hAnsi="宋体" w:eastAsia="宋体" w:cs="宋体"/>
          <w:bCs w:val="0"/>
          <w:color w:val="000000" w:themeColor="text1"/>
          <w:sz w:val="24"/>
          <w:szCs w:val="24"/>
          <w:highlight w:val="none"/>
          <w14:textFill>
            <w14:solidFill>
              <w14:schemeClr w14:val="tx1"/>
            </w14:solidFill>
          </w14:textFill>
        </w:rPr>
        <w:t>（实质性要求）</w:t>
      </w:r>
    </w:p>
    <w:p>
      <w:pPr>
        <w:pageBreakBefore w:val="0"/>
        <w:tabs>
          <w:tab w:val="left" w:pos="1134"/>
        </w:tabs>
        <w:kinsoku/>
        <w:wordWrap/>
        <w:overflowPunct/>
        <w:topLinePunct w:val="0"/>
        <w:bidi w:val="0"/>
        <w:spacing w:line="360" w:lineRule="auto"/>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14.1供应商提交的响应文件以及供应商与采购组织单位就有关磋商采购的所有来往书面文件均须使用中文。响应文件中如附有外文资料，主要部分对应翻译成中文并加盖供应商公章后附在相关外文资料后面。</w:t>
      </w:r>
    </w:p>
    <w:p>
      <w:pPr>
        <w:pageBreakBefore w:val="0"/>
        <w:tabs>
          <w:tab w:val="left" w:pos="1134"/>
        </w:tabs>
        <w:kinsoku/>
        <w:wordWrap/>
        <w:overflowPunct/>
        <w:topLinePunct w:val="0"/>
        <w:bidi w:val="0"/>
        <w:spacing w:line="360" w:lineRule="auto"/>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14.2 翻译的中文资料与外文资料如果出现差异和矛盾时，以中文为准。涉嫌虚假响应的按照相关法律法规处理。</w:t>
      </w:r>
    </w:p>
    <w:p>
      <w:pPr>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14.3 如因未翻译而造成的响应文件无效风险，由供应商承担。</w:t>
      </w:r>
      <w:bookmarkStart w:id="57" w:name="_Toc183682353"/>
      <w:bookmarkStart w:id="58" w:name="_Toc183582216"/>
      <w:bookmarkStart w:id="59" w:name="_Toc217446044"/>
    </w:p>
    <w:p>
      <w:pPr>
        <w:pStyle w:val="5"/>
        <w:keepNext w:val="0"/>
        <w:keepLines w:val="0"/>
        <w:pageBreakBefore w:val="0"/>
        <w:kinsoku/>
        <w:wordWrap/>
        <w:overflowPunct/>
        <w:topLinePunct w:val="0"/>
        <w:bidi w:val="0"/>
        <w:spacing w:before="0" w:after="0" w:line="360" w:lineRule="auto"/>
        <w:ind w:firstLine="482"/>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15．计量单位</w:t>
      </w:r>
      <w:bookmarkEnd w:id="57"/>
      <w:bookmarkEnd w:id="58"/>
      <w:bookmarkEnd w:id="59"/>
      <w:r>
        <w:rPr>
          <w:rFonts w:hint="eastAsia" w:ascii="宋体" w:hAnsi="宋体" w:eastAsia="宋体" w:cs="宋体"/>
          <w:color w:val="000000" w:themeColor="text1"/>
          <w:sz w:val="24"/>
          <w:szCs w:val="24"/>
          <w:highlight w:val="none"/>
          <w14:textFill>
            <w14:solidFill>
              <w14:schemeClr w14:val="tx1"/>
            </w14:solidFill>
          </w14:textFill>
        </w:rPr>
        <w:t>（实质性要求）</w:t>
      </w:r>
    </w:p>
    <w:p>
      <w:pPr>
        <w:pageBreakBefore w:val="0"/>
        <w:kinsoku/>
        <w:wordWrap/>
        <w:overflowPunct/>
        <w:topLinePunct w:val="0"/>
        <w:bidi w:val="0"/>
        <w:spacing w:line="360" w:lineRule="auto"/>
        <w:ind w:firstLine="470" w:firstLineChars="196"/>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除磋商文件中另有规定外，本次采购项目所有合同项下的报价均采用国家法定的计量单位。</w:t>
      </w:r>
      <w:bookmarkStart w:id="60" w:name="_Toc217446045"/>
    </w:p>
    <w:p>
      <w:pPr>
        <w:pageBreakBefore w:val="0"/>
        <w:kinsoku/>
        <w:wordWrap/>
        <w:overflowPunct/>
        <w:topLinePunct w:val="0"/>
        <w:bidi w:val="0"/>
        <w:spacing w:line="360" w:lineRule="auto"/>
        <w:ind w:firstLine="470" w:firstLineChars="195"/>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16.</w:t>
      </w:r>
      <w:r>
        <w:rPr>
          <w:rFonts w:hint="eastAsia" w:ascii="宋体" w:hAnsi="宋体" w:eastAsia="宋体" w:cs="宋体"/>
          <w:b/>
          <w:color w:val="000000" w:themeColor="text1"/>
          <w:sz w:val="24"/>
          <w:szCs w:val="24"/>
          <w:highlight w:val="none"/>
          <w14:textFill>
            <w14:solidFill>
              <w14:schemeClr w14:val="tx1"/>
            </w14:solidFill>
          </w14:textFill>
        </w:rPr>
        <w:t>报价</w:t>
      </w:r>
      <w:r>
        <w:rPr>
          <w:rFonts w:hint="eastAsia" w:ascii="宋体" w:hAnsi="宋体" w:eastAsia="宋体" w:cs="宋体"/>
          <w:b/>
          <w:bCs/>
          <w:color w:val="000000" w:themeColor="text1"/>
          <w:sz w:val="24"/>
          <w:szCs w:val="24"/>
          <w:highlight w:val="none"/>
          <w14:textFill>
            <w14:solidFill>
              <w14:schemeClr w14:val="tx1"/>
            </w14:solidFill>
          </w14:textFill>
        </w:rPr>
        <w:t>货币（实质性要求）</w:t>
      </w:r>
    </w:p>
    <w:p>
      <w:pPr>
        <w:pageBreakBefore w:val="0"/>
        <w:kinsoku/>
        <w:wordWrap/>
        <w:overflowPunct/>
        <w:topLinePunct w:val="0"/>
        <w:bidi w:val="0"/>
        <w:spacing w:line="360" w:lineRule="auto"/>
        <w:ind w:firstLine="468" w:firstLineChars="195"/>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本次磋商项目的</w:t>
      </w:r>
      <w:r>
        <w:rPr>
          <w:rFonts w:hint="eastAsia" w:ascii="宋体" w:hAnsi="宋体" w:eastAsia="宋体" w:cs="宋体"/>
          <w:color w:val="000000" w:themeColor="text1"/>
          <w:sz w:val="24"/>
          <w:szCs w:val="24"/>
          <w:highlight w:val="none"/>
          <w14:textFill>
            <w14:solidFill>
              <w14:schemeClr w14:val="tx1"/>
            </w14:solidFill>
          </w14:textFill>
        </w:rPr>
        <w:t>报价货币为</w:t>
      </w:r>
      <w:r>
        <w:rPr>
          <w:rFonts w:hint="eastAsia" w:ascii="宋体" w:hAnsi="宋体" w:eastAsia="宋体" w:cs="宋体"/>
          <w:bCs/>
          <w:color w:val="000000" w:themeColor="text1"/>
          <w:sz w:val="24"/>
          <w:szCs w:val="24"/>
          <w:highlight w:val="none"/>
          <w14:textFill>
            <w14:solidFill>
              <w14:schemeClr w14:val="tx1"/>
            </w14:solidFill>
          </w14:textFill>
        </w:rPr>
        <w:t>人民币，报价以磋商文件规定为准。</w:t>
      </w:r>
    </w:p>
    <w:bookmarkEnd w:id="60"/>
    <w:p>
      <w:pPr>
        <w:pageBreakBefore w:val="0"/>
        <w:kinsoku/>
        <w:wordWrap/>
        <w:overflowPunct/>
        <w:topLinePunct w:val="0"/>
        <w:bidi w:val="0"/>
        <w:spacing w:line="360" w:lineRule="auto"/>
        <w:ind w:left="2" w:leftChars="1" w:firstLine="482"/>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17.响应文件格式</w:t>
      </w:r>
    </w:p>
    <w:p>
      <w:pPr>
        <w:pageBreakBefore w:val="0"/>
        <w:kinsoku/>
        <w:wordWrap/>
        <w:overflowPunct/>
        <w:topLinePunct w:val="0"/>
        <w:bidi w:val="0"/>
        <w:spacing w:line="360" w:lineRule="auto"/>
        <w:ind w:left="2" w:leftChars="1" w:firstLine="480"/>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17.1 供应商应执行磋商文件第七章的规定要求。</w:t>
      </w:r>
    </w:p>
    <w:p>
      <w:pPr>
        <w:pageBreakBefore w:val="0"/>
        <w:kinsoku/>
        <w:wordWrap/>
        <w:overflowPunct/>
        <w:topLinePunct w:val="0"/>
        <w:bidi w:val="0"/>
        <w:spacing w:line="360" w:lineRule="auto"/>
        <w:ind w:left="2" w:leftChars="1"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17.2 对于没有格式要求的磋商文件由供应商自行编写。</w:t>
      </w:r>
    </w:p>
    <w:p>
      <w:pPr>
        <w:pageBreakBefore w:val="0"/>
        <w:kinsoku/>
        <w:wordWrap/>
        <w:overflowPunct/>
        <w:topLinePunct w:val="0"/>
        <w:bidi w:val="0"/>
        <w:spacing w:line="360" w:lineRule="auto"/>
        <w:rPr>
          <w:rFonts w:hint="eastAsia" w:ascii="宋体" w:hAnsi="宋体" w:eastAsia="宋体" w:cs="宋体"/>
          <w:b/>
          <w:color w:val="000000" w:themeColor="text1"/>
          <w:sz w:val="24"/>
          <w:szCs w:val="24"/>
          <w:highlight w:val="none"/>
          <w14:textFill>
            <w14:solidFill>
              <w14:schemeClr w14:val="tx1"/>
            </w14:solidFill>
          </w14:textFill>
        </w:rPr>
      </w:pPr>
      <w:bookmarkStart w:id="61" w:name="_Toc183582224"/>
      <w:bookmarkStart w:id="62" w:name="_Toc183682361"/>
      <w:bookmarkStart w:id="63" w:name="_Toc217446051"/>
      <w:r>
        <w:rPr>
          <w:rFonts w:hint="eastAsia" w:ascii="宋体" w:hAnsi="宋体" w:eastAsia="宋体" w:cs="宋体"/>
          <w:b/>
          <w:color w:val="000000" w:themeColor="text1"/>
          <w:sz w:val="24"/>
          <w:szCs w:val="24"/>
          <w:highlight w:val="none"/>
          <w14:textFill>
            <w14:solidFill>
              <w14:schemeClr w14:val="tx1"/>
            </w14:solidFill>
          </w14:textFill>
        </w:rPr>
        <w:t>18.响应文件的编制和签署</w:t>
      </w:r>
    </w:p>
    <w:p>
      <w:pPr>
        <w:pageBreakBefore w:val="0"/>
        <w:kinsoku/>
        <w:wordWrap/>
        <w:overflowPunct/>
        <w:topLinePunct w:val="0"/>
        <w:bidi w:val="0"/>
        <w:spacing w:line="360" w:lineRule="auto"/>
        <w:ind w:firstLine="468" w:firstLineChars="195"/>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18.1 </w:t>
      </w:r>
      <w:r>
        <w:rPr>
          <w:rFonts w:hint="eastAsia" w:ascii="宋体" w:hAnsi="宋体" w:eastAsia="宋体" w:cs="宋体"/>
          <w:b/>
          <w:bCs/>
          <w:color w:val="000000" w:themeColor="text1"/>
          <w:sz w:val="24"/>
          <w:szCs w:val="24"/>
          <w:highlight w:val="none"/>
          <w14:textFill>
            <w14:solidFill>
              <w14:schemeClr w14:val="tx1"/>
            </w14:solidFill>
          </w14:textFill>
        </w:rPr>
        <w:t>资格性响应文件正本1份副本2份（实质性要求）</w:t>
      </w:r>
      <w:r>
        <w:rPr>
          <w:rFonts w:hint="eastAsia" w:ascii="宋体" w:hAnsi="宋体" w:eastAsia="宋体" w:cs="宋体"/>
          <w:bCs/>
          <w:color w:val="000000" w:themeColor="text1"/>
          <w:sz w:val="24"/>
          <w:szCs w:val="24"/>
          <w:highlight w:val="none"/>
          <w14:textFill>
            <w14:solidFill>
              <w14:schemeClr w14:val="tx1"/>
            </w14:solidFill>
          </w14:textFill>
        </w:rPr>
        <w:t>，并在其封面上清楚地标明资格性响应文件、采购项目名称、采购项目编号、包件号及名称（若有）、供应商名称以及“正本”或“副本”字样。若正本和副本有不一致的内容，以正本书面响应文件为准。</w:t>
      </w:r>
    </w:p>
    <w:p>
      <w:pPr>
        <w:pageBreakBefore w:val="0"/>
        <w:kinsoku/>
        <w:wordWrap/>
        <w:overflowPunct/>
        <w:topLinePunct w:val="0"/>
        <w:bidi w:val="0"/>
        <w:spacing w:line="360" w:lineRule="auto"/>
        <w:ind w:firstLine="468" w:firstLineChars="195"/>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 xml:space="preserve">18.2 </w:t>
      </w:r>
      <w:r>
        <w:rPr>
          <w:rFonts w:hint="eastAsia" w:ascii="宋体" w:hAnsi="宋体" w:eastAsia="宋体" w:cs="宋体"/>
          <w:b/>
          <w:color w:val="000000" w:themeColor="text1"/>
          <w:sz w:val="24"/>
          <w:szCs w:val="24"/>
          <w:highlight w:val="none"/>
          <w14:textFill>
            <w14:solidFill>
              <w14:schemeClr w14:val="tx1"/>
            </w14:solidFill>
          </w14:textFill>
        </w:rPr>
        <w:t>其他响应文件正本1份副本2份（实质性要求）</w:t>
      </w:r>
      <w:r>
        <w:rPr>
          <w:rFonts w:hint="eastAsia" w:ascii="宋体" w:hAnsi="宋体" w:eastAsia="宋体" w:cs="宋体"/>
          <w:bCs/>
          <w:color w:val="000000" w:themeColor="text1"/>
          <w:sz w:val="24"/>
          <w:szCs w:val="24"/>
          <w:highlight w:val="none"/>
          <w14:textFill>
            <w14:solidFill>
              <w14:schemeClr w14:val="tx1"/>
            </w14:solidFill>
          </w14:textFill>
        </w:rPr>
        <w:t>，并在其封面上清楚地标明其他响应文件、采购项目名称、采购项目编号、包件号及名称（若有）、供应商名称以及“正本”或“副本”字样。若正本和副本有不一致的内容，以正本书面响应文件为准。</w:t>
      </w:r>
    </w:p>
    <w:bookmarkEnd w:id="61"/>
    <w:bookmarkEnd w:id="62"/>
    <w:bookmarkEnd w:id="63"/>
    <w:p>
      <w:pPr>
        <w:pageBreakBefore w:val="0"/>
        <w:kinsoku/>
        <w:wordWrap/>
        <w:overflowPunct/>
        <w:topLinePunct w:val="0"/>
        <w:bidi w:val="0"/>
        <w:spacing w:line="360" w:lineRule="auto"/>
        <w:ind w:firstLine="468" w:firstLineChars="195"/>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18.3 响应文件正本和副本均需在规定签章处签字和盖章。响应文件副本可采用正本的复印件。</w:t>
      </w:r>
      <w:r>
        <w:rPr>
          <w:rFonts w:hint="eastAsia" w:ascii="宋体" w:hAnsi="宋体" w:eastAsia="宋体" w:cs="宋体"/>
          <w:b/>
          <w:bCs w:val="0"/>
          <w:color w:val="000000" w:themeColor="text1"/>
          <w:sz w:val="24"/>
          <w:szCs w:val="24"/>
          <w:highlight w:val="none"/>
          <w14:textFill>
            <w14:solidFill>
              <w14:schemeClr w14:val="tx1"/>
            </w14:solidFill>
          </w14:textFill>
        </w:rPr>
        <w:t>电子文档1份</w:t>
      </w:r>
      <w:r>
        <w:rPr>
          <w:rFonts w:hint="eastAsia" w:ascii="宋体" w:hAnsi="宋体" w:eastAsia="宋体" w:cs="宋体"/>
          <w:bCs/>
          <w:color w:val="000000" w:themeColor="text1"/>
          <w:sz w:val="24"/>
          <w:szCs w:val="24"/>
          <w:highlight w:val="none"/>
          <w14:textFill>
            <w14:solidFill>
              <w14:schemeClr w14:val="tx1"/>
            </w14:solidFill>
          </w14:textFill>
        </w:rPr>
        <w:t>采用U盘或光盘制作。</w:t>
      </w:r>
    </w:p>
    <w:p>
      <w:pPr>
        <w:pageBreakBefore w:val="0"/>
        <w:kinsoku/>
        <w:wordWrap/>
        <w:overflowPunct/>
        <w:topLinePunct w:val="0"/>
        <w:bidi w:val="0"/>
        <w:spacing w:line="360" w:lineRule="auto"/>
        <w:ind w:firstLine="468" w:firstLineChars="195"/>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18.4响应文件的打印和书写应清楚工整，任何行间插字、涂改或增删，必须由供应商的法定代表人/单位负责人或其授权代表签字并盖供应商公章。</w:t>
      </w:r>
    </w:p>
    <w:p>
      <w:pPr>
        <w:pageBreakBefore w:val="0"/>
        <w:kinsoku/>
        <w:wordWrap/>
        <w:overflowPunct/>
        <w:topLinePunct w:val="0"/>
        <w:bidi w:val="0"/>
        <w:spacing w:line="360" w:lineRule="auto"/>
        <w:ind w:firstLine="468" w:firstLineChars="195"/>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18.5响应文件应由供应商法定代表人/主要负责人/本人或其授权代表在响应文件要求的地方签字（注：</w:t>
      </w:r>
      <w:r>
        <w:rPr>
          <w:rFonts w:hint="eastAsia" w:ascii="宋体" w:hAnsi="宋体" w:eastAsia="宋体" w:cs="宋体"/>
          <w:color w:val="000000" w:themeColor="text1"/>
          <w:sz w:val="24"/>
          <w:szCs w:val="24"/>
          <w:highlight w:val="none"/>
          <w14:textFill>
            <w14:solidFill>
              <w14:schemeClr w14:val="tx1"/>
            </w14:solidFill>
          </w14:textFill>
        </w:rPr>
        <w:t>供应商为法人的，应当由其法定代表人或者</w:t>
      </w:r>
      <w:r>
        <w:rPr>
          <w:rFonts w:hint="eastAsia" w:ascii="宋体" w:hAnsi="宋体" w:eastAsia="宋体" w:cs="宋体"/>
          <w:bCs/>
          <w:color w:val="000000" w:themeColor="text1"/>
          <w:sz w:val="24"/>
          <w:szCs w:val="24"/>
          <w:highlight w:val="none"/>
          <w14:textFill>
            <w14:solidFill>
              <w14:schemeClr w14:val="tx1"/>
            </w14:solidFill>
          </w14:textFill>
        </w:rPr>
        <w:t>授权代表</w:t>
      </w:r>
      <w:r>
        <w:rPr>
          <w:rFonts w:hint="eastAsia" w:ascii="宋体" w:hAnsi="宋体" w:eastAsia="宋体" w:cs="宋体"/>
          <w:color w:val="000000" w:themeColor="text1"/>
          <w:sz w:val="24"/>
          <w:szCs w:val="24"/>
          <w:highlight w:val="none"/>
          <w14:textFill>
            <w14:solidFill>
              <w14:schemeClr w14:val="tx1"/>
            </w14:solidFill>
          </w14:textFill>
        </w:rPr>
        <w:t>签字确认；供应商为其他组织的，应当由其主要负责人或者</w:t>
      </w:r>
      <w:r>
        <w:rPr>
          <w:rFonts w:hint="eastAsia" w:ascii="宋体" w:hAnsi="宋体" w:eastAsia="宋体" w:cs="宋体"/>
          <w:bCs/>
          <w:color w:val="000000" w:themeColor="text1"/>
          <w:sz w:val="24"/>
          <w:szCs w:val="24"/>
          <w:highlight w:val="none"/>
          <w14:textFill>
            <w14:solidFill>
              <w14:schemeClr w14:val="tx1"/>
            </w14:solidFill>
          </w14:textFill>
        </w:rPr>
        <w:t>授权代表</w:t>
      </w:r>
      <w:r>
        <w:rPr>
          <w:rFonts w:hint="eastAsia" w:ascii="宋体" w:hAnsi="宋体" w:eastAsia="宋体" w:cs="宋体"/>
          <w:color w:val="000000" w:themeColor="text1"/>
          <w:sz w:val="24"/>
          <w:szCs w:val="24"/>
          <w:highlight w:val="none"/>
          <w14:textFill>
            <w14:solidFill>
              <w14:schemeClr w14:val="tx1"/>
            </w14:solidFill>
          </w14:textFill>
        </w:rPr>
        <w:t>签字确认；供应商为自然人的，应当由其本人或者</w:t>
      </w:r>
      <w:r>
        <w:rPr>
          <w:rFonts w:hint="eastAsia" w:ascii="宋体" w:hAnsi="宋体" w:eastAsia="宋体" w:cs="宋体"/>
          <w:bCs/>
          <w:color w:val="000000" w:themeColor="text1"/>
          <w:sz w:val="24"/>
          <w:szCs w:val="24"/>
          <w:highlight w:val="none"/>
          <w14:textFill>
            <w14:solidFill>
              <w14:schemeClr w14:val="tx1"/>
            </w14:solidFill>
          </w14:textFill>
        </w:rPr>
        <w:t>授权代表</w:t>
      </w:r>
      <w:r>
        <w:rPr>
          <w:rFonts w:hint="eastAsia" w:ascii="宋体" w:hAnsi="宋体" w:eastAsia="宋体" w:cs="宋体"/>
          <w:color w:val="000000" w:themeColor="text1"/>
          <w:sz w:val="24"/>
          <w:szCs w:val="24"/>
          <w:highlight w:val="none"/>
          <w14:textFill>
            <w14:solidFill>
              <w14:schemeClr w14:val="tx1"/>
            </w14:solidFill>
          </w14:textFill>
        </w:rPr>
        <w:t>签字确认</w:t>
      </w:r>
      <w:r>
        <w:rPr>
          <w:rFonts w:hint="eastAsia" w:ascii="宋体" w:hAnsi="宋体" w:eastAsia="宋体" w:cs="宋体"/>
          <w:bCs/>
          <w:color w:val="000000" w:themeColor="text1"/>
          <w:sz w:val="24"/>
          <w:szCs w:val="24"/>
          <w:highlight w:val="none"/>
          <w14:textFill>
            <w14:solidFill>
              <w14:schemeClr w14:val="tx1"/>
            </w14:solidFill>
          </w14:textFill>
        </w:rPr>
        <w:t>）或加盖私人印章，要求加盖公章的地方加盖单位公章，不得使用专用章（如经济合同章、投标专用章等）或下属单位印章代替。</w:t>
      </w:r>
    </w:p>
    <w:p>
      <w:pPr>
        <w:pageBreakBefore w:val="0"/>
        <w:kinsoku/>
        <w:wordWrap/>
        <w:overflowPunct/>
        <w:topLinePunct w:val="0"/>
        <w:bidi w:val="0"/>
        <w:spacing w:line="360" w:lineRule="auto"/>
        <w:ind w:firstLine="468" w:firstLineChars="195"/>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18.6响应文件正本和副本需要逐页编目编码。</w:t>
      </w:r>
    </w:p>
    <w:p>
      <w:pPr>
        <w:pageBreakBefore w:val="0"/>
        <w:tabs>
          <w:tab w:val="left" w:pos="1080"/>
        </w:tabs>
        <w:kinsoku/>
        <w:wordWrap/>
        <w:overflowPunct/>
        <w:topLinePunct w:val="0"/>
        <w:bidi w:val="0"/>
        <w:spacing w:line="360" w:lineRule="auto"/>
        <w:ind w:firstLine="460" w:firstLineChars="192"/>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18.7响应文件正本和副本应当采用胶装方式装订成册，不得散装或者合页装订。</w:t>
      </w:r>
    </w:p>
    <w:p>
      <w:pPr>
        <w:pageBreakBefore w:val="0"/>
        <w:tabs>
          <w:tab w:val="left" w:pos="1080"/>
        </w:tabs>
        <w:kinsoku/>
        <w:wordWrap/>
        <w:overflowPunct/>
        <w:topLinePunct w:val="0"/>
        <w:bidi w:val="0"/>
        <w:spacing w:line="360" w:lineRule="auto"/>
        <w:ind w:firstLine="460" w:firstLineChars="192"/>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18.8响应文件应根据磋商文件的要求制作，签署、盖章。</w:t>
      </w:r>
    </w:p>
    <w:p>
      <w:pPr>
        <w:pageBreakBefore w:val="0"/>
        <w:tabs>
          <w:tab w:val="left" w:pos="1080"/>
        </w:tabs>
        <w:kinsoku/>
        <w:wordWrap/>
        <w:overflowPunct/>
        <w:topLinePunct w:val="0"/>
        <w:bidi w:val="0"/>
        <w:spacing w:line="360" w:lineRule="auto"/>
        <w:ind w:firstLine="460" w:firstLineChars="192"/>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18.9响应文件统一用A4幅面纸印制，除另有规定外。</w:t>
      </w:r>
      <w:bookmarkStart w:id="64" w:name="_Toc183582226"/>
      <w:bookmarkStart w:id="65" w:name="_Toc217446053"/>
      <w:bookmarkStart w:id="66" w:name="_Toc89075877"/>
      <w:bookmarkStart w:id="67" w:name="_Toc183682363"/>
      <w:bookmarkStart w:id="68" w:name="_Toc77400781"/>
    </w:p>
    <w:p>
      <w:pPr>
        <w:pageBreakBefore w:val="0"/>
        <w:tabs>
          <w:tab w:val="left" w:pos="1080"/>
        </w:tabs>
        <w:kinsoku/>
        <w:wordWrap/>
        <w:overflowPunct/>
        <w:topLinePunct w:val="0"/>
        <w:bidi w:val="0"/>
        <w:spacing w:line="360" w:lineRule="auto"/>
        <w:ind w:firstLine="463" w:firstLineChars="192"/>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19.响应文件的密封和标注（不属于本项目磋商小组评审范畴，由采购人、采购代理机构在接收响应文件时及时处理）</w:t>
      </w:r>
    </w:p>
    <w:p>
      <w:pPr>
        <w:pageBreakBefore w:val="0"/>
        <w:tabs>
          <w:tab w:val="left" w:pos="1080"/>
        </w:tabs>
        <w:kinsoku/>
        <w:wordWrap/>
        <w:overflowPunct/>
        <w:topLinePunct w:val="0"/>
        <w:bidi w:val="0"/>
        <w:spacing w:line="360" w:lineRule="auto"/>
        <w:ind w:firstLine="460" w:firstLineChars="192"/>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19.1 响应文件可以单独密封包装，也可以所有响应文件密封包装在一个密封袋内。</w:t>
      </w:r>
    </w:p>
    <w:p>
      <w:pPr>
        <w:pageBreakBefore w:val="0"/>
        <w:tabs>
          <w:tab w:val="left" w:pos="1080"/>
        </w:tabs>
        <w:kinsoku/>
        <w:wordWrap/>
        <w:overflowPunct/>
        <w:topLinePunct w:val="0"/>
        <w:bidi w:val="0"/>
        <w:spacing w:line="360" w:lineRule="auto"/>
        <w:ind w:firstLine="460" w:firstLineChars="192"/>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19.2 响应文件密封袋的最外层应清楚地标明采购项目名称、采购项目编号、包件号及名称（若有）、供应商名称。</w:t>
      </w:r>
    </w:p>
    <w:p>
      <w:pPr>
        <w:pageBreakBefore w:val="0"/>
        <w:tabs>
          <w:tab w:val="left" w:pos="1080"/>
        </w:tabs>
        <w:kinsoku/>
        <w:wordWrap/>
        <w:overflowPunct/>
        <w:topLinePunct w:val="0"/>
        <w:bidi w:val="0"/>
        <w:spacing w:line="360" w:lineRule="auto"/>
        <w:ind w:firstLine="460" w:firstLineChars="192"/>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19.3 所有外层密封袋的封口处应粘贴牢固，并加盖投标人公章。</w:t>
      </w:r>
    </w:p>
    <w:p>
      <w:pPr>
        <w:pageBreakBefore w:val="0"/>
        <w:tabs>
          <w:tab w:val="left" w:pos="1080"/>
        </w:tabs>
        <w:kinsoku/>
        <w:wordWrap/>
        <w:overflowPunct/>
        <w:topLinePunct w:val="0"/>
        <w:bidi w:val="0"/>
        <w:spacing w:line="360" w:lineRule="auto"/>
        <w:ind w:firstLine="460" w:firstLineChars="192"/>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19.4 未按要求进行密封的磋商文件将被拒收。</w:t>
      </w:r>
    </w:p>
    <w:p>
      <w:pPr>
        <w:pageBreakBefore w:val="0"/>
        <w:tabs>
          <w:tab w:val="left" w:pos="1080"/>
        </w:tabs>
        <w:kinsoku/>
        <w:wordWrap/>
        <w:overflowPunct/>
        <w:topLinePunct w:val="0"/>
        <w:bidi w:val="0"/>
        <w:spacing w:line="360" w:lineRule="auto"/>
        <w:ind w:firstLine="460" w:firstLineChars="192"/>
        <w:rPr>
          <w:rFonts w:hint="eastAsia" w:ascii="宋体" w:hAnsi="宋体" w:eastAsia="宋体" w:cs="宋体"/>
          <w:color w:val="000000" w:themeColor="text1"/>
          <w:sz w:val="24"/>
          <w:szCs w:val="24"/>
          <w:highlight w:val="none"/>
          <w14:textFill>
            <w14:solidFill>
              <w14:schemeClr w14:val="tx1"/>
            </w14:solidFill>
          </w14:textFill>
        </w:rPr>
      </w:pPr>
    </w:p>
    <w:p>
      <w:pPr>
        <w:pageBreakBefore w:val="0"/>
        <w:tabs>
          <w:tab w:val="left" w:pos="1080"/>
        </w:tabs>
        <w:kinsoku/>
        <w:wordWrap/>
        <w:overflowPunct/>
        <w:topLinePunct w:val="0"/>
        <w:bidi w:val="0"/>
        <w:spacing w:line="360" w:lineRule="auto"/>
        <w:ind w:firstLine="463" w:firstLineChars="192"/>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20.响应文件的递交</w:t>
      </w:r>
    </w:p>
    <w:p>
      <w:pPr>
        <w:pageBreakBefore w:val="0"/>
        <w:tabs>
          <w:tab w:val="left" w:pos="1080"/>
        </w:tabs>
        <w:kinsoku/>
        <w:wordWrap/>
        <w:overflowPunct/>
        <w:topLinePunct w:val="0"/>
        <w:bidi w:val="0"/>
        <w:spacing w:line="360" w:lineRule="auto"/>
        <w:ind w:firstLine="460" w:firstLineChars="192"/>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20.1 响应文件可以单独密封包装，也可以所有响应文件密封包装在一个密封袋内。</w:t>
      </w:r>
    </w:p>
    <w:p>
      <w:pPr>
        <w:pageBreakBefore w:val="0"/>
        <w:tabs>
          <w:tab w:val="left" w:pos="1080"/>
        </w:tabs>
        <w:kinsoku/>
        <w:wordWrap/>
        <w:overflowPunct/>
        <w:topLinePunct w:val="0"/>
        <w:bidi w:val="0"/>
        <w:spacing w:line="360" w:lineRule="auto"/>
        <w:ind w:firstLine="460" w:firstLineChars="192"/>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20.2 响应文件密封袋的最外层应清楚地标明采购项目名称、采购项目编号、包件号及名称（若有）、供应商名称。</w:t>
      </w:r>
    </w:p>
    <w:p>
      <w:pPr>
        <w:pageBreakBefore w:val="0"/>
        <w:tabs>
          <w:tab w:val="left" w:pos="1080"/>
        </w:tabs>
        <w:kinsoku/>
        <w:wordWrap/>
        <w:overflowPunct/>
        <w:topLinePunct w:val="0"/>
        <w:bidi w:val="0"/>
        <w:spacing w:line="360" w:lineRule="auto"/>
        <w:ind w:firstLine="460" w:firstLineChars="192"/>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20.3 所有外层密封袋的封口处应粘贴牢固。</w:t>
      </w:r>
    </w:p>
    <w:p>
      <w:pPr>
        <w:pageBreakBefore w:val="0"/>
        <w:tabs>
          <w:tab w:val="left" w:pos="1080"/>
        </w:tabs>
        <w:kinsoku/>
        <w:wordWrap/>
        <w:overflowPunct/>
        <w:topLinePunct w:val="0"/>
        <w:bidi w:val="0"/>
        <w:spacing w:line="360" w:lineRule="auto"/>
        <w:ind w:firstLine="460" w:firstLineChars="192"/>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20.4 未按以上要求进行密封和标注的响应文件，采购人、采购代理机构将拒收或者在时间允许的范围内，要求修改完善后接收。</w:t>
      </w:r>
    </w:p>
    <w:bookmarkEnd w:id="64"/>
    <w:bookmarkEnd w:id="65"/>
    <w:bookmarkEnd w:id="66"/>
    <w:bookmarkEnd w:id="67"/>
    <w:bookmarkEnd w:id="68"/>
    <w:p>
      <w:pPr>
        <w:pageBreakBefore w:val="0"/>
        <w:tabs>
          <w:tab w:val="left" w:pos="1080"/>
        </w:tabs>
        <w:kinsoku/>
        <w:wordWrap/>
        <w:overflowPunct/>
        <w:topLinePunct w:val="0"/>
        <w:bidi w:val="0"/>
        <w:spacing w:line="360" w:lineRule="auto"/>
        <w:ind w:firstLine="463" w:firstLineChars="192"/>
        <w:rPr>
          <w:rFonts w:hint="eastAsia" w:ascii="宋体" w:hAnsi="宋体" w:eastAsia="宋体" w:cs="宋体"/>
          <w:b/>
          <w:color w:val="000000" w:themeColor="text1"/>
          <w:sz w:val="24"/>
          <w:szCs w:val="24"/>
          <w:highlight w:val="none"/>
          <w14:textFill>
            <w14:solidFill>
              <w14:schemeClr w14:val="tx1"/>
            </w14:solidFill>
          </w14:textFill>
        </w:rPr>
      </w:pPr>
      <w:bookmarkStart w:id="69" w:name="_Toc183582228"/>
      <w:bookmarkStart w:id="70" w:name="_Toc183682365"/>
      <w:bookmarkStart w:id="71" w:name="_Toc217446055"/>
      <w:r>
        <w:rPr>
          <w:rFonts w:hint="eastAsia" w:ascii="宋体" w:hAnsi="宋体" w:eastAsia="宋体" w:cs="宋体"/>
          <w:b/>
          <w:color w:val="000000" w:themeColor="text1"/>
          <w:sz w:val="24"/>
          <w:szCs w:val="24"/>
          <w:highlight w:val="none"/>
          <w14:textFill>
            <w14:solidFill>
              <w14:schemeClr w14:val="tx1"/>
            </w14:solidFill>
          </w14:textFill>
        </w:rPr>
        <w:t>21.响应文件的修改和撤回（补充、修改响应文件的密封和标注按照本章“19.响应文件的密封和标注”规定处理）</w:t>
      </w:r>
    </w:p>
    <w:p>
      <w:pPr>
        <w:pStyle w:val="8"/>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21.1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 供应商在提交响应文件截止时间前，可以对所提交的响应文件进行补充、修改或者撤回，补充、修改的内容与响应文件不一致的，以补充、修改的内容为准。</w:t>
      </w:r>
    </w:p>
    <w:p>
      <w:pPr>
        <w:pageBreakBefore w:val="0"/>
        <w:kinsoku/>
        <w:wordWrap/>
        <w:overflowPunct/>
        <w:topLinePunct w:val="0"/>
        <w:bidi w:val="0"/>
        <w:adjustRightInd w:val="0"/>
        <w:snapToGrid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21.2供应商对响应文件修改的书面材料或撤回的通知应该按规定进行编写、密封、标注和递送，并注明“修改响应文件”字样。</w:t>
      </w:r>
    </w:p>
    <w:p>
      <w:pPr>
        <w:pageBreakBefore w:val="0"/>
        <w:kinsoku/>
        <w:wordWrap/>
        <w:overflowPunct/>
        <w:topLinePunct w:val="0"/>
        <w:bidi w:val="0"/>
        <w:adjustRightInd w:val="0"/>
        <w:snapToGrid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21.3供应商不得在递交截止时间起至响应文件有效期期满前撤销其响应文件。否则其磋商保证金将按相关规定不予退还。</w:t>
      </w:r>
    </w:p>
    <w:p>
      <w:pPr>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21.4 响应文件中报价如果出现下列不一致的，可按以下原则进行修改：</w:t>
      </w:r>
    </w:p>
    <w:p>
      <w:pPr>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（一）</w:t>
      </w:r>
      <w:r>
        <w:rPr>
          <w:rFonts w:hint="eastAsia" w:ascii="宋体" w:hAnsi="宋体" w:eastAsia="宋体" w:cs="宋体"/>
          <w:color w:val="000000" w:themeColor="text1"/>
          <w:kern w:val="0"/>
          <w:sz w:val="24"/>
          <w:szCs w:val="24"/>
          <w:highlight w:val="none"/>
          <w14:textFill>
            <w14:solidFill>
              <w14:schemeClr w14:val="tx1"/>
            </w14:solidFill>
          </w14:textFill>
        </w:rPr>
        <w:t>大写金额和小写金额不一致的，以大写金额为准</w:t>
      </w:r>
      <w:r>
        <w:rPr>
          <w:rFonts w:hint="eastAsia" w:ascii="宋体" w:hAnsi="宋体" w:eastAsia="宋体" w:cs="宋体"/>
          <w:color w:val="000000" w:themeColor="text1"/>
          <w:sz w:val="24"/>
          <w:szCs w:val="24"/>
          <w:highlight w:val="none"/>
          <w14:textFill>
            <w14:solidFill>
              <w14:schemeClr w14:val="tx1"/>
            </w14:solidFill>
          </w14:textFill>
        </w:rPr>
        <w:t>，但大写金额文字存在错误的，应当先对大写金额的文字错误进行澄清、说明或者更正，再行修正。</w:t>
      </w:r>
    </w:p>
    <w:p>
      <w:pPr>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（二）</w:t>
      </w:r>
      <w:r>
        <w:rPr>
          <w:rFonts w:hint="eastAsia" w:ascii="宋体" w:hAnsi="宋体" w:eastAsia="宋体" w:cs="宋体"/>
          <w:color w:val="000000" w:themeColor="text1"/>
          <w:kern w:val="0"/>
          <w:sz w:val="24"/>
          <w:szCs w:val="24"/>
          <w:highlight w:val="none"/>
          <w14:textFill>
            <w14:solidFill>
              <w14:schemeClr w14:val="tx1"/>
            </w14:solidFill>
          </w14:textFill>
        </w:rPr>
        <w:t>总价金额与按单价汇总金额不一致的，以单价金额计算结果为准，</w:t>
      </w:r>
      <w:r>
        <w:rPr>
          <w:rFonts w:hint="eastAsia" w:ascii="宋体" w:hAnsi="宋体" w:eastAsia="宋体" w:cs="宋体"/>
          <w:color w:val="000000" w:themeColor="text1"/>
          <w:sz w:val="24"/>
          <w:szCs w:val="24"/>
          <w:highlight w:val="none"/>
          <w14:textFill>
            <w14:solidFill>
              <w14:schemeClr w14:val="tx1"/>
            </w14:solidFill>
          </w14:textFill>
        </w:rPr>
        <w:t>但</w:t>
      </w:r>
      <w:r>
        <w:rPr>
          <w:rFonts w:hint="eastAsia" w:ascii="宋体" w:hAnsi="宋体" w:eastAsia="宋体" w:cs="宋体"/>
          <w:color w:val="000000" w:themeColor="text1"/>
          <w:kern w:val="0"/>
          <w:sz w:val="24"/>
          <w:szCs w:val="24"/>
          <w:highlight w:val="none"/>
          <w14:textFill>
            <w14:solidFill>
              <w14:schemeClr w14:val="tx1"/>
            </w14:solidFill>
          </w14:textFill>
        </w:rPr>
        <w:t>单价或者单价汇总金额存在数字或者</w:t>
      </w:r>
      <w:r>
        <w:rPr>
          <w:rFonts w:hint="eastAsia" w:ascii="宋体" w:hAnsi="宋体" w:eastAsia="宋体" w:cs="宋体"/>
          <w:color w:val="000000" w:themeColor="text1"/>
          <w:sz w:val="24"/>
          <w:szCs w:val="24"/>
          <w:highlight w:val="none"/>
          <w14:textFill>
            <w14:solidFill>
              <w14:schemeClr w14:val="tx1"/>
            </w14:solidFill>
          </w14:textFill>
        </w:rPr>
        <w:t>文字错误的，应当先对</w:t>
      </w:r>
      <w:r>
        <w:rPr>
          <w:rFonts w:hint="eastAsia" w:ascii="宋体" w:hAnsi="宋体" w:eastAsia="宋体" w:cs="宋体"/>
          <w:color w:val="000000" w:themeColor="text1"/>
          <w:kern w:val="0"/>
          <w:sz w:val="24"/>
          <w:szCs w:val="24"/>
          <w:highlight w:val="none"/>
          <w14:textFill>
            <w14:solidFill>
              <w14:schemeClr w14:val="tx1"/>
            </w14:solidFill>
          </w14:textFill>
        </w:rPr>
        <w:t>数字或者</w:t>
      </w:r>
      <w:r>
        <w:rPr>
          <w:rFonts w:hint="eastAsia" w:ascii="宋体" w:hAnsi="宋体" w:eastAsia="宋体" w:cs="宋体"/>
          <w:color w:val="000000" w:themeColor="text1"/>
          <w:sz w:val="24"/>
          <w:szCs w:val="24"/>
          <w:highlight w:val="none"/>
          <w14:textFill>
            <w14:solidFill>
              <w14:schemeClr w14:val="tx1"/>
            </w14:solidFill>
          </w14:textFill>
        </w:rPr>
        <w:t>文字错误进行澄清、说明或者更正，再行修正。</w:t>
      </w:r>
    </w:p>
    <w:p>
      <w:pPr>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（三）单价金额小数点</w:t>
      </w:r>
      <w:r>
        <w:rPr>
          <w:rFonts w:hint="eastAsia" w:ascii="宋体" w:hAnsi="宋体" w:eastAsia="宋体" w:cs="宋体"/>
          <w:color w:val="000000" w:themeColor="text1"/>
          <w:kern w:val="0"/>
          <w:sz w:val="24"/>
          <w:szCs w:val="24"/>
          <w:highlight w:val="none"/>
          <w14:textFill>
            <w14:solidFill>
              <w14:schemeClr w14:val="tx1"/>
            </w14:solidFill>
          </w14:textFill>
        </w:rPr>
        <w:t>或者百分比有明显错位的</w:t>
      </w:r>
      <w:r>
        <w:rPr>
          <w:rFonts w:hint="eastAsia" w:ascii="宋体" w:hAnsi="宋体" w:eastAsia="宋体" w:cs="宋体"/>
          <w:color w:val="000000" w:themeColor="text1"/>
          <w:sz w:val="24"/>
          <w:szCs w:val="24"/>
          <w:highlight w:val="none"/>
          <w14:textFill>
            <w14:solidFill>
              <w14:schemeClr w14:val="tx1"/>
            </w14:solidFill>
          </w14:textFill>
        </w:rPr>
        <w:t>，以总价为准，修正单价。</w:t>
      </w:r>
    </w:p>
    <w:p>
      <w:pPr>
        <w:pageBreakBefore w:val="0"/>
        <w:kinsoku/>
        <w:wordWrap/>
        <w:overflowPunct/>
        <w:topLinePunct w:val="0"/>
        <w:bidi w:val="0"/>
        <w:spacing w:line="360" w:lineRule="auto"/>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同时出现两种以上不一致的，按照上述规定的顺序修正。修正后的报价经供应商确认后产生约束力，供应商不确认的，其响应文件作为无效处理。供应商确认采取书面且加盖单位公章或者供应商授权代表签字的方式。</w:t>
      </w:r>
    </w:p>
    <w:p>
      <w:pPr>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21.5供应商对其提交的响应文件的真实性、合法性承担法律责任。</w:t>
      </w:r>
      <w:bookmarkEnd w:id="69"/>
      <w:bookmarkEnd w:id="70"/>
      <w:bookmarkEnd w:id="71"/>
    </w:p>
    <w:p>
      <w:pPr>
        <w:pageBreakBefore w:val="0"/>
        <w:widowControl/>
        <w:kinsoku/>
        <w:wordWrap/>
        <w:overflowPunct/>
        <w:topLinePunct w:val="0"/>
        <w:bidi w:val="0"/>
        <w:spacing w:line="360" w:lineRule="auto"/>
        <w:ind w:firstLine="482"/>
        <w:jc w:val="center"/>
        <w:rPr>
          <w:rFonts w:hint="eastAsia" w:ascii="宋体" w:hAnsi="宋体" w:eastAsia="宋体" w:cs="宋体"/>
          <w:color w:val="000000" w:themeColor="text1"/>
          <w:sz w:val="24"/>
          <w:szCs w:val="24"/>
          <w:highlight w:val="none"/>
          <w14:textFill>
            <w14:solidFill>
              <w14:schemeClr w14:val="tx1"/>
            </w14:solidFill>
          </w14:textFill>
        </w:rPr>
      </w:pPr>
      <w:bookmarkStart w:id="72" w:name="_Toc89075878"/>
      <w:bookmarkStart w:id="73" w:name="_Toc77400782"/>
      <w:bookmarkStart w:id="74" w:name="_Toc183582231"/>
      <w:bookmarkStart w:id="75" w:name="_Toc183682368"/>
      <w:bookmarkStart w:id="76" w:name="_Toc217446056"/>
      <w:r>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t>五、评审</w:t>
      </w:r>
    </w:p>
    <w:p>
      <w:pPr>
        <w:pStyle w:val="5"/>
        <w:pageBreakBefore w:val="0"/>
        <w:kinsoku/>
        <w:wordWrap/>
        <w:overflowPunct/>
        <w:topLinePunct w:val="0"/>
        <w:bidi w:val="0"/>
        <w:spacing w:line="360" w:lineRule="auto"/>
        <w:ind w:firstLine="482"/>
        <w:rPr>
          <w:rFonts w:hint="eastAsia" w:ascii="宋体" w:hAnsi="宋体" w:eastAsia="宋体" w:cs="宋体"/>
          <w:b w:val="0"/>
          <w:bCs w:val="0"/>
          <w:color w:val="000000" w:themeColor="text1"/>
          <w:sz w:val="24"/>
          <w:szCs w:val="24"/>
          <w:highlight w:val="none"/>
          <w14:textFill>
            <w14:solidFill>
              <w14:schemeClr w14:val="tx1"/>
            </w14:solidFill>
          </w14:textFill>
        </w:rPr>
      </w:pPr>
      <w:r>
        <w:rPr>
          <w:rFonts w:hint="eastAsia" w:ascii="宋体" w:hAnsi="宋体" w:eastAsia="宋体" w:cs="宋体"/>
          <w:b w:val="0"/>
          <w:bCs w:val="0"/>
          <w:color w:val="000000" w:themeColor="text1"/>
          <w:sz w:val="24"/>
          <w:szCs w:val="24"/>
          <w:highlight w:val="none"/>
          <w14:textFill>
            <w14:solidFill>
              <w14:schemeClr w14:val="tx1"/>
            </w14:solidFill>
          </w14:textFill>
        </w:rPr>
        <w:t>22.磋商小组的组建及其评审工作按照有关法律制度和本文件第八章的规定进行。</w:t>
      </w:r>
    </w:p>
    <w:p>
      <w:pPr>
        <w:pStyle w:val="4"/>
        <w:keepNext w:val="0"/>
        <w:keepLines w:val="0"/>
        <w:pageBreakBefore w:val="0"/>
        <w:kinsoku/>
        <w:wordWrap/>
        <w:overflowPunct/>
        <w:topLinePunct w:val="0"/>
        <w:bidi w:val="0"/>
        <w:spacing w:line="360" w:lineRule="auto"/>
        <w:ind w:firstLine="643"/>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六、成交事项</w:t>
      </w:r>
    </w:p>
    <w:p>
      <w:pPr>
        <w:pStyle w:val="5"/>
        <w:pageBreakBefore w:val="0"/>
        <w:kinsoku/>
        <w:wordWrap/>
        <w:overflowPunct/>
        <w:topLinePunct w:val="0"/>
        <w:bidi w:val="0"/>
        <w:spacing w:line="360" w:lineRule="auto"/>
        <w:ind w:firstLine="482"/>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23.确定成交供应商</w:t>
      </w:r>
    </w:p>
    <w:p>
      <w:pPr>
        <w:pStyle w:val="12"/>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本项目采用方式一确定成交供应商。</w:t>
      </w:r>
    </w:p>
    <w:p>
      <w:pPr>
        <w:pStyle w:val="12"/>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方式一：采购人将按磋商小组推荐的成交候选供应商顺序确定成交供应商。</w:t>
      </w:r>
    </w:p>
    <w:p>
      <w:pPr>
        <w:pStyle w:val="12"/>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方式二：采购人授权磋商小组根据综合评分排名直接确定成交供应商。</w:t>
      </w:r>
    </w:p>
    <w:p>
      <w:pPr>
        <w:pStyle w:val="12"/>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23.1采购代理机构自评审结束后2个工作日内将磋商报告及有关资料送交采购人确定成交供应商。</w:t>
      </w:r>
    </w:p>
    <w:p>
      <w:pPr>
        <w:pStyle w:val="12"/>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23.2采购人收到磋商报告及有关资料后，将在5个工作日内按照磋商报告中推荐的成交候选供应商顺序确定成交供应商。成交候选供应商并列的，采购人自主采取公平、择优的方式选择成交供应商。采购人逾期未确定成交供应商且不提出异议的，视为确定磋商报告提出的排序第一的供应商为成交供应商。</w:t>
      </w:r>
    </w:p>
    <w:p>
      <w:pPr>
        <w:pStyle w:val="12"/>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23.3采购人确定成交供应商过程中，发现成交候选供应商有下列情形之一的，应当不予确定其为成交供应商：</w:t>
      </w:r>
    </w:p>
    <w:p>
      <w:pPr>
        <w:pStyle w:val="12"/>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（1）发现成交候选供应商存在禁止参加本项目采购活动的违法行为的；</w:t>
      </w:r>
    </w:p>
    <w:p>
      <w:pPr>
        <w:pStyle w:val="12"/>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（2）成交候选供应商因不可抗力，不能继续参加政府采购活动；</w:t>
      </w:r>
    </w:p>
    <w:p>
      <w:pPr>
        <w:pStyle w:val="12"/>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（3）成交候选供应商无偿赠与或者低于成本价竞争；</w:t>
      </w:r>
    </w:p>
    <w:p>
      <w:pPr>
        <w:pStyle w:val="12"/>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（4）成交候选供应商提供虚假材料；</w:t>
      </w:r>
    </w:p>
    <w:p>
      <w:pPr>
        <w:pStyle w:val="12"/>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（5）成交候选供应商恶意串通。</w:t>
      </w:r>
    </w:p>
    <w:p>
      <w:pPr>
        <w:pStyle w:val="12"/>
        <w:pageBreakBefore w:val="0"/>
        <w:kinsoku/>
        <w:wordWrap/>
        <w:overflowPunct/>
        <w:topLinePunct w:val="0"/>
        <w:bidi w:val="0"/>
        <w:spacing w:line="360" w:lineRule="auto"/>
        <w:ind w:firstLine="480"/>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成交候选供应商有本条情形之一的，采购人可以确定后一位成交候选供应商为成交供应商，依次类推。无法确定成交供应商的，应当重新组织采购。</w:t>
      </w:r>
    </w:p>
    <w:p>
      <w:pPr>
        <w:pStyle w:val="12"/>
        <w:pageBreakBefore w:val="0"/>
        <w:kinsoku/>
        <w:wordWrap/>
        <w:overflowPunct/>
        <w:topLinePunct w:val="0"/>
        <w:bidi w:val="0"/>
        <w:spacing w:line="360" w:lineRule="auto"/>
        <w:ind w:firstLine="482"/>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24.行贿犯罪档案查询</w:t>
      </w:r>
    </w:p>
    <w:p>
      <w:pPr>
        <w:pStyle w:val="12"/>
        <w:pageBreakBefore w:val="0"/>
        <w:kinsoku/>
        <w:wordWrap/>
        <w:overflowPunct/>
        <w:topLinePunct w:val="0"/>
        <w:bidi w:val="0"/>
        <w:spacing w:line="360" w:lineRule="auto"/>
        <w:ind w:firstLine="480"/>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24.1成交候选供应商单位及其现任法定代表人、主要负责人存在行贿犯罪记录的，成交后未签订政府采购合同的，将认定成交无效；成交后签订政府采购合同未履行的，将认定成交无效，同时撤销政府采购合同；成交后签订政府采购合同且已经履行的，将认定采购活动违法，由相关当事人承担赔偿责任。</w:t>
      </w:r>
    </w:p>
    <w:p>
      <w:pPr>
        <w:pStyle w:val="12"/>
        <w:pageBreakBefore w:val="0"/>
        <w:kinsoku/>
        <w:wordWrap/>
        <w:overflowPunct/>
        <w:topLinePunct w:val="0"/>
        <w:bidi w:val="0"/>
        <w:spacing w:line="360" w:lineRule="auto"/>
        <w:ind w:firstLine="482"/>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25.成交结果</w:t>
      </w:r>
    </w:p>
    <w:p>
      <w:pPr>
        <w:pStyle w:val="12"/>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25.1采购人确定成交供应商后，将及时书面通知采购代理机构，发出成交通知书并发布成交结果公告。</w:t>
      </w:r>
    </w:p>
    <w:p>
      <w:pPr>
        <w:pStyle w:val="12"/>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25.2成交供应商应当及时领取成交通知书。本项目需要交纳履约保证金的，成交供应商应当及时向采购人交纳。</w:t>
      </w:r>
    </w:p>
    <w:p>
      <w:pPr>
        <w:pStyle w:val="12"/>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25.3成交供应商不能及时领取成交通知书，采购人或者采购代理机应当通过邮寄、快递等方式将项目成交通知书送达成交供应商。</w:t>
      </w:r>
    </w:p>
    <w:p>
      <w:pPr>
        <w:pStyle w:val="5"/>
        <w:pageBreakBefore w:val="0"/>
        <w:kinsoku/>
        <w:wordWrap/>
        <w:overflowPunct/>
        <w:topLinePunct w:val="0"/>
        <w:bidi w:val="0"/>
        <w:spacing w:line="360" w:lineRule="auto"/>
        <w:ind w:firstLine="482"/>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26.成交通知书</w:t>
      </w:r>
    </w:p>
    <w:p>
      <w:pPr>
        <w:pStyle w:val="6"/>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26.1成交通知书为签订政府采购合同的依据之一，是合同的有效组成部分。</w:t>
      </w:r>
    </w:p>
    <w:p>
      <w:pPr>
        <w:pStyle w:val="6"/>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26.2成交通知书对采购人和成交供应商均具有法律效力。成交通知书发出后，采购人无正当理由改变成交结果，或者成交供应商无正当理由放弃成交的，将承担相应的法律责任。</w:t>
      </w:r>
    </w:p>
    <w:p>
      <w:pPr>
        <w:pStyle w:val="6"/>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26.3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pPr>
        <w:pStyle w:val="4"/>
        <w:keepNext w:val="0"/>
        <w:keepLines w:val="0"/>
        <w:pageBreakBefore w:val="0"/>
        <w:kinsoku/>
        <w:wordWrap/>
        <w:overflowPunct/>
        <w:topLinePunct w:val="0"/>
        <w:bidi w:val="0"/>
        <w:spacing w:line="360" w:lineRule="auto"/>
        <w:ind w:firstLine="643"/>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七、合同事项</w:t>
      </w:r>
    </w:p>
    <w:p>
      <w:pPr>
        <w:pStyle w:val="5"/>
        <w:pageBreakBefore w:val="0"/>
        <w:kinsoku/>
        <w:wordWrap/>
        <w:overflowPunct/>
        <w:topLinePunct w:val="0"/>
        <w:bidi w:val="0"/>
        <w:spacing w:line="360" w:lineRule="auto"/>
        <w:ind w:firstLine="482"/>
        <w:rPr>
          <w:rFonts w:hint="eastAsia" w:ascii="宋体" w:hAnsi="宋体" w:eastAsia="宋体" w:cs="宋体"/>
          <w:color w:val="000000" w:themeColor="text1"/>
          <w:sz w:val="24"/>
          <w:szCs w:val="24"/>
          <w:highlight w:val="none"/>
          <w14:textFill>
            <w14:solidFill>
              <w14:schemeClr w14:val="tx1"/>
            </w14:solidFill>
          </w14:textFill>
        </w:rPr>
      </w:pPr>
      <w:bookmarkStart w:id="77" w:name="_Toc101338364"/>
      <w:bookmarkStart w:id="78" w:name="_Toc101250646"/>
      <w:bookmarkStart w:id="79" w:name="_Toc430773927"/>
      <w:bookmarkStart w:id="80" w:name="_Toc101174151"/>
      <w:bookmarkStart w:id="81" w:name="_Toc209847069"/>
      <w:r>
        <w:rPr>
          <w:rFonts w:hint="eastAsia" w:ascii="宋体" w:hAnsi="宋体" w:eastAsia="宋体" w:cs="宋体"/>
          <w:color w:val="000000" w:themeColor="text1"/>
          <w:sz w:val="24"/>
          <w:szCs w:val="24"/>
          <w:highlight w:val="none"/>
          <w14:textFill>
            <w14:solidFill>
              <w14:schemeClr w14:val="tx1"/>
            </w14:solidFill>
          </w14:textFill>
        </w:rPr>
        <w:t>27.签订合同</w:t>
      </w:r>
      <w:bookmarkEnd w:id="77"/>
      <w:bookmarkEnd w:id="78"/>
      <w:bookmarkEnd w:id="79"/>
      <w:bookmarkEnd w:id="80"/>
      <w:bookmarkEnd w:id="81"/>
    </w:p>
    <w:p>
      <w:pPr>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27.1 成交供应商应在成交通知书发出之日起三十日内与采购人签订采购合同。由于成交供应商的原因逾期未与采购人签订采购合同的，将视为放弃成交，取消其成交资格并将按相关规定进行处理。</w:t>
      </w:r>
    </w:p>
    <w:p>
      <w:pPr>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27.2 磋商文件、成交供应商的响应文件及双方确认的澄清文件等，均为有法律约束力的合同组成部分。</w:t>
      </w:r>
    </w:p>
    <w:p>
      <w:pPr>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27.3 采购人不得向成交供应商提出任何不合理的要求，作为签订合同的条件，不得与成交供应商私下订立背离合同实质性内容的任何协议，所签订的合同不得对磋商文件和成交供应商响应文件确定的事项进行修改。</w:t>
      </w:r>
    </w:p>
    <w:p>
      <w:pPr>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27.4 成交供应商因不可抗力原因不能履行采购合同或放弃成交的，采购人可以与排在成交供应商之后第一位的成交候选人签订采购合同，以此类推。</w:t>
      </w:r>
    </w:p>
    <w:p>
      <w:pPr>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27.5竞争性磋商文件、成交供应商提交的响应文件、磋商中的最后报价、成交供应商承诺书、成交通知书等均称为有法律约束力的合同组成内容。</w:t>
      </w:r>
    </w:p>
    <w:p>
      <w:pPr>
        <w:pageBreakBefore w:val="0"/>
        <w:numPr>
          <w:ilvl w:val="0"/>
          <w:numId w:val="0"/>
        </w:numPr>
        <w:kinsoku/>
        <w:wordWrap/>
        <w:overflowPunct/>
        <w:topLinePunct w:val="0"/>
        <w:bidi w:val="0"/>
        <w:spacing w:line="360" w:lineRule="auto"/>
        <w:ind w:firstLine="482" w:firstLineChars="200"/>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cs="宋体"/>
          <w:b/>
          <w:color w:val="000000" w:themeColor="text1"/>
          <w:sz w:val="24"/>
          <w:szCs w:val="24"/>
          <w:highlight w:val="none"/>
          <w:lang w:val="en-US" w:eastAsia="zh-CN"/>
          <w14:textFill>
            <w14:solidFill>
              <w14:schemeClr w14:val="tx1"/>
            </w14:solidFill>
          </w14:textFill>
        </w:rPr>
        <w:t>28.</w:t>
      </w:r>
      <w:r>
        <w:rPr>
          <w:rFonts w:hint="eastAsia" w:ascii="宋体" w:hAnsi="宋体" w:eastAsia="宋体" w:cs="宋体"/>
          <w:b/>
          <w:color w:val="000000" w:themeColor="text1"/>
          <w:sz w:val="24"/>
          <w:szCs w:val="24"/>
          <w:highlight w:val="none"/>
          <w14:textFill>
            <w14:solidFill>
              <w14:schemeClr w14:val="tx1"/>
            </w14:solidFill>
          </w14:textFill>
        </w:rPr>
        <w:t>合同分包（实质性要求）</w:t>
      </w:r>
    </w:p>
    <w:p>
      <w:pPr>
        <w:pageBreakBefore w:val="0"/>
        <w:kinsoku/>
        <w:wordWrap/>
        <w:overflowPunct/>
        <w:topLinePunct w:val="0"/>
        <w:bidi w:val="0"/>
        <w:spacing w:line="360" w:lineRule="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本项目</w:t>
      </w:r>
      <w:r>
        <w:rPr>
          <w:rFonts w:hint="eastAsia" w:ascii="宋体" w:hAnsi="宋体" w:cs="宋体"/>
          <w:color w:val="000000" w:themeColor="text1"/>
          <w:sz w:val="24"/>
          <w:szCs w:val="24"/>
          <w:highlight w:val="none"/>
          <w:lang w:val="en-US" w:eastAsia="zh-CN"/>
          <w14:textFill>
            <w14:solidFill>
              <w14:schemeClr w14:val="tx1"/>
            </w14:solidFill>
          </w14:textFill>
        </w:rPr>
        <w:t>不</w:t>
      </w:r>
      <w:r>
        <w:rPr>
          <w:rFonts w:hint="eastAsia" w:ascii="宋体" w:hAnsi="宋体" w:eastAsia="宋体" w:cs="宋体"/>
          <w:color w:val="000000" w:themeColor="text1"/>
          <w:sz w:val="24"/>
          <w:szCs w:val="24"/>
          <w:highlight w:val="none"/>
          <w14:textFill>
            <w14:solidFill>
              <w14:schemeClr w14:val="tx1"/>
            </w14:solidFill>
          </w14:textFill>
        </w:rPr>
        <w:t>允许分包。</w:t>
      </w:r>
    </w:p>
    <w:p>
      <w:pPr>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w:t>
      </w:r>
      <w:r>
        <w:rPr>
          <w:rFonts w:hint="eastAsia" w:ascii="宋体" w:hAnsi="宋体" w:eastAsia="宋体" w:cs="宋体"/>
          <w:color w:val="000000" w:themeColor="text1"/>
          <w:sz w:val="24"/>
          <w:szCs w:val="24"/>
          <w:highlight w:val="none"/>
          <w:lang w:val="en-US" w:eastAsia="zh-CN"/>
          <w14:textFill>
            <w14:solidFill>
              <w14:schemeClr w14:val="tx1"/>
            </w14:solidFill>
          </w14:textFill>
        </w:rPr>
        <w:t>8</w:t>
      </w: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1</w:t>
      </w:r>
      <w:r>
        <w:rPr>
          <w:rFonts w:hint="eastAsia" w:ascii="宋体" w:hAnsi="宋体" w:eastAsia="宋体" w:cs="宋体"/>
          <w:color w:val="000000" w:themeColor="text1"/>
          <w:sz w:val="24"/>
          <w:szCs w:val="24"/>
          <w:highlight w:val="none"/>
          <w14:textFill>
            <w14:solidFill>
              <w14:schemeClr w14:val="tx1"/>
            </w14:solidFill>
          </w14:textFill>
        </w:rPr>
        <w:t>采购合同实行分包履行的，成交供应商就采购项目和分包项目向采购人负责，分包供应商就分包项目承担责任。履行分包项目事项应当具备法定资质规定要求的，分包供应商应当具备相应资质。</w:t>
      </w:r>
    </w:p>
    <w:p>
      <w:pPr>
        <w:pageBreakBefore w:val="0"/>
        <w:kinsoku/>
        <w:wordWrap/>
        <w:overflowPunct/>
        <w:topLinePunct w:val="0"/>
        <w:bidi w:val="0"/>
        <w:spacing w:line="360" w:lineRule="auto"/>
        <w:ind w:firstLine="480"/>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w:t>
      </w:r>
      <w:r>
        <w:rPr>
          <w:rFonts w:hint="eastAsia" w:ascii="宋体" w:hAnsi="宋体" w:eastAsia="宋体" w:cs="宋体"/>
          <w:color w:val="000000" w:themeColor="text1"/>
          <w:sz w:val="24"/>
          <w:szCs w:val="24"/>
          <w:highlight w:val="none"/>
          <w:lang w:val="en-US" w:eastAsia="zh-CN"/>
          <w14:textFill>
            <w14:solidFill>
              <w14:schemeClr w14:val="tx1"/>
            </w14:solidFill>
          </w14:textFill>
        </w:rPr>
        <w:t>8</w:t>
      </w: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2</w:t>
      </w:r>
      <w:r>
        <w:rPr>
          <w:rFonts w:hint="eastAsia" w:ascii="宋体" w:hAnsi="宋体" w:eastAsia="宋体" w:cs="宋体"/>
          <w:color w:val="000000" w:themeColor="text1"/>
          <w:sz w:val="24"/>
          <w:szCs w:val="24"/>
          <w:highlight w:val="none"/>
          <w14:textFill>
            <w14:solidFill>
              <w14:schemeClr w14:val="tx1"/>
            </w14:solidFill>
          </w14:textFill>
        </w:rPr>
        <w:t>获取政府采购合同后，小型、微型企业不得分包或转包给大型、中型企业，中型企业不得分包或转包给大型企业。</w:t>
      </w:r>
    </w:p>
    <w:p>
      <w:pPr>
        <w:pageBreakBefore w:val="0"/>
        <w:kinsoku/>
        <w:wordWrap/>
        <w:overflowPunct/>
        <w:topLinePunct w:val="0"/>
        <w:bidi w:val="0"/>
        <w:spacing w:line="360" w:lineRule="auto"/>
        <w:ind w:firstLine="482"/>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29.合同转包（实质性要求）</w:t>
      </w:r>
    </w:p>
    <w:p>
      <w:pPr>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pPr>
        <w:pageBreakBefore w:val="0"/>
        <w:kinsoku/>
        <w:wordWrap/>
        <w:overflowPunct/>
        <w:topLinePunct w:val="0"/>
        <w:bidi w:val="0"/>
        <w:spacing w:line="360" w:lineRule="auto"/>
        <w:ind w:firstLine="480"/>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成交供应商转包的，视同拒绝履行政府采购合同义务，将依法追究法律责任。</w:t>
      </w:r>
    </w:p>
    <w:p>
      <w:pPr>
        <w:pageBreakBefore w:val="0"/>
        <w:kinsoku/>
        <w:wordWrap/>
        <w:overflowPunct/>
        <w:topLinePunct w:val="0"/>
        <w:bidi w:val="0"/>
        <w:spacing w:line="360" w:lineRule="auto"/>
        <w:ind w:firstLine="482"/>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30.补充合同</w:t>
      </w:r>
    </w:p>
    <w:p>
      <w:pPr>
        <w:pageBreakBefore w:val="0"/>
        <w:kinsoku/>
        <w:wordWrap/>
        <w:overflowPunct/>
        <w:topLinePunct w:val="0"/>
        <w:bidi w:val="0"/>
        <w:spacing w:line="360" w:lineRule="auto"/>
        <w:ind w:firstLine="480"/>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采购合同履行过程中，采购人需要追加与合同标的相同的货物、工程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pPr>
        <w:pageBreakBefore w:val="0"/>
        <w:kinsoku/>
        <w:wordWrap/>
        <w:overflowPunct/>
        <w:topLinePunct w:val="0"/>
        <w:bidi w:val="0"/>
        <w:spacing w:line="360" w:lineRule="auto"/>
        <w:ind w:firstLine="482"/>
        <w:rPr>
          <w:rFonts w:hint="eastAsia" w:ascii="宋体" w:hAnsi="宋体" w:eastAsia="宋体" w:cs="宋体"/>
          <w:b/>
          <w:color w:val="000000" w:themeColor="text1"/>
          <w:sz w:val="24"/>
          <w:szCs w:val="24"/>
          <w:highlight w:val="none"/>
          <w:lang w:eastAsia="zh-CN"/>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31.履约保证金</w:t>
      </w:r>
      <w:r>
        <w:rPr>
          <w:rFonts w:hint="eastAsia" w:ascii="宋体" w:hAnsi="宋体" w:cs="宋体"/>
          <w:b/>
          <w:color w:val="000000" w:themeColor="text1"/>
          <w:sz w:val="24"/>
          <w:szCs w:val="24"/>
          <w:highlight w:val="none"/>
          <w:lang w:eastAsia="zh-CN"/>
          <w14:textFill>
            <w14:solidFill>
              <w14:schemeClr w14:val="tx1"/>
            </w14:solidFill>
          </w14:textFill>
        </w:rPr>
        <w:t>（</w:t>
      </w:r>
      <w:r>
        <w:rPr>
          <w:rFonts w:hint="eastAsia" w:ascii="宋体" w:hAnsi="宋体" w:cs="宋体"/>
          <w:b/>
          <w:color w:val="000000" w:themeColor="text1"/>
          <w:sz w:val="24"/>
          <w:szCs w:val="24"/>
          <w:highlight w:val="none"/>
          <w:lang w:val="en-US" w:eastAsia="zh-CN"/>
          <w14:textFill>
            <w14:solidFill>
              <w14:schemeClr w14:val="tx1"/>
            </w14:solidFill>
          </w14:textFill>
        </w:rPr>
        <w:t>本项目无需缴纳履约保证金</w:t>
      </w:r>
      <w:r>
        <w:rPr>
          <w:rFonts w:hint="eastAsia" w:ascii="宋体" w:hAnsi="宋体" w:cs="宋体"/>
          <w:b/>
          <w:color w:val="000000" w:themeColor="text1"/>
          <w:sz w:val="24"/>
          <w:szCs w:val="24"/>
          <w:highlight w:val="none"/>
          <w:lang w:eastAsia="zh-CN"/>
          <w14:textFill>
            <w14:solidFill>
              <w14:schemeClr w14:val="tx1"/>
            </w14:solidFill>
          </w14:textFill>
        </w:rPr>
        <w:t>）</w:t>
      </w:r>
    </w:p>
    <w:p>
      <w:pPr>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31.1 以成交供应商在合同签订前与采购人约定为准。</w:t>
      </w:r>
    </w:p>
    <w:p>
      <w:pPr>
        <w:pageBreakBefore w:val="0"/>
        <w:kinsoku/>
        <w:wordWrap/>
        <w:overflowPunct/>
        <w:topLinePunct w:val="0"/>
        <w:bidi w:val="0"/>
        <w:spacing w:line="360" w:lineRule="auto"/>
        <w:ind w:firstLine="480"/>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31.2 如果成交供应商在规定的合同签订时间内，没有按照约定交纳履约保证金，且又无正当理由的，将视为放弃成交。</w:t>
      </w:r>
    </w:p>
    <w:p>
      <w:pPr>
        <w:pageBreakBefore w:val="0"/>
        <w:kinsoku/>
        <w:wordWrap/>
        <w:overflowPunct/>
        <w:topLinePunct w:val="0"/>
        <w:bidi w:val="0"/>
        <w:spacing w:line="360" w:lineRule="auto"/>
        <w:ind w:firstLine="482"/>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32.合同公告</w:t>
      </w:r>
    </w:p>
    <w:p>
      <w:pPr>
        <w:pageBreakBefore w:val="0"/>
        <w:kinsoku/>
        <w:wordWrap/>
        <w:overflowPunct/>
        <w:topLinePunct w:val="0"/>
        <w:bidi w:val="0"/>
        <w:spacing w:line="360" w:lineRule="auto"/>
        <w:ind w:firstLine="480"/>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采购人应当自政府采购合同签订（双方当事人均已签字盖章）之日起2个工作日内，将政府采购合同在四川政府采购网上公告，但政府采购合同中涉及国家秘密、商业秘密的内容除外。</w:t>
      </w:r>
    </w:p>
    <w:p>
      <w:pPr>
        <w:pageBreakBefore w:val="0"/>
        <w:kinsoku/>
        <w:wordWrap/>
        <w:overflowPunct/>
        <w:topLinePunct w:val="0"/>
        <w:bidi w:val="0"/>
        <w:spacing w:line="360" w:lineRule="auto"/>
        <w:ind w:firstLine="482"/>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33.合同备案</w:t>
      </w:r>
    </w:p>
    <w:p>
      <w:pPr>
        <w:pageBreakBefore w:val="0"/>
        <w:kinsoku/>
        <w:wordWrap/>
        <w:overflowPunct/>
        <w:topLinePunct w:val="0"/>
        <w:bidi w:val="0"/>
        <w:spacing w:line="360" w:lineRule="auto"/>
        <w:ind w:firstLine="480"/>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采购人应当将政府采购合同副本自签订（双方当事人均已签字盖章）之日起七个工作日内通过四川政府采购网报同级财政部门备案。</w:t>
      </w:r>
    </w:p>
    <w:p>
      <w:pPr>
        <w:pageBreakBefore w:val="0"/>
        <w:kinsoku/>
        <w:wordWrap/>
        <w:overflowPunct/>
        <w:topLinePunct w:val="0"/>
        <w:bidi w:val="0"/>
        <w:spacing w:line="360" w:lineRule="auto"/>
        <w:ind w:firstLine="482"/>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34.履行合同</w:t>
      </w:r>
    </w:p>
    <w:p>
      <w:pPr>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34.1 成交供应商与采购人签订合同后，合同双方应严格执行合同条款，履行合同规定的义务，保证合同的顺利完成。</w:t>
      </w:r>
    </w:p>
    <w:p>
      <w:pPr>
        <w:pageBreakBefore w:val="0"/>
        <w:kinsoku/>
        <w:wordWrap/>
        <w:overflowPunct/>
        <w:topLinePunct w:val="0"/>
        <w:bidi w:val="0"/>
        <w:spacing w:line="360" w:lineRule="auto"/>
        <w:ind w:firstLine="480"/>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34.2 在合同履行过程中，如发生合同纠纷，合同双方应按照合同约定及《</w:t>
      </w:r>
      <w:r>
        <w:rPr>
          <w:rFonts w:hint="eastAsia" w:ascii="宋体" w:hAnsi="宋体" w:cs="宋体"/>
          <w:color w:val="000000" w:themeColor="text1"/>
          <w:sz w:val="24"/>
          <w:szCs w:val="24"/>
          <w:highlight w:val="none"/>
          <w:lang w:val="en-US" w:eastAsia="zh-CN"/>
          <w14:textFill>
            <w14:solidFill>
              <w14:schemeClr w14:val="tx1"/>
            </w14:solidFill>
          </w14:textFill>
        </w:rPr>
        <w:t>中华人民共和国民法典</w:t>
      </w:r>
      <w:r>
        <w:rPr>
          <w:rFonts w:hint="eastAsia" w:ascii="宋体" w:hAnsi="宋体" w:eastAsia="宋体" w:cs="宋体"/>
          <w:color w:val="000000" w:themeColor="text1"/>
          <w:sz w:val="24"/>
          <w:szCs w:val="24"/>
          <w:highlight w:val="none"/>
          <w14:textFill>
            <w14:solidFill>
              <w14:schemeClr w14:val="tx1"/>
            </w14:solidFill>
          </w14:textFill>
        </w:rPr>
        <w:t>》的有关规定进行处理。</w:t>
      </w:r>
    </w:p>
    <w:p>
      <w:pPr>
        <w:pageBreakBefore w:val="0"/>
        <w:kinsoku/>
        <w:wordWrap/>
        <w:overflowPunct/>
        <w:topLinePunct w:val="0"/>
        <w:bidi w:val="0"/>
        <w:spacing w:line="360" w:lineRule="auto"/>
        <w:ind w:firstLine="482"/>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35.验收</w:t>
      </w:r>
    </w:p>
    <w:p>
      <w:pPr>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35.1本项目采购人将严格按照政府采购相关法律法规以及《财政部关于进一步加强政府采购需求和履约验收管理的指导意见》（财库〔2016〕205号）的要求进行验收。</w:t>
      </w:r>
    </w:p>
    <w:p>
      <w:pPr>
        <w:pageBreakBefore w:val="0"/>
        <w:kinsoku/>
        <w:wordWrap/>
        <w:overflowPunct/>
        <w:topLinePunct w:val="0"/>
        <w:bidi w:val="0"/>
        <w:spacing w:line="360" w:lineRule="auto"/>
        <w:ind w:firstLine="480"/>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35.2 验收结果合格的，成交供应商凭验收报告办理相关手续；验收结果不合格的，履约保证金将不予退还，也将不予支付采购资金，还可能会报本项目同级财政部门按照政府采购法律法规及</w:t>
      </w:r>
      <w:r>
        <w:rPr>
          <w:rFonts w:hint="eastAsia" w:ascii="宋体" w:hAnsi="宋体" w:cs="宋体"/>
          <w:color w:val="000000" w:themeColor="text1"/>
          <w:sz w:val="24"/>
          <w:szCs w:val="24"/>
          <w:highlight w:val="none"/>
          <w:lang w:val="en-US" w:eastAsia="zh-CN"/>
          <w14:textFill>
            <w14:solidFill>
              <w14:schemeClr w14:val="tx1"/>
            </w14:solidFill>
          </w14:textFill>
        </w:rPr>
        <w:t>参照</w:t>
      </w:r>
      <w:r>
        <w:rPr>
          <w:rFonts w:hint="eastAsia" w:ascii="宋体" w:hAnsi="宋体" w:eastAsia="宋体" w:cs="宋体"/>
          <w:color w:val="000000" w:themeColor="text1"/>
          <w:sz w:val="24"/>
          <w:szCs w:val="24"/>
          <w:highlight w:val="none"/>
          <w14:textFill>
            <w14:solidFill>
              <w14:schemeClr w14:val="tx1"/>
            </w14:solidFill>
          </w14:textFill>
        </w:rPr>
        <w:t>《四川省政府采购当事人诚信管理办法（川财采〔2015〕33号）等有关规定给予行政处罚或者以失信行为记入诚信档案。</w:t>
      </w:r>
    </w:p>
    <w:p>
      <w:pPr>
        <w:pageBreakBefore w:val="0"/>
        <w:kinsoku/>
        <w:wordWrap/>
        <w:overflowPunct/>
        <w:topLinePunct w:val="0"/>
        <w:bidi w:val="0"/>
        <w:spacing w:line="360" w:lineRule="auto"/>
        <w:ind w:firstLine="482"/>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36.资金支付</w:t>
      </w:r>
    </w:p>
    <w:p>
      <w:pPr>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采购人将按照政府采购合同规定，及时向成交供应商支付采购资金。本项目采购资金付款详见第五章规定的付款方式。</w:t>
      </w:r>
    </w:p>
    <w:p>
      <w:pPr>
        <w:pStyle w:val="4"/>
        <w:keepNext w:val="0"/>
        <w:keepLines w:val="0"/>
        <w:pageBreakBefore w:val="0"/>
        <w:kinsoku/>
        <w:wordWrap/>
        <w:overflowPunct/>
        <w:topLinePunct w:val="0"/>
        <w:bidi w:val="0"/>
        <w:spacing w:before="0" w:after="0" w:line="360" w:lineRule="auto"/>
        <w:ind w:firstLine="643"/>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八、磋商纪律要求</w:t>
      </w:r>
    </w:p>
    <w:p>
      <w:pPr>
        <w:pageBreakBefore w:val="0"/>
        <w:tabs>
          <w:tab w:val="left" w:pos="851"/>
        </w:tabs>
        <w:kinsoku/>
        <w:wordWrap/>
        <w:overflowPunct/>
        <w:topLinePunct w:val="0"/>
        <w:bidi w:val="0"/>
        <w:spacing w:line="360" w:lineRule="auto"/>
        <w:ind w:firstLine="482"/>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37.供应商不得具有的情形</w:t>
      </w:r>
    </w:p>
    <w:p>
      <w:pPr>
        <w:pageBreakBefore w:val="0"/>
        <w:tabs>
          <w:tab w:val="left" w:pos="851"/>
        </w:tabs>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供应商参加本项目磋商不得有下列情形：</w:t>
      </w:r>
    </w:p>
    <w:p>
      <w:pPr>
        <w:pageBreakBefore w:val="0"/>
        <w:tabs>
          <w:tab w:val="left" w:pos="851"/>
        </w:tabs>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（1）提供虚假材料谋取成交；</w:t>
      </w:r>
    </w:p>
    <w:p>
      <w:pPr>
        <w:pageBreakBefore w:val="0"/>
        <w:tabs>
          <w:tab w:val="left" w:pos="851"/>
        </w:tabs>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（2）采取不正当手段诋毁、排挤其他供应商；</w:t>
      </w:r>
    </w:p>
    <w:p>
      <w:pPr>
        <w:pageBreakBefore w:val="0"/>
        <w:tabs>
          <w:tab w:val="left" w:pos="851"/>
        </w:tabs>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（3）与采购人、采购代理机构、或其他供应商恶意串通；</w:t>
      </w:r>
    </w:p>
    <w:p>
      <w:pPr>
        <w:pageBreakBefore w:val="0"/>
        <w:tabs>
          <w:tab w:val="left" w:pos="851"/>
        </w:tabs>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（4）向采购人、采购代理机构、磋商小组成员行贿或者提供其他不正当利益；</w:t>
      </w:r>
    </w:p>
    <w:p>
      <w:pPr>
        <w:pageBreakBefore w:val="0"/>
        <w:tabs>
          <w:tab w:val="left" w:pos="851"/>
        </w:tabs>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（5）在磋商过程中与采购人、采购代理机构进行协商；</w:t>
      </w:r>
    </w:p>
    <w:p>
      <w:pPr>
        <w:pageBreakBefore w:val="0"/>
        <w:tabs>
          <w:tab w:val="left" w:pos="851"/>
        </w:tabs>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（6）成交后无正当理由拒不与采购人签订政府采购合同；</w:t>
      </w:r>
    </w:p>
    <w:p>
      <w:pPr>
        <w:pageBreakBefore w:val="0"/>
        <w:tabs>
          <w:tab w:val="left" w:pos="851"/>
        </w:tabs>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（7）未按照磋商文件确定的事项签订政府采购合同；</w:t>
      </w:r>
    </w:p>
    <w:p>
      <w:pPr>
        <w:pageBreakBefore w:val="0"/>
        <w:tabs>
          <w:tab w:val="left" w:pos="851"/>
        </w:tabs>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（8）将政府采购合同转包或者违规分包；</w:t>
      </w:r>
    </w:p>
    <w:p>
      <w:pPr>
        <w:pageBreakBefore w:val="0"/>
        <w:tabs>
          <w:tab w:val="left" w:pos="851"/>
        </w:tabs>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（9）提供假冒伪劣产品；</w:t>
      </w:r>
    </w:p>
    <w:p>
      <w:pPr>
        <w:pageBreakBefore w:val="0"/>
        <w:tabs>
          <w:tab w:val="left" w:pos="851"/>
        </w:tabs>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（10）擅自变更、中止或者终止政府采购合同；</w:t>
      </w:r>
    </w:p>
    <w:p>
      <w:pPr>
        <w:pageBreakBefore w:val="0"/>
        <w:tabs>
          <w:tab w:val="left" w:pos="851"/>
        </w:tabs>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（11）拒绝有关部门的监督检查或者向监督检查部门提供虚假情况；</w:t>
      </w:r>
    </w:p>
    <w:p>
      <w:pPr>
        <w:pageBreakBefore w:val="0"/>
        <w:tabs>
          <w:tab w:val="left" w:pos="851"/>
        </w:tabs>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（12）法律法规规定的其他情形。</w:t>
      </w:r>
    </w:p>
    <w:p>
      <w:pPr>
        <w:pageBreakBefore w:val="0"/>
        <w:tabs>
          <w:tab w:val="left" w:pos="851"/>
        </w:tabs>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供应商有上述情形的，按照规定追究法律责任，具备（1）-（10）条情形之一的，同时将取消被确认为成交供应商的资格或者认定成交无效。</w:t>
      </w:r>
    </w:p>
    <w:p>
      <w:pPr>
        <w:pageBreakBefore w:val="0"/>
        <w:tabs>
          <w:tab w:val="left" w:pos="851"/>
        </w:tabs>
        <w:kinsoku/>
        <w:wordWrap/>
        <w:overflowPunct/>
        <w:topLinePunct w:val="0"/>
        <w:bidi w:val="0"/>
        <w:spacing w:line="360" w:lineRule="auto"/>
        <w:ind w:firstLine="643"/>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九、询问、质疑和投诉</w:t>
      </w:r>
    </w:p>
    <w:p>
      <w:pPr>
        <w:pageBreakBefore w:val="0"/>
        <w:tabs>
          <w:tab w:val="left" w:pos="851"/>
        </w:tabs>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38.询问、质疑、投诉的接收和处理严格按照《中华人民共和国政府采购法》、《中华人民共和国政府采购法实施条例》、《政府采购货物和服务招标投标管理办法》、《政府采购质疑和投诉办法》财政部第94号令、《财政部关于加强政府采购投标人投诉受理审查工作的通知》和《四川省政府采购投标人投诉处理工作规程》的规定办理（详细规定请在四川政府采购网政策法规模块查询）。</w:t>
      </w:r>
    </w:p>
    <w:p>
      <w:pPr>
        <w:pageBreakBefore w:val="0"/>
        <w:tabs>
          <w:tab w:val="left" w:pos="851"/>
        </w:tabs>
        <w:kinsoku/>
        <w:wordWrap/>
        <w:overflowPunct/>
        <w:topLinePunct w:val="0"/>
        <w:bidi w:val="0"/>
        <w:spacing w:line="360" w:lineRule="auto"/>
        <w:ind w:firstLine="643"/>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十、其  他</w:t>
      </w:r>
    </w:p>
    <w:p>
      <w:pPr>
        <w:pageBreakBefore w:val="0"/>
        <w:tabs>
          <w:tab w:val="left" w:pos="851"/>
        </w:tabs>
        <w:kinsoku/>
        <w:wordWrap/>
        <w:overflowPunct/>
        <w:topLinePunct w:val="0"/>
        <w:bidi w:val="0"/>
        <w:spacing w:line="360" w:lineRule="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39.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pPr>
        <w:pageBreakBefore w:val="0"/>
        <w:kinsoku/>
        <w:wordWrap/>
        <w:overflowPunct/>
        <w:topLinePunct w:val="0"/>
        <w:bidi w:val="0"/>
        <w:spacing w:line="360" w:lineRule="auto"/>
        <w:ind w:firstLine="480"/>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40.</w:t>
      </w:r>
      <w:r>
        <w:rPr>
          <w:rFonts w:hint="eastAsia" w:ascii="宋体" w:hAnsi="宋体" w:eastAsia="宋体" w:cs="宋体"/>
          <w:b/>
          <w:color w:val="000000" w:themeColor="text1"/>
          <w:sz w:val="24"/>
          <w:szCs w:val="24"/>
          <w:highlight w:val="none"/>
          <w14:textFill>
            <w14:solidFill>
              <w14:schemeClr w14:val="tx1"/>
            </w14:solidFill>
          </w14:textFill>
        </w:rPr>
        <w:t>（实质性要求）</w:t>
      </w:r>
      <w:r>
        <w:rPr>
          <w:rFonts w:hint="eastAsia" w:ascii="宋体" w:hAnsi="宋体" w:eastAsia="宋体" w:cs="宋体"/>
          <w:color w:val="000000" w:themeColor="text1"/>
          <w:sz w:val="24"/>
          <w:szCs w:val="24"/>
          <w:highlight w:val="none"/>
          <w14:textFill>
            <w14:solidFill>
              <w14:schemeClr w14:val="tx1"/>
            </w14:solidFill>
          </w14:textFill>
        </w:rPr>
        <w:t>国家或行业主管部门对供应商和采购产品的技术标准、质量标准和资格资质条件等有强制性规定的，必须符合其要求。</w:t>
      </w:r>
    </w:p>
    <w:p>
      <w:pPr>
        <w:pageBreakBefore w:val="0"/>
        <w:kinsoku/>
        <w:wordWrap/>
        <w:overflowPunct/>
        <w:topLinePunct w:val="0"/>
        <w:bidi w:val="0"/>
        <w:spacing w:line="480" w:lineRule="auto"/>
        <w:ind w:firstLine="480"/>
        <w:rPr>
          <w:rFonts w:hint="eastAsia" w:ascii="宋体" w:hAnsi="宋体" w:eastAsia="宋体" w:cs="宋体"/>
          <w:color w:val="000000" w:themeColor="text1"/>
          <w:sz w:val="28"/>
          <w:szCs w:val="28"/>
          <w:highlight w:val="none"/>
          <w14:textFill>
            <w14:solidFill>
              <w14:schemeClr w14:val="tx1"/>
            </w14:solidFill>
          </w14:textFill>
        </w:rPr>
        <w:sectPr>
          <w:footerReference r:id="rId12" w:type="default"/>
          <w:pgSz w:w="11906" w:h="16838"/>
          <w:pgMar w:top="1440" w:right="1080" w:bottom="1440" w:left="1080" w:header="1247" w:footer="992" w:gutter="0"/>
          <w:pgNumType w:fmt="decimal" w:start="1"/>
          <w:cols w:space="720" w:num="1"/>
          <w:docGrid w:linePitch="326" w:charSpace="0"/>
        </w:sectPr>
      </w:pPr>
    </w:p>
    <w:p>
      <w:pPr>
        <w:pStyle w:val="21"/>
        <w:bidi w:val="0"/>
        <w:rPr>
          <w:rFonts w:hint="eastAsia"/>
          <w:color w:val="000000" w:themeColor="text1"/>
          <w:highlight w:val="none"/>
          <w14:textFill>
            <w14:solidFill>
              <w14:schemeClr w14:val="tx1"/>
            </w14:solidFill>
          </w14:textFill>
        </w:rPr>
      </w:pPr>
      <w:bookmarkStart w:id="82" w:name="_Toc509579142"/>
      <w:bookmarkStart w:id="83" w:name="_Toc1012"/>
      <w:r>
        <w:rPr>
          <w:rFonts w:hint="eastAsia"/>
          <w:color w:val="000000" w:themeColor="text1"/>
          <w:highlight w:val="none"/>
          <w14:textFill>
            <w14:solidFill>
              <w14:schemeClr w14:val="tx1"/>
            </w14:solidFill>
          </w14:textFill>
        </w:rPr>
        <w:t>第三章  供应商和报价产品的资格、资质性及其他类似效力要求</w:t>
      </w:r>
      <w:bookmarkEnd w:id="82"/>
      <w:bookmarkEnd w:id="83"/>
    </w:p>
    <w:p>
      <w:pPr>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一、参加磋商的供应商应具备下列资格条件：</w:t>
      </w:r>
    </w:p>
    <w:p>
      <w:pPr>
        <w:pageBreakBefore w:val="0"/>
        <w:kinsoku/>
        <w:wordWrap/>
        <w:overflowPunct/>
        <w:topLinePunct w:val="0"/>
        <w:bidi w:val="0"/>
        <w:spacing w:line="360" w:lineRule="auto"/>
        <w:ind w:firstLine="540" w:firstLineChars="225"/>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（一）《中华人民共和国政府采购法》第二十二条第一款第1项至第6项规定的条件：</w:t>
      </w:r>
    </w:p>
    <w:p>
      <w:pPr>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1.具有独立承担民事责任的能力；</w:t>
      </w:r>
    </w:p>
    <w:p>
      <w:pPr>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2.具有良好的商业信誉和健全的财务会计制度；</w:t>
      </w:r>
    </w:p>
    <w:p>
      <w:pPr>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3.具有履行合同所必需的设备和专业技术能力；</w:t>
      </w:r>
    </w:p>
    <w:p>
      <w:pPr>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4.有依法缴纳税收和社会保障资金的良好记录；</w:t>
      </w:r>
    </w:p>
    <w:p>
      <w:pPr>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5.参加政府采购活动前三年内，在经营活动中没有重大违法记录；</w:t>
      </w:r>
    </w:p>
    <w:p>
      <w:pPr>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6.法律、行政法规规定的其他条件；</w:t>
      </w:r>
    </w:p>
    <w:p>
      <w:pPr>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7.本项目不接受联合体。</w:t>
      </w:r>
    </w:p>
    <w:p>
      <w:pPr>
        <w:tabs>
          <w:tab w:val="left" w:pos="7665"/>
        </w:tabs>
        <w:spacing w:line="360" w:lineRule="auto"/>
        <w:rPr>
          <w:rFonts w:hint="eastAsia" w:ascii="宋体" w:hAnsi="宋体"/>
          <w:color w:val="000000" w:themeColor="text1"/>
          <w:sz w:val="24"/>
          <w:highlight w:val="none"/>
          <w:lang w:eastAsia="zh-CN"/>
          <w14:textFill>
            <w14:solidFill>
              <w14:schemeClr w14:val="tx1"/>
            </w14:solidFill>
          </w14:textFill>
        </w:rPr>
      </w:pPr>
      <w:r>
        <w:rPr>
          <w:rFonts w:hint="eastAsia" w:ascii="宋体" w:hAnsi="宋体"/>
          <w:color w:val="000000" w:themeColor="text1"/>
          <w:sz w:val="24"/>
          <w:highlight w:val="none"/>
          <w:lang w:eastAsia="zh-CN"/>
          <w14:textFill>
            <w14:solidFill>
              <w14:schemeClr w14:val="tx1"/>
            </w14:solidFill>
          </w14:textFill>
        </w:rPr>
        <w:t>8.供应商单位及其现任法定代表人、主要负责人不得具有行贿犯罪记录。</w:t>
      </w:r>
    </w:p>
    <w:p>
      <w:pPr>
        <w:tabs>
          <w:tab w:val="left" w:pos="7665"/>
        </w:tabs>
        <w:spacing w:line="360" w:lineRule="auto"/>
        <w:rPr>
          <w:rFonts w:hint="eastAsia" w:ascii="宋体" w:hAnsi="宋体"/>
          <w:color w:val="000000" w:themeColor="text1"/>
          <w:sz w:val="24"/>
          <w:highlight w:val="none"/>
          <w14:textFill>
            <w14:solidFill>
              <w14:schemeClr w14:val="tx1"/>
            </w14:solidFill>
          </w14:textFill>
        </w:rPr>
      </w:pPr>
      <w:r>
        <w:rPr>
          <w:rFonts w:hint="eastAsia" w:ascii="宋体" w:hAnsi="宋体"/>
          <w:color w:val="auto"/>
          <w:sz w:val="24"/>
          <w:highlight w:val="none"/>
          <w:lang w:eastAsia="zh-CN"/>
        </w:rPr>
        <w:t>9.按照本</w:t>
      </w:r>
      <w:r>
        <w:rPr>
          <w:rFonts w:hint="eastAsia" w:ascii="宋体" w:hAnsi="宋体"/>
          <w:color w:val="000000" w:themeColor="text1"/>
          <w:sz w:val="24"/>
          <w:highlight w:val="none"/>
          <w:lang w:eastAsia="zh-CN"/>
          <w14:textFill>
            <w14:solidFill>
              <w14:schemeClr w14:val="tx1"/>
            </w14:solidFill>
          </w14:textFill>
        </w:rPr>
        <w:t xml:space="preserve">项目竞争性磋商文件要求购买了竞争性磋商文件。           </w:t>
      </w:r>
      <w:r>
        <w:rPr>
          <w:rFonts w:hint="eastAsia" w:ascii="宋体" w:hAnsi="宋体"/>
          <w:color w:val="000000" w:themeColor="text1"/>
          <w:sz w:val="24"/>
          <w:highlight w:val="none"/>
          <w14:textFill>
            <w14:solidFill>
              <w14:schemeClr w14:val="tx1"/>
            </w14:solidFill>
          </w14:textFill>
        </w:rPr>
        <w:t xml:space="preserve"> </w:t>
      </w:r>
    </w:p>
    <w:p>
      <w:pPr>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（二）其他类似效力要求：</w:t>
      </w:r>
    </w:p>
    <w:p>
      <w:pPr>
        <w:pageBreakBefore w:val="0"/>
        <w:kinsoku/>
        <w:wordWrap/>
        <w:overflowPunct/>
        <w:topLinePunct w:val="0"/>
        <w:bidi w:val="0"/>
        <w:spacing w:line="360" w:lineRule="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1.授权参加本次采购活动的供应商代表证明材料。</w:t>
      </w:r>
    </w:p>
    <w:p>
      <w:pPr>
        <w:pageBreakBefore w:val="0"/>
        <w:kinsoku/>
        <w:wordWrap/>
        <w:overflowPunct/>
        <w:topLinePunct w:val="0"/>
        <w:bidi w:val="0"/>
        <w:spacing w:line="360" w:lineRule="auto"/>
        <w:ind w:left="0" w:leftChars="0" w:firstLine="240" w:firstLineChars="1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二、报价产品的资格、资质性及其他类似效力要求：无。</w:t>
      </w:r>
    </w:p>
    <w:p>
      <w:pPr>
        <w:pageBreakBefore w:val="0"/>
        <w:kinsoku/>
        <w:wordWrap/>
        <w:overflowPunct/>
        <w:topLinePunct w:val="0"/>
        <w:bidi w:val="0"/>
        <w:spacing w:line="360" w:lineRule="auto"/>
        <w:ind w:firstLine="540" w:firstLineChars="225"/>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注：1.本项目确定供应商重大违法记录中较大数额罚款的金额标准是指：若采购项目所属行业行政主管部门对较大数额罚款金额标准有明文规定的，以所属行业行政主管部门规定的较大数额罚款金额标准；若采购项目所属行业行政主管部门对较大数额罚款金额标准未明文规定的，以四川省人民政府规定的行政处罚罚款听证标准金额为准。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r>
        <w:rPr>
          <w:rFonts w:hint="eastAsia" w:ascii="宋体" w:hAnsi="宋体" w:eastAsia="宋体" w:cs="宋体"/>
          <w:color w:val="000000" w:themeColor="text1"/>
          <w:sz w:val="24"/>
          <w:szCs w:val="24"/>
          <w:highlight w:val="none"/>
          <w14:textFill>
            <w14:solidFill>
              <w14:schemeClr w14:val="tx1"/>
            </w14:solidFill>
          </w14:textFill>
        </w:rPr>
        <w:br w:type="page"/>
      </w:r>
    </w:p>
    <w:p>
      <w:pPr>
        <w:pStyle w:val="21"/>
        <w:numPr>
          <w:ilvl w:val="0"/>
          <w:numId w:val="3"/>
        </w:numPr>
        <w:bidi w:val="0"/>
        <w:rPr>
          <w:rFonts w:hint="eastAsia"/>
          <w:color w:val="000000" w:themeColor="text1"/>
          <w:highlight w:val="none"/>
          <w14:textFill>
            <w14:solidFill>
              <w14:schemeClr w14:val="tx1"/>
            </w14:solidFill>
          </w14:textFill>
        </w:rPr>
      </w:pPr>
      <w:bookmarkStart w:id="84" w:name="_Toc509579143"/>
      <w:r>
        <w:rPr>
          <w:rFonts w:hint="eastAsia"/>
          <w:color w:val="000000" w:themeColor="text1"/>
          <w:highlight w:val="none"/>
          <w14:textFill>
            <w14:solidFill>
              <w14:schemeClr w14:val="tx1"/>
            </w14:solidFill>
          </w14:textFill>
        </w:rPr>
        <w:t xml:space="preserve"> </w:t>
      </w:r>
      <w:bookmarkStart w:id="85" w:name="_Toc29302"/>
      <w:r>
        <w:rPr>
          <w:rFonts w:hint="eastAsia"/>
          <w:color w:val="000000" w:themeColor="text1"/>
          <w:highlight w:val="none"/>
          <w:lang w:val="en-US" w:eastAsia="zh-CN"/>
          <w14:textFill>
            <w14:solidFill>
              <w14:schemeClr w14:val="tx1"/>
            </w14:solidFill>
          </w14:textFill>
        </w:rPr>
        <w:t>供应商应当提供的资格、资质性及其他类似效力要求的相关证明材料</w:t>
      </w:r>
      <w:bookmarkEnd w:id="84"/>
      <w:bookmarkEnd w:id="85"/>
    </w:p>
    <w:p>
      <w:pPr>
        <w:pageBreakBefore w:val="0"/>
        <w:kinsoku/>
        <w:wordWrap/>
        <w:overflowPunct/>
        <w:topLinePunct w:val="0"/>
        <w:bidi w:val="0"/>
        <w:spacing w:line="360" w:lineRule="auto"/>
        <w:ind w:firstLine="551" w:firstLineChars="196"/>
        <w:rPr>
          <w:rFonts w:hint="eastAsia" w:ascii="宋体" w:hAnsi="宋体" w:eastAsia="宋体" w:cs="宋体"/>
          <w:b/>
          <w:color w:val="000000" w:themeColor="text1"/>
          <w:sz w:val="28"/>
          <w:szCs w:val="28"/>
          <w:highlight w:val="none"/>
          <w14:textFill>
            <w14:solidFill>
              <w14:schemeClr w14:val="tx1"/>
            </w14:solidFill>
          </w14:textFill>
        </w:rPr>
      </w:pPr>
      <w:r>
        <w:rPr>
          <w:rFonts w:hint="eastAsia" w:ascii="宋体" w:hAnsi="宋体" w:eastAsia="宋体" w:cs="宋体"/>
          <w:b/>
          <w:color w:val="000000" w:themeColor="text1"/>
          <w:sz w:val="28"/>
          <w:szCs w:val="28"/>
          <w:highlight w:val="none"/>
          <w14:textFill>
            <w14:solidFill>
              <w14:schemeClr w14:val="tx1"/>
            </w14:solidFill>
          </w14:textFill>
        </w:rPr>
        <w:t>一、应当提供的供应商资格、资质性及其他类似效力要求的相关证明材料</w:t>
      </w:r>
    </w:p>
    <w:p>
      <w:pPr>
        <w:pageBreakBefore w:val="0"/>
        <w:kinsoku/>
        <w:wordWrap/>
        <w:overflowPunct/>
        <w:topLinePunct w:val="0"/>
        <w:bidi w:val="0"/>
        <w:spacing w:line="360" w:lineRule="auto"/>
        <w:ind w:firstLine="236" w:firstLineChars="98"/>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（一）资格要求相关证明材料：</w:t>
      </w:r>
    </w:p>
    <w:p>
      <w:pPr>
        <w:pageBreakBefore w:val="0"/>
        <w:kinsoku/>
        <w:wordWrap/>
        <w:overflowPunct/>
        <w:topLinePunct w:val="0"/>
        <w:bidi w:val="0"/>
        <w:spacing w:line="360" w:lineRule="auto"/>
        <w:ind w:firstLine="470" w:firstLineChars="196"/>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pPr>
        <w:pageBreakBefore w:val="0"/>
        <w:kinsoku/>
        <w:wordWrap/>
        <w:overflowPunct/>
        <w:topLinePunct w:val="0"/>
        <w:bidi w:val="0"/>
        <w:spacing w:line="360" w:lineRule="auto"/>
        <w:ind w:firstLine="470" w:firstLineChars="196"/>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2、具备良好商业信誉的证明材料（可提供承诺函，详见第七章：格式1-3）；</w:t>
      </w:r>
    </w:p>
    <w:p>
      <w:pPr>
        <w:pageBreakBefore w:val="0"/>
        <w:kinsoku/>
        <w:wordWrap/>
        <w:overflowPunct/>
        <w:topLinePunct w:val="0"/>
        <w:bidi w:val="0"/>
        <w:spacing w:line="360" w:lineRule="auto"/>
        <w:ind w:firstLine="470" w:firstLineChars="196"/>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3、具备健全的财务会计制度的证明材料。｛注：①可提供2019</w:t>
      </w:r>
      <w:r>
        <w:rPr>
          <w:rFonts w:hint="eastAsia" w:ascii="宋体" w:hAnsi="宋体" w:cs="宋体"/>
          <w:color w:val="000000" w:themeColor="text1"/>
          <w:sz w:val="24"/>
          <w:szCs w:val="24"/>
          <w:highlight w:val="none"/>
          <w:lang w:val="en-US" w:eastAsia="zh-CN"/>
          <w14:textFill>
            <w14:solidFill>
              <w14:schemeClr w14:val="tx1"/>
            </w14:solidFill>
          </w14:textFill>
        </w:rPr>
        <w:t>或2020</w:t>
      </w:r>
      <w:r>
        <w:rPr>
          <w:rFonts w:hint="eastAsia" w:ascii="宋体" w:hAnsi="宋体" w:eastAsia="宋体" w:cs="宋体"/>
          <w:color w:val="000000" w:themeColor="text1"/>
          <w:sz w:val="24"/>
          <w:szCs w:val="24"/>
          <w:highlight w:val="none"/>
          <w14:textFill>
            <w14:solidFill>
              <w14:schemeClr w14:val="tx1"/>
            </w14:solidFill>
          </w14:textFill>
        </w:rPr>
        <w:t>年度经审计的财务报告复印件（包含审计报告和审计报告中所涉及的财务报表和报表附注），②也可提供2019</w:t>
      </w:r>
      <w:r>
        <w:rPr>
          <w:rFonts w:hint="eastAsia" w:ascii="宋体" w:hAnsi="宋体" w:cs="宋体"/>
          <w:color w:val="000000" w:themeColor="text1"/>
          <w:sz w:val="24"/>
          <w:szCs w:val="24"/>
          <w:highlight w:val="none"/>
          <w:lang w:val="en-US" w:eastAsia="zh-CN"/>
          <w14:textFill>
            <w14:solidFill>
              <w14:schemeClr w14:val="tx1"/>
            </w14:solidFill>
          </w14:textFill>
        </w:rPr>
        <w:t>或2020</w:t>
      </w:r>
      <w:r>
        <w:rPr>
          <w:rFonts w:hint="eastAsia" w:ascii="宋体" w:hAnsi="宋体" w:eastAsia="宋体" w:cs="宋体"/>
          <w:color w:val="000000" w:themeColor="text1"/>
          <w:sz w:val="24"/>
          <w:szCs w:val="24"/>
          <w:highlight w:val="none"/>
          <w14:textFill>
            <w14:solidFill>
              <w14:schemeClr w14:val="tx1"/>
            </w14:solidFill>
          </w14:textFill>
        </w:rPr>
        <w:t>年度供应商内部的财务报表复印件（至少包含资产负债表），③也可提供截至响应文件递交截止日一年内银行出具的资信证明（复印件），④供应商注册时间截至响应文件递交截止日不足一年的，提供在工商备案的公司章程（复印件）。｝</w:t>
      </w:r>
    </w:p>
    <w:p>
      <w:pPr>
        <w:pageBreakBefore w:val="0"/>
        <w:kinsoku/>
        <w:wordWrap/>
        <w:overflowPunct/>
        <w:topLinePunct w:val="0"/>
        <w:bidi w:val="0"/>
        <w:spacing w:line="360" w:lineRule="auto"/>
        <w:ind w:firstLine="470" w:firstLineChars="196"/>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4、具有依法缴纳税收和社会保障资金的良好记录的证明材料</w:t>
      </w:r>
    </w:p>
    <w:p>
      <w:pPr>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（1）①可提供20</w:t>
      </w:r>
      <w:r>
        <w:rPr>
          <w:rFonts w:hint="eastAsia" w:ascii="宋体" w:hAnsi="宋体" w:cs="宋体"/>
          <w:color w:val="000000" w:themeColor="text1"/>
          <w:sz w:val="24"/>
          <w:szCs w:val="24"/>
          <w:highlight w:val="none"/>
          <w:lang w:val="en-US" w:eastAsia="zh-CN"/>
          <w14:textFill>
            <w14:solidFill>
              <w14:schemeClr w14:val="tx1"/>
            </w14:solidFill>
          </w14:textFill>
        </w:rPr>
        <w:t>20</w:t>
      </w:r>
      <w:r>
        <w:rPr>
          <w:rFonts w:hint="eastAsia" w:ascii="宋体" w:hAnsi="宋体" w:eastAsia="宋体" w:cs="宋体"/>
          <w:color w:val="000000" w:themeColor="text1"/>
          <w:sz w:val="24"/>
          <w:szCs w:val="24"/>
          <w:highlight w:val="none"/>
          <w14:textFill>
            <w14:solidFill>
              <w14:schemeClr w14:val="tx1"/>
            </w14:solidFill>
          </w14:textFill>
        </w:rPr>
        <w:t>年至今任意一个月的纳税证明材料和社保缴纳证明材料②也可提供承诺函，详见第七章：格式1-3。</w:t>
      </w:r>
      <w:r>
        <w:rPr>
          <w:rFonts w:hint="eastAsia" w:ascii="宋体" w:hAnsi="宋体" w:eastAsia="宋体" w:cs="宋体"/>
          <w:color w:val="000000" w:themeColor="text1"/>
          <w:sz w:val="24"/>
          <w:szCs w:val="24"/>
          <w:highlight w:val="none"/>
          <w14:textFill>
            <w14:solidFill>
              <w14:schemeClr w14:val="tx1"/>
            </w14:solidFill>
          </w14:textFill>
        </w:rPr>
        <w:br w:type="textWrapping"/>
      </w:r>
      <w:r>
        <w:rPr>
          <w:rFonts w:hint="eastAsia" w:ascii="宋体" w:hAnsi="宋体" w:eastAsia="宋体" w:cs="宋体"/>
          <w:color w:val="000000" w:themeColor="text1"/>
          <w:sz w:val="24"/>
          <w:szCs w:val="24"/>
          <w:highlight w:val="none"/>
          <w14:textFill>
            <w14:solidFill>
              <w14:schemeClr w14:val="tx1"/>
            </w14:solidFill>
          </w14:textFill>
        </w:rPr>
        <w:t xml:space="preserve">   （2）依法免税和不需要缴纳社会保障资金的供应商，应提供相应文件证明。</w:t>
      </w:r>
    </w:p>
    <w:p>
      <w:pPr>
        <w:pageBreakBefore w:val="0"/>
        <w:kinsoku/>
        <w:wordWrap/>
        <w:overflowPunct/>
        <w:topLinePunct w:val="0"/>
        <w:bidi w:val="0"/>
        <w:spacing w:line="360" w:lineRule="auto"/>
        <w:ind w:firstLine="470" w:firstLineChars="196"/>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5、具备履行合同所必需的设备和专业技术能力的证明材料（可提供承诺函，详见第七章：格式1-3）</w:t>
      </w:r>
    </w:p>
    <w:p>
      <w:pPr>
        <w:pageBreakBefore w:val="0"/>
        <w:kinsoku/>
        <w:wordWrap/>
        <w:overflowPunct/>
        <w:topLinePunct w:val="0"/>
        <w:bidi w:val="0"/>
        <w:spacing w:line="360" w:lineRule="auto"/>
        <w:ind w:firstLine="470" w:firstLineChars="196"/>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6、参加政府采购活动前3年内在经营活动中没有重大违法记录的承诺函（（可提供承诺函，详见第七章：格式1-3）</w:t>
      </w:r>
    </w:p>
    <w:p>
      <w:pPr>
        <w:pageBreakBefore w:val="0"/>
        <w:kinsoku/>
        <w:wordWrap/>
        <w:overflowPunct/>
        <w:topLinePunct w:val="0"/>
        <w:bidi w:val="0"/>
        <w:spacing w:line="360" w:lineRule="auto"/>
        <w:ind w:firstLine="470" w:firstLineChars="196"/>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7、具备法律、行政法规规定的其他条件的证明材料（可提供承诺函，详见第七章：格式1-3）；</w:t>
      </w:r>
    </w:p>
    <w:p>
      <w:pPr>
        <w:pageBreakBefore w:val="0"/>
        <w:kinsoku/>
        <w:wordWrap/>
        <w:overflowPunct/>
        <w:topLinePunct w:val="0"/>
        <w:bidi w:val="0"/>
        <w:spacing w:line="360" w:lineRule="auto"/>
        <w:ind w:firstLine="470" w:firstLineChars="196"/>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8、根据采购项目提出的特殊条件：</w:t>
      </w:r>
    </w:p>
    <w:p>
      <w:pPr>
        <w:pageBreakBefore w:val="0"/>
        <w:kinsoku/>
        <w:wordWrap/>
        <w:overflowPunct/>
        <w:topLinePunct w:val="0"/>
        <w:bidi w:val="0"/>
        <w:spacing w:after="50"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8.1</w:t>
      </w:r>
      <w:r>
        <w:rPr>
          <w:rFonts w:hint="eastAsia" w:ascii="宋体" w:hAnsi="宋体" w:cs="宋体"/>
          <w:color w:val="000000" w:themeColor="text1"/>
          <w:sz w:val="24"/>
          <w:szCs w:val="24"/>
          <w:highlight w:val="none"/>
          <w:lang w:eastAsia="zh-CN"/>
          <w14:textFill>
            <w14:solidFill>
              <w14:schemeClr w14:val="tx1"/>
            </w14:solidFill>
          </w14:textFill>
        </w:rPr>
        <w:t>供应商</w:t>
      </w:r>
      <w:r>
        <w:rPr>
          <w:rFonts w:hint="eastAsia" w:ascii="宋体" w:hAnsi="宋体" w:eastAsia="宋体" w:cs="宋体"/>
          <w:color w:val="000000" w:themeColor="text1"/>
          <w:sz w:val="24"/>
          <w:szCs w:val="24"/>
          <w:highlight w:val="none"/>
          <w14:textFill>
            <w14:solidFill>
              <w14:schemeClr w14:val="tx1"/>
            </w14:solidFill>
          </w14:textFill>
        </w:rPr>
        <w:t>单位及其现任法定代表人、主要负责人不得具有行犯罪记录的承诺函（原件）；</w:t>
      </w:r>
    </w:p>
    <w:p>
      <w:pPr>
        <w:pStyle w:val="11"/>
        <w:pageBreakBefore w:val="0"/>
        <w:kinsoku/>
        <w:wordWrap/>
        <w:overflowPunct/>
        <w:topLinePunct w:val="0"/>
        <w:bidi w:val="0"/>
        <w:spacing w:line="360" w:lineRule="auto"/>
        <w:ind w:left="0" w:leftChars="0" w:right="391" w:rightChars="163" w:firstLine="480"/>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9、按照本项目</w:t>
      </w:r>
      <w:r>
        <w:rPr>
          <w:rFonts w:hint="eastAsia" w:ascii="宋体" w:hAnsi="宋体" w:cs="宋体"/>
          <w:color w:val="000000" w:themeColor="text1"/>
          <w:sz w:val="24"/>
          <w:szCs w:val="24"/>
          <w:highlight w:val="none"/>
          <w:lang w:val="en-US" w:eastAsia="zh-CN"/>
          <w14:textFill>
            <w14:solidFill>
              <w14:schemeClr w14:val="tx1"/>
            </w14:solidFill>
          </w14:textFill>
        </w:rPr>
        <w:t>竞争性磋商文件</w:t>
      </w:r>
      <w:r>
        <w:rPr>
          <w:rFonts w:hint="eastAsia" w:ascii="宋体" w:hAnsi="宋体" w:eastAsia="宋体" w:cs="宋体"/>
          <w:color w:val="000000" w:themeColor="text1"/>
          <w:sz w:val="24"/>
          <w:szCs w:val="24"/>
          <w:highlight w:val="none"/>
          <w14:textFill>
            <w14:solidFill>
              <w14:schemeClr w14:val="tx1"/>
            </w14:solidFill>
          </w14:textFill>
        </w:rPr>
        <w:t>要求购买了</w:t>
      </w:r>
      <w:r>
        <w:rPr>
          <w:rFonts w:hint="eastAsia" w:ascii="宋体" w:hAnsi="宋体" w:cs="宋体"/>
          <w:color w:val="000000" w:themeColor="text1"/>
          <w:sz w:val="24"/>
          <w:szCs w:val="24"/>
          <w:highlight w:val="none"/>
          <w:lang w:val="en-US" w:eastAsia="zh-CN"/>
          <w14:textFill>
            <w14:solidFill>
              <w14:schemeClr w14:val="tx1"/>
            </w14:solidFill>
          </w14:textFill>
        </w:rPr>
        <w:t>竞争性磋商文件</w:t>
      </w:r>
      <w:r>
        <w:rPr>
          <w:rFonts w:hint="eastAsia" w:ascii="宋体" w:hAnsi="宋体" w:eastAsia="宋体" w:cs="宋体"/>
          <w:color w:val="000000" w:themeColor="text1"/>
          <w:sz w:val="24"/>
          <w:szCs w:val="24"/>
          <w:highlight w:val="none"/>
          <w14:textFill>
            <w14:solidFill>
              <w14:schemeClr w14:val="tx1"/>
            </w14:solidFill>
          </w14:textFill>
        </w:rPr>
        <w:t>（供应商不需要对本条提供证明材料，由采购代理机构提供供应商购买竞争性磋商文件情况的材料）；</w:t>
      </w:r>
    </w:p>
    <w:p>
      <w:pPr>
        <w:pageBreakBefore w:val="0"/>
        <w:kinsoku/>
        <w:wordWrap/>
        <w:overflowPunct/>
        <w:topLinePunct w:val="0"/>
        <w:bidi w:val="0"/>
        <w:spacing w:after="50" w:line="360" w:lineRule="auto"/>
        <w:ind w:firstLine="482"/>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（二）其他类似效力要求相关证明材料：</w:t>
      </w:r>
    </w:p>
    <w:p>
      <w:pPr>
        <w:adjustRightInd w:val="0"/>
        <w:snapToGrid w:val="0"/>
        <w:spacing w:line="360" w:lineRule="auto"/>
        <w:ind w:firstLine="470" w:firstLineChars="196"/>
        <w:jc w:val="left"/>
        <w:rPr>
          <w:rFonts w:hint="eastAsia" w:hAnsi="宋体" w:cs="宋体"/>
          <w:color w:val="000000"/>
          <w:sz w:val="24"/>
        </w:rPr>
      </w:pPr>
      <w:r>
        <w:rPr>
          <w:rFonts w:hint="eastAsia" w:hAnsi="宋体" w:cs="宋体"/>
          <w:color w:val="000000"/>
          <w:sz w:val="24"/>
        </w:rPr>
        <w:t>1、提供法人代表授权书原件及法人和授权代表身份证复印件（法人代表参加</w:t>
      </w:r>
      <w:r>
        <w:rPr>
          <w:rFonts w:hint="eastAsia" w:hAnsi="宋体" w:cs="宋体"/>
          <w:color w:val="000000"/>
          <w:sz w:val="24"/>
          <w:lang w:val="en-US" w:eastAsia="zh-CN"/>
        </w:rPr>
        <w:t>磋商</w:t>
      </w:r>
      <w:r>
        <w:rPr>
          <w:rFonts w:hint="eastAsia" w:hAnsi="宋体" w:cs="宋体"/>
          <w:color w:val="000000"/>
          <w:sz w:val="24"/>
        </w:rPr>
        <w:t>只需提供法人身份证复印件）。</w:t>
      </w:r>
    </w:p>
    <w:p>
      <w:pPr>
        <w:pageBreakBefore w:val="0"/>
        <w:kinsoku/>
        <w:wordWrap/>
        <w:overflowPunct/>
        <w:topLinePunct w:val="0"/>
        <w:bidi w:val="0"/>
        <w:spacing w:after="50" w:line="360" w:lineRule="auto"/>
        <w:ind w:firstLine="482"/>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二、供应商应提供的报价产品的资格、资质性及其他类似效力要求的相关证明材料：无。</w:t>
      </w:r>
    </w:p>
    <w:p>
      <w:pPr>
        <w:pageBreakBefore w:val="0"/>
        <w:kinsoku/>
        <w:wordWrap/>
        <w:overflowPunct/>
        <w:topLinePunct w:val="0"/>
        <w:bidi w:val="0"/>
        <w:spacing w:after="50" w:line="360" w:lineRule="auto"/>
        <w:ind w:firstLine="482"/>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注：1.本章要求提供的相关证明材料应当与第三章的规定要求对应，除投标人自愿以外，不能要求投标人提供额外的证明材料。如果要求提供额外的证明材料，投标人有权不予提供，且不影响磋商文件的有效性和完整性。</w:t>
      </w:r>
    </w:p>
    <w:p>
      <w:pPr>
        <w:pageBreakBefore w:val="0"/>
        <w:kinsoku/>
        <w:wordWrap/>
        <w:overflowPunct/>
        <w:topLinePunct w:val="0"/>
        <w:bidi w:val="0"/>
        <w:spacing w:after="50" w:line="360" w:lineRule="auto"/>
        <w:ind w:firstLine="482"/>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2.本章要求提供的相关证明材料应当结合采购项目具体情况和投标人的组织机构性质确定，不得一概而论。</w:t>
      </w:r>
    </w:p>
    <w:p>
      <w:pPr>
        <w:pageBreakBefore w:val="0"/>
        <w:kinsoku/>
        <w:wordWrap/>
        <w:overflowPunct/>
        <w:topLinePunct w:val="0"/>
        <w:bidi w:val="0"/>
        <w:spacing w:after="50" w:line="360" w:lineRule="auto"/>
        <w:ind w:firstLine="482"/>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3.本章要求可提供承诺函（详见第七章：格式1-3）的，可只提供一份涵盖所有内容的书面承诺函原件，不需多份提供。</w:t>
      </w:r>
    </w:p>
    <w:p>
      <w:pPr>
        <w:pageBreakBefore w:val="0"/>
        <w:kinsoku/>
        <w:wordWrap/>
        <w:overflowPunct/>
        <w:topLinePunct w:val="0"/>
        <w:bidi w:val="0"/>
        <w:spacing w:after="50" w:line="360" w:lineRule="auto"/>
        <w:ind w:firstLine="482"/>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4.以上要求的资料复印件均须加盖供应商单位的公章（鲜章）。</w:t>
      </w:r>
    </w:p>
    <w:p>
      <w:pPr>
        <w:pageBreakBefore w:val="0"/>
        <w:kinsoku/>
        <w:wordWrap/>
        <w:overflowPunct/>
        <w:topLinePunct w:val="0"/>
        <w:bidi w:val="0"/>
        <w:spacing w:line="480" w:lineRule="auto"/>
        <w:ind w:firstLine="0" w:firstLineChars="0"/>
        <w:rPr>
          <w:rFonts w:hint="eastAsia" w:ascii="宋体" w:hAnsi="宋体" w:eastAsia="宋体" w:cs="宋体"/>
          <w:b/>
          <w:bCs/>
          <w:color w:val="000000" w:themeColor="text1"/>
          <w:sz w:val="28"/>
          <w:szCs w:val="28"/>
          <w:highlight w:val="none"/>
          <w14:textFill>
            <w14:solidFill>
              <w14:schemeClr w14:val="tx1"/>
            </w14:solidFill>
          </w14:textFill>
        </w:rPr>
      </w:pPr>
    </w:p>
    <w:p>
      <w:pPr>
        <w:pageBreakBefore w:val="0"/>
        <w:kinsoku/>
        <w:wordWrap/>
        <w:overflowPunct/>
        <w:topLinePunct w:val="0"/>
        <w:bidi w:val="0"/>
        <w:spacing w:after="50" w:line="480" w:lineRule="auto"/>
        <w:ind w:firstLine="480"/>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br w:type="page"/>
      </w:r>
    </w:p>
    <w:p>
      <w:pPr>
        <w:pStyle w:val="21"/>
        <w:numPr>
          <w:ilvl w:val="0"/>
          <w:numId w:val="4"/>
        </w:numPr>
        <w:bidi w:val="0"/>
        <w:ind w:left="0" w:leftChars="0" w:firstLine="0" w:firstLineChars="0"/>
        <w:rPr>
          <w:rFonts w:hint="eastAsia"/>
          <w:color w:val="000000" w:themeColor="text1"/>
          <w:highlight w:val="none"/>
          <w14:textFill>
            <w14:solidFill>
              <w14:schemeClr w14:val="tx1"/>
            </w14:solidFill>
          </w14:textFill>
        </w:rPr>
      </w:pPr>
      <w:bookmarkStart w:id="86" w:name="_Toc509579144"/>
      <w:bookmarkStart w:id="87" w:name="_Toc15888"/>
      <w:r>
        <w:rPr>
          <w:rFonts w:hint="eastAsia"/>
          <w:color w:val="000000" w:themeColor="text1"/>
          <w:highlight w:val="none"/>
          <w14:textFill>
            <w14:solidFill>
              <w14:schemeClr w14:val="tx1"/>
            </w14:solidFill>
          </w14:textFill>
        </w:rPr>
        <w:t>采购项目技术、服务、政府采购合同内容条款及其他商务要求</w:t>
      </w:r>
      <w:bookmarkEnd w:id="86"/>
      <w:bookmarkEnd w:id="87"/>
    </w:p>
    <w:p>
      <w:pPr>
        <w:pStyle w:val="57"/>
        <w:spacing w:line="360" w:lineRule="auto"/>
        <w:ind w:firstLine="0" w:firstLineChars="0"/>
        <w:outlineLvl w:val="1"/>
        <w:rPr>
          <w:rFonts w:ascii="宋体" w:hAnsi="宋体" w:cs="宋体"/>
          <w:b/>
          <w:bCs/>
          <w:sz w:val="24"/>
        </w:rPr>
      </w:pPr>
      <w:r>
        <w:rPr>
          <w:rFonts w:hint="eastAsia" w:ascii="宋体" w:hAnsi="宋体" w:cs="宋体"/>
          <w:b/>
          <w:bCs/>
          <w:sz w:val="24"/>
          <w:lang w:val="en-US" w:eastAsia="zh-CN"/>
        </w:rPr>
        <w:t>一、</w:t>
      </w:r>
      <w:r>
        <w:rPr>
          <w:rFonts w:hint="eastAsia" w:ascii="宋体" w:hAnsi="宋体" w:cs="宋体"/>
          <w:b/>
          <w:bCs/>
          <w:sz w:val="24"/>
        </w:rPr>
        <w:t>项目概述</w:t>
      </w:r>
    </w:p>
    <w:p>
      <w:pPr>
        <w:pStyle w:val="73"/>
        <w:tabs>
          <w:tab w:val="left" w:pos="1116"/>
        </w:tabs>
        <w:spacing w:line="360" w:lineRule="auto"/>
        <w:ind w:firstLine="44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本项目病案数字化是通过病案数字化管理软件将病案通过扫描、翻拍的方式将纸质病案转化为数字化病案，并通过病案号、姓名等关键信息同纸质病案完全对应的影像进行关联，对数字化的病案通过病案号、姓名等病案首页关键信息进行快速查阅、打印复印、医生工作站查阅、科研、随访。目前采购方已经扫描存储2017-2019全部纸质住院病历，目前在用系统能够满足采购方要求。</w:t>
      </w:r>
    </w:p>
    <w:p>
      <w:pPr>
        <w:pStyle w:val="74"/>
        <w:spacing w:before="31" w:after="31"/>
        <w:ind w:firstLine="480" w:firstLineChars="2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本项目共1个包，采购成都妇女儿童医院中心医院病案数字化扫描服务。</w:t>
      </w:r>
    </w:p>
    <w:p>
      <w:pPr>
        <w:pStyle w:val="74"/>
        <w:spacing w:before="31" w:after="31"/>
        <w:ind w:firstLine="480" w:firstLineChars="2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采购预算：100万元，单价限价为：0.1元/页。超过最高限价的报价为无效投标。</w:t>
      </w:r>
    </w:p>
    <w:p>
      <w:pPr>
        <w:numPr>
          <w:ilvl w:val="0"/>
          <w:numId w:val="0"/>
        </w:numPr>
        <w:jc w:val="both"/>
        <w:rPr>
          <w:rFonts w:hint="eastAsia"/>
          <w:b/>
          <w:bCs/>
          <w:sz w:val="24"/>
          <w:szCs w:val="32"/>
          <w:lang w:val="en-US" w:eastAsia="zh-CN"/>
        </w:rPr>
      </w:pPr>
      <w:r>
        <w:rPr>
          <w:rFonts w:hint="eastAsia"/>
          <w:b/>
          <w:bCs/>
          <w:sz w:val="24"/>
          <w:szCs w:val="32"/>
          <w:lang w:val="en-US" w:eastAsia="zh-CN"/>
        </w:rPr>
        <w:t>二、技术服务要求</w:t>
      </w:r>
    </w:p>
    <w:p>
      <w:pPr>
        <w:pStyle w:val="23"/>
        <w:spacing w:after="0" w:line="360" w:lineRule="auto"/>
        <w:ind w:left="0" w:leftChars="0" w:firstLine="241" w:firstLineChars="100"/>
        <w:jc w:val="left"/>
        <w:rPr>
          <w:rFonts w:hint="eastAsia" w:ascii="宋体" w:hAnsi="宋体" w:eastAsia="宋体" w:cs="宋体"/>
          <w:b/>
          <w:bCs/>
          <w:kern w:val="2"/>
          <w:sz w:val="24"/>
          <w:szCs w:val="21"/>
          <w:lang w:val="en-US" w:eastAsia="zh-CN" w:bidi="ar-SA"/>
        </w:rPr>
      </w:pPr>
      <w:r>
        <w:rPr>
          <w:rFonts w:hint="eastAsia" w:ascii="宋体" w:hAnsi="宋体" w:eastAsia="宋体" w:cs="宋体"/>
          <w:b/>
          <w:bCs/>
          <w:kern w:val="2"/>
          <w:sz w:val="24"/>
          <w:szCs w:val="21"/>
          <w:lang w:val="en-US" w:eastAsia="zh-CN" w:bidi="ar-SA"/>
        </w:rPr>
        <w:t>（一）权限管理模块</w:t>
      </w:r>
    </w:p>
    <w:p>
      <w:pPr>
        <w:pStyle w:val="23"/>
        <w:spacing w:after="0" w:line="360" w:lineRule="auto"/>
        <w:ind w:left="0" w:leftChars="0" w:firstLine="44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1.1用户管理：管理内部及外部用户的信息，可以对系统登录用户的信息进行查询/添加/修改/删除。</w:t>
      </w:r>
    </w:p>
    <w:p>
      <w:pPr>
        <w:pStyle w:val="23"/>
        <w:spacing w:after="0" w:line="360" w:lineRule="auto"/>
        <w:ind w:left="0" w:leftChars="0" w:firstLine="44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1.2用户组管理：查询/添加/修改/删除用户组，并可设置人员所属的用户组。</w:t>
      </w:r>
    </w:p>
    <w:p>
      <w:pPr>
        <w:pStyle w:val="23"/>
        <w:spacing w:after="0" w:line="360" w:lineRule="auto"/>
        <w:ind w:left="0" w:leftChars="0" w:firstLine="44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1.3用户组权限：设置用户组所拥有的系统功能的权限。</w:t>
      </w:r>
    </w:p>
    <w:p>
      <w:pPr>
        <w:pStyle w:val="23"/>
        <w:spacing w:after="0" w:line="360" w:lineRule="auto"/>
        <w:ind w:left="0" w:leftChars="0" w:firstLine="44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1.4科室管理：查询/添加/修改/删除科室信息，并可维护科室下包含的人员。</w:t>
      </w:r>
    </w:p>
    <w:p>
      <w:pPr>
        <w:pStyle w:val="23"/>
        <w:spacing w:after="0" w:line="360" w:lineRule="auto"/>
        <w:ind w:left="0" w:leftChars="0" w:firstLine="44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1.5病案权限配置：配置病案浏览的权限（按用户及按用户组），可以按照用户的方式一个个地进行病案权限的配置，也可以按照用户组的方式进行整体分配（如直接将某个科室的病案分配给用户组），同时也可以设置病案图片医学分类的权限，可以分别设置病案的阅读，打印及导出的权限。(响应时需提供系统截图并加盖单位公章（鲜章）)</w:t>
      </w:r>
    </w:p>
    <w:p>
      <w:pPr>
        <w:pStyle w:val="23"/>
        <w:spacing w:after="0" w:line="360" w:lineRule="auto"/>
        <w:ind w:left="0" w:leftChars="0" w:firstLine="44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1.6医学分类模板：设置病案图片的医学分类权限模板，在为病案分配权限时可以直接引用该模板，无需重复设置。</w:t>
      </w:r>
    </w:p>
    <w:p>
      <w:pPr>
        <w:pStyle w:val="23"/>
        <w:spacing w:after="0" w:line="360" w:lineRule="auto"/>
        <w:ind w:left="0" w:leftChars="0" w:firstLine="44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1.7访问权限控制：可以设置禁止访问的机器的IP，被禁止访问的IP对应的机器就无法使用本系统。</w:t>
      </w:r>
    </w:p>
    <w:p>
      <w:pPr>
        <w:pStyle w:val="23"/>
        <w:spacing w:after="0" w:line="360" w:lineRule="auto"/>
        <w:ind w:left="0" w:leftChars="0" w:firstLine="44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1.8显示字段控制：可以设置在浏览器中浏览病案时列表中所显示的字段。可以在用户级别和用户组级别上进行显示权限的控制。</w:t>
      </w:r>
    </w:p>
    <w:p>
      <w:pPr>
        <w:pStyle w:val="23"/>
        <w:spacing w:after="0" w:line="360" w:lineRule="auto"/>
        <w:ind w:left="0" w:leftChars="0" w:firstLine="44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1.9水印设置：可以制作在打印时叠加上去的水印，并且在打印病案的时候可以将其叠加到病案图片上。</w:t>
      </w:r>
    </w:p>
    <w:p>
      <w:pPr>
        <w:pStyle w:val="23"/>
        <w:spacing w:after="0" w:line="360" w:lineRule="auto"/>
        <w:ind w:left="0" w:leftChars="0" w:firstLine="44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1.10病案锁定：可以将一些特殊的病案进行锁定，被锁定的病案将无法在浏览器中被查询到。</w:t>
      </w:r>
    </w:p>
    <w:p>
      <w:pPr>
        <w:pStyle w:val="23"/>
        <w:spacing w:after="0" w:line="360" w:lineRule="auto"/>
        <w:ind w:left="0" w:leftChars="0" w:firstLine="44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1.11病案申请审批：对浏览器中提交过来的病案阅读申请进行审批，可以为申请的病案设定阅读的时限等。</w:t>
      </w:r>
    </w:p>
    <w:p>
      <w:pPr>
        <w:pStyle w:val="23"/>
        <w:spacing w:after="0" w:line="360" w:lineRule="auto"/>
        <w:ind w:left="0" w:leftChars="0" w:firstLine="44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1.12监控中心：查看各个系统的用户的使用的情况，至少包括：用户是否在前，用户有申请需要审批，用户的浏览病案的历史情况，用户权限。</w:t>
      </w:r>
    </w:p>
    <w:p>
      <w:pPr>
        <w:pStyle w:val="23"/>
        <w:spacing w:after="0" w:line="360" w:lineRule="auto"/>
        <w:ind w:left="0" w:leftChars="0" w:firstLine="44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1.13病案错误报告：处理病案浏览器上用户反馈上来的病案错误（如：图片缺页/分类错误）。</w:t>
      </w:r>
    </w:p>
    <w:p>
      <w:pPr>
        <w:pStyle w:val="23"/>
        <w:spacing w:after="0" w:line="360" w:lineRule="auto"/>
        <w:ind w:left="0" w:leftChars="0" w:firstLine="44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1.14病案定位：查询病案在库房中的位置，可按病人姓名，病案号，出院日期，条码号，打包号，库房号或库位名查询，并生成统计报表。</w:t>
      </w:r>
    </w:p>
    <w:p>
      <w:pPr>
        <w:pStyle w:val="23"/>
        <w:spacing w:after="0" w:line="360" w:lineRule="auto"/>
        <w:ind w:left="0" w:leftChars="0" w:firstLine="44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1.15病案导出：可以将选择好病案进行打包压缩导出，配合相应的浏览工具可在离线的环境下浏览。</w:t>
      </w:r>
    </w:p>
    <w:p>
      <w:pPr>
        <w:pStyle w:val="23"/>
        <w:spacing w:after="0" w:line="360" w:lineRule="auto"/>
        <w:ind w:left="0" w:leftChars="0" w:firstLine="44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1.16随访项目审批：审批随访工作站提交上来的项目申请。</w:t>
      </w:r>
    </w:p>
    <w:p>
      <w:pPr>
        <w:pStyle w:val="23"/>
        <w:spacing w:after="0" w:line="360" w:lineRule="auto"/>
        <w:ind w:left="0" w:leftChars="0" w:firstLine="44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1.17病案浏览统计：可查询用户、科室在某一时间段内数字化病案使用情况，并生成统计报表。</w:t>
      </w:r>
    </w:p>
    <w:p>
      <w:pPr>
        <w:pStyle w:val="23"/>
        <w:spacing w:after="0" w:line="360" w:lineRule="auto"/>
        <w:ind w:left="0" w:leftChars="0" w:firstLine="241" w:firstLineChars="100"/>
        <w:jc w:val="left"/>
        <w:rPr>
          <w:rFonts w:hint="eastAsia" w:ascii="宋体" w:hAnsi="宋体" w:eastAsia="宋体" w:cs="宋体"/>
          <w:b/>
          <w:bCs/>
          <w:kern w:val="2"/>
          <w:sz w:val="24"/>
          <w:szCs w:val="21"/>
          <w:lang w:val="en-US" w:eastAsia="zh-CN" w:bidi="ar-SA"/>
        </w:rPr>
      </w:pPr>
      <w:r>
        <w:rPr>
          <w:rFonts w:hint="eastAsia" w:ascii="宋体" w:hAnsi="宋体" w:eastAsia="宋体" w:cs="宋体"/>
          <w:b/>
          <w:bCs/>
          <w:kern w:val="2"/>
          <w:sz w:val="24"/>
          <w:szCs w:val="21"/>
          <w:lang w:val="en-US" w:eastAsia="zh-CN" w:bidi="ar-SA"/>
        </w:rPr>
        <w:t>（二）检索模块</w:t>
      </w:r>
    </w:p>
    <w:p>
      <w:pPr>
        <w:pStyle w:val="23"/>
        <w:spacing w:after="0" w:line="360" w:lineRule="auto"/>
        <w:ind w:left="0" w:leftChars="0" w:firstLine="44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2.1关键词搜索：一个简洁的搜索方式，类似Google的搜索方式。可以选择搜索分类（病案号/疾病/手术/科室/病人姓名/医生），多关键词搜索（可以填写多个搜索关键词及指定关键词之间的关系），精确与模糊的搜索方式。</w:t>
      </w:r>
    </w:p>
    <w:p>
      <w:pPr>
        <w:pStyle w:val="23"/>
        <w:spacing w:after="0" w:line="360" w:lineRule="auto"/>
        <w:ind w:left="0" w:leftChars="0" w:firstLine="44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2.2高级搜索：检索条件比较多的情况下可以按照列出的各种查询条件对病案进行查询。</w:t>
      </w:r>
    </w:p>
    <w:p>
      <w:pPr>
        <w:pStyle w:val="23"/>
        <w:spacing w:after="0" w:line="360" w:lineRule="auto"/>
        <w:ind w:left="0" w:leftChars="0" w:firstLine="44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2.3自定义搜索：检索条件比较多的情况下可以自定义组织查询条件的组合进行搜索。</w:t>
      </w:r>
    </w:p>
    <w:p>
      <w:pPr>
        <w:pStyle w:val="23"/>
        <w:spacing w:after="0" w:line="360" w:lineRule="auto"/>
        <w:ind w:left="0" w:leftChars="0" w:firstLine="44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★2.4经典搜索：传统的检索方式，左边是检索条件右边是检索结果。在检索时还可设定病案图片的医学分类，以便在查看病案图片时过滤掉无需查看的图片。</w:t>
      </w:r>
    </w:p>
    <w:p>
      <w:pPr>
        <w:pStyle w:val="23"/>
        <w:spacing w:after="0" w:line="360" w:lineRule="auto"/>
        <w:ind w:left="0" w:leftChars="0" w:firstLine="44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2.5病案搜索结果：拥有两种显示结果的模式：列表方式与自由布局方式。列表方式为最常见的一行一行的显示，自由布局方式为卡片时效果，一份病案即一张卡片，显示效果清晰。</w:t>
      </w:r>
    </w:p>
    <w:p>
      <w:pPr>
        <w:pStyle w:val="23"/>
        <w:spacing w:after="0" w:line="360" w:lineRule="auto"/>
        <w:ind w:left="0" w:leftChars="0" w:firstLine="44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2.6病案图片浏览：对病案图片的浏览进行严格的权限控制（阅读/打印/导出）。可以设置需要过滤的图片分类（例如只显示病案首页或病程录），查看病案图片的同时可利用提供的‘浏览工具箱’对图片进行一系列的处理（如放大/缩小/全屏/黑白彩色切换/裁剪/打印）。浏览期间可对感兴趣的病案收藏到收藏夹并且可以填写笔记。显示病案图片时可以设置阅读水印，用于病案的保护。(响应时需提供承系统截图并加盖单位公章（鲜章）)。</w:t>
      </w:r>
    </w:p>
    <w:p>
      <w:pPr>
        <w:pStyle w:val="23"/>
        <w:spacing w:after="0" w:line="360" w:lineRule="auto"/>
        <w:ind w:left="0" w:leftChars="0" w:firstLine="44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2.7病案收藏夹：用于显示及搜索在浏览病案时收藏的病案并且可以显示当时记录的病案笔记。</w:t>
      </w:r>
    </w:p>
    <w:p>
      <w:pPr>
        <w:pStyle w:val="23"/>
        <w:spacing w:after="0" w:line="360" w:lineRule="auto"/>
        <w:ind w:left="0" w:leftChars="0" w:firstLine="44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2.8申请查看：可以浏览并查询用户曾经申请过的需要查阅的病案的记录，及时了解审批情况。</w:t>
      </w:r>
    </w:p>
    <w:p>
      <w:pPr>
        <w:pStyle w:val="23"/>
        <w:spacing w:after="0" w:line="360" w:lineRule="auto"/>
        <w:ind w:left="0" w:leftChars="0" w:firstLine="44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2.9浏览历史：查询用户曾经浏览过的病案记录，可以方便用户查看以往浏览过的病案，而无须再一次搜索。</w:t>
      </w:r>
    </w:p>
    <w:p>
      <w:pPr>
        <w:pStyle w:val="23"/>
        <w:spacing w:after="0" w:line="360" w:lineRule="auto"/>
        <w:ind w:left="0" w:leftChars="0" w:firstLine="44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2.10个性化设置：可以按照用户个人的喜好设置一些系统设置，如：首页显示（进入系统后显示的第一个界面），浏览结果的显示方式（检索结果每页显示的条数/检索结果排列的方式），医学分类的设置（用于在浏览图片时预先过滤无需查看的病案），病案图片打印的设置（纸张/水印）。(响应时需提供承系统截图并加盖单位公章（鲜章）)。</w:t>
      </w:r>
    </w:p>
    <w:p>
      <w:pPr>
        <w:pStyle w:val="23"/>
        <w:spacing w:after="0" w:line="360" w:lineRule="auto"/>
        <w:ind w:left="0" w:leftChars="0" w:firstLine="241" w:firstLineChars="100"/>
        <w:jc w:val="left"/>
        <w:rPr>
          <w:rFonts w:hint="eastAsia" w:ascii="宋体" w:hAnsi="宋体" w:eastAsia="宋体" w:cs="宋体"/>
          <w:b/>
          <w:bCs/>
          <w:kern w:val="2"/>
          <w:sz w:val="24"/>
          <w:szCs w:val="21"/>
          <w:lang w:val="en-US" w:eastAsia="zh-CN" w:bidi="ar-SA"/>
        </w:rPr>
      </w:pPr>
      <w:r>
        <w:rPr>
          <w:rFonts w:hint="eastAsia" w:ascii="宋体" w:hAnsi="宋体" w:eastAsia="宋体" w:cs="宋体"/>
          <w:b/>
          <w:bCs/>
          <w:kern w:val="2"/>
          <w:sz w:val="24"/>
          <w:szCs w:val="21"/>
          <w:lang w:val="en-US" w:eastAsia="zh-CN" w:bidi="ar-SA"/>
        </w:rPr>
        <w:t>（三）打印模块</w:t>
      </w:r>
    </w:p>
    <w:p>
      <w:pPr>
        <w:pStyle w:val="23"/>
        <w:spacing w:after="0" w:line="360" w:lineRule="auto"/>
        <w:ind w:left="0" w:leftChars="0" w:firstLine="44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3.1打印申请：维护申请打印人员的信息及申请分类（打印或复印），可拍摄证件并归档保存，查询并选择需打印的病案，同时统计所需费用，并可自己调整实际收费。(响应时需提供承系统截图并加盖单位公章（鲜章）)</w:t>
      </w:r>
    </w:p>
    <w:p>
      <w:pPr>
        <w:pStyle w:val="23"/>
        <w:spacing w:after="0" w:line="360" w:lineRule="auto"/>
        <w:ind w:left="0" w:leftChars="0" w:firstLine="44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3.2快速打印：仅登记简单的打印申请信息，选择病案直接打印。</w:t>
      </w:r>
    </w:p>
    <w:p>
      <w:pPr>
        <w:pStyle w:val="23"/>
        <w:spacing w:after="0" w:line="360" w:lineRule="auto"/>
        <w:ind w:left="0" w:leftChars="0" w:firstLine="44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3.3集中打印：未打印过的病案可以统一处理，按照申请人的记录完成打印任务。</w:t>
      </w:r>
    </w:p>
    <w:p>
      <w:pPr>
        <w:pStyle w:val="23"/>
        <w:spacing w:after="0" w:line="360" w:lineRule="auto"/>
        <w:ind w:left="0" w:leftChars="0" w:firstLine="44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3.4集中复印：对未复印的病案进行集中统一处理。</w:t>
      </w:r>
    </w:p>
    <w:p>
      <w:pPr>
        <w:pStyle w:val="23"/>
        <w:spacing w:after="0" w:line="360" w:lineRule="auto"/>
        <w:ind w:left="0" w:leftChars="0" w:firstLine="44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3.5申请查询：查询申请过打印或复印的申请人信息，并可查看申请人相应的申请信息，证件照，打印的病案记录，费用。</w:t>
      </w:r>
    </w:p>
    <w:p>
      <w:pPr>
        <w:pStyle w:val="23"/>
        <w:spacing w:after="0" w:line="360" w:lineRule="auto"/>
        <w:ind w:left="0" w:leftChars="0" w:firstLine="44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3.6打印参数：设置默认的打印参数（纸张大小/图片色彩/打印份数/打印分类及顺序/收费模式）</w:t>
      </w:r>
    </w:p>
    <w:p>
      <w:pPr>
        <w:pStyle w:val="23"/>
        <w:spacing w:after="0" w:line="360" w:lineRule="auto"/>
        <w:ind w:left="0" w:leftChars="0" w:firstLine="44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3.7打印明细：按时间段及申请人统计申请人打印的病案的明细记录。</w:t>
      </w:r>
    </w:p>
    <w:p>
      <w:pPr>
        <w:pStyle w:val="23"/>
        <w:spacing w:after="0" w:line="360" w:lineRule="auto"/>
        <w:ind w:left="0" w:leftChars="0" w:firstLine="44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3.8复印明细：按时段及申请人统计申请人复印的病案的明细记录。</w:t>
      </w:r>
    </w:p>
    <w:p>
      <w:pPr>
        <w:pStyle w:val="23"/>
        <w:spacing w:after="0" w:line="360" w:lineRule="auto"/>
        <w:ind w:left="0" w:leftChars="0" w:firstLine="44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3.9邮寄明细：按时间段、申请人及邮寄状态统计病案邮寄的明细记录。</w:t>
      </w:r>
    </w:p>
    <w:p>
      <w:pPr>
        <w:pStyle w:val="23"/>
        <w:spacing w:after="0" w:line="360" w:lineRule="auto"/>
        <w:ind w:left="0" w:leftChars="0" w:firstLine="241" w:firstLineChars="100"/>
        <w:jc w:val="left"/>
        <w:rPr>
          <w:rFonts w:hint="eastAsia" w:ascii="宋体" w:hAnsi="宋体" w:eastAsia="宋体" w:cs="宋体"/>
          <w:b/>
          <w:bCs/>
          <w:kern w:val="2"/>
          <w:sz w:val="24"/>
          <w:szCs w:val="21"/>
          <w:lang w:val="en-US" w:eastAsia="zh-CN" w:bidi="ar-SA"/>
        </w:rPr>
      </w:pPr>
      <w:r>
        <w:rPr>
          <w:rFonts w:hint="eastAsia" w:ascii="宋体" w:hAnsi="宋体" w:eastAsia="宋体" w:cs="宋体"/>
          <w:b/>
          <w:bCs/>
          <w:kern w:val="2"/>
          <w:sz w:val="24"/>
          <w:szCs w:val="21"/>
          <w:lang w:val="en-US" w:eastAsia="zh-CN" w:bidi="ar-SA"/>
        </w:rPr>
        <w:t>（四）科研模块</w:t>
      </w:r>
    </w:p>
    <w:p>
      <w:pPr>
        <w:pStyle w:val="23"/>
        <w:spacing w:after="0" w:line="360" w:lineRule="auto"/>
        <w:ind w:left="0" w:leftChars="0" w:firstLine="44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4.1科研项目管理：维护科研项目的基本信息，如课题编号、课题名称、课题说明以及费用等。</w:t>
      </w:r>
    </w:p>
    <w:p>
      <w:pPr>
        <w:pStyle w:val="23"/>
        <w:spacing w:after="0" w:line="360" w:lineRule="auto"/>
        <w:ind w:left="0" w:leftChars="0" w:firstLine="44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4.2科研模板：根据不同需要，用户可自行设计并制作科研模板，生成科研记录表，以供病案科研使用。</w:t>
      </w:r>
    </w:p>
    <w:p>
      <w:pPr>
        <w:pStyle w:val="23"/>
        <w:spacing w:after="0" w:line="360" w:lineRule="auto"/>
        <w:ind w:left="0" w:leftChars="0" w:firstLine="44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4.3病案科研：浏览当前项目中研究库内的所有病案，并在科研记录表中填写相关数据。</w:t>
      </w:r>
    </w:p>
    <w:p>
      <w:pPr>
        <w:pStyle w:val="23"/>
        <w:spacing w:after="0" w:line="360" w:lineRule="auto"/>
        <w:ind w:left="0" w:leftChars="0" w:firstLine="44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4.4科研研究库：根据条件，查询出所需研究的病案，加入研究库，以供病案科研使用。</w:t>
      </w:r>
    </w:p>
    <w:p>
      <w:pPr>
        <w:pStyle w:val="23"/>
        <w:spacing w:after="0" w:line="360" w:lineRule="auto"/>
        <w:ind w:left="0" w:leftChars="0" w:firstLine="44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4.5科研记录：查阅每份病案所对应的记录表。</w:t>
      </w:r>
    </w:p>
    <w:p>
      <w:pPr>
        <w:pStyle w:val="23"/>
        <w:spacing w:after="0" w:line="360" w:lineRule="auto"/>
        <w:ind w:left="0" w:leftChars="0" w:firstLine="44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4.6数据导出：导出当前科研项目中各项记录的数据，生成xls格式的文档用于导入SPSS等软件进行建模。</w:t>
      </w:r>
    </w:p>
    <w:p>
      <w:pPr>
        <w:pStyle w:val="23"/>
        <w:spacing w:after="0" w:line="360" w:lineRule="auto"/>
        <w:ind w:left="0" w:leftChars="0" w:firstLine="241" w:firstLineChars="100"/>
        <w:jc w:val="left"/>
        <w:rPr>
          <w:rFonts w:hint="eastAsia" w:ascii="宋体" w:hAnsi="宋体" w:eastAsia="宋体" w:cs="宋体"/>
          <w:b/>
          <w:bCs/>
          <w:kern w:val="2"/>
          <w:sz w:val="24"/>
          <w:szCs w:val="21"/>
          <w:lang w:val="en-US" w:eastAsia="zh-CN" w:bidi="ar-SA"/>
        </w:rPr>
      </w:pPr>
      <w:r>
        <w:rPr>
          <w:rFonts w:hint="eastAsia" w:ascii="宋体" w:hAnsi="宋体" w:eastAsia="宋体" w:cs="宋体"/>
          <w:b/>
          <w:bCs/>
          <w:kern w:val="2"/>
          <w:sz w:val="24"/>
          <w:szCs w:val="21"/>
          <w:lang w:val="en-US" w:eastAsia="zh-CN" w:bidi="ar-SA"/>
        </w:rPr>
        <w:t>（五）随访模块</w:t>
      </w:r>
    </w:p>
    <w:p>
      <w:pPr>
        <w:pStyle w:val="23"/>
        <w:spacing w:after="0" w:line="360" w:lineRule="auto"/>
        <w:ind w:left="0" w:leftChars="0" w:firstLine="44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5.1随访项目管理：维护随访项目的基本信息，如负责人、总次数、开始、结束时间、相关科室等。</w:t>
      </w:r>
    </w:p>
    <w:p>
      <w:pPr>
        <w:pStyle w:val="23"/>
        <w:spacing w:after="0" w:line="360" w:lineRule="auto"/>
        <w:ind w:left="0" w:leftChars="0" w:firstLine="44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5.2随访问卷：根据不同需要，用户可自行设计并制作随访的问卷，更可导入已有的随访问卷，加以修改，生成新的随访问卷。问卷题型分为三种：选择题，问答题，填空题。</w:t>
      </w:r>
    </w:p>
    <w:p>
      <w:pPr>
        <w:pStyle w:val="23"/>
        <w:spacing w:after="0" w:line="360" w:lineRule="auto"/>
        <w:ind w:left="0" w:leftChars="0" w:firstLine="44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5.3随访规则：根据当前随访的要求，制定随访规则，自动获取符合规则的所需要进行随访的患者。</w:t>
      </w:r>
    </w:p>
    <w:p>
      <w:pPr>
        <w:pStyle w:val="23"/>
        <w:spacing w:after="0" w:line="360" w:lineRule="auto"/>
        <w:ind w:left="0" w:leftChars="0" w:firstLine="44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5.4样本数据：按条件查询出符合记录，获取当前随访所需要进行随访的患者。</w:t>
      </w:r>
    </w:p>
    <w:p>
      <w:pPr>
        <w:pStyle w:val="23"/>
        <w:spacing w:after="0" w:line="360" w:lineRule="auto"/>
        <w:ind w:left="0" w:leftChars="0" w:firstLine="44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5.5电话随访：用电话对患者进行随访，通过回放电话录音填写随访问卷。</w:t>
      </w:r>
    </w:p>
    <w:p>
      <w:pPr>
        <w:pStyle w:val="23"/>
        <w:spacing w:after="0" w:line="360" w:lineRule="auto"/>
        <w:ind w:left="0" w:leftChars="0" w:firstLine="44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5.6信件随访：对患者进行信件随访，可打印信件的标签，打印随访的信件，保存随访的结果。随访记录：查看当前随访项目中，每位患者的随访记录。</w:t>
      </w:r>
    </w:p>
    <w:p>
      <w:pPr>
        <w:pStyle w:val="23"/>
        <w:spacing w:after="0" w:line="360" w:lineRule="auto"/>
        <w:ind w:left="0" w:leftChars="0" w:firstLine="44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5.7费用统计：添加相关的费用，统计出当前随访项目所产生的费用。</w:t>
      </w:r>
    </w:p>
    <w:p>
      <w:pPr>
        <w:pStyle w:val="23"/>
        <w:spacing w:after="0" w:line="360" w:lineRule="auto"/>
        <w:ind w:left="0" w:leftChars="0" w:firstLine="44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5.8数据导出：导出当前随访项目中各项记录的数据。</w:t>
      </w:r>
    </w:p>
    <w:p>
      <w:pPr>
        <w:pStyle w:val="23"/>
        <w:spacing w:after="0" w:line="360" w:lineRule="auto"/>
        <w:ind w:left="0" w:leftChars="0" w:firstLine="44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5.9随访统计：统计当前随访项目中随访问卷中每一项目的值，计算百分比例。</w:t>
      </w:r>
    </w:p>
    <w:p>
      <w:pPr>
        <w:pStyle w:val="23"/>
        <w:spacing w:after="0" w:line="360" w:lineRule="auto"/>
        <w:ind w:left="0" w:leftChars="0" w:firstLine="241" w:firstLineChars="100"/>
        <w:jc w:val="left"/>
        <w:rPr>
          <w:rFonts w:hint="eastAsia" w:ascii="宋体" w:hAnsi="宋体" w:eastAsia="宋体" w:cs="宋体"/>
          <w:b/>
          <w:bCs/>
          <w:kern w:val="2"/>
          <w:sz w:val="24"/>
          <w:szCs w:val="21"/>
          <w:lang w:val="en-US" w:eastAsia="zh-CN" w:bidi="ar-SA"/>
        </w:rPr>
      </w:pPr>
      <w:r>
        <w:rPr>
          <w:rFonts w:hint="eastAsia" w:ascii="宋体" w:hAnsi="宋体" w:eastAsia="宋体" w:cs="宋体"/>
          <w:b/>
          <w:bCs/>
          <w:kern w:val="2"/>
          <w:sz w:val="24"/>
          <w:szCs w:val="21"/>
          <w:lang w:val="en-US" w:eastAsia="zh-CN" w:bidi="ar-SA"/>
        </w:rPr>
        <w:t>（六）其他技术要求</w:t>
      </w:r>
    </w:p>
    <w:p>
      <w:pPr>
        <w:pStyle w:val="23"/>
        <w:spacing w:after="0" w:line="360" w:lineRule="auto"/>
        <w:ind w:left="0" w:leftChars="0" w:firstLine="440"/>
        <w:jc w:val="left"/>
        <w:rPr>
          <w:rFonts w:hint="eastAsia" w:ascii="宋体" w:hAnsi="宋体" w:eastAsia="宋体" w:cs="宋体"/>
          <w:kern w:val="2"/>
          <w:sz w:val="24"/>
          <w:szCs w:val="24"/>
          <w:highlight w:val="yellow"/>
          <w:lang w:val="en-US" w:eastAsia="zh-CN" w:bidi="ar-SA"/>
        </w:rPr>
      </w:pPr>
      <w:r>
        <w:rPr>
          <w:rFonts w:hint="eastAsia" w:ascii="宋体" w:hAnsi="宋体" w:eastAsia="宋体" w:cs="宋体"/>
          <w:kern w:val="2"/>
          <w:sz w:val="24"/>
          <w:szCs w:val="24"/>
          <w:lang w:val="en-US" w:eastAsia="zh-CN" w:bidi="ar-SA"/>
        </w:rPr>
        <w:t>6.1 系统支持提供数字化病案除人工审核外的其他审核校验手段和技术及方案（如：根据自定义规则，系统自动审核</w:t>
      </w:r>
      <w:r>
        <w:rPr>
          <w:rFonts w:hint="eastAsia" w:ascii="宋体" w:hAnsi="宋体" w:eastAsia="宋体" w:cs="宋体"/>
          <w:kern w:val="2"/>
          <w:sz w:val="24"/>
          <w:szCs w:val="24"/>
          <w:highlight w:val="none"/>
          <w:lang w:val="en-US" w:eastAsia="zh-CN" w:bidi="ar-SA"/>
        </w:rPr>
        <w:t>）。</w:t>
      </w:r>
    </w:p>
    <w:p>
      <w:pPr>
        <w:pStyle w:val="23"/>
        <w:spacing w:after="0" w:line="360" w:lineRule="auto"/>
        <w:ind w:left="0" w:leftChars="0" w:firstLine="44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6.2 系统能够支持详细信息，可导入的姓名，年龄，住院日期，出院日期，科室、主要诊断、主要诊断编码，主要手术和主要手术编码。</w:t>
      </w:r>
    </w:p>
    <w:p>
      <w:pPr>
        <w:pStyle w:val="23"/>
        <w:spacing w:after="0" w:line="360" w:lineRule="auto"/>
        <w:ind w:left="0" w:leftChars="0" w:firstLine="44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6.3 对原始纸质病案应用数码技术分页数字化加工制作，形成数码图像。</w:t>
      </w:r>
    </w:p>
    <w:p>
      <w:pPr>
        <w:pStyle w:val="23"/>
        <w:spacing w:after="0" w:line="360" w:lineRule="auto"/>
        <w:ind w:left="0" w:leftChars="0" w:firstLine="44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6.4 图像高清，数字化病案的图像尺寸为2048×1536及以上，必须同时提供彩色图像和黑白图像二份图片。</w:t>
      </w:r>
    </w:p>
    <w:p>
      <w:pPr>
        <w:pStyle w:val="23"/>
        <w:spacing w:after="0" w:line="360" w:lineRule="auto"/>
        <w:ind w:left="0" w:leftChars="0" w:firstLine="44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6.5 原始纸质病案使用条形码技术装箱保存，定位管理，便于对原始纸质病的快速查找，并运送指定存放点。</w:t>
      </w:r>
    </w:p>
    <w:p>
      <w:pPr>
        <w:pStyle w:val="23"/>
        <w:spacing w:after="0" w:line="360" w:lineRule="auto"/>
        <w:ind w:left="0" w:leftChars="0" w:firstLine="440"/>
        <w:jc w:val="left"/>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▲6.6 病案数字化系统是医院信息化建设的重要组成部分，需要整合到电子病历系统以及医院病案数字化信息平台中，以实现医院各系统的互联互通。若有费用产生由成交供应商承担。</w:t>
      </w:r>
    </w:p>
    <w:p>
      <w:pPr>
        <w:pStyle w:val="23"/>
        <w:spacing w:after="0" w:line="360" w:lineRule="auto"/>
        <w:ind w:left="0" w:leftChars="0" w:firstLine="44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6.7 系统需提供病案质量自动审核功能，达到自动筛选出问题病案，并实现导出功能。</w:t>
      </w:r>
    </w:p>
    <w:p>
      <w:pPr>
        <w:pStyle w:val="23"/>
        <w:spacing w:after="0" w:line="360" w:lineRule="auto"/>
        <w:ind w:left="0" w:leftChars="0" w:firstLine="44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6.8 系统符合国家、卫生部等各种标准和规范，符合医院实际需求；系统采用开放性设计，能根据医院实际需求进行应用系统的功能重组、二次开发。</w:t>
      </w:r>
    </w:p>
    <w:p>
      <w:pPr>
        <w:pStyle w:val="23"/>
        <w:spacing w:after="0" w:line="360" w:lineRule="auto"/>
        <w:ind w:left="0" w:leftChars="0" w:firstLine="44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6.9 供应商需病案数字化扫描过程中增加实体病案出库和加工完成后入库定位点对点的病案示踪功能。</w:t>
      </w:r>
    </w:p>
    <w:p>
      <w:pPr>
        <w:pStyle w:val="23"/>
        <w:spacing w:after="0" w:line="360" w:lineRule="auto"/>
        <w:ind w:left="0" w:leftChars="0" w:firstLine="44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xml:space="preserve">6.10 供应商需完成基于数字化病案的预约复印申请、病人身份审核、预约复印病  </w:t>
      </w:r>
    </w:p>
    <w:p>
      <w:pPr>
        <w:pStyle w:val="23"/>
        <w:spacing w:after="0" w:line="360" w:lineRule="auto"/>
        <w:ind w:left="0" w:leftChars="0" w:firstLine="44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历流通管理、邮寄检索等相关系统开发。</w:t>
      </w:r>
    </w:p>
    <w:p>
      <w:pPr>
        <w:pStyle w:val="23"/>
        <w:spacing w:after="0" w:line="360" w:lineRule="auto"/>
        <w:ind w:left="0" w:leftChars="0" w:firstLine="44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6.11 系统病案检索有单一和组合模式，按使用者需求检索所需病案。</w:t>
      </w:r>
    </w:p>
    <w:p>
      <w:pPr>
        <w:pStyle w:val="23"/>
        <w:spacing w:after="0" w:line="360" w:lineRule="auto"/>
        <w:ind w:left="0" w:leftChars="0" w:firstLine="44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6.12 阅读显示病案图像具有水印，能防范数码相机偷拍。屏蔽非法拷贝病案，具有彩色和黑白阅读打印功能。</w:t>
      </w:r>
    </w:p>
    <w:p>
      <w:pPr>
        <w:pStyle w:val="23"/>
        <w:spacing w:after="0" w:line="360" w:lineRule="auto"/>
        <w:ind w:left="0" w:leftChars="0" w:firstLine="44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★6.13 设有使用权限数字化病案功能；设有网络申请和审批使用数字化病案功能；设有授权的时段内（永久、年、月、日、小时）功能（超出时间范围自动屏蔽）；医保、商业保险公司以及公检法等外部用户可以按系统临时授予的权限查看病案。（响应时需提供系统预警提示截图界面并加盖单位公章（鲜章））</w:t>
      </w:r>
    </w:p>
    <w:p>
      <w:pPr>
        <w:pStyle w:val="23"/>
        <w:spacing w:after="0" w:line="360" w:lineRule="auto"/>
        <w:ind w:left="0" w:leftChars="0" w:firstLine="44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6.14 病案访问权限分为阅读、打印和导出三类，每一级权限向下兼容，访问控制包括用户组权限、科室权限、有效期限制、医学分类限制、IP地址限制、显示字段限制和特殊病案锁定。</w:t>
      </w:r>
    </w:p>
    <w:p>
      <w:pPr>
        <w:pStyle w:val="23"/>
        <w:spacing w:after="0" w:line="360" w:lineRule="auto"/>
        <w:ind w:left="0" w:leftChars="0" w:firstLine="44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6.15 系统自动记录用户在系统内所有操作的详细日志，并可形成报表，便于回溯追踪。</w:t>
      </w:r>
    </w:p>
    <w:p>
      <w:pPr>
        <w:pStyle w:val="23"/>
        <w:spacing w:after="0" w:line="360" w:lineRule="auto"/>
        <w:ind w:left="0" w:leftChars="0" w:firstLine="44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6.17 系统可实现对病案数据的磁盘备份，提供定时定期的数据备份以及还原功能。</w:t>
      </w:r>
    </w:p>
    <w:p>
      <w:pPr>
        <w:pStyle w:val="23"/>
        <w:spacing w:after="0" w:line="360" w:lineRule="auto"/>
        <w:ind w:left="0" w:leftChars="0" w:firstLine="44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6.18 数字化病案的图像清晰、无歪斜、打印清晰，每幅图像均有属性标注，病历索引数据与病历图像对应完全正确。</w:t>
      </w:r>
    </w:p>
    <w:p>
      <w:pPr>
        <w:pStyle w:val="23"/>
        <w:spacing w:after="0" w:line="360" w:lineRule="auto"/>
        <w:ind w:left="0" w:leftChars="0" w:firstLine="44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6.19 系统可支持自助打印功能。</w:t>
      </w:r>
    </w:p>
    <w:p>
      <w:pPr>
        <w:pStyle w:val="23"/>
        <w:spacing w:after="0" w:line="360" w:lineRule="auto"/>
        <w:ind w:left="0" w:leftChars="0" w:firstLine="44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★6.20 病案数字化设备支持双流输出，即可同时输出彩色和黑白图像。（供应商须提供承诺函并加盖单位公章（鲜章））</w:t>
      </w:r>
    </w:p>
    <w:p>
      <w:pPr>
        <w:pStyle w:val="23"/>
        <w:spacing w:after="0" w:line="360" w:lineRule="auto"/>
        <w:ind w:left="0" w:leftChars="0" w:firstLine="44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★6.21 彩色图像采用JPEG2000格式存储，文件平均大小232Kb之内，黑白图像采用TIFF格式存储，文件平均大小65Kb以内，图像高清，数字化病案的图像尺寸为2048×1536（310万像素）及以上。（供应商须提供承诺函并加盖单位公章（鲜章））</w:t>
      </w:r>
    </w:p>
    <w:p>
      <w:pPr>
        <w:pStyle w:val="23"/>
        <w:spacing w:after="0" w:line="360" w:lineRule="auto"/>
        <w:ind w:left="0" w:leftChars="0" w:firstLine="44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★6.22 兼容性：为医院搭建病案数字化管理系统（实现：数字化管理系统包括病案数字化加工系统、窗口打印系统、病案查询系统、病案管理系统图片调用接口，病案管理系统导出各种图片格式如：pdf，jpg等），实现院内信息化良好应用，此次报价包含所有接口费。数字化病案图像浏览等软件兼容好，能方便医院后期的信息整合和调用等。前期必须充分了解我院现有病案数</w:t>
      </w:r>
      <w:r>
        <w:rPr>
          <w:rFonts w:hint="eastAsia" w:ascii="宋体" w:hAnsi="宋体" w:eastAsia="宋体" w:cs="宋体"/>
          <w:color w:val="auto"/>
          <w:kern w:val="2"/>
          <w:sz w:val="24"/>
          <w:szCs w:val="24"/>
          <w:lang w:val="en-US" w:eastAsia="zh-CN" w:bidi="ar-SA"/>
        </w:rPr>
        <w:t>字化项目现状，整合</w:t>
      </w:r>
      <w:r>
        <w:rPr>
          <w:rFonts w:hint="eastAsia" w:ascii="宋体" w:hAnsi="宋体" w:eastAsia="宋体" w:cs="宋体"/>
          <w:kern w:val="2"/>
          <w:sz w:val="24"/>
          <w:szCs w:val="24"/>
          <w:lang w:val="en-US" w:eastAsia="zh-CN" w:bidi="ar-SA"/>
        </w:rPr>
        <w:t>为统一应用，统一完成一个界面调用所有数字化相关数据。此次报价包含原厂件接口费，并提供承诺函，该功能于中标后5个工作日内，按照采购文件要求和采购文件应答进行系统测试，并在一个工作日完成测试，如果不符，视为虚假应标，院方将追究其责任，测试结果符合要求后，双方签订采购合同。</w:t>
      </w:r>
    </w:p>
    <w:p>
      <w:pPr>
        <w:pStyle w:val="23"/>
        <w:spacing w:after="0" w:line="360" w:lineRule="auto"/>
        <w:ind w:left="0" w:leftChars="0" w:firstLine="44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6.23 打印病历复印要求：打印病历范围，选择商业保险模板、新农合模板就可自动匹配打印。</w:t>
      </w:r>
    </w:p>
    <w:p>
      <w:pPr>
        <w:pStyle w:val="23"/>
        <w:spacing w:after="0" w:line="360" w:lineRule="auto"/>
        <w:ind w:left="0" w:leftChars="0" w:firstLine="44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6.24供应商要具备病案托管能力，并具备病案托管库房以备医院后期托管病案。</w:t>
      </w:r>
    </w:p>
    <w:p>
      <w:pPr>
        <w:pStyle w:val="23"/>
        <w:spacing w:after="0" w:line="360" w:lineRule="auto"/>
        <w:ind w:left="0" w:leftChars="0" w:firstLine="241" w:firstLineChars="100"/>
        <w:jc w:val="left"/>
        <w:rPr>
          <w:rFonts w:hint="eastAsia" w:ascii="宋体" w:hAnsi="宋体" w:eastAsia="宋体" w:cs="宋体"/>
          <w:b/>
          <w:bCs/>
          <w:kern w:val="2"/>
          <w:sz w:val="24"/>
          <w:szCs w:val="21"/>
          <w:lang w:val="en-US" w:eastAsia="zh-CN" w:bidi="ar-SA"/>
        </w:rPr>
      </w:pPr>
      <w:r>
        <w:rPr>
          <w:rFonts w:hint="eastAsia" w:ascii="宋体" w:hAnsi="宋体" w:eastAsia="宋体" w:cs="宋体"/>
          <w:b/>
          <w:bCs/>
          <w:kern w:val="2"/>
          <w:sz w:val="24"/>
          <w:szCs w:val="21"/>
          <w:lang w:val="en-US" w:eastAsia="zh-CN" w:bidi="ar-SA"/>
        </w:rPr>
        <w:t>（七）服务要求</w:t>
      </w:r>
    </w:p>
    <w:p>
      <w:pPr>
        <w:pStyle w:val="23"/>
        <w:spacing w:after="0" w:line="360" w:lineRule="auto"/>
        <w:ind w:left="0" w:leftChars="0" w:firstLine="44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7.1项目整体要求：按采购人要求完成病案数字化项目相关工作并通过验收。</w:t>
      </w:r>
    </w:p>
    <w:p>
      <w:pPr>
        <w:pStyle w:val="23"/>
        <w:spacing w:after="0" w:line="360" w:lineRule="auto"/>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★7.2项目工作人员配置要求：项目经理不低于1人,驻场管理人员不低于1人,病历数字化翻拍质量审核人员与驻场翻拍人员配比不得低于1：5。驻场翻拍人员不低于4人。</w:t>
      </w:r>
      <w:r>
        <w:rPr>
          <w:rFonts w:hint="eastAsia" w:ascii="宋体" w:hAnsi="宋体" w:eastAsia="宋体" w:cs="宋体"/>
          <w:b/>
          <w:bCs/>
          <w:kern w:val="2"/>
          <w:sz w:val="24"/>
          <w:szCs w:val="24"/>
          <w:lang w:val="en-US" w:eastAsia="zh-CN" w:bidi="ar-SA"/>
        </w:rPr>
        <w:t>（供应商须提供相关人员清单（至少包含姓名及联系方式）并提供承诺函加盖单位公章（鲜章））</w:t>
      </w:r>
    </w:p>
    <w:p>
      <w:pPr>
        <w:pStyle w:val="23"/>
        <w:spacing w:after="0" w:line="360" w:lineRule="auto"/>
        <w:jc w:val="left"/>
        <w:rPr>
          <w:rFonts w:hint="eastAsia" w:ascii="宋体" w:hAnsi="宋体" w:eastAsia="宋体" w:cs="宋体"/>
          <w:b/>
          <w:bCs/>
          <w:kern w:val="2"/>
          <w:sz w:val="24"/>
          <w:szCs w:val="24"/>
          <w:lang w:val="en-US" w:eastAsia="zh-CN" w:bidi="ar-SA"/>
        </w:rPr>
      </w:pPr>
      <w:r>
        <w:rPr>
          <w:rFonts w:hint="eastAsia" w:ascii="宋体" w:hAnsi="宋体" w:eastAsia="宋体" w:cs="宋体"/>
          <w:kern w:val="2"/>
          <w:sz w:val="24"/>
          <w:szCs w:val="24"/>
          <w:lang w:val="en-US" w:eastAsia="zh-CN" w:bidi="ar-SA"/>
        </w:rPr>
        <w:t>★7.3工作时间要求：每周一至周五,每天工作8小时.在保证扫描质量的前提下,翻拍人员每天制作成品不低于5000张。</w:t>
      </w:r>
      <w:r>
        <w:rPr>
          <w:rFonts w:hint="eastAsia" w:ascii="宋体" w:hAnsi="宋体" w:eastAsia="宋体" w:cs="宋体"/>
          <w:b/>
          <w:bCs/>
          <w:kern w:val="2"/>
          <w:sz w:val="24"/>
          <w:szCs w:val="24"/>
          <w:lang w:val="en-US" w:eastAsia="zh-CN" w:bidi="ar-SA"/>
        </w:rPr>
        <w:t>（供应商须提供承诺函并加盖单位公章（鲜章））</w:t>
      </w:r>
    </w:p>
    <w:p>
      <w:pPr>
        <w:pStyle w:val="23"/>
        <w:spacing w:after="0" w:line="360" w:lineRule="auto"/>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7.4项目硬件要求：供应商自行配备病案数字化扫描使用的所需硬件设施。确保每位翻拍人员至少配置一套相关设备。为考虑数据安全，需供应商另提供一套15TB的备份设备（如NAS），供应商需维护现有服务器及存储，保证系统安全，并且根据使用情况保证服务器性能，必要时进行硬件升级（如增加内存及硬盘等）。</w:t>
      </w:r>
    </w:p>
    <w:p>
      <w:pPr>
        <w:pStyle w:val="23"/>
        <w:spacing w:after="0" w:line="360" w:lineRule="auto"/>
        <w:jc w:val="left"/>
        <w:rPr>
          <w:rFonts w:hint="default" w:ascii="宋体" w:hAnsi="宋体" w:eastAsia="宋体" w:cs="宋体"/>
          <w:b/>
          <w:bCs/>
          <w:kern w:val="2"/>
          <w:sz w:val="24"/>
          <w:szCs w:val="24"/>
          <w:lang w:val="en-US" w:eastAsia="zh-CN" w:bidi="ar-SA"/>
        </w:rPr>
      </w:pPr>
      <w:r>
        <w:rPr>
          <w:rFonts w:hint="eastAsia" w:ascii="宋体" w:hAnsi="宋体" w:eastAsia="宋体" w:cs="宋体"/>
          <w:kern w:val="2"/>
          <w:sz w:val="24"/>
          <w:szCs w:val="24"/>
          <w:lang w:val="en-US" w:eastAsia="zh-CN" w:bidi="ar-SA"/>
        </w:rPr>
        <w:t>★7.5当病案扫描差错率高于万分之三时，系统将自动预警提示。病案扫描数字化完成后,负责对病案装箱定位，系统支持调阅显示每份病案定位信息。</w:t>
      </w:r>
      <w:r>
        <w:rPr>
          <w:rFonts w:hint="eastAsia" w:ascii="宋体" w:hAnsi="宋体" w:eastAsia="宋体" w:cs="宋体"/>
          <w:b/>
          <w:bCs/>
          <w:kern w:val="2"/>
          <w:sz w:val="24"/>
          <w:szCs w:val="24"/>
          <w:lang w:val="en-US" w:eastAsia="zh-CN" w:bidi="ar-SA"/>
        </w:rPr>
        <w:t xml:space="preserve">（响应时需提供系统预警提示截图界面并加盖单位公章（鲜章））  </w:t>
      </w:r>
    </w:p>
    <w:p>
      <w:pPr>
        <w:pStyle w:val="2"/>
        <w:ind w:firstLine="480" w:firstLineChars="200"/>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7.6因采购方目前存储纸质病案能力不足，需提供纸质病案仓储服务。</w:t>
      </w:r>
    </w:p>
    <w:p>
      <w:pPr>
        <w:spacing w:after="120" w:afterLines="50" w:line="360" w:lineRule="auto"/>
        <w:ind w:left="0" w:leftChars="0" w:right="1320" w:rightChars="550" w:firstLine="0" w:firstLineChars="0"/>
        <w:rPr>
          <w:rFonts w:hint="eastAsia" w:ascii="宋体" w:hAnsi="宋体"/>
          <w:b/>
          <w:bCs/>
          <w:sz w:val="24"/>
          <w:szCs w:val="24"/>
          <w:lang w:val="en-US" w:eastAsia="zh-CN"/>
        </w:rPr>
      </w:pPr>
    </w:p>
    <w:p>
      <w:pPr>
        <w:spacing w:after="120" w:afterLines="50" w:line="360" w:lineRule="auto"/>
        <w:ind w:right="1320" w:rightChars="550"/>
        <w:rPr>
          <w:rFonts w:hint="eastAsia" w:ascii="宋体" w:hAnsi="宋体"/>
          <w:b/>
          <w:bCs/>
          <w:sz w:val="24"/>
          <w:szCs w:val="24"/>
          <w:lang w:val="en-US" w:eastAsia="zh-CN"/>
        </w:rPr>
      </w:pPr>
    </w:p>
    <w:p>
      <w:pPr>
        <w:spacing w:after="120" w:afterLines="50" w:line="360" w:lineRule="auto"/>
        <w:ind w:right="1320" w:rightChars="550"/>
        <w:rPr>
          <w:rFonts w:hint="eastAsia" w:ascii="宋体" w:hAnsi="宋体" w:cs="Times New Roman"/>
          <w:b/>
          <w:bCs/>
          <w:sz w:val="24"/>
          <w:szCs w:val="24"/>
          <w:lang w:val="en-US" w:eastAsia="zh-CN"/>
        </w:rPr>
      </w:pPr>
      <w:r>
        <w:rPr>
          <w:rFonts w:hint="eastAsia" w:ascii="宋体" w:hAnsi="宋体" w:cs="Times New Roman"/>
          <w:b/>
          <w:bCs/>
          <w:sz w:val="24"/>
          <w:szCs w:val="24"/>
          <w:lang w:val="en-US" w:eastAsia="zh-CN"/>
        </w:rPr>
        <w:t>▲三、商务要求</w:t>
      </w:r>
    </w:p>
    <w:p>
      <w:pPr>
        <w:pStyle w:val="23"/>
        <w:spacing w:after="0" w:line="360" w:lineRule="auto"/>
        <w:ind w:left="0" w:leftChars="0" w:firstLine="440"/>
        <w:jc w:val="left"/>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1.服务期限：2021年12月31日前完成2020年度全院所有病案数字化服务，2022年3月31日前完成2021年度全院所有病案数字化服务。</w:t>
      </w:r>
    </w:p>
    <w:p>
      <w:pPr>
        <w:pStyle w:val="23"/>
        <w:spacing w:after="0" w:line="360" w:lineRule="auto"/>
        <w:ind w:left="0" w:leftChars="0" w:firstLine="44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2.服务地点: 成都市妇女儿童中心医院。</w:t>
      </w:r>
    </w:p>
    <w:p>
      <w:pPr>
        <w:pStyle w:val="23"/>
        <w:spacing w:after="0" w:line="360" w:lineRule="auto"/>
        <w:ind w:left="0" w:leftChars="0" w:firstLine="44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付款方法:项目签订合同之日，5个工作日内支付项目金额的30%，项目完成一半（即2020年期间产生的纸质病案）验收完成后5个工作日内支付项目金额的40%，其余部分待完成项目合同量并验收后5工作日内支付项目金额的30%。</w:t>
      </w:r>
    </w:p>
    <w:p>
      <w:pPr>
        <w:pStyle w:val="74"/>
        <w:spacing w:before="31" w:after="31"/>
        <w:ind w:firstLine="480" w:firstLineChars="2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4.服务供应商根据实际整理的病案页数，据实结算。若实际结算金额未超过本项目采购预算，以实际结算支付，若实际结算超出本项目采购预算，以本项目采购预算金额支付，超出部分采购人不再支付费用。</w:t>
      </w:r>
    </w:p>
    <w:p>
      <w:pPr>
        <w:pStyle w:val="23"/>
        <w:spacing w:after="0" w:line="360" w:lineRule="auto"/>
        <w:ind w:left="0" w:leftChars="0" w:firstLine="44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5.验收标准：</w:t>
      </w:r>
    </w:p>
    <w:p>
      <w:pPr>
        <w:pStyle w:val="23"/>
        <w:spacing w:after="0" w:line="360" w:lineRule="auto"/>
        <w:ind w:left="0" w:leftChars="0" w:firstLine="44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5.1数字化病案图像与纸质病案完全一致；</w:t>
      </w:r>
    </w:p>
    <w:p>
      <w:pPr>
        <w:pStyle w:val="23"/>
        <w:spacing w:after="0" w:line="360" w:lineRule="auto"/>
        <w:ind w:left="0" w:leftChars="0" w:firstLine="44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5.2数字化病案图像格式和清晰度符合要求；</w:t>
      </w:r>
    </w:p>
    <w:p>
      <w:pPr>
        <w:pStyle w:val="23"/>
        <w:spacing w:after="0" w:line="360" w:lineRule="auto"/>
        <w:ind w:left="0" w:leftChars="0" w:firstLine="44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5.3 数字化病案的文件夹命名合乎标准，并分段；</w:t>
      </w:r>
    </w:p>
    <w:p>
      <w:pPr>
        <w:pStyle w:val="23"/>
        <w:spacing w:after="0" w:line="360" w:lineRule="auto"/>
        <w:ind w:left="0" w:leftChars="0" w:firstLine="44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5.4差错率：依据“纸质档案数字化技术标准（中华人民共和国档案行业标准 DA/T31-2005）”11.2.2之规定，数字化转换质量抽检的合格率应≧95%。</w:t>
      </w:r>
    </w:p>
    <w:p>
      <w:pPr>
        <w:pStyle w:val="23"/>
        <w:spacing w:after="0" w:line="360" w:lineRule="auto"/>
        <w:ind w:left="0" w:leftChars="0" w:firstLine="44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5.5首页信息的主要数据项（姓名、病案号、出院日期、主要诊断、手术）的差错率不超过3‰。</w:t>
      </w:r>
    </w:p>
    <w:p>
      <w:pPr>
        <w:pStyle w:val="23"/>
        <w:spacing w:after="0" w:line="360" w:lineRule="auto"/>
        <w:ind w:left="0" w:leftChars="0" w:firstLine="44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6.成果交付：采购人在成交后应向采购人提供以下完整技术资料（中文）：</w:t>
      </w:r>
    </w:p>
    <w:p>
      <w:pPr>
        <w:pStyle w:val="23"/>
        <w:spacing w:after="0" w:line="360" w:lineRule="auto"/>
        <w:ind w:left="0" w:leftChars="0" w:firstLine="44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（1）产品验收标准</w:t>
      </w:r>
    </w:p>
    <w:p>
      <w:pPr>
        <w:pStyle w:val="23"/>
        <w:spacing w:after="0" w:line="360" w:lineRule="auto"/>
        <w:ind w:left="0" w:leftChars="0" w:firstLine="44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（2）技术说明书</w:t>
      </w:r>
    </w:p>
    <w:p>
      <w:pPr>
        <w:pStyle w:val="23"/>
        <w:spacing w:after="0" w:line="360" w:lineRule="auto"/>
        <w:ind w:left="0" w:leftChars="0" w:firstLine="44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（3）使用说明书</w:t>
      </w:r>
    </w:p>
    <w:p>
      <w:pPr>
        <w:pStyle w:val="23"/>
        <w:spacing w:after="0" w:line="360" w:lineRule="auto"/>
        <w:ind w:left="0" w:leftChars="0" w:firstLine="44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（4）操作手册</w:t>
      </w:r>
    </w:p>
    <w:p>
      <w:pPr>
        <w:pStyle w:val="23"/>
        <w:spacing w:after="0" w:line="360" w:lineRule="auto"/>
        <w:ind w:left="0" w:leftChars="0" w:firstLine="44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（5）安装配置及维护手册</w:t>
      </w:r>
    </w:p>
    <w:p>
      <w:pPr>
        <w:pStyle w:val="23"/>
        <w:spacing w:after="0" w:line="360" w:lineRule="auto"/>
        <w:ind w:left="0" w:leftChars="0" w:firstLine="44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7.培训：采购人需派专业技术人员到采购人指定的地点对采购人的技术人员进行系统运行、配置、维护培训，对采购人的使用人员进行操作培训。</w:t>
      </w:r>
    </w:p>
    <w:p>
      <w:pPr>
        <w:pStyle w:val="23"/>
        <w:spacing w:after="0" w:line="360" w:lineRule="auto"/>
        <w:ind w:left="0" w:leftChars="0" w:firstLine="44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8.针对本项目系统上线调试所涉及一切相关费用，由成交方承担，费用包含在成交总价中。</w:t>
      </w:r>
    </w:p>
    <w:p>
      <w:pPr>
        <w:pStyle w:val="23"/>
        <w:spacing w:after="0" w:line="360" w:lineRule="auto"/>
        <w:ind w:left="0" w:leftChars="0" w:firstLine="44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xml:space="preserve">9.服务期内，供应商负责系统运维及升级服务。 </w:t>
      </w:r>
    </w:p>
    <w:p>
      <w:pPr>
        <w:pStyle w:val="23"/>
        <w:spacing w:after="0" w:line="360" w:lineRule="auto"/>
        <w:ind w:left="0" w:leftChars="0" w:firstLine="44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10.供应商须对采购人的病历数据保密，不得将采购人数据内容全部或部分泄露给第三方。</w:t>
      </w:r>
    </w:p>
    <w:p>
      <w:pPr>
        <w:pStyle w:val="23"/>
        <w:spacing w:after="0" w:line="360" w:lineRule="auto"/>
        <w:ind w:left="0" w:leftChars="0" w:firstLine="44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11.软件质保期：从验收合格之日起＞1年。</w:t>
      </w:r>
    </w:p>
    <w:p>
      <w:pPr>
        <w:pStyle w:val="23"/>
        <w:spacing w:after="0" w:line="360" w:lineRule="auto"/>
        <w:ind w:left="0" w:leftChars="0" w:firstLine="44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12.售后服务：接到故障通知后，2小时内作出处理方案，如2小时内无法电话解决故障，维修人员必须在6小时之内到达现场（含节假日）。</w:t>
      </w:r>
    </w:p>
    <w:p>
      <w:pPr>
        <w:pStyle w:val="23"/>
        <w:spacing w:after="0" w:line="360" w:lineRule="auto"/>
        <w:ind w:left="0" w:leftChars="0" w:firstLine="44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13.项目中软件部分自合同签订之日起采购人具有终身使用的权利，所涉及的费用包含在成交总价中。</w:t>
      </w:r>
    </w:p>
    <w:p>
      <w:pPr>
        <w:pStyle w:val="23"/>
        <w:spacing w:after="0" w:line="360" w:lineRule="auto"/>
        <w:ind w:left="0" w:leftChars="0" w:firstLine="44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14.供应商在质保期内应每季度巡检一次，所需费用包含在成交总价中。</w:t>
      </w:r>
    </w:p>
    <w:p>
      <w:pPr>
        <w:pStyle w:val="2"/>
        <w:rPr>
          <w:rFonts w:hint="eastAsia"/>
          <w:sz w:val="24"/>
          <w:szCs w:val="24"/>
        </w:rPr>
      </w:pPr>
    </w:p>
    <w:p>
      <w:pPr>
        <w:rPr>
          <w:rFonts w:hint="eastAsia"/>
          <w:sz w:val="24"/>
          <w:szCs w:val="24"/>
        </w:rPr>
      </w:pPr>
    </w:p>
    <w:p>
      <w:pPr>
        <w:pStyle w:val="23"/>
        <w:spacing w:after="0" w:line="360" w:lineRule="auto"/>
        <w:ind w:left="0" w:leftChars="0" w:firstLine="44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注：1.标注“▲号”的为本次采购项目的实质性要求，不允许有负偏离，否则作无效投标处理。</w:t>
      </w:r>
    </w:p>
    <w:p>
      <w:pPr>
        <w:pStyle w:val="23"/>
        <w:spacing w:after="0" w:line="360" w:lineRule="auto"/>
        <w:ind w:left="0" w:leftChars="0" w:firstLine="960" w:firstLineChars="400"/>
        <w:jc w:val="left"/>
        <w:rPr>
          <w:rFonts w:hint="eastAsia"/>
        </w:rPr>
      </w:pPr>
      <w:r>
        <w:rPr>
          <w:rFonts w:hint="eastAsia" w:ascii="宋体" w:hAnsi="宋体" w:eastAsia="宋体" w:cs="宋体"/>
          <w:kern w:val="2"/>
          <w:sz w:val="24"/>
          <w:szCs w:val="24"/>
          <w:lang w:val="en-US" w:eastAsia="zh-CN" w:bidi="ar-SA"/>
        </w:rPr>
        <w:t>2.标注“★”为重要参数，不满足作扣分处理。</w:t>
      </w:r>
    </w:p>
    <w:p>
      <w:pPr>
        <w:rPr>
          <w:rFonts w:hint="eastAsia"/>
          <w:sz w:val="24"/>
          <w:szCs w:val="24"/>
        </w:rPr>
      </w:pPr>
    </w:p>
    <w:p>
      <w:pPr>
        <w:rPr>
          <w:rFonts w:hint="eastAsia"/>
        </w:rPr>
      </w:pPr>
    </w:p>
    <w:bookmarkEnd w:id="72"/>
    <w:bookmarkEnd w:id="73"/>
    <w:bookmarkEnd w:id="74"/>
    <w:bookmarkEnd w:id="75"/>
    <w:bookmarkEnd w:id="76"/>
    <w:p>
      <w:pPr>
        <w:spacing w:before="62" w:beforeLines="20" w:after="62" w:afterLines="20" w:line="576" w:lineRule="exact"/>
        <w:ind w:firstLine="0" w:firstLineChars="0"/>
        <w:rPr>
          <w:rFonts w:hint="eastAsia" w:ascii="宋体" w:hAnsi="宋体" w:cs="宋体"/>
          <w:color w:val="000000" w:themeColor="text1"/>
          <w:sz w:val="28"/>
          <w:szCs w:val="28"/>
          <w:highlight w:val="none"/>
          <w:lang w:val="en-US" w:eastAsia="zh-CN"/>
          <w14:textFill>
            <w14:solidFill>
              <w14:schemeClr w14:val="tx1"/>
            </w14:solidFill>
          </w14:textFill>
        </w:rPr>
      </w:pPr>
      <w:bookmarkStart w:id="88" w:name="_Toc509579145"/>
      <w:bookmarkStart w:id="89" w:name="_Toc183682369"/>
      <w:bookmarkStart w:id="90" w:name="_Toc183582232"/>
      <w:bookmarkStart w:id="91" w:name="_Toc217446057"/>
      <w:r>
        <w:rPr>
          <w:rFonts w:hint="eastAsia" w:ascii="宋体" w:hAnsi="宋体" w:eastAsia="宋体" w:cs="宋体"/>
          <w:color w:val="000000" w:themeColor="text1"/>
          <w:sz w:val="28"/>
          <w:szCs w:val="28"/>
          <w:highlight w:val="none"/>
          <w:lang w:val="en-US" w:eastAsia="zh-CN"/>
          <w14:textFill>
            <w14:solidFill>
              <w14:schemeClr w14:val="tx1"/>
            </w14:solidFill>
          </w14:textFill>
        </w:rPr>
        <w:t xml:space="preserve">        </w:t>
      </w:r>
      <w:r>
        <w:rPr>
          <w:rFonts w:hint="eastAsia" w:ascii="宋体" w:hAnsi="宋体" w:cs="宋体"/>
          <w:color w:val="000000" w:themeColor="text1"/>
          <w:sz w:val="28"/>
          <w:szCs w:val="28"/>
          <w:highlight w:val="none"/>
          <w:lang w:val="en-US" w:eastAsia="zh-CN"/>
          <w14:textFill>
            <w14:solidFill>
              <w14:schemeClr w14:val="tx1"/>
            </w14:solidFill>
          </w14:textFill>
        </w:rPr>
        <w:t xml:space="preserve">       </w:t>
      </w:r>
    </w:p>
    <w:p>
      <w:pPr>
        <w:pStyle w:val="36"/>
        <w:rPr>
          <w:rFonts w:hint="eastAsia"/>
          <w:lang w:val="en-US" w:eastAsia="zh-CN"/>
        </w:rPr>
      </w:pPr>
    </w:p>
    <w:p>
      <w:pPr>
        <w:jc w:val="center"/>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br w:type="page"/>
      </w:r>
      <w:r>
        <w:rPr>
          <w:rFonts w:hint="eastAsia" w:ascii="宋体" w:hAnsi="宋体" w:eastAsia="宋体" w:cs="宋体"/>
          <w:b/>
          <w:bCs/>
          <w:color w:val="000000" w:themeColor="text1"/>
          <w:kern w:val="2"/>
          <w:sz w:val="28"/>
          <w:szCs w:val="28"/>
          <w:highlight w:val="none"/>
          <w:lang w:val="en-US" w:eastAsia="zh-CN" w:bidi="ar-SA"/>
          <w14:textFill>
            <w14:solidFill>
              <w14:schemeClr w14:val="tx1"/>
            </w14:solidFill>
          </w14:textFill>
        </w:rPr>
        <w:t>第六章   磋商内容、磋商过程中可实质性变动的内容</w:t>
      </w:r>
      <w:bookmarkEnd w:id="88"/>
    </w:p>
    <w:p>
      <w:pPr>
        <w:pageBreakBefore w:val="0"/>
        <w:tabs>
          <w:tab w:val="left" w:pos="7665"/>
        </w:tabs>
        <w:kinsoku/>
        <w:wordWrap/>
        <w:overflowPunct/>
        <w:topLinePunct w:val="0"/>
        <w:bidi w:val="0"/>
        <w:spacing w:line="360" w:lineRule="auto"/>
        <w:ind w:firstLine="480"/>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针对第五章、第九章所包含的技术、服务要求以及合同草案条款，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pPr>
        <w:pageBreakBefore w:val="0"/>
        <w:tabs>
          <w:tab w:val="left" w:pos="7665"/>
        </w:tabs>
        <w:kinsoku/>
        <w:wordWrap/>
        <w:overflowPunct/>
        <w:topLinePunct w:val="0"/>
        <w:bidi w:val="0"/>
        <w:spacing w:line="480" w:lineRule="auto"/>
        <w:ind w:firstLine="480"/>
        <w:rPr>
          <w:rFonts w:hint="eastAsia" w:ascii="宋体" w:hAnsi="宋体" w:eastAsia="宋体" w:cs="宋体"/>
          <w:bCs/>
          <w:color w:val="000000" w:themeColor="text1"/>
          <w:sz w:val="28"/>
          <w:szCs w:val="28"/>
          <w:highlight w:val="none"/>
          <w14:textFill>
            <w14:solidFill>
              <w14:schemeClr w14:val="tx1"/>
            </w14:solidFill>
          </w14:textFill>
        </w:rPr>
      </w:pPr>
    </w:p>
    <w:p>
      <w:pPr>
        <w:pageBreakBefore w:val="0"/>
        <w:tabs>
          <w:tab w:val="left" w:pos="7665"/>
        </w:tabs>
        <w:kinsoku/>
        <w:wordWrap/>
        <w:overflowPunct/>
        <w:topLinePunct w:val="0"/>
        <w:bidi w:val="0"/>
        <w:spacing w:line="480" w:lineRule="auto"/>
        <w:ind w:firstLine="643"/>
        <w:jc w:val="center"/>
        <w:rPr>
          <w:rFonts w:hint="eastAsia" w:ascii="宋体" w:hAnsi="宋体" w:eastAsia="宋体" w:cs="宋体"/>
          <w:b/>
          <w:bCs/>
          <w:color w:val="000000" w:themeColor="text1"/>
          <w:sz w:val="28"/>
          <w:szCs w:val="28"/>
          <w:highlight w:val="none"/>
          <w14:textFill>
            <w14:solidFill>
              <w14:schemeClr w14:val="tx1"/>
            </w14:solidFill>
          </w14:textFill>
        </w:rPr>
      </w:pPr>
    </w:p>
    <w:p>
      <w:pPr>
        <w:pageBreakBefore w:val="0"/>
        <w:tabs>
          <w:tab w:val="left" w:pos="7665"/>
        </w:tabs>
        <w:kinsoku/>
        <w:wordWrap/>
        <w:overflowPunct/>
        <w:topLinePunct w:val="0"/>
        <w:bidi w:val="0"/>
        <w:spacing w:line="480" w:lineRule="auto"/>
        <w:ind w:firstLine="643"/>
        <w:jc w:val="center"/>
        <w:rPr>
          <w:rFonts w:hint="eastAsia" w:ascii="宋体" w:hAnsi="宋体" w:eastAsia="宋体" w:cs="宋体"/>
          <w:b/>
          <w:bCs/>
          <w:color w:val="000000" w:themeColor="text1"/>
          <w:sz w:val="28"/>
          <w:szCs w:val="28"/>
          <w:highlight w:val="none"/>
          <w14:textFill>
            <w14:solidFill>
              <w14:schemeClr w14:val="tx1"/>
            </w14:solidFill>
          </w14:textFill>
        </w:rPr>
      </w:pPr>
    </w:p>
    <w:p>
      <w:pPr>
        <w:pageBreakBefore w:val="0"/>
        <w:tabs>
          <w:tab w:val="left" w:pos="7665"/>
        </w:tabs>
        <w:kinsoku/>
        <w:wordWrap/>
        <w:overflowPunct/>
        <w:topLinePunct w:val="0"/>
        <w:bidi w:val="0"/>
        <w:spacing w:line="480" w:lineRule="auto"/>
        <w:ind w:firstLine="643"/>
        <w:jc w:val="center"/>
        <w:rPr>
          <w:rFonts w:hint="eastAsia" w:ascii="宋体" w:hAnsi="宋体" w:eastAsia="宋体" w:cs="宋体"/>
          <w:b/>
          <w:bCs/>
          <w:color w:val="000000" w:themeColor="text1"/>
          <w:sz w:val="28"/>
          <w:szCs w:val="28"/>
          <w:highlight w:val="none"/>
          <w14:textFill>
            <w14:solidFill>
              <w14:schemeClr w14:val="tx1"/>
            </w14:solidFill>
          </w14:textFill>
        </w:rPr>
      </w:pPr>
    </w:p>
    <w:p>
      <w:pPr>
        <w:pageBreakBefore w:val="0"/>
        <w:tabs>
          <w:tab w:val="left" w:pos="7665"/>
        </w:tabs>
        <w:kinsoku/>
        <w:wordWrap/>
        <w:overflowPunct/>
        <w:topLinePunct w:val="0"/>
        <w:bidi w:val="0"/>
        <w:spacing w:line="480" w:lineRule="auto"/>
        <w:ind w:firstLine="480"/>
        <w:rPr>
          <w:rFonts w:hint="eastAsia" w:ascii="宋体" w:hAnsi="宋体" w:eastAsia="宋体" w:cs="宋体"/>
          <w:bCs/>
          <w:color w:val="000000" w:themeColor="text1"/>
          <w:sz w:val="28"/>
          <w:szCs w:val="28"/>
          <w:highlight w:val="none"/>
          <w14:textFill>
            <w14:solidFill>
              <w14:schemeClr w14:val="tx1"/>
            </w14:solidFill>
          </w14:textFill>
        </w:rPr>
      </w:pPr>
    </w:p>
    <w:p>
      <w:pPr>
        <w:pageBreakBefore w:val="0"/>
        <w:tabs>
          <w:tab w:val="left" w:pos="7665"/>
        </w:tabs>
        <w:kinsoku/>
        <w:wordWrap/>
        <w:overflowPunct/>
        <w:topLinePunct w:val="0"/>
        <w:bidi w:val="0"/>
        <w:spacing w:line="480" w:lineRule="auto"/>
        <w:ind w:firstLine="643"/>
        <w:rPr>
          <w:rFonts w:hint="eastAsia" w:ascii="宋体" w:hAnsi="宋体" w:eastAsia="宋体" w:cs="宋体"/>
          <w:b/>
          <w:bCs/>
          <w:color w:val="000000" w:themeColor="text1"/>
          <w:sz w:val="28"/>
          <w:szCs w:val="28"/>
          <w:highlight w:val="none"/>
          <w14:textFill>
            <w14:solidFill>
              <w14:schemeClr w14:val="tx1"/>
            </w14:solidFill>
          </w14:textFill>
        </w:rPr>
      </w:pPr>
    </w:p>
    <w:p>
      <w:pPr>
        <w:pageBreakBefore w:val="0"/>
        <w:tabs>
          <w:tab w:val="left" w:pos="7665"/>
        </w:tabs>
        <w:kinsoku/>
        <w:wordWrap/>
        <w:overflowPunct/>
        <w:topLinePunct w:val="0"/>
        <w:bidi w:val="0"/>
        <w:spacing w:line="480" w:lineRule="auto"/>
        <w:ind w:firstLine="643"/>
        <w:rPr>
          <w:rFonts w:hint="eastAsia" w:ascii="宋体" w:hAnsi="宋体" w:eastAsia="宋体" w:cs="宋体"/>
          <w:b/>
          <w:bCs/>
          <w:color w:val="000000" w:themeColor="text1"/>
          <w:sz w:val="28"/>
          <w:szCs w:val="28"/>
          <w:highlight w:val="none"/>
          <w14:textFill>
            <w14:solidFill>
              <w14:schemeClr w14:val="tx1"/>
            </w14:solidFill>
          </w14:textFill>
        </w:rPr>
      </w:pPr>
    </w:p>
    <w:p>
      <w:pPr>
        <w:pStyle w:val="21"/>
        <w:pageBreakBefore w:val="0"/>
        <w:kinsoku/>
        <w:wordWrap/>
        <w:overflowPunct/>
        <w:topLinePunct w:val="0"/>
        <w:bidi w:val="0"/>
        <w:spacing w:line="480" w:lineRule="auto"/>
        <w:ind w:firstLine="643"/>
        <w:rPr>
          <w:rFonts w:hint="eastAsia" w:ascii="宋体" w:hAnsi="宋体" w:eastAsia="宋体" w:cs="宋体"/>
          <w:b/>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br w:type="page"/>
      </w:r>
      <w:bookmarkStart w:id="92" w:name="_Toc14991"/>
      <w:bookmarkStart w:id="93" w:name="_Toc509579146"/>
      <w:r>
        <w:rPr>
          <w:rFonts w:hint="eastAsia" w:ascii="宋体" w:hAnsi="宋体" w:eastAsia="宋体" w:cs="宋体"/>
          <w:color w:val="000000" w:themeColor="text1"/>
          <w:sz w:val="28"/>
          <w:szCs w:val="28"/>
          <w:highlight w:val="none"/>
          <w14:textFill>
            <w14:solidFill>
              <w14:schemeClr w14:val="tx1"/>
            </w14:solidFill>
          </w14:textFill>
        </w:rPr>
        <w:t>第七章  响应文件格式</w:t>
      </w:r>
      <w:bookmarkEnd w:id="92"/>
      <w:bookmarkEnd w:id="93"/>
    </w:p>
    <w:p>
      <w:pPr>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一、本章所制响应文件格式，除格式中明确将该格式作为实质性要求的，一律不具有强制性，但是，供应商响应文件相关资料和本章所制格式不一致的，磋商小组将在评分时以响应文件不规范予以扣分处理。</w:t>
      </w:r>
    </w:p>
    <w:p>
      <w:pPr>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二、本章所制响应文件格式有关表格中的备注栏，由供应商根据自身响应情况作解释性说明，不作为必填项。</w:t>
      </w:r>
    </w:p>
    <w:p>
      <w:pPr>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三、本章所制响应文件格式中需要填写的相关内容事项，可能会与本采购项目无关，在不改变响应文件原义、不影响本项目采购需求的情况下，供应商可以不予填写，但应当注明。</w:t>
      </w:r>
    </w:p>
    <w:p>
      <w:pPr>
        <w:pageBreakBefore w:val="0"/>
        <w:kinsoku/>
        <w:wordWrap/>
        <w:overflowPunct/>
        <w:topLinePunct w:val="0"/>
        <w:bidi w:val="0"/>
        <w:spacing w:line="480" w:lineRule="auto"/>
        <w:ind w:firstLine="643"/>
        <w:jc w:val="center"/>
        <w:rPr>
          <w:rFonts w:hint="eastAsia" w:ascii="宋体" w:hAnsi="宋体" w:eastAsia="宋体" w:cs="宋体"/>
          <w:b/>
          <w:color w:val="000000" w:themeColor="text1"/>
          <w:sz w:val="28"/>
          <w:szCs w:val="28"/>
          <w:highlight w:val="none"/>
          <w14:textFill>
            <w14:solidFill>
              <w14:schemeClr w14:val="tx1"/>
            </w14:solidFill>
          </w14:textFill>
        </w:rPr>
      </w:pPr>
    </w:p>
    <w:p>
      <w:pPr>
        <w:pageBreakBefore w:val="0"/>
        <w:kinsoku/>
        <w:wordWrap/>
        <w:overflowPunct/>
        <w:topLinePunct w:val="0"/>
        <w:bidi w:val="0"/>
        <w:spacing w:line="480" w:lineRule="auto"/>
        <w:ind w:firstLine="643"/>
        <w:jc w:val="center"/>
        <w:rPr>
          <w:rFonts w:hint="eastAsia" w:ascii="宋体" w:hAnsi="宋体" w:eastAsia="宋体" w:cs="宋体"/>
          <w:b/>
          <w:color w:val="000000" w:themeColor="text1"/>
          <w:sz w:val="28"/>
          <w:szCs w:val="28"/>
          <w:highlight w:val="none"/>
          <w14:textFill>
            <w14:solidFill>
              <w14:schemeClr w14:val="tx1"/>
            </w14:solidFill>
          </w14:textFill>
        </w:rPr>
      </w:pPr>
      <w:r>
        <w:rPr>
          <w:rFonts w:hint="eastAsia" w:ascii="宋体" w:hAnsi="宋体" w:eastAsia="宋体" w:cs="宋体"/>
          <w:b/>
          <w:color w:val="000000" w:themeColor="text1"/>
          <w:sz w:val="28"/>
          <w:szCs w:val="28"/>
          <w:highlight w:val="none"/>
          <w14:textFill>
            <w14:solidFill>
              <w14:schemeClr w14:val="tx1"/>
            </w14:solidFill>
          </w14:textFill>
        </w:rPr>
        <w:br w:type="page"/>
      </w:r>
      <w:r>
        <w:rPr>
          <w:rFonts w:hint="eastAsia" w:ascii="宋体" w:hAnsi="宋体" w:eastAsia="宋体" w:cs="宋体"/>
          <w:b/>
          <w:color w:val="000000" w:themeColor="text1"/>
          <w:sz w:val="28"/>
          <w:szCs w:val="28"/>
          <w:highlight w:val="none"/>
          <w14:textFill>
            <w14:solidFill>
              <w14:schemeClr w14:val="tx1"/>
            </w14:solidFill>
          </w14:textFill>
        </w:rPr>
        <w:t>第一部分     “资格性响应文件”格式</w:t>
      </w:r>
    </w:p>
    <w:p>
      <w:pPr>
        <w:pageBreakBefore w:val="0"/>
        <w:kinsoku/>
        <w:wordWrap/>
        <w:overflowPunct/>
        <w:topLinePunct w:val="0"/>
        <w:bidi w:val="0"/>
        <w:spacing w:line="480" w:lineRule="auto"/>
        <w:ind w:firstLine="562"/>
        <w:rPr>
          <w:rFonts w:hint="eastAsia" w:ascii="宋体" w:hAnsi="宋体" w:eastAsia="宋体" w:cs="宋体"/>
          <w:b/>
          <w:color w:val="000000" w:themeColor="text1"/>
          <w:sz w:val="28"/>
          <w:szCs w:val="28"/>
          <w:highlight w:val="none"/>
          <w14:textFill>
            <w14:solidFill>
              <w14:schemeClr w14:val="tx1"/>
            </w14:solidFill>
          </w14:textFill>
        </w:rPr>
      </w:pPr>
      <w:r>
        <w:rPr>
          <w:rFonts w:hint="eastAsia" w:ascii="宋体" w:hAnsi="宋体" w:eastAsia="宋体" w:cs="宋体"/>
          <w:b/>
          <w:color w:val="000000" w:themeColor="text1"/>
          <w:sz w:val="28"/>
          <w:szCs w:val="28"/>
          <w:highlight w:val="none"/>
          <w14:textFill>
            <w14:solidFill>
              <w14:schemeClr w14:val="tx1"/>
            </w14:solidFill>
          </w14:textFill>
        </w:rPr>
        <w:t>格式1-1</w:t>
      </w:r>
    </w:p>
    <w:p>
      <w:pPr>
        <w:pageBreakBefore w:val="0"/>
        <w:kinsoku/>
        <w:wordWrap/>
        <w:overflowPunct/>
        <w:topLinePunct w:val="0"/>
        <w:bidi w:val="0"/>
        <w:spacing w:line="480" w:lineRule="auto"/>
        <w:ind w:firstLine="643"/>
        <w:jc w:val="center"/>
        <w:rPr>
          <w:rFonts w:hint="eastAsia" w:ascii="宋体" w:hAnsi="宋体" w:eastAsia="宋体" w:cs="宋体"/>
          <w:b/>
          <w:color w:val="000000" w:themeColor="text1"/>
          <w:sz w:val="28"/>
          <w:szCs w:val="28"/>
          <w:highlight w:val="none"/>
          <w14:textFill>
            <w14:solidFill>
              <w14:schemeClr w14:val="tx1"/>
            </w14:solidFill>
          </w14:textFill>
        </w:rPr>
      </w:pPr>
    </w:p>
    <w:p>
      <w:pPr>
        <w:pageBreakBefore w:val="0"/>
        <w:kinsoku/>
        <w:wordWrap/>
        <w:overflowPunct/>
        <w:topLinePunct w:val="0"/>
        <w:bidi w:val="0"/>
        <w:spacing w:line="480" w:lineRule="auto"/>
        <w:ind w:firstLine="723"/>
        <w:jc w:val="right"/>
        <w:rPr>
          <w:rFonts w:hint="eastAsia" w:ascii="宋体" w:hAnsi="宋体" w:eastAsia="宋体" w:cs="宋体"/>
          <w:b/>
          <w:color w:val="000000" w:themeColor="text1"/>
          <w:sz w:val="28"/>
          <w:szCs w:val="28"/>
          <w:highlight w:val="none"/>
          <w14:textFill>
            <w14:solidFill>
              <w14:schemeClr w14:val="tx1"/>
            </w14:solidFill>
          </w14:textFill>
        </w:rPr>
      </w:pPr>
      <w:r>
        <w:rPr>
          <w:rFonts w:hint="eastAsia" w:ascii="宋体" w:hAnsi="宋体" w:eastAsia="宋体" w:cs="宋体"/>
          <w:b/>
          <w:color w:val="000000" w:themeColor="text1"/>
          <w:sz w:val="28"/>
          <w:szCs w:val="28"/>
          <w:highlight w:val="none"/>
          <w14:textFill>
            <w14:solidFill>
              <w14:schemeClr w14:val="tx1"/>
            </w14:solidFill>
          </w14:textFill>
        </w:rPr>
        <w:t>（正本/副本）</w:t>
      </w:r>
    </w:p>
    <w:p>
      <w:pPr>
        <w:pageBreakBefore w:val="0"/>
        <w:kinsoku/>
        <w:wordWrap/>
        <w:overflowPunct/>
        <w:topLinePunct w:val="0"/>
        <w:bidi w:val="0"/>
        <w:spacing w:line="480" w:lineRule="auto"/>
        <w:ind w:firstLine="801"/>
        <w:jc w:val="center"/>
        <w:rPr>
          <w:rFonts w:hint="eastAsia" w:ascii="宋体" w:hAnsi="宋体" w:eastAsia="宋体" w:cs="宋体"/>
          <w:b/>
          <w:color w:val="000000" w:themeColor="text1"/>
          <w:sz w:val="28"/>
          <w:szCs w:val="28"/>
          <w:highlight w:val="none"/>
          <w14:textFill>
            <w14:solidFill>
              <w14:schemeClr w14:val="tx1"/>
            </w14:solidFill>
          </w14:textFill>
        </w:rPr>
      </w:pPr>
      <w:r>
        <w:rPr>
          <w:rFonts w:hint="eastAsia" w:ascii="宋体" w:hAnsi="宋体" w:eastAsia="宋体" w:cs="宋体"/>
          <w:b/>
          <w:color w:val="000000" w:themeColor="text1"/>
          <w:sz w:val="28"/>
          <w:szCs w:val="28"/>
          <w:highlight w:val="none"/>
          <w:u w:val="single"/>
          <w14:textFill>
            <w14:solidFill>
              <w14:schemeClr w14:val="tx1"/>
            </w14:solidFill>
          </w14:textFill>
        </w:rPr>
        <w:t>XX</w:t>
      </w:r>
      <w:r>
        <w:rPr>
          <w:rFonts w:hint="eastAsia" w:ascii="宋体" w:hAnsi="宋体" w:eastAsia="宋体" w:cs="宋体"/>
          <w:b/>
          <w:color w:val="000000" w:themeColor="text1"/>
          <w:sz w:val="28"/>
          <w:szCs w:val="28"/>
          <w:highlight w:val="none"/>
          <w14:textFill>
            <w14:solidFill>
              <w14:schemeClr w14:val="tx1"/>
            </w14:solidFill>
          </w14:textFill>
        </w:rPr>
        <w:t>项目</w:t>
      </w:r>
    </w:p>
    <w:p>
      <w:pPr>
        <w:pageBreakBefore w:val="0"/>
        <w:kinsoku/>
        <w:wordWrap/>
        <w:overflowPunct/>
        <w:topLinePunct w:val="0"/>
        <w:bidi w:val="0"/>
        <w:spacing w:line="480" w:lineRule="auto"/>
        <w:ind w:firstLine="1041"/>
        <w:jc w:val="center"/>
        <w:rPr>
          <w:rFonts w:hint="eastAsia" w:ascii="宋体" w:hAnsi="宋体" w:eastAsia="宋体" w:cs="宋体"/>
          <w:b/>
          <w:color w:val="000000" w:themeColor="text1"/>
          <w:sz w:val="28"/>
          <w:szCs w:val="28"/>
          <w:highlight w:val="none"/>
          <w14:textFill>
            <w14:solidFill>
              <w14:schemeClr w14:val="tx1"/>
            </w14:solidFill>
          </w14:textFill>
        </w:rPr>
      </w:pPr>
      <w:r>
        <w:rPr>
          <w:rFonts w:hint="eastAsia" w:ascii="宋体" w:hAnsi="宋体" w:eastAsia="宋体" w:cs="宋体"/>
          <w:b/>
          <w:color w:val="000000" w:themeColor="text1"/>
          <w:sz w:val="28"/>
          <w:szCs w:val="28"/>
          <w:highlight w:val="none"/>
          <w14:textFill>
            <w14:solidFill>
              <w14:schemeClr w14:val="tx1"/>
            </w14:solidFill>
          </w14:textFill>
        </w:rPr>
        <w:t>资格性响应文件</w:t>
      </w:r>
    </w:p>
    <w:p>
      <w:pPr>
        <w:pageBreakBefore w:val="0"/>
        <w:kinsoku/>
        <w:wordWrap/>
        <w:overflowPunct/>
        <w:topLinePunct w:val="0"/>
        <w:bidi w:val="0"/>
        <w:spacing w:line="480" w:lineRule="auto"/>
        <w:ind w:firstLine="721"/>
        <w:rPr>
          <w:rFonts w:hint="eastAsia" w:ascii="宋体" w:hAnsi="宋体" w:eastAsia="宋体" w:cs="宋体"/>
          <w:b/>
          <w:color w:val="000000" w:themeColor="text1"/>
          <w:sz w:val="28"/>
          <w:szCs w:val="28"/>
          <w:highlight w:val="none"/>
          <w14:textFill>
            <w14:solidFill>
              <w14:schemeClr w14:val="tx1"/>
            </w14:solidFill>
          </w14:textFill>
        </w:rPr>
      </w:pPr>
    </w:p>
    <w:p>
      <w:pPr>
        <w:pageBreakBefore w:val="0"/>
        <w:kinsoku/>
        <w:wordWrap/>
        <w:overflowPunct/>
        <w:topLinePunct w:val="0"/>
        <w:bidi w:val="0"/>
        <w:spacing w:line="480" w:lineRule="auto"/>
        <w:ind w:firstLine="721"/>
        <w:rPr>
          <w:rFonts w:hint="eastAsia" w:ascii="宋体" w:hAnsi="宋体" w:eastAsia="宋体" w:cs="宋体"/>
          <w:b/>
          <w:color w:val="000000" w:themeColor="text1"/>
          <w:sz w:val="28"/>
          <w:szCs w:val="28"/>
          <w:highlight w:val="none"/>
          <w14:textFill>
            <w14:solidFill>
              <w14:schemeClr w14:val="tx1"/>
            </w14:solidFill>
          </w14:textFill>
        </w:rPr>
      </w:pPr>
      <w:r>
        <w:rPr>
          <w:rFonts w:hint="eastAsia" w:ascii="宋体" w:hAnsi="宋体" w:eastAsia="宋体" w:cs="宋体"/>
          <w:b/>
          <w:color w:val="000000" w:themeColor="text1"/>
          <w:sz w:val="28"/>
          <w:szCs w:val="28"/>
          <w:highlight w:val="none"/>
          <w14:textFill>
            <w14:solidFill>
              <w14:schemeClr w14:val="tx1"/>
            </w14:solidFill>
          </w14:textFill>
        </w:rPr>
        <w:t>包号：</w:t>
      </w:r>
    </w:p>
    <w:p>
      <w:pPr>
        <w:pageBreakBefore w:val="0"/>
        <w:kinsoku/>
        <w:wordWrap/>
        <w:overflowPunct/>
        <w:topLinePunct w:val="0"/>
        <w:bidi w:val="0"/>
        <w:spacing w:line="480" w:lineRule="auto"/>
        <w:ind w:firstLine="641"/>
        <w:jc w:val="left"/>
        <w:rPr>
          <w:rFonts w:hint="eastAsia" w:ascii="宋体" w:hAnsi="宋体" w:eastAsia="宋体" w:cs="宋体"/>
          <w:b/>
          <w:color w:val="000000" w:themeColor="text1"/>
          <w:sz w:val="28"/>
          <w:szCs w:val="28"/>
          <w:highlight w:val="none"/>
          <w:u w:val="single"/>
          <w14:textFill>
            <w14:solidFill>
              <w14:schemeClr w14:val="tx1"/>
            </w14:solidFill>
          </w14:textFill>
        </w:rPr>
      </w:pPr>
      <w:r>
        <w:rPr>
          <w:rFonts w:hint="eastAsia" w:ascii="宋体" w:hAnsi="宋体" w:eastAsia="宋体" w:cs="宋体"/>
          <w:b/>
          <w:color w:val="000000" w:themeColor="text1"/>
          <w:sz w:val="28"/>
          <w:szCs w:val="28"/>
          <w:highlight w:val="none"/>
          <w14:textFill>
            <w14:solidFill>
              <w14:schemeClr w14:val="tx1"/>
            </w14:solidFill>
          </w14:textFill>
        </w:rPr>
        <w:t>供 应 商名称：</w:t>
      </w:r>
    </w:p>
    <w:p>
      <w:pPr>
        <w:pageBreakBefore w:val="0"/>
        <w:kinsoku/>
        <w:wordWrap/>
        <w:overflowPunct/>
        <w:topLinePunct w:val="0"/>
        <w:bidi w:val="0"/>
        <w:spacing w:line="480" w:lineRule="auto"/>
        <w:ind w:firstLine="641"/>
        <w:jc w:val="left"/>
        <w:rPr>
          <w:rFonts w:hint="eastAsia" w:ascii="宋体" w:hAnsi="宋体" w:eastAsia="宋体" w:cs="宋体"/>
          <w:b/>
          <w:color w:val="000000" w:themeColor="text1"/>
          <w:sz w:val="28"/>
          <w:szCs w:val="28"/>
          <w:highlight w:val="none"/>
          <w:u w:val="single"/>
          <w14:textFill>
            <w14:solidFill>
              <w14:schemeClr w14:val="tx1"/>
            </w14:solidFill>
          </w14:textFill>
        </w:rPr>
      </w:pPr>
      <w:r>
        <w:rPr>
          <w:rFonts w:hint="eastAsia" w:ascii="宋体" w:hAnsi="宋体" w:eastAsia="宋体" w:cs="宋体"/>
          <w:b/>
          <w:color w:val="000000" w:themeColor="text1"/>
          <w:sz w:val="28"/>
          <w:szCs w:val="28"/>
          <w:highlight w:val="none"/>
          <w14:textFill>
            <w14:solidFill>
              <w14:schemeClr w14:val="tx1"/>
            </w14:solidFill>
          </w14:textFill>
        </w:rPr>
        <w:t>采购项目编号：</w:t>
      </w:r>
    </w:p>
    <w:p>
      <w:pPr>
        <w:pageBreakBefore w:val="0"/>
        <w:kinsoku/>
        <w:wordWrap/>
        <w:overflowPunct/>
        <w:topLinePunct w:val="0"/>
        <w:bidi w:val="0"/>
        <w:spacing w:line="480" w:lineRule="auto"/>
        <w:ind w:firstLine="723"/>
        <w:jc w:val="center"/>
        <w:rPr>
          <w:rFonts w:hint="eastAsia" w:ascii="宋体" w:hAnsi="宋体" w:eastAsia="宋体" w:cs="宋体"/>
          <w:b/>
          <w:color w:val="000000" w:themeColor="text1"/>
          <w:sz w:val="28"/>
          <w:szCs w:val="28"/>
          <w:highlight w:val="none"/>
          <w14:textFill>
            <w14:solidFill>
              <w14:schemeClr w14:val="tx1"/>
            </w14:solidFill>
          </w14:textFill>
        </w:rPr>
      </w:pPr>
    </w:p>
    <w:p>
      <w:pPr>
        <w:pStyle w:val="2"/>
        <w:rPr>
          <w:rFonts w:hint="eastAsia" w:ascii="宋体" w:hAnsi="宋体" w:eastAsia="宋体" w:cs="宋体"/>
          <w:color w:val="000000" w:themeColor="text1"/>
          <w:highlight w:val="none"/>
          <w14:textFill>
            <w14:solidFill>
              <w14:schemeClr w14:val="tx1"/>
            </w14:solidFill>
          </w14:textFill>
        </w:rPr>
      </w:pPr>
    </w:p>
    <w:p>
      <w:pPr>
        <w:pageBreakBefore w:val="0"/>
        <w:kinsoku/>
        <w:wordWrap/>
        <w:overflowPunct/>
        <w:topLinePunct w:val="0"/>
        <w:bidi w:val="0"/>
        <w:spacing w:line="480" w:lineRule="auto"/>
        <w:ind w:firstLine="723"/>
        <w:jc w:val="center"/>
        <w:rPr>
          <w:rFonts w:hint="eastAsia" w:ascii="宋体" w:hAnsi="宋体" w:eastAsia="宋体" w:cs="宋体"/>
          <w:b/>
          <w:color w:val="000000" w:themeColor="text1"/>
          <w:sz w:val="28"/>
          <w:szCs w:val="28"/>
          <w:highlight w:val="none"/>
          <w14:textFill>
            <w14:solidFill>
              <w14:schemeClr w14:val="tx1"/>
            </w14:solidFill>
          </w14:textFill>
        </w:rPr>
      </w:pPr>
    </w:p>
    <w:p>
      <w:pPr>
        <w:pageBreakBefore w:val="0"/>
        <w:kinsoku/>
        <w:wordWrap/>
        <w:overflowPunct/>
        <w:topLinePunct w:val="0"/>
        <w:bidi w:val="0"/>
        <w:spacing w:line="480" w:lineRule="auto"/>
        <w:ind w:firstLine="641"/>
        <w:jc w:val="center"/>
        <w:rPr>
          <w:rFonts w:hint="eastAsia"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b/>
          <w:color w:val="000000" w:themeColor="text1"/>
          <w:sz w:val="28"/>
          <w:szCs w:val="28"/>
          <w:highlight w:val="none"/>
          <w14:textFill>
            <w14:solidFill>
              <w14:schemeClr w14:val="tx1"/>
            </w14:solidFill>
          </w14:textFill>
        </w:rPr>
        <w:t>202</w:t>
      </w:r>
      <w:r>
        <w:rPr>
          <w:rFonts w:hint="eastAsia" w:ascii="宋体" w:hAnsi="宋体" w:cs="宋体"/>
          <w:b/>
          <w:color w:val="000000" w:themeColor="text1"/>
          <w:sz w:val="28"/>
          <w:szCs w:val="28"/>
          <w:highlight w:val="none"/>
          <w:lang w:val="en-US" w:eastAsia="zh-CN"/>
          <w14:textFill>
            <w14:solidFill>
              <w14:schemeClr w14:val="tx1"/>
            </w14:solidFill>
          </w14:textFill>
        </w:rPr>
        <w:t>1</w:t>
      </w:r>
      <w:r>
        <w:rPr>
          <w:rFonts w:hint="eastAsia" w:ascii="宋体" w:hAnsi="宋体" w:eastAsia="宋体" w:cs="宋体"/>
          <w:b/>
          <w:color w:val="000000" w:themeColor="text1"/>
          <w:sz w:val="28"/>
          <w:szCs w:val="28"/>
          <w:highlight w:val="none"/>
          <w14:textFill>
            <w14:solidFill>
              <w14:schemeClr w14:val="tx1"/>
            </w14:solidFill>
          </w14:textFill>
        </w:rPr>
        <w:t>年XX月XX日</w:t>
      </w:r>
    </w:p>
    <w:p>
      <w:pPr>
        <w:pageBreakBefore w:val="0"/>
        <w:widowControl/>
        <w:kinsoku/>
        <w:wordWrap/>
        <w:overflowPunct/>
        <w:topLinePunct w:val="0"/>
        <w:bidi w:val="0"/>
        <w:spacing w:line="480" w:lineRule="auto"/>
        <w:ind w:firstLine="641"/>
        <w:jc w:val="left"/>
        <w:rPr>
          <w:rFonts w:hint="eastAsia" w:ascii="宋体" w:hAnsi="宋体" w:eastAsia="宋体" w:cs="宋体"/>
          <w:b/>
          <w:color w:val="000000" w:themeColor="text1"/>
          <w:sz w:val="28"/>
          <w:szCs w:val="28"/>
          <w:highlight w:val="none"/>
          <w14:textFill>
            <w14:solidFill>
              <w14:schemeClr w14:val="tx1"/>
            </w14:solidFill>
          </w14:textFill>
        </w:rPr>
      </w:pPr>
      <w:r>
        <w:rPr>
          <w:rFonts w:hint="eastAsia" w:ascii="宋体" w:hAnsi="宋体" w:eastAsia="宋体" w:cs="宋体"/>
          <w:b/>
          <w:color w:val="000000" w:themeColor="text1"/>
          <w:sz w:val="28"/>
          <w:szCs w:val="28"/>
          <w:highlight w:val="none"/>
          <w14:textFill>
            <w14:solidFill>
              <w14:schemeClr w14:val="tx1"/>
            </w14:solidFill>
          </w14:textFill>
        </w:rPr>
        <w:br w:type="page"/>
      </w:r>
    </w:p>
    <w:p>
      <w:pPr>
        <w:pageBreakBefore w:val="0"/>
        <w:kinsoku/>
        <w:wordWrap/>
        <w:overflowPunct/>
        <w:topLinePunct w:val="0"/>
        <w:bidi w:val="0"/>
        <w:spacing w:line="480" w:lineRule="auto"/>
        <w:ind w:firstLine="562"/>
        <w:rPr>
          <w:rFonts w:hint="eastAsia" w:ascii="宋体" w:hAnsi="宋体" w:eastAsia="宋体" w:cs="宋体"/>
          <w:b/>
          <w:color w:val="000000" w:themeColor="text1"/>
          <w:sz w:val="28"/>
          <w:szCs w:val="28"/>
          <w:highlight w:val="none"/>
          <w14:textFill>
            <w14:solidFill>
              <w14:schemeClr w14:val="tx1"/>
            </w14:solidFill>
          </w14:textFill>
        </w:rPr>
      </w:pPr>
      <w:r>
        <w:rPr>
          <w:rFonts w:hint="eastAsia" w:ascii="宋体" w:hAnsi="宋体" w:eastAsia="宋体" w:cs="宋体"/>
          <w:b/>
          <w:color w:val="000000" w:themeColor="text1"/>
          <w:sz w:val="28"/>
          <w:szCs w:val="28"/>
          <w:highlight w:val="none"/>
          <w14:textFill>
            <w14:solidFill>
              <w14:schemeClr w14:val="tx1"/>
            </w14:solidFill>
          </w14:textFill>
        </w:rPr>
        <w:t>格式1-2</w:t>
      </w:r>
    </w:p>
    <w:p>
      <w:pPr>
        <w:keepNext w:val="0"/>
        <w:keepLines w:val="0"/>
        <w:pageBreakBefore w:val="0"/>
        <w:kinsoku/>
        <w:wordWrap/>
        <w:overflowPunct/>
        <w:topLinePunct w:val="0"/>
        <w:bidi w:val="0"/>
        <w:spacing w:line="360" w:lineRule="auto"/>
        <w:ind w:firstLine="643"/>
        <w:jc w:val="center"/>
        <w:textAlignment w:val="auto"/>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b/>
          <w:bCs/>
          <w:color w:val="000000" w:themeColor="text1"/>
          <w:sz w:val="28"/>
          <w:szCs w:val="28"/>
          <w:highlight w:val="none"/>
          <w14:textFill>
            <w14:solidFill>
              <w14:schemeClr w14:val="tx1"/>
            </w14:solidFill>
          </w14:textFill>
        </w:rPr>
        <w:t>一、法定代表人/单位负责人授权书</w:t>
      </w:r>
    </w:p>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XXXXXXXX（采购代理机构名称）：</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特此声明。</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法定代表人/单位负责人（委托人）签字或加盖个人印章：XXXX。</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授权代表（被授权人）签字：XXXX。</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供应商名称：XXXX（单位盖章）。</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日    期：XXXX。</w:t>
      </w:r>
    </w:p>
    <w:p>
      <w:pPr>
        <w:pStyle w:val="11"/>
        <w:spacing w:line="360" w:lineRule="auto"/>
        <w:rPr>
          <w:rFonts w:hint="eastAsia" w:ascii="宋体" w:hAnsi="宋体" w:eastAsia="宋体" w:cs="宋体"/>
          <w:color w:val="000000" w:themeColor="text1"/>
          <w:sz w:val="24"/>
          <w:szCs w:val="24"/>
          <w:highlight w:val="none"/>
          <w14:textFill>
            <w14:solidFill>
              <w14:schemeClr w14:val="tx1"/>
            </w14:solidFill>
          </w14:textFill>
        </w:rPr>
      </w:pPr>
    </w:p>
    <w:p>
      <w:pPr>
        <w:pStyle w:val="11"/>
        <w:spacing w:line="360" w:lineRule="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bookmarkStart w:id="94" w:name="_Toc217446084"/>
      <w:r>
        <w:rPr>
          <w:rFonts w:hint="eastAsia" w:ascii="宋体" w:hAnsi="宋体" w:eastAsia="宋体" w:cs="宋体"/>
          <w:color w:val="000000" w:themeColor="text1"/>
          <w:sz w:val="24"/>
          <w:szCs w:val="24"/>
          <w:highlight w:val="none"/>
          <w14:textFill>
            <w14:solidFill>
              <w14:schemeClr w14:val="tx1"/>
            </w14:solidFill>
          </w14:textFill>
        </w:rPr>
        <w:t>注：1、供应商为法人单位时提供“法定代表人授权书”，供应商为其他组织时提供“单位负责人授权书”，供应商为自然人时提供“自然人身份证明材料”。</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2、应附法定代表人/单位负责人身份证明材料复印件和授权代表身份证明材料复印件。</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3、身份证明材料包括居民身份证或户口本或军官证或护照等。</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4、身份证明材料应同时提供其在有效期的材料，如居民身份证正、反面复印件。</w:t>
      </w:r>
    </w:p>
    <w:bookmarkEnd w:id="94"/>
    <w:p>
      <w:pPr>
        <w:keepNext w:val="0"/>
        <w:keepLines w:val="0"/>
        <w:pageBreakBefore w:val="0"/>
        <w:kinsoku/>
        <w:wordWrap/>
        <w:overflowPunct/>
        <w:topLinePunct w:val="0"/>
        <w:bidi w:val="0"/>
        <w:spacing w:line="360" w:lineRule="auto"/>
        <w:ind w:firstLine="643"/>
        <w:textAlignment w:val="auto"/>
        <w:rPr>
          <w:rFonts w:hint="eastAsia" w:ascii="宋体" w:hAnsi="宋体" w:eastAsia="宋体" w:cs="宋体"/>
          <w:b/>
          <w:color w:val="000000" w:themeColor="text1"/>
          <w:sz w:val="28"/>
          <w:szCs w:val="28"/>
          <w:highlight w:val="none"/>
          <w14:textFill>
            <w14:solidFill>
              <w14:schemeClr w14:val="tx1"/>
            </w14:solidFill>
          </w14:textFill>
        </w:rPr>
      </w:pPr>
      <w:r>
        <w:rPr>
          <w:rFonts w:hint="eastAsia" w:ascii="宋体" w:hAnsi="宋体" w:eastAsia="宋体" w:cs="宋体"/>
          <w:b/>
          <w:color w:val="000000" w:themeColor="text1"/>
          <w:sz w:val="28"/>
          <w:szCs w:val="28"/>
          <w:highlight w:val="none"/>
          <w14:textFill>
            <w14:solidFill>
              <w14:schemeClr w14:val="tx1"/>
            </w14:solidFill>
          </w14:textFill>
        </w:rPr>
        <w:br w:type="page"/>
      </w:r>
      <w:r>
        <w:rPr>
          <w:rFonts w:hint="eastAsia" w:ascii="宋体" w:hAnsi="宋体" w:eastAsia="宋体" w:cs="宋体"/>
          <w:b/>
          <w:color w:val="000000" w:themeColor="text1"/>
          <w:sz w:val="28"/>
          <w:szCs w:val="28"/>
          <w:highlight w:val="none"/>
          <w14:textFill>
            <w14:solidFill>
              <w14:schemeClr w14:val="tx1"/>
            </w14:solidFill>
          </w14:textFill>
        </w:rPr>
        <w:t>格式1-3</w:t>
      </w:r>
    </w:p>
    <w:p>
      <w:pPr>
        <w:keepNext w:val="0"/>
        <w:keepLines w:val="0"/>
        <w:pageBreakBefore w:val="0"/>
        <w:kinsoku/>
        <w:wordWrap/>
        <w:overflowPunct/>
        <w:topLinePunct w:val="0"/>
        <w:bidi w:val="0"/>
        <w:spacing w:line="360" w:lineRule="auto"/>
        <w:ind w:firstLine="643"/>
        <w:jc w:val="center"/>
        <w:textAlignment w:val="auto"/>
        <w:rPr>
          <w:rFonts w:hint="eastAsia"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b/>
          <w:bCs/>
          <w:color w:val="000000" w:themeColor="text1"/>
          <w:sz w:val="28"/>
          <w:szCs w:val="28"/>
          <w:highlight w:val="none"/>
          <w14:textFill>
            <w14:solidFill>
              <w14:schemeClr w14:val="tx1"/>
            </w14:solidFill>
          </w14:textFill>
        </w:rPr>
        <w:t>二、承诺函</w:t>
      </w:r>
    </w:p>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XXXX（采购代理机构名称）：</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我单位作为本次采购项目的供应商，根据磋商文件要求，现郑重承诺如下：</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一、具备《中华人民共和国政府采购法》第二十二条第一款和本项目规定的条件：</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（一）具有独立承担民事责任的能力；</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（二）具有良好的商业信誉和健全的财务会计制度；</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（三）具有履行合同所必需的设备和专业技术能力；</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（四）有依法缴纳税收和社会保障资金的良好记录；</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（五）参加政府采购活动前三年内，在经营活动中没有重大违法记录；</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（六）法律、行政法规规定的其他条件；</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（七）根据采购项目提出的特殊条件。</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二、截至响应文件递交截止日未被列入失信被执行人、重大税收违法案件当事人名单、政府采购严重违法失信行为记录名单。</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三、我单位及其现任法定代表人、主要负责人不具有行贿犯罪记录。</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本单位对上述承诺的内容事项真实性负责。如经查实上述承诺的内容事项存在虚假，我单位愿意接受以提供虚假材料谋取成交追究法律责任。</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供应商名称：XXXX（单位公章）。</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法定代表人/单位负责人或授权代表（签字或加盖个人印章）：XXXX。</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日    期：XXXX。</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b/>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br w:type="page"/>
      </w:r>
      <w:r>
        <w:rPr>
          <w:rFonts w:hint="eastAsia" w:ascii="宋体" w:hAnsi="宋体" w:eastAsia="宋体" w:cs="宋体"/>
          <w:b/>
          <w:color w:val="000000" w:themeColor="text1"/>
          <w:sz w:val="28"/>
          <w:szCs w:val="28"/>
          <w:highlight w:val="none"/>
          <w14:textFill>
            <w14:solidFill>
              <w14:schemeClr w14:val="tx1"/>
            </w14:solidFill>
          </w14:textFill>
        </w:rPr>
        <w:t>格式1-4</w:t>
      </w:r>
    </w:p>
    <w:p>
      <w:pPr>
        <w:keepNext w:val="0"/>
        <w:keepLines w:val="0"/>
        <w:pageBreakBefore w:val="0"/>
        <w:kinsoku/>
        <w:wordWrap/>
        <w:overflowPunct/>
        <w:topLinePunct w:val="0"/>
        <w:bidi w:val="0"/>
        <w:spacing w:line="360" w:lineRule="auto"/>
        <w:ind w:firstLine="643"/>
        <w:jc w:val="center"/>
        <w:textAlignment w:val="auto"/>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b/>
          <w:bCs/>
          <w:color w:val="000000" w:themeColor="text1"/>
          <w:kern w:val="0"/>
          <w:sz w:val="28"/>
          <w:szCs w:val="28"/>
          <w:highlight w:val="none"/>
          <w14:textFill>
            <w14:solidFill>
              <w14:schemeClr w14:val="tx1"/>
            </w14:solidFill>
          </w14:textFill>
        </w:rPr>
        <w:t>三、投标人单位及其现任法定代表人、主要负责人不得具有行贿犯罪记录的承诺函</w:t>
      </w:r>
    </w:p>
    <w:p>
      <w:pPr>
        <w:keepNext w:val="0"/>
        <w:keepLines w:val="0"/>
        <w:pageBreakBefore w:val="0"/>
        <w:kinsoku/>
        <w:wordWrap/>
        <w:overflowPunct/>
        <w:topLinePunct w:val="0"/>
        <w:bidi w:val="0"/>
        <w:spacing w:line="360" w:lineRule="auto"/>
        <w:ind w:firstLine="480"/>
        <w:jc w:val="left"/>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XXXX（采购代理机构名称）：</w:t>
      </w:r>
    </w:p>
    <w:p>
      <w:pPr>
        <w:keepNext w:val="0"/>
        <w:keepLines w:val="0"/>
        <w:pageBreakBefore w:val="0"/>
        <w:kinsoku/>
        <w:wordWrap/>
        <w:overflowPunct/>
        <w:topLinePunct w:val="0"/>
        <w:bidi w:val="0"/>
        <w:spacing w:line="360" w:lineRule="auto"/>
        <w:ind w:firstLine="48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本单位 </w:t>
      </w:r>
      <w:r>
        <w:rPr>
          <w:rFonts w:hint="eastAsia" w:ascii="宋体" w:hAnsi="宋体" w:eastAsia="宋体" w:cs="宋体"/>
          <w:color w:val="000000" w:themeColor="text1"/>
          <w:sz w:val="24"/>
          <w:szCs w:val="24"/>
          <w:highlight w:val="none"/>
          <w:u w:val="single"/>
          <w14:textFill>
            <w14:solidFill>
              <w14:schemeClr w14:val="tx1"/>
            </w14:solidFill>
          </w14:textFill>
        </w:rPr>
        <w:t xml:space="preserve">                  （供应商名称）</w:t>
      </w:r>
      <w:r>
        <w:rPr>
          <w:rFonts w:hint="eastAsia" w:ascii="宋体" w:hAnsi="宋体" w:eastAsia="宋体" w:cs="宋体"/>
          <w:color w:val="000000" w:themeColor="text1"/>
          <w:sz w:val="24"/>
          <w:szCs w:val="24"/>
          <w:highlight w:val="none"/>
          <w14:textFill>
            <w14:solidFill>
              <w14:schemeClr w14:val="tx1"/>
            </w14:solidFill>
          </w14:textFill>
        </w:rPr>
        <w:t xml:space="preserve">参加   </w:t>
      </w:r>
      <w:r>
        <w:rPr>
          <w:rFonts w:hint="eastAsia" w:ascii="宋体" w:hAnsi="宋体" w:eastAsia="宋体" w:cs="宋体"/>
          <w:color w:val="000000" w:themeColor="text1"/>
          <w:sz w:val="24"/>
          <w:szCs w:val="24"/>
          <w:highlight w:val="none"/>
          <w:u w:val="single"/>
          <w14:textFill>
            <w14:solidFill>
              <w14:schemeClr w14:val="tx1"/>
            </w14:solidFill>
          </w14:textFill>
        </w:rPr>
        <w:t xml:space="preserve">              （项目名称）</w:t>
      </w:r>
      <w:r>
        <w:rPr>
          <w:rFonts w:hint="eastAsia" w:ascii="宋体" w:hAnsi="宋体" w:eastAsia="宋体" w:cs="宋体"/>
          <w:color w:val="000000" w:themeColor="text1"/>
          <w:sz w:val="24"/>
          <w:szCs w:val="24"/>
          <w:highlight w:val="none"/>
          <w14:textFill>
            <w14:solidFill>
              <w14:schemeClr w14:val="tx1"/>
            </w14:solidFill>
          </w14:textFill>
        </w:rPr>
        <w:t>的磋商活动，现进行如下承诺：</w:t>
      </w:r>
    </w:p>
    <w:p>
      <w:pPr>
        <w:keepNext w:val="0"/>
        <w:keepLines w:val="0"/>
        <w:pageBreakBefore w:val="0"/>
        <w:kinsoku/>
        <w:wordWrap/>
        <w:overflowPunct/>
        <w:topLinePunct w:val="0"/>
        <w:bidi w:val="0"/>
        <w:spacing w:line="360" w:lineRule="auto"/>
        <w:ind w:firstLine="48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kinsoku/>
        <w:wordWrap/>
        <w:overflowPunct/>
        <w:topLinePunct w:val="0"/>
        <w:bidi w:val="0"/>
        <w:spacing w:line="360" w:lineRule="auto"/>
        <w:ind w:firstLine="48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我单位及其现任法定代表人、主要负责人不具有行贿犯罪记录。</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供应商名称：XXXX（单位公章）。</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法定代表人/单位负责人或授权代表（签字或加盖个人印章）：XXXX。</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日    期：XXXX。</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b/>
          <w:bCs/>
          <w:color w:val="000000" w:themeColor="text1"/>
          <w:sz w:val="28"/>
          <w:szCs w:val="28"/>
          <w:highlight w:val="none"/>
          <w14:textFill>
            <w14:solidFill>
              <w14:schemeClr w14:val="tx1"/>
            </w14:solidFill>
          </w14:textFill>
        </w:rPr>
        <w:br w:type="page"/>
      </w:r>
    </w:p>
    <w:p>
      <w:pPr>
        <w:keepNext w:val="0"/>
        <w:keepLines w:val="0"/>
        <w:pageBreakBefore w:val="0"/>
        <w:kinsoku/>
        <w:wordWrap/>
        <w:overflowPunct/>
        <w:topLinePunct w:val="0"/>
        <w:bidi w:val="0"/>
        <w:spacing w:line="360" w:lineRule="auto"/>
        <w:ind w:left="0" w:leftChars="0" w:firstLine="0" w:firstLineChars="0"/>
        <w:jc w:val="both"/>
        <w:textAlignment w:val="auto"/>
        <w:rPr>
          <w:rFonts w:hint="eastAsia" w:ascii="宋体" w:hAnsi="宋体" w:eastAsia="宋体" w:cs="宋体"/>
          <w:b/>
          <w:bCs/>
          <w:color w:val="000000" w:themeColor="text1"/>
          <w:sz w:val="28"/>
          <w:szCs w:val="28"/>
          <w:highlight w:val="none"/>
          <w14:textFill>
            <w14:solidFill>
              <w14:schemeClr w14:val="tx1"/>
            </w14:solidFill>
          </w14:textFill>
        </w:rPr>
      </w:pPr>
    </w:p>
    <w:p>
      <w:pPr>
        <w:keepNext w:val="0"/>
        <w:keepLines w:val="0"/>
        <w:pageBreakBefore w:val="0"/>
        <w:kinsoku/>
        <w:wordWrap/>
        <w:overflowPunct/>
        <w:topLinePunct w:val="0"/>
        <w:bidi w:val="0"/>
        <w:spacing w:line="360" w:lineRule="auto"/>
        <w:ind w:firstLine="643"/>
        <w:jc w:val="center"/>
        <w:textAlignment w:val="auto"/>
        <w:rPr>
          <w:rFonts w:hint="eastAsia"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b/>
          <w:bCs/>
          <w:color w:val="000000" w:themeColor="text1"/>
          <w:sz w:val="28"/>
          <w:szCs w:val="28"/>
          <w:highlight w:val="none"/>
          <w14:textFill>
            <w14:solidFill>
              <w14:schemeClr w14:val="tx1"/>
            </w14:solidFill>
          </w14:textFill>
        </w:rPr>
        <w:t>四、其他资格、资质性及其他类似效力要求的相关证明材料</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注：供应商应按磋商文件第四章相关要求提供佐证材料，有格式要求的从其要求，无格式要求的格式自拟。</w:t>
      </w:r>
    </w:p>
    <w:p>
      <w:pPr>
        <w:keepNext w:val="0"/>
        <w:keepLines w:val="0"/>
        <w:pageBreakBefore w:val="0"/>
        <w:widowControl/>
        <w:kinsoku/>
        <w:wordWrap/>
        <w:overflowPunct/>
        <w:topLinePunct w:val="0"/>
        <w:bidi w:val="0"/>
        <w:spacing w:line="360" w:lineRule="auto"/>
        <w:ind w:firstLine="480"/>
        <w:jc w:val="left"/>
        <w:textAlignment w:val="auto"/>
        <w:rPr>
          <w:rFonts w:hint="eastAsia" w:ascii="宋体" w:hAnsi="宋体" w:eastAsia="宋体" w:cs="宋体"/>
          <w:bCs/>
          <w:color w:val="000000" w:themeColor="text1"/>
          <w:sz w:val="28"/>
          <w:szCs w:val="28"/>
          <w:highlight w:val="none"/>
          <w14:textFill>
            <w14:solidFill>
              <w14:schemeClr w14:val="tx1"/>
            </w14:solidFill>
          </w14:textFill>
        </w:rPr>
      </w:pPr>
      <w:r>
        <w:rPr>
          <w:rFonts w:hint="eastAsia" w:ascii="宋体" w:hAnsi="宋体" w:eastAsia="宋体" w:cs="宋体"/>
          <w:bCs/>
          <w:color w:val="000000" w:themeColor="text1"/>
          <w:sz w:val="28"/>
          <w:szCs w:val="28"/>
          <w:highlight w:val="none"/>
          <w14:textFill>
            <w14:solidFill>
              <w14:schemeClr w14:val="tx1"/>
            </w14:solidFill>
          </w14:textFill>
        </w:rPr>
        <w:br w:type="page"/>
      </w:r>
    </w:p>
    <w:p>
      <w:pPr>
        <w:keepNext w:val="0"/>
        <w:keepLines w:val="0"/>
        <w:pageBreakBefore w:val="0"/>
        <w:tabs>
          <w:tab w:val="left" w:pos="900"/>
        </w:tabs>
        <w:kinsoku/>
        <w:wordWrap/>
        <w:overflowPunct/>
        <w:topLinePunct w:val="0"/>
        <w:bidi w:val="0"/>
        <w:spacing w:line="360" w:lineRule="auto"/>
        <w:ind w:firstLine="0" w:firstLineChars="0"/>
        <w:jc w:val="center"/>
        <w:textAlignment w:val="auto"/>
        <w:rPr>
          <w:rFonts w:hint="eastAsia" w:ascii="宋体" w:hAnsi="宋体" w:eastAsia="宋体" w:cs="宋体"/>
          <w:b/>
          <w:color w:val="000000" w:themeColor="text1"/>
          <w:sz w:val="28"/>
          <w:szCs w:val="28"/>
          <w:highlight w:val="none"/>
          <w14:textFill>
            <w14:solidFill>
              <w14:schemeClr w14:val="tx1"/>
            </w14:solidFill>
          </w14:textFill>
        </w:rPr>
      </w:pPr>
      <w:r>
        <w:rPr>
          <w:rFonts w:hint="eastAsia" w:ascii="宋体" w:hAnsi="宋体" w:eastAsia="宋体" w:cs="宋体"/>
          <w:b/>
          <w:color w:val="000000" w:themeColor="text1"/>
          <w:sz w:val="28"/>
          <w:szCs w:val="28"/>
          <w:highlight w:val="none"/>
          <w14:textFill>
            <w14:solidFill>
              <w14:schemeClr w14:val="tx1"/>
            </w14:solidFill>
          </w14:textFill>
        </w:rPr>
        <w:t>第二部分     “其他响应文件”格式</w:t>
      </w:r>
    </w:p>
    <w:p>
      <w:pPr>
        <w:keepNext w:val="0"/>
        <w:keepLines w:val="0"/>
        <w:pageBreakBefore w:val="0"/>
        <w:kinsoku/>
        <w:wordWrap/>
        <w:overflowPunct/>
        <w:topLinePunct w:val="0"/>
        <w:bidi w:val="0"/>
        <w:spacing w:line="360" w:lineRule="auto"/>
        <w:ind w:firstLine="562"/>
        <w:textAlignment w:val="auto"/>
        <w:rPr>
          <w:rFonts w:hint="eastAsia" w:ascii="宋体" w:hAnsi="宋体" w:eastAsia="宋体" w:cs="宋体"/>
          <w:b/>
          <w:color w:val="000000" w:themeColor="text1"/>
          <w:sz w:val="28"/>
          <w:szCs w:val="28"/>
          <w:highlight w:val="none"/>
          <w14:textFill>
            <w14:solidFill>
              <w14:schemeClr w14:val="tx1"/>
            </w14:solidFill>
          </w14:textFill>
        </w:rPr>
      </w:pPr>
      <w:r>
        <w:rPr>
          <w:rFonts w:hint="eastAsia" w:ascii="宋体" w:hAnsi="宋体" w:eastAsia="宋体" w:cs="宋体"/>
          <w:b/>
          <w:color w:val="000000" w:themeColor="text1"/>
          <w:sz w:val="28"/>
          <w:szCs w:val="28"/>
          <w:highlight w:val="none"/>
          <w14:textFill>
            <w14:solidFill>
              <w14:schemeClr w14:val="tx1"/>
            </w14:solidFill>
          </w14:textFill>
        </w:rPr>
        <w:t>格式2-1</w:t>
      </w:r>
    </w:p>
    <w:p>
      <w:pPr>
        <w:keepNext w:val="0"/>
        <w:keepLines w:val="0"/>
        <w:pageBreakBefore w:val="0"/>
        <w:kinsoku/>
        <w:wordWrap/>
        <w:overflowPunct/>
        <w:topLinePunct w:val="0"/>
        <w:bidi w:val="0"/>
        <w:spacing w:line="360" w:lineRule="auto"/>
        <w:ind w:firstLine="641"/>
        <w:textAlignment w:val="auto"/>
        <w:rPr>
          <w:rFonts w:hint="eastAsia" w:ascii="宋体" w:hAnsi="宋体" w:eastAsia="宋体" w:cs="宋体"/>
          <w:b/>
          <w:color w:val="000000" w:themeColor="text1"/>
          <w:sz w:val="28"/>
          <w:szCs w:val="28"/>
          <w:highlight w:val="none"/>
          <w14:textFill>
            <w14:solidFill>
              <w14:schemeClr w14:val="tx1"/>
            </w14:solidFill>
          </w14:textFill>
        </w:rPr>
      </w:pPr>
      <w:r>
        <w:rPr>
          <w:rFonts w:hint="eastAsia" w:ascii="宋体" w:hAnsi="宋体" w:eastAsia="宋体" w:cs="宋体"/>
          <w:b/>
          <w:color w:val="000000" w:themeColor="text1"/>
          <w:sz w:val="28"/>
          <w:szCs w:val="28"/>
          <w:highlight w:val="none"/>
          <w14:textFill>
            <w14:solidFill>
              <w14:schemeClr w14:val="tx1"/>
            </w14:solidFill>
          </w14:textFill>
        </w:rPr>
        <w:t>封面：</w:t>
      </w:r>
    </w:p>
    <w:p>
      <w:pPr>
        <w:keepNext w:val="0"/>
        <w:keepLines w:val="0"/>
        <w:pageBreakBefore w:val="0"/>
        <w:kinsoku/>
        <w:wordWrap/>
        <w:overflowPunct/>
        <w:topLinePunct w:val="0"/>
        <w:bidi w:val="0"/>
        <w:spacing w:line="360" w:lineRule="auto"/>
        <w:ind w:firstLine="721"/>
        <w:jc w:val="right"/>
        <w:textAlignment w:val="auto"/>
        <w:rPr>
          <w:rFonts w:hint="eastAsia" w:ascii="宋体" w:hAnsi="宋体" w:eastAsia="宋体" w:cs="宋体"/>
          <w:b/>
          <w:color w:val="000000" w:themeColor="text1"/>
          <w:sz w:val="28"/>
          <w:szCs w:val="28"/>
          <w:highlight w:val="none"/>
          <w14:textFill>
            <w14:solidFill>
              <w14:schemeClr w14:val="tx1"/>
            </w14:solidFill>
          </w14:textFill>
        </w:rPr>
      </w:pPr>
      <w:r>
        <w:rPr>
          <w:rFonts w:hint="eastAsia" w:ascii="宋体" w:hAnsi="宋体" w:eastAsia="宋体" w:cs="宋体"/>
          <w:b/>
          <w:color w:val="000000" w:themeColor="text1"/>
          <w:sz w:val="28"/>
          <w:szCs w:val="28"/>
          <w:highlight w:val="none"/>
          <w14:textFill>
            <w14:solidFill>
              <w14:schemeClr w14:val="tx1"/>
            </w14:solidFill>
          </w14:textFill>
        </w:rPr>
        <w:t>（正本/副本）</w:t>
      </w:r>
    </w:p>
    <w:p>
      <w:pPr>
        <w:keepNext w:val="0"/>
        <w:keepLines w:val="0"/>
        <w:pageBreakBefore w:val="0"/>
        <w:kinsoku/>
        <w:wordWrap/>
        <w:overflowPunct/>
        <w:topLinePunct w:val="0"/>
        <w:bidi w:val="0"/>
        <w:spacing w:line="360" w:lineRule="auto"/>
        <w:ind w:firstLine="641"/>
        <w:textAlignment w:val="auto"/>
        <w:rPr>
          <w:rFonts w:hint="eastAsia" w:ascii="宋体" w:hAnsi="宋体" w:eastAsia="宋体" w:cs="宋体"/>
          <w:b/>
          <w:color w:val="000000" w:themeColor="text1"/>
          <w:sz w:val="28"/>
          <w:szCs w:val="28"/>
          <w:highlight w:val="none"/>
          <w14:textFill>
            <w14:solidFill>
              <w14:schemeClr w14:val="tx1"/>
            </w14:solidFill>
          </w14:textFill>
        </w:rPr>
      </w:pPr>
    </w:p>
    <w:p>
      <w:pPr>
        <w:keepNext w:val="0"/>
        <w:keepLines w:val="0"/>
        <w:pageBreakBefore w:val="0"/>
        <w:kinsoku/>
        <w:wordWrap/>
        <w:overflowPunct/>
        <w:topLinePunct w:val="0"/>
        <w:bidi w:val="0"/>
        <w:spacing w:line="360" w:lineRule="auto"/>
        <w:ind w:firstLine="801"/>
        <w:jc w:val="center"/>
        <w:textAlignment w:val="auto"/>
        <w:rPr>
          <w:rFonts w:hint="eastAsia" w:ascii="宋体" w:hAnsi="宋体" w:eastAsia="宋体" w:cs="宋体"/>
          <w:b/>
          <w:color w:val="000000" w:themeColor="text1"/>
          <w:sz w:val="28"/>
          <w:szCs w:val="28"/>
          <w:highlight w:val="none"/>
          <w14:textFill>
            <w14:solidFill>
              <w14:schemeClr w14:val="tx1"/>
            </w14:solidFill>
          </w14:textFill>
        </w:rPr>
      </w:pPr>
      <w:r>
        <w:rPr>
          <w:rFonts w:hint="eastAsia" w:ascii="宋体" w:hAnsi="宋体" w:eastAsia="宋体" w:cs="宋体"/>
          <w:b/>
          <w:color w:val="000000" w:themeColor="text1"/>
          <w:sz w:val="28"/>
          <w:szCs w:val="28"/>
          <w:highlight w:val="none"/>
          <w14:textFill>
            <w14:solidFill>
              <w14:schemeClr w14:val="tx1"/>
            </w14:solidFill>
          </w14:textFill>
        </w:rPr>
        <w:t>XX项目</w:t>
      </w:r>
    </w:p>
    <w:p>
      <w:pPr>
        <w:keepNext w:val="0"/>
        <w:keepLines w:val="0"/>
        <w:pageBreakBefore w:val="0"/>
        <w:kinsoku/>
        <w:wordWrap/>
        <w:overflowPunct/>
        <w:topLinePunct w:val="0"/>
        <w:bidi w:val="0"/>
        <w:spacing w:line="360" w:lineRule="auto"/>
        <w:ind w:firstLine="1041"/>
        <w:textAlignment w:val="auto"/>
        <w:rPr>
          <w:rFonts w:hint="eastAsia" w:ascii="宋体" w:hAnsi="宋体" w:eastAsia="宋体" w:cs="宋体"/>
          <w:b/>
          <w:color w:val="000000" w:themeColor="text1"/>
          <w:sz w:val="28"/>
          <w:szCs w:val="28"/>
          <w:highlight w:val="none"/>
          <w14:textFill>
            <w14:solidFill>
              <w14:schemeClr w14:val="tx1"/>
            </w14:solidFill>
          </w14:textFill>
        </w:rPr>
      </w:pPr>
    </w:p>
    <w:p>
      <w:pPr>
        <w:keepNext w:val="0"/>
        <w:keepLines w:val="0"/>
        <w:pageBreakBefore w:val="0"/>
        <w:kinsoku/>
        <w:wordWrap/>
        <w:overflowPunct/>
        <w:topLinePunct w:val="0"/>
        <w:bidi w:val="0"/>
        <w:spacing w:line="360" w:lineRule="auto"/>
        <w:ind w:firstLine="1041"/>
        <w:jc w:val="center"/>
        <w:textAlignment w:val="auto"/>
        <w:rPr>
          <w:rFonts w:hint="eastAsia" w:ascii="宋体" w:hAnsi="宋体" w:eastAsia="宋体" w:cs="宋体"/>
          <w:b/>
          <w:color w:val="000000" w:themeColor="text1"/>
          <w:sz w:val="28"/>
          <w:szCs w:val="28"/>
          <w:highlight w:val="none"/>
          <w14:textFill>
            <w14:solidFill>
              <w14:schemeClr w14:val="tx1"/>
            </w14:solidFill>
          </w14:textFill>
        </w:rPr>
      </w:pPr>
      <w:r>
        <w:rPr>
          <w:rFonts w:hint="eastAsia" w:ascii="宋体" w:hAnsi="宋体" w:eastAsia="宋体" w:cs="宋体"/>
          <w:b/>
          <w:color w:val="000000" w:themeColor="text1"/>
          <w:sz w:val="28"/>
          <w:szCs w:val="28"/>
          <w:highlight w:val="none"/>
          <w14:textFill>
            <w14:solidFill>
              <w14:schemeClr w14:val="tx1"/>
            </w14:solidFill>
          </w14:textFill>
        </w:rPr>
        <w:t>其他响应文件</w:t>
      </w:r>
    </w:p>
    <w:p>
      <w:pPr>
        <w:keepNext w:val="0"/>
        <w:keepLines w:val="0"/>
        <w:pageBreakBefore w:val="0"/>
        <w:kinsoku/>
        <w:wordWrap/>
        <w:overflowPunct/>
        <w:topLinePunct w:val="0"/>
        <w:bidi w:val="0"/>
        <w:spacing w:line="360" w:lineRule="auto"/>
        <w:ind w:firstLine="721"/>
        <w:textAlignment w:val="auto"/>
        <w:rPr>
          <w:rFonts w:hint="eastAsia" w:ascii="宋体" w:hAnsi="宋体" w:eastAsia="宋体" w:cs="宋体"/>
          <w:b/>
          <w:color w:val="000000" w:themeColor="text1"/>
          <w:sz w:val="28"/>
          <w:szCs w:val="28"/>
          <w:highlight w:val="none"/>
          <w14:textFill>
            <w14:solidFill>
              <w14:schemeClr w14:val="tx1"/>
            </w14:solidFill>
          </w14:textFill>
        </w:rPr>
      </w:pPr>
    </w:p>
    <w:p>
      <w:pPr>
        <w:keepNext w:val="0"/>
        <w:keepLines w:val="0"/>
        <w:pageBreakBefore w:val="0"/>
        <w:kinsoku/>
        <w:wordWrap/>
        <w:overflowPunct/>
        <w:topLinePunct w:val="0"/>
        <w:bidi w:val="0"/>
        <w:spacing w:line="360" w:lineRule="auto"/>
        <w:ind w:firstLine="721"/>
        <w:textAlignment w:val="auto"/>
        <w:rPr>
          <w:rFonts w:hint="eastAsia" w:ascii="宋体" w:hAnsi="宋体" w:eastAsia="宋体" w:cs="宋体"/>
          <w:b/>
          <w:color w:val="000000" w:themeColor="text1"/>
          <w:sz w:val="28"/>
          <w:szCs w:val="28"/>
          <w:highlight w:val="none"/>
          <w14:textFill>
            <w14:solidFill>
              <w14:schemeClr w14:val="tx1"/>
            </w14:solidFill>
          </w14:textFill>
        </w:rPr>
      </w:pPr>
      <w:r>
        <w:rPr>
          <w:rFonts w:hint="eastAsia" w:ascii="宋体" w:hAnsi="宋体" w:eastAsia="宋体" w:cs="宋体"/>
          <w:b/>
          <w:color w:val="000000" w:themeColor="text1"/>
          <w:sz w:val="28"/>
          <w:szCs w:val="28"/>
          <w:highlight w:val="none"/>
          <w14:textFill>
            <w14:solidFill>
              <w14:schemeClr w14:val="tx1"/>
            </w14:solidFill>
          </w14:textFill>
        </w:rPr>
        <w:t>包号：</w:t>
      </w:r>
    </w:p>
    <w:p>
      <w:pPr>
        <w:keepNext w:val="0"/>
        <w:keepLines w:val="0"/>
        <w:pageBreakBefore w:val="0"/>
        <w:kinsoku/>
        <w:wordWrap/>
        <w:overflowPunct/>
        <w:topLinePunct w:val="0"/>
        <w:bidi w:val="0"/>
        <w:spacing w:line="360" w:lineRule="auto"/>
        <w:ind w:firstLine="641"/>
        <w:jc w:val="left"/>
        <w:textAlignment w:val="auto"/>
        <w:rPr>
          <w:rFonts w:hint="eastAsia" w:ascii="宋体" w:hAnsi="宋体" w:eastAsia="宋体" w:cs="宋体"/>
          <w:b/>
          <w:color w:val="000000" w:themeColor="text1"/>
          <w:sz w:val="28"/>
          <w:szCs w:val="28"/>
          <w:highlight w:val="none"/>
          <w:u w:val="single"/>
          <w14:textFill>
            <w14:solidFill>
              <w14:schemeClr w14:val="tx1"/>
            </w14:solidFill>
          </w14:textFill>
        </w:rPr>
      </w:pPr>
      <w:r>
        <w:rPr>
          <w:rFonts w:hint="eastAsia" w:ascii="宋体" w:hAnsi="宋体" w:eastAsia="宋体" w:cs="宋体"/>
          <w:b/>
          <w:color w:val="000000" w:themeColor="text1"/>
          <w:sz w:val="28"/>
          <w:szCs w:val="28"/>
          <w:highlight w:val="none"/>
          <w14:textFill>
            <w14:solidFill>
              <w14:schemeClr w14:val="tx1"/>
            </w14:solidFill>
          </w14:textFill>
        </w:rPr>
        <w:t>供 应 商名称：</w:t>
      </w:r>
    </w:p>
    <w:p>
      <w:pPr>
        <w:keepNext w:val="0"/>
        <w:keepLines w:val="0"/>
        <w:pageBreakBefore w:val="0"/>
        <w:kinsoku/>
        <w:wordWrap/>
        <w:overflowPunct/>
        <w:topLinePunct w:val="0"/>
        <w:bidi w:val="0"/>
        <w:spacing w:line="360" w:lineRule="auto"/>
        <w:ind w:firstLine="641"/>
        <w:jc w:val="left"/>
        <w:textAlignment w:val="auto"/>
        <w:rPr>
          <w:rFonts w:hint="eastAsia" w:ascii="宋体" w:hAnsi="宋体" w:eastAsia="宋体" w:cs="宋体"/>
          <w:b/>
          <w:color w:val="000000" w:themeColor="text1"/>
          <w:sz w:val="28"/>
          <w:szCs w:val="28"/>
          <w:highlight w:val="none"/>
          <w:u w:val="single"/>
          <w14:textFill>
            <w14:solidFill>
              <w14:schemeClr w14:val="tx1"/>
            </w14:solidFill>
          </w14:textFill>
        </w:rPr>
      </w:pPr>
      <w:r>
        <w:rPr>
          <w:rFonts w:hint="eastAsia" w:ascii="宋体" w:hAnsi="宋体" w:eastAsia="宋体" w:cs="宋体"/>
          <w:b/>
          <w:color w:val="000000" w:themeColor="text1"/>
          <w:sz w:val="28"/>
          <w:szCs w:val="28"/>
          <w:highlight w:val="none"/>
          <w14:textFill>
            <w14:solidFill>
              <w14:schemeClr w14:val="tx1"/>
            </w14:solidFill>
          </w14:textFill>
        </w:rPr>
        <w:t>采购项目编号：</w:t>
      </w:r>
    </w:p>
    <w:p>
      <w:pPr>
        <w:keepNext w:val="0"/>
        <w:keepLines w:val="0"/>
        <w:pageBreakBefore w:val="0"/>
        <w:kinsoku/>
        <w:wordWrap/>
        <w:overflowPunct/>
        <w:topLinePunct w:val="0"/>
        <w:bidi w:val="0"/>
        <w:spacing w:line="360" w:lineRule="auto"/>
        <w:ind w:firstLine="691" w:firstLineChars="246"/>
        <w:jc w:val="center"/>
        <w:textAlignment w:val="auto"/>
        <w:rPr>
          <w:rFonts w:hint="eastAsia" w:ascii="宋体" w:hAnsi="宋体" w:eastAsia="宋体" w:cs="宋体"/>
          <w:b/>
          <w:bCs w:val="0"/>
          <w:color w:val="000000" w:themeColor="text1"/>
          <w:sz w:val="28"/>
          <w:szCs w:val="28"/>
          <w:highlight w:val="none"/>
          <w14:textFill>
            <w14:solidFill>
              <w14:schemeClr w14:val="tx1"/>
            </w14:solidFill>
          </w14:textFill>
        </w:rPr>
      </w:pPr>
    </w:p>
    <w:p>
      <w:pPr>
        <w:pStyle w:val="2"/>
        <w:keepNext w:val="0"/>
        <w:keepLines w:val="0"/>
        <w:pageBreakBefore w:val="0"/>
        <w:kinsoku/>
        <w:wordWrap/>
        <w:overflowPunct/>
        <w:topLinePunct w:val="0"/>
        <w:bidi w:val="0"/>
        <w:spacing w:line="360" w:lineRule="auto"/>
        <w:textAlignment w:val="auto"/>
        <w:rPr>
          <w:rFonts w:hint="eastAsia" w:ascii="宋体" w:hAnsi="宋体" w:eastAsia="宋体" w:cs="宋体"/>
          <w:color w:val="000000" w:themeColor="text1"/>
          <w:highlight w:val="none"/>
          <w14:textFill>
            <w14:solidFill>
              <w14:schemeClr w14:val="tx1"/>
            </w14:solidFill>
          </w14:textFill>
        </w:rPr>
      </w:pPr>
    </w:p>
    <w:p>
      <w:pPr>
        <w:keepNext w:val="0"/>
        <w:keepLines w:val="0"/>
        <w:pageBreakBefore w:val="0"/>
        <w:kinsoku/>
        <w:wordWrap/>
        <w:overflowPunct/>
        <w:topLinePunct w:val="0"/>
        <w:bidi w:val="0"/>
        <w:spacing w:line="360" w:lineRule="auto"/>
        <w:textAlignment w:val="auto"/>
        <w:rPr>
          <w:rFonts w:hint="eastAsia" w:ascii="宋体" w:hAnsi="宋体" w:eastAsia="宋体" w:cs="宋体"/>
          <w:color w:val="000000" w:themeColor="text1"/>
          <w:highlight w:val="none"/>
          <w14:textFill>
            <w14:solidFill>
              <w14:schemeClr w14:val="tx1"/>
            </w14:solidFill>
          </w14:textFill>
        </w:rPr>
      </w:pPr>
    </w:p>
    <w:p>
      <w:pPr>
        <w:pStyle w:val="2"/>
        <w:keepNext w:val="0"/>
        <w:keepLines w:val="0"/>
        <w:pageBreakBefore w:val="0"/>
        <w:kinsoku/>
        <w:wordWrap/>
        <w:overflowPunct/>
        <w:topLinePunct w:val="0"/>
        <w:bidi w:val="0"/>
        <w:spacing w:line="360" w:lineRule="auto"/>
        <w:textAlignment w:val="auto"/>
        <w:rPr>
          <w:rFonts w:hint="eastAsia" w:ascii="宋体" w:hAnsi="宋体" w:eastAsia="宋体" w:cs="宋体"/>
          <w:color w:val="000000" w:themeColor="text1"/>
          <w:highlight w:val="none"/>
          <w14:textFill>
            <w14:solidFill>
              <w14:schemeClr w14:val="tx1"/>
            </w14:solidFill>
          </w14:textFill>
        </w:rPr>
      </w:pPr>
    </w:p>
    <w:p>
      <w:pPr>
        <w:keepNext w:val="0"/>
        <w:keepLines w:val="0"/>
        <w:pageBreakBefore w:val="0"/>
        <w:kinsoku/>
        <w:wordWrap/>
        <w:overflowPunct/>
        <w:topLinePunct w:val="0"/>
        <w:bidi w:val="0"/>
        <w:spacing w:line="360" w:lineRule="auto"/>
        <w:ind w:firstLine="691" w:firstLineChars="246"/>
        <w:jc w:val="center"/>
        <w:textAlignment w:val="auto"/>
        <w:rPr>
          <w:rFonts w:hint="eastAsia" w:ascii="宋体" w:hAnsi="宋体" w:eastAsia="宋体" w:cs="宋体"/>
          <w:b/>
          <w:bCs w:val="0"/>
          <w:color w:val="000000" w:themeColor="text1"/>
          <w:sz w:val="28"/>
          <w:szCs w:val="28"/>
          <w:highlight w:val="none"/>
          <w14:textFill>
            <w14:solidFill>
              <w14:schemeClr w14:val="tx1"/>
            </w14:solidFill>
          </w14:textFill>
        </w:rPr>
      </w:pPr>
      <w:r>
        <w:rPr>
          <w:rFonts w:hint="eastAsia" w:ascii="宋体" w:hAnsi="宋体" w:eastAsia="宋体" w:cs="宋体"/>
          <w:b/>
          <w:bCs w:val="0"/>
          <w:color w:val="000000" w:themeColor="text1"/>
          <w:sz w:val="28"/>
          <w:szCs w:val="28"/>
          <w:highlight w:val="none"/>
          <w14:textFill>
            <w14:solidFill>
              <w14:schemeClr w14:val="tx1"/>
            </w14:solidFill>
          </w14:textFill>
        </w:rPr>
        <w:t>202</w:t>
      </w:r>
      <w:r>
        <w:rPr>
          <w:rFonts w:hint="eastAsia" w:ascii="宋体" w:hAnsi="宋体" w:cs="宋体"/>
          <w:b/>
          <w:bCs w:val="0"/>
          <w:color w:val="000000" w:themeColor="text1"/>
          <w:sz w:val="28"/>
          <w:szCs w:val="28"/>
          <w:highlight w:val="none"/>
          <w:lang w:val="en-US" w:eastAsia="zh-CN"/>
          <w14:textFill>
            <w14:solidFill>
              <w14:schemeClr w14:val="tx1"/>
            </w14:solidFill>
          </w14:textFill>
        </w:rPr>
        <w:t>1</w:t>
      </w:r>
      <w:r>
        <w:rPr>
          <w:rFonts w:hint="eastAsia" w:ascii="宋体" w:hAnsi="宋体" w:eastAsia="宋体" w:cs="宋体"/>
          <w:b/>
          <w:bCs w:val="0"/>
          <w:color w:val="000000" w:themeColor="text1"/>
          <w:sz w:val="28"/>
          <w:szCs w:val="28"/>
          <w:highlight w:val="none"/>
          <w14:textFill>
            <w14:solidFill>
              <w14:schemeClr w14:val="tx1"/>
            </w14:solidFill>
          </w14:textFill>
        </w:rPr>
        <w:t>年XX月XX日</w:t>
      </w:r>
    </w:p>
    <w:p>
      <w:pPr>
        <w:keepNext w:val="0"/>
        <w:keepLines w:val="0"/>
        <w:pageBreakBefore w:val="0"/>
        <w:kinsoku/>
        <w:wordWrap/>
        <w:overflowPunct/>
        <w:topLinePunct w:val="0"/>
        <w:bidi w:val="0"/>
        <w:spacing w:line="360" w:lineRule="auto"/>
        <w:ind w:firstLine="641"/>
        <w:textAlignment w:val="auto"/>
        <w:rPr>
          <w:rFonts w:hint="eastAsia" w:ascii="宋体" w:hAnsi="宋体" w:eastAsia="宋体" w:cs="宋体"/>
          <w:b/>
          <w:color w:val="000000" w:themeColor="text1"/>
          <w:sz w:val="28"/>
          <w:szCs w:val="28"/>
          <w:highlight w:val="none"/>
          <w14:textFill>
            <w14:solidFill>
              <w14:schemeClr w14:val="tx1"/>
            </w14:solidFill>
          </w14:textFill>
        </w:rPr>
      </w:pPr>
      <w:r>
        <w:rPr>
          <w:rFonts w:hint="eastAsia" w:ascii="宋体" w:hAnsi="宋体" w:eastAsia="宋体" w:cs="宋体"/>
          <w:b/>
          <w:bCs w:val="0"/>
          <w:color w:val="000000" w:themeColor="text1"/>
          <w:sz w:val="28"/>
          <w:szCs w:val="28"/>
          <w:highlight w:val="none"/>
          <w14:textFill>
            <w14:solidFill>
              <w14:schemeClr w14:val="tx1"/>
            </w14:solidFill>
          </w14:textFill>
        </w:rPr>
        <w:br w:type="page"/>
      </w:r>
      <w:r>
        <w:rPr>
          <w:rFonts w:hint="eastAsia" w:ascii="宋体" w:hAnsi="宋体" w:eastAsia="宋体" w:cs="宋体"/>
          <w:b/>
          <w:color w:val="000000" w:themeColor="text1"/>
          <w:sz w:val="28"/>
          <w:szCs w:val="28"/>
          <w:highlight w:val="none"/>
          <w14:textFill>
            <w14:solidFill>
              <w14:schemeClr w14:val="tx1"/>
            </w14:solidFill>
          </w14:textFill>
        </w:rPr>
        <w:t>格式2-2</w:t>
      </w:r>
    </w:p>
    <w:p>
      <w:pPr>
        <w:keepNext w:val="0"/>
        <w:keepLines w:val="0"/>
        <w:pageBreakBefore w:val="0"/>
        <w:kinsoku/>
        <w:wordWrap/>
        <w:overflowPunct/>
        <w:topLinePunct w:val="0"/>
        <w:bidi w:val="0"/>
        <w:spacing w:line="360" w:lineRule="auto"/>
        <w:ind w:firstLine="643"/>
        <w:jc w:val="center"/>
        <w:textAlignment w:val="auto"/>
        <w:rPr>
          <w:rFonts w:hint="eastAsia" w:ascii="宋体" w:hAnsi="宋体" w:eastAsia="宋体" w:cs="宋体"/>
          <w:b/>
          <w:bCs/>
          <w:color w:val="000000" w:themeColor="text1"/>
          <w:sz w:val="28"/>
          <w:szCs w:val="28"/>
          <w:highlight w:val="none"/>
          <w14:textFill>
            <w14:solidFill>
              <w14:schemeClr w14:val="tx1"/>
            </w14:solidFill>
          </w14:textFill>
        </w:rPr>
      </w:pPr>
      <w:bookmarkStart w:id="95" w:name="_Toc308164824"/>
      <w:r>
        <w:rPr>
          <w:rFonts w:hint="eastAsia" w:ascii="宋体" w:hAnsi="宋体" w:eastAsia="宋体" w:cs="宋体"/>
          <w:b/>
          <w:bCs/>
          <w:color w:val="000000" w:themeColor="text1"/>
          <w:sz w:val="28"/>
          <w:szCs w:val="28"/>
          <w:highlight w:val="none"/>
          <w14:textFill>
            <w14:solidFill>
              <w14:schemeClr w14:val="tx1"/>
            </w14:solidFill>
          </w14:textFill>
        </w:rPr>
        <w:t>报价函</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u w:val="single"/>
          <w14:textFill>
            <w14:solidFill>
              <w14:schemeClr w14:val="tx1"/>
            </w14:solidFill>
          </w14:textFill>
        </w:rPr>
        <w:t>XXXXXXX</w:t>
      </w:r>
      <w:r>
        <w:rPr>
          <w:rFonts w:hint="eastAsia" w:ascii="宋体" w:hAnsi="宋体" w:eastAsia="宋体" w:cs="宋体"/>
          <w:color w:val="000000" w:themeColor="text1"/>
          <w:sz w:val="24"/>
          <w:szCs w:val="24"/>
          <w:highlight w:val="none"/>
          <w14:textFill>
            <w14:solidFill>
              <w14:schemeClr w14:val="tx1"/>
            </w14:solidFill>
          </w14:textFill>
        </w:rPr>
        <w:t xml:space="preserve">（采购代理机构名称）: </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1．我方己仔细研究了</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（项目名称）磋商文件的全部内容，</w:t>
      </w:r>
      <w:r>
        <w:rPr>
          <w:rFonts w:hint="eastAsia" w:ascii="宋体" w:hAnsi="宋体" w:cs="宋体"/>
          <w:color w:val="000000" w:themeColor="text1"/>
          <w:sz w:val="24"/>
          <w:szCs w:val="24"/>
          <w:highlight w:val="none"/>
          <w:lang w:val="en-US" w:eastAsia="zh-CN"/>
          <w14:textFill>
            <w14:solidFill>
              <w14:schemeClr w14:val="tx1"/>
            </w14:solidFill>
          </w14:textFill>
        </w:rPr>
        <w:t>单价报价</w:t>
      </w:r>
      <w:r>
        <w:rPr>
          <w:rFonts w:hint="eastAsia" w:ascii="宋体" w:hAnsi="宋体" w:eastAsia="宋体" w:cs="宋体"/>
          <w:color w:val="000000" w:themeColor="text1"/>
          <w:sz w:val="24"/>
          <w:szCs w:val="24"/>
          <w:highlight w:val="none"/>
          <w14:textFill>
            <w14:solidFill>
              <w14:schemeClr w14:val="tx1"/>
            </w14:solidFill>
          </w14:textFill>
        </w:rPr>
        <w:t>为人民币（大写）</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u w:val="single"/>
          <w14:textFill>
            <w14:solidFill>
              <w14:schemeClr w14:val="tx1"/>
            </w14:solidFill>
          </w14:textFill>
        </w:rPr>
        <w:t xml:space="preserve">        元</w:t>
      </w:r>
      <w:r>
        <w:rPr>
          <w:rFonts w:hint="eastAsia" w:ascii="宋体" w:hAnsi="宋体" w:cs="宋体"/>
          <w:color w:val="000000" w:themeColor="text1"/>
          <w:sz w:val="24"/>
          <w:szCs w:val="24"/>
          <w:highlight w:val="none"/>
          <w:u w:val="single"/>
          <w:lang w:val="en-US" w:eastAsia="zh-CN"/>
          <w14:textFill>
            <w14:solidFill>
              <w14:schemeClr w14:val="tx1"/>
            </w14:solidFill>
          </w14:textFill>
        </w:rPr>
        <w:t>/页</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2．我方承诺在响应文件有效期</w:t>
      </w:r>
      <w:r>
        <w:rPr>
          <w:rFonts w:hint="eastAsia" w:ascii="宋体" w:hAnsi="宋体" w:eastAsia="宋体" w:cs="宋体"/>
          <w:color w:val="000000" w:themeColor="text1"/>
          <w:sz w:val="24"/>
          <w:szCs w:val="24"/>
          <w:highlight w:val="none"/>
          <w:u w:val="single"/>
          <w14:textFill>
            <w14:solidFill>
              <w14:schemeClr w14:val="tx1"/>
            </w14:solidFill>
          </w14:textFill>
        </w:rPr>
        <w:t xml:space="preserve">   90  </w:t>
      </w:r>
      <w:r>
        <w:rPr>
          <w:rFonts w:hint="eastAsia" w:ascii="宋体" w:hAnsi="宋体" w:eastAsia="宋体" w:cs="宋体"/>
          <w:color w:val="000000" w:themeColor="text1"/>
          <w:sz w:val="24"/>
          <w:szCs w:val="24"/>
          <w:highlight w:val="none"/>
          <w14:textFill>
            <w14:solidFill>
              <w14:schemeClr w14:val="tx1"/>
            </w14:solidFill>
          </w14:textFill>
        </w:rPr>
        <w:t>天内不修改、撤销响应文件。</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3．如我方成交：</w:t>
      </w:r>
    </w:p>
    <w:p>
      <w:pPr>
        <w:keepNext w:val="0"/>
        <w:keepLines w:val="0"/>
        <w:pageBreakBefore w:val="0"/>
        <w:kinsoku/>
        <w:wordWrap/>
        <w:overflowPunct/>
        <w:topLinePunct w:val="0"/>
        <w:bidi w:val="0"/>
        <w:spacing w:line="360" w:lineRule="auto"/>
        <w:ind w:firstLine="600" w:firstLineChars="25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(l）我方承诺在收到成交通知书后，在规定的期限内与采购人签订合同。</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（2）我方承诺按照磋商文件规定向采购人递交履约担保。</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（3）我方将严格履行政府采购合同规定的责任和义务。</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（4）我方同意本磋商文件</w:t>
      </w:r>
      <w:r>
        <w:rPr>
          <w:rFonts w:hint="eastAsia" w:ascii="宋体" w:hAnsi="宋体" w:cs="宋体"/>
          <w:color w:val="000000" w:themeColor="text1"/>
          <w:sz w:val="24"/>
          <w:szCs w:val="24"/>
          <w:highlight w:val="none"/>
          <w:lang w:val="en-US" w:eastAsia="zh-CN"/>
          <w14:textFill>
            <w14:solidFill>
              <w14:schemeClr w14:val="tx1"/>
            </w14:solidFill>
          </w14:textFill>
        </w:rPr>
        <w:t>参照</w:t>
      </w:r>
      <w:r>
        <w:rPr>
          <w:rFonts w:hint="eastAsia" w:ascii="宋体" w:hAnsi="宋体" w:eastAsia="宋体" w:cs="宋体"/>
          <w:color w:val="000000" w:themeColor="text1"/>
          <w:sz w:val="24"/>
          <w:szCs w:val="24"/>
          <w:highlight w:val="none"/>
          <w14:textFill>
            <w14:solidFill>
              <w14:schemeClr w14:val="tx1"/>
            </w14:solidFill>
          </w14:textFill>
        </w:rPr>
        <w:t>《四川省政府采购当事人诚信管理办法》（川财采〔2015〕33号文件）对我方可能存在的失信行为进行惩戒。</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（5）我方愿意提供贵单位可能另外要求的，与磋商报价有关的文件资料，并保证我方已提供和将要提供的文件资料是真实、准确的。</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（其他补充说明）。</w:t>
      </w:r>
    </w:p>
    <w:p>
      <w:pPr>
        <w:keepNext w:val="0"/>
        <w:keepLines w:val="0"/>
        <w:pageBreakBefore w:val="0"/>
        <w:kinsoku/>
        <w:wordWrap/>
        <w:overflowPunct/>
        <w:topLinePunct w:val="0"/>
        <w:bidi w:val="0"/>
        <w:adjustRightInd w:val="0"/>
        <w:spacing w:line="360" w:lineRule="auto"/>
        <w:ind w:firstLine="48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kinsoku/>
        <w:wordWrap/>
        <w:overflowPunct/>
        <w:topLinePunct w:val="0"/>
        <w:bidi w:val="0"/>
        <w:adjustRightInd w:val="0"/>
        <w:spacing w:line="360" w:lineRule="auto"/>
        <w:ind w:firstLine="48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供应商名称：XXX（盖单位公章）</w:t>
      </w:r>
    </w:p>
    <w:p>
      <w:pPr>
        <w:keepNext w:val="0"/>
        <w:keepLines w:val="0"/>
        <w:pageBreakBefore w:val="0"/>
        <w:kinsoku/>
        <w:wordWrap/>
        <w:overflowPunct/>
        <w:topLinePunct w:val="0"/>
        <w:bidi w:val="0"/>
        <w:spacing w:line="360" w:lineRule="auto"/>
        <w:ind w:firstLine="470" w:firstLineChars="196"/>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法定代表人/单位负责人或授权代表（签字或加盖个人印章）：XXX</w:t>
      </w:r>
    </w:p>
    <w:p>
      <w:pPr>
        <w:keepNext w:val="0"/>
        <w:keepLines w:val="0"/>
        <w:pageBreakBefore w:val="0"/>
        <w:kinsoku/>
        <w:wordWrap/>
        <w:overflowPunct/>
        <w:topLinePunct w:val="0"/>
        <w:bidi w:val="0"/>
        <w:spacing w:line="360" w:lineRule="auto"/>
        <w:ind w:firstLine="470" w:firstLineChars="196"/>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通讯地址：XXX</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themeColor="text1"/>
          <w:sz w:val="24"/>
          <w:szCs w:val="24"/>
          <w:highlight w:val="none"/>
          <w:u w:val="none"/>
          <w14:textFill>
            <w14:solidFill>
              <w14:schemeClr w14:val="tx1"/>
            </w14:solidFill>
          </w14:textFill>
        </w:rPr>
      </w:pPr>
      <w:r>
        <w:rPr>
          <w:rFonts w:hint="eastAsia" w:ascii="宋体" w:hAnsi="宋体" w:eastAsia="宋体" w:cs="宋体"/>
          <w:color w:val="000000" w:themeColor="text1"/>
          <w:sz w:val="24"/>
          <w:szCs w:val="24"/>
          <w:highlight w:val="none"/>
          <w:u w:val="none"/>
          <w14:textFill>
            <w14:solidFill>
              <w14:schemeClr w14:val="tx1"/>
            </w14:solidFill>
          </w14:textFill>
        </w:rPr>
        <w:t>邮政编码：XXX</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themeColor="text1"/>
          <w:sz w:val="24"/>
          <w:szCs w:val="24"/>
          <w:highlight w:val="none"/>
          <w:u w:val="none"/>
          <w14:textFill>
            <w14:solidFill>
              <w14:schemeClr w14:val="tx1"/>
            </w14:solidFill>
          </w14:textFill>
        </w:rPr>
      </w:pPr>
      <w:r>
        <w:rPr>
          <w:rFonts w:hint="eastAsia" w:ascii="宋体" w:hAnsi="宋体" w:eastAsia="宋体" w:cs="宋体"/>
          <w:color w:val="000000" w:themeColor="text1"/>
          <w:sz w:val="24"/>
          <w:szCs w:val="24"/>
          <w:highlight w:val="none"/>
          <w:u w:val="none"/>
          <w14:textFill>
            <w14:solidFill>
              <w14:schemeClr w14:val="tx1"/>
            </w14:solidFill>
          </w14:textFill>
        </w:rPr>
        <w:t>联系电话：XXX</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themeColor="text1"/>
          <w:sz w:val="24"/>
          <w:szCs w:val="24"/>
          <w:highlight w:val="none"/>
          <w:u w:val="none"/>
          <w14:textFill>
            <w14:solidFill>
              <w14:schemeClr w14:val="tx1"/>
            </w14:solidFill>
          </w14:textFill>
        </w:rPr>
      </w:pPr>
      <w:r>
        <w:rPr>
          <w:rFonts w:hint="eastAsia" w:ascii="宋体" w:hAnsi="宋体" w:eastAsia="宋体" w:cs="宋体"/>
          <w:color w:val="000000" w:themeColor="text1"/>
          <w:sz w:val="24"/>
          <w:szCs w:val="24"/>
          <w:highlight w:val="none"/>
          <w:u w:val="none"/>
          <w14:textFill>
            <w14:solidFill>
              <w14:schemeClr w14:val="tx1"/>
            </w14:solidFill>
          </w14:textFill>
        </w:rPr>
        <w:t>传    真：XXX</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b/>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4"/>
          <w:szCs w:val="24"/>
          <w:highlight w:val="none"/>
          <w:u w:val="none"/>
          <w14:textFill>
            <w14:solidFill>
              <w14:schemeClr w14:val="tx1"/>
            </w14:solidFill>
          </w14:textFill>
        </w:rPr>
        <w:t>日    期：XXX年XXX月XXX日</w:t>
      </w:r>
      <w:r>
        <w:rPr>
          <w:rFonts w:hint="eastAsia" w:ascii="宋体" w:hAnsi="宋体" w:eastAsia="宋体" w:cs="宋体"/>
          <w:color w:val="000000" w:themeColor="text1"/>
          <w:sz w:val="24"/>
          <w:szCs w:val="24"/>
          <w:highlight w:val="none"/>
          <w:u w:val="none"/>
          <w14:textFill>
            <w14:solidFill>
              <w14:schemeClr w14:val="tx1"/>
            </w14:solidFill>
          </w14:textFill>
        </w:rPr>
        <w:br w:type="page"/>
      </w:r>
      <w:r>
        <w:rPr>
          <w:rFonts w:hint="eastAsia" w:ascii="宋体" w:hAnsi="宋体" w:eastAsia="宋体" w:cs="宋体"/>
          <w:b/>
          <w:color w:val="000000" w:themeColor="text1"/>
          <w:sz w:val="28"/>
          <w:szCs w:val="28"/>
          <w:highlight w:val="none"/>
          <w14:textFill>
            <w14:solidFill>
              <w14:schemeClr w14:val="tx1"/>
            </w14:solidFill>
          </w14:textFill>
        </w:rPr>
        <w:t>格式2-3</w:t>
      </w:r>
    </w:p>
    <w:p>
      <w:pPr>
        <w:keepNext w:val="0"/>
        <w:keepLines w:val="0"/>
        <w:pageBreakBefore w:val="0"/>
        <w:kinsoku/>
        <w:wordWrap/>
        <w:overflowPunct/>
        <w:topLinePunct w:val="0"/>
        <w:bidi w:val="0"/>
        <w:spacing w:line="360" w:lineRule="auto"/>
        <w:ind w:firstLine="643"/>
        <w:jc w:val="center"/>
        <w:textAlignment w:val="auto"/>
        <w:rPr>
          <w:rFonts w:hint="eastAsia"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b/>
          <w:bCs/>
          <w:color w:val="000000" w:themeColor="text1"/>
          <w:sz w:val="28"/>
          <w:szCs w:val="28"/>
          <w:highlight w:val="none"/>
          <w14:textFill>
            <w14:solidFill>
              <w14:schemeClr w14:val="tx1"/>
            </w14:solidFill>
          </w14:textFill>
        </w:rPr>
        <w:t>承诺函</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XXX（采购代理机构名称）：</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我公司作为本次采购项目的供应商，根据磋商文件要求，现郑重承诺如下：</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一、具备《中华人民共和国政府采购法》第二十二条第一款和本项目规定的条件：</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（一）具有独立承担民事责任的能力；</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（二）具有良好的商业信誉和健全的财务会计制度；</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（三）具有履行合同所必需的设备和专业技术能力；</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（四）有依法缴纳税收和社会保障资金的良好记录；</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（五）参加政府采购活动前三年内，在经营活动中没有重大违法记录；</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（六）法律、行政法规规定的其他条件；</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（七）根据采购项目提出的特殊条件。</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二、完全接受和满足本项目磋商文件中规定的实质性要求（如采购预算、最高限价、低于成本价不正当竞争预防措施、国家规定的强制采购范围、合格供应商、充分、公平竞争保障措施、响应文件有效期、知识产权、响应文件的组成、响应文件的语言、计量单位、报价货币、合同分包、合同转包等实质性要求），如对磋商文件有异议，已经在递交响应文件截止时间届满前依法进行维权救济，不存在对磋商文件有异议的同时又参加磋商以求侥幸成交或者为实现其他非法目的的行为。</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三、在参加本次采购活动中，不存在与单位负责人为同一人或者存在直接控股、管理关系的其他供应商参与同一合同项下的政府采购活动的行为。</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四、在参加本次采购活动中，不存在和其他供应商在同一合同项下的采购项目中，同时委托同一个自然人、同一家庭的人员、同一单位的人员作为代理人的行为。</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五、如果有《四川省政府采购当事人诚信管理办法》（川财采[2015]33号）规定的记入诚信档案的失信行为，将在响应文件中全面如实反映。</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六、响应文件中提供的任何资料和技术、服务、商务等响应承诺情况都是真实的、有效的、合法的。</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七、</w:t>
      </w:r>
      <w:r>
        <w:rPr>
          <w:rFonts w:hint="eastAsia" w:ascii="宋体" w:hAnsi="宋体" w:eastAsia="宋体" w:cs="宋体"/>
          <w:sz w:val="24"/>
          <w:szCs w:val="24"/>
          <w:highlight w:val="none"/>
          <w:lang w:val="en-US" w:eastAsia="zh-CN" w:bidi="ar-SA"/>
        </w:rPr>
        <w:t>如本项目有涉及 CCC 认证产品参与</w:t>
      </w:r>
      <w:r>
        <w:rPr>
          <w:rFonts w:hint="eastAsia" w:hAnsi="宋体" w:cs="宋体"/>
          <w:sz w:val="24"/>
          <w:szCs w:val="24"/>
          <w:highlight w:val="none"/>
          <w:lang w:val="en-US" w:eastAsia="zh-CN" w:bidi="ar-SA"/>
        </w:rPr>
        <w:t>磋商</w:t>
      </w:r>
      <w:r>
        <w:rPr>
          <w:rFonts w:hint="eastAsia" w:ascii="宋体" w:hAnsi="宋体" w:eastAsia="宋体" w:cs="宋体"/>
          <w:sz w:val="24"/>
          <w:szCs w:val="24"/>
          <w:highlight w:val="none"/>
          <w:lang w:val="en-US" w:eastAsia="zh-CN" w:bidi="ar-SA"/>
        </w:rPr>
        <w:t>的，应在</w:t>
      </w:r>
      <w:r>
        <w:rPr>
          <w:rFonts w:hint="eastAsia" w:hAnsi="宋体" w:eastAsia="宋体" w:cs="宋体"/>
          <w:sz w:val="24"/>
          <w:szCs w:val="24"/>
          <w:highlight w:val="none"/>
          <w:lang w:val="en-US" w:eastAsia="zh-CN" w:bidi="ar-SA"/>
        </w:rPr>
        <w:t>响应</w:t>
      </w:r>
      <w:r>
        <w:rPr>
          <w:rFonts w:hint="eastAsia" w:ascii="宋体" w:hAnsi="宋体" w:eastAsia="宋体" w:cs="宋体"/>
          <w:sz w:val="24"/>
          <w:szCs w:val="24"/>
          <w:highlight w:val="none"/>
          <w:lang w:val="en-US" w:eastAsia="zh-CN" w:bidi="ar-SA"/>
        </w:rPr>
        <w:t>文件中提供 CCC 认证证书（复印件）或提供承诺（</w:t>
      </w:r>
      <w:r>
        <w:rPr>
          <w:rFonts w:hint="eastAsia" w:ascii="宋体" w:hAnsi="宋体" w:cs="宋体"/>
          <w:sz w:val="24"/>
          <w:szCs w:val="24"/>
          <w:highlight w:val="none"/>
          <w:lang w:val="en-US" w:eastAsia="zh-CN" w:bidi="ar-SA"/>
        </w:rPr>
        <w:t>磋商</w:t>
      </w:r>
      <w:r>
        <w:rPr>
          <w:rFonts w:hint="eastAsia" w:ascii="宋体" w:hAnsi="宋体" w:eastAsia="宋体" w:cs="宋体"/>
          <w:sz w:val="24"/>
          <w:szCs w:val="24"/>
          <w:highlight w:val="none"/>
          <w:lang w:val="en-US" w:eastAsia="zh-CN" w:bidi="ar-SA"/>
        </w:rPr>
        <w:t>文件另有要求的除外），承诺供应商在签订合同前将 CCC 认证证书（复印件）提供至采购人，</w:t>
      </w:r>
      <w:r>
        <w:rPr>
          <w:rFonts w:hint="eastAsia" w:hAnsi="宋体" w:cs="宋体"/>
          <w:sz w:val="24"/>
          <w:szCs w:val="24"/>
          <w:highlight w:val="none"/>
          <w:lang w:val="en-US" w:eastAsia="zh-CN" w:bidi="ar-SA"/>
        </w:rPr>
        <w:t>磋商</w:t>
      </w:r>
      <w:r>
        <w:rPr>
          <w:rFonts w:hint="eastAsia" w:ascii="宋体" w:hAnsi="宋体" w:eastAsia="宋体" w:cs="宋体"/>
          <w:sz w:val="24"/>
          <w:szCs w:val="24"/>
          <w:highlight w:val="none"/>
          <w:lang w:val="en-US" w:eastAsia="zh-CN" w:bidi="ar-SA"/>
        </w:rPr>
        <w:t>时 CCC 认证证书应在有效期内，未提供或不能提供的视为虚假响应。</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八</w:t>
      </w:r>
      <w:r>
        <w:rPr>
          <w:rFonts w:hint="eastAsia" w:ascii="宋体" w:hAnsi="宋体" w:eastAsia="宋体" w:cs="宋体"/>
          <w:color w:val="000000" w:themeColor="text1"/>
          <w:sz w:val="24"/>
          <w:szCs w:val="24"/>
          <w:highlight w:val="none"/>
          <w14:textFill>
            <w14:solidFill>
              <w14:schemeClr w14:val="tx1"/>
            </w14:solidFill>
          </w14:textFill>
        </w:rPr>
        <w:t>、如本项目磋商采购过程中需要提供样品，则我公司提供的样品即为成交后将要提供的成交产品，我公司对提供样品的性能和质量负责，因样品存在缺陷或者不符合磋商文件要求导致未能成交的，我公司愿意承担相应不利后果。</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本公司对上述承诺的内容事项真实性负责。如经查实上述承诺的内容事项存在虚假，我公司愿意接受以提供虚假材料谋取成交的法律责任。</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法定代表人/单位负责人签字或加盖个人印章：XXXX</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授权代表签字：XXXX</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供应商名称：XXXX（盖章）</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bCs/>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日    期：XXX年XXX月XXX日</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kinsoku/>
        <w:wordWrap/>
        <w:overflowPunct/>
        <w:topLinePunct w:val="0"/>
        <w:bidi w:val="0"/>
        <w:spacing w:line="360" w:lineRule="auto"/>
        <w:ind w:firstLine="641"/>
        <w:textAlignment w:val="auto"/>
        <w:rPr>
          <w:rFonts w:hint="eastAsia" w:ascii="宋体" w:hAnsi="宋体" w:eastAsia="宋体" w:cs="宋体"/>
          <w:b/>
          <w:color w:val="000000" w:themeColor="text1"/>
          <w:sz w:val="28"/>
          <w:szCs w:val="28"/>
          <w:highlight w:val="none"/>
          <w14:textFill>
            <w14:solidFill>
              <w14:schemeClr w14:val="tx1"/>
            </w14:solidFill>
          </w14:textFill>
        </w:rPr>
      </w:pPr>
      <w:r>
        <w:rPr>
          <w:rFonts w:hint="eastAsia" w:ascii="宋体" w:hAnsi="宋体" w:eastAsia="宋体" w:cs="宋体"/>
          <w:b/>
          <w:color w:val="000000" w:themeColor="text1"/>
          <w:sz w:val="28"/>
          <w:szCs w:val="28"/>
          <w:highlight w:val="none"/>
          <w14:textFill>
            <w14:solidFill>
              <w14:schemeClr w14:val="tx1"/>
            </w14:solidFill>
          </w14:textFill>
        </w:rPr>
        <w:br w:type="page"/>
      </w:r>
      <w:bookmarkEnd w:id="95"/>
      <w:bookmarkStart w:id="96" w:name="_Toc217446087"/>
      <w:r>
        <w:rPr>
          <w:rFonts w:hint="eastAsia" w:ascii="宋体" w:hAnsi="宋体" w:eastAsia="宋体" w:cs="宋体"/>
          <w:b/>
          <w:color w:val="000000" w:themeColor="text1"/>
          <w:sz w:val="28"/>
          <w:szCs w:val="28"/>
          <w:highlight w:val="none"/>
          <w14:textFill>
            <w14:solidFill>
              <w14:schemeClr w14:val="tx1"/>
            </w14:solidFill>
          </w14:textFill>
        </w:rPr>
        <w:t>格式2-4</w:t>
      </w:r>
    </w:p>
    <w:p>
      <w:pPr>
        <w:keepNext w:val="0"/>
        <w:keepLines w:val="0"/>
        <w:pageBreakBefore w:val="0"/>
        <w:kinsoku/>
        <w:wordWrap/>
        <w:overflowPunct/>
        <w:topLinePunct w:val="0"/>
        <w:bidi w:val="0"/>
        <w:spacing w:line="360" w:lineRule="auto"/>
        <w:ind w:firstLine="643"/>
        <w:jc w:val="center"/>
        <w:textAlignment w:val="auto"/>
        <w:rPr>
          <w:rFonts w:hint="eastAsia" w:ascii="宋体" w:hAnsi="宋体" w:eastAsia="宋体" w:cs="宋体"/>
          <w:b/>
          <w:bCs/>
          <w:color w:val="000000" w:themeColor="text1"/>
          <w:kern w:val="0"/>
          <w:sz w:val="28"/>
          <w:szCs w:val="28"/>
          <w:highlight w:val="none"/>
          <w14:textFill>
            <w14:solidFill>
              <w14:schemeClr w14:val="tx1"/>
            </w14:solidFill>
          </w14:textFill>
        </w:rPr>
      </w:pPr>
      <w:r>
        <w:rPr>
          <w:rFonts w:hint="eastAsia" w:ascii="宋体" w:hAnsi="宋体" w:eastAsia="宋体" w:cs="宋体"/>
          <w:b/>
          <w:bCs/>
          <w:color w:val="000000" w:themeColor="text1"/>
          <w:kern w:val="0"/>
          <w:sz w:val="28"/>
          <w:szCs w:val="28"/>
          <w:highlight w:val="none"/>
          <w14:textFill>
            <w14:solidFill>
              <w14:schemeClr w14:val="tx1"/>
            </w14:solidFill>
          </w14:textFill>
        </w:rPr>
        <w:t>报价表</w:t>
      </w:r>
    </w:p>
    <w:p>
      <w:pPr>
        <w:pStyle w:val="17"/>
        <w:keepNext w:val="0"/>
        <w:keepLines w:val="0"/>
        <w:pageBreakBefore w:val="0"/>
        <w:pBdr>
          <w:bottom w:val="none" w:color="auto" w:sz="0" w:space="0"/>
        </w:pBdr>
        <w:tabs>
          <w:tab w:val="clear" w:pos="4153"/>
          <w:tab w:val="clear" w:pos="8306"/>
        </w:tabs>
        <w:kinsoku/>
        <w:wordWrap/>
        <w:overflowPunct/>
        <w:topLinePunct w:val="0"/>
        <w:bidi w:val="0"/>
        <w:snapToGrid/>
        <w:spacing w:line="360" w:lineRule="auto"/>
        <w:ind w:firstLine="480"/>
        <w:jc w:val="both"/>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第XX包</w:t>
      </w:r>
    </w:p>
    <w:tbl>
      <w:tblPr>
        <w:tblStyle w:val="24"/>
        <w:tblW w:w="9422" w:type="dxa"/>
        <w:tblInd w:w="-26"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28" w:type="dxa"/>
          <w:bottom w:w="0" w:type="dxa"/>
          <w:right w:w="28" w:type="dxa"/>
        </w:tblCellMar>
      </w:tblPr>
      <w:tblGrid>
        <w:gridCol w:w="2110"/>
        <w:gridCol w:w="731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596" w:hRule="atLeast"/>
        </w:trPr>
        <w:tc>
          <w:tcPr>
            <w:tcW w:w="2110" w:type="dxa"/>
            <w:tcBorders>
              <w:top w:val="single" w:color="auto" w:sz="4" w:space="0"/>
            </w:tcBorders>
            <w:vAlign w:val="center"/>
          </w:tcPr>
          <w:p>
            <w:pPr>
              <w:keepNext w:val="0"/>
              <w:keepLines w:val="0"/>
              <w:pageBreakBefore w:val="0"/>
              <w:tabs>
                <w:tab w:val="left" w:pos="8364"/>
              </w:tabs>
              <w:kinsoku/>
              <w:wordWrap/>
              <w:overflowPunct/>
              <w:topLinePunct w:val="0"/>
              <w:bidi w:val="0"/>
              <w:snapToGrid w:val="0"/>
              <w:spacing w:line="360" w:lineRule="auto"/>
              <w:ind w:right="-58" w:firstLine="0" w:firstLineChars="0"/>
              <w:textAlignment w:val="auto"/>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采购项目名称</w:t>
            </w:r>
          </w:p>
        </w:tc>
        <w:tc>
          <w:tcPr>
            <w:tcW w:w="7312" w:type="dxa"/>
            <w:tcBorders>
              <w:top w:val="single" w:color="auto" w:sz="4" w:space="0"/>
            </w:tcBorders>
            <w:vAlign w:val="center"/>
          </w:tcPr>
          <w:p>
            <w:pPr>
              <w:keepNext w:val="0"/>
              <w:keepLines w:val="0"/>
              <w:pageBreakBefore w:val="0"/>
              <w:tabs>
                <w:tab w:val="left" w:pos="8364"/>
              </w:tabs>
              <w:kinsoku/>
              <w:wordWrap/>
              <w:overflowPunct/>
              <w:topLinePunct w:val="0"/>
              <w:bidi w:val="0"/>
              <w:snapToGrid w:val="0"/>
              <w:spacing w:line="360" w:lineRule="auto"/>
              <w:ind w:right="-58" w:firstLine="482"/>
              <w:jc w:val="center"/>
              <w:textAlignment w:val="auto"/>
              <w:rPr>
                <w:rFonts w:hint="eastAsia" w:ascii="宋体" w:hAnsi="宋体" w:eastAsia="宋体" w:cs="宋体"/>
                <w:b/>
                <w:bCs/>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1400" w:hRule="atLeast"/>
        </w:trPr>
        <w:tc>
          <w:tcPr>
            <w:tcW w:w="2110" w:type="dxa"/>
            <w:tcBorders>
              <w:bottom w:val="single" w:color="auto" w:sz="4" w:space="0"/>
            </w:tcBorders>
            <w:vAlign w:val="center"/>
          </w:tcPr>
          <w:p>
            <w:pPr>
              <w:keepNext w:val="0"/>
              <w:keepLines w:val="0"/>
              <w:pageBreakBefore w:val="0"/>
              <w:widowControl/>
              <w:kinsoku/>
              <w:wordWrap/>
              <w:overflowPunct/>
              <w:topLinePunct w:val="0"/>
              <w:bidi w:val="0"/>
              <w:spacing w:line="360" w:lineRule="auto"/>
              <w:ind w:firstLine="0" w:firstLineChars="0"/>
              <w:textAlignment w:val="auto"/>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项目</w:t>
            </w:r>
            <w:r>
              <w:rPr>
                <w:rFonts w:hint="eastAsia" w:ascii="宋体" w:hAnsi="宋体" w:cs="宋体"/>
                <w:b/>
                <w:bCs/>
                <w:color w:val="000000" w:themeColor="text1"/>
                <w:sz w:val="24"/>
                <w:szCs w:val="24"/>
                <w:highlight w:val="none"/>
                <w:lang w:val="en-US" w:eastAsia="zh-CN"/>
                <w14:textFill>
                  <w14:solidFill>
                    <w14:schemeClr w14:val="tx1"/>
                  </w14:solidFill>
                </w14:textFill>
              </w:rPr>
              <w:t>单价</w:t>
            </w:r>
            <w:r>
              <w:rPr>
                <w:rFonts w:hint="eastAsia" w:ascii="宋体" w:hAnsi="宋体" w:eastAsia="宋体" w:cs="宋体"/>
                <w:b/>
                <w:bCs/>
                <w:color w:val="000000" w:themeColor="text1"/>
                <w:sz w:val="24"/>
                <w:szCs w:val="24"/>
                <w:highlight w:val="none"/>
                <w14:textFill>
                  <w14:solidFill>
                    <w14:schemeClr w14:val="tx1"/>
                  </w14:solidFill>
                </w14:textFill>
              </w:rPr>
              <w:t>报价</w:t>
            </w:r>
          </w:p>
          <w:p>
            <w:pPr>
              <w:keepNext w:val="0"/>
              <w:keepLines w:val="0"/>
              <w:pageBreakBefore w:val="0"/>
              <w:widowControl/>
              <w:kinsoku/>
              <w:wordWrap/>
              <w:overflowPunct/>
              <w:topLinePunct w:val="0"/>
              <w:bidi w:val="0"/>
              <w:spacing w:line="360" w:lineRule="auto"/>
              <w:ind w:firstLine="0" w:firstLineChars="0"/>
              <w:textAlignment w:val="auto"/>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（单位：</w:t>
            </w:r>
            <w:r>
              <w:rPr>
                <w:rFonts w:hint="eastAsia" w:ascii="宋体" w:hAnsi="宋体" w:cs="宋体"/>
                <w:b/>
                <w:bCs/>
                <w:color w:val="000000" w:themeColor="text1"/>
                <w:sz w:val="24"/>
                <w:szCs w:val="24"/>
                <w:highlight w:val="none"/>
                <w:lang w:val="en-US" w:eastAsia="zh-CN"/>
                <w14:textFill>
                  <w14:solidFill>
                    <w14:schemeClr w14:val="tx1"/>
                  </w14:solidFill>
                </w14:textFill>
              </w:rPr>
              <w:t>元/页</w:t>
            </w:r>
            <w:r>
              <w:rPr>
                <w:rFonts w:hint="eastAsia" w:ascii="宋体" w:hAnsi="宋体" w:eastAsia="宋体" w:cs="宋体"/>
                <w:b/>
                <w:bCs/>
                <w:color w:val="000000" w:themeColor="text1"/>
                <w:sz w:val="24"/>
                <w:szCs w:val="24"/>
                <w:highlight w:val="none"/>
                <w14:textFill>
                  <w14:solidFill>
                    <w14:schemeClr w14:val="tx1"/>
                  </w14:solidFill>
                </w14:textFill>
              </w:rPr>
              <w:t>）</w:t>
            </w:r>
          </w:p>
        </w:tc>
        <w:tc>
          <w:tcPr>
            <w:tcW w:w="7312" w:type="dxa"/>
            <w:tcBorders>
              <w:bottom w:val="single" w:color="auto" w:sz="4" w:space="0"/>
            </w:tcBorders>
            <w:vAlign w:val="center"/>
          </w:tcPr>
          <w:p>
            <w:pPr>
              <w:keepNext w:val="0"/>
              <w:keepLines w:val="0"/>
              <w:pageBreakBefore w:val="0"/>
              <w:widowControl/>
              <w:kinsoku/>
              <w:wordWrap/>
              <w:overflowPunct/>
              <w:topLinePunct w:val="0"/>
              <w:bidi w:val="0"/>
              <w:spacing w:line="360" w:lineRule="auto"/>
              <w:ind w:firstLine="0" w:firstLineChars="0"/>
              <w:jc w:val="left"/>
              <w:textAlignment w:val="auto"/>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大写：</w:t>
            </w:r>
          </w:p>
          <w:p>
            <w:pPr>
              <w:keepNext w:val="0"/>
              <w:keepLines w:val="0"/>
              <w:pageBreakBefore w:val="0"/>
              <w:widowControl/>
              <w:kinsoku/>
              <w:wordWrap/>
              <w:overflowPunct/>
              <w:topLinePunct w:val="0"/>
              <w:bidi w:val="0"/>
              <w:spacing w:line="360" w:lineRule="auto"/>
              <w:ind w:firstLine="0" w:firstLineChars="0"/>
              <w:jc w:val="left"/>
              <w:textAlignment w:val="auto"/>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小写：</w:t>
            </w:r>
            <w:r>
              <w:rPr>
                <w:rFonts w:hint="eastAsia" w:ascii="宋体" w:hAnsi="宋体" w:cs="宋体"/>
                <w:b/>
                <w:bCs/>
                <w:color w:val="000000" w:themeColor="text1"/>
                <w:sz w:val="24"/>
                <w:szCs w:val="24"/>
                <w:highlight w:val="none"/>
                <w:lang w:val="en-US" w:eastAsia="zh-CN"/>
                <w14:textFill>
                  <w14:solidFill>
                    <w14:schemeClr w14:val="tx1"/>
                  </w14:solidFill>
                </w14:textFill>
              </w:rPr>
              <w:t xml:space="preserve">     元/页</w:t>
            </w:r>
          </w:p>
        </w:tc>
      </w:tr>
    </w:tbl>
    <w:p>
      <w:pPr>
        <w:keepNext w:val="0"/>
        <w:keepLines w:val="0"/>
        <w:pageBreakBefore w:val="0"/>
        <w:tabs>
          <w:tab w:val="left" w:pos="8364"/>
        </w:tabs>
        <w:kinsoku/>
        <w:wordWrap/>
        <w:overflowPunct/>
        <w:topLinePunct w:val="0"/>
        <w:bidi w:val="0"/>
        <w:snapToGrid w:val="0"/>
        <w:spacing w:line="360" w:lineRule="auto"/>
        <w:ind w:left="630" w:right="-57"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tabs>
          <w:tab w:val="left" w:pos="4305"/>
          <w:tab w:val="left" w:pos="8364"/>
        </w:tabs>
        <w:kinsoku/>
        <w:wordWrap/>
        <w:overflowPunct/>
        <w:topLinePunct w:val="0"/>
        <w:bidi w:val="0"/>
        <w:snapToGrid w:val="0"/>
        <w:spacing w:line="360" w:lineRule="auto"/>
        <w:ind w:right="-57"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注：1.供应商须按要求填写所有信息，不得随意更改本表格式。</w:t>
      </w:r>
    </w:p>
    <w:p>
      <w:pPr>
        <w:keepNext w:val="0"/>
        <w:keepLines w:val="0"/>
        <w:pageBreakBefore w:val="0"/>
        <w:tabs>
          <w:tab w:val="left" w:pos="4305"/>
          <w:tab w:val="left" w:pos="8364"/>
        </w:tabs>
        <w:kinsoku/>
        <w:wordWrap/>
        <w:overflowPunct/>
        <w:topLinePunct w:val="0"/>
        <w:bidi w:val="0"/>
        <w:snapToGrid w:val="0"/>
        <w:spacing w:line="360" w:lineRule="auto"/>
        <w:ind w:right="-57"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2.此表是响应文件的必要文件，是响应文件的组成部分。</w:t>
      </w:r>
    </w:p>
    <w:p>
      <w:pPr>
        <w:keepNext w:val="0"/>
        <w:keepLines w:val="0"/>
        <w:pageBreakBefore w:val="0"/>
        <w:tabs>
          <w:tab w:val="left" w:pos="4305"/>
          <w:tab w:val="left" w:pos="8364"/>
        </w:tabs>
        <w:kinsoku/>
        <w:wordWrap/>
        <w:overflowPunct/>
        <w:topLinePunct w:val="0"/>
        <w:bidi w:val="0"/>
        <w:snapToGrid w:val="0"/>
        <w:spacing w:line="360" w:lineRule="auto"/>
        <w:ind w:right="-57"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3.报价应是最终用户验收合格后的该项目或者该包总价，包括运输、保险、代理、安装调试、培训、税费、系统集成费用和磋商文件规定的其他费用。所有价格均应予人民币报价，金额单位为元。</w:t>
      </w:r>
    </w:p>
    <w:p>
      <w:pPr>
        <w:keepNext w:val="0"/>
        <w:keepLines w:val="0"/>
        <w:pageBreakBefore w:val="0"/>
        <w:kinsoku/>
        <w:wordWrap/>
        <w:overflowPunct/>
        <w:topLinePunct w:val="0"/>
        <w:bidi w:val="0"/>
        <w:spacing w:line="360" w:lineRule="auto"/>
        <w:ind w:firstLine="48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供应商名称：XXXX（盖单位公章）</w:t>
      </w:r>
    </w:p>
    <w:p>
      <w:pPr>
        <w:keepNext w:val="0"/>
        <w:keepLines w:val="0"/>
        <w:pageBreakBefore w:val="0"/>
        <w:kinsoku/>
        <w:wordWrap/>
        <w:overflowPunct/>
        <w:topLinePunct w:val="0"/>
        <w:bidi w:val="0"/>
        <w:spacing w:line="360" w:lineRule="auto"/>
        <w:ind w:firstLine="48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法定代表人/单位负责人或授权代表（签字或加盖个人印章）：XXXX</w:t>
      </w:r>
    </w:p>
    <w:p>
      <w:pPr>
        <w:keepNext w:val="0"/>
        <w:keepLines w:val="0"/>
        <w:pageBreakBefore w:val="0"/>
        <w:kinsoku/>
        <w:wordWrap/>
        <w:overflowPunct/>
        <w:topLinePunct w:val="0"/>
        <w:bidi w:val="0"/>
        <w:spacing w:line="360" w:lineRule="auto"/>
        <w:ind w:firstLine="48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日期：XXXX</w:t>
      </w:r>
    </w:p>
    <w:p>
      <w:pPr>
        <w:keepNext w:val="0"/>
        <w:keepLines w:val="0"/>
        <w:pageBreakBefore w:val="0"/>
        <w:kinsoku/>
        <w:wordWrap/>
        <w:overflowPunct/>
        <w:topLinePunct w:val="0"/>
        <w:bidi w:val="0"/>
        <w:spacing w:line="360" w:lineRule="auto"/>
        <w:ind w:firstLine="562"/>
        <w:textAlignment w:val="auto"/>
        <w:rPr>
          <w:rFonts w:hint="eastAsia" w:ascii="宋体" w:hAnsi="宋体" w:eastAsia="宋体" w:cs="宋体"/>
          <w:b/>
          <w:color w:val="000000" w:themeColor="text1"/>
          <w:sz w:val="28"/>
          <w:szCs w:val="28"/>
          <w:highlight w:val="none"/>
          <w14:textFill>
            <w14:solidFill>
              <w14:schemeClr w14:val="tx1"/>
            </w14:solidFill>
          </w14:textFill>
        </w:rPr>
      </w:pPr>
      <w:r>
        <w:rPr>
          <w:rFonts w:hint="eastAsia" w:ascii="宋体" w:hAnsi="宋体" w:eastAsia="宋体" w:cs="宋体"/>
          <w:b/>
          <w:color w:val="000000" w:themeColor="text1"/>
          <w:sz w:val="28"/>
          <w:szCs w:val="28"/>
          <w:highlight w:val="none"/>
          <w14:textFill>
            <w14:solidFill>
              <w14:schemeClr w14:val="tx1"/>
            </w14:solidFill>
          </w14:textFill>
        </w:rPr>
        <w:br w:type="page"/>
      </w:r>
    </w:p>
    <w:p>
      <w:pPr>
        <w:keepNext w:val="0"/>
        <w:keepLines w:val="0"/>
        <w:pageBreakBefore w:val="0"/>
        <w:kinsoku/>
        <w:wordWrap/>
        <w:overflowPunct/>
        <w:topLinePunct w:val="0"/>
        <w:bidi w:val="0"/>
        <w:spacing w:line="360" w:lineRule="auto"/>
        <w:ind w:firstLine="562"/>
        <w:textAlignment w:val="auto"/>
        <w:rPr>
          <w:rFonts w:hint="eastAsia"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b/>
          <w:color w:val="000000" w:themeColor="text1"/>
          <w:sz w:val="28"/>
          <w:szCs w:val="28"/>
          <w:highlight w:val="none"/>
          <w14:textFill>
            <w14:solidFill>
              <w14:schemeClr w14:val="tx1"/>
            </w14:solidFill>
          </w14:textFill>
        </w:rPr>
        <w:t xml:space="preserve">格式2-4（2）    </w:t>
      </w:r>
      <w:r>
        <w:rPr>
          <w:rFonts w:hint="eastAsia" w:ascii="宋体" w:hAnsi="宋体" w:eastAsia="宋体" w:cs="宋体"/>
          <w:b/>
          <w:bCs/>
          <w:color w:val="000000" w:themeColor="text1"/>
          <w:sz w:val="28"/>
          <w:szCs w:val="28"/>
          <w:highlight w:val="none"/>
          <w14:textFill>
            <w14:solidFill>
              <w14:schemeClr w14:val="tx1"/>
            </w14:solidFill>
          </w14:textFill>
        </w:rPr>
        <w:t>分项报价明细表（此表仅供参考）</w:t>
      </w:r>
    </w:p>
    <w:p>
      <w:pPr>
        <w:pStyle w:val="17"/>
        <w:keepNext w:val="0"/>
        <w:keepLines w:val="0"/>
        <w:pageBreakBefore w:val="0"/>
        <w:pBdr>
          <w:bottom w:val="none" w:color="auto" w:sz="0" w:space="0"/>
        </w:pBdr>
        <w:tabs>
          <w:tab w:val="clear" w:pos="4153"/>
          <w:tab w:val="clear" w:pos="8306"/>
        </w:tabs>
        <w:kinsoku/>
        <w:wordWrap/>
        <w:overflowPunct/>
        <w:topLinePunct w:val="0"/>
        <w:bidi w:val="0"/>
        <w:snapToGrid/>
        <w:spacing w:line="360" w:lineRule="auto"/>
        <w:ind w:firstLine="480"/>
        <w:jc w:val="both"/>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第XX包</w:t>
      </w:r>
      <w:r>
        <w:rPr>
          <w:rFonts w:hint="eastAsia" w:ascii="宋体" w:hAnsi="宋体" w:eastAsia="宋体" w:cs="宋体"/>
          <w:color w:val="000000" w:themeColor="text1"/>
          <w:sz w:val="24"/>
          <w:szCs w:val="24"/>
          <w:highlight w:val="none"/>
          <w14:textFill>
            <w14:solidFill>
              <w14:schemeClr w14:val="tx1"/>
            </w14:solidFill>
          </w14:textFill>
        </w:rPr>
        <w:tab/>
      </w:r>
      <w:r>
        <w:rPr>
          <w:rFonts w:hint="eastAsia" w:ascii="宋体" w:hAnsi="宋体" w:eastAsia="宋体" w:cs="宋体"/>
          <w:color w:val="000000" w:themeColor="text1"/>
          <w:sz w:val="24"/>
          <w:szCs w:val="24"/>
          <w:highlight w:val="none"/>
          <w14:textFill>
            <w14:solidFill>
              <w14:schemeClr w14:val="tx1"/>
            </w14:solidFill>
          </w14:textFill>
        </w:rPr>
        <w:t xml:space="preserve">                                     </w:t>
      </w:r>
    </w:p>
    <w:tbl>
      <w:tblPr>
        <w:tblStyle w:val="24"/>
        <w:tblW w:w="87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8"/>
        <w:gridCol w:w="4190"/>
        <w:gridCol w:w="35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12"/>
              <w:keepNext w:val="0"/>
              <w:keepLines w:val="0"/>
              <w:pageBreakBefore w:val="0"/>
              <w:kinsoku/>
              <w:wordWrap/>
              <w:overflowPunct/>
              <w:topLinePunct w:val="0"/>
              <w:bidi w:val="0"/>
              <w:spacing w:before="120" w:beforeLines="50" w:line="360" w:lineRule="auto"/>
              <w:ind w:left="0" w:leftChars="0" w:firstLine="0" w:firstLineChars="0"/>
              <w:jc w:val="both"/>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序号</w:t>
            </w:r>
          </w:p>
        </w:tc>
        <w:tc>
          <w:tcPr>
            <w:tcW w:w="4190" w:type="dxa"/>
            <w:vAlign w:val="center"/>
          </w:tcPr>
          <w:p>
            <w:pPr>
              <w:pStyle w:val="12"/>
              <w:keepNext w:val="0"/>
              <w:keepLines w:val="0"/>
              <w:pageBreakBefore w:val="0"/>
              <w:kinsoku/>
              <w:wordWrap/>
              <w:overflowPunct/>
              <w:topLinePunct w:val="0"/>
              <w:bidi w:val="0"/>
              <w:spacing w:before="120" w:beforeLines="50" w:line="360" w:lineRule="auto"/>
              <w:ind w:firstLine="480"/>
              <w:jc w:val="center"/>
              <w:textAlignment w:val="auto"/>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服务内容</w:t>
            </w:r>
          </w:p>
        </w:tc>
        <w:tc>
          <w:tcPr>
            <w:tcW w:w="3556" w:type="dxa"/>
            <w:vAlign w:val="center"/>
          </w:tcPr>
          <w:p>
            <w:pPr>
              <w:pStyle w:val="12"/>
              <w:keepNext w:val="0"/>
              <w:keepLines w:val="0"/>
              <w:pageBreakBefore w:val="0"/>
              <w:kinsoku/>
              <w:wordWrap/>
              <w:overflowPunct/>
              <w:topLinePunct w:val="0"/>
              <w:bidi w:val="0"/>
              <w:spacing w:before="120" w:beforeLines="50" w:line="360" w:lineRule="auto"/>
              <w:ind w:firstLine="480"/>
              <w:jc w:val="center"/>
              <w:textAlignment w:val="auto"/>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单项价格（元/页）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keepNext w:val="0"/>
              <w:keepLines w:val="0"/>
              <w:pageBreakBefore w:val="0"/>
              <w:kinsoku/>
              <w:wordWrap/>
              <w:overflowPunct/>
              <w:topLinePunct w:val="0"/>
              <w:bidi w:val="0"/>
              <w:snapToGrid w:val="0"/>
              <w:spacing w:line="360" w:lineRule="auto"/>
              <w:ind w:firstLine="48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w:t>
            </w:r>
          </w:p>
        </w:tc>
        <w:tc>
          <w:tcPr>
            <w:tcW w:w="4190" w:type="dxa"/>
            <w:vAlign w:val="center"/>
          </w:tcPr>
          <w:p>
            <w:pPr>
              <w:pStyle w:val="12"/>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themeColor="text1"/>
                <w:kern w:val="0"/>
                <w:sz w:val="24"/>
                <w:szCs w:val="24"/>
                <w:highlight w:val="none"/>
                <w14:textFill>
                  <w14:solidFill>
                    <w14:schemeClr w14:val="tx1"/>
                  </w14:solidFill>
                </w14:textFill>
              </w:rPr>
            </w:pPr>
          </w:p>
        </w:tc>
        <w:tc>
          <w:tcPr>
            <w:tcW w:w="3556" w:type="dxa"/>
            <w:vAlign w:val="center"/>
          </w:tcPr>
          <w:p>
            <w:pPr>
              <w:pStyle w:val="12"/>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themeColor="text1"/>
                <w:kern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keepNext w:val="0"/>
              <w:keepLines w:val="0"/>
              <w:pageBreakBefore w:val="0"/>
              <w:kinsoku/>
              <w:wordWrap/>
              <w:overflowPunct/>
              <w:topLinePunct w:val="0"/>
              <w:bidi w:val="0"/>
              <w:snapToGrid w:val="0"/>
              <w:spacing w:line="360" w:lineRule="auto"/>
              <w:ind w:firstLine="48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w:t>
            </w:r>
          </w:p>
        </w:tc>
        <w:tc>
          <w:tcPr>
            <w:tcW w:w="4190" w:type="dxa"/>
            <w:vAlign w:val="center"/>
          </w:tcPr>
          <w:p>
            <w:pPr>
              <w:pStyle w:val="12"/>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themeColor="text1"/>
                <w:kern w:val="0"/>
                <w:sz w:val="24"/>
                <w:szCs w:val="24"/>
                <w:highlight w:val="none"/>
                <w14:textFill>
                  <w14:solidFill>
                    <w14:schemeClr w14:val="tx1"/>
                  </w14:solidFill>
                </w14:textFill>
              </w:rPr>
            </w:pPr>
          </w:p>
        </w:tc>
        <w:tc>
          <w:tcPr>
            <w:tcW w:w="3556" w:type="dxa"/>
            <w:vAlign w:val="center"/>
          </w:tcPr>
          <w:p>
            <w:pPr>
              <w:pStyle w:val="12"/>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themeColor="text1"/>
                <w:kern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958" w:type="dxa"/>
            <w:vAlign w:val="center"/>
          </w:tcPr>
          <w:p>
            <w:pPr>
              <w:pStyle w:val="12"/>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w:t>
            </w:r>
          </w:p>
        </w:tc>
        <w:tc>
          <w:tcPr>
            <w:tcW w:w="4190" w:type="dxa"/>
            <w:vAlign w:val="center"/>
          </w:tcPr>
          <w:p>
            <w:pPr>
              <w:pStyle w:val="12"/>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themeColor="text1"/>
                <w:kern w:val="0"/>
                <w:sz w:val="24"/>
                <w:szCs w:val="24"/>
                <w:highlight w:val="none"/>
                <w14:textFill>
                  <w14:solidFill>
                    <w14:schemeClr w14:val="tx1"/>
                  </w14:solidFill>
                </w14:textFill>
              </w:rPr>
            </w:pPr>
          </w:p>
        </w:tc>
        <w:tc>
          <w:tcPr>
            <w:tcW w:w="3556" w:type="dxa"/>
            <w:vAlign w:val="center"/>
          </w:tcPr>
          <w:p>
            <w:pPr>
              <w:pStyle w:val="12"/>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themeColor="text1"/>
                <w:kern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04" w:type="dxa"/>
            <w:gridSpan w:val="3"/>
            <w:vAlign w:val="center"/>
          </w:tcPr>
          <w:p>
            <w:pPr>
              <w:pStyle w:val="12"/>
              <w:keepNext w:val="0"/>
              <w:keepLines w:val="0"/>
              <w:pageBreakBefore w:val="0"/>
              <w:kinsoku/>
              <w:wordWrap/>
              <w:overflowPunct/>
              <w:topLinePunct w:val="0"/>
              <w:bidi w:val="0"/>
              <w:spacing w:line="360" w:lineRule="auto"/>
              <w:ind w:firstLine="482"/>
              <w:jc w:val="left"/>
              <w:textAlignment w:val="auto"/>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b/>
                <w:bCs/>
                <w:color w:val="000000" w:themeColor="text1"/>
                <w:kern w:val="0"/>
                <w:sz w:val="24"/>
                <w:szCs w:val="24"/>
                <w:highlight w:val="none"/>
                <w14:textFill>
                  <w14:solidFill>
                    <w14:schemeClr w14:val="tx1"/>
                  </w14:solidFill>
                </w14:textFill>
              </w:rPr>
              <w:t>本项目</w:t>
            </w:r>
            <w:r>
              <w:rPr>
                <w:rFonts w:hint="eastAsia" w:hAnsi="宋体" w:cs="宋体"/>
                <w:b/>
                <w:bCs/>
                <w:color w:val="000000" w:themeColor="text1"/>
                <w:kern w:val="0"/>
                <w:sz w:val="24"/>
                <w:szCs w:val="24"/>
                <w:highlight w:val="none"/>
                <w:lang w:val="en-US" w:eastAsia="zh-CN"/>
                <w14:textFill>
                  <w14:solidFill>
                    <w14:schemeClr w14:val="tx1"/>
                  </w14:solidFill>
                </w14:textFill>
              </w:rPr>
              <w:t>单价</w:t>
            </w:r>
            <w:r>
              <w:rPr>
                <w:rFonts w:hint="eastAsia" w:ascii="宋体" w:hAnsi="宋体" w:eastAsia="宋体" w:cs="宋体"/>
                <w:b/>
                <w:bCs/>
                <w:color w:val="000000" w:themeColor="text1"/>
                <w:kern w:val="0"/>
                <w:sz w:val="24"/>
                <w:szCs w:val="24"/>
                <w:highlight w:val="none"/>
                <w14:textFill>
                  <w14:solidFill>
                    <w14:schemeClr w14:val="tx1"/>
                  </w14:solidFill>
                </w14:textFill>
              </w:rPr>
              <w:t>报价(元/页)：             大写：             小写：</w:t>
            </w:r>
          </w:p>
        </w:tc>
      </w:tr>
    </w:tbl>
    <w:p>
      <w:pPr>
        <w:keepNext w:val="0"/>
        <w:keepLines w:val="0"/>
        <w:pageBreakBefore w:val="0"/>
        <w:kinsoku/>
        <w:wordWrap/>
        <w:overflowPunct/>
        <w:topLinePunct w:val="0"/>
        <w:bidi w:val="0"/>
        <w:spacing w:line="360" w:lineRule="auto"/>
        <w:ind w:left="843" w:hanging="843" w:hangingChars="350"/>
        <w:textAlignment w:val="auto"/>
        <w:rPr>
          <w:rFonts w:hint="eastAsia" w:ascii="宋体" w:hAnsi="宋体" w:eastAsia="宋体" w:cs="宋体"/>
          <w:b/>
          <w:bCs/>
          <w:color w:val="000000" w:themeColor="text1"/>
          <w:sz w:val="24"/>
          <w:szCs w:val="24"/>
          <w:highlight w:val="none"/>
          <w14:textFill>
            <w14:solidFill>
              <w14:schemeClr w14:val="tx1"/>
            </w14:solidFill>
          </w14:textFill>
        </w:rPr>
      </w:pPr>
    </w:p>
    <w:p>
      <w:pPr>
        <w:keepNext w:val="0"/>
        <w:keepLines w:val="0"/>
        <w:pageBreakBefore w:val="0"/>
        <w:kinsoku/>
        <w:wordWrap/>
        <w:overflowPunct/>
        <w:topLinePunct w:val="0"/>
        <w:bidi w:val="0"/>
        <w:spacing w:line="360" w:lineRule="auto"/>
        <w:ind w:firstLine="482"/>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注：</w:t>
      </w:r>
      <w:r>
        <w:rPr>
          <w:rFonts w:hint="eastAsia" w:ascii="宋体" w:hAnsi="宋体" w:eastAsia="宋体" w:cs="宋体"/>
          <w:color w:val="000000" w:themeColor="text1"/>
          <w:sz w:val="24"/>
          <w:szCs w:val="24"/>
          <w:highlight w:val="none"/>
          <w14:textFill>
            <w14:solidFill>
              <w14:schemeClr w14:val="tx1"/>
            </w14:solidFill>
          </w14:textFill>
        </w:rPr>
        <w:t>1、供应商必须按“</w:t>
      </w:r>
      <w:r>
        <w:rPr>
          <w:rFonts w:hint="eastAsia" w:ascii="宋体" w:hAnsi="宋体" w:eastAsia="宋体" w:cs="宋体"/>
          <w:bCs/>
          <w:color w:val="000000" w:themeColor="text1"/>
          <w:sz w:val="24"/>
          <w:szCs w:val="24"/>
          <w:highlight w:val="none"/>
          <w14:textFill>
            <w14:solidFill>
              <w14:schemeClr w14:val="tx1"/>
            </w14:solidFill>
          </w14:textFill>
        </w:rPr>
        <w:t>分项报价明细表”的内容</w:t>
      </w:r>
      <w:r>
        <w:rPr>
          <w:rFonts w:hint="eastAsia" w:ascii="宋体" w:hAnsi="宋体" w:eastAsia="宋体" w:cs="宋体"/>
          <w:color w:val="000000" w:themeColor="text1"/>
          <w:sz w:val="24"/>
          <w:szCs w:val="24"/>
          <w:highlight w:val="none"/>
          <w14:textFill>
            <w14:solidFill>
              <w14:schemeClr w14:val="tx1"/>
            </w14:solidFill>
          </w14:textFill>
        </w:rPr>
        <w:t>详细报出投标总价的各个组成部分的报价，</w:t>
      </w:r>
      <w:r>
        <w:rPr>
          <w:rFonts w:hint="eastAsia" w:ascii="宋体" w:hAnsi="宋体" w:eastAsia="宋体" w:cs="宋体"/>
          <w:b/>
          <w:bCs/>
          <w:color w:val="000000" w:themeColor="text1"/>
          <w:sz w:val="24"/>
          <w:szCs w:val="24"/>
          <w:highlight w:val="none"/>
          <w14:textFill>
            <w14:solidFill>
              <w14:schemeClr w14:val="tx1"/>
            </w14:solidFill>
          </w14:textFill>
        </w:rPr>
        <w:t>格式可自拟</w:t>
      </w:r>
      <w:r>
        <w:rPr>
          <w:rFonts w:hint="eastAsia" w:ascii="宋体" w:hAnsi="宋体" w:eastAsia="宋体" w:cs="宋体"/>
          <w:color w:val="000000" w:themeColor="text1"/>
          <w:sz w:val="24"/>
          <w:szCs w:val="24"/>
          <w:highlight w:val="none"/>
          <w14:textFill>
            <w14:solidFill>
              <w14:schemeClr w14:val="tx1"/>
            </w14:solidFill>
          </w14:textFill>
        </w:rPr>
        <w:t>。</w:t>
      </w:r>
    </w:p>
    <w:p>
      <w:pPr>
        <w:keepNext w:val="0"/>
        <w:keepLines w:val="0"/>
        <w:pageBreakBefore w:val="0"/>
        <w:kinsoku/>
        <w:wordWrap/>
        <w:overflowPunct/>
        <w:topLinePunct w:val="0"/>
        <w:bidi w:val="0"/>
        <w:spacing w:line="360" w:lineRule="auto"/>
        <w:ind w:firstLine="480"/>
        <w:jc w:val="left"/>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2、</w:t>
      </w: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bCs/>
          <w:color w:val="000000" w:themeColor="text1"/>
          <w:sz w:val="24"/>
          <w:szCs w:val="24"/>
          <w:highlight w:val="none"/>
          <w14:textFill>
            <w14:solidFill>
              <w14:schemeClr w14:val="tx1"/>
            </w14:solidFill>
          </w14:textFill>
        </w:rPr>
        <w:t>分项报价明细表”各分项报价合计应当与“报价表”报价合计相等。</w:t>
      </w:r>
    </w:p>
    <w:p>
      <w:pPr>
        <w:keepNext w:val="0"/>
        <w:keepLines w:val="0"/>
        <w:pageBreakBefore w:val="0"/>
        <w:widowControl/>
        <w:kinsoku/>
        <w:wordWrap/>
        <w:overflowPunct/>
        <w:topLinePunct w:val="0"/>
        <w:bidi w:val="0"/>
        <w:spacing w:line="360" w:lineRule="auto"/>
        <w:ind w:firstLine="48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w:t>
      </w:r>
      <w:r>
        <w:rPr>
          <w:rFonts w:hint="eastAsia" w:ascii="宋体" w:hAnsi="宋体" w:eastAsia="宋体" w:cs="宋体"/>
          <w:bCs/>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各单价不得低于成本报价，合计金额报价不得高于最高限价。</w:t>
      </w:r>
    </w:p>
    <w:p>
      <w:pPr>
        <w:keepNext w:val="0"/>
        <w:keepLines w:val="0"/>
        <w:pageBreakBefore w:val="0"/>
        <w:kinsoku/>
        <w:wordWrap/>
        <w:overflowPunct/>
        <w:topLinePunct w:val="0"/>
        <w:bidi w:val="0"/>
        <w:spacing w:line="360" w:lineRule="auto"/>
        <w:ind w:firstLine="48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kinsoku/>
        <w:wordWrap/>
        <w:overflowPunct/>
        <w:topLinePunct w:val="0"/>
        <w:bidi w:val="0"/>
        <w:spacing w:line="360" w:lineRule="auto"/>
        <w:ind w:firstLine="48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供应商名称：XXXX（盖单位公章）</w:t>
      </w:r>
    </w:p>
    <w:p>
      <w:pPr>
        <w:keepNext w:val="0"/>
        <w:keepLines w:val="0"/>
        <w:pageBreakBefore w:val="0"/>
        <w:kinsoku/>
        <w:wordWrap/>
        <w:overflowPunct/>
        <w:topLinePunct w:val="0"/>
        <w:bidi w:val="0"/>
        <w:spacing w:line="360" w:lineRule="auto"/>
        <w:ind w:firstLine="48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法定代表人/单位负责人或授权代表（签字或加盖个人印章）：XXXX</w:t>
      </w:r>
    </w:p>
    <w:p>
      <w:pPr>
        <w:keepNext w:val="0"/>
        <w:keepLines w:val="0"/>
        <w:pageBreakBefore w:val="0"/>
        <w:kinsoku/>
        <w:wordWrap/>
        <w:overflowPunct/>
        <w:topLinePunct w:val="0"/>
        <w:bidi w:val="0"/>
        <w:spacing w:line="360" w:lineRule="auto"/>
        <w:ind w:firstLine="48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日期：XXXX</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themeColor="text1"/>
          <w:sz w:val="28"/>
          <w:szCs w:val="28"/>
          <w:highlight w:val="none"/>
          <w14:textFill>
            <w14:solidFill>
              <w14:schemeClr w14:val="tx1"/>
            </w14:solidFill>
          </w14:textFill>
        </w:rPr>
      </w:pPr>
    </w:p>
    <w:p>
      <w:pPr>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br w:type="page"/>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格式2-5</w:t>
      </w:r>
    </w:p>
    <w:p>
      <w:pPr>
        <w:keepNext w:val="0"/>
        <w:keepLines w:val="0"/>
        <w:pageBreakBefore w:val="0"/>
        <w:kinsoku/>
        <w:wordWrap/>
        <w:overflowPunct/>
        <w:topLinePunct w:val="0"/>
        <w:bidi w:val="0"/>
        <w:spacing w:line="360" w:lineRule="auto"/>
        <w:ind w:firstLine="643"/>
        <w:jc w:val="center"/>
        <w:textAlignment w:val="auto"/>
        <w:rPr>
          <w:rFonts w:hint="eastAsia"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b/>
          <w:bCs/>
          <w:color w:val="000000" w:themeColor="text1"/>
          <w:sz w:val="28"/>
          <w:szCs w:val="28"/>
          <w:highlight w:val="none"/>
          <w14:textFill>
            <w14:solidFill>
              <w14:schemeClr w14:val="tx1"/>
            </w14:solidFill>
          </w14:textFill>
        </w:rPr>
        <w:t>供应商基本情况表</w:t>
      </w:r>
    </w:p>
    <w:tbl>
      <w:tblPr>
        <w:tblStyle w:val="24"/>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3"/>
        <w:gridCol w:w="1071"/>
        <w:gridCol w:w="996"/>
        <w:gridCol w:w="1490"/>
        <w:gridCol w:w="190"/>
        <w:gridCol w:w="480"/>
        <w:gridCol w:w="360"/>
        <w:gridCol w:w="1477"/>
        <w:gridCol w:w="10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2073" w:type="dxa"/>
            <w:vAlign w:val="center"/>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供应商名称</w:t>
            </w:r>
          </w:p>
        </w:tc>
        <w:tc>
          <w:tcPr>
            <w:tcW w:w="7107" w:type="dxa"/>
            <w:gridSpan w:val="8"/>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2073" w:type="dxa"/>
            <w:vAlign w:val="center"/>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注册地址</w:t>
            </w:r>
          </w:p>
        </w:tc>
        <w:tc>
          <w:tcPr>
            <w:tcW w:w="4227" w:type="dxa"/>
            <w:gridSpan w:val="5"/>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color w:val="000000" w:themeColor="text1"/>
                <w:sz w:val="24"/>
                <w:szCs w:val="24"/>
                <w:highlight w:val="none"/>
                <w14:textFill>
                  <w14:solidFill>
                    <w14:schemeClr w14:val="tx1"/>
                  </w14:solidFill>
                </w14:textFill>
              </w:rPr>
            </w:pPr>
          </w:p>
        </w:tc>
        <w:tc>
          <w:tcPr>
            <w:tcW w:w="1837" w:type="dxa"/>
            <w:gridSpan w:val="2"/>
            <w:vAlign w:val="center"/>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邮政编码</w:t>
            </w:r>
          </w:p>
        </w:tc>
        <w:tc>
          <w:tcPr>
            <w:tcW w:w="1043"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2073" w:type="dxa"/>
            <w:vMerge w:val="restart"/>
            <w:vAlign w:val="center"/>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联系方式</w:t>
            </w:r>
          </w:p>
        </w:tc>
        <w:tc>
          <w:tcPr>
            <w:tcW w:w="1071" w:type="dxa"/>
            <w:vAlign w:val="center"/>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联系人</w:t>
            </w:r>
          </w:p>
        </w:tc>
        <w:tc>
          <w:tcPr>
            <w:tcW w:w="3156" w:type="dxa"/>
            <w:gridSpan w:val="4"/>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color w:val="000000" w:themeColor="text1"/>
                <w:sz w:val="24"/>
                <w:szCs w:val="24"/>
                <w:highlight w:val="none"/>
                <w14:textFill>
                  <w14:solidFill>
                    <w14:schemeClr w14:val="tx1"/>
                  </w14:solidFill>
                </w14:textFill>
              </w:rPr>
            </w:pPr>
          </w:p>
        </w:tc>
        <w:tc>
          <w:tcPr>
            <w:tcW w:w="1837" w:type="dxa"/>
            <w:gridSpan w:val="2"/>
            <w:vAlign w:val="center"/>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联系电话</w:t>
            </w:r>
          </w:p>
        </w:tc>
        <w:tc>
          <w:tcPr>
            <w:tcW w:w="1043"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2073" w:type="dxa"/>
            <w:vMerge w:val="continue"/>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color w:val="000000" w:themeColor="text1"/>
                <w:sz w:val="24"/>
                <w:szCs w:val="24"/>
                <w:highlight w:val="none"/>
                <w14:textFill>
                  <w14:solidFill>
                    <w14:schemeClr w14:val="tx1"/>
                  </w14:solidFill>
                </w14:textFill>
              </w:rPr>
            </w:pPr>
          </w:p>
        </w:tc>
        <w:tc>
          <w:tcPr>
            <w:tcW w:w="1071" w:type="dxa"/>
            <w:vAlign w:val="center"/>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传真</w:t>
            </w:r>
          </w:p>
        </w:tc>
        <w:tc>
          <w:tcPr>
            <w:tcW w:w="3156" w:type="dxa"/>
            <w:gridSpan w:val="4"/>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color w:val="000000" w:themeColor="text1"/>
                <w:sz w:val="24"/>
                <w:szCs w:val="24"/>
                <w:highlight w:val="none"/>
                <w14:textFill>
                  <w14:solidFill>
                    <w14:schemeClr w14:val="tx1"/>
                  </w14:solidFill>
                </w14:textFill>
              </w:rPr>
            </w:pPr>
          </w:p>
        </w:tc>
        <w:tc>
          <w:tcPr>
            <w:tcW w:w="1837" w:type="dxa"/>
            <w:gridSpan w:val="2"/>
            <w:vAlign w:val="center"/>
          </w:tcPr>
          <w:p>
            <w:pPr>
              <w:keepNext w:val="0"/>
              <w:keepLines w:val="0"/>
              <w:pageBreakBefore w:val="0"/>
              <w:kinsoku/>
              <w:wordWrap/>
              <w:overflowPunct/>
              <w:topLinePunct w:val="0"/>
              <w:bidi w:val="0"/>
              <w:spacing w:line="360" w:lineRule="auto"/>
              <w:ind w:left="0" w:leftChars="0" w:firstLine="0" w:firstLineChars="0"/>
              <w:jc w:val="both"/>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网址</w:t>
            </w:r>
          </w:p>
        </w:tc>
        <w:tc>
          <w:tcPr>
            <w:tcW w:w="1043"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2073" w:type="dxa"/>
            <w:vAlign w:val="center"/>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组织结构</w:t>
            </w:r>
          </w:p>
        </w:tc>
        <w:tc>
          <w:tcPr>
            <w:tcW w:w="7107" w:type="dxa"/>
            <w:gridSpan w:val="8"/>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2073" w:type="dxa"/>
            <w:vAlign w:val="center"/>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法定代表人/单位负责人</w:t>
            </w:r>
          </w:p>
        </w:tc>
        <w:tc>
          <w:tcPr>
            <w:tcW w:w="1071" w:type="dxa"/>
            <w:vAlign w:val="center"/>
          </w:tcPr>
          <w:p>
            <w:pPr>
              <w:keepNext w:val="0"/>
              <w:keepLines w:val="0"/>
              <w:pageBreakBefore w:val="0"/>
              <w:kinsoku/>
              <w:wordWrap/>
              <w:overflowPunct/>
              <w:topLinePunct w:val="0"/>
              <w:bidi w:val="0"/>
              <w:spacing w:line="360" w:lineRule="auto"/>
              <w:ind w:left="0" w:leftChars="0" w:firstLine="0" w:firstLineChars="0"/>
              <w:jc w:val="both"/>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姓名</w:t>
            </w:r>
          </w:p>
        </w:tc>
        <w:tc>
          <w:tcPr>
            <w:tcW w:w="996"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color w:val="000000" w:themeColor="text1"/>
                <w:sz w:val="24"/>
                <w:szCs w:val="24"/>
                <w:highlight w:val="none"/>
                <w14:textFill>
                  <w14:solidFill>
                    <w14:schemeClr w14:val="tx1"/>
                  </w14:solidFill>
                </w14:textFill>
              </w:rPr>
            </w:pPr>
          </w:p>
        </w:tc>
        <w:tc>
          <w:tcPr>
            <w:tcW w:w="1490" w:type="dxa"/>
            <w:vAlign w:val="center"/>
          </w:tcPr>
          <w:p>
            <w:pPr>
              <w:keepNext w:val="0"/>
              <w:keepLines w:val="0"/>
              <w:pageBreakBefore w:val="0"/>
              <w:kinsoku/>
              <w:wordWrap/>
              <w:overflowPunct/>
              <w:topLinePunct w:val="0"/>
              <w:bidi w:val="0"/>
              <w:spacing w:line="360" w:lineRule="auto"/>
              <w:ind w:left="0" w:leftChars="0" w:firstLine="0" w:firstLineChars="0"/>
              <w:jc w:val="both"/>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技术职称</w:t>
            </w:r>
          </w:p>
        </w:tc>
        <w:tc>
          <w:tcPr>
            <w:tcW w:w="1030" w:type="dxa"/>
            <w:gridSpan w:val="3"/>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color w:val="000000" w:themeColor="text1"/>
                <w:sz w:val="24"/>
                <w:szCs w:val="24"/>
                <w:highlight w:val="none"/>
                <w14:textFill>
                  <w14:solidFill>
                    <w14:schemeClr w14:val="tx1"/>
                  </w14:solidFill>
                </w14:textFill>
              </w:rPr>
            </w:pPr>
          </w:p>
        </w:tc>
        <w:tc>
          <w:tcPr>
            <w:tcW w:w="1477" w:type="dxa"/>
            <w:vAlign w:val="center"/>
          </w:tcPr>
          <w:p>
            <w:pPr>
              <w:keepNext w:val="0"/>
              <w:keepLines w:val="0"/>
              <w:pageBreakBefore w:val="0"/>
              <w:kinsoku/>
              <w:wordWrap/>
              <w:overflowPunct/>
              <w:topLinePunct w:val="0"/>
              <w:bidi w:val="0"/>
              <w:spacing w:line="360" w:lineRule="auto"/>
              <w:ind w:left="0" w:leftChars="0" w:firstLine="0" w:firstLineChars="0"/>
              <w:jc w:val="both"/>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联系电话</w:t>
            </w:r>
          </w:p>
        </w:tc>
        <w:tc>
          <w:tcPr>
            <w:tcW w:w="1043"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2073" w:type="dxa"/>
            <w:vAlign w:val="center"/>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技术负责人</w:t>
            </w:r>
          </w:p>
        </w:tc>
        <w:tc>
          <w:tcPr>
            <w:tcW w:w="1071" w:type="dxa"/>
            <w:vAlign w:val="center"/>
          </w:tcPr>
          <w:p>
            <w:pPr>
              <w:keepNext w:val="0"/>
              <w:keepLines w:val="0"/>
              <w:pageBreakBefore w:val="0"/>
              <w:kinsoku/>
              <w:wordWrap/>
              <w:overflowPunct/>
              <w:topLinePunct w:val="0"/>
              <w:bidi w:val="0"/>
              <w:spacing w:line="360" w:lineRule="auto"/>
              <w:ind w:left="0" w:leftChars="0" w:firstLine="0" w:firstLineChars="0"/>
              <w:jc w:val="both"/>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姓名</w:t>
            </w:r>
          </w:p>
        </w:tc>
        <w:tc>
          <w:tcPr>
            <w:tcW w:w="996"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color w:val="000000" w:themeColor="text1"/>
                <w:sz w:val="24"/>
                <w:szCs w:val="24"/>
                <w:highlight w:val="none"/>
                <w14:textFill>
                  <w14:solidFill>
                    <w14:schemeClr w14:val="tx1"/>
                  </w14:solidFill>
                </w14:textFill>
              </w:rPr>
            </w:pPr>
          </w:p>
        </w:tc>
        <w:tc>
          <w:tcPr>
            <w:tcW w:w="1490" w:type="dxa"/>
            <w:vAlign w:val="center"/>
          </w:tcPr>
          <w:p>
            <w:pPr>
              <w:keepNext w:val="0"/>
              <w:keepLines w:val="0"/>
              <w:pageBreakBefore w:val="0"/>
              <w:kinsoku/>
              <w:wordWrap/>
              <w:overflowPunct/>
              <w:topLinePunct w:val="0"/>
              <w:bidi w:val="0"/>
              <w:spacing w:line="360" w:lineRule="auto"/>
              <w:ind w:left="0" w:leftChars="0" w:firstLine="0" w:firstLineChars="0"/>
              <w:jc w:val="both"/>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技术职称</w:t>
            </w:r>
          </w:p>
        </w:tc>
        <w:tc>
          <w:tcPr>
            <w:tcW w:w="1030" w:type="dxa"/>
            <w:gridSpan w:val="3"/>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color w:val="000000" w:themeColor="text1"/>
                <w:sz w:val="24"/>
                <w:szCs w:val="24"/>
                <w:highlight w:val="none"/>
                <w14:textFill>
                  <w14:solidFill>
                    <w14:schemeClr w14:val="tx1"/>
                  </w14:solidFill>
                </w14:textFill>
              </w:rPr>
            </w:pPr>
          </w:p>
        </w:tc>
        <w:tc>
          <w:tcPr>
            <w:tcW w:w="1477" w:type="dxa"/>
            <w:vAlign w:val="center"/>
          </w:tcPr>
          <w:p>
            <w:pPr>
              <w:keepNext w:val="0"/>
              <w:keepLines w:val="0"/>
              <w:pageBreakBefore w:val="0"/>
              <w:kinsoku/>
              <w:wordWrap/>
              <w:overflowPunct/>
              <w:topLinePunct w:val="0"/>
              <w:bidi w:val="0"/>
              <w:spacing w:line="360" w:lineRule="auto"/>
              <w:ind w:left="0" w:leftChars="0" w:firstLine="0" w:firstLineChars="0"/>
              <w:jc w:val="both"/>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联系电话</w:t>
            </w:r>
          </w:p>
        </w:tc>
        <w:tc>
          <w:tcPr>
            <w:tcW w:w="1043"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2073" w:type="dxa"/>
            <w:vAlign w:val="center"/>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成立时间</w:t>
            </w:r>
          </w:p>
        </w:tc>
        <w:tc>
          <w:tcPr>
            <w:tcW w:w="2067" w:type="dxa"/>
            <w:gridSpan w:val="2"/>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color w:val="000000" w:themeColor="text1"/>
                <w:sz w:val="24"/>
                <w:szCs w:val="24"/>
                <w:highlight w:val="none"/>
                <w14:textFill>
                  <w14:solidFill>
                    <w14:schemeClr w14:val="tx1"/>
                  </w14:solidFill>
                </w14:textFill>
              </w:rPr>
            </w:pPr>
          </w:p>
        </w:tc>
        <w:tc>
          <w:tcPr>
            <w:tcW w:w="5040" w:type="dxa"/>
            <w:gridSpan w:val="6"/>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2073" w:type="dxa"/>
            <w:vAlign w:val="center"/>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企业资质等级</w:t>
            </w:r>
          </w:p>
        </w:tc>
        <w:tc>
          <w:tcPr>
            <w:tcW w:w="2067" w:type="dxa"/>
            <w:gridSpan w:val="2"/>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color w:val="000000" w:themeColor="text1"/>
                <w:sz w:val="24"/>
                <w:szCs w:val="24"/>
                <w:highlight w:val="none"/>
                <w14:textFill>
                  <w14:solidFill>
                    <w14:schemeClr w14:val="tx1"/>
                  </w14:solidFill>
                </w14:textFill>
              </w:rPr>
            </w:pPr>
          </w:p>
        </w:tc>
        <w:tc>
          <w:tcPr>
            <w:tcW w:w="1680" w:type="dxa"/>
            <w:gridSpan w:val="2"/>
            <w:vMerge w:val="restart"/>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其中</w:t>
            </w:r>
          </w:p>
        </w:tc>
        <w:tc>
          <w:tcPr>
            <w:tcW w:w="2317" w:type="dxa"/>
            <w:gridSpan w:val="3"/>
            <w:vAlign w:val="center"/>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项目经理</w:t>
            </w:r>
          </w:p>
        </w:tc>
        <w:tc>
          <w:tcPr>
            <w:tcW w:w="1043"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2073" w:type="dxa"/>
            <w:vAlign w:val="center"/>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营业执照</w:t>
            </w:r>
            <w:r>
              <w:rPr>
                <w:rFonts w:hint="eastAsia" w:ascii="宋体" w:hAnsi="宋体" w:eastAsia="宋体" w:cs="宋体"/>
                <w:color w:val="000000" w:themeColor="text1"/>
                <w:sz w:val="24"/>
                <w:szCs w:val="24"/>
                <w:highlight w:val="none"/>
                <w14:textFill>
                  <w14:solidFill>
                    <w14:schemeClr w14:val="tx1"/>
                  </w14:solidFill>
                </w14:textFill>
              </w:rPr>
              <w:t>号</w:t>
            </w:r>
          </w:p>
        </w:tc>
        <w:tc>
          <w:tcPr>
            <w:tcW w:w="2067" w:type="dxa"/>
            <w:gridSpan w:val="2"/>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color w:val="000000" w:themeColor="text1"/>
                <w:sz w:val="24"/>
                <w:szCs w:val="24"/>
                <w:highlight w:val="none"/>
                <w14:textFill>
                  <w14:solidFill>
                    <w14:schemeClr w14:val="tx1"/>
                  </w14:solidFill>
                </w14:textFill>
              </w:rPr>
            </w:pPr>
          </w:p>
        </w:tc>
        <w:tc>
          <w:tcPr>
            <w:tcW w:w="1680" w:type="dxa"/>
            <w:gridSpan w:val="2"/>
            <w:vMerge w:val="continue"/>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color w:val="000000" w:themeColor="text1"/>
                <w:sz w:val="24"/>
                <w:szCs w:val="24"/>
                <w:highlight w:val="none"/>
                <w14:textFill>
                  <w14:solidFill>
                    <w14:schemeClr w14:val="tx1"/>
                  </w14:solidFill>
                </w14:textFill>
              </w:rPr>
            </w:pPr>
          </w:p>
        </w:tc>
        <w:tc>
          <w:tcPr>
            <w:tcW w:w="2317" w:type="dxa"/>
            <w:gridSpan w:val="3"/>
            <w:vAlign w:val="center"/>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高级职称人员</w:t>
            </w:r>
          </w:p>
        </w:tc>
        <w:tc>
          <w:tcPr>
            <w:tcW w:w="1043"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2073" w:type="dxa"/>
            <w:vAlign w:val="center"/>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注册资金</w:t>
            </w:r>
          </w:p>
        </w:tc>
        <w:tc>
          <w:tcPr>
            <w:tcW w:w="2067" w:type="dxa"/>
            <w:gridSpan w:val="2"/>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color w:val="000000" w:themeColor="text1"/>
                <w:sz w:val="24"/>
                <w:szCs w:val="24"/>
                <w:highlight w:val="none"/>
                <w14:textFill>
                  <w14:solidFill>
                    <w14:schemeClr w14:val="tx1"/>
                  </w14:solidFill>
                </w14:textFill>
              </w:rPr>
            </w:pPr>
          </w:p>
        </w:tc>
        <w:tc>
          <w:tcPr>
            <w:tcW w:w="1680" w:type="dxa"/>
            <w:gridSpan w:val="2"/>
            <w:vMerge w:val="continue"/>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color w:val="000000" w:themeColor="text1"/>
                <w:sz w:val="24"/>
                <w:szCs w:val="24"/>
                <w:highlight w:val="none"/>
                <w14:textFill>
                  <w14:solidFill>
                    <w14:schemeClr w14:val="tx1"/>
                  </w14:solidFill>
                </w14:textFill>
              </w:rPr>
            </w:pPr>
          </w:p>
        </w:tc>
        <w:tc>
          <w:tcPr>
            <w:tcW w:w="2317" w:type="dxa"/>
            <w:gridSpan w:val="3"/>
            <w:vAlign w:val="center"/>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中级职称人员</w:t>
            </w:r>
          </w:p>
        </w:tc>
        <w:tc>
          <w:tcPr>
            <w:tcW w:w="1043"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2073" w:type="dxa"/>
            <w:vAlign w:val="center"/>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开户银行</w:t>
            </w:r>
          </w:p>
        </w:tc>
        <w:tc>
          <w:tcPr>
            <w:tcW w:w="2067" w:type="dxa"/>
            <w:gridSpan w:val="2"/>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color w:val="000000" w:themeColor="text1"/>
                <w:sz w:val="24"/>
                <w:szCs w:val="24"/>
                <w:highlight w:val="none"/>
                <w14:textFill>
                  <w14:solidFill>
                    <w14:schemeClr w14:val="tx1"/>
                  </w14:solidFill>
                </w14:textFill>
              </w:rPr>
            </w:pPr>
          </w:p>
        </w:tc>
        <w:tc>
          <w:tcPr>
            <w:tcW w:w="1680" w:type="dxa"/>
            <w:gridSpan w:val="2"/>
            <w:vMerge w:val="continue"/>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color w:val="000000" w:themeColor="text1"/>
                <w:sz w:val="24"/>
                <w:szCs w:val="24"/>
                <w:highlight w:val="none"/>
                <w14:textFill>
                  <w14:solidFill>
                    <w14:schemeClr w14:val="tx1"/>
                  </w14:solidFill>
                </w14:textFill>
              </w:rPr>
            </w:pPr>
          </w:p>
        </w:tc>
        <w:tc>
          <w:tcPr>
            <w:tcW w:w="2317" w:type="dxa"/>
            <w:gridSpan w:val="3"/>
            <w:vAlign w:val="center"/>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初级职称人员</w:t>
            </w:r>
          </w:p>
        </w:tc>
        <w:tc>
          <w:tcPr>
            <w:tcW w:w="1043"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2073" w:type="dxa"/>
            <w:vAlign w:val="center"/>
          </w:tcPr>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账号</w:t>
            </w:r>
          </w:p>
        </w:tc>
        <w:tc>
          <w:tcPr>
            <w:tcW w:w="1071"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color w:val="000000" w:themeColor="text1"/>
                <w:sz w:val="24"/>
                <w:szCs w:val="24"/>
                <w:highlight w:val="none"/>
                <w14:textFill>
                  <w14:solidFill>
                    <w14:schemeClr w14:val="tx1"/>
                  </w14:solidFill>
                </w14:textFill>
              </w:rPr>
            </w:pPr>
          </w:p>
        </w:tc>
        <w:tc>
          <w:tcPr>
            <w:tcW w:w="2676" w:type="dxa"/>
            <w:gridSpan w:val="3"/>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color w:val="000000" w:themeColor="text1"/>
                <w:sz w:val="24"/>
                <w:szCs w:val="24"/>
                <w:highlight w:val="none"/>
                <w14:textFill>
                  <w14:solidFill>
                    <w14:schemeClr w14:val="tx1"/>
                  </w14:solidFill>
                </w14:textFill>
              </w:rPr>
            </w:pPr>
          </w:p>
        </w:tc>
        <w:tc>
          <w:tcPr>
            <w:tcW w:w="2317" w:type="dxa"/>
            <w:gridSpan w:val="3"/>
            <w:vAlign w:val="center"/>
          </w:tcPr>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技工</w:t>
            </w:r>
          </w:p>
        </w:tc>
        <w:tc>
          <w:tcPr>
            <w:tcW w:w="1043"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7" w:hRule="atLeast"/>
          <w:jc w:val="center"/>
        </w:trPr>
        <w:tc>
          <w:tcPr>
            <w:tcW w:w="2073" w:type="dxa"/>
            <w:vAlign w:val="center"/>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经营范围</w:t>
            </w:r>
          </w:p>
        </w:tc>
        <w:tc>
          <w:tcPr>
            <w:tcW w:w="7107" w:type="dxa"/>
            <w:gridSpan w:val="8"/>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2073"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备注</w:t>
            </w:r>
          </w:p>
        </w:tc>
        <w:tc>
          <w:tcPr>
            <w:tcW w:w="7107" w:type="dxa"/>
            <w:gridSpan w:val="8"/>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color w:val="000000" w:themeColor="text1"/>
                <w:sz w:val="24"/>
                <w:szCs w:val="24"/>
                <w:highlight w:val="none"/>
                <w14:textFill>
                  <w14:solidFill>
                    <w14:schemeClr w14:val="tx1"/>
                  </w14:solidFill>
                </w14:textFill>
              </w:rPr>
            </w:pPr>
          </w:p>
        </w:tc>
      </w:tr>
    </w:tbl>
    <w:p>
      <w:pPr>
        <w:keepNext w:val="0"/>
        <w:keepLines w:val="0"/>
        <w:pageBreakBefore w:val="0"/>
        <w:kinsoku/>
        <w:wordWrap/>
        <w:overflowPunct/>
        <w:topLinePunct w:val="0"/>
        <w:bidi w:val="0"/>
        <w:adjustRightInd w:val="0"/>
        <w:spacing w:line="360" w:lineRule="auto"/>
        <w:ind w:firstLine="480"/>
        <w:jc w:val="left"/>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kinsoku/>
        <w:wordWrap/>
        <w:overflowPunct/>
        <w:topLinePunct w:val="0"/>
        <w:bidi w:val="0"/>
        <w:adjustRightInd w:val="0"/>
        <w:spacing w:line="360" w:lineRule="auto"/>
        <w:ind w:firstLine="48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供应商名称：XXX（盖单位公章）</w:t>
      </w:r>
    </w:p>
    <w:p>
      <w:pPr>
        <w:keepNext w:val="0"/>
        <w:keepLines w:val="0"/>
        <w:pageBreakBefore w:val="0"/>
        <w:kinsoku/>
        <w:wordWrap/>
        <w:overflowPunct/>
        <w:topLinePunct w:val="0"/>
        <w:bidi w:val="0"/>
        <w:adjustRightInd w:val="0"/>
        <w:spacing w:line="360" w:lineRule="auto"/>
        <w:ind w:firstLine="480"/>
        <w:jc w:val="left"/>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法定代表人/单位负责人或授权代表</w:t>
      </w:r>
      <w:r>
        <w:rPr>
          <w:rFonts w:hint="eastAsia" w:ascii="宋体" w:hAnsi="宋体" w:eastAsia="宋体" w:cs="宋体"/>
          <w:color w:val="000000" w:themeColor="text1"/>
          <w:sz w:val="24"/>
          <w:szCs w:val="24"/>
          <w:highlight w:val="none"/>
          <w14:textFill>
            <w14:solidFill>
              <w14:schemeClr w14:val="tx1"/>
            </w14:solidFill>
          </w14:textFill>
        </w:rPr>
        <w:t>（签字或加盖个人印章）</w:t>
      </w:r>
      <w:r>
        <w:rPr>
          <w:rFonts w:hint="eastAsia" w:ascii="宋体" w:hAnsi="宋体" w:eastAsia="宋体" w:cs="宋体"/>
          <w:bCs/>
          <w:color w:val="000000" w:themeColor="text1"/>
          <w:sz w:val="24"/>
          <w:szCs w:val="24"/>
          <w:highlight w:val="none"/>
          <w14:textFill>
            <w14:solidFill>
              <w14:schemeClr w14:val="tx1"/>
            </w14:solidFill>
          </w14:textFill>
        </w:rPr>
        <w:t>：XXX</w:t>
      </w:r>
    </w:p>
    <w:p>
      <w:pPr>
        <w:keepNext w:val="0"/>
        <w:keepLines w:val="0"/>
        <w:pageBreakBefore w:val="0"/>
        <w:kinsoku/>
        <w:wordWrap/>
        <w:overflowPunct/>
        <w:topLinePunct w:val="0"/>
        <w:bidi w:val="0"/>
        <w:adjustRightInd w:val="0"/>
        <w:spacing w:line="360" w:lineRule="auto"/>
        <w:ind w:firstLine="48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日  期：XXX年XXX月XXX日</w:t>
      </w:r>
    </w:p>
    <w:p>
      <w:pPr>
        <w:rPr>
          <w:rFonts w:hint="eastAsia" w:ascii="宋体" w:hAnsi="宋体" w:eastAsia="宋体" w:cs="宋体"/>
          <w:b/>
          <w:bCs/>
          <w:color w:val="000000" w:themeColor="text1"/>
          <w:sz w:val="28"/>
          <w:szCs w:val="28"/>
          <w:highlight w:val="none"/>
          <w14:textFill>
            <w14:solidFill>
              <w14:schemeClr w14:val="tx1"/>
            </w14:solidFill>
          </w14:textFill>
        </w:rPr>
        <w:sectPr>
          <w:footerReference r:id="rId17" w:type="first"/>
          <w:headerReference r:id="rId13" w:type="default"/>
          <w:footerReference r:id="rId15" w:type="default"/>
          <w:headerReference r:id="rId14" w:type="even"/>
          <w:footerReference r:id="rId16" w:type="even"/>
          <w:pgSz w:w="11907" w:h="16840"/>
          <w:pgMar w:top="1440" w:right="1080" w:bottom="1440" w:left="1080" w:header="851" w:footer="992" w:gutter="0"/>
          <w:pgNumType w:fmt="decimal"/>
          <w:cols w:space="720" w:num="1"/>
          <w:docGrid w:linePitch="312" w:charSpace="0"/>
        </w:sectPr>
      </w:pPr>
      <w:r>
        <w:rPr>
          <w:rFonts w:hint="eastAsia" w:ascii="宋体" w:hAnsi="宋体" w:eastAsia="宋体" w:cs="宋体"/>
          <w:b/>
          <w:color w:val="000000" w:themeColor="text1"/>
          <w:sz w:val="28"/>
          <w:szCs w:val="28"/>
          <w:highlight w:val="none"/>
          <w14:textFill>
            <w14:solidFill>
              <w14:schemeClr w14:val="tx1"/>
            </w14:solidFill>
          </w14:textFill>
        </w:rPr>
        <w:br w:type="page"/>
      </w:r>
    </w:p>
    <w:p>
      <w:pPr>
        <w:keepNext w:val="0"/>
        <w:keepLines w:val="0"/>
        <w:pageBreakBefore w:val="0"/>
        <w:kinsoku/>
        <w:wordWrap/>
        <w:overflowPunct/>
        <w:topLinePunct w:val="0"/>
        <w:bidi w:val="0"/>
        <w:spacing w:line="360" w:lineRule="auto"/>
        <w:ind w:left="0" w:leftChars="0" w:firstLine="0" w:firstLineChars="0"/>
        <w:textAlignment w:val="auto"/>
        <w:rPr>
          <w:rFonts w:hint="eastAsia" w:ascii="宋体" w:hAnsi="宋体" w:eastAsia="宋体" w:cs="宋体"/>
          <w:b/>
          <w:color w:val="000000" w:themeColor="text1"/>
          <w:sz w:val="28"/>
          <w:szCs w:val="28"/>
          <w:highlight w:val="none"/>
          <w:lang w:val="en-US" w:eastAsia="zh-CN"/>
          <w14:textFill>
            <w14:solidFill>
              <w14:schemeClr w14:val="tx1"/>
            </w14:solidFill>
          </w14:textFill>
        </w:rPr>
      </w:pPr>
      <w:r>
        <w:rPr>
          <w:rFonts w:hint="eastAsia" w:ascii="宋体" w:hAnsi="宋体" w:eastAsia="宋体" w:cs="宋体"/>
          <w:b/>
          <w:color w:val="000000" w:themeColor="text1"/>
          <w:sz w:val="28"/>
          <w:szCs w:val="28"/>
          <w:highlight w:val="none"/>
          <w14:textFill>
            <w14:solidFill>
              <w14:schemeClr w14:val="tx1"/>
            </w14:solidFill>
          </w14:textFill>
        </w:rPr>
        <w:t>格式2-</w:t>
      </w:r>
      <w:r>
        <w:rPr>
          <w:rFonts w:hint="eastAsia" w:ascii="宋体" w:hAnsi="宋体" w:cs="宋体"/>
          <w:b/>
          <w:color w:val="000000" w:themeColor="text1"/>
          <w:sz w:val="28"/>
          <w:szCs w:val="28"/>
          <w:highlight w:val="none"/>
          <w:lang w:val="en-US" w:eastAsia="zh-CN"/>
          <w14:textFill>
            <w14:solidFill>
              <w14:schemeClr w14:val="tx1"/>
            </w14:solidFill>
          </w14:textFill>
        </w:rPr>
        <w:t>6</w:t>
      </w:r>
    </w:p>
    <w:p>
      <w:pPr>
        <w:keepNext w:val="0"/>
        <w:keepLines w:val="0"/>
        <w:pageBreakBefore w:val="0"/>
        <w:kinsoku/>
        <w:wordWrap/>
        <w:overflowPunct/>
        <w:topLinePunct w:val="0"/>
        <w:bidi w:val="0"/>
        <w:spacing w:line="360" w:lineRule="auto"/>
        <w:ind w:firstLine="643"/>
        <w:jc w:val="center"/>
        <w:textAlignment w:val="auto"/>
        <w:rPr>
          <w:rFonts w:hint="eastAsia"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b/>
          <w:bCs/>
          <w:color w:val="000000" w:themeColor="text1"/>
          <w:sz w:val="28"/>
          <w:szCs w:val="28"/>
          <w:highlight w:val="none"/>
          <w14:textFill>
            <w14:solidFill>
              <w14:schemeClr w14:val="tx1"/>
            </w14:solidFill>
          </w14:textFill>
        </w:rPr>
        <w:t>技术、服务要求应答表</w:t>
      </w:r>
    </w:p>
    <w:p>
      <w:pPr>
        <w:pStyle w:val="17"/>
        <w:keepNext w:val="0"/>
        <w:keepLines w:val="0"/>
        <w:pageBreakBefore w:val="0"/>
        <w:pBdr>
          <w:bottom w:val="none" w:color="auto" w:sz="0" w:space="0"/>
        </w:pBdr>
        <w:tabs>
          <w:tab w:val="clear" w:pos="4153"/>
          <w:tab w:val="clear" w:pos="8306"/>
        </w:tabs>
        <w:kinsoku/>
        <w:wordWrap/>
        <w:overflowPunct/>
        <w:topLinePunct w:val="0"/>
        <w:bidi w:val="0"/>
        <w:snapToGrid/>
        <w:spacing w:line="360" w:lineRule="auto"/>
        <w:ind w:firstLine="480"/>
        <w:jc w:val="both"/>
        <w:textAlignment w:val="auto"/>
        <w:rPr>
          <w:rFonts w:hint="eastAsia" w:ascii="宋体" w:hAnsi="宋体" w:eastAsia="宋体" w:cs="宋体"/>
          <w:color w:val="000000" w:themeColor="text1"/>
          <w:sz w:val="28"/>
          <w:szCs w:val="28"/>
          <w:highlight w:val="none"/>
          <w14:textFill>
            <w14:solidFill>
              <w14:schemeClr w14:val="tx1"/>
            </w14:solidFill>
          </w14:textFill>
        </w:rPr>
      </w:pPr>
    </w:p>
    <w:tbl>
      <w:tblPr>
        <w:tblStyle w:val="24"/>
        <w:tblW w:w="101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3626"/>
        <w:gridCol w:w="2795"/>
        <w:gridCol w:w="2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6" w:type="dxa"/>
            <w:vAlign w:val="center"/>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序号</w:t>
            </w:r>
          </w:p>
        </w:tc>
        <w:tc>
          <w:tcPr>
            <w:tcW w:w="3626" w:type="dxa"/>
            <w:vAlign w:val="center"/>
          </w:tcPr>
          <w:p>
            <w:pPr>
              <w:keepNext w:val="0"/>
              <w:keepLines w:val="0"/>
              <w:pageBreakBefore w:val="0"/>
              <w:kinsoku/>
              <w:wordWrap/>
              <w:overflowPunct/>
              <w:topLinePunct w:val="0"/>
              <w:bidi w:val="0"/>
              <w:spacing w:line="360" w:lineRule="auto"/>
              <w:ind w:firstLine="480"/>
              <w:jc w:val="both"/>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采购文件要求</w:t>
            </w:r>
          </w:p>
        </w:tc>
        <w:tc>
          <w:tcPr>
            <w:tcW w:w="2795" w:type="dxa"/>
            <w:vAlign w:val="center"/>
          </w:tcPr>
          <w:p>
            <w:pPr>
              <w:keepNext w:val="0"/>
              <w:keepLines w:val="0"/>
              <w:pageBreakBefore w:val="0"/>
              <w:kinsoku/>
              <w:wordWrap/>
              <w:overflowPunct/>
              <w:topLinePunct w:val="0"/>
              <w:bidi w:val="0"/>
              <w:spacing w:line="360" w:lineRule="auto"/>
              <w:ind w:firstLine="480"/>
              <w:jc w:val="both"/>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响应文件响应</w:t>
            </w:r>
          </w:p>
        </w:tc>
        <w:tc>
          <w:tcPr>
            <w:tcW w:w="2795" w:type="dxa"/>
            <w:vAlign w:val="center"/>
          </w:tcPr>
          <w:p>
            <w:pPr>
              <w:keepNext w:val="0"/>
              <w:keepLines w:val="0"/>
              <w:pageBreakBefore w:val="0"/>
              <w:kinsoku/>
              <w:wordWrap/>
              <w:overflowPunct/>
              <w:topLinePunct w:val="0"/>
              <w:bidi w:val="0"/>
              <w:spacing w:line="360" w:lineRule="auto"/>
              <w:ind w:firstLine="480"/>
              <w:jc w:val="both"/>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响应/偏离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3626" w:type="dxa"/>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2795" w:type="dxa"/>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2795" w:type="dxa"/>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3626" w:type="dxa"/>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2795" w:type="dxa"/>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2795" w:type="dxa"/>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3626" w:type="dxa"/>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2795" w:type="dxa"/>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2795" w:type="dxa"/>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3626" w:type="dxa"/>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2795" w:type="dxa"/>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2795" w:type="dxa"/>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r>
    </w:tbl>
    <w:p>
      <w:pPr>
        <w:keepNext w:val="0"/>
        <w:keepLines w:val="0"/>
        <w:pageBreakBefore w:val="0"/>
        <w:kinsoku/>
        <w:wordWrap/>
        <w:overflowPunct/>
        <w:topLinePunct w:val="0"/>
        <w:bidi w:val="0"/>
        <w:spacing w:line="360" w:lineRule="auto"/>
        <w:ind w:firstLine="482"/>
        <w:textAlignment w:val="auto"/>
        <w:rPr>
          <w:rFonts w:hint="eastAsia" w:ascii="宋体" w:hAnsi="宋体" w:eastAsia="宋体" w:cs="宋体"/>
          <w:b/>
          <w:color w:val="000000" w:themeColor="text1"/>
          <w:sz w:val="28"/>
          <w:szCs w:val="28"/>
          <w:highlight w:val="none"/>
          <w14:textFill>
            <w14:solidFill>
              <w14:schemeClr w14:val="tx1"/>
            </w14:solidFill>
          </w14:textFill>
        </w:rPr>
      </w:pP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注：供应商根据磋商文件要求据实填写，不得虚假响应，虚假响应的，其响应文件无效并按规定追究其相关责任。</w:t>
      </w:r>
    </w:p>
    <w:p>
      <w:pPr>
        <w:keepNext w:val="0"/>
        <w:keepLines w:val="0"/>
        <w:pageBreakBefore w:val="0"/>
        <w:kinsoku/>
        <w:wordWrap/>
        <w:overflowPunct/>
        <w:topLinePunct w:val="0"/>
        <w:bidi w:val="0"/>
        <w:spacing w:line="360" w:lineRule="auto"/>
        <w:ind w:firstLine="480"/>
        <w:jc w:val="left"/>
        <w:textAlignment w:val="auto"/>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供应商须把磋商项目的全部</w:t>
      </w:r>
      <w:r>
        <w:rPr>
          <w:rFonts w:hint="eastAsia" w:ascii="宋体" w:hAnsi="宋体" w:cs="宋体"/>
          <w:color w:val="000000" w:themeColor="text1"/>
          <w:sz w:val="24"/>
          <w:szCs w:val="24"/>
          <w:highlight w:val="none"/>
          <w:lang w:val="en-US" w:eastAsia="zh-CN"/>
          <w14:textFill>
            <w14:solidFill>
              <w14:schemeClr w14:val="tx1"/>
            </w14:solidFill>
          </w14:textFill>
        </w:rPr>
        <w:t>服务要求</w:t>
      </w:r>
      <w:r>
        <w:rPr>
          <w:rFonts w:hint="eastAsia" w:ascii="宋体" w:hAnsi="宋体" w:eastAsia="宋体" w:cs="宋体"/>
          <w:color w:val="000000" w:themeColor="text1"/>
          <w:sz w:val="24"/>
          <w:szCs w:val="24"/>
          <w:highlight w:val="none"/>
          <w14:textFill>
            <w14:solidFill>
              <w14:schemeClr w14:val="tx1"/>
            </w14:solidFill>
          </w14:textFill>
        </w:rPr>
        <w:t>列入此表，</w:t>
      </w:r>
      <w:r>
        <w:rPr>
          <w:rFonts w:hint="eastAsia" w:ascii="宋体" w:hAnsi="宋体" w:eastAsia="宋体" w:cs="宋体"/>
          <w:b/>
          <w:bCs/>
          <w:color w:val="000000" w:themeColor="text1"/>
          <w:sz w:val="24"/>
          <w:szCs w:val="24"/>
          <w:highlight w:val="none"/>
          <w14:textFill>
            <w14:solidFill>
              <w14:schemeClr w14:val="tx1"/>
            </w14:solidFill>
          </w14:textFill>
        </w:rPr>
        <w:t>未列入的视为负偏离。</w:t>
      </w:r>
    </w:p>
    <w:p>
      <w:pPr>
        <w:keepNext w:val="0"/>
        <w:keepLines w:val="0"/>
        <w:pageBreakBefore w:val="0"/>
        <w:kinsoku/>
        <w:wordWrap/>
        <w:overflowPunct/>
        <w:topLinePunct w:val="0"/>
        <w:bidi w:val="0"/>
        <w:adjustRightInd w:val="0"/>
        <w:spacing w:line="360" w:lineRule="auto"/>
        <w:ind w:firstLine="48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kinsoku/>
        <w:wordWrap/>
        <w:overflowPunct/>
        <w:topLinePunct w:val="0"/>
        <w:bidi w:val="0"/>
        <w:spacing w:line="360" w:lineRule="auto"/>
        <w:ind w:firstLine="48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单位名称：XXXX（盖单位公章）</w:t>
      </w:r>
    </w:p>
    <w:p>
      <w:pPr>
        <w:keepNext w:val="0"/>
        <w:keepLines w:val="0"/>
        <w:pageBreakBefore w:val="0"/>
        <w:kinsoku/>
        <w:wordWrap/>
        <w:overflowPunct/>
        <w:topLinePunct w:val="0"/>
        <w:bidi w:val="0"/>
        <w:spacing w:line="360" w:lineRule="auto"/>
        <w:ind w:firstLine="48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法定代表人/单位负责人或授权代表（签字或加盖个人印章）：XXXX</w:t>
      </w:r>
    </w:p>
    <w:p>
      <w:pPr>
        <w:keepNext w:val="0"/>
        <w:keepLines w:val="0"/>
        <w:pageBreakBefore w:val="0"/>
        <w:kinsoku/>
        <w:wordWrap/>
        <w:overflowPunct/>
        <w:topLinePunct w:val="0"/>
        <w:bidi w:val="0"/>
        <w:spacing w:line="360" w:lineRule="auto"/>
        <w:ind w:firstLine="48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日期：XXXX</w:t>
      </w:r>
    </w:p>
    <w:p>
      <w:pPr>
        <w:keepNext w:val="0"/>
        <w:keepLines w:val="0"/>
        <w:pageBreakBefore w:val="0"/>
        <w:kinsoku/>
        <w:wordWrap/>
        <w:overflowPunct/>
        <w:topLinePunct w:val="0"/>
        <w:bidi w:val="0"/>
        <w:spacing w:line="360" w:lineRule="auto"/>
        <w:ind w:firstLine="562"/>
        <w:textAlignment w:val="auto"/>
        <w:rPr>
          <w:rFonts w:hint="eastAsia" w:ascii="宋体" w:hAnsi="宋体" w:eastAsia="宋体" w:cs="宋体"/>
          <w:b/>
          <w:color w:val="000000" w:themeColor="text1"/>
          <w:sz w:val="28"/>
          <w:szCs w:val="28"/>
          <w:highlight w:val="none"/>
          <w14:textFill>
            <w14:solidFill>
              <w14:schemeClr w14:val="tx1"/>
            </w14:solidFill>
          </w14:textFill>
        </w:rPr>
      </w:pPr>
      <w:r>
        <w:rPr>
          <w:rFonts w:hint="eastAsia" w:ascii="宋体" w:hAnsi="宋体" w:eastAsia="宋体" w:cs="宋体"/>
          <w:b/>
          <w:color w:val="000000" w:themeColor="text1"/>
          <w:sz w:val="28"/>
          <w:szCs w:val="28"/>
          <w:highlight w:val="none"/>
          <w14:textFill>
            <w14:solidFill>
              <w14:schemeClr w14:val="tx1"/>
            </w14:solidFill>
          </w14:textFill>
        </w:rPr>
        <w:br w:type="page"/>
      </w:r>
      <w:r>
        <w:rPr>
          <w:rFonts w:hint="eastAsia" w:ascii="宋体" w:hAnsi="宋体" w:eastAsia="宋体" w:cs="宋体"/>
          <w:b/>
          <w:color w:val="000000" w:themeColor="text1"/>
          <w:sz w:val="28"/>
          <w:szCs w:val="28"/>
          <w:highlight w:val="none"/>
          <w14:textFill>
            <w14:solidFill>
              <w14:schemeClr w14:val="tx1"/>
            </w14:solidFill>
          </w14:textFill>
        </w:rPr>
        <w:t>格式2-</w:t>
      </w:r>
      <w:r>
        <w:rPr>
          <w:rFonts w:hint="eastAsia" w:ascii="宋体" w:hAnsi="宋体" w:cs="宋体"/>
          <w:b/>
          <w:color w:val="000000" w:themeColor="text1"/>
          <w:sz w:val="28"/>
          <w:szCs w:val="28"/>
          <w:highlight w:val="none"/>
          <w:lang w:val="en-US" w:eastAsia="zh-CN"/>
          <w14:textFill>
            <w14:solidFill>
              <w14:schemeClr w14:val="tx1"/>
            </w14:solidFill>
          </w14:textFill>
        </w:rPr>
        <w:t>6</w:t>
      </w:r>
      <w:r>
        <w:rPr>
          <w:rFonts w:hint="eastAsia" w:ascii="宋体" w:hAnsi="宋体" w:eastAsia="宋体" w:cs="宋体"/>
          <w:b/>
          <w:color w:val="000000" w:themeColor="text1"/>
          <w:sz w:val="28"/>
          <w:szCs w:val="28"/>
          <w:highlight w:val="none"/>
          <w14:textFill>
            <w14:solidFill>
              <w14:schemeClr w14:val="tx1"/>
            </w14:solidFill>
          </w14:textFill>
        </w:rPr>
        <w:t>（2）</w:t>
      </w:r>
    </w:p>
    <w:p>
      <w:pPr>
        <w:pStyle w:val="14"/>
        <w:keepNext w:val="0"/>
        <w:keepLines w:val="0"/>
        <w:pageBreakBefore w:val="0"/>
        <w:tabs>
          <w:tab w:val="left" w:pos="0"/>
        </w:tabs>
        <w:kinsoku/>
        <w:wordWrap/>
        <w:overflowPunct/>
        <w:topLinePunct w:val="0"/>
        <w:bidi w:val="0"/>
        <w:spacing w:line="360" w:lineRule="auto"/>
        <w:ind w:left="0" w:leftChars="0" w:firstLine="0" w:firstLineChars="0"/>
        <w:jc w:val="center"/>
        <w:textAlignment w:val="auto"/>
        <w:rPr>
          <w:rFonts w:hint="eastAsia" w:ascii="宋体" w:hAnsi="宋体" w:eastAsia="宋体" w:cs="宋体"/>
          <w:b/>
          <w:color w:val="000000" w:themeColor="text1"/>
          <w:sz w:val="28"/>
          <w:szCs w:val="28"/>
          <w:highlight w:val="none"/>
          <w14:textFill>
            <w14:solidFill>
              <w14:schemeClr w14:val="tx1"/>
            </w14:solidFill>
          </w14:textFill>
        </w:rPr>
      </w:pPr>
      <w:r>
        <w:rPr>
          <w:rFonts w:hint="eastAsia" w:ascii="宋体" w:hAnsi="宋体" w:eastAsia="宋体" w:cs="宋体"/>
          <w:b/>
          <w:color w:val="000000" w:themeColor="text1"/>
          <w:sz w:val="28"/>
          <w:szCs w:val="28"/>
          <w:highlight w:val="none"/>
          <w14:textFill>
            <w14:solidFill>
              <w14:schemeClr w14:val="tx1"/>
            </w14:solidFill>
          </w14:textFill>
        </w:rPr>
        <w:t>商务应答表</w:t>
      </w:r>
    </w:p>
    <w:p>
      <w:pPr>
        <w:pStyle w:val="14"/>
        <w:keepNext w:val="0"/>
        <w:keepLines w:val="0"/>
        <w:pageBreakBefore w:val="0"/>
        <w:tabs>
          <w:tab w:val="left" w:pos="0"/>
        </w:tabs>
        <w:kinsoku/>
        <w:wordWrap/>
        <w:overflowPunct/>
        <w:topLinePunct w:val="0"/>
        <w:bidi w:val="0"/>
        <w:spacing w:line="360" w:lineRule="auto"/>
        <w:ind w:left="480" w:firstLine="643"/>
        <w:jc w:val="center"/>
        <w:textAlignment w:val="auto"/>
        <w:rPr>
          <w:rFonts w:hint="eastAsia" w:ascii="宋体" w:hAnsi="宋体" w:eastAsia="宋体" w:cs="宋体"/>
          <w:b/>
          <w:color w:val="000000" w:themeColor="text1"/>
          <w:sz w:val="28"/>
          <w:szCs w:val="28"/>
          <w:highlight w:val="none"/>
          <w14:textFill>
            <w14:solidFill>
              <w14:schemeClr w14:val="tx1"/>
            </w14:solidFill>
          </w14:textFill>
        </w:rPr>
      </w:pPr>
    </w:p>
    <w:tbl>
      <w:tblPr>
        <w:tblStyle w:val="24"/>
        <w:tblW w:w="93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2795"/>
        <w:gridCol w:w="2795"/>
        <w:gridCol w:w="2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6" w:type="dxa"/>
            <w:vAlign w:val="center"/>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序号</w:t>
            </w:r>
          </w:p>
        </w:tc>
        <w:tc>
          <w:tcPr>
            <w:tcW w:w="2795" w:type="dxa"/>
            <w:vAlign w:val="center"/>
          </w:tcPr>
          <w:p>
            <w:pPr>
              <w:keepNext w:val="0"/>
              <w:keepLines w:val="0"/>
              <w:pageBreakBefore w:val="0"/>
              <w:kinsoku/>
              <w:wordWrap/>
              <w:overflowPunct/>
              <w:topLinePunct w:val="0"/>
              <w:bidi w:val="0"/>
              <w:spacing w:line="360" w:lineRule="auto"/>
              <w:jc w:val="both"/>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采购文件要求</w:t>
            </w:r>
          </w:p>
        </w:tc>
        <w:tc>
          <w:tcPr>
            <w:tcW w:w="2795" w:type="dxa"/>
            <w:vAlign w:val="center"/>
          </w:tcPr>
          <w:p>
            <w:pPr>
              <w:keepNext w:val="0"/>
              <w:keepLines w:val="0"/>
              <w:pageBreakBefore w:val="0"/>
              <w:kinsoku/>
              <w:wordWrap/>
              <w:overflowPunct/>
              <w:topLinePunct w:val="0"/>
              <w:bidi w:val="0"/>
              <w:spacing w:line="360" w:lineRule="auto"/>
              <w:ind w:firstLine="480"/>
              <w:jc w:val="both"/>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响应文件响应</w:t>
            </w:r>
          </w:p>
        </w:tc>
        <w:tc>
          <w:tcPr>
            <w:tcW w:w="2795" w:type="dxa"/>
            <w:vAlign w:val="center"/>
          </w:tcPr>
          <w:p>
            <w:pPr>
              <w:keepNext w:val="0"/>
              <w:keepLines w:val="0"/>
              <w:pageBreakBefore w:val="0"/>
              <w:kinsoku/>
              <w:wordWrap/>
              <w:overflowPunct/>
              <w:topLinePunct w:val="0"/>
              <w:bidi w:val="0"/>
              <w:spacing w:line="360" w:lineRule="auto"/>
              <w:ind w:firstLine="480"/>
              <w:jc w:val="both"/>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响应/偏离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2795" w:type="dxa"/>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2795" w:type="dxa"/>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2795" w:type="dxa"/>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2795" w:type="dxa"/>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2795" w:type="dxa"/>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2795" w:type="dxa"/>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2795" w:type="dxa"/>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2795" w:type="dxa"/>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2795" w:type="dxa"/>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2795" w:type="dxa"/>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2795" w:type="dxa"/>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2795" w:type="dxa"/>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r>
    </w:tbl>
    <w:p>
      <w:pPr>
        <w:keepNext w:val="0"/>
        <w:keepLines w:val="0"/>
        <w:pageBreakBefore w:val="0"/>
        <w:kinsoku/>
        <w:wordWrap/>
        <w:overflowPunct/>
        <w:topLinePunct w:val="0"/>
        <w:bidi w:val="0"/>
        <w:spacing w:line="360" w:lineRule="auto"/>
        <w:ind w:firstLine="482"/>
        <w:textAlignment w:val="auto"/>
        <w:rPr>
          <w:rFonts w:hint="eastAsia" w:ascii="宋体" w:hAnsi="宋体" w:eastAsia="宋体" w:cs="宋体"/>
          <w:b/>
          <w:color w:val="000000" w:themeColor="text1"/>
          <w:sz w:val="28"/>
          <w:szCs w:val="28"/>
          <w:highlight w:val="none"/>
          <w14:textFill>
            <w14:solidFill>
              <w14:schemeClr w14:val="tx1"/>
            </w14:solidFill>
          </w14:textFill>
        </w:rPr>
      </w:pP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注意：供应商必须据实填写，不得虚假响应，虚假响应的，其响应文件无效并按规定追究其相关责任。</w:t>
      </w:r>
    </w:p>
    <w:p>
      <w:pPr>
        <w:keepNext w:val="0"/>
        <w:keepLines w:val="0"/>
        <w:pageBreakBefore w:val="0"/>
        <w:kinsoku/>
        <w:wordWrap/>
        <w:overflowPunct/>
        <w:topLinePunct w:val="0"/>
        <w:bidi w:val="0"/>
        <w:spacing w:line="360" w:lineRule="auto"/>
        <w:ind w:firstLine="480"/>
        <w:jc w:val="left"/>
        <w:textAlignment w:val="auto"/>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供应商须把磋商项目的全部</w:t>
      </w:r>
      <w:r>
        <w:rPr>
          <w:rFonts w:hint="eastAsia" w:ascii="宋体" w:hAnsi="宋体" w:cs="宋体"/>
          <w:color w:val="000000" w:themeColor="text1"/>
          <w:sz w:val="24"/>
          <w:szCs w:val="24"/>
          <w:highlight w:val="none"/>
          <w:lang w:val="en-US" w:eastAsia="zh-CN"/>
          <w14:textFill>
            <w14:solidFill>
              <w14:schemeClr w14:val="tx1"/>
            </w14:solidFill>
          </w14:textFill>
        </w:rPr>
        <w:t>商务要求</w:t>
      </w:r>
      <w:r>
        <w:rPr>
          <w:rFonts w:hint="eastAsia" w:ascii="宋体" w:hAnsi="宋体" w:eastAsia="宋体" w:cs="宋体"/>
          <w:color w:val="000000" w:themeColor="text1"/>
          <w:sz w:val="24"/>
          <w:szCs w:val="24"/>
          <w:highlight w:val="none"/>
          <w14:textFill>
            <w14:solidFill>
              <w14:schemeClr w14:val="tx1"/>
            </w14:solidFill>
          </w14:textFill>
        </w:rPr>
        <w:t>列入此表，</w:t>
      </w:r>
      <w:r>
        <w:rPr>
          <w:rFonts w:hint="eastAsia" w:ascii="宋体" w:hAnsi="宋体" w:eastAsia="宋体" w:cs="宋体"/>
          <w:b/>
          <w:bCs/>
          <w:color w:val="000000" w:themeColor="text1"/>
          <w:sz w:val="24"/>
          <w:szCs w:val="24"/>
          <w:highlight w:val="none"/>
          <w14:textFill>
            <w14:solidFill>
              <w14:schemeClr w14:val="tx1"/>
            </w14:solidFill>
          </w14:textFill>
        </w:rPr>
        <w:t>未列入的视为负偏离。</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b/>
          <w:bCs/>
          <w:color w:val="000000" w:themeColor="text1"/>
          <w:sz w:val="24"/>
          <w:szCs w:val="24"/>
          <w:highlight w:val="none"/>
          <w14:textFill>
            <w14:solidFill>
              <w14:schemeClr w14:val="tx1"/>
            </w14:solidFill>
          </w14:textFill>
        </w:rPr>
      </w:pPr>
    </w:p>
    <w:p>
      <w:pPr>
        <w:pStyle w:val="11"/>
        <w:spacing w:line="360" w:lineRule="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kinsoku/>
        <w:wordWrap/>
        <w:overflowPunct/>
        <w:topLinePunct w:val="0"/>
        <w:bidi w:val="0"/>
        <w:adjustRightInd w:val="0"/>
        <w:spacing w:line="360" w:lineRule="auto"/>
        <w:ind w:firstLine="48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供应商人名称：XXX（盖单位公章）</w:t>
      </w:r>
    </w:p>
    <w:p>
      <w:pPr>
        <w:keepNext w:val="0"/>
        <w:keepLines w:val="0"/>
        <w:pageBreakBefore w:val="0"/>
        <w:kinsoku/>
        <w:wordWrap/>
        <w:overflowPunct/>
        <w:topLinePunct w:val="0"/>
        <w:bidi w:val="0"/>
        <w:adjustRightInd w:val="0"/>
        <w:spacing w:line="360" w:lineRule="auto"/>
        <w:ind w:firstLine="540" w:firstLineChars="225"/>
        <w:jc w:val="left"/>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法定代表人或授权代表（签字或盖章）：XXX</w:t>
      </w:r>
    </w:p>
    <w:p>
      <w:pPr>
        <w:keepNext w:val="0"/>
        <w:keepLines w:val="0"/>
        <w:pageBreakBefore w:val="0"/>
        <w:kinsoku/>
        <w:wordWrap/>
        <w:overflowPunct/>
        <w:topLinePunct w:val="0"/>
        <w:bidi w:val="0"/>
        <w:adjustRightInd w:val="0"/>
        <w:spacing w:line="360" w:lineRule="auto"/>
        <w:ind w:firstLine="540" w:firstLineChars="225"/>
        <w:jc w:val="left"/>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日  期：XXX年XXX月XXX日</w:t>
      </w:r>
    </w:p>
    <w:p>
      <w:pPr>
        <w:keepNext w:val="0"/>
        <w:keepLines w:val="0"/>
        <w:pageBreakBefore w:val="0"/>
        <w:widowControl/>
        <w:kinsoku/>
        <w:wordWrap/>
        <w:overflowPunct/>
        <w:topLinePunct w:val="0"/>
        <w:bidi w:val="0"/>
        <w:spacing w:line="360" w:lineRule="auto"/>
        <w:ind w:firstLine="562"/>
        <w:jc w:val="left"/>
        <w:textAlignment w:val="auto"/>
        <w:rPr>
          <w:rFonts w:hint="eastAsia" w:ascii="宋体" w:hAnsi="宋体" w:eastAsia="宋体" w:cs="宋体"/>
          <w:b/>
          <w:color w:val="000000" w:themeColor="text1"/>
          <w:sz w:val="28"/>
          <w:szCs w:val="28"/>
          <w:highlight w:val="none"/>
          <w14:textFill>
            <w14:solidFill>
              <w14:schemeClr w14:val="tx1"/>
            </w14:solidFill>
          </w14:textFill>
        </w:rPr>
      </w:pPr>
    </w:p>
    <w:p>
      <w:pPr>
        <w:ind w:left="0" w:leftChars="0" w:firstLine="0" w:firstLineChars="0"/>
        <w:rPr>
          <w:rFonts w:hint="eastAsia" w:ascii="宋体" w:hAnsi="宋体" w:eastAsia="宋体" w:cs="宋体"/>
          <w:b/>
          <w:color w:val="000000" w:themeColor="text1"/>
          <w:sz w:val="24"/>
          <w:szCs w:val="24"/>
          <w:highlight w:val="none"/>
          <w14:textFill>
            <w14:solidFill>
              <w14:schemeClr w14:val="tx1"/>
            </w14:solidFill>
          </w14:textFill>
        </w:rPr>
      </w:pPr>
    </w:p>
    <w:p>
      <w:pPr>
        <w:ind w:left="0" w:leftChars="0" w:firstLine="0" w:firstLineChars="0"/>
        <w:rPr>
          <w:rFonts w:hint="eastAsia" w:ascii="宋体" w:hAnsi="宋体" w:eastAsia="宋体" w:cs="宋体"/>
          <w:b/>
          <w:color w:val="000000" w:themeColor="text1"/>
          <w:sz w:val="24"/>
          <w:szCs w:val="24"/>
          <w:highlight w:val="none"/>
          <w14:textFill>
            <w14:solidFill>
              <w14:schemeClr w14:val="tx1"/>
            </w14:solidFill>
          </w14:textFill>
        </w:rPr>
      </w:pPr>
    </w:p>
    <w:p>
      <w:pPr>
        <w:ind w:left="0" w:leftChars="0" w:firstLine="0" w:firstLineChars="0"/>
        <w:rPr>
          <w:rFonts w:hint="eastAsia" w:ascii="宋体" w:hAnsi="宋体" w:eastAsia="宋体" w:cs="宋体"/>
          <w:b/>
          <w:color w:val="000000" w:themeColor="text1"/>
          <w:sz w:val="24"/>
          <w:szCs w:val="24"/>
          <w:highlight w:val="none"/>
          <w:lang w:eastAsia="zh-CN"/>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格式2-</w:t>
      </w:r>
      <w:r>
        <w:rPr>
          <w:rFonts w:hint="eastAsia" w:ascii="宋体" w:hAnsi="宋体" w:cs="宋体"/>
          <w:b/>
          <w:color w:val="000000" w:themeColor="text1"/>
          <w:sz w:val="24"/>
          <w:szCs w:val="24"/>
          <w:highlight w:val="none"/>
          <w:lang w:val="en-US" w:eastAsia="zh-CN"/>
          <w14:textFill>
            <w14:solidFill>
              <w14:schemeClr w14:val="tx1"/>
            </w14:solidFill>
          </w14:textFill>
        </w:rPr>
        <w:t>7</w:t>
      </w:r>
    </w:p>
    <w:p>
      <w:pPr>
        <w:keepNext w:val="0"/>
        <w:keepLines w:val="0"/>
        <w:pageBreakBefore w:val="0"/>
        <w:kinsoku/>
        <w:wordWrap/>
        <w:overflowPunct/>
        <w:topLinePunct w:val="0"/>
        <w:bidi w:val="0"/>
        <w:spacing w:line="360" w:lineRule="auto"/>
        <w:ind w:left="0" w:leftChars="0" w:firstLine="723" w:firstLineChars="300"/>
        <w:jc w:val="both"/>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商务、技术、服务应答附表（仅用于成交结果公告，此表不作为评审内容）</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 xml:space="preserve">    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Style w:val="24"/>
        <w:tblW w:w="9192" w:type="dxa"/>
        <w:tblInd w:w="0"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278"/>
        <w:gridCol w:w="1182"/>
        <w:gridCol w:w="1615"/>
        <w:gridCol w:w="1555"/>
        <w:gridCol w:w="1593"/>
        <w:gridCol w:w="1969"/>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303" w:hRule="atLeast"/>
        </w:trPr>
        <w:tc>
          <w:tcPr>
            <w:tcW w:w="9192" w:type="dxa"/>
            <w:gridSpan w:val="6"/>
            <w:tcBorders>
              <w:top w:val="single" w:color="auto" w:sz="18" w:space="0"/>
            </w:tcBorders>
            <w:vAlign w:val="center"/>
          </w:tcPr>
          <w:p>
            <w:pPr>
              <w:keepNext w:val="0"/>
              <w:keepLines w:val="0"/>
              <w:pageBreakBefore w:val="0"/>
              <w:kinsoku/>
              <w:wordWrap/>
              <w:overflowPunct/>
              <w:topLinePunct w:val="0"/>
              <w:bidi w:val="0"/>
              <w:spacing w:line="360" w:lineRule="auto"/>
              <w:ind w:firstLine="482"/>
              <w:jc w:val="center"/>
              <w:textAlignment w:val="auto"/>
              <w:outlineLvl w:val="1"/>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中标（成交）供应商的相关信息</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265" w:hRule="atLeast"/>
        </w:trPr>
        <w:tc>
          <w:tcPr>
            <w:tcW w:w="2460" w:type="dxa"/>
            <w:gridSpan w:val="2"/>
            <w:vAlign w:val="center"/>
          </w:tcPr>
          <w:p>
            <w:pPr>
              <w:keepNext w:val="0"/>
              <w:keepLines w:val="0"/>
              <w:pageBreakBefore w:val="0"/>
              <w:kinsoku/>
              <w:wordWrap/>
              <w:overflowPunct/>
              <w:topLinePunct w:val="0"/>
              <w:bidi w:val="0"/>
              <w:spacing w:line="360" w:lineRule="auto"/>
              <w:ind w:firstLine="0" w:firstLineChars="0"/>
              <w:textAlignment w:val="auto"/>
              <w:outlineLvl w:val="1"/>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*项目名称</w:t>
            </w:r>
          </w:p>
        </w:tc>
        <w:tc>
          <w:tcPr>
            <w:tcW w:w="6732" w:type="dxa"/>
            <w:gridSpan w:val="4"/>
            <w:vAlign w:val="center"/>
          </w:tcPr>
          <w:p>
            <w:pPr>
              <w:keepNext w:val="0"/>
              <w:keepLines w:val="0"/>
              <w:pageBreakBefore w:val="0"/>
              <w:kinsoku/>
              <w:wordWrap/>
              <w:overflowPunct/>
              <w:topLinePunct w:val="0"/>
              <w:bidi w:val="0"/>
              <w:spacing w:line="360" w:lineRule="auto"/>
              <w:ind w:firstLine="470" w:firstLineChars="196"/>
              <w:textAlignment w:val="auto"/>
              <w:outlineLvl w:val="1"/>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341" w:hRule="atLeast"/>
        </w:trPr>
        <w:tc>
          <w:tcPr>
            <w:tcW w:w="2460" w:type="dxa"/>
            <w:gridSpan w:val="2"/>
            <w:vAlign w:val="center"/>
          </w:tcPr>
          <w:p>
            <w:pPr>
              <w:keepNext w:val="0"/>
              <w:keepLines w:val="0"/>
              <w:pageBreakBefore w:val="0"/>
              <w:kinsoku/>
              <w:wordWrap/>
              <w:overflowPunct/>
              <w:topLinePunct w:val="0"/>
              <w:bidi w:val="0"/>
              <w:spacing w:line="360" w:lineRule="auto"/>
              <w:ind w:firstLine="0" w:firstLineChars="0"/>
              <w:textAlignment w:val="auto"/>
              <w:outlineLvl w:val="1"/>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*供应商名称</w:t>
            </w:r>
          </w:p>
        </w:tc>
        <w:tc>
          <w:tcPr>
            <w:tcW w:w="6732" w:type="dxa"/>
            <w:gridSpan w:val="4"/>
            <w:vAlign w:val="center"/>
          </w:tcPr>
          <w:p>
            <w:pPr>
              <w:keepNext w:val="0"/>
              <w:keepLines w:val="0"/>
              <w:pageBreakBefore w:val="0"/>
              <w:kinsoku/>
              <w:wordWrap/>
              <w:overflowPunct/>
              <w:topLinePunct w:val="0"/>
              <w:bidi w:val="0"/>
              <w:spacing w:line="360" w:lineRule="auto"/>
              <w:ind w:firstLine="470" w:firstLineChars="196"/>
              <w:textAlignment w:val="auto"/>
              <w:outlineLvl w:val="1"/>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370" w:hRule="atLeast"/>
        </w:trPr>
        <w:tc>
          <w:tcPr>
            <w:tcW w:w="2460" w:type="dxa"/>
            <w:gridSpan w:val="2"/>
            <w:vAlign w:val="center"/>
          </w:tcPr>
          <w:p>
            <w:pPr>
              <w:keepNext w:val="0"/>
              <w:keepLines w:val="0"/>
              <w:pageBreakBefore w:val="0"/>
              <w:kinsoku/>
              <w:wordWrap/>
              <w:overflowPunct/>
              <w:topLinePunct w:val="0"/>
              <w:bidi w:val="0"/>
              <w:spacing w:line="360" w:lineRule="auto"/>
              <w:ind w:firstLine="0" w:firstLineChars="0"/>
              <w:textAlignment w:val="auto"/>
              <w:outlineLvl w:val="1"/>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*注册地址</w:t>
            </w:r>
          </w:p>
        </w:tc>
        <w:tc>
          <w:tcPr>
            <w:tcW w:w="3170" w:type="dxa"/>
            <w:gridSpan w:val="2"/>
            <w:tcBorders>
              <w:right w:val="single" w:color="auto" w:sz="4" w:space="0"/>
            </w:tcBorders>
            <w:vAlign w:val="center"/>
          </w:tcPr>
          <w:p>
            <w:pPr>
              <w:keepNext w:val="0"/>
              <w:keepLines w:val="0"/>
              <w:pageBreakBefore w:val="0"/>
              <w:kinsoku/>
              <w:wordWrap/>
              <w:overflowPunct/>
              <w:topLinePunct w:val="0"/>
              <w:bidi w:val="0"/>
              <w:spacing w:line="360" w:lineRule="auto"/>
              <w:ind w:firstLine="480"/>
              <w:textAlignment w:val="auto"/>
              <w:outlineLvl w:val="1"/>
              <w:rPr>
                <w:rFonts w:hint="eastAsia" w:ascii="宋体" w:hAnsi="宋体" w:eastAsia="宋体" w:cs="宋体"/>
                <w:color w:val="000000" w:themeColor="text1"/>
                <w:sz w:val="24"/>
                <w:szCs w:val="24"/>
                <w:highlight w:val="none"/>
                <w14:textFill>
                  <w14:solidFill>
                    <w14:schemeClr w14:val="tx1"/>
                  </w14:solidFill>
                </w14:textFill>
              </w:rPr>
            </w:pPr>
          </w:p>
        </w:tc>
        <w:tc>
          <w:tcPr>
            <w:tcW w:w="1593" w:type="dxa"/>
            <w:tcBorders>
              <w:left w:val="single" w:color="auto" w:sz="4" w:space="0"/>
              <w:right w:val="single" w:color="auto" w:sz="4" w:space="0"/>
            </w:tcBorders>
            <w:vAlign w:val="center"/>
          </w:tcPr>
          <w:p>
            <w:pPr>
              <w:keepNext w:val="0"/>
              <w:keepLines w:val="0"/>
              <w:pageBreakBefore w:val="0"/>
              <w:kinsoku/>
              <w:wordWrap/>
              <w:overflowPunct/>
              <w:topLinePunct w:val="0"/>
              <w:bidi w:val="0"/>
              <w:spacing w:line="360" w:lineRule="auto"/>
              <w:ind w:firstLine="0" w:firstLineChars="0"/>
              <w:textAlignment w:val="auto"/>
              <w:outlineLvl w:val="1"/>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*行政区域</w:t>
            </w:r>
          </w:p>
        </w:tc>
        <w:tc>
          <w:tcPr>
            <w:tcW w:w="1969" w:type="dxa"/>
            <w:tcBorders>
              <w:left w:val="single" w:color="auto" w:sz="4" w:space="0"/>
            </w:tcBorders>
            <w:vAlign w:val="center"/>
          </w:tcPr>
          <w:p>
            <w:pPr>
              <w:keepNext w:val="0"/>
              <w:keepLines w:val="0"/>
              <w:pageBreakBefore w:val="0"/>
              <w:kinsoku/>
              <w:wordWrap/>
              <w:overflowPunct/>
              <w:topLinePunct w:val="0"/>
              <w:bidi w:val="0"/>
              <w:spacing w:line="360" w:lineRule="auto"/>
              <w:ind w:firstLine="470" w:firstLineChars="196"/>
              <w:textAlignment w:val="auto"/>
              <w:outlineLvl w:val="1"/>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2460" w:type="dxa"/>
            <w:gridSpan w:val="2"/>
            <w:vAlign w:val="center"/>
          </w:tcPr>
          <w:p>
            <w:pPr>
              <w:keepNext w:val="0"/>
              <w:keepLines w:val="0"/>
              <w:pageBreakBefore w:val="0"/>
              <w:kinsoku/>
              <w:wordWrap/>
              <w:overflowPunct/>
              <w:topLinePunct w:val="0"/>
              <w:bidi w:val="0"/>
              <w:spacing w:line="360" w:lineRule="auto"/>
              <w:ind w:firstLine="0" w:firstLineChars="0"/>
              <w:textAlignment w:val="auto"/>
              <w:outlineLvl w:val="1"/>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*供应商规模</w:t>
            </w:r>
          </w:p>
        </w:tc>
        <w:tc>
          <w:tcPr>
            <w:tcW w:w="6732" w:type="dxa"/>
            <w:gridSpan w:val="4"/>
            <w:vAlign w:val="center"/>
          </w:tcPr>
          <w:p>
            <w:pPr>
              <w:keepNext w:val="0"/>
              <w:keepLines w:val="0"/>
              <w:pageBreakBefore w:val="0"/>
              <w:kinsoku/>
              <w:wordWrap/>
              <w:overflowPunct/>
              <w:topLinePunct w:val="0"/>
              <w:bidi w:val="0"/>
              <w:spacing w:line="360" w:lineRule="auto"/>
              <w:ind w:firstLine="0" w:firstLineChars="0"/>
              <w:textAlignment w:val="auto"/>
              <w:outlineLvl w:val="1"/>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□大型企业   □中型企业   □小微型企业（对应处打“√”）</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2460" w:type="dxa"/>
            <w:gridSpan w:val="2"/>
            <w:vMerge w:val="restart"/>
            <w:vAlign w:val="center"/>
          </w:tcPr>
          <w:p>
            <w:pPr>
              <w:keepNext w:val="0"/>
              <w:keepLines w:val="0"/>
              <w:pageBreakBefore w:val="0"/>
              <w:kinsoku/>
              <w:wordWrap/>
              <w:overflowPunct/>
              <w:topLinePunct w:val="0"/>
              <w:bidi w:val="0"/>
              <w:spacing w:line="360" w:lineRule="auto"/>
              <w:ind w:firstLine="0" w:firstLineChars="0"/>
              <w:textAlignment w:val="auto"/>
              <w:outlineLvl w:val="1"/>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*单位联系方式</w:t>
            </w:r>
          </w:p>
        </w:tc>
        <w:tc>
          <w:tcPr>
            <w:tcW w:w="1615" w:type="dxa"/>
            <w:vAlign w:val="center"/>
          </w:tcPr>
          <w:p>
            <w:pPr>
              <w:keepNext w:val="0"/>
              <w:keepLines w:val="0"/>
              <w:pageBreakBefore w:val="0"/>
              <w:kinsoku/>
              <w:wordWrap/>
              <w:overflowPunct/>
              <w:topLinePunct w:val="0"/>
              <w:bidi w:val="0"/>
              <w:spacing w:line="360" w:lineRule="auto"/>
              <w:ind w:firstLine="0" w:firstLineChars="0"/>
              <w:textAlignment w:val="auto"/>
              <w:outlineLvl w:val="1"/>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*单位联系人</w:t>
            </w:r>
          </w:p>
        </w:tc>
        <w:tc>
          <w:tcPr>
            <w:tcW w:w="1555" w:type="dxa"/>
            <w:vAlign w:val="center"/>
          </w:tcPr>
          <w:p>
            <w:pPr>
              <w:keepNext w:val="0"/>
              <w:keepLines w:val="0"/>
              <w:pageBreakBefore w:val="0"/>
              <w:kinsoku/>
              <w:wordWrap/>
              <w:overflowPunct/>
              <w:topLinePunct w:val="0"/>
              <w:bidi w:val="0"/>
              <w:spacing w:line="360" w:lineRule="auto"/>
              <w:ind w:firstLine="470" w:firstLineChars="196"/>
              <w:textAlignment w:val="auto"/>
              <w:outlineLvl w:val="1"/>
              <w:rPr>
                <w:rFonts w:hint="eastAsia" w:ascii="宋体" w:hAnsi="宋体" w:eastAsia="宋体" w:cs="宋体"/>
                <w:color w:val="000000" w:themeColor="text1"/>
                <w:sz w:val="24"/>
                <w:szCs w:val="24"/>
                <w:highlight w:val="none"/>
                <w14:textFill>
                  <w14:solidFill>
                    <w14:schemeClr w14:val="tx1"/>
                  </w14:solidFill>
                </w14:textFill>
              </w:rPr>
            </w:pPr>
          </w:p>
        </w:tc>
        <w:tc>
          <w:tcPr>
            <w:tcW w:w="1593" w:type="dxa"/>
            <w:vAlign w:val="center"/>
          </w:tcPr>
          <w:p>
            <w:pPr>
              <w:keepNext w:val="0"/>
              <w:keepLines w:val="0"/>
              <w:pageBreakBefore w:val="0"/>
              <w:kinsoku/>
              <w:wordWrap/>
              <w:overflowPunct/>
              <w:topLinePunct w:val="0"/>
              <w:bidi w:val="0"/>
              <w:spacing w:line="360" w:lineRule="auto"/>
              <w:ind w:firstLine="0" w:firstLineChars="0"/>
              <w:textAlignment w:val="auto"/>
              <w:outlineLvl w:val="1"/>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*单位电话</w:t>
            </w:r>
          </w:p>
        </w:tc>
        <w:tc>
          <w:tcPr>
            <w:tcW w:w="1969" w:type="dxa"/>
            <w:vAlign w:val="center"/>
          </w:tcPr>
          <w:p>
            <w:pPr>
              <w:keepNext w:val="0"/>
              <w:keepLines w:val="0"/>
              <w:pageBreakBefore w:val="0"/>
              <w:kinsoku/>
              <w:wordWrap/>
              <w:overflowPunct/>
              <w:topLinePunct w:val="0"/>
              <w:bidi w:val="0"/>
              <w:spacing w:line="360" w:lineRule="auto"/>
              <w:ind w:firstLine="470" w:firstLineChars="196"/>
              <w:textAlignment w:val="auto"/>
              <w:outlineLvl w:val="1"/>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2460" w:type="dxa"/>
            <w:gridSpan w:val="2"/>
            <w:vMerge w:val="continue"/>
            <w:vAlign w:val="center"/>
          </w:tcPr>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615" w:type="dxa"/>
            <w:vAlign w:val="center"/>
          </w:tcPr>
          <w:p>
            <w:pPr>
              <w:keepNext w:val="0"/>
              <w:keepLines w:val="0"/>
              <w:pageBreakBefore w:val="0"/>
              <w:kinsoku/>
              <w:wordWrap/>
              <w:overflowPunct/>
              <w:topLinePunct w:val="0"/>
              <w:bidi w:val="0"/>
              <w:spacing w:line="360" w:lineRule="auto"/>
              <w:ind w:firstLine="0" w:firstLineChars="0"/>
              <w:textAlignment w:val="auto"/>
              <w:outlineLvl w:val="1"/>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*单位邮箱</w:t>
            </w:r>
          </w:p>
        </w:tc>
        <w:tc>
          <w:tcPr>
            <w:tcW w:w="5117" w:type="dxa"/>
            <w:gridSpan w:val="3"/>
            <w:vAlign w:val="center"/>
          </w:tcPr>
          <w:p>
            <w:pPr>
              <w:keepNext w:val="0"/>
              <w:keepLines w:val="0"/>
              <w:pageBreakBefore w:val="0"/>
              <w:kinsoku/>
              <w:wordWrap/>
              <w:overflowPunct/>
              <w:topLinePunct w:val="0"/>
              <w:bidi w:val="0"/>
              <w:spacing w:line="360" w:lineRule="auto"/>
              <w:ind w:firstLine="470" w:firstLineChars="196"/>
              <w:textAlignment w:val="auto"/>
              <w:outlineLvl w:val="1"/>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9192" w:type="dxa"/>
            <w:gridSpan w:val="6"/>
            <w:vAlign w:val="center"/>
          </w:tcPr>
          <w:p>
            <w:pPr>
              <w:keepNext w:val="0"/>
              <w:keepLines w:val="0"/>
              <w:pageBreakBefore w:val="0"/>
              <w:kinsoku/>
              <w:wordWrap/>
              <w:overflowPunct/>
              <w:topLinePunct w:val="0"/>
              <w:bidi w:val="0"/>
              <w:spacing w:line="360" w:lineRule="auto"/>
              <w:ind w:firstLine="472" w:firstLineChars="196"/>
              <w:textAlignment w:val="auto"/>
              <w:outlineLvl w:val="1"/>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注：以上*号项信息供应商须如实填写，信息将录入四川省政府采购计划执行系统，若因供应商提供错误信息造成的问题，由其自身承担。</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29" w:hRule="atLeast"/>
        </w:trPr>
        <w:tc>
          <w:tcPr>
            <w:tcW w:w="1278" w:type="dxa"/>
            <w:vMerge w:val="restart"/>
            <w:tcBorders>
              <w:right w:val="single" w:color="auto" w:sz="4" w:space="0"/>
            </w:tcBorders>
            <w:vAlign w:val="center"/>
          </w:tcPr>
          <w:p>
            <w:pPr>
              <w:keepNext w:val="0"/>
              <w:keepLines w:val="0"/>
              <w:pageBreakBefore w:val="0"/>
              <w:kinsoku/>
              <w:wordWrap/>
              <w:overflowPunct/>
              <w:topLinePunct w:val="0"/>
              <w:bidi w:val="0"/>
              <w:spacing w:line="360" w:lineRule="auto"/>
              <w:ind w:firstLine="0" w:firstLineChars="0"/>
              <w:textAlignment w:val="auto"/>
              <w:outlineLvl w:val="1"/>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供应商应答“采购文件”的主要内容</w:t>
            </w:r>
          </w:p>
        </w:tc>
        <w:tc>
          <w:tcPr>
            <w:tcW w:w="4352" w:type="dxa"/>
            <w:gridSpan w:val="3"/>
            <w:tcBorders>
              <w:left w:val="single" w:color="auto" w:sz="4" w:space="0"/>
              <w:right w:val="single" w:color="auto" w:sz="4" w:space="0"/>
            </w:tcBorders>
            <w:vAlign w:val="center"/>
          </w:tcPr>
          <w:p>
            <w:pPr>
              <w:keepNext w:val="0"/>
              <w:keepLines w:val="0"/>
              <w:pageBreakBefore w:val="0"/>
              <w:kinsoku/>
              <w:wordWrap/>
              <w:overflowPunct/>
              <w:topLinePunct w:val="0"/>
              <w:bidi w:val="0"/>
              <w:spacing w:line="240" w:lineRule="auto"/>
              <w:ind w:firstLine="0" w:firstLineChars="0"/>
              <w:textAlignment w:val="auto"/>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主要中标或者成交标的的名称</w:t>
            </w:r>
          </w:p>
        </w:tc>
        <w:tc>
          <w:tcPr>
            <w:tcW w:w="3562" w:type="dxa"/>
            <w:gridSpan w:val="2"/>
            <w:tcBorders>
              <w:left w:val="single" w:color="auto" w:sz="4" w:space="0"/>
            </w:tcBorders>
            <w:vAlign w:val="center"/>
          </w:tcPr>
          <w:p>
            <w:pPr>
              <w:keepNext w:val="0"/>
              <w:keepLines w:val="0"/>
              <w:pageBreakBefore w:val="0"/>
              <w:kinsoku/>
              <w:wordWrap/>
              <w:overflowPunct/>
              <w:topLinePunct w:val="0"/>
              <w:bidi w:val="0"/>
              <w:spacing w:line="360" w:lineRule="auto"/>
              <w:ind w:firstLine="482"/>
              <w:textAlignment w:val="auto"/>
              <w:rPr>
                <w:rFonts w:hint="eastAsia" w:ascii="宋体" w:hAnsi="宋体" w:eastAsia="宋体" w:cs="宋体"/>
                <w:b/>
                <w:bCs/>
                <w:color w:val="000000" w:themeColor="text1"/>
                <w:sz w:val="24"/>
                <w:szCs w:val="24"/>
                <w:highlight w:val="none"/>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78" w:type="dxa"/>
            <w:vMerge w:val="continue"/>
            <w:tcBorders>
              <w:right w:val="single" w:color="auto" w:sz="4" w:space="0"/>
            </w:tcBorders>
            <w:vAlign w:val="center"/>
          </w:tcPr>
          <w:p>
            <w:pPr>
              <w:keepNext w:val="0"/>
              <w:keepLines w:val="0"/>
              <w:pageBreakBefore w:val="0"/>
              <w:kinsoku/>
              <w:wordWrap/>
              <w:overflowPunct/>
              <w:topLinePunct w:val="0"/>
              <w:bidi w:val="0"/>
              <w:spacing w:line="360" w:lineRule="auto"/>
              <w:ind w:firstLine="472" w:firstLineChars="196"/>
              <w:textAlignment w:val="auto"/>
              <w:outlineLvl w:val="1"/>
              <w:rPr>
                <w:rFonts w:hint="eastAsia" w:ascii="宋体" w:hAnsi="宋体" w:eastAsia="宋体" w:cs="宋体"/>
                <w:b/>
                <w:bCs/>
                <w:color w:val="000000" w:themeColor="text1"/>
                <w:sz w:val="24"/>
                <w:szCs w:val="24"/>
                <w:highlight w:val="none"/>
                <w14:textFill>
                  <w14:solidFill>
                    <w14:schemeClr w14:val="tx1"/>
                  </w14:solidFill>
                </w14:textFill>
              </w:rPr>
            </w:pPr>
          </w:p>
        </w:tc>
        <w:tc>
          <w:tcPr>
            <w:tcW w:w="4352" w:type="dxa"/>
            <w:gridSpan w:val="3"/>
            <w:tcBorders>
              <w:left w:val="single" w:color="auto" w:sz="4" w:space="0"/>
              <w:right w:val="single" w:color="auto" w:sz="4" w:space="0"/>
            </w:tcBorders>
            <w:vAlign w:val="center"/>
          </w:tcPr>
          <w:p>
            <w:pPr>
              <w:keepNext w:val="0"/>
              <w:keepLines w:val="0"/>
              <w:pageBreakBefore w:val="0"/>
              <w:kinsoku/>
              <w:wordWrap/>
              <w:overflowPunct/>
              <w:topLinePunct w:val="0"/>
              <w:bidi w:val="0"/>
              <w:spacing w:line="240" w:lineRule="auto"/>
              <w:ind w:firstLine="0" w:firstLineChars="0"/>
              <w:textAlignment w:val="auto"/>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主要中标或者成交标的的规格型号</w:t>
            </w:r>
          </w:p>
        </w:tc>
        <w:tc>
          <w:tcPr>
            <w:tcW w:w="3562" w:type="dxa"/>
            <w:gridSpan w:val="2"/>
            <w:tcBorders>
              <w:left w:val="single" w:color="auto" w:sz="4" w:space="0"/>
            </w:tcBorders>
            <w:vAlign w:val="center"/>
          </w:tcPr>
          <w:p>
            <w:pPr>
              <w:keepNext w:val="0"/>
              <w:keepLines w:val="0"/>
              <w:pageBreakBefore w:val="0"/>
              <w:kinsoku/>
              <w:wordWrap/>
              <w:overflowPunct/>
              <w:topLinePunct w:val="0"/>
              <w:bidi w:val="0"/>
              <w:spacing w:line="360" w:lineRule="auto"/>
              <w:ind w:firstLine="482"/>
              <w:textAlignment w:val="auto"/>
              <w:rPr>
                <w:rFonts w:hint="eastAsia" w:ascii="宋体" w:hAnsi="宋体" w:eastAsia="宋体" w:cs="宋体"/>
                <w:b/>
                <w:bCs/>
                <w:color w:val="000000" w:themeColor="text1"/>
                <w:sz w:val="24"/>
                <w:szCs w:val="24"/>
                <w:highlight w:val="none"/>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78" w:type="dxa"/>
            <w:vMerge w:val="continue"/>
            <w:tcBorders>
              <w:right w:val="single" w:color="auto" w:sz="4" w:space="0"/>
            </w:tcBorders>
            <w:vAlign w:val="center"/>
          </w:tcPr>
          <w:p>
            <w:pPr>
              <w:keepNext w:val="0"/>
              <w:keepLines w:val="0"/>
              <w:pageBreakBefore w:val="0"/>
              <w:kinsoku/>
              <w:wordWrap/>
              <w:overflowPunct/>
              <w:topLinePunct w:val="0"/>
              <w:bidi w:val="0"/>
              <w:spacing w:line="360" w:lineRule="auto"/>
              <w:ind w:firstLine="472" w:firstLineChars="196"/>
              <w:textAlignment w:val="auto"/>
              <w:outlineLvl w:val="1"/>
              <w:rPr>
                <w:rFonts w:hint="eastAsia" w:ascii="宋体" w:hAnsi="宋体" w:eastAsia="宋体" w:cs="宋体"/>
                <w:b/>
                <w:bCs/>
                <w:color w:val="000000" w:themeColor="text1"/>
                <w:sz w:val="24"/>
                <w:szCs w:val="24"/>
                <w:highlight w:val="none"/>
                <w14:textFill>
                  <w14:solidFill>
                    <w14:schemeClr w14:val="tx1"/>
                  </w14:solidFill>
                </w14:textFill>
              </w:rPr>
            </w:pPr>
          </w:p>
        </w:tc>
        <w:tc>
          <w:tcPr>
            <w:tcW w:w="4352" w:type="dxa"/>
            <w:gridSpan w:val="3"/>
            <w:tcBorders>
              <w:left w:val="single" w:color="auto" w:sz="4" w:space="0"/>
              <w:right w:val="single" w:color="auto" w:sz="4" w:space="0"/>
            </w:tcBorders>
            <w:vAlign w:val="center"/>
          </w:tcPr>
          <w:p>
            <w:pPr>
              <w:keepNext w:val="0"/>
              <w:keepLines w:val="0"/>
              <w:pageBreakBefore w:val="0"/>
              <w:kinsoku/>
              <w:wordWrap/>
              <w:overflowPunct/>
              <w:topLinePunct w:val="0"/>
              <w:bidi w:val="0"/>
              <w:spacing w:line="240" w:lineRule="auto"/>
              <w:ind w:firstLine="0" w:firstLineChars="0"/>
              <w:textAlignment w:val="auto"/>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主要中标或者成交标的的数量</w:t>
            </w:r>
          </w:p>
        </w:tc>
        <w:tc>
          <w:tcPr>
            <w:tcW w:w="3562" w:type="dxa"/>
            <w:gridSpan w:val="2"/>
            <w:tcBorders>
              <w:left w:val="single" w:color="auto" w:sz="4" w:space="0"/>
            </w:tcBorders>
            <w:vAlign w:val="center"/>
          </w:tcPr>
          <w:p>
            <w:pPr>
              <w:keepNext w:val="0"/>
              <w:keepLines w:val="0"/>
              <w:pageBreakBefore w:val="0"/>
              <w:kinsoku/>
              <w:wordWrap/>
              <w:overflowPunct/>
              <w:topLinePunct w:val="0"/>
              <w:bidi w:val="0"/>
              <w:spacing w:line="360" w:lineRule="auto"/>
              <w:ind w:firstLine="482"/>
              <w:textAlignment w:val="auto"/>
              <w:rPr>
                <w:rFonts w:hint="eastAsia" w:ascii="宋体" w:hAnsi="宋体" w:eastAsia="宋体" w:cs="宋体"/>
                <w:b/>
                <w:bCs/>
                <w:color w:val="000000" w:themeColor="text1"/>
                <w:sz w:val="24"/>
                <w:szCs w:val="24"/>
                <w:highlight w:val="none"/>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78" w:type="dxa"/>
            <w:vMerge w:val="continue"/>
            <w:tcBorders>
              <w:right w:val="single" w:color="auto" w:sz="4" w:space="0"/>
            </w:tcBorders>
            <w:vAlign w:val="center"/>
          </w:tcPr>
          <w:p>
            <w:pPr>
              <w:keepNext w:val="0"/>
              <w:keepLines w:val="0"/>
              <w:pageBreakBefore w:val="0"/>
              <w:kinsoku/>
              <w:wordWrap/>
              <w:overflowPunct/>
              <w:topLinePunct w:val="0"/>
              <w:bidi w:val="0"/>
              <w:spacing w:line="360" w:lineRule="auto"/>
              <w:ind w:firstLine="472" w:firstLineChars="196"/>
              <w:textAlignment w:val="auto"/>
              <w:outlineLvl w:val="1"/>
              <w:rPr>
                <w:rFonts w:hint="eastAsia" w:ascii="宋体" w:hAnsi="宋体" w:eastAsia="宋体" w:cs="宋体"/>
                <w:b/>
                <w:bCs/>
                <w:color w:val="000000" w:themeColor="text1"/>
                <w:sz w:val="24"/>
                <w:szCs w:val="24"/>
                <w:highlight w:val="none"/>
                <w14:textFill>
                  <w14:solidFill>
                    <w14:schemeClr w14:val="tx1"/>
                  </w14:solidFill>
                </w14:textFill>
              </w:rPr>
            </w:pPr>
          </w:p>
        </w:tc>
        <w:tc>
          <w:tcPr>
            <w:tcW w:w="4352" w:type="dxa"/>
            <w:gridSpan w:val="3"/>
            <w:tcBorders>
              <w:left w:val="single" w:color="auto" w:sz="4" w:space="0"/>
              <w:right w:val="single" w:color="auto" w:sz="4" w:space="0"/>
            </w:tcBorders>
            <w:vAlign w:val="center"/>
          </w:tcPr>
          <w:p>
            <w:pPr>
              <w:keepNext w:val="0"/>
              <w:keepLines w:val="0"/>
              <w:pageBreakBefore w:val="0"/>
              <w:kinsoku/>
              <w:wordWrap/>
              <w:overflowPunct/>
              <w:topLinePunct w:val="0"/>
              <w:bidi w:val="0"/>
              <w:spacing w:line="240" w:lineRule="auto"/>
              <w:ind w:firstLine="0" w:firstLineChars="0"/>
              <w:textAlignment w:val="auto"/>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主要中标或者成交标的的单价</w:t>
            </w:r>
          </w:p>
        </w:tc>
        <w:tc>
          <w:tcPr>
            <w:tcW w:w="3562" w:type="dxa"/>
            <w:gridSpan w:val="2"/>
            <w:tcBorders>
              <w:left w:val="single" w:color="auto" w:sz="4" w:space="0"/>
            </w:tcBorders>
            <w:vAlign w:val="center"/>
          </w:tcPr>
          <w:p>
            <w:pPr>
              <w:keepNext w:val="0"/>
              <w:keepLines w:val="0"/>
              <w:pageBreakBefore w:val="0"/>
              <w:kinsoku/>
              <w:wordWrap/>
              <w:overflowPunct/>
              <w:topLinePunct w:val="0"/>
              <w:bidi w:val="0"/>
              <w:spacing w:line="360" w:lineRule="auto"/>
              <w:ind w:firstLine="482"/>
              <w:textAlignment w:val="auto"/>
              <w:rPr>
                <w:rFonts w:hint="eastAsia" w:ascii="宋体" w:hAnsi="宋体" w:eastAsia="宋体" w:cs="宋体"/>
                <w:b/>
                <w:bCs/>
                <w:color w:val="000000" w:themeColor="text1"/>
                <w:sz w:val="24"/>
                <w:szCs w:val="24"/>
                <w:highlight w:val="none"/>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652" w:hRule="atLeast"/>
        </w:trPr>
        <w:tc>
          <w:tcPr>
            <w:tcW w:w="1278" w:type="dxa"/>
            <w:vMerge w:val="continue"/>
            <w:tcBorders>
              <w:bottom w:val="single" w:color="auto" w:sz="18" w:space="0"/>
              <w:right w:val="single" w:color="auto" w:sz="4" w:space="0"/>
            </w:tcBorders>
            <w:vAlign w:val="center"/>
          </w:tcPr>
          <w:p>
            <w:pPr>
              <w:keepNext w:val="0"/>
              <w:keepLines w:val="0"/>
              <w:pageBreakBefore w:val="0"/>
              <w:kinsoku/>
              <w:wordWrap/>
              <w:overflowPunct/>
              <w:topLinePunct w:val="0"/>
              <w:bidi w:val="0"/>
              <w:spacing w:line="360" w:lineRule="auto"/>
              <w:ind w:firstLine="472" w:firstLineChars="196"/>
              <w:textAlignment w:val="auto"/>
              <w:outlineLvl w:val="1"/>
              <w:rPr>
                <w:rFonts w:hint="eastAsia" w:ascii="宋体" w:hAnsi="宋体" w:eastAsia="宋体" w:cs="宋体"/>
                <w:b/>
                <w:bCs/>
                <w:color w:val="000000" w:themeColor="text1"/>
                <w:sz w:val="24"/>
                <w:szCs w:val="24"/>
                <w:highlight w:val="none"/>
                <w14:textFill>
                  <w14:solidFill>
                    <w14:schemeClr w14:val="tx1"/>
                  </w14:solidFill>
                </w14:textFill>
              </w:rPr>
            </w:pPr>
          </w:p>
        </w:tc>
        <w:tc>
          <w:tcPr>
            <w:tcW w:w="4352" w:type="dxa"/>
            <w:gridSpan w:val="3"/>
            <w:tcBorders>
              <w:left w:val="single" w:color="auto" w:sz="4" w:space="0"/>
              <w:bottom w:val="single" w:color="auto" w:sz="18" w:space="0"/>
              <w:right w:val="single" w:color="auto" w:sz="4" w:space="0"/>
            </w:tcBorders>
            <w:vAlign w:val="center"/>
          </w:tcPr>
          <w:p>
            <w:pPr>
              <w:keepNext w:val="0"/>
              <w:keepLines w:val="0"/>
              <w:pageBreakBefore w:val="0"/>
              <w:kinsoku/>
              <w:wordWrap/>
              <w:overflowPunct/>
              <w:topLinePunct w:val="0"/>
              <w:bidi w:val="0"/>
              <w:spacing w:line="240" w:lineRule="auto"/>
              <w:ind w:firstLine="0" w:firstLineChars="0"/>
              <w:textAlignment w:val="auto"/>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主要中标或者成交标的的服务要求（如：交货期、质保期、售后服务等等）</w:t>
            </w:r>
          </w:p>
        </w:tc>
        <w:tc>
          <w:tcPr>
            <w:tcW w:w="3562" w:type="dxa"/>
            <w:gridSpan w:val="2"/>
            <w:tcBorders>
              <w:left w:val="single" w:color="auto" w:sz="4" w:space="0"/>
              <w:bottom w:val="single" w:color="auto" w:sz="18" w:space="0"/>
            </w:tcBorders>
            <w:vAlign w:val="center"/>
          </w:tcPr>
          <w:p>
            <w:pPr>
              <w:keepNext w:val="0"/>
              <w:keepLines w:val="0"/>
              <w:pageBreakBefore w:val="0"/>
              <w:widowControl/>
              <w:numPr>
                <w:ilvl w:val="0"/>
                <w:numId w:val="5"/>
              </w:numPr>
              <w:kinsoku/>
              <w:wordWrap/>
              <w:overflowPunct/>
              <w:topLinePunct w:val="0"/>
              <w:bidi w:val="0"/>
              <w:spacing w:line="240" w:lineRule="auto"/>
              <w:ind w:firstLine="480"/>
              <w:jc w:val="left"/>
              <w:textAlignment w:val="auto"/>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w:t>
            </w:r>
          </w:p>
          <w:p>
            <w:pPr>
              <w:keepNext w:val="0"/>
              <w:keepLines w:val="0"/>
              <w:pageBreakBefore w:val="0"/>
              <w:widowControl/>
              <w:numPr>
                <w:ilvl w:val="0"/>
                <w:numId w:val="5"/>
              </w:numPr>
              <w:kinsoku/>
              <w:wordWrap/>
              <w:overflowPunct/>
              <w:topLinePunct w:val="0"/>
              <w:bidi w:val="0"/>
              <w:spacing w:line="240" w:lineRule="auto"/>
              <w:ind w:firstLine="480"/>
              <w:jc w:val="left"/>
              <w:textAlignment w:val="auto"/>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w:t>
            </w:r>
          </w:p>
          <w:p>
            <w:pPr>
              <w:keepNext w:val="0"/>
              <w:keepLines w:val="0"/>
              <w:pageBreakBefore w:val="0"/>
              <w:kinsoku/>
              <w:wordWrap/>
              <w:overflowPunct/>
              <w:topLinePunct w:val="0"/>
              <w:bidi w:val="0"/>
              <w:spacing w:line="240" w:lineRule="auto"/>
              <w:ind w:firstLine="480"/>
              <w:textAlignment w:val="auto"/>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w:t>
            </w:r>
          </w:p>
        </w:tc>
      </w:tr>
    </w:tbl>
    <w:p>
      <w:pPr>
        <w:keepNext w:val="0"/>
        <w:keepLines w:val="0"/>
        <w:pageBreakBefore w:val="0"/>
        <w:kinsoku/>
        <w:wordWrap/>
        <w:overflowPunct/>
        <w:topLinePunct w:val="0"/>
        <w:bidi w:val="0"/>
        <w:spacing w:line="24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注：</w:t>
      </w:r>
      <w:r>
        <w:rPr>
          <w:rFonts w:hint="eastAsia" w:ascii="宋体" w:hAnsi="宋体" w:cs="宋体"/>
          <w:color w:val="000000" w:themeColor="text1"/>
          <w:sz w:val="24"/>
          <w:szCs w:val="24"/>
          <w:highlight w:val="none"/>
          <w:lang w:val="en-US" w:eastAsia="zh-CN"/>
          <w14:textFill>
            <w14:solidFill>
              <w14:schemeClr w14:val="tx1"/>
            </w14:solidFill>
          </w14:textFill>
        </w:rPr>
        <w:t>1、</w:t>
      </w:r>
      <w:r>
        <w:rPr>
          <w:rFonts w:hint="eastAsia" w:ascii="宋体" w:hAnsi="宋体" w:eastAsia="宋体" w:cs="宋体"/>
          <w:color w:val="000000" w:themeColor="text1"/>
          <w:sz w:val="24"/>
          <w:szCs w:val="24"/>
          <w:highlight w:val="none"/>
          <w14:textFill>
            <w14:solidFill>
              <w14:schemeClr w14:val="tx1"/>
            </w14:solidFill>
          </w14:textFill>
        </w:rPr>
        <w:t>供应商需如实完善表格内容。</w:t>
      </w:r>
    </w:p>
    <w:p>
      <w:pPr>
        <w:keepNext w:val="0"/>
        <w:keepLines w:val="0"/>
        <w:pageBreakBefore w:val="0"/>
        <w:widowControl/>
        <w:numPr>
          <w:ilvl w:val="0"/>
          <w:numId w:val="0"/>
        </w:numPr>
        <w:kinsoku/>
        <w:wordWrap/>
        <w:overflowPunct/>
        <w:topLinePunct w:val="0"/>
        <w:bidi w:val="0"/>
        <w:spacing w:line="240" w:lineRule="auto"/>
        <w:ind w:firstLine="960" w:firstLineChars="4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2、</w:t>
      </w:r>
      <w:r>
        <w:rPr>
          <w:rFonts w:hint="eastAsia" w:ascii="宋体" w:hAnsi="宋体" w:eastAsia="宋体" w:cs="宋体"/>
          <w:color w:val="000000" w:themeColor="text1"/>
          <w:sz w:val="24"/>
          <w:szCs w:val="24"/>
          <w:highlight w:val="none"/>
          <w14:textFill>
            <w14:solidFill>
              <w14:schemeClr w14:val="tx1"/>
            </w14:solidFill>
          </w14:textFill>
        </w:rPr>
        <w:t>供应商应答的主要内容应与响应文件一致，可以进行简要概括性表述。</w:t>
      </w:r>
    </w:p>
    <w:p>
      <w:pPr>
        <w:keepNext w:val="0"/>
        <w:keepLines w:val="0"/>
        <w:pageBreakBefore w:val="0"/>
        <w:widowControl/>
        <w:numPr>
          <w:ilvl w:val="0"/>
          <w:numId w:val="0"/>
        </w:numPr>
        <w:kinsoku/>
        <w:wordWrap/>
        <w:overflowPunct/>
        <w:topLinePunct w:val="0"/>
        <w:bidi w:val="0"/>
        <w:spacing w:line="240" w:lineRule="auto"/>
        <w:ind w:firstLine="960" w:firstLineChars="4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3、</w:t>
      </w:r>
      <w:r>
        <w:rPr>
          <w:rFonts w:hint="eastAsia" w:ascii="宋体" w:hAnsi="宋体" w:eastAsia="宋体" w:cs="宋体"/>
          <w:color w:val="000000" w:themeColor="text1"/>
          <w:sz w:val="24"/>
          <w:szCs w:val="24"/>
          <w:highlight w:val="none"/>
          <w14:textFill>
            <w14:solidFill>
              <w14:schemeClr w14:val="tx1"/>
            </w14:solidFill>
          </w14:textFill>
        </w:rPr>
        <w:t>供应商应答的主要内容仅用于结果公告，供应商自行完善的内容视为不涉及供应商商业秘密。若供应商没有填写或没有递交此表，视为允许采购代理机构将供应商响应文件中所有相关的应答内容进行公告。</w:t>
      </w:r>
    </w:p>
    <w:p>
      <w:pPr>
        <w:keepNext w:val="0"/>
        <w:keepLines w:val="0"/>
        <w:pageBreakBefore w:val="0"/>
        <w:kinsoku/>
        <w:wordWrap/>
        <w:overflowPunct/>
        <w:topLinePunct w:val="0"/>
        <w:bidi w:val="0"/>
        <w:spacing w:line="360" w:lineRule="auto"/>
        <w:ind w:firstLine="420" w:firstLineChars="175"/>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供应商名称：         （盖章）</w:t>
      </w:r>
    </w:p>
    <w:p>
      <w:pPr>
        <w:keepNext w:val="0"/>
        <w:keepLines w:val="0"/>
        <w:pageBreakBefore w:val="0"/>
        <w:kinsoku/>
        <w:wordWrap/>
        <w:overflowPunct/>
        <w:topLinePunct w:val="0"/>
        <w:bidi w:val="0"/>
        <w:spacing w:line="360" w:lineRule="auto"/>
        <w:ind w:firstLine="420" w:firstLineChars="175"/>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法定代表人/单位负责人或授权代表（签字或加盖个人印章）</w:t>
      </w:r>
      <w:r>
        <w:rPr>
          <w:rFonts w:hint="eastAsia" w:ascii="宋体" w:hAnsi="宋体" w:eastAsia="宋体" w:cs="宋体"/>
          <w:bCs/>
          <w:color w:val="000000" w:themeColor="text1"/>
          <w:sz w:val="24"/>
          <w:szCs w:val="24"/>
          <w:highlight w:val="none"/>
          <w14:textFill>
            <w14:solidFill>
              <w14:schemeClr w14:val="tx1"/>
            </w14:solidFill>
          </w14:textFill>
        </w:rPr>
        <w:t>：</w:t>
      </w:r>
    </w:p>
    <w:p>
      <w:pPr>
        <w:keepNext w:val="0"/>
        <w:keepLines w:val="0"/>
        <w:pageBreakBefore w:val="0"/>
        <w:kinsoku/>
        <w:wordWrap/>
        <w:overflowPunct/>
        <w:topLinePunct w:val="0"/>
        <w:bidi w:val="0"/>
        <w:spacing w:line="360" w:lineRule="auto"/>
        <w:ind w:firstLine="420" w:firstLineChars="175"/>
        <w:textAlignment w:val="auto"/>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报价日期:</w:t>
      </w:r>
    </w:p>
    <w:p>
      <w:pPr>
        <w:keepNext w:val="0"/>
        <w:keepLines w:val="0"/>
        <w:pageBreakBefore w:val="0"/>
        <w:widowControl/>
        <w:kinsoku/>
        <w:wordWrap/>
        <w:overflowPunct/>
        <w:topLinePunct w:val="0"/>
        <w:bidi w:val="0"/>
        <w:spacing w:line="360" w:lineRule="auto"/>
        <w:ind w:firstLine="551" w:firstLineChars="196"/>
        <w:jc w:val="left"/>
        <w:textAlignment w:val="auto"/>
        <w:outlineLvl w:val="1"/>
        <w:rPr>
          <w:rFonts w:hint="eastAsia" w:ascii="宋体" w:hAnsi="宋体" w:eastAsia="宋体" w:cs="宋体"/>
          <w:b/>
          <w:color w:val="000000" w:themeColor="text1"/>
          <w:sz w:val="28"/>
          <w:szCs w:val="28"/>
          <w:highlight w:val="none"/>
          <w14:textFill>
            <w14:solidFill>
              <w14:schemeClr w14:val="tx1"/>
            </w14:solidFill>
          </w14:textFill>
        </w:rPr>
      </w:pPr>
    </w:p>
    <w:p>
      <w:pPr>
        <w:keepNext w:val="0"/>
        <w:keepLines w:val="0"/>
        <w:pageBreakBefore w:val="0"/>
        <w:widowControl/>
        <w:kinsoku/>
        <w:wordWrap/>
        <w:overflowPunct/>
        <w:topLinePunct w:val="0"/>
        <w:bidi w:val="0"/>
        <w:spacing w:line="360" w:lineRule="auto"/>
        <w:ind w:firstLine="551" w:firstLineChars="196"/>
        <w:jc w:val="left"/>
        <w:textAlignment w:val="auto"/>
        <w:outlineLvl w:val="1"/>
        <w:rPr>
          <w:rFonts w:hint="eastAsia" w:ascii="宋体" w:hAnsi="宋体" w:eastAsia="宋体" w:cs="宋体"/>
          <w:b/>
          <w:color w:val="000000" w:themeColor="text1"/>
          <w:sz w:val="28"/>
          <w:szCs w:val="28"/>
          <w:highlight w:val="none"/>
          <w14:textFill>
            <w14:solidFill>
              <w14:schemeClr w14:val="tx1"/>
            </w14:solidFill>
          </w14:textFill>
        </w:rPr>
      </w:pPr>
      <w:r>
        <w:rPr>
          <w:rFonts w:hint="eastAsia" w:ascii="宋体" w:hAnsi="宋体" w:eastAsia="宋体" w:cs="宋体"/>
          <w:b/>
          <w:color w:val="000000" w:themeColor="text1"/>
          <w:sz w:val="28"/>
          <w:szCs w:val="28"/>
          <w:highlight w:val="none"/>
          <w14:textFill>
            <w14:solidFill>
              <w14:schemeClr w14:val="tx1"/>
            </w14:solidFill>
          </w14:textFill>
        </w:rPr>
        <w:t>格式2-</w:t>
      </w:r>
      <w:r>
        <w:rPr>
          <w:rFonts w:hint="eastAsia" w:ascii="宋体" w:hAnsi="宋体" w:cs="宋体"/>
          <w:b/>
          <w:color w:val="000000" w:themeColor="text1"/>
          <w:sz w:val="28"/>
          <w:szCs w:val="28"/>
          <w:highlight w:val="none"/>
          <w:lang w:val="en-US" w:eastAsia="zh-CN"/>
          <w14:textFill>
            <w14:solidFill>
              <w14:schemeClr w14:val="tx1"/>
            </w14:solidFill>
          </w14:textFill>
        </w:rPr>
        <w:t>8</w:t>
      </w:r>
    </w:p>
    <w:p>
      <w:pPr>
        <w:keepNext w:val="0"/>
        <w:keepLines w:val="0"/>
        <w:pageBreakBefore w:val="0"/>
        <w:kinsoku/>
        <w:wordWrap/>
        <w:overflowPunct/>
        <w:topLinePunct w:val="0"/>
        <w:bidi w:val="0"/>
        <w:spacing w:line="360" w:lineRule="auto"/>
        <w:ind w:firstLine="643"/>
        <w:jc w:val="center"/>
        <w:textAlignment w:val="auto"/>
        <w:rPr>
          <w:rFonts w:hint="eastAsia"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b/>
          <w:bCs/>
          <w:color w:val="000000" w:themeColor="text1"/>
          <w:sz w:val="28"/>
          <w:szCs w:val="28"/>
          <w:highlight w:val="none"/>
          <w14:textFill>
            <w14:solidFill>
              <w14:schemeClr w14:val="tx1"/>
            </w14:solidFill>
          </w14:textFill>
        </w:rPr>
        <w:t>供应商类似项目业绩一览表</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themeColor="text1"/>
          <w:sz w:val="28"/>
          <w:szCs w:val="28"/>
          <w:highlight w:val="none"/>
          <w14:textFill>
            <w14:solidFill>
              <w14:schemeClr w14:val="tx1"/>
            </w14:solidFill>
          </w14:textFill>
        </w:rPr>
      </w:pPr>
    </w:p>
    <w:tbl>
      <w:tblPr>
        <w:tblStyle w:val="24"/>
        <w:tblW w:w="9058"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903"/>
        <w:gridCol w:w="1254"/>
        <w:gridCol w:w="1319"/>
        <w:gridCol w:w="1383"/>
        <w:gridCol w:w="1462"/>
        <w:gridCol w:w="1969"/>
        <w:gridCol w:w="758"/>
        <w:gridCol w:w="1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903" w:type="dxa"/>
            <w:tcBorders>
              <w:top w:val="single" w:color="auto" w:sz="4" w:space="0"/>
            </w:tcBorders>
            <w:vAlign w:val="center"/>
          </w:tcPr>
          <w:p>
            <w:pPr>
              <w:keepNext w:val="0"/>
              <w:keepLines w:val="0"/>
              <w:pageBreakBefore w:val="0"/>
              <w:kinsoku/>
              <w:wordWrap/>
              <w:overflowPunct/>
              <w:topLinePunct w:val="0"/>
              <w:bidi w:val="0"/>
              <w:spacing w:line="360" w:lineRule="auto"/>
              <w:ind w:firstLine="120" w:firstLineChars="50"/>
              <w:jc w:val="center"/>
              <w:textAlignment w:val="auto"/>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年份</w:t>
            </w:r>
          </w:p>
        </w:tc>
        <w:tc>
          <w:tcPr>
            <w:tcW w:w="1254" w:type="dxa"/>
            <w:tcBorders>
              <w:top w:val="single" w:color="auto" w:sz="4" w:space="0"/>
            </w:tcBorders>
            <w:vAlign w:val="center"/>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用户名称</w:t>
            </w:r>
          </w:p>
        </w:tc>
        <w:tc>
          <w:tcPr>
            <w:tcW w:w="1319" w:type="dxa"/>
            <w:tcBorders>
              <w:top w:val="single" w:color="auto" w:sz="4" w:space="0"/>
            </w:tcBorders>
            <w:vAlign w:val="center"/>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项目名称</w:t>
            </w:r>
          </w:p>
        </w:tc>
        <w:tc>
          <w:tcPr>
            <w:tcW w:w="1383" w:type="dxa"/>
            <w:tcBorders>
              <w:top w:val="single" w:color="auto" w:sz="4" w:space="0"/>
            </w:tcBorders>
            <w:vAlign w:val="center"/>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完成时间</w:t>
            </w:r>
          </w:p>
        </w:tc>
        <w:tc>
          <w:tcPr>
            <w:tcW w:w="1462" w:type="dxa"/>
            <w:tcBorders>
              <w:top w:val="single" w:color="auto" w:sz="4" w:space="0"/>
            </w:tcBorders>
            <w:vAlign w:val="center"/>
          </w:tcPr>
          <w:p>
            <w:pPr>
              <w:keepNext w:val="0"/>
              <w:keepLines w:val="0"/>
              <w:pageBreakBefore w:val="0"/>
              <w:kinsoku/>
              <w:wordWrap/>
              <w:overflowPunct/>
              <w:topLinePunct w:val="0"/>
              <w:bidi w:val="0"/>
              <w:spacing w:line="360" w:lineRule="auto"/>
              <w:ind w:firstLine="120" w:firstLineChars="50"/>
              <w:jc w:val="center"/>
              <w:textAlignment w:val="auto"/>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合同金额</w:t>
            </w:r>
          </w:p>
        </w:tc>
        <w:tc>
          <w:tcPr>
            <w:tcW w:w="1969" w:type="dxa"/>
            <w:tcBorders>
              <w:top w:val="single" w:color="auto" w:sz="4" w:space="0"/>
              <w:right w:val="single" w:color="auto" w:sz="4" w:space="0"/>
            </w:tcBorders>
            <w:vAlign w:val="center"/>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是否通过验收</w:t>
            </w:r>
          </w:p>
        </w:tc>
        <w:tc>
          <w:tcPr>
            <w:tcW w:w="768" w:type="dxa"/>
            <w:gridSpan w:val="2"/>
            <w:tcBorders>
              <w:top w:val="single" w:color="auto" w:sz="4" w:space="0"/>
              <w:left w:val="single" w:color="auto" w:sz="4" w:space="0"/>
            </w:tcBorders>
            <w:vAlign w:val="center"/>
          </w:tcPr>
          <w:p>
            <w:pPr>
              <w:keepNext w:val="0"/>
              <w:keepLines w:val="0"/>
              <w:pageBreakBefore w:val="0"/>
              <w:kinsoku/>
              <w:wordWrap/>
              <w:overflowPunct/>
              <w:topLinePunct w:val="0"/>
              <w:bidi w:val="0"/>
              <w:spacing w:line="360" w:lineRule="auto"/>
              <w:ind w:left="0" w:leftChars="0" w:firstLine="0" w:firstLineChars="0"/>
              <w:jc w:val="both"/>
              <w:textAlignment w:val="auto"/>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cantSplit/>
          <w:trHeight w:val="600" w:hRule="atLeast"/>
          <w:jc w:val="center"/>
        </w:trPr>
        <w:tc>
          <w:tcPr>
            <w:tcW w:w="903"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254"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319"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383"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462"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969" w:type="dxa"/>
            <w:tcBorders>
              <w:right w:val="single" w:color="auto" w:sz="4" w:space="0"/>
            </w:tcBorders>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768" w:type="dxa"/>
            <w:gridSpan w:val="2"/>
            <w:tcBorders>
              <w:left w:val="single" w:color="auto" w:sz="4" w:space="0"/>
            </w:tcBorders>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903"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254"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319"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383"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462"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969" w:type="dxa"/>
            <w:tcBorders>
              <w:right w:val="single" w:color="auto" w:sz="4" w:space="0"/>
            </w:tcBorders>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768" w:type="dxa"/>
            <w:gridSpan w:val="2"/>
            <w:tcBorders>
              <w:left w:val="single" w:color="auto" w:sz="4" w:space="0"/>
            </w:tcBorders>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903"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254"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319"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383"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462"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969" w:type="dxa"/>
            <w:tcBorders>
              <w:right w:val="single" w:color="auto" w:sz="4" w:space="0"/>
            </w:tcBorders>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768" w:type="dxa"/>
            <w:gridSpan w:val="2"/>
            <w:tcBorders>
              <w:left w:val="single" w:color="auto" w:sz="4" w:space="0"/>
            </w:tcBorders>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903"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254" w:type="dxa"/>
            <w:tcBorders>
              <w:right w:val="single" w:color="auto" w:sz="4" w:space="0"/>
            </w:tcBorders>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319" w:type="dxa"/>
            <w:tcBorders>
              <w:left w:val="single" w:color="auto" w:sz="4" w:space="0"/>
            </w:tcBorders>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383"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462"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969" w:type="dxa"/>
            <w:tcBorders>
              <w:right w:val="single" w:color="auto" w:sz="4" w:space="0"/>
            </w:tcBorders>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768" w:type="dxa"/>
            <w:gridSpan w:val="2"/>
            <w:tcBorders>
              <w:left w:val="single" w:color="auto" w:sz="4" w:space="0"/>
            </w:tcBorders>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gridAfter w:val="1"/>
          <w:wAfter w:w="10" w:type="dxa"/>
          <w:cantSplit/>
          <w:trHeight w:val="600" w:hRule="atLeast"/>
          <w:jc w:val="center"/>
        </w:trPr>
        <w:tc>
          <w:tcPr>
            <w:tcW w:w="903" w:type="dxa"/>
            <w:tcBorders>
              <w:right w:val="single" w:color="auto" w:sz="4" w:space="0"/>
            </w:tcBorders>
            <w:vAlign w:val="center"/>
          </w:tcPr>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254" w:type="dxa"/>
            <w:tcBorders>
              <w:left w:val="single" w:color="auto" w:sz="4" w:space="0"/>
              <w:right w:val="single" w:color="auto" w:sz="4" w:space="0"/>
            </w:tcBorders>
            <w:vAlign w:val="center"/>
          </w:tcPr>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319" w:type="dxa"/>
            <w:tcBorders>
              <w:left w:val="single" w:color="auto" w:sz="4" w:space="0"/>
              <w:right w:val="single" w:color="auto" w:sz="4" w:space="0"/>
            </w:tcBorders>
            <w:vAlign w:val="center"/>
          </w:tcPr>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383" w:type="dxa"/>
            <w:tcBorders>
              <w:left w:val="single" w:color="auto" w:sz="4" w:space="0"/>
              <w:right w:val="single" w:color="auto" w:sz="4" w:space="0"/>
            </w:tcBorders>
            <w:vAlign w:val="center"/>
          </w:tcPr>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462" w:type="dxa"/>
            <w:tcBorders>
              <w:left w:val="single" w:color="auto" w:sz="4" w:space="0"/>
              <w:right w:val="single" w:color="auto" w:sz="4" w:space="0"/>
            </w:tcBorders>
            <w:vAlign w:val="center"/>
          </w:tcPr>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969" w:type="dxa"/>
            <w:tcBorders>
              <w:left w:val="single" w:color="auto" w:sz="4" w:space="0"/>
              <w:right w:val="single" w:color="auto" w:sz="4" w:space="0"/>
            </w:tcBorders>
            <w:vAlign w:val="center"/>
          </w:tcPr>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758" w:type="dxa"/>
            <w:tcBorders>
              <w:left w:val="single" w:color="auto" w:sz="4" w:space="0"/>
            </w:tcBorders>
            <w:vAlign w:val="center"/>
          </w:tcPr>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903" w:type="dxa"/>
            <w:vAlign w:val="center"/>
          </w:tcPr>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254" w:type="dxa"/>
            <w:vAlign w:val="center"/>
          </w:tcPr>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319" w:type="dxa"/>
            <w:vAlign w:val="center"/>
          </w:tcPr>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383" w:type="dxa"/>
            <w:vAlign w:val="center"/>
          </w:tcPr>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462" w:type="dxa"/>
            <w:tcBorders>
              <w:right w:val="single" w:color="auto" w:sz="4" w:space="0"/>
            </w:tcBorders>
            <w:vAlign w:val="center"/>
          </w:tcPr>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969" w:type="dxa"/>
            <w:tcBorders>
              <w:left w:val="single" w:color="auto" w:sz="4" w:space="0"/>
              <w:right w:val="single" w:color="auto" w:sz="4" w:space="0"/>
            </w:tcBorders>
            <w:vAlign w:val="center"/>
          </w:tcPr>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768" w:type="dxa"/>
            <w:gridSpan w:val="2"/>
            <w:tcBorders>
              <w:left w:val="single" w:color="auto" w:sz="4" w:space="0"/>
            </w:tcBorders>
            <w:vAlign w:val="center"/>
          </w:tcPr>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903"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254"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319"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383"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462" w:type="dxa"/>
            <w:tcBorders>
              <w:right w:val="single" w:color="auto" w:sz="4" w:space="0"/>
            </w:tcBorders>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969" w:type="dxa"/>
            <w:tcBorders>
              <w:left w:val="single" w:color="auto" w:sz="4" w:space="0"/>
              <w:right w:val="single" w:color="auto" w:sz="4" w:space="0"/>
            </w:tcBorders>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768" w:type="dxa"/>
            <w:gridSpan w:val="2"/>
            <w:tcBorders>
              <w:left w:val="single" w:color="auto" w:sz="4" w:space="0"/>
            </w:tcBorders>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903"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254"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319"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383"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462" w:type="dxa"/>
            <w:tcBorders>
              <w:right w:val="single" w:color="auto" w:sz="4" w:space="0"/>
            </w:tcBorders>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969" w:type="dxa"/>
            <w:tcBorders>
              <w:left w:val="single" w:color="auto" w:sz="4" w:space="0"/>
              <w:right w:val="single" w:color="auto" w:sz="4" w:space="0"/>
            </w:tcBorders>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768" w:type="dxa"/>
            <w:gridSpan w:val="2"/>
            <w:tcBorders>
              <w:left w:val="single" w:color="auto" w:sz="4" w:space="0"/>
            </w:tcBorders>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10" w:hRule="atLeast"/>
          <w:jc w:val="center"/>
        </w:trPr>
        <w:tc>
          <w:tcPr>
            <w:tcW w:w="903" w:type="dxa"/>
            <w:tcBorders>
              <w:bottom w:val="single" w:color="auto" w:sz="4" w:space="0"/>
            </w:tcBorders>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254" w:type="dxa"/>
            <w:tcBorders>
              <w:bottom w:val="single" w:color="auto" w:sz="4" w:space="0"/>
            </w:tcBorders>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319" w:type="dxa"/>
            <w:tcBorders>
              <w:bottom w:val="single" w:color="auto" w:sz="4" w:space="0"/>
            </w:tcBorders>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383" w:type="dxa"/>
            <w:tcBorders>
              <w:bottom w:val="single" w:color="auto" w:sz="4" w:space="0"/>
            </w:tcBorders>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462" w:type="dxa"/>
            <w:tcBorders>
              <w:bottom w:val="single" w:color="auto" w:sz="4" w:space="0"/>
              <w:right w:val="single" w:color="auto" w:sz="4" w:space="0"/>
            </w:tcBorders>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969" w:type="dxa"/>
            <w:tcBorders>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768" w:type="dxa"/>
            <w:gridSpan w:val="2"/>
            <w:tcBorders>
              <w:left w:val="single" w:color="auto" w:sz="4" w:space="0"/>
              <w:bottom w:val="single" w:color="auto" w:sz="4" w:space="0"/>
            </w:tcBorders>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903" w:type="dxa"/>
            <w:tcBorders>
              <w:top w:val="single" w:color="auto" w:sz="4" w:space="0"/>
              <w:bottom w:val="single" w:color="auto" w:sz="4" w:space="0"/>
            </w:tcBorders>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254" w:type="dxa"/>
            <w:tcBorders>
              <w:top w:val="single" w:color="auto" w:sz="4" w:space="0"/>
              <w:bottom w:val="single" w:color="auto" w:sz="4" w:space="0"/>
            </w:tcBorders>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319" w:type="dxa"/>
            <w:tcBorders>
              <w:top w:val="single" w:color="auto" w:sz="4" w:space="0"/>
              <w:bottom w:val="single" w:color="auto" w:sz="4" w:space="0"/>
            </w:tcBorders>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383" w:type="dxa"/>
            <w:tcBorders>
              <w:top w:val="single" w:color="auto" w:sz="4" w:space="0"/>
              <w:bottom w:val="single" w:color="auto" w:sz="4" w:space="0"/>
            </w:tcBorders>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462" w:type="dxa"/>
            <w:tcBorders>
              <w:top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96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768" w:type="dxa"/>
            <w:gridSpan w:val="2"/>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r>
    </w:tbl>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注：以上项目业绩需提供磋商文件要求的有关书面证明材料。</w:t>
      </w:r>
    </w:p>
    <w:p>
      <w:pPr>
        <w:keepNext w:val="0"/>
        <w:keepLines w:val="0"/>
        <w:pageBreakBefore w:val="0"/>
        <w:kinsoku/>
        <w:wordWrap/>
        <w:overflowPunct/>
        <w:topLinePunct w:val="0"/>
        <w:bidi w:val="0"/>
        <w:spacing w:line="360" w:lineRule="auto"/>
        <w:ind w:firstLine="48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供应商名称：XXXX（盖单位公章）</w:t>
      </w:r>
    </w:p>
    <w:p>
      <w:pPr>
        <w:keepNext w:val="0"/>
        <w:keepLines w:val="0"/>
        <w:pageBreakBefore w:val="0"/>
        <w:kinsoku/>
        <w:wordWrap/>
        <w:overflowPunct/>
        <w:topLinePunct w:val="0"/>
        <w:bidi w:val="0"/>
        <w:spacing w:line="360" w:lineRule="auto"/>
        <w:ind w:firstLine="48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法定代表人/单位负责人或授权代表（签字或加盖个人印章）：XXXX</w:t>
      </w:r>
    </w:p>
    <w:p>
      <w:pPr>
        <w:keepNext w:val="0"/>
        <w:keepLines w:val="0"/>
        <w:pageBreakBefore w:val="0"/>
        <w:kinsoku/>
        <w:wordWrap/>
        <w:overflowPunct/>
        <w:topLinePunct w:val="0"/>
        <w:bidi w:val="0"/>
        <w:spacing w:line="360" w:lineRule="auto"/>
        <w:ind w:firstLine="480"/>
        <w:jc w:val="left"/>
        <w:textAlignment w:val="auto"/>
        <w:rPr>
          <w:rFonts w:hint="eastAsia" w:ascii="宋体" w:hAnsi="宋体" w:eastAsia="宋体" w:cs="宋体"/>
          <w:b/>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日期: XXXX</w:t>
      </w:r>
      <w:r>
        <w:rPr>
          <w:rFonts w:hint="eastAsia" w:ascii="宋体" w:hAnsi="宋体" w:eastAsia="宋体" w:cs="宋体"/>
          <w:b/>
          <w:color w:val="000000" w:themeColor="text1"/>
          <w:sz w:val="28"/>
          <w:szCs w:val="28"/>
          <w:highlight w:val="none"/>
          <w14:textFill>
            <w14:solidFill>
              <w14:schemeClr w14:val="tx1"/>
            </w14:solidFill>
          </w14:textFill>
        </w:rPr>
        <w:br w:type="page"/>
      </w:r>
    </w:p>
    <w:p>
      <w:pPr>
        <w:keepNext w:val="0"/>
        <w:keepLines w:val="0"/>
        <w:pageBreakBefore w:val="0"/>
        <w:kinsoku/>
        <w:wordWrap/>
        <w:overflowPunct/>
        <w:topLinePunct w:val="0"/>
        <w:bidi w:val="0"/>
        <w:spacing w:line="360" w:lineRule="auto"/>
        <w:ind w:firstLine="562"/>
        <w:textAlignment w:val="auto"/>
        <w:rPr>
          <w:rFonts w:hint="eastAsia" w:ascii="宋体" w:hAnsi="宋体" w:eastAsia="宋体" w:cs="宋体"/>
          <w:b/>
          <w:color w:val="000000" w:themeColor="text1"/>
          <w:sz w:val="28"/>
          <w:szCs w:val="28"/>
          <w:highlight w:val="none"/>
          <w:lang w:eastAsia="zh-CN"/>
          <w14:textFill>
            <w14:solidFill>
              <w14:schemeClr w14:val="tx1"/>
            </w14:solidFill>
          </w14:textFill>
        </w:rPr>
      </w:pPr>
      <w:r>
        <w:rPr>
          <w:rFonts w:hint="eastAsia" w:ascii="宋体" w:hAnsi="宋体" w:eastAsia="宋体" w:cs="宋体"/>
          <w:b/>
          <w:color w:val="000000" w:themeColor="text1"/>
          <w:sz w:val="28"/>
          <w:szCs w:val="28"/>
          <w:highlight w:val="none"/>
          <w14:textFill>
            <w14:solidFill>
              <w14:schemeClr w14:val="tx1"/>
            </w14:solidFill>
          </w14:textFill>
        </w:rPr>
        <w:t>格式2-</w:t>
      </w:r>
      <w:r>
        <w:rPr>
          <w:rFonts w:hint="eastAsia" w:ascii="宋体" w:hAnsi="宋体" w:cs="宋体"/>
          <w:b/>
          <w:color w:val="000000" w:themeColor="text1"/>
          <w:sz w:val="28"/>
          <w:szCs w:val="28"/>
          <w:highlight w:val="none"/>
          <w:lang w:val="en-US" w:eastAsia="zh-CN"/>
          <w14:textFill>
            <w14:solidFill>
              <w14:schemeClr w14:val="tx1"/>
            </w14:solidFill>
          </w14:textFill>
        </w:rPr>
        <w:t>9</w:t>
      </w:r>
    </w:p>
    <w:p>
      <w:pPr>
        <w:keepNext w:val="0"/>
        <w:keepLines w:val="0"/>
        <w:pageBreakBefore w:val="0"/>
        <w:kinsoku/>
        <w:wordWrap/>
        <w:overflowPunct/>
        <w:topLinePunct w:val="0"/>
        <w:bidi w:val="0"/>
        <w:spacing w:line="360" w:lineRule="auto"/>
        <w:ind w:firstLine="643"/>
        <w:jc w:val="center"/>
        <w:textAlignment w:val="auto"/>
        <w:rPr>
          <w:rFonts w:hint="eastAsia" w:ascii="宋体" w:hAnsi="宋体" w:eastAsia="宋体" w:cs="宋体"/>
          <w:b/>
          <w:color w:val="000000" w:themeColor="text1"/>
          <w:sz w:val="28"/>
          <w:szCs w:val="28"/>
          <w:highlight w:val="none"/>
          <w14:textFill>
            <w14:solidFill>
              <w14:schemeClr w14:val="tx1"/>
            </w14:solidFill>
          </w14:textFill>
        </w:rPr>
      </w:pPr>
      <w:r>
        <w:rPr>
          <w:rFonts w:hint="eastAsia" w:ascii="宋体" w:hAnsi="宋体" w:eastAsia="宋体" w:cs="宋体"/>
          <w:b/>
          <w:color w:val="000000" w:themeColor="text1"/>
          <w:sz w:val="28"/>
          <w:szCs w:val="28"/>
          <w:highlight w:val="none"/>
          <w14:textFill>
            <w14:solidFill>
              <w14:schemeClr w14:val="tx1"/>
            </w14:solidFill>
          </w14:textFill>
        </w:rPr>
        <w:t>供应商本项目管理、技术、服务人员情况表</w:t>
      </w:r>
    </w:p>
    <w:p>
      <w:pPr>
        <w:keepNext w:val="0"/>
        <w:keepLines w:val="0"/>
        <w:pageBreakBefore w:val="0"/>
        <w:kinsoku/>
        <w:wordWrap/>
        <w:overflowPunct/>
        <w:topLinePunct w:val="0"/>
        <w:bidi w:val="0"/>
        <w:spacing w:line="360" w:lineRule="auto"/>
        <w:ind w:firstLine="640"/>
        <w:textAlignment w:val="auto"/>
        <w:rPr>
          <w:rFonts w:hint="eastAsia" w:ascii="宋体" w:hAnsi="宋体" w:eastAsia="宋体" w:cs="宋体"/>
          <w:color w:val="000000" w:themeColor="text1"/>
          <w:sz w:val="28"/>
          <w:szCs w:val="28"/>
          <w:highlight w:val="none"/>
          <w14:textFill>
            <w14:solidFill>
              <w14:schemeClr w14:val="tx1"/>
            </w14:solidFill>
          </w14:textFill>
        </w:rPr>
      </w:pPr>
    </w:p>
    <w:tbl>
      <w:tblPr>
        <w:tblStyle w:val="2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947"/>
        <w:gridCol w:w="947"/>
        <w:gridCol w:w="947"/>
        <w:gridCol w:w="947"/>
        <w:gridCol w:w="947"/>
        <w:gridCol w:w="947"/>
        <w:gridCol w:w="947"/>
        <w:gridCol w:w="9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restart"/>
            <w:vAlign w:val="center"/>
          </w:tcPr>
          <w:p>
            <w:pPr>
              <w:keepNext w:val="0"/>
              <w:keepLines w:val="0"/>
              <w:pageBreakBefore w:val="0"/>
              <w:kinsoku/>
              <w:wordWrap/>
              <w:overflowPunct/>
              <w:topLinePunct w:val="0"/>
              <w:bidi w:val="0"/>
              <w:spacing w:line="36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类别</w:t>
            </w:r>
          </w:p>
        </w:tc>
        <w:tc>
          <w:tcPr>
            <w:tcW w:w="947" w:type="dxa"/>
            <w:vMerge w:val="restart"/>
            <w:vAlign w:val="center"/>
          </w:tcPr>
          <w:p>
            <w:pPr>
              <w:keepNext w:val="0"/>
              <w:keepLines w:val="0"/>
              <w:pageBreakBefore w:val="0"/>
              <w:kinsoku/>
              <w:wordWrap/>
              <w:overflowPunct/>
              <w:topLinePunct w:val="0"/>
              <w:bidi w:val="0"/>
              <w:spacing w:line="36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职务</w:t>
            </w:r>
          </w:p>
        </w:tc>
        <w:tc>
          <w:tcPr>
            <w:tcW w:w="947" w:type="dxa"/>
            <w:vMerge w:val="restart"/>
            <w:vAlign w:val="center"/>
          </w:tcPr>
          <w:p>
            <w:pPr>
              <w:keepNext w:val="0"/>
              <w:keepLines w:val="0"/>
              <w:pageBreakBefore w:val="0"/>
              <w:kinsoku/>
              <w:wordWrap/>
              <w:overflowPunct/>
              <w:topLinePunct w:val="0"/>
              <w:bidi w:val="0"/>
              <w:spacing w:line="36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姓名</w:t>
            </w:r>
          </w:p>
        </w:tc>
        <w:tc>
          <w:tcPr>
            <w:tcW w:w="947" w:type="dxa"/>
            <w:vMerge w:val="restart"/>
            <w:vAlign w:val="center"/>
          </w:tcPr>
          <w:p>
            <w:pPr>
              <w:keepNext w:val="0"/>
              <w:keepLines w:val="0"/>
              <w:pageBreakBefore w:val="0"/>
              <w:kinsoku/>
              <w:wordWrap/>
              <w:overflowPunct/>
              <w:topLinePunct w:val="0"/>
              <w:bidi w:val="0"/>
              <w:spacing w:line="36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职称</w:t>
            </w:r>
          </w:p>
        </w:tc>
        <w:tc>
          <w:tcPr>
            <w:tcW w:w="947" w:type="dxa"/>
            <w:vMerge w:val="restart"/>
            <w:vAlign w:val="center"/>
          </w:tcPr>
          <w:p>
            <w:pPr>
              <w:keepNext w:val="0"/>
              <w:keepLines w:val="0"/>
              <w:pageBreakBefore w:val="0"/>
              <w:kinsoku/>
              <w:wordWrap/>
              <w:overflowPunct/>
              <w:topLinePunct w:val="0"/>
              <w:bidi w:val="0"/>
              <w:spacing w:line="36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常住地</w:t>
            </w:r>
          </w:p>
        </w:tc>
        <w:tc>
          <w:tcPr>
            <w:tcW w:w="3788" w:type="dxa"/>
            <w:gridSpan w:val="4"/>
            <w:vAlign w:val="center"/>
          </w:tcPr>
          <w:p>
            <w:pPr>
              <w:keepNext w:val="0"/>
              <w:keepLines w:val="0"/>
              <w:pageBreakBefore w:val="0"/>
              <w:kinsoku/>
              <w:wordWrap/>
              <w:overflowPunct/>
              <w:topLinePunct w:val="0"/>
              <w:bidi w:val="0"/>
              <w:spacing w:line="36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vAlign w:val="center"/>
          </w:tcPr>
          <w:p>
            <w:pPr>
              <w:keepNext w:val="0"/>
              <w:keepLines w:val="0"/>
              <w:pageBreakBefore w:val="0"/>
              <w:kinsoku/>
              <w:wordWrap/>
              <w:overflowPunct/>
              <w:topLinePunct w:val="0"/>
              <w:bidi w:val="0"/>
              <w:spacing w:line="36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vMerge w:val="continue"/>
            <w:vAlign w:val="center"/>
          </w:tcPr>
          <w:p>
            <w:pPr>
              <w:keepNext w:val="0"/>
              <w:keepLines w:val="0"/>
              <w:pageBreakBefore w:val="0"/>
              <w:kinsoku/>
              <w:wordWrap/>
              <w:overflowPunct/>
              <w:topLinePunct w:val="0"/>
              <w:bidi w:val="0"/>
              <w:spacing w:line="36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vMerge w:val="continue"/>
            <w:vAlign w:val="center"/>
          </w:tcPr>
          <w:p>
            <w:pPr>
              <w:keepNext w:val="0"/>
              <w:keepLines w:val="0"/>
              <w:pageBreakBefore w:val="0"/>
              <w:kinsoku/>
              <w:wordWrap/>
              <w:overflowPunct/>
              <w:topLinePunct w:val="0"/>
              <w:bidi w:val="0"/>
              <w:spacing w:line="36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vMerge w:val="continue"/>
            <w:vAlign w:val="center"/>
          </w:tcPr>
          <w:p>
            <w:pPr>
              <w:keepNext w:val="0"/>
              <w:keepLines w:val="0"/>
              <w:pageBreakBefore w:val="0"/>
              <w:kinsoku/>
              <w:wordWrap/>
              <w:overflowPunct/>
              <w:topLinePunct w:val="0"/>
              <w:bidi w:val="0"/>
              <w:spacing w:line="36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vMerge w:val="continue"/>
            <w:vAlign w:val="center"/>
          </w:tcPr>
          <w:p>
            <w:pPr>
              <w:keepNext w:val="0"/>
              <w:keepLines w:val="0"/>
              <w:pageBreakBefore w:val="0"/>
              <w:kinsoku/>
              <w:wordWrap/>
              <w:overflowPunct/>
              <w:topLinePunct w:val="0"/>
              <w:bidi w:val="0"/>
              <w:spacing w:line="36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vAlign w:val="center"/>
          </w:tcPr>
          <w:p>
            <w:pPr>
              <w:keepNext w:val="0"/>
              <w:keepLines w:val="0"/>
              <w:pageBreakBefore w:val="0"/>
              <w:kinsoku/>
              <w:wordWrap/>
              <w:overflowPunct/>
              <w:topLinePunct w:val="0"/>
              <w:bidi w:val="0"/>
              <w:spacing w:line="36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证书</w:t>
            </w:r>
          </w:p>
          <w:p>
            <w:pPr>
              <w:keepNext w:val="0"/>
              <w:keepLines w:val="0"/>
              <w:pageBreakBefore w:val="0"/>
              <w:kinsoku/>
              <w:wordWrap/>
              <w:overflowPunct/>
              <w:topLinePunct w:val="0"/>
              <w:bidi w:val="0"/>
              <w:spacing w:line="36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名称</w:t>
            </w:r>
          </w:p>
        </w:tc>
        <w:tc>
          <w:tcPr>
            <w:tcW w:w="947" w:type="dxa"/>
            <w:vAlign w:val="center"/>
          </w:tcPr>
          <w:p>
            <w:pPr>
              <w:keepNext w:val="0"/>
              <w:keepLines w:val="0"/>
              <w:pageBreakBefore w:val="0"/>
              <w:kinsoku/>
              <w:wordWrap/>
              <w:overflowPunct/>
              <w:topLinePunct w:val="0"/>
              <w:bidi w:val="0"/>
              <w:spacing w:line="36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级别</w:t>
            </w:r>
          </w:p>
        </w:tc>
        <w:tc>
          <w:tcPr>
            <w:tcW w:w="947" w:type="dxa"/>
            <w:vAlign w:val="center"/>
          </w:tcPr>
          <w:p>
            <w:pPr>
              <w:keepNext w:val="0"/>
              <w:keepLines w:val="0"/>
              <w:pageBreakBefore w:val="0"/>
              <w:kinsoku/>
              <w:wordWrap/>
              <w:overflowPunct/>
              <w:topLinePunct w:val="0"/>
              <w:bidi w:val="0"/>
              <w:spacing w:line="36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证号</w:t>
            </w:r>
          </w:p>
        </w:tc>
        <w:tc>
          <w:tcPr>
            <w:tcW w:w="947" w:type="dxa"/>
            <w:vAlign w:val="center"/>
          </w:tcPr>
          <w:p>
            <w:pPr>
              <w:keepNext w:val="0"/>
              <w:keepLines w:val="0"/>
              <w:pageBreakBefore w:val="0"/>
              <w:kinsoku/>
              <w:wordWrap/>
              <w:overflowPunct/>
              <w:topLinePunct w:val="0"/>
              <w:bidi w:val="0"/>
              <w:spacing w:line="36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restart"/>
            <w:vAlign w:val="center"/>
          </w:tcPr>
          <w:p>
            <w:pPr>
              <w:keepNext w:val="0"/>
              <w:keepLines w:val="0"/>
              <w:pageBreakBefore w:val="0"/>
              <w:kinsoku/>
              <w:wordWrap/>
              <w:overflowPunct/>
              <w:topLinePunct w:val="0"/>
              <w:bidi w:val="0"/>
              <w:spacing w:line="36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管理</w:t>
            </w:r>
          </w:p>
          <w:p>
            <w:pPr>
              <w:keepNext w:val="0"/>
              <w:keepLines w:val="0"/>
              <w:pageBreakBefore w:val="0"/>
              <w:kinsoku/>
              <w:wordWrap/>
              <w:overflowPunct/>
              <w:topLinePunct w:val="0"/>
              <w:bidi w:val="0"/>
              <w:spacing w:line="36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人员</w:t>
            </w: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vAlign w:val="center"/>
          </w:tcPr>
          <w:p>
            <w:pPr>
              <w:keepNext w:val="0"/>
              <w:keepLines w:val="0"/>
              <w:pageBreakBefore w:val="0"/>
              <w:kinsoku/>
              <w:wordWrap/>
              <w:overflowPunct/>
              <w:topLinePunct w:val="0"/>
              <w:bidi w:val="0"/>
              <w:spacing w:line="36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vAlign w:val="center"/>
          </w:tcPr>
          <w:p>
            <w:pPr>
              <w:keepNext w:val="0"/>
              <w:keepLines w:val="0"/>
              <w:pageBreakBefore w:val="0"/>
              <w:kinsoku/>
              <w:wordWrap/>
              <w:overflowPunct/>
              <w:topLinePunct w:val="0"/>
              <w:bidi w:val="0"/>
              <w:spacing w:line="36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restart"/>
            <w:vAlign w:val="center"/>
          </w:tcPr>
          <w:p>
            <w:pPr>
              <w:keepNext w:val="0"/>
              <w:keepLines w:val="0"/>
              <w:pageBreakBefore w:val="0"/>
              <w:kinsoku/>
              <w:wordWrap/>
              <w:overflowPunct/>
              <w:topLinePunct w:val="0"/>
              <w:bidi w:val="0"/>
              <w:spacing w:line="36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技术</w:t>
            </w:r>
          </w:p>
          <w:p>
            <w:pPr>
              <w:keepNext w:val="0"/>
              <w:keepLines w:val="0"/>
              <w:pageBreakBefore w:val="0"/>
              <w:kinsoku/>
              <w:wordWrap/>
              <w:overflowPunct/>
              <w:topLinePunct w:val="0"/>
              <w:bidi w:val="0"/>
              <w:spacing w:line="36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人员</w:t>
            </w: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vAlign w:val="center"/>
          </w:tcPr>
          <w:p>
            <w:pPr>
              <w:keepNext w:val="0"/>
              <w:keepLines w:val="0"/>
              <w:pageBreakBefore w:val="0"/>
              <w:kinsoku/>
              <w:wordWrap/>
              <w:overflowPunct/>
              <w:topLinePunct w:val="0"/>
              <w:bidi w:val="0"/>
              <w:spacing w:line="36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vAlign w:val="center"/>
          </w:tcPr>
          <w:p>
            <w:pPr>
              <w:keepNext w:val="0"/>
              <w:keepLines w:val="0"/>
              <w:pageBreakBefore w:val="0"/>
              <w:kinsoku/>
              <w:wordWrap/>
              <w:overflowPunct/>
              <w:topLinePunct w:val="0"/>
              <w:bidi w:val="0"/>
              <w:spacing w:line="36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restart"/>
            <w:vAlign w:val="center"/>
          </w:tcPr>
          <w:p>
            <w:pPr>
              <w:keepNext w:val="0"/>
              <w:keepLines w:val="0"/>
              <w:pageBreakBefore w:val="0"/>
              <w:kinsoku/>
              <w:wordWrap/>
              <w:overflowPunct/>
              <w:topLinePunct w:val="0"/>
              <w:bidi w:val="0"/>
              <w:spacing w:line="36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售后服务人员</w:t>
            </w: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000000" w:themeColor="text1"/>
                <w:sz w:val="24"/>
                <w:szCs w:val="24"/>
                <w:highlight w:val="none"/>
                <w14:textFill>
                  <w14:solidFill>
                    <w14:schemeClr w14:val="tx1"/>
                  </w14:solidFill>
                </w14:textFill>
              </w:rPr>
            </w:pPr>
          </w:p>
        </w:tc>
      </w:tr>
    </w:tbl>
    <w:p>
      <w:pPr>
        <w:keepNext w:val="0"/>
        <w:keepLines w:val="0"/>
        <w:pageBreakBefore w:val="0"/>
        <w:widowControl/>
        <w:kinsoku/>
        <w:wordWrap/>
        <w:overflowPunct/>
        <w:topLinePunct w:val="0"/>
        <w:bidi w:val="0"/>
        <w:spacing w:line="360" w:lineRule="auto"/>
        <w:ind w:left="0" w:leftChars="0" w:firstLine="0" w:firstLineChars="0"/>
        <w:jc w:val="left"/>
        <w:textAlignment w:val="auto"/>
        <w:rPr>
          <w:rFonts w:hint="eastAsia" w:ascii="宋体" w:hAnsi="宋体" w:eastAsia="宋体" w:cs="宋体"/>
          <w:color w:val="000000" w:themeColor="text1"/>
          <w:kern w:val="0"/>
          <w:sz w:val="28"/>
          <w:szCs w:val="28"/>
          <w:highlight w:val="none"/>
          <w14:textFill>
            <w14:solidFill>
              <w14:schemeClr w14:val="tx1"/>
            </w14:solidFill>
          </w14:textFill>
        </w:rPr>
      </w:pPr>
    </w:p>
    <w:p>
      <w:pPr>
        <w:keepNext w:val="0"/>
        <w:keepLines w:val="0"/>
        <w:pageBreakBefore w:val="0"/>
        <w:widowControl/>
        <w:kinsoku/>
        <w:wordWrap/>
        <w:overflowPunct/>
        <w:topLinePunct w:val="0"/>
        <w:bidi w:val="0"/>
        <w:spacing w:line="360" w:lineRule="auto"/>
        <w:ind w:firstLine="48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注：1、投标人根据自身实际情况填写，若无涉及可不填写此项或“/”。 </w:t>
      </w:r>
      <w:r>
        <w:rPr>
          <w:rFonts w:hint="eastAsia" w:ascii="宋体" w:hAnsi="宋体" w:eastAsia="宋体" w:cs="宋体"/>
          <w:color w:val="000000" w:themeColor="text1"/>
          <w:kern w:val="0"/>
          <w:sz w:val="24"/>
          <w:szCs w:val="24"/>
          <w:highlight w:val="none"/>
          <w14:textFill>
            <w14:solidFill>
              <w14:schemeClr w14:val="tx1"/>
            </w14:solidFill>
          </w14:textFill>
        </w:rPr>
        <w:br w:type="textWrapping"/>
      </w:r>
      <w:r>
        <w:rPr>
          <w:rFonts w:hint="eastAsia" w:ascii="宋体" w:hAnsi="宋体" w:eastAsia="宋体" w:cs="宋体"/>
          <w:color w:val="000000" w:themeColor="text1"/>
          <w:kern w:val="0"/>
          <w:sz w:val="24"/>
          <w:szCs w:val="24"/>
          <w:highlight w:val="none"/>
          <w14:textFill>
            <w14:solidFill>
              <w14:schemeClr w14:val="tx1"/>
            </w14:solidFill>
          </w14:textFill>
        </w:rPr>
        <w:t xml:space="preserve">  2、以上表格格式行、列可增减。 </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供应商名称：XXX（盖单位公章）</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法定代表人或授权代表（签字）：XXX</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日      期：XXX</w:t>
      </w:r>
    </w:p>
    <w:p>
      <w:pPr>
        <w:keepNext w:val="0"/>
        <w:keepLines w:val="0"/>
        <w:pageBreakBefore w:val="0"/>
        <w:kinsoku/>
        <w:wordWrap/>
        <w:overflowPunct/>
        <w:topLinePunct w:val="0"/>
        <w:bidi w:val="0"/>
        <w:spacing w:line="360" w:lineRule="auto"/>
        <w:ind w:firstLine="640"/>
        <w:textAlignment w:val="auto"/>
        <w:rPr>
          <w:rFonts w:hint="eastAsia" w:ascii="宋体" w:hAnsi="宋体" w:eastAsia="宋体" w:cs="宋体"/>
          <w:color w:val="000000" w:themeColor="text1"/>
          <w:sz w:val="28"/>
          <w:szCs w:val="28"/>
          <w:highlight w:val="none"/>
          <w14:textFill>
            <w14:solidFill>
              <w14:schemeClr w14:val="tx1"/>
            </w14:solidFill>
          </w14:textFill>
        </w:rPr>
      </w:pPr>
    </w:p>
    <w:bookmarkEnd w:id="96"/>
    <w:p>
      <w:pPr>
        <w:keepNext w:val="0"/>
        <w:keepLines w:val="0"/>
        <w:pageBreakBefore w:val="0"/>
        <w:kinsoku/>
        <w:wordWrap/>
        <w:overflowPunct/>
        <w:topLinePunct w:val="0"/>
        <w:bidi w:val="0"/>
        <w:spacing w:line="360" w:lineRule="auto"/>
        <w:ind w:left="0" w:leftChars="0" w:firstLine="0" w:firstLineChars="0"/>
        <w:textAlignment w:val="auto"/>
        <w:rPr>
          <w:rFonts w:hint="eastAsia" w:ascii="宋体" w:hAnsi="宋体" w:eastAsia="宋体" w:cs="宋体"/>
          <w:b/>
          <w:color w:val="000000" w:themeColor="text1"/>
          <w:sz w:val="28"/>
          <w:szCs w:val="28"/>
          <w:highlight w:val="none"/>
          <w14:textFill>
            <w14:solidFill>
              <w14:schemeClr w14:val="tx1"/>
            </w14:solidFill>
          </w14:textFill>
        </w:rPr>
      </w:pPr>
    </w:p>
    <w:p>
      <w:pPr>
        <w:keepNext w:val="0"/>
        <w:keepLines w:val="0"/>
        <w:pageBreakBefore w:val="0"/>
        <w:kinsoku/>
        <w:wordWrap/>
        <w:overflowPunct/>
        <w:topLinePunct w:val="0"/>
        <w:bidi w:val="0"/>
        <w:spacing w:line="360" w:lineRule="auto"/>
        <w:ind w:left="0" w:leftChars="0" w:firstLine="0" w:firstLineChars="0"/>
        <w:textAlignment w:val="auto"/>
        <w:rPr>
          <w:rFonts w:hint="eastAsia" w:ascii="宋体" w:hAnsi="宋体" w:eastAsia="宋体" w:cs="宋体"/>
          <w:b/>
          <w:color w:val="000000" w:themeColor="text1"/>
          <w:sz w:val="28"/>
          <w:szCs w:val="28"/>
          <w:highlight w:val="none"/>
          <w14:textFill>
            <w14:solidFill>
              <w14:schemeClr w14:val="tx1"/>
            </w14:solidFill>
          </w14:textFill>
        </w:rPr>
      </w:pPr>
    </w:p>
    <w:p>
      <w:pPr>
        <w:keepNext w:val="0"/>
        <w:keepLines w:val="0"/>
        <w:pageBreakBefore w:val="0"/>
        <w:kinsoku/>
        <w:wordWrap/>
        <w:overflowPunct/>
        <w:topLinePunct w:val="0"/>
        <w:bidi w:val="0"/>
        <w:spacing w:line="360" w:lineRule="auto"/>
        <w:ind w:left="0" w:leftChars="0" w:firstLine="0" w:firstLineChars="0"/>
        <w:textAlignment w:val="auto"/>
        <w:rPr>
          <w:rFonts w:hint="eastAsia" w:ascii="宋体" w:hAnsi="宋体" w:eastAsia="宋体" w:cs="宋体"/>
          <w:b/>
          <w:color w:val="000000" w:themeColor="text1"/>
          <w:sz w:val="28"/>
          <w:szCs w:val="28"/>
          <w:highlight w:val="none"/>
          <w:lang w:eastAsia="zh-CN"/>
          <w14:textFill>
            <w14:solidFill>
              <w14:schemeClr w14:val="tx1"/>
            </w14:solidFill>
          </w14:textFill>
        </w:rPr>
      </w:pPr>
      <w:r>
        <w:rPr>
          <w:rFonts w:hint="eastAsia" w:ascii="宋体" w:hAnsi="宋体" w:eastAsia="宋体" w:cs="宋体"/>
          <w:b/>
          <w:color w:val="000000" w:themeColor="text1"/>
          <w:sz w:val="28"/>
          <w:szCs w:val="28"/>
          <w:highlight w:val="none"/>
          <w14:textFill>
            <w14:solidFill>
              <w14:schemeClr w14:val="tx1"/>
            </w14:solidFill>
          </w14:textFill>
        </w:rPr>
        <w:t>格式2-1</w:t>
      </w:r>
      <w:r>
        <w:rPr>
          <w:rFonts w:hint="eastAsia" w:ascii="宋体" w:hAnsi="宋体" w:cs="宋体"/>
          <w:b/>
          <w:color w:val="000000" w:themeColor="text1"/>
          <w:sz w:val="28"/>
          <w:szCs w:val="28"/>
          <w:highlight w:val="none"/>
          <w:lang w:val="en-US" w:eastAsia="zh-CN"/>
          <w14:textFill>
            <w14:solidFill>
              <w14:schemeClr w14:val="tx1"/>
            </w14:solidFill>
          </w14:textFill>
        </w:rPr>
        <w:t>0</w:t>
      </w:r>
    </w:p>
    <w:p>
      <w:pPr>
        <w:keepNext w:val="0"/>
        <w:keepLines w:val="0"/>
        <w:pageBreakBefore w:val="0"/>
        <w:kinsoku/>
        <w:wordWrap/>
        <w:overflowPunct/>
        <w:topLinePunct w:val="0"/>
        <w:bidi w:val="0"/>
        <w:spacing w:line="360" w:lineRule="auto"/>
        <w:ind w:firstLine="643"/>
        <w:jc w:val="center"/>
        <w:textAlignment w:val="auto"/>
        <w:rPr>
          <w:rFonts w:hint="eastAsia" w:ascii="宋体" w:hAnsi="宋体" w:eastAsia="宋体" w:cs="宋体"/>
          <w:bCs/>
          <w:color w:val="000000" w:themeColor="text1"/>
          <w:sz w:val="28"/>
          <w:szCs w:val="28"/>
          <w:highlight w:val="none"/>
          <w14:textFill>
            <w14:solidFill>
              <w14:schemeClr w14:val="tx1"/>
            </w14:solidFill>
          </w14:textFill>
        </w:rPr>
      </w:pPr>
      <w:r>
        <w:rPr>
          <w:rFonts w:hint="eastAsia" w:ascii="宋体" w:hAnsi="宋体" w:eastAsia="宋体" w:cs="宋体"/>
          <w:b/>
          <w:bCs/>
          <w:color w:val="000000" w:themeColor="text1"/>
          <w:sz w:val="28"/>
          <w:szCs w:val="28"/>
          <w:highlight w:val="none"/>
          <w14:textFill>
            <w14:solidFill>
              <w14:schemeClr w14:val="tx1"/>
            </w14:solidFill>
          </w14:textFill>
        </w:rPr>
        <w:t>供应商诚信情况承诺函</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 xml:space="preserve">致四川三盈招标代理有限公司： </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 xml:space="preserve">    本单位</w:t>
      </w:r>
      <w:r>
        <w:rPr>
          <w:rFonts w:hint="eastAsia" w:ascii="宋体" w:hAnsi="宋体" w:eastAsia="宋体" w:cs="宋体"/>
          <w:color w:val="000000" w:themeColor="text1"/>
          <w:sz w:val="24"/>
          <w:szCs w:val="24"/>
          <w:highlight w:val="none"/>
          <w:u w:val="single"/>
          <w14:textFill>
            <w14:solidFill>
              <w14:schemeClr w14:val="tx1"/>
            </w14:solidFill>
          </w14:textFill>
        </w:rPr>
        <w:t>XXXX</w:t>
      </w:r>
      <w:r>
        <w:rPr>
          <w:rFonts w:hint="eastAsia" w:ascii="宋体" w:hAnsi="宋体" w:eastAsia="宋体" w:cs="宋体"/>
          <w:bCs/>
          <w:color w:val="000000" w:themeColor="text1"/>
          <w:sz w:val="24"/>
          <w:szCs w:val="24"/>
          <w:highlight w:val="none"/>
          <w:u w:val="single"/>
          <w14:textFill>
            <w14:solidFill>
              <w14:schemeClr w14:val="tx1"/>
            </w14:solidFill>
          </w14:textFill>
        </w:rPr>
        <w:t>（供应商名称）</w:t>
      </w:r>
      <w:r>
        <w:rPr>
          <w:rFonts w:hint="eastAsia" w:ascii="宋体" w:hAnsi="宋体" w:eastAsia="宋体" w:cs="宋体"/>
          <w:bCs/>
          <w:color w:val="000000" w:themeColor="text1"/>
          <w:sz w:val="24"/>
          <w:szCs w:val="24"/>
          <w:highlight w:val="none"/>
          <w14:textFill>
            <w14:solidFill>
              <w14:schemeClr w14:val="tx1"/>
            </w14:solidFill>
          </w14:textFill>
        </w:rPr>
        <w:t xml:space="preserve">参加 </w:t>
      </w:r>
      <w:r>
        <w:rPr>
          <w:rFonts w:hint="eastAsia" w:ascii="宋体" w:hAnsi="宋体" w:eastAsia="宋体" w:cs="宋体"/>
          <w:color w:val="000000" w:themeColor="text1"/>
          <w:sz w:val="24"/>
          <w:szCs w:val="24"/>
          <w:highlight w:val="none"/>
          <w:u w:val="single"/>
          <w14:textFill>
            <w14:solidFill>
              <w14:schemeClr w14:val="tx1"/>
            </w14:solidFill>
          </w14:textFill>
        </w:rPr>
        <w:t>XXXX</w:t>
      </w:r>
      <w:r>
        <w:rPr>
          <w:rFonts w:hint="eastAsia" w:ascii="宋体" w:hAnsi="宋体" w:eastAsia="宋体" w:cs="宋体"/>
          <w:bCs/>
          <w:color w:val="000000" w:themeColor="text1"/>
          <w:sz w:val="24"/>
          <w:szCs w:val="24"/>
          <w:highlight w:val="none"/>
          <w:u w:val="single"/>
          <w14:textFill>
            <w14:solidFill>
              <w14:schemeClr w14:val="tx1"/>
            </w14:solidFill>
          </w14:textFill>
        </w:rPr>
        <w:t>（项目名称及采购编号）</w:t>
      </w:r>
      <w:r>
        <w:rPr>
          <w:rFonts w:hint="eastAsia" w:ascii="宋体" w:hAnsi="宋体" w:eastAsia="宋体" w:cs="宋体"/>
          <w:bCs/>
          <w:color w:val="000000" w:themeColor="text1"/>
          <w:sz w:val="24"/>
          <w:szCs w:val="24"/>
          <w:highlight w:val="none"/>
          <w14:textFill>
            <w14:solidFill>
              <w14:schemeClr w14:val="tx1"/>
            </w14:solidFill>
          </w14:textFill>
        </w:rPr>
        <w:t>的政府采购活动，</w:t>
      </w:r>
      <w:r>
        <w:rPr>
          <w:rFonts w:hint="eastAsia" w:ascii="宋体" w:hAnsi="宋体" w:eastAsia="宋体" w:cs="宋体"/>
          <w:color w:val="000000" w:themeColor="text1"/>
          <w:sz w:val="24"/>
          <w:szCs w:val="24"/>
          <w:highlight w:val="none"/>
          <w14:textFill>
            <w14:solidFill>
              <w14:schemeClr w14:val="tx1"/>
            </w14:solidFill>
          </w14:textFill>
        </w:rPr>
        <w:t>现</w:t>
      </w:r>
      <w:r>
        <w:rPr>
          <w:rFonts w:hint="eastAsia" w:ascii="宋体" w:hAnsi="宋体" w:cs="宋体"/>
          <w:color w:val="000000" w:themeColor="text1"/>
          <w:sz w:val="24"/>
          <w:szCs w:val="24"/>
          <w:highlight w:val="none"/>
          <w:lang w:val="en-US" w:eastAsia="zh-CN"/>
          <w14:textFill>
            <w14:solidFill>
              <w14:schemeClr w14:val="tx1"/>
            </w14:solidFill>
          </w14:textFill>
        </w:rPr>
        <w:t>参照</w:t>
      </w:r>
      <w:r>
        <w:rPr>
          <w:rFonts w:hint="eastAsia" w:ascii="宋体" w:hAnsi="宋体" w:eastAsia="宋体" w:cs="宋体"/>
          <w:color w:val="000000" w:themeColor="text1"/>
          <w:sz w:val="24"/>
          <w:szCs w:val="24"/>
          <w:highlight w:val="none"/>
          <w14:textFill>
            <w14:solidFill>
              <w14:schemeClr w14:val="tx1"/>
            </w14:solidFill>
          </w14:textFill>
        </w:rPr>
        <w:t>《四川省政府采购当事人诚信管理办法》川财采〔2015〕33号的相关规定，针</w:t>
      </w:r>
      <w:r>
        <w:rPr>
          <w:rFonts w:hint="eastAsia" w:ascii="宋体" w:hAnsi="宋体" w:eastAsia="宋体" w:cs="宋体"/>
          <w:bCs/>
          <w:color w:val="000000" w:themeColor="text1"/>
          <w:sz w:val="24"/>
          <w:szCs w:val="24"/>
          <w:highlight w:val="none"/>
          <w14:textFill>
            <w14:solidFill>
              <w14:schemeClr w14:val="tx1"/>
            </w14:solidFill>
          </w14:textFill>
        </w:rPr>
        <w:t>对本单位的诚信情况作出以下承诺：</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我单位具有</w:t>
      </w:r>
      <w:r>
        <w:rPr>
          <w:rFonts w:hint="eastAsia" w:ascii="宋体" w:hAnsi="宋体" w:eastAsia="宋体" w:cs="宋体"/>
          <w:color w:val="000000" w:themeColor="text1"/>
          <w:sz w:val="24"/>
          <w:szCs w:val="24"/>
          <w:highlight w:val="none"/>
          <w14:textFill>
            <w14:solidFill>
              <w14:schemeClr w14:val="tx1"/>
            </w14:solidFill>
          </w14:textFill>
        </w:rPr>
        <w:t>《四川省政府采购当事人诚信管理办法》（川财采[2015]33号）所规定的失信行为</w:t>
      </w:r>
      <w:r>
        <w:rPr>
          <w:rFonts w:hint="eastAsia" w:ascii="宋体" w:hAnsi="宋体" w:eastAsia="宋体" w:cs="宋体"/>
          <w:color w:val="000000" w:themeColor="text1"/>
          <w:sz w:val="24"/>
          <w:szCs w:val="24"/>
          <w:highlight w:val="none"/>
          <w:u w:val="single"/>
          <w14:textFill>
            <w14:solidFill>
              <w14:schemeClr w14:val="tx1"/>
            </w14:solidFill>
          </w14:textFill>
        </w:rPr>
        <w:t>XXXX</w:t>
      </w:r>
      <w:r>
        <w:rPr>
          <w:rFonts w:hint="eastAsia" w:ascii="宋体" w:hAnsi="宋体" w:eastAsia="宋体" w:cs="宋体"/>
          <w:color w:val="000000" w:themeColor="text1"/>
          <w:sz w:val="24"/>
          <w:szCs w:val="24"/>
          <w:highlight w:val="none"/>
          <w14:textFill>
            <w14:solidFill>
              <w14:schemeClr w14:val="tx1"/>
            </w14:solidFill>
          </w14:textFill>
        </w:rPr>
        <w:t>次（填写失信行为的次数时，建议使用大写数字，如零、壹、贰、叁、肆等。）；</w:t>
      </w:r>
      <w:r>
        <w:rPr>
          <w:rFonts w:hint="eastAsia" w:ascii="宋体" w:hAnsi="宋体" w:eastAsia="宋体" w:cs="宋体"/>
          <w:bCs/>
          <w:color w:val="000000" w:themeColor="text1"/>
          <w:sz w:val="24"/>
          <w:szCs w:val="24"/>
          <w:highlight w:val="none"/>
          <w14:textFill>
            <w14:solidFill>
              <w14:schemeClr w14:val="tx1"/>
            </w14:solidFill>
          </w14:textFill>
        </w:rPr>
        <w:t>（仅限递交响应文件截止当日仍在有效期的次数）</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我</w:t>
      </w:r>
      <w:r>
        <w:rPr>
          <w:rFonts w:hint="eastAsia" w:ascii="宋体" w:hAnsi="宋体" w:eastAsia="宋体" w:cs="宋体"/>
          <w:bCs/>
          <w:color w:val="000000" w:themeColor="text1"/>
          <w:sz w:val="24"/>
          <w:szCs w:val="24"/>
          <w:highlight w:val="none"/>
          <w14:textFill>
            <w14:solidFill>
              <w14:schemeClr w14:val="tx1"/>
            </w14:solidFill>
          </w14:textFill>
        </w:rPr>
        <w:t>单位</w:t>
      </w:r>
      <w:r>
        <w:rPr>
          <w:rFonts w:hint="eastAsia" w:ascii="宋体" w:hAnsi="宋体" w:eastAsia="宋体" w:cs="宋体"/>
          <w:color w:val="000000" w:themeColor="text1"/>
          <w:sz w:val="24"/>
          <w:szCs w:val="24"/>
          <w:highlight w:val="none"/>
          <w14:textFill>
            <w14:solidFill>
              <w14:schemeClr w14:val="tx1"/>
            </w14:solidFill>
          </w14:textFill>
        </w:rPr>
        <w:t>对以上填写信息的真实性负责。如有不实，本</w:t>
      </w:r>
      <w:r>
        <w:rPr>
          <w:rFonts w:hint="eastAsia" w:ascii="宋体" w:hAnsi="宋体" w:eastAsia="宋体" w:cs="宋体"/>
          <w:bCs/>
          <w:color w:val="000000" w:themeColor="text1"/>
          <w:sz w:val="24"/>
          <w:szCs w:val="24"/>
          <w:highlight w:val="none"/>
          <w14:textFill>
            <w14:solidFill>
              <w14:schemeClr w14:val="tx1"/>
            </w14:solidFill>
          </w14:textFill>
        </w:rPr>
        <w:t>单位</w:t>
      </w:r>
      <w:r>
        <w:rPr>
          <w:rFonts w:hint="eastAsia" w:ascii="宋体" w:hAnsi="宋体" w:eastAsia="宋体" w:cs="宋体"/>
          <w:color w:val="000000" w:themeColor="text1"/>
          <w:sz w:val="24"/>
          <w:szCs w:val="24"/>
          <w:highlight w:val="none"/>
          <w14:textFill>
            <w14:solidFill>
              <w14:schemeClr w14:val="tx1"/>
            </w14:solidFill>
          </w14:textFill>
        </w:rPr>
        <w:t>愿承担由此产生的一切法律责任和后果。</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供应商名称：XXXX（单位盖章）。</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法定代表人/单位负责人或授权代表（签字或加盖个人印章）：XXXX。</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递交响应文件截止</w:t>
      </w:r>
      <w:r>
        <w:rPr>
          <w:rFonts w:hint="eastAsia" w:ascii="宋体" w:hAnsi="宋体" w:eastAsia="宋体" w:cs="宋体"/>
          <w:color w:val="000000" w:themeColor="text1"/>
          <w:sz w:val="24"/>
          <w:szCs w:val="24"/>
          <w:highlight w:val="none"/>
          <w14:textFill>
            <w14:solidFill>
              <w14:schemeClr w14:val="tx1"/>
            </w14:solidFill>
          </w14:textFill>
        </w:rPr>
        <w:t>日期: XXXX。</w:t>
      </w:r>
    </w:p>
    <w:p>
      <w:pPr>
        <w:keepNext w:val="0"/>
        <w:keepLines w:val="0"/>
        <w:pageBreakBefore w:val="0"/>
        <w:kinsoku/>
        <w:wordWrap/>
        <w:overflowPunct/>
        <w:topLinePunct w:val="0"/>
        <w:bidi w:val="0"/>
        <w:spacing w:line="360" w:lineRule="auto"/>
        <w:ind w:left="0" w:leftChars="0" w:firstLine="0" w:firstLineChars="0"/>
        <w:textAlignment w:val="auto"/>
        <w:rPr>
          <w:rFonts w:hint="eastAsia" w:ascii="宋体" w:hAnsi="宋体" w:eastAsia="宋体" w:cs="宋体"/>
          <w:bCs/>
          <w:color w:val="000000" w:themeColor="text1"/>
          <w:sz w:val="24"/>
          <w:szCs w:val="24"/>
          <w:highlight w:val="none"/>
          <w14:textFill>
            <w14:solidFill>
              <w14:schemeClr w14:val="tx1"/>
            </w14:solidFill>
          </w14:textFill>
        </w:rPr>
      </w:pP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注：</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1、本表格式及内容仅供参考，供应商也可提供自己的格式；</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2、供应商存在以上所述失信行为的，将按照</w:t>
      </w:r>
      <w:r>
        <w:rPr>
          <w:rFonts w:hint="eastAsia" w:ascii="宋体" w:hAnsi="宋体" w:eastAsia="宋体" w:cs="宋体"/>
          <w:color w:val="000000" w:themeColor="text1"/>
          <w:sz w:val="24"/>
          <w:szCs w:val="24"/>
          <w:highlight w:val="none"/>
          <w14:textFill>
            <w14:solidFill>
              <w14:schemeClr w14:val="tx1"/>
            </w14:solidFill>
          </w14:textFill>
        </w:rPr>
        <w:t>第二章磋商须知附表的要求进行处理；</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3、财政部门对政府采购当事人的失信行为依法进行处罚、处理后，应当在四川政府采购网向社会公告，并记入诚信档案，有效期为1年。工商部门、税务部门、审判机关及其他有关部门单位认定供应商的失信行为明</w:t>
      </w:r>
      <w:r>
        <w:rPr>
          <w:rFonts w:hint="eastAsia" w:ascii="宋体" w:hAnsi="宋体" w:eastAsia="宋体" w:cs="宋体"/>
          <w:color w:val="000000" w:themeColor="text1"/>
          <w:kern w:val="0"/>
          <w:sz w:val="24"/>
          <w:szCs w:val="24"/>
          <w:highlight w:val="none"/>
          <w14:textFill>
            <w14:solidFill>
              <w14:schemeClr w14:val="tx1"/>
            </w14:solidFill>
          </w14:textFill>
        </w:rPr>
        <w:t>确了有效期的，不再重复计算。</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4、</w:t>
      </w:r>
      <w:r>
        <w:rPr>
          <w:rFonts w:hint="eastAsia" w:ascii="宋体" w:hAnsi="宋体" w:eastAsia="宋体" w:cs="宋体"/>
          <w:bCs/>
          <w:color w:val="000000" w:themeColor="text1"/>
          <w:sz w:val="24"/>
          <w:szCs w:val="24"/>
          <w:highlight w:val="none"/>
          <w14:textFill>
            <w14:solidFill>
              <w14:schemeClr w14:val="tx1"/>
            </w14:solidFill>
          </w14:textFill>
        </w:rPr>
        <w:t>供应商的失信行为受到行政处罚或司法惩处的，评审时不再对其以价格加成进行惩戒。</w:t>
      </w:r>
    </w:p>
    <w:p>
      <w:pPr>
        <w:pStyle w:val="14"/>
        <w:keepNext w:val="0"/>
        <w:keepLines w:val="0"/>
        <w:pageBreakBefore w:val="0"/>
        <w:kinsoku/>
        <w:wordWrap/>
        <w:overflowPunct/>
        <w:topLinePunct w:val="0"/>
        <w:bidi w:val="0"/>
        <w:spacing w:line="360" w:lineRule="auto"/>
        <w:ind w:left="480" w:firstLine="480"/>
        <w:textAlignment w:val="auto"/>
        <w:rPr>
          <w:rFonts w:hint="eastAsia" w:ascii="宋体" w:hAnsi="宋体" w:eastAsia="宋体" w:cs="宋体"/>
          <w:bCs/>
          <w:color w:val="000000" w:themeColor="text1"/>
          <w:sz w:val="28"/>
          <w:szCs w:val="28"/>
          <w:highlight w:val="none"/>
          <w14:textFill>
            <w14:solidFill>
              <w14:schemeClr w14:val="tx1"/>
            </w14:solidFill>
          </w14:textFill>
        </w:rPr>
      </w:pPr>
    </w:p>
    <w:p>
      <w:pPr>
        <w:keepNext w:val="0"/>
        <w:keepLines w:val="0"/>
        <w:pageBreakBefore w:val="0"/>
        <w:kinsoku/>
        <w:wordWrap/>
        <w:overflowPunct/>
        <w:topLinePunct w:val="0"/>
        <w:bidi w:val="0"/>
        <w:spacing w:line="360" w:lineRule="auto"/>
        <w:ind w:firstLine="562"/>
        <w:textAlignment w:val="auto"/>
        <w:rPr>
          <w:rFonts w:hint="eastAsia" w:ascii="宋体" w:hAnsi="宋体" w:eastAsia="宋体" w:cs="宋体"/>
          <w:b/>
          <w:color w:val="000000" w:themeColor="text1"/>
          <w:sz w:val="28"/>
          <w:szCs w:val="28"/>
          <w:highlight w:val="none"/>
          <w14:textFill>
            <w14:solidFill>
              <w14:schemeClr w14:val="tx1"/>
            </w14:solidFill>
          </w14:textFill>
        </w:rPr>
      </w:pPr>
    </w:p>
    <w:p>
      <w:pPr>
        <w:keepNext w:val="0"/>
        <w:keepLines w:val="0"/>
        <w:pageBreakBefore w:val="0"/>
        <w:kinsoku/>
        <w:wordWrap/>
        <w:overflowPunct/>
        <w:topLinePunct w:val="0"/>
        <w:bidi w:val="0"/>
        <w:spacing w:line="360" w:lineRule="auto"/>
        <w:ind w:firstLine="562"/>
        <w:textAlignment w:val="auto"/>
        <w:rPr>
          <w:rFonts w:hint="eastAsia" w:ascii="宋体" w:hAnsi="宋体" w:eastAsia="宋体" w:cs="宋体"/>
          <w:b/>
          <w:color w:val="000000" w:themeColor="text1"/>
          <w:sz w:val="28"/>
          <w:szCs w:val="28"/>
          <w:highlight w:val="none"/>
          <w14:textFill>
            <w14:solidFill>
              <w14:schemeClr w14:val="tx1"/>
            </w14:solidFill>
          </w14:textFill>
        </w:rPr>
      </w:pPr>
    </w:p>
    <w:p>
      <w:pPr>
        <w:keepNext w:val="0"/>
        <w:keepLines w:val="0"/>
        <w:pageBreakBefore w:val="0"/>
        <w:kinsoku/>
        <w:wordWrap/>
        <w:overflowPunct/>
        <w:topLinePunct w:val="0"/>
        <w:bidi w:val="0"/>
        <w:spacing w:line="360" w:lineRule="auto"/>
        <w:ind w:firstLine="562"/>
        <w:textAlignment w:val="auto"/>
        <w:rPr>
          <w:rFonts w:hint="eastAsia" w:ascii="宋体" w:hAnsi="宋体" w:eastAsia="宋体" w:cs="宋体"/>
          <w:b/>
          <w:color w:val="000000" w:themeColor="text1"/>
          <w:sz w:val="28"/>
          <w:szCs w:val="28"/>
          <w:highlight w:val="none"/>
          <w:lang w:eastAsia="zh-CN"/>
          <w14:textFill>
            <w14:solidFill>
              <w14:schemeClr w14:val="tx1"/>
            </w14:solidFill>
          </w14:textFill>
        </w:rPr>
      </w:pPr>
      <w:r>
        <w:rPr>
          <w:rFonts w:hint="eastAsia" w:ascii="宋体" w:hAnsi="宋体" w:eastAsia="宋体" w:cs="宋体"/>
          <w:b/>
          <w:color w:val="000000" w:themeColor="text1"/>
          <w:sz w:val="28"/>
          <w:szCs w:val="28"/>
          <w:highlight w:val="none"/>
          <w14:textFill>
            <w14:solidFill>
              <w14:schemeClr w14:val="tx1"/>
            </w14:solidFill>
          </w14:textFill>
        </w:rPr>
        <w:t>格式2-1</w:t>
      </w:r>
      <w:r>
        <w:rPr>
          <w:rFonts w:hint="eastAsia" w:ascii="宋体" w:hAnsi="宋体" w:cs="宋体"/>
          <w:b/>
          <w:color w:val="000000" w:themeColor="text1"/>
          <w:sz w:val="28"/>
          <w:szCs w:val="28"/>
          <w:highlight w:val="none"/>
          <w:lang w:val="en-US" w:eastAsia="zh-CN"/>
          <w14:textFill>
            <w14:solidFill>
              <w14:schemeClr w14:val="tx1"/>
            </w14:solidFill>
          </w14:textFill>
        </w:rPr>
        <w:t>1</w:t>
      </w:r>
    </w:p>
    <w:p>
      <w:pPr>
        <w:snapToGrid w:val="0"/>
        <w:spacing w:after="120" w:afterLines="50" w:line="580" w:lineRule="exact"/>
        <w:jc w:val="center"/>
        <w:rPr>
          <w:rFonts w:hint="eastAsia" w:ascii="宋体" w:hAnsi="宋体" w:cs="宋体"/>
          <w:b/>
          <w:bCs w:val="0"/>
          <w:color w:val="auto"/>
          <w:sz w:val="28"/>
          <w:szCs w:val="28"/>
          <w:highlight w:val="none"/>
        </w:rPr>
      </w:pPr>
      <w:r>
        <w:rPr>
          <w:rFonts w:hint="eastAsia" w:ascii="宋体" w:hAnsi="宋体" w:cs="宋体"/>
          <w:b/>
          <w:bCs w:val="0"/>
          <w:color w:val="auto"/>
          <w:sz w:val="28"/>
          <w:szCs w:val="28"/>
          <w:highlight w:val="none"/>
        </w:rPr>
        <w:t>中小企业声明函</w:t>
      </w:r>
      <w:r>
        <w:rPr>
          <w:rFonts w:ascii="宋体" w:hAnsi="宋体" w:cs="宋体"/>
          <w:b/>
          <w:bCs w:val="0"/>
          <w:color w:val="auto"/>
          <w:sz w:val="24"/>
          <w:szCs w:val="24"/>
          <w:highlight w:val="none"/>
        </w:rPr>
        <w:t xml:space="preserve">（工程、服务） </w:t>
      </w:r>
    </w:p>
    <w:p>
      <w:pPr>
        <w:pStyle w:val="38"/>
        <w:rPr>
          <w:color w:val="auto"/>
          <w:sz w:val="22"/>
          <w:szCs w:val="22"/>
          <w:highlight w:val="none"/>
        </w:rPr>
      </w:pPr>
    </w:p>
    <w:p>
      <w:pPr>
        <w:pStyle w:val="38"/>
        <w:spacing w:line="360" w:lineRule="auto"/>
        <w:ind w:firstLine="480" w:firstLineChars="200"/>
        <w:rPr>
          <w:rFonts w:hAnsi="宋体" w:cs="宋体"/>
          <w:color w:val="000000" w:themeColor="text1"/>
          <w:sz w:val="24"/>
          <w:szCs w:val="24"/>
          <w:highlight w:val="none"/>
          <w14:textFill>
            <w14:solidFill>
              <w14:schemeClr w14:val="tx1"/>
            </w14:solidFill>
          </w14:textFill>
        </w:rPr>
      </w:pPr>
      <w:r>
        <w:rPr>
          <w:rFonts w:hAnsi="宋体" w:cs="宋体"/>
          <w:color w:val="000000" w:themeColor="text1"/>
          <w:sz w:val="24"/>
          <w:szCs w:val="24"/>
          <w:highlight w:val="none"/>
          <w14:textFill>
            <w14:solidFill>
              <w14:schemeClr w14:val="tx1"/>
            </w14:solidFill>
          </w14:textFill>
        </w:rPr>
        <w:t>本公司郑重声明，根据《政府采购促进中小企业发展管理办法》（财库﹝2020﹞46 号）的规定，本公司参加</w:t>
      </w:r>
      <w:r>
        <w:rPr>
          <w:rFonts w:hAnsi="宋体" w:cs="宋体"/>
          <w:color w:val="000000" w:themeColor="text1"/>
          <w:sz w:val="24"/>
          <w:szCs w:val="24"/>
          <w:highlight w:val="none"/>
          <w:u w:val="single"/>
          <w14:textFill>
            <w14:solidFill>
              <w14:schemeClr w14:val="tx1"/>
            </w14:solidFill>
          </w14:textFill>
        </w:rPr>
        <w:t xml:space="preserve"> </w:t>
      </w:r>
      <w:r>
        <w:rPr>
          <w:rFonts w:hint="eastAsia" w:hAnsi="宋体" w:cs="宋体"/>
          <w:color w:val="000000" w:themeColor="text1"/>
          <w:sz w:val="24"/>
          <w:szCs w:val="24"/>
          <w:highlight w:val="none"/>
          <w:u w:val="single"/>
          <w:lang w:eastAsia="zh-CN"/>
          <w14:textFill>
            <w14:solidFill>
              <w14:schemeClr w14:val="tx1"/>
            </w14:solidFill>
          </w14:textFill>
        </w:rPr>
        <w:t>成都市妇女儿童中心医院</w:t>
      </w:r>
      <w:r>
        <w:rPr>
          <w:rFonts w:hAnsi="宋体" w:cs="宋体"/>
          <w:color w:val="000000" w:themeColor="text1"/>
          <w:sz w:val="24"/>
          <w:szCs w:val="24"/>
          <w:highlight w:val="none"/>
          <w:u w:val="single"/>
          <w14:textFill>
            <w14:solidFill>
              <w14:schemeClr w14:val="tx1"/>
            </w14:solidFill>
          </w14:textFill>
        </w:rPr>
        <w:t xml:space="preserve">（单位名称） </w:t>
      </w:r>
      <w:r>
        <w:rPr>
          <w:rFonts w:hAnsi="宋体" w:cs="宋体"/>
          <w:color w:val="000000" w:themeColor="text1"/>
          <w:sz w:val="24"/>
          <w:szCs w:val="24"/>
          <w:highlight w:val="none"/>
          <w14:textFill>
            <w14:solidFill>
              <w14:schemeClr w14:val="tx1"/>
            </w14:solidFill>
          </w14:textFill>
        </w:rPr>
        <w:t>的</w:t>
      </w:r>
      <w:r>
        <w:rPr>
          <w:rFonts w:hAnsi="宋体" w:cs="宋体"/>
          <w:color w:val="000000" w:themeColor="text1"/>
          <w:sz w:val="24"/>
          <w:szCs w:val="24"/>
          <w:highlight w:val="none"/>
          <w:u w:val="single"/>
          <w14:textFill>
            <w14:solidFill>
              <w14:schemeClr w14:val="tx1"/>
            </w14:solidFill>
          </w14:textFill>
        </w:rPr>
        <w:t xml:space="preserve"> </w:t>
      </w:r>
      <w:r>
        <w:rPr>
          <w:rFonts w:hint="eastAsia" w:hAnsi="宋体" w:cs="宋体"/>
          <w:color w:val="000000" w:themeColor="text1"/>
          <w:sz w:val="24"/>
          <w:szCs w:val="24"/>
          <w:highlight w:val="none"/>
          <w:u w:val="single"/>
          <w:lang w:val="en-US" w:eastAsia="zh-CN"/>
          <w14:textFill>
            <w14:solidFill>
              <w14:schemeClr w14:val="tx1"/>
            </w14:solidFill>
          </w14:textFill>
        </w:rPr>
        <w:t xml:space="preserve">     </w:t>
      </w:r>
      <w:r>
        <w:rPr>
          <w:rFonts w:hAnsi="宋体" w:cs="宋体"/>
          <w:color w:val="000000" w:themeColor="text1"/>
          <w:sz w:val="24"/>
          <w:szCs w:val="24"/>
          <w:highlight w:val="none"/>
          <w:u w:val="single"/>
          <w14:textFill>
            <w14:solidFill>
              <w14:schemeClr w14:val="tx1"/>
            </w14:solidFill>
          </w14:textFill>
        </w:rPr>
        <w:t xml:space="preserve">（项目名称） </w:t>
      </w:r>
      <w:r>
        <w:rPr>
          <w:rFonts w:hAnsi="宋体" w:cs="宋体"/>
          <w:color w:val="000000" w:themeColor="text1"/>
          <w:sz w:val="24"/>
          <w:szCs w:val="24"/>
          <w:highlight w:val="none"/>
          <w14:textFill>
            <w14:solidFill>
              <w14:schemeClr w14:val="tx1"/>
            </w14:solidFill>
          </w14:textFill>
        </w:rPr>
        <w:t xml:space="preserve">采购活动，服务全部由符合政策要求的中小企业承接。相关企业（含联合体中的中小企业、签订分包意向协议的中小企业）的具体情况如下： </w:t>
      </w:r>
    </w:p>
    <w:p>
      <w:pPr>
        <w:pStyle w:val="38"/>
        <w:numPr>
          <w:ilvl w:val="0"/>
          <w:numId w:val="6"/>
        </w:numPr>
        <w:spacing w:line="360" w:lineRule="auto"/>
        <w:ind w:firstLine="480" w:firstLineChars="200"/>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u w:val="single"/>
          <w:lang w:val="en-US" w:eastAsia="zh-CN"/>
          <w14:textFill>
            <w14:solidFill>
              <w14:schemeClr w14:val="tx1"/>
            </w14:solidFill>
          </w14:textFill>
        </w:rPr>
        <w:t xml:space="preserve">     </w:t>
      </w:r>
      <w:r>
        <w:rPr>
          <w:rFonts w:hAnsi="宋体" w:cs="宋体"/>
          <w:color w:val="000000" w:themeColor="text1"/>
          <w:sz w:val="24"/>
          <w:szCs w:val="24"/>
          <w:highlight w:val="none"/>
          <w:u w:val="single"/>
          <w14:textFill>
            <w14:solidFill>
              <w14:schemeClr w14:val="tx1"/>
            </w14:solidFill>
          </w14:textFill>
        </w:rPr>
        <w:t xml:space="preserve">（标的名称） </w:t>
      </w:r>
      <w:r>
        <w:rPr>
          <w:rFonts w:hAnsi="宋体" w:cs="宋体"/>
          <w:color w:val="000000" w:themeColor="text1"/>
          <w:sz w:val="24"/>
          <w:szCs w:val="24"/>
          <w:highlight w:val="none"/>
          <w14:textFill>
            <w14:solidFill>
              <w14:schemeClr w14:val="tx1"/>
            </w14:solidFill>
          </w14:textFill>
        </w:rPr>
        <w:t>，属于</w:t>
      </w:r>
      <w:r>
        <w:rPr>
          <w:rFonts w:hAnsi="宋体" w:cs="宋体"/>
          <w:color w:val="000000" w:themeColor="text1"/>
          <w:sz w:val="24"/>
          <w:szCs w:val="24"/>
          <w:highlight w:val="none"/>
          <w:u w:val="single"/>
          <w14:textFill>
            <w14:solidFill>
              <w14:schemeClr w14:val="tx1"/>
            </w14:solidFill>
          </w14:textFill>
        </w:rPr>
        <w:t xml:space="preserve">       （采购文件中明确的所属行业）</w:t>
      </w:r>
      <w:r>
        <w:rPr>
          <w:rFonts w:hAnsi="宋体" w:cs="宋体"/>
          <w:color w:val="000000" w:themeColor="text1"/>
          <w:sz w:val="24"/>
          <w:szCs w:val="24"/>
          <w:highlight w:val="none"/>
          <w14:textFill>
            <w14:solidFill>
              <w14:schemeClr w14:val="tx1"/>
            </w14:solidFill>
          </w14:textFill>
        </w:rPr>
        <w:t>； 承建（承接）企业为</w:t>
      </w:r>
      <w:r>
        <w:rPr>
          <w:rFonts w:hAnsi="宋体" w:cs="宋体"/>
          <w:color w:val="000000" w:themeColor="text1"/>
          <w:sz w:val="24"/>
          <w:szCs w:val="24"/>
          <w:highlight w:val="none"/>
          <w:u w:val="single"/>
          <w14:textFill>
            <w14:solidFill>
              <w14:schemeClr w14:val="tx1"/>
            </w14:solidFill>
          </w14:textFill>
        </w:rPr>
        <w:t xml:space="preserve">       （企业名称）</w:t>
      </w:r>
      <w:r>
        <w:rPr>
          <w:rFonts w:hAnsi="宋体" w:cs="宋体"/>
          <w:color w:val="000000" w:themeColor="text1"/>
          <w:sz w:val="24"/>
          <w:szCs w:val="24"/>
          <w:highlight w:val="none"/>
          <w14:textFill>
            <w14:solidFill>
              <w14:schemeClr w14:val="tx1"/>
            </w14:solidFill>
          </w14:textFill>
        </w:rPr>
        <w:t>，从业人员</w:t>
      </w:r>
      <w:r>
        <w:rPr>
          <w:rFonts w:hAnsi="宋体" w:cs="宋体"/>
          <w:color w:val="000000" w:themeColor="text1"/>
          <w:sz w:val="24"/>
          <w:szCs w:val="24"/>
          <w:highlight w:val="none"/>
          <w:u w:val="single"/>
          <w14:textFill>
            <w14:solidFill>
              <w14:schemeClr w14:val="tx1"/>
            </w14:solidFill>
          </w14:textFill>
        </w:rPr>
        <w:t xml:space="preserve">           </w:t>
      </w:r>
      <w:r>
        <w:rPr>
          <w:rFonts w:hAnsi="宋体" w:cs="宋体"/>
          <w:color w:val="000000" w:themeColor="text1"/>
          <w:sz w:val="24"/>
          <w:szCs w:val="24"/>
          <w:highlight w:val="none"/>
          <w14:textFill>
            <w14:solidFill>
              <w14:schemeClr w14:val="tx1"/>
            </w14:solidFill>
          </w14:textFill>
        </w:rPr>
        <w:t>人，营业收入为</w:t>
      </w:r>
      <w:r>
        <w:rPr>
          <w:rFonts w:hAnsi="宋体" w:cs="宋体"/>
          <w:color w:val="000000" w:themeColor="text1"/>
          <w:sz w:val="24"/>
          <w:szCs w:val="24"/>
          <w:highlight w:val="none"/>
          <w:u w:val="single"/>
          <w14:textFill>
            <w14:solidFill>
              <w14:schemeClr w14:val="tx1"/>
            </w14:solidFill>
          </w14:textFill>
        </w:rPr>
        <w:t xml:space="preserve">           </w:t>
      </w:r>
      <w:r>
        <w:rPr>
          <w:rFonts w:hAnsi="宋体" w:cs="宋体"/>
          <w:color w:val="000000" w:themeColor="text1"/>
          <w:sz w:val="24"/>
          <w:szCs w:val="24"/>
          <w:highlight w:val="none"/>
          <w14:textFill>
            <w14:solidFill>
              <w14:schemeClr w14:val="tx1"/>
            </w14:solidFill>
          </w14:textFill>
        </w:rPr>
        <w:t>万元，资产总额为</w:t>
      </w:r>
      <w:r>
        <w:rPr>
          <w:rFonts w:hAnsi="宋体" w:cs="宋体"/>
          <w:color w:val="000000" w:themeColor="text1"/>
          <w:sz w:val="24"/>
          <w:szCs w:val="24"/>
          <w:highlight w:val="none"/>
          <w:u w:val="single"/>
          <w14:textFill>
            <w14:solidFill>
              <w14:schemeClr w14:val="tx1"/>
            </w14:solidFill>
          </w14:textFill>
        </w:rPr>
        <w:t xml:space="preserve">          </w:t>
      </w:r>
      <w:r>
        <w:rPr>
          <w:rFonts w:hAnsi="宋体" w:cs="宋体"/>
          <w:color w:val="000000" w:themeColor="text1"/>
          <w:sz w:val="24"/>
          <w:szCs w:val="24"/>
          <w:highlight w:val="none"/>
          <w14:textFill>
            <w14:solidFill>
              <w14:schemeClr w14:val="tx1"/>
            </w14:solidFill>
          </w14:textFill>
        </w:rPr>
        <w:t>万元 ，属于</w:t>
      </w:r>
      <w:r>
        <w:rPr>
          <w:rFonts w:hAnsi="宋体" w:cs="宋体"/>
          <w:color w:val="000000" w:themeColor="text1"/>
          <w:sz w:val="24"/>
          <w:szCs w:val="24"/>
          <w:highlight w:val="none"/>
          <w:u w:val="single"/>
          <w14:textFill>
            <w14:solidFill>
              <w14:schemeClr w14:val="tx1"/>
            </w14:solidFill>
          </w14:textFill>
        </w:rPr>
        <w:t xml:space="preserve">   （中型企业、 小型企业、微型企业）</w:t>
      </w:r>
      <w:r>
        <w:rPr>
          <w:rFonts w:hAnsi="宋体" w:cs="宋体"/>
          <w:color w:val="000000" w:themeColor="text1"/>
          <w:sz w:val="24"/>
          <w:szCs w:val="24"/>
          <w:highlight w:val="none"/>
          <w14:textFill>
            <w14:solidFill>
              <w14:schemeClr w14:val="tx1"/>
            </w14:solidFill>
          </w14:textFill>
        </w:rPr>
        <w:t xml:space="preserve">； </w:t>
      </w:r>
    </w:p>
    <w:p>
      <w:pPr>
        <w:pStyle w:val="38"/>
        <w:spacing w:line="360" w:lineRule="auto"/>
        <w:ind w:firstLine="480" w:firstLineChars="200"/>
        <w:rPr>
          <w:rFonts w:hAnsi="宋体" w:cs="宋体"/>
          <w:color w:val="000000" w:themeColor="text1"/>
          <w:sz w:val="24"/>
          <w:szCs w:val="24"/>
          <w:highlight w:val="none"/>
          <w14:textFill>
            <w14:solidFill>
              <w14:schemeClr w14:val="tx1"/>
            </w14:solidFill>
          </w14:textFill>
        </w:rPr>
      </w:pPr>
      <w:r>
        <w:rPr>
          <w:rFonts w:hAnsi="宋体" w:cs="宋体"/>
          <w:color w:val="000000" w:themeColor="text1"/>
          <w:sz w:val="24"/>
          <w:szCs w:val="24"/>
          <w:highlight w:val="none"/>
          <w14:textFill>
            <w14:solidFill>
              <w14:schemeClr w14:val="tx1"/>
            </w14:solidFill>
          </w14:textFill>
        </w:rPr>
        <w:t>以上企业，不属于大企业的分支机构，不存在控股股东为大企业的情形，也不存在与大企业的负责人为同一人的情形。</w:t>
      </w:r>
    </w:p>
    <w:p>
      <w:pPr>
        <w:pStyle w:val="38"/>
        <w:spacing w:line="360" w:lineRule="auto"/>
        <w:ind w:firstLine="480" w:firstLineChars="200"/>
        <w:rPr>
          <w:rFonts w:hAnsi="宋体" w:cs="宋体"/>
          <w:color w:val="000000" w:themeColor="text1"/>
          <w:sz w:val="24"/>
          <w:szCs w:val="24"/>
          <w:highlight w:val="none"/>
          <w14:textFill>
            <w14:solidFill>
              <w14:schemeClr w14:val="tx1"/>
            </w14:solidFill>
          </w14:textFill>
        </w:rPr>
      </w:pPr>
      <w:r>
        <w:rPr>
          <w:rFonts w:hAnsi="宋体" w:cs="宋体"/>
          <w:color w:val="000000" w:themeColor="text1"/>
          <w:sz w:val="24"/>
          <w:szCs w:val="24"/>
          <w:highlight w:val="none"/>
          <w14:textFill>
            <w14:solidFill>
              <w14:schemeClr w14:val="tx1"/>
            </w14:solidFill>
          </w14:textFill>
        </w:rPr>
        <w:t xml:space="preserve">本企业对上述声明内容的真实性负责。如有虚假，将依法承担相应责任。 </w:t>
      </w:r>
    </w:p>
    <w:p>
      <w:pPr>
        <w:pStyle w:val="38"/>
        <w:spacing w:line="360" w:lineRule="auto"/>
        <w:ind w:firstLine="480" w:firstLineChars="200"/>
        <w:rPr>
          <w:rFonts w:hAnsi="宋体" w:cs="宋体"/>
          <w:color w:val="000000" w:themeColor="text1"/>
          <w:sz w:val="24"/>
          <w:szCs w:val="24"/>
          <w:highlight w:val="none"/>
          <w14:textFill>
            <w14:solidFill>
              <w14:schemeClr w14:val="tx1"/>
            </w14:solidFill>
          </w14:textFill>
        </w:rPr>
      </w:pPr>
    </w:p>
    <w:p>
      <w:pPr>
        <w:pStyle w:val="38"/>
        <w:spacing w:line="360" w:lineRule="auto"/>
        <w:ind w:firstLine="480" w:firstLineChars="200"/>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lang w:val="en-US" w:eastAsia="zh-CN"/>
          <w14:textFill>
            <w14:solidFill>
              <w14:schemeClr w14:val="tx1"/>
            </w14:solidFill>
          </w14:textFill>
        </w:rPr>
        <w:t>企业</w:t>
      </w:r>
      <w:r>
        <w:rPr>
          <w:rFonts w:hAnsi="宋体" w:cs="宋体"/>
          <w:color w:val="000000" w:themeColor="text1"/>
          <w:sz w:val="24"/>
          <w:szCs w:val="24"/>
          <w:highlight w:val="none"/>
          <w:lang w:val="zh-CN"/>
          <w14:textFill>
            <w14:solidFill>
              <w14:schemeClr w14:val="tx1"/>
            </w14:solidFill>
          </w14:textFill>
        </w:rPr>
        <w:t>名称</w:t>
      </w:r>
      <w:r>
        <w:rPr>
          <w:rFonts w:hAnsi="宋体" w:cs="宋体"/>
          <w:color w:val="000000" w:themeColor="text1"/>
          <w:sz w:val="24"/>
          <w:szCs w:val="24"/>
          <w:highlight w:val="none"/>
          <w14:textFill>
            <w14:solidFill>
              <w14:schemeClr w14:val="tx1"/>
            </w14:solidFill>
          </w14:textFill>
        </w:rPr>
        <w:t xml:space="preserve">（盖章）： </w:t>
      </w:r>
    </w:p>
    <w:p>
      <w:pPr>
        <w:pStyle w:val="38"/>
        <w:spacing w:line="360" w:lineRule="auto"/>
        <w:ind w:firstLine="480" w:firstLineChars="200"/>
        <w:rPr>
          <w:color w:val="000000" w:themeColor="text1"/>
          <w:sz w:val="22"/>
          <w:szCs w:val="22"/>
          <w:highlight w:val="none"/>
          <w14:textFill>
            <w14:solidFill>
              <w14:schemeClr w14:val="tx1"/>
            </w14:solidFill>
          </w14:textFill>
        </w:rPr>
      </w:pPr>
      <w:r>
        <w:rPr>
          <w:rFonts w:hAnsi="宋体" w:cs="宋体"/>
          <w:color w:val="000000" w:themeColor="text1"/>
          <w:sz w:val="24"/>
          <w:szCs w:val="24"/>
          <w:highlight w:val="none"/>
          <w14:textFill>
            <w14:solidFill>
              <w14:schemeClr w14:val="tx1"/>
            </w14:solidFill>
          </w14:textFill>
        </w:rPr>
        <w:t>日 期： 20XX年XX月XX日</w:t>
      </w:r>
    </w:p>
    <w:p>
      <w:pPr>
        <w:spacing w:line="580" w:lineRule="exact"/>
        <w:ind w:firstLine="563"/>
        <w:rPr>
          <w:rFonts w:hint="eastAsia" w:ascii="宋体" w:hAnsi="宋体" w:cs="宋体"/>
          <w:b/>
          <w:bCs/>
          <w:color w:val="000000" w:themeColor="text1"/>
          <w:spacing w:val="6"/>
          <w:sz w:val="24"/>
          <w:szCs w:val="24"/>
          <w:highlight w:val="none"/>
          <w14:textFill>
            <w14:solidFill>
              <w14:schemeClr w14:val="tx1"/>
            </w14:solidFill>
          </w14:textFill>
        </w:rPr>
      </w:pPr>
    </w:p>
    <w:p>
      <w:pPr>
        <w:spacing w:line="360" w:lineRule="auto"/>
        <w:rPr>
          <w:rFonts w:hint="eastAsia" w:ascii="Times New Roman" w:hAnsi="宋体" w:cs="Times New Roman"/>
          <w:kern w:val="2"/>
          <w:sz w:val="24"/>
          <w:szCs w:val="24"/>
        </w:rPr>
      </w:pPr>
      <w:r>
        <w:rPr>
          <w:rFonts w:hint="eastAsia" w:ascii="宋体" w:hAnsi="宋体" w:cs="宋体"/>
          <w:b/>
          <w:bCs/>
          <w:color w:val="000000" w:themeColor="text1"/>
          <w:spacing w:val="6"/>
          <w:sz w:val="24"/>
          <w:szCs w:val="24"/>
          <w:highlight w:val="none"/>
          <w:u w:val="none"/>
          <w14:textFill>
            <w14:solidFill>
              <w14:schemeClr w14:val="tx1"/>
            </w14:solidFill>
          </w14:textFill>
        </w:rPr>
        <w:t>说明：</w:t>
      </w:r>
      <w:r>
        <w:rPr>
          <w:rFonts w:hint="eastAsia" w:ascii="Times New Roman" w:hAnsi="宋体" w:cs="Times New Roman"/>
          <w:kern w:val="2"/>
          <w:sz w:val="24"/>
          <w:szCs w:val="24"/>
        </w:rPr>
        <w:t>注： 1</w:t>
      </w:r>
      <w:r>
        <w:rPr>
          <w:rFonts w:hint="eastAsia" w:ascii="Times New Roman" w:hAnsi="宋体" w:cs="Times New Roman"/>
          <w:kern w:val="2"/>
          <w:sz w:val="24"/>
          <w:szCs w:val="24"/>
          <w:lang w:val="en-US" w:eastAsia="zh-CN"/>
        </w:rPr>
        <w:t>.</w:t>
      </w:r>
      <w:r>
        <w:rPr>
          <w:rFonts w:hint="eastAsia" w:ascii="Times New Roman" w:hAnsi="宋体" w:cs="Times New Roman"/>
          <w:kern w:val="2"/>
          <w:sz w:val="24"/>
          <w:szCs w:val="24"/>
        </w:rPr>
        <w:t xml:space="preserve"> 从业人员、营业收入、资产总额填报上一年度数据，无上一年度数据的新成立企业可不填报。</w:t>
      </w:r>
    </w:p>
    <w:p>
      <w:pPr>
        <w:pStyle w:val="38"/>
        <w:spacing w:line="360" w:lineRule="auto"/>
        <w:ind w:firstLine="504" w:firstLineChars="200"/>
        <w:rPr>
          <w:rFonts w:hint="eastAsia" w:hAnsi="宋体" w:cs="宋体"/>
          <w:color w:val="000000" w:themeColor="text1"/>
          <w:spacing w:val="6"/>
          <w:kern w:val="2"/>
          <w:sz w:val="24"/>
          <w:szCs w:val="24"/>
          <w:highlight w:val="none"/>
          <w:u w:val="none"/>
          <w14:textFill>
            <w14:solidFill>
              <w14:schemeClr w14:val="tx1"/>
            </w14:solidFill>
          </w14:textFill>
        </w:rPr>
      </w:pPr>
    </w:p>
    <w:p>
      <w:pPr>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br w:type="page"/>
      </w:r>
    </w:p>
    <w:p>
      <w:pPr>
        <w:spacing w:line="360" w:lineRule="auto"/>
        <w:jc w:val="center"/>
        <w:rPr>
          <w:rFonts w:hint="eastAsia" w:ascii="宋体" w:hAnsi="宋体" w:eastAsia="宋体" w:cs="宋体"/>
          <w:b/>
          <w:bCs/>
          <w:sz w:val="30"/>
          <w:szCs w:val="30"/>
        </w:rPr>
      </w:pPr>
      <w:r>
        <w:rPr>
          <w:rFonts w:hint="eastAsia" w:ascii="宋体" w:hAnsi="宋体" w:eastAsia="宋体" w:cs="宋体"/>
          <w:b/>
          <w:bCs/>
          <w:sz w:val="30"/>
          <w:szCs w:val="30"/>
          <w:lang w:val="en-US" w:eastAsia="zh-CN"/>
        </w:rPr>
        <w:t>附件：</w:t>
      </w:r>
      <w:r>
        <w:rPr>
          <w:rFonts w:hint="eastAsia" w:ascii="宋体" w:hAnsi="宋体" w:eastAsia="宋体" w:cs="宋体"/>
          <w:b/>
          <w:bCs/>
          <w:sz w:val="30"/>
          <w:szCs w:val="30"/>
        </w:rPr>
        <w:t>中小企业划型标准规定</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一、根据《中华人民共和国中小企业促进法》和《国务院关于进一步促进中小企业发展的若干意见》(国发〔2009)36号)，制定本规定。</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二、中小企业划分为中型、小型、微型三种类型，具体标准根据企业从业人员、营业收入、资产总额等指标，结合行业特点制定。</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w:t>
      </w:r>
      <w:r>
        <w:rPr>
          <w:rFonts w:hint="eastAsia" w:ascii="宋体" w:hAnsi="宋体" w:eastAsia="宋体" w:cs="宋体"/>
          <w:b/>
          <w:bCs/>
          <w:sz w:val="24"/>
          <w:szCs w:val="24"/>
        </w:rPr>
        <w:t>其他未列明行业（包括科学研究和技术服务业，水利、环境和公共设施管理业，居民服务、修理和其他服务业，社会工作，文化、体育和娱乐业</w:t>
      </w:r>
      <w:r>
        <w:rPr>
          <w:rFonts w:hint="eastAsia" w:ascii="宋体" w:hAnsi="宋体" w:eastAsia="宋体" w:cs="宋体"/>
          <w:sz w:val="24"/>
          <w:szCs w:val="24"/>
        </w:rPr>
        <w:t>等）。</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四、各行业划型标准为:</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(一）</w:t>
      </w:r>
      <w:r>
        <w:rPr>
          <w:rFonts w:hint="eastAsia" w:ascii="宋体" w:hAnsi="宋体" w:eastAsia="宋体" w:cs="宋体"/>
          <w:b/>
          <w:bCs/>
          <w:sz w:val="24"/>
          <w:szCs w:val="24"/>
        </w:rPr>
        <w:t>农、林、牧、渔业</w:t>
      </w:r>
      <w:r>
        <w:rPr>
          <w:rFonts w:hint="eastAsia" w:ascii="宋体" w:hAnsi="宋体" w:eastAsia="宋体" w:cs="宋体"/>
          <w:sz w:val="24"/>
          <w:szCs w:val="24"/>
        </w:rPr>
        <w:t>。营业收入20000万元以下的为中小微型企业。其中，营业收入500万元及以上的为中型企业，营业收入50万元及以上的为小型企业，营业收入50万元以下的为微型企业。</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(二)</w:t>
      </w:r>
      <w:r>
        <w:rPr>
          <w:rFonts w:hint="eastAsia" w:ascii="宋体" w:hAnsi="宋体" w:eastAsia="宋体" w:cs="宋体"/>
          <w:b/>
          <w:bCs/>
          <w:sz w:val="24"/>
          <w:szCs w:val="24"/>
        </w:rPr>
        <w:t>工业</w:t>
      </w:r>
      <w:r>
        <w:rPr>
          <w:rFonts w:hint="eastAsia" w:ascii="宋体" w:hAnsi="宋体" w:eastAsia="宋体" w:cs="宋体"/>
          <w:sz w:val="24"/>
          <w:szCs w:val="24"/>
        </w:rPr>
        <w:t>。从业人员1000人以下或营业收入40000万元以下的为中小微型企业。其中，从业人员300人及以上，且营业收入2000万元及以上的为中型企业</w:t>
      </w:r>
      <w:r>
        <w:rPr>
          <w:rFonts w:hint="eastAsia" w:ascii="宋体" w:hAnsi="宋体" w:eastAsia="宋体" w:cs="宋体"/>
          <w:sz w:val="24"/>
          <w:szCs w:val="24"/>
          <w:lang w:eastAsia="zh-CN"/>
        </w:rPr>
        <w:t>；</w:t>
      </w:r>
      <w:r>
        <w:rPr>
          <w:rFonts w:hint="eastAsia" w:ascii="宋体" w:hAnsi="宋体" w:eastAsia="宋体" w:cs="宋体"/>
          <w:sz w:val="24"/>
          <w:szCs w:val="24"/>
        </w:rPr>
        <w:t>从业人员20人及以上，且营业收入300万元及以上的为小型企业</w:t>
      </w:r>
      <w:r>
        <w:rPr>
          <w:rFonts w:hint="eastAsia" w:ascii="宋体" w:hAnsi="宋体" w:eastAsia="宋体" w:cs="宋体"/>
          <w:sz w:val="24"/>
          <w:szCs w:val="24"/>
          <w:lang w:eastAsia="zh-CN"/>
        </w:rPr>
        <w:t>；</w:t>
      </w:r>
      <w:r>
        <w:rPr>
          <w:rFonts w:hint="eastAsia" w:ascii="宋体" w:hAnsi="宋体" w:eastAsia="宋体" w:cs="宋体"/>
          <w:sz w:val="24"/>
          <w:szCs w:val="24"/>
        </w:rPr>
        <w:t>从业人员20人以下或营业收入300万元以下的为微型企业。</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(三)</w:t>
      </w:r>
      <w:r>
        <w:rPr>
          <w:rFonts w:hint="eastAsia" w:ascii="宋体" w:hAnsi="宋体" w:eastAsia="宋体" w:cs="宋体"/>
          <w:b/>
          <w:bCs/>
          <w:sz w:val="24"/>
          <w:szCs w:val="24"/>
        </w:rPr>
        <w:t>建筑业</w:t>
      </w:r>
      <w:r>
        <w:rPr>
          <w:rFonts w:hint="eastAsia" w:ascii="宋体" w:hAnsi="宋体" w:eastAsia="宋体" w:cs="宋体"/>
          <w:sz w:val="24"/>
          <w:szCs w:val="24"/>
        </w:rPr>
        <w:t>。营业收入80000万元以下或资产总额80000万元以下的为中小微型企业。其中，营业收入6000万元及以上，且资产总额5000万元及以上的为中型企业</w:t>
      </w:r>
      <w:r>
        <w:rPr>
          <w:rFonts w:hint="eastAsia" w:ascii="宋体" w:hAnsi="宋体" w:eastAsia="宋体" w:cs="宋体"/>
          <w:sz w:val="24"/>
          <w:szCs w:val="24"/>
          <w:lang w:eastAsia="zh-CN"/>
        </w:rPr>
        <w:t>；</w:t>
      </w:r>
      <w:r>
        <w:rPr>
          <w:rFonts w:hint="eastAsia" w:ascii="宋体" w:hAnsi="宋体" w:eastAsia="宋体" w:cs="宋体"/>
          <w:sz w:val="24"/>
          <w:szCs w:val="24"/>
        </w:rPr>
        <w:t>营业收入300万元及以上，且资产总额300万元及以上的为小型企业</w:t>
      </w:r>
      <w:r>
        <w:rPr>
          <w:rFonts w:hint="eastAsia" w:ascii="宋体" w:hAnsi="宋体" w:eastAsia="宋体" w:cs="宋体"/>
          <w:sz w:val="24"/>
          <w:szCs w:val="24"/>
          <w:lang w:eastAsia="zh-CN"/>
        </w:rPr>
        <w:t>；</w:t>
      </w:r>
      <w:r>
        <w:rPr>
          <w:rFonts w:hint="eastAsia" w:ascii="宋体" w:hAnsi="宋体" w:eastAsia="宋体" w:cs="宋体"/>
          <w:sz w:val="24"/>
          <w:szCs w:val="24"/>
        </w:rPr>
        <w:t>营业收入300万元以下或资产总额300万元以下的为微型企业。</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(四)</w:t>
      </w:r>
      <w:r>
        <w:rPr>
          <w:rFonts w:hint="eastAsia" w:ascii="宋体" w:hAnsi="宋体" w:eastAsia="宋体" w:cs="宋体"/>
          <w:b/>
          <w:bCs/>
          <w:sz w:val="24"/>
          <w:szCs w:val="24"/>
        </w:rPr>
        <w:t>批发业</w:t>
      </w:r>
      <w:r>
        <w:rPr>
          <w:rFonts w:hint="eastAsia" w:ascii="宋体" w:hAnsi="宋体" w:eastAsia="宋体" w:cs="宋体"/>
          <w:sz w:val="24"/>
          <w:szCs w:val="24"/>
        </w:rPr>
        <w:t>。从业人员200人以下或营业收入40000万元以下的为中小微型企业。其中，从业人员20人及以上，且营业收入5000万元及以上的为中型企业</w:t>
      </w:r>
      <w:r>
        <w:rPr>
          <w:rFonts w:hint="eastAsia" w:ascii="宋体" w:hAnsi="宋体" w:eastAsia="宋体" w:cs="宋体"/>
          <w:sz w:val="24"/>
          <w:szCs w:val="24"/>
          <w:lang w:eastAsia="zh-CN"/>
        </w:rPr>
        <w:t>；</w:t>
      </w:r>
      <w:r>
        <w:rPr>
          <w:rFonts w:hint="eastAsia" w:ascii="宋体" w:hAnsi="宋体" w:eastAsia="宋体" w:cs="宋体"/>
          <w:sz w:val="24"/>
          <w:szCs w:val="24"/>
        </w:rPr>
        <w:t>从业人员5人及以上，且营业收入1000万元及以上的为小型企业</w:t>
      </w:r>
      <w:r>
        <w:rPr>
          <w:rFonts w:hint="eastAsia" w:ascii="宋体" w:hAnsi="宋体" w:eastAsia="宋体" w:cs="宋体"/>
          <w:sz w:val="24"/>
          <w:szCs w:val="24"/>
          <w:lang w:eastAsia="zh-CN"/>
        </w:rPr>
        <w:t>；</w:t>
      </w:r>
      <w:r>
        <w:rPr>
          <w:rFonts w:hint="eastAsia" w:ascii="宋体" w:hAnsi="宋体" w:eastAsia="宋体" w:cs="宋体"/>
          <w:sz w:val="24"/>
          <w:szCs w:val="24"/>
        </w:rPr>
        <w:t>从业人员5人以下或营业收入1000万元以下的为微型企业。</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(五)</w:t>
      </w:r>
      <w:r>
        <w:rPr>
          <w:rFonts w:hint="eastAsia" w:ascii="宋体" w:hAnsi="宋体" w:eastAsia="宋体" w:cs="宋体"/>
          <w:b/>
          <w:bCs/>
          <w:sz w:val="24"/>
          <w:szCs w:val="24"/>
        </w:rPr>
        <w:t>零售业</w:t>
      </w:r>
      <w:r>
        <w:rPr>
          <w:rFonts w:hint="eastAsia" w:ascii="宋体" w:hAnsi="宋体" w:eastAsia="宋体" w:cs="宋体"/>
          <w:sz w:val="24"/>
          <w:szCs w:val="24"/>
        </w:rPr>
        <w:t>。从业人员300人以下或营业收入20000万元以下的为中小微型企业。其中，从业人员50人及以上，且营业收入500万元及以上的为中型企业</w:t>
      </w:r>
      <w:r>
        <w:rPr>
          <w:rFonts w:hint="eastAsia" w:ascii="宋体" w:hAnsi="宋体" w:eastAsia="宋体" w:cs="宋体"/>
          <w:sz w:val="24"/>
          <w:szCs w:val="24"/>
          <w:lang w:eastAsia="zh-CN"/>
        </w:rPr>
        <w:t>；</w:t>
      </w:r>
      <w:r>
        <w:rPr>
          <w:rFonts w:hint="eastAsia" w:ascii="宋体" w:hAnsi="宋体" w:eastAsia="宋体" w:cs="宋体"/>
          <w:sz w:val="24"/>
          <w:szCs w:val="24"/>
        </w:rPr>
        <w:t>从业人员10人及以上，且营业收入100万元及以上的为小型企业</w:t>
      </w:r>
      <w:r>
        <w:rPr>
          <w:rFonts w:hint="eastAsia" w:ascii="宋体" w:hAnsi="宋体" w:eastAsia="宋体" w:cs="宋体"/>
          <w:sz w:val="24"/>
          <w:szCs w:val="24"/>
          <w:lang w:eastAsia="zh-CN"/>
        </w:rPr>
        <w:t>；</w:t>
      </w:r>
      <w:r>
        <w:rPr>
          <w:rFonts w:hint="eastAsia" w:ascii="宋体" w:hAnsi="宋体" w:eastAsia="宋体" w:cs="宋体"/>
          <w:sz w:val="24"/>
          <w:szCs w:val="24"/>
        </w:rPr>
        <w:t>从业人员10人以下或营业收入100万元以下的为微型企业。</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(六)</w:t>
      </w:r>
      <w:r>
        <w:rPr>
          <w:rFonts w:hint="eastAsia" w:ascii="宋体" w:hAnsi="宋体" w:eastAsia="宋体" w:cs="宋体"/>
          <w:b/>
          <w:bCs/>
          <w:sz w:val="24"/>
          <w:szCs w:val="24"/>
        </w:rPr>
        <w:t>交通运输业</w:t>
      </w:r>
      <w:r>
        <w:rPr>
          <w:rFonts w:hint="eastAsia" w:ascii="宋体" w:hAnsi="宋体" w:eastAsia="宋体" w:cs="宋体"/>
          <w:sz w:val="24"/>
          <w:szCs w:val="24"/>
        </w:rPr>
        <w:t>。从业人员1000人以下或营业收入30000万元以下的为中小微型企业。其中，从业人员300人及以上，且营业收入3000万元及以上的为中型企业</w:t>
      </w:r>
      <w:r>
        <w:rPr>
          <w:rFonts w:hint="eastAsia" w:ascii="宋体" w:hAnsi="宋体" w:eastAsia="宋体" w:cs="宋体"/>
          <w:sz w:val="24"/>
          <w:szCs w:val="24"/>
          <w:lang w:eastAsia="zh-CN"/>
        </w:rPr>
        <w:t>；</w:t>
      </w:r>
      <w:r>
        <w:rPr>
          <w:rFonts w:hint="eastAsia" w:ascii="宋体" w:hAnsi="宋体" w:eastAsia="宋体" w:cs="宋体"/>
          <w:sz w:val="24"/>
          <w:szCs w:val="24"/>
        </w:rPr>
        <w:t>从业人员20人及以上，且营业收入200万元及以上的为小型企业</w:t>
      </w:r>
      <w:r>
        <w:rPr>
          <w:rFonts w:hint="eastAsia" w:ascii="宋体" w:hAnsi="宋体" w:eastAsia="宋体" w:cs="宋体"/>
          <w:sz w:val="24"/>
          <w:szCs w:val="24"/>
          <w:lang w:eastAsia="zh-CN"/>
        </w:rPr>
        <w:t>；</w:t>
      </w:r>
      <w:r>
        <w:rPr>
          <w:rFonts w:hint="eastAsia" w:ascii="宋体" w:hAnsi="宋体" w:eastAsia="宋体" w:cs="宋体"/>
          <w:sz w:val="24"/>
          <w:szCs w:val="24"/>
        </w:rPr>
        <w:t>从业人员20人以下或营业收入200万元以下的为微型企业。</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(七)</w:t>
      </w:r>
      <w:r>
        <w:rPr>
          <w:rFonts w:hint="eastAsia" w:ascii="宋体" w:hAnsi="宋体" w:eastAsia="宋体" w:cs="宋体"/>
          <w:b/>
          <w:bCs/>
          <w:sz w:val="24"/>
          <w:szCs w:val="24"/>
        </w:rPr>
        <w:t>仓储业</w:t>
      </w:r>
      <w:r>
        <w:rPr>
          <w:rFonts w:hint="eastAsia" w:ascii="宋体" w:hAnsi="宋体" w:eastAsia="宋体" w:cs="宋体"/>
          <w:sz w:val="24"/>
          <w:szCs w:val="24"/>
        </w:rPr>
        <w:t>。从业人员200人以下或营业收入30000万元以下的为中小微型企业。其中，从业人员100人及以上，且营业收入1000万元及以上的为中型企业</w:t>
      </w:r>
      <w:r>
        <w:rPr>
          <w:rFonts w:hint="eastAsia" w:ascii="宋体" w:hAnsi="宋体" w:eastAsia="宋体" w:cs="宋体"/>
          <w:sz w:val="24"/>
          <w:szCs w:val="24"/>
          <w:lang w:eastAsia="zh-CN"/>
        </w:rPr>
        <w:t>；</w:t>
      </w:r>
      <w:r>
        <w:rPr>
          <w:rFonts w:hint="eastAsia" w:ascii="宋体" w:hAnsi="宋体" w:eastAsia="宋体" w:cs="宋体"/>
          <w:sz w:val="24"/>
          <w:szCs w:val="24"/>
        </w:rPr>
        <w:t>从业人员20人及以上，且营业收入100万元及以上的为小型企业</w:t>
      </w:r>
      <w:r>
        <w:rPr>
          <w:rFonts w:hint="eastAsia" w:ascii="宋体" w:hAnsi="宋体" w:eastAsia="宋体" w:cs="宋体"/>
          <w:sz w:val="24"/>
          <w:szCs w:val="24"/>
          <w:lang w:eastAsia="zh-CN"/>
        </w:rPr>
        <w:t>；</w:t>
      </w:r>
      <w:r>
        <w:rPr>
          <w:rFonts w:hint="eastAsia" w:ascii="宋体" w:hAnsi="宋体" w:eastAsia="宋体" w:cs="宋体"/>
          <w:sz w:val="24"/>
          <w:szCs w:val="24"/>
        </w:rPr>
        <w:t>从业人员20人以下或营业收入100万元以下的为微型企业。</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(八）</w:t>
      </w:r>
      <w:r>
        <w:rPr>
          <w:rFonts w:hint="eastAsia" w:ascii="宋体" w:hAnsi="宋体" w:eastAsia="宋体" w:cs="宋体"/>
          <w:b/>
          <w:bCs/>
          <w:sz w:val="24"/>
          <w:szCs w:val="24"/>
        </w:rPr>
        <w:t>邮政业</w:t>
      </w:r>
      <w:r>
        <w:rPr>
          <w:rFonts w:hint="eastAsia" w:ascii="宋体" w:hAnsi="宋体" w:eastAsia="宋体" w:cs="宋体"/>
          <w:sz w:val="24"/>
          <w:szCs w:val="24"/>
        </w:rPr>
        <w:t>。从业人员1000人以下或营业收入30000万元以下的为中小微型企业。其中，从业人员300人及以上，且营业收入2000万元及以上的为中型企业</w:t>
      </w:r>
      <w:r>
        <w:rPr>
          <w:rFonts w:hint="eastAsia" w:ascii="宋体" w:hAnsi="宋体" w:eastAsia="宋体" w:cs="宋体"/>
          <w:sz w:val="24"/>
          <w:szCs w:val="24"/>
          <w:lang w:eastAsia="zh-CN"/>
        </w:rPr>
        <w:t>；</w:t>
      </w:r>
      <w:r>
        <w:rPr>
          <w:rFonts w:hint="eastAsia" w:ascii="宋体" w:hAnsi="宋体" w:eastAsia="宋体" w:cs="宋体"/>
          <w:sz w:val="24"/>
          <w:szCs w:val="24"/>
        </w:rPr>
        <w:t>从业人员20人及以上，且营业收入100万元及以上的为小型企业</w:t>
      </w:r>
      <w:r>
        <w:rPr>
          <w:rFonts w:hint="eastAsia" w:ascii="宋体" w:hAnsi="宋体" w:eastAsia="宋体" w:cs="宋体"/>
          <w:sz w:val="24"/>
          <w:szCs w:val="24"/>
          <w:lang w:eastAsia="zh-CN"/>
        </w:rPr>
        <w:t>；</w:t>
      </w:r>
      <w:r>
        <w:rPr>
          <w:rFonts w:hint="eastAsia" w:ascii="宋体" w:hAnsi="宋体" w:eastAsia="宋体" w:cs="宋体"/>
          <w:sz w:val="24"/>
          <w:szCs w:val="24"/>
        </w:rPr>
        <w:t>从业人员20人以下或营业收入100万元以下的为微型企业。</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(九)</w:t>
      </w:r>
      <w:r>
        <w:rPr>
          <w:rFonts w:hint="eastAsia" w:ascii="宋体" w:hAnsi="宋体" w:eastAsia="宋体" w:cs="宋体"/>
          <w:b/>
          <w:bCs/>
          <w:sz w:val="24"/>
          <w:szCs w:val="24"/>
        </w:rPr>
        <w:t>住宿业</w:t>
      </w:r>
      <w:r>
        <w:rPr>
          <w:rFonts w:hint="eastAsia" w:ascii="宋体" w:hAnsi="宋体" w:eastAsia="宋体" w:cs="宋体"/>
          <w:sz w:val="24"/>
          <w:szCs w:val="24"/>
        </w:rPr>
        <w:t>。从业人员300人以下或营业收入10000万元以下的为中小微型企业。其中，从业人员100人及以上，且营业收入2000万元及以上的为中型企业</w:t>
      </w:r>
      <w:r>
        <w:rPr>
          <w:rFonts w:hint="eastAsia" w:ascii="宋体" w:hAnsi="宋体" w:eastAsia="宋体" w:cs="宋体"/>
          <w:sz w:val="24"/>
          <w:szCs w:val="24"/>
          <w:lang w:eastAsia="zh-CN"/>
        </w:rPr>
        <w:t>；</w:t>
      </w:r>
      <w:r>
        <w:rPr>
          <w:rFonts w:hint="eastAsia" w:ascii="宋体" w:hAnsi="宋体" w:eastAsia="宋体" w:cs="宋体"/>
          <w:sz w:val="24"/>
          <w:szCs w:val="24"/>
        </w:rPr>
        <w:t>从业人员10人及以上，且营业收入100万元及以上的为小型企业</w:t>
      </w:r>
      <w:r>
        <w:rPr>
          <w:rFonts w:hint="eastAsia" w:ascii="宋体" w:hAnsi="宋体" w:eastAsia="宋体" w:cs="宋体"/>
          <w:sz w:val="24"/>
          <w:szCs w:val="24"/>
          <w:lang w:eastAsia="zh-CN"/>
        </w:rPr>
        <w:t>；</w:t>
      </w:r>
      <w:r>
        <w:rPr>
          <w:rFonts w:hint="eastAsia" w:ascii="宋体" w:hAnsi="宋体" w:eastAsia="宋体" w:cs="宋体"/>
          <w:sz w:val="24"/>
          <w:szCs w:val="24"/>
        </w:rPr>
        <w:t>从业人员10人以下或营业收入100万元以下的为微型企业。</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(十)</w:t>
      </w:r>
      <w:r>
        <w:rPr>
          <w:rFonts w:hint="eastAsia" w:ascii="宋体" w:hAnsi="宋体" w:eastAsia="宋体" w:cs="宋体"/>
          <w:b/>
          <w:bCs/>
          <w:sz w:val="24"/>
          <w:szCs w:val="24"/>
        </w:rPr>
        <w:t>餐饮业</w:t>
      </w:r>
      <w:r>
        <w:rPr>
          <w:rFonts w:hint="eastAsia" w:ascii="宋体" w:hAnsi="宋体" w:eastAsia="宋体" w:cs="宋体"/>
          <w:sz w:val="24"/>
          <w:szCs w:val="24"/>
        </w:rPr>
        <w:t>。从业人员300人以下或营业收入10000万元以下的为中小微型企业。其中，从业人员100人及以上，且营业收入2000万元及以上的为中型企业</w:t>
      </w:r>
      <w:r>
        <w:rPr>
          <w:rFonts w:hint="eastAsia" w:ascii="宋体" w:hAnsi="宋体" w:eastAsia="宋体" w:cs="宋体"/>
          <w:sz w:val="24"/>
          <w:szCs w:val="24"/>
          <w:lang w:eastAsia="zh-CN"/>
        </w:rPr>
        <w:t>；</w:t>
      </w:r>
      <w:r>
        <w:rPr>
          <w:rFonts w:hint="eastAsia" w:ascii="宋体" w:hAnsi="宋体" w:eastAsia="宋体" w:cs="宋体"/>
          <w:sz w:val="24"/>
          <w:szCs w:val="24"/>
        </w:rPr>
        <w:t>从业人员10人及以上，且营业收入100万元及以上的为小型企业</w:t>
      </w:r>
      <w:r>
        <w:rPr>
          <w:rFonts w:hint="eastAsia" w:ascii="宋体" w:hAnsi="宋体" w:eastAsia="宋体" w:cs="宋体"/>
          <w:sz w:val="24"/>
          <w:szCs w:val="24"/>
          <w:lang w:eastAsia="zh-CN"/>
        </w:rPr>
        <w:t>；</w:t>
      </w:r>
      <w:r>
        <w:rPr>
          <w:rFonts w:hint="eastAsia" w:ascii="宋体" w:hAnsi="宋体" w:eastAsia="宋体" w:cs="宋体"/>
          <w:sz w:val="24"/>
          <w:szCs w:val="24"/>
        </w:rPr>
        <w:t>从业人员10人以下或营业收入100万元以下的为微型企业。</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(十一)</w:t>
      </w:r>
      <w:r>
        <w:rPr>
          <w:rFonts w:hint="eastAsia" w:ascii="宋体" w:hAnsi="宋体" w:eastAsia="宋体" w:cs="宋体"/>
          <w:b/>
          <w:bCs/>
          <w:sz w:val="24"/>
          <w:szCs w:val="24"/>
        </w:rPr>
        <w:t>信息传输业</w:t>
      </w:r>
      <w:r>
        <w:rPr>
          <w:rFonts w:hint="eastAsia" w:ascii="宋体" w:hAnsi="宋体" w:eastAsia="宋体" w:cs="宋体"/>
          <w:sz w:val="24"/>
          <w:szCs w:val="24"/>
        </w:rPr>
        <w:t>。从业人员2000人以下或营业收入100000万元以下的为中小微型企业。其中，从业人员100人及以上，且营业收入1000万元及以上的为中型企业</w:t>
      </w:r>
      <w:r>
        <w:rPr>
          <w:rFonts w:hint="eastAsia" w:ascii="宋体" w:hAnsi="宋体" w:eastAsia="宋体" w:cs="宋体"/>
          <w:sz w:val="24"/>
          <w:szCs w:val="24"/>
          <w:lang w:eastAsia="zh-CN"/>
        </w:rPr>
        <w:t>；</w:t>
      </w:r>
      <w:r>
        <w:rPr>
          <w:rFonts w:hint="eastAsia" w:ascii="宋体" w:hAnsi="宋体" w:eastAsia="宋体" w:cs="宋体"/>
          <w:sz w:val="24"/>
          <w:szCs w:val="24"/>
        </w:rPr>
        <w:t>从业人员10人及以上，且营业收入100万元及以上的为小型企业</w:t>
      </w:r>
      <w:r>
        <w:rPr>
          <w:rFonts w:hint="eastAsia" w:ascii="宋体" w:hAnsi="宋体" w:eastAsia="宋体" w:cs="宋体"/>
          <w:sz w:val="24"/>
          <w:szCs w:val="24"/>
          <w:lang w:eastAsia="zh-CN"/>
        </w:rPr>
        <w:t>；</w:t>
      </w:r>
      <w:r>
        <w:rPr>
          <w:rFonts w:hint="eastAsia" w:ascii="宋体" w:hAnsi="宋体" w:eastAsia="宋体" w:cs="宋体"/>
          <w:sz w:val="24"/>
          <w:szCs w:val="24"/>
        </w:rPr>
        <w:t>从业人员10人以下或营业收入100万元以下的为微型企业。</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(十二)</w:t>
      </w:r>
      <w:r>
        <w:rPr>
          <w:rFonts w:hint="eastAsia" w:ascii="宋体" w:hAnsi="宋体" w:eastAsia="宋体" w:cs="宋体"/>
          <w:b/>
          <w:bCs/>
          <w:sz w:val="24"/>
          <w:szCs w:val="24"/>
        </w:rPr>
        <w:t>软件和信息技术服务业</w:t>
      </w:r>
      <w:r>
        <w:rPr>
          <w:rFonts w:hint="eastAsia" w:ascii="宋体" w:hAnsi="宋体" w:eastAsia="宋体" w:cs="宋体"/>
          <w:sz w:val="24"/>
          <w:szCs w:val="24"/>
        </w:rPr>
        <w:t>。从业人员300人以下或营业收入10000万元以下的为中小微型企业.其中,从业人员100人及以上，且营业收入1000万元及以上的为中型企业</w:t>
      </w:r>
      <w:r>
        <w:rPr>
          <w:rFonts w:hint="eastAsia" w:ascii="宋体" w:hAnsi="宋体" w:eastAsia="宋体" w:cs="宋体"/>
          <w:sz w:val="24"/>
          <w:szCs w:val="24"/>
          <w:lang w:eastAsia="zh-CN"/>
        </w:rPr>
        <w:t>；</w:t>
      </w:r>
      <w:r>
        <w:rPr>
          <w:rFonts w:hint="eastAsia" w:ascii="宋体" w:hAnsi="宋体" w:eastAsia="宋体" w:cs="宋体"/>
          <w:sz w:val="24"/>
          <w:szCs w:val="24"/>
        </w:rPr>
        <w:t>从业人员10人及以上，且营业收入50万元及以上的为小型企业</w:t>
      </w:r>
      <w:r>
        <w:rPr>
          <w:rFonts w:hint="eastAsia" w:ascii="宋体" w:hAnsi="宋体" w:eastAsia="宋体" w:cs="宋体"/>
          <w:sz w:val="24"/>
          <w:szCs w:val="24"/>
          <w:lang w:eastAsia="zh-CN"/>
        </w:rPr>
        <w:t>；</w:t>
      </w:r>
      <w:r>
        <w:rPr>
          <w:rFonts w:hint="eastAsia" w:ascii="宋体" w:hAnsi="宋体" w:eastAsia="宋体" w:cs="宋体"/>
          <w:sz w:val="24"/>
          <w:szCs w:val="24"/>
        </w:rPr>
        <w:t>从业人员10人以下或营业收入50万元以下的为微型企业。</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(十三)</w:t>
      </w:r>
      <w:r>
        <w:rPr>
          <w:rFonts w:hint="eastAsia" w:ascii="宋体" w:hAnsi="宋体" w:eastAsia="宋体" w:cs="宋体"/>
          <w:b/>
          <w:bCs/>
          <w:sz w:val="24"/>
          <w:szCs w:val="24"/>
        </w:rPr>
        <w:t>房地产开发经营</w:t>
      </w:r>
      <w:r>
        <w:rPr>
          <w:rFonts w:hint="eastAsia" w:ascii="宋体" w:hAnsi="宋体" w:eastAsia="宋体" w:cs="宋体"/>
          <w:sz w:val="24"/>
          <w:szCs w:val="24"/>
        </w:rPr>
        <w:t>。营业收入200000万元以下或资产总额10000万元以下的为中小微型企业。其中，营业收入1000万元及以上，且资产总额5000万元及以上的为中型企业</w:t>
      </w:r>
      <w:r>
        <w:rPr>
          <w:rFonts w:hint="eastAsia" w:ascii="宋体" w:hAnsi="宋体" w:eastAsia="宋体" w:cs="宋体"/>
          <w:sz w:val="24"/>
          <w:szCs w:val="24"/>
          <w:lang w:eastAsia="zh-CN"/>
        </w:rPr>
        <w:t>；</w:t>
      </w:r>
      <w:r>
        <w:rPr>
          <w:rFonts w:hint="eastAsia" w:ascii="宋体" w:hAnsi="宋体" w:eastAsia="宋体" w:cs="宋体"/>
          <w:sz w:val="24"/>
          <w:szCs w:val="24"/>
        </w:rPr>
        <w:t>营业收入100万元及以上，且资产总额2000万元及以上的为小型企业</w:t>
      </w:r>
      <w:r>
        <w:rPr>
          <w:rFonts w:hint="eastAsia" w:ascii="宋体" w:hAnsi="宋体" w:eastAsia="宋体" w:cs="宋体"/>
          <w:sz w:val="24"/>
          <w:szCs w:val="24"/>
          <w:lang w:eastAsia="zh-CN"/>
        </w:rPr>
        <w:t>；</w:t>
      </w:r>
      <w:r>
        <w:rPr>
          <w:rFonts w:hint="eastAsia" w:ascii="宋体" w:hAnsi="宋体" w:eastAsia="宋体" w:cs="宋体"/>
          <w:sz w:val="24"/>
          <w:szCs w:val="24"/>
        </w:rPr>
        <w:t>营业收入100万元以下或资产总额2000万元以下的为微型企业。</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(十四)</w:t>
      </w:r>
      <w:r>
        <w:rPr>
          <w:rFonts w:hint="eastAsia" w:ascii="宋体" w:hAnsi="宋体" w:eastAsia="宋体" w:cs="宋体"/>
          <w:b/>
          <w:bCs/>
          <w:sz w:val="24"/>
          <w:szCs w:val="24"/>
        </w:rPr>
        <w:t>物业管理</w:t>
      </w:r>
      <w:r>
        <w:rPr>
          <w:rFonts w:hint="eastAsia" w:ascii="宋体" w:hAnsi="宋体" w:eastAsia="宋体" w:cs="宋体"/>
          <w:sz w:val="24"/>
          <w:szCs w:val="24"/>
        </w:rPr>
        <w:t>。从业人员1000人以下或营业收入5000万元以下的为中小微型企业。其中，从业人员300人及以上，且营业收入1000万元及以上的为中型企业</w:t>
      </w:r>
      <w:r>
        <w:rPr>
          <w:rFonts w:hint="eastAsia" w:ascii="宋体" w:hAnsi="宋体" w:eastAsia="宋体" w:cs="宋体"/>
          <w:sz w:val="24"/>
          <w:szCs w:val="24"/>
          <w:lang w:eastAsia="zh-CN"/>
        </w:rPr>
        <w:t>；</w:t>
      </w:r>
      <w:r>
        <w:rPr>
          <w:rFonts w:hint="eastAsia" w:ascii="宋体" w:hAnsi="宋体" w:eastAsia="宋体" w:cs="宋体"/>
          <w:sz w:val="24"/>
          <w:szCs w:val="24"/>
        </w:rPr>
        <w:t>从业人员100人及以上，且营业收入500万元及以上的为小型企业</w:t>
      </w:r>
      <w:r>
        <w:rPr>
          <w:rFonts w:hint="eastAsia" w:ascii="宋体" w:hAnsi="宋体" w:eastAsia="宋体" w:cs="宋体"/>
          <w:sz w:val="24"/>
          <w:szCs w:val="24"/>
          <w:lang w:eastAsia="zh-CN"/>
        </w:rPr>
        <w:t>；</w:t>
      </w:r>
      <w:r>
        <w:rPr>
          <w:rFonts w:hint="eastAsia" w:ascii="宋体" w:hAnsi="宋体" w:eastAsia="宋体" w:cs="宋体"/>
          <w:sz w:val="24"/>
          <w:szCs w:val="24"/>
        </w:rPr>
        <w:t>从业人员100人以下或营业收入500万元以下的为微型企业。</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(十五）</w:t>
      </w:r>
      <w:r>
        <w:rPr>
          <w:rFonts w:hint="eastAsia" w:ascii="宋体" w:hAnsi="宋体" w:eastAsia="宋体" w:cs="宋体"/>
          <w:b/>
          <w:bCs/>
          <w:sz w:val="24"/>
          <w:szCs w:val="24"/>
        </w:rPr>
        <w:t>租赁和商务服务业</w:t>
      </w:r>
      <w:r>
        <w:rPr>
          <w:rFonts w:hint="eastAsia" w:ascii="宋体" w:hAnsi="宋体" w:eastAsia="宋体" w:cs="宋体"/>
          <w:sz w:val="24"/>
          <w:szCs w:val="24"/>
        </w:rPr>
        <w:t>。从业人员300人以下或资产总额120000万元以下的为中小微型企业。其中，从业人员100人及以上，且资产总额8000万元及以上的为中型企业</w:t>
      </w:r>
      <w:r>
        <w:rPr>
          <w:rFonts w:hint="eastAsia" w:ascii="宋体" w:hAnsi="宋体" w:eastAsia="宋体" w:cs="宋体"/>
          <w:sz w:val="24"/>
          <w:szCs w:val="24"/>
          <w:lang w:eastAsia="zh-CN"/>
        </w:rPr>
        <w:t>；</w:t>
      </w:r>
      <w:r>
        <w:rPr>
          <w:rFonts w:hint="eastAsia" w:ascii="宋体" w:hAnsi="宋体" w:eastAsia="宋体" w:cs="宋体"/>
          <w:sz w:val="24"/>
          <w:szCs w:val="24"/>
        </w:rPr>
        <w:t>从业人员10人及以上，且资产总额100万元及以上的为小型企业</w:t>
      </w:r>
      <w:r>
        <w:rPr>
          <w:rFonts w:hint="eastAsia" w:ascii="宋体" w:hAnsi="宋体" w:eastAsia="宋体" w:cs="宋体"/>
          <w:sz w:val="24"/>
          <w:szCs w:val="24"/>
          <w:lang w:eastAsia="zh-CN"/>
        </w:rPr>
        <w:t>；</w:t>
      </w:r>
      <w:r>
        <w:rPr>
          <w:rFonts w:hint="eastAsia" w:ascii="宋体" w:hAnsi="宋体" w:eastAsia="宋体" w:cs="宋体"/>
          <w:sz w:val="24"/>
          <w:szCs w:val="24"/>
        </w:rPr>
        <w:t>从业人员10人以下或资产总额100万元以下的为微型企业。</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(十六)</w:t>
      </w:r>
      <w:r>
        <w:rPr>
          <w:rFonts w:hint="eastAsia" w:ascii="宋体" w:hAnsi="宋体" w:eastAsia="宋体" w:cs="宋体"/>
          <w:b/>
          <w:bCs/>
          <w:sz w:val="24"/>
          <w:szCs w:val="24"/>
        </w:rPr>
        <w:t>其他未列明行业</w:t>
      </w:r>
      <w:r>
        <w:rPr>
          <w:rFonts w:hint="eastAsia" w:ascii="宋体" w:hAnsi="宋体" w:eastAsia="宋体" w:cs="宋体"/>
          <w:sz w:val="24"/>
          <w:szCs w:val="24"/>
        </w:rPr>
        <w:t>。从业人员300人以下的为中小微型企业。其中，从业人员100人及以上的为中型企业</w:t>
      </w:r>
      <w:r>
        <w:rPr>
          <w:rFonts w:hint="eastAsia" w:ascii="宋体" w:hAnsi="宋体" w:eastAsia="宋体" w:cs="宋体"/>
          <w:sz w:val="24"/>
          <w:szCs w:val="24"/>
          <w:lang w:eastAsia="zh-CN"/>
        </w:rPr>
        <w:t>；</w:t>
      </w:r>
      <w:r>
        <w:rPr>
          <w:rFonts w:hint="eastAsia" w:ascii="宋体" w:hAnsi="宋体" w:eastAsia="宋体" w:cs="宋体"/>
          <w:sz w:val="24"/>
          <w:szCs w:val="24"/>
        </w:rPr>
        <w:t>从业人员10人及以上的为小型企业</w:t>
      </w:r>
      <w:r>
        <w:rPr>
          <w:rFonts w:hint="eastAsia" w:ascii="宋体" w:hAnsi="宋体" w:eastAsia="宋体" w:cs="宋体"/>
          <w:sz w:val="24"/>
          <w:szCs w:val="24"/>
          <w:lang w:eastAsia="zh-CN"/>
        </w:rPr>
        <w:t>；</w:t>
      </w:r>
      <w:r>
        <w:rPr>
          <w:rFonts w:hint="eastAsia" w:ascii="宋体" w:hAnsi="宋体" w:eastAsia="宋体" w:cs="宋体"/>
          <w:sz w:val="24"/>
          <w:szCs w:val="24"/>
        </w:rPr>
        <w:t>从业人员10人以下的为微型企业。</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五、企业类型的划分以统计部门的统计数据为依据。</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六、本规定适用于在中华人民共和国境内依法设立的各类所有制和各种组织形式的企业。个体工商户和本规定以外的行业，参照本规定进行划型。</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七、本规定的中型企业标准上限即为大型企业标准的下限,国家统计部门据此制定大中小微型企业的统计分类,国务院有关部门据此进行相关数据分析，不得制定与本规定不一致的企业划型标准。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八、本规定由工业和信息化部、国家统计局会同有关部门根据《国民经济行业分类》修订情况和企业发展变化情况适时修订。</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九、本规定由工业和信息化部、国家统计局会同有关部门负责解释。</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十、本规定自发布之日起执行，原国家经贸委、原国家计委、财政部和国家统计</w:t>
      </w:r>
      <w:r>
        <w:rPr>
          <w:rFonts w:hint="eastAsia" w:ascii="宋体" w:hAnsi="宋体" w:eastAsia="宋体" w:cs="宋体"/>
          <w:sz w:val="24"/>
          <w:szCs w:val="24"/>
          <w:highlight w:val="none"/>
        </w:rPr>
        <w:t>局20</w:t>
      </w:r>
      <w:r>
        <w:rPr>
          <w:rFonts w:hint="eastAsia" w:hAnsi="宋体" w:cs="宋体"/>
          <w:sz w:val="24"/>
          <w:szCs w:val="24"/>
          <w:highlight w:val="none"/>
          <w:lang w:val="en-US" w:eastAsia="zh-CN"/>
        </w:rPr>
        <w:t>03</w:t>
      </w:r>
      <w:r>
        <w:rPr>
          <w:rFonts w:hint="eastAsia" w:ascii="宋体" w:hAnsi="宋体" w:eastAsia="宋体" w:cs="宋体"/>
          <w:sz w:val="24"/>
          <w:szCs w:val="24"/>
          <w:highlight w:val="none"/>
        </w:rPr>
        <w:t>年颁布的《</w:t>
      </w:r>
      <w:r>
        <w:rPr>
          <w:rFonts w:hint="eastAsia" w:ascii="宋体" w:hAnsi="宋体" w:eastAsia="宋体" w:cs="宋体"/>
          <w:sz w:val="24"/>
          <w:szCs w:val="24"/>
        </w:rPr>
        <w:t>中小企业标准暂行规定》同时废止。</w:t>
      </w:r>
    </w:p>
    <w:p>
      <w:pP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br w:type="page"/>
      </w:r>
    </w:p>
    <w:p>
      <w:pPr>
        <w:keepNext w:val="0"/>
        <w:keepLines w:val="0"/>
        <w:pageBreakBefore w:val="0"/>
        <w:kinsoku/>
        <w:wordWrap/>
        <w:overflowPunct/>
        <w:topLinePunct w:val="0"/>
        <w:bidi w:val="0"/>
        <w:spacing w:line="360" w:lineRule="auto"/>
        <w:ind w:firstLine="0" w:firstLineChars="0"/>
        <w:textAlignment w:val="auto"/>
        <w:rPr>
          <w:rFonts w:hint="default" w:ascii="宋体" w:hAnsi="宋体" w:eastAsia="宋体" w:cs="宋体"/>
          <w:b/>
          <w:color w:val="auto"/>
          <w:sz w:val="28"/>
          <w:szCs w:val="28"/>
          <w:highlight w:val="none"/>
          <w:lang w:val="en-US" w:eastAsia="zh-CN"/>
        </w:rPr>
      </w:pPr>
      <w:r>
        <w:rPr>
          <w:rFonts w:hint="eastAsia" w:ascii="宋体" w:hAnsi="宋体" w:eastAsia="宋体" w:cs="宋体"/>
          <w:b/>
          <w:color w:val="auto"/>
          <w:sz w:val="28"/>
          <w:szCs w:val="28"/>
          <w:highlight w:val="none"/>
        </w:rPr>
        <w:t>格式2-</w:t>
      </w:r>
      <w:r>
        <w:rPr>
          <w:rFonts w:hint="eastAsia" w:ascii="宋体" w:hAnsi="宋体" w:eastAsia="宋体" w:cs="宋体"/>
          <w:b/>
          <w:color w:val="auto"/>
          <w:sz w:val="28"/>
          <w:szCs w:val="28"/>
          <w:highlight w:val="none"/>
          <w:lang w:val="en-US" w:eastAsia="zh-CN"/>
        </w:rPr>
        <w:t>12</w:t>
      </w:r>
    </w:p>
    <w:p>
      <w:pPr>
        <w:keepNext w:val="0"/>
        <w:keepLines w:val="0"/>
        <w:pageBreakBefore w:val="0"/>
        <w:kinsoku/>
        <w:wordWrap/>
        <w:overflowPunct/>
        <w:topLinePunct w:val="0"/>
        <w:bidi w:val="0"/>
        <w:spacing w:line="360" w:lineRule="auto"/>
        <w:ind w:firstLine="643"/>
        <w:jc w:val="center"/>
        <w:textAlignment w:val="auto"/>
        <w:rPr>
          <w:rFonts w:hint="eastAsia" w:ascii="宋体" w:hAnsi="宋体" w:eastAsia="宋体" w:cs="宋体"/>
          <w:b/>
          <w:bCs/>
          <w:color w:val="auto"/>
          <w:sz w:val="28"/>
          <w:szCs w:val="28"/>
          <w:highlight w:val="none"/>
        </w:rPr>
      </w:pPr>
      <w:r>
        <w:rPr>
          <w:rFonts w:hint="eastAsia" w:ascii="宋体" w:hAnsi="宋体" w:cs="宋体"/>
          <w:b/>
          <w:bCs/>
          <w:color w:val="auto"/>
          <w:sz w:val="28"/>
          <w:szCs w:val="28"/>
          <w:highlight w:val="none"/>
          <w:lang w:val="en-US" w:eastAsia="zh-CN"/>
        </w:rPr>
        <w:t>五</w:t>
      </w:r>
      <w:r>
        <w:rPr>
          <w:rFonts w:hint="eastAsia" w:ascii="宋体" w:hAnsi="宋体" w:eastAsia="宋体" w:cs="宋体"/>
          <w:b/>
          <w:bCs/>
          <w:color w:val="auto"/>
          <w:sz w:val="28"/>
          <w:szCs w:val="28"/>
          <w:highlight w:val="none"/>
        </w:rPr>
        <w:t>、残疾人福利性单位声明函</w:t>
      </w:r>
    </w:p>
    <w:p>
      <w:pPr>
        <w:keepNext w:val="0"/>
        <w:keepLines w:val="0"/>
        <w:pageBreakBefore w:val="0"/>
        <w:kinsoku/>
        <w:wordWrap/>
        <w:overflowPunct/>
        <w:topLinePunct w:val="0"/>
        <w:bidi w:val="0"/>
        <w:spacing w:line="360" w:lineRule="auto"/>
        <w:ind w:firstLine="506"/>
        <w:textAlignment w:val="auto"/>
        <w:rPr>
          <w:rFonts w:hint="eastAsia" w:ascii="宋体" w:hAnsi="宋体" w:eastAsia="宋体" w:cs="宋体"/>
          <w:b/>
          <w:color w:val="000000" w:themeColor="text1"/>
          <w:spacing w:val="6"/>
          <w:sz w:val="28"/>
          <w:szCs w:val="28"/>
          <w:highlight w:val="none"/>
          <w14:textFill>
            <w14:solidFill>
              <w14:schemeClr w14:val="tx1"/>
            </w14:solidFill>
          </w14:textFill>
        </w:rPr>
      </w:pPr>
    </w:p>
    <w:p>
      <w:pPr>
        <w:keepNext w:val="0"/>
        <w:keepLines w:val="0"/>
        <w:pageBreakBefore w:val="0"/>
        <w:kinsoku/>
        <w:wordWrap/>
        <w:overflowPunct/>
        <w:topLinePunct w:val="0"/>
        <w:bidi w:val="0"/>
        <w:spacing w:line="360" w:lineRule="auto"/>
        <w:ind w:firstLine="504"/>
        <w:textAlignment w:val="auto"/>
        <w:rPr>
          <w:rFonts w:hint="eastAsia" w:ascii="宋体" w:hAnsi="宋体" w:eastAsia="宋体" w:cs="宋体"/>
          <w:color w:val="000000" w:themeColor="text1"/>
          <w:spacing w:val="6"/>
          <w:sz w:val="24"/>
          <w:szCs w:val="24"/>
          <w:highlight w:val="none"/>
          <w14:textFill>
            <w14:solidFill>
              <w14:schemeClr w14:val="tx1"/>
            </w14:solidFill>
          </w14:textFill>
        </w:rPr>
      </w:pPr>
      <w:r>
        <w:rPr>
          <w:rFonts w:hint="eastAsia" w:ascii="宋体" w:hAnsi="宋体" w:eastAsia="宋体" w:cs="宋体"/>
          <w:color w:val="000000" w:themeColor="text1"/>
          <w:spacing w:val="6"/>
          <w:sz w:val="24"/>
          <w:szCs w:val="24"/>
          <w:highlight w:val="none"/>
          <w14:textFill>
            <w14:solidFill>
              <w14:schemeClr w14:val="tx1"/>
            </w14:solidFill>
          </w14:textFill>
        </w:rPr>
        <w:t>本单位郑重声明，根据《财政部 民政部 中国残疾人联合会关于促进残疾人就业政府采购政策的通知》（财库</w:t>
      </w:r>
      <w:r>
        <w:rPr>
          <w:rFonts w:hint="eastAsia" w:ascii="宋体" w:hAnsi="宋体" w:eastAsia="宋体" w:cs="宋体"/>
          <w:color w:val="000000" w:themeColor="text1"/>
          <w:sz w:val="24"/>
          <w:szCs w:val="24"/>
          <w:highlight w:val="none"/>
          <w14:textFill>
            <w14:solidFill>
              <w14:schemeClr w14:val="tx1"/>
            </w14:solidFill>
          </w14:textFill>
        </w:rPr>
        <w:t>〔2017〕 141</w:t>
      </w:r>
      <w:r>
        <w:rPr>
          <w:rFonts w:hint="eastAsia" w:ascii="宋体" w:hAnsi="宋体" w:eastAsia="宋体" w:cs="宋体"/>
          <w:color w:val="000000" w:themeColor="text1"/>
          <w:spacing w:val="6"/>
          <w:sz w:val="24"/>
          <w:szCs w:val="24"/>
          <w:highlight w:val="none"/>
          <w14:textFill>
            <w14:solidFill>
              <w14:schemeClr w14:val="tx1"/>
            </w14:solidFill>
          </w14:textFill>
        </w:rPr>
        <w:t>号）的规定，本单位为</w:t>
      </w:r>
      <w:r>
        <w:rPr>
          <w:rFonts w:hint="eastAsia" w:ascii="宋体" w:hAnsi="宋体" w:eastAsia="宋体" w:cs="宋体"/>
          <w:color w:val="000000" w:themeColor="text1"/>
          <w:sz w:val="24"/>
          <w:szCs w:val="24"/>
          <w:highlight w:val="none"/>
          <w:u w:val="single"/>
          <w14:textFill>
            <w14:solidFill>
              <w14:schemeClr w14:val="tx1"/>
            </w14:solidFill>
          </w14:textFill>
        </w:rPr>
        <w:t>XXXX（</w:t>
      </w:r>
      <w:r>
        <w:rPr>
          <w:rFonts w:hint="eastAsia" w:ascii="宋体" w:hAnsi="宋体" w:eastAsia="宋体" w:cs="宋体"/>
          <w:color w:val="000000" w:themeColor="text1"/>
          <w:spacing w:val="6"/>
          <w:sz w:val="24"/>
          <w:szCs w:val="24"/>
          <w:highlight w:val="none"/>
          <w14:textFill>
            <w14:solidFill>
              <w14:schemeClr w14:val="tx1"/>
            </w14:solidFill>
          </w14:textFill>
        </w:rPr>
        <w:t>符合/不符合）条件的残疾人福利性单位，且本单位参加</w:t>
      </w:r>
      <w:r>
        <w:rPr>
          <w:rFonts w:hint="eastAsia" w:ascii="宋体" w:hAnsi="宋体" w:eastAsia="宋体" w:cs="宋体"/>
          <w:color w:val="000000" w:themeColor="text1"/>
          <w:sz w:val="24"/>
          <w:szCs w:val="24"/>
          <w:highlight w:val="none"/>
          <w:u w:val="single"/>
          <w14:textFill>
            <w14:solidFill>
              <w14:schemeClr w14:val="tx1"/>
            </w14:solidFill>
          </w14:textFill>
        </w:rPr>
        <w:t>XXXX</w:t>
      </w:r>
      <w:r>
        <w:rPr>
          <w:rFonts w:hint="eastAsia" w:ascii="宋体" w:hAnsi="宋体" w:eastAsia="宋体" w:cs="宋体"/>
          <w:color w:val="000000" w:themeColor="text1"/>
          <w:spacing w:val="6"/>
          <w:sz w:val="24"/>
          <w:szCs w:val="24"/>
          <w:highlight w:val="none"/>
          <w14:textFill>
            <w14:solidFill>
              <w14:schemeClr w14:val="tx1"/>
            </w14:solidFill>
          </w14:textFill>
        </w:rPr>
        <w:t>单位的</w:t>
      </w:r>
      <w:r>
        <w:rPr>
          <w:rFonts w:hint="eastAsia" w:ascii="宋体" w:hAnsi="宋体" w:eastAsia="宋体" w:cs="宋体"/>
          <w:color w:val="000000" w:themeColor="text1"/>
          <w:sz w:val="24"/>
          <w:szCs w:val="24"/>
          <w:highlight w:val="none"/>
          <w:u w:val="single"/>
          <w14:textFill>
            <w14:solidFill>
              <w14:schemeClr w14:val="tx1"/>
            </w14:solidFill>
          </w14:textFill>
        </w:rPr>
        <w:t>XXXX</w:t>
      </w:r>
      <w:r>
        <w:rPr>
          <w:rFonts w:hint="eastAsia" w:ascii="宋体" w:hAnsi="宋体" w:eastAsia="宋体" w:cs="宋体"/>
          <w:color w:val="000000" w:themeColor="text1"/>
          <w:spacing w:val="6"/>
          <w:sz w:val="24"/>
          <w:szCs w:val="24"/>
          <w:highlight w:val="none"/>
          <w14:textFill>
            <w14:solidFill>
              <w14:schemeClr w14:val="tx1"/>
            </w14:solidFill>
          </w14:textFill>
        </w:rPr>
        <w:t>项目采购活动提供本单位制造的货物（由本单位承担工程/提供服务），或者提供其他残疾人福利性单位制造的货物（不包括使用非残疾人福利性单位注册商标的货物）。</w:t>
      </w:r>
    </w:p>
    <w:p>
      <w:pPr>
        <w:keepNext w:val="0"/>
        <w:keepLines w:val="0"/>
        <w:pageBreakBefore w:val="0"/>
        <w:kinsoku/>
        <w:wordWrap/>
        <w:overflowPunct/>
        <w:topLinePunct w:val="0"/>
        <w:bidi w:val="0"/>
        <w:spacing w:line="360" w:lineRule="auto"/>
        <w:ind w:firstLine="504"/>
        <w:textAlignment w:val="auto"/>
        <w:rPr>
          <w:rFonts w:hint="eastAsia" w:ascii="宋体" w:hAnsi="宋体" w:eastAsia="宋体" w:cs="宋体"/>
          <w:color w:val="000000" w:themeColor="text1"/>
          <w:spacing w:val="6"/>
          <w:sz w:val="24"/>
          <w:szCs w:val="24"/>
          <w:highlight w:val="none"/>
          <w14:textFill>
            <w14:solidFill>
              <w14:schemeClr w14:val="tx1"/>
            </w14:solidFill>
          </w14:textFill>
        </w:rPr>
      </w:pPr>
      <w:r>
        <w:rPr>
          <w:rFonts w:hint="eastAsia" w:ascii="宋体" w:hAnsi="宋体" w:eastAsia="宋体" w:cs="宋体"/>
          <w:color w:val="000000" w:themeColor="text1"/>
          <w:spacing w:val="6"/>
          <w:sz w:val="24"/>
          <w:szCs w:val="24"/>
          <w:highlight w:val="none"/>
          <w14:textFill>
            <w14:solidFill>
              <w14:schemeClr w14:val="tx1"/>
            </w14:solidFill>
          </w14:textFill>
        </w:rPr>
        <w:t>本单位对上述声明的真实性负责。如有虚假，将依法承担相应责任。</w:t>
      </w:r>
    </w:p>
    <w:p>
      <w:pPr>
        <w:keepNext w:val="0"/>
        <w:keepLines w:val="0"/>
        <w:pageBreakBefore w:val="0"/>
        <w:kinsoku/>
        <w:wordWrap/>
        <w:overflowPunct/>
        <w:topLinePunct w:val="0"/>
        <w:bidi w:val="0"/>
        <w:spacing w:line="360" w:lineRule="auto"/>
        <w:ind w:firstLine="48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单位名称：XXXX（盖单位公章）</w:t>
      </w:r>
    </w:p>
    <w:p>
      <w:pPr>
        <w:keepNext w:val="0"/>
        <w:keepLines w:val="0"/>
        <w:pageBreakBefore w:val="0"/>
        <w:kinsoku/>
        <w:wordWrap/>
        <w:overflowPunct/>
        <w:topLinePunct w:val="0"/>
        <w:bidi w:val="0"/>
        <w:spacing w:line="360" w:lineRule="auto"/>
        <w:ind w:firstLine="48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法定代表人/单位负责人或授权代表（签字或加盖个人印章）：XXXX</w:t>
      </w:r>
    </w:p>
    <w:p>
      <w:pPr>
        <w:keepNext w:val="0"/>
        <w:keepLines w:val="0"/>
        <w:pageBreakBefore w:val="0"/>
        <w:kinsoku/>
        <w:wordWrap/>
        <w:overflowPunct/>
        <w:topLinePunct w:val="0"/>
        <w:bidi w:val="0"/>
        <w:spacing w:line="360" w:lineRule="auto"/>
        <w:ind w:firstLine="48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日期：XXXX</w:t>
      </w:r>
    </w:p>
    <w:p>
      <w:pPr>
        <w:keepNext w:val="0"/>
        <w:keepLines w:val="0"/>
        <w:pageBreakBefore w:val="0"/>
        <w:kinsoku/>
        <w:wordWrap/>
        <w:overflowPunct/>
        <w:topLinePunct w:val="0"/>
        <w:bidi w:val="0"/>
        <w:spacing w:line="360" w:lineRule="auto"/>
        <w:ind w:firstLine="504"/>
        <w:textAlignment w:val="auto"/>
        <w:rPr>
          <w:rFonts w:hint="eastAsia" w:ascii="宋体" w:hAnsi="宋体" w:eastAsia="宋体" w:cs="宋体"/>
          <w:color w:val="000000" w:themeColor="text1"/>
          <w:spacing w:val="6"/>
          <w:sz w:val="24"/>
          <w:szCs w:val="24"/>
          <w:highlight w:val="none"/>
          <w14:textFill>
            <w14:solidFill>
              <w14:schemeClr w14:val="tx1"/>
            </w14:solidFill>
          </w14:textFill>
        </w:rPr>
      </w:pPr>
    </w:p>
    <w:p>
      <w:pPr>
        <w:keepNext w:val="0"/>
        <w:keepLines w:val="0"/>
        <w:pageBreakBefore w:val="0"/>
        <w:kinsoku/>
        <w:wordWrap/>
        <w:overflowPunct/>
        <w:topLinePunct w:val="0"/>
        <w:bidi w:val="0"/>
        <w:spacing w:line="360" w:lineRule="auto"/>
        <w:ind w:firstLine="504"/>
        <w:textAlignment w:val="auto"/>
        <w:rPr>
          <w:rFonts w:hint="eastAsia" w:ascii="宋体" w:hAnsi="宋体" w:eastAsia="宋体" w:cs="宋体"/>
          <w:color w:val="000000" w:themeColor="text1"/>
          <w:spacing w:val="6"/>
          <w:sz w:val="24"/>
          <w:szCs w:val="24"/>
          <w:highlight w:val="none"/>
          <w14:textFill>
            <w14:solidFill>
              <w14:schemeClr w14:val="tx1"/>
            </w14:solidFill>
          </w14:textFill>
        </w:rPr>
      </w:pPr>
    </w:p>
    <w:p>
      <w:pPr>
        <w:keepNext w:val="0"/>
        <w:keepLines w:val="0"/>
        <w:pageBreakBefore w:val="0"/>
        <w:kinsoku/>
        <w:wordWrap/>
        <w:overflowPunct/>
        <w:topLinePunct w:val="0"/>
        <w:bidi w:val="0"/>
        <w:spacing w:line="360" w:lineRule="auto"/>
        <w:ind w:firstLine="504"/>
        <w:textAlignment w:val="auto"/>
        <w:rPr>
          <w:rFonts w:hint="eastAsia" w:ascii="宋体" w:hAnsi="宋体" w:eastAsia="宋体" w:cs="宋体"/>
          <w:color w:val="000000" w:themeColor="text1"/>
          <w:spacing w:val="6"/>
          <w:sz w:val="24"/>
          <w:szCs w:val="24"/>
          <w:highlight w:val="none"/>
          <w14:textFill>
            <w14:solidFill>
              <w14:schemeClr w14:val="tx1"/>
            </w14:solidFill>
          </w14:textFill>
        </w:rPr>
      </w:pPr>
      <w:r>
        <w:rPr>
          <w:rFonts w:hint="eastAsia" w:ascii="宋体" w:hAnsi="宋体" w:eastAsia="宋体" w:cs="宋体"/>
          <w:color w:val="000000" w:themeColor="text1"/>
          <w:spacing w:val="6"/>
          <w:sz w:val="24"/>
          <w:szCs w:val="24"/>
          <w:highlight w:val="none"/>
          <w14:textFill>
            <w14:solidFill>
              <w14:schemeClr w14:val="tx1"/>
            </w14:solidFill>
          </w14:textFill>
        </w:rPr>
        <w:t>注：</w:t>
      </w:r>
      <w:r>
        <w:rPr>
          <w:rFonts w:hint="eastAsia" w:ascii="宋体" w:hAnsi="宋体" w:eastAsia="宋体" w:cs="宋体"/>
          <w:color w:val="000000" w:themeColor="text1"/>
          <w:spacing w:val="6"/>
          <w:sz w:val="24"/>
          <w:szCs w:val="24"/>
          <w:highlight w:val="none"/>
          <w:lang w:val="en-US" w:eastAsia="zh-CN"/>
          <w14:textFill>
            <w14:solidFill>
              <w14:schemeClr w14:val="tx1"/>
            </w14:solidFill>
          </w14:textFill>
        </w:rPr>
        <w:t>1.</w:t>
      </w:r>
      <w:r>
        <w:rPr>
          <w:rFonts w:hint="eastAsia" w:ascii="宋体" w:hAnsi="宋体" w:eastAsia="宋体" w:cs="宋体"/>
          <w:color w:val="000000" w:themeColor="text1"/>
          <w:spacing w:val="6"/>
          <w:sz w:val="24"/>
          <w:szCs w:val="24"/>
          <w:highlight w:val="none"/>
          <w14:textFill>
            <w14:solidFill>
              <w14:schemeClr w14:val="tx1"/>
            </w14:solidFill>
          </w14:textFill>
        </w:rPr>
        <w:t>残疾人福利性单位视同小型、微型企业，享受预留份额、评审中价格扣除等促进中小企业发展的政府采购政策。残疾人福利性单位属于小型、微型企业的，不重复享受政策。</w:t>
      </w:r>
    </w:p>
    <w:p>
      <w:pPr>
        <w:keepNext w:val="0"/>
        <w:keepLines w:val="0"/>
        <w:pageBreakBefore w:val="0"/>
        <w:kinsoku/>
        <w:wordWrap/>
        <w:overflowPunct/>
        <w:topLinePunct w:val="0"/>
        <w:bidi w:val="0"/>
        <w:spacing w:line="360" w:lineRule="auto"/>
        <w:ind w:firstLine="504"/>
        <w:textAlignment w:val="auto"/>
        <w:rPr>
          <w:rFonts w:hint="eastAsia" w:ascii="宋体" w:hAnsi="宋体" w:eastAsia="宋体" w:cs="宋体"/>
          <w:color w:val="000000" w:themeColor="text1"/>
          <w:spacing w:val="6"/>
          <w:sz w:val="24"/>
          <w:szCs w:val="24"/>
          <w:highlight w:val="none"/>
          <w14:textFill>
            <w14:solidFill>
              <w14:schemeClr w14:val="tx1"/>
            </w14:solidFill>
          </w14:textFill>
        </w:rPr>
      </w:pPr>
      <w:r>
        <w:rPr>
          <w:rFonts w:hint="eastAsia" w:ascii="宋体" w:hAnsi="宋体" w:eastAsia="宋体" w:cs="宋体"/>
          <w:color w:val="000000" w:themeColor="text1"/>
          <w:spacing w:val="6"/>
          <w:sz w:val="24"/>
          <w:szCs w:val="24"/>
          <w:highlight w:val="none"/>
          <w:lang w:val="en-US" w:eastAsia="zh-CN"/>
          <w14:textFill>
            <w14:solidFill>
              <w14:schemeClr w14:val="tx1"/>
            </w14:solidFill>
          </w14:textFill>
        </w:rPr>
        <w:t>2.</w:t>
      </w:r>
      <w:r>
        <w:rPr>
          <w:rFonts w:hint="eastAsia" w:ascii="宋体" w:hAnsi="宋体" w:eastAsia="宋体" w:cs="宋体"/>
          <w:color w:val="000000" w:themeColor="text1"/>
          <w:spacing w:val="6"/>
          <w:sz w:val="24"/>
          <w:szCs w:val="24"/>
          <w:highlight w:val="none"/>
          <w14:textFill>
            <w14:solidFill>
              <w14:schemeClr w14:val="tx1"/>
            </w14:solidFill>
          </w14:textFill>
        </w:rPr>
        <w:t>供应商为非残疾人福利性单位的，可不提供此声明。</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kinsoku/>
        <w:wordWrap/>
        <w:overflowPunct/>
        <w:topLinePunct w:val="0"/>
        <w:bidi w:val="0"/>
        <w:spacing w:line="360" w:lineRule="auto"/>
        <w:ind w:firstLine="643"/>
        <w:jc w:val="center"/>
        <w:textAlignment w:val="auto"/>
        <w:rPr>
          <w:rFonts w:hint="eastAsia" w:ascii="宋体" w:hAnsi="宋体" w:eastAsia="宋体" w:cs="宋体"/>
          <w:b/>
          <w:bCs/>
          <w:color w:val="000000" w:themeColor="text1"/>
          <w:kern w:val="0"/>
          <w:sz w:val="28"/>
          <w:szCs w:val="28"/>
          <w:highlight w:val="none"/>
          <w14:textFill>
            <w14:solidFill>
              <w14:schemeClr w14:val="tx1"/>
            </w14:solidFill>
          </w14:textFill>
        </w:rPr>
      </w:pPr>
    </w:p>
    <w:p>
      <w:pPr>
        <w:keepNext w:val="0"/>
        <w:keepLines w:val="0"/>
        <w:pageBreakBefore w:val="0"/>
        <w:kinsoku/>
        <w:wordWrap/>
        <w:overflowPunct/>
        <w:topLinePunct w:val="0"/>
        <w:bidi w:val="0"/>
        <w:spacing w:line="360" w:lineRule="auto"/>
        <w:ind w:firstLine="643"/>
        <w:jc w:val="center"/>
        <w:textAlignment w:val="auto"/>
        <w:rPr>
          <w:rFonts w:hint="eastAsia" w:ascii="宋体" w:hAnsi="宋体" w:eastAsia="宋体" w:cs="宋体"/>
          <w:b/>
          <w:bCs/>
          <w:color w:val="000000" w:themeColor="text1"/>
          <w:kern w:val="0"/>
          <w:sz w:val="28"/>
          <w:szCs w:val="28"/>
          <w:highlight w:val="none"/>
          <w14:textFill>
            <w14:solidFill>
              <w14:schemeClr w14:val="tx1"/>
            </w14:solidFill>
          </w14:textFill>
        </w:rPr>
      </w:pPr>
    </w:p>
    <w:p>
      <w:pPr>
        <w:keepNext w:val="0"/>
        <w:keepLines w:val="0"/>
        <w:pageBreakBefore w:val="0"/>
        <w:kinsoku/>
        <w:wordWrap/>
        <w:overflowPunct/>
        <w:topLinePunct w:val="0"/>
        <w:bidi w:val="0"/>
        <w:spacing w:line="360" w:lineRule="auto"/>
        <w:ind w:firstLine="643"/>
        <w:jc w:val="center"/>
        <w:textAlignment w:val="auto"/>
        <w:rPr>
          <w:rFonts w:hint="eastAsia" w:ascii="宋体" w:hAnsi="宋体" w:eastAsia="宋体" w:cs="宋体"/>
          <w:b/>
          <w:bCs/>
          <w:color w:val="000000" w:themeColor="text1"/>
          <w:kern w:val="0"/>
          <w:sz w:val="28"/>
          <w:szCs w:val="28"/>
          <w:highlight w:val="none"/>
          <w14:textFill>
            <w14:solidFill>
              <w14:schemeClr w14:val="tx1"/>
            </w14:solidFill>
          </w14:textFill>
        </w:rPr>
      </w:pPr>
    </w:p>
    <w:p>
      <w:pPr>
        <w:keepNext w:val="0"/>
        <w:keepLines w:val="0"/>
        <w:pageBreakBefore w:val="0"/>
        <w:kinsoku/>
        <w:wordWrap/>
        <w:overflowPunct/>
        <w:topLinePunct w:val="0"/>
        <w:bidi w:val="0"/>
        <w:spacing w:line="360" w:lineRule="auto"/>
        <w:ind w:left="0" w:leftChars="0" w:firstLine="0" w:firstLineChars="0"/>
        <w:jc w:val="both"/>
        <w:textAlignment w:val="auto"/>
        <w:rPr>
          <w:rFonts w:hint="eastAsia" w:ascii="宋体" w:hAnsi="宋体" w:eastAsia="宋体" w:cs="宋体"/>
          <w:b/>
          <w:bCs/>
          <w:color w:val="000000" w:themeColor="text1"/>
          <w:kern w:val="0"/>
          <w:sz w:val="28"/>
          <w:szCs w:val="28"/>
          <w:highlight w:val="none"/>
          <w14:textFill>
            <w14:solidFill>
              <w14:schemeClr w14:val="tx1"/>
            </w14:solidFill>
          </w14:textFill>
        </w:rPr>
      </w:pPr>
    </w:p>
    <w:p>
      <w:pPr>
        <w:keepNext w:val="0"/>
        <w:keepLines w:val="0"/>
        <w:pageBreakBefore w:val="0"/>
        <w:kinsoku/>
        <w:wordWrap/>
        <w:overflowPunct/>
        <w:topLinePunct w:val="0"/>
        <w:bidi w:val="0"/>
        <w:spacing w:line="360" w:lineRule="auto"/>
        <w:ind w:firstLine="3935" w:firstLineChars="1400"/>
        <w:jc w:val="both"/>
        <w:textAlignment w:val="auto"/>
        <w:rPr>
          <w:rFonts w:hint="eastAsia" w:ascii="宋体" w:hAnsi="宋体" w:eastAsia="宋体" w:cs="宋体"/>
          <w:b/>
          <w:bCs/>
          <w:color w:val="000000" w:themeColor="text1"/>
          <w:kern w:val="0"/>
          <w:sz w:val="28"/>
          <w:szCs w:val="28"/>
          <w:highlight w:val="none"/>
          <w14:textFill>
            <w14:solidFill>
              <w14:schemeClr w14:val="tx1"/>
            </w14:solidFill>
          </w14:textFill>
        </w:rPr>
      </w:pPr>
      <w:r>
        <w:rPr>
          <w:rFonts w:hint="eastAsia" w:ascii="宋体" w:hAnsi="宋体" w:cs="宋体"/>
          <w:b/>
          <w:bCs/>
          <w:color w:val="000000" w:themeColor="text1"/>
          <w:kern w:val="0"/>
          <w:sz w:val="28"/>
          <w:szCs w:val="28"/>
          <w:highlight w:val="none"/>
          <w:lang w:val="en-US" w:eastAsia="zh-CN"/>
          <w14:textFill>
            <w14:solidFill>
              <w14:schemeClr w14:val="tx1"/>
            </w14:solidFill>
          </w14:textFill>
        </w:rPr>
        <w:t>六、</w:t>
      </w:r>
      <w:r>
        <w:rPr>
          <w:rFonts w:hint="eastAsia" w:ascii="宋体" w:hAnsi="宋体" w:eastAsia="宋体" w:cs="宋体"/>
          <w:b/>
          <w:bCs/>
          <w:color w:val="000000" w:themeColor="text1"/>
          <w:kern w:val="0"/>
          <w:sz w:val="28"/>
          <w:szCs w:val="28"/>
          <w:highlight w:val="none"/>
          <w14:textFill>
            <w14:solidFill>
              <w14:schemeClr w14:val="tx1"/>
            </w14:solidFill>
          </w14:textFill>
        </w:rPr>
        <w:t>项目方案</w:t>
      </w:r>
    </w:p>
    <w:p>
      <w:pPr>
        <w:keepNext w:val="0"/>
        <w:keepLines w:val="0"/>
        <w:pageBreakBefore w:val="0"/>
        <w:kinsoku/>
        <w:wordWrap/>
        <w:overflowPunct/>
        <w:topLinePunct w:val="0"/>
        <w:bidi w:val="0"/>
        <w:spacing w:line="360" w:lineRule="auto"/>
        <w:ind w:firstLine="482"/>
        <w:jc w:val="center"/>
        <w:textAlignment w:val="auto"/>
        <w:rPr>
          <w:rFonts w:hint="eastAsia"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b/>
          <w:bCs/>
          <w:color w:val="000000" w:themeColor="text1"/>
          <w:sz w:val="28"/>
          <w:szCs w:val="28"/>
          <w:highlight w:val="none"/>
          <w14:textFill>
            <w14:solidFill>
              <w14:schemeClr w14:val="tx1"/>
            </w14:solidFill>
          </w14:textFill>
        </w:rPr>
        <w:t>(仅作为评委评审打分时的依据，不作为响应无效处理)</w:t>
      </w:r>
    </w:p>
    <w:p>
      <w:pPr>
        <w:pStyle w:val="14"/>
        <w:keepNext w:val="0"/>
        <w:keepLines w:val="0"/>
        <w:pageBreakBefore w:val="0"/>
        <w:kinsoku/>
        <w:wordWrap/>
        <w:overflowPunct/>
        <w:topLinePunct w:val="0"/>
        <w:bidi w:val="0"/>
        <w:spacing w:line="360" w:lineRule="auto"/>
        <w:ind w:left="480"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供应商应根据评分细则要求内容自行编制。</w:t>
      </w:r>
    </w:p>
    <w:p>
      <w:pPr>
        <w:pStyle w:val="14"/>
        <w:keepNext w:val="0"/>
        <w:keepLines w:val="0"/>
        <w:pageBreakBefore w:val="0"/>
        <w:kinsoku/>
        <w:wordWrap/>
        <w:overflowPunct/>
        <w:topLinePunct w:val="0"/>
        <w:bidi w:val="0"/>
        <w:spacing w:line="360" w:lineRule="auto"/>
        <w:ind w:left="480" w:firstLine="480"/>
        <w:textAlignment w:val="auto"/>
        <w:rPr>
          <w:rFonts w:hint="eastAsia" w:ascii="宋体" w:hAnsi="宋体" w:eastAsia="宋体" w:cs="宋体"/>
          <w:bCs/>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br w:type="page"/>
      </w:r>
      <w:r>
        <w:rPr>
          <w:rFonts w:hint="eastAsia" w:ascii="宋体" w:hAnsi="宋体" w:eastAsia="宋体" w:cs="宋体"/>
          <w:color w:val="000000" w:themeColor="text1"/>
          <w:sz w:val="28"/>
          <w:szCs w:val="28"/>
          <w:highlight w:val="none"/>
          <w14:textFill>
            <w14:solidFill>
              <w14:schemeClr w14:val="tx1"/>
            </w14:solidFill>
          </w14:textFill>
        </w:rPr>
        <w:t xml:space="preserve">               </w:t>
      </w:r>
      <w:r>
        <w:rPr>
          <w:rFonts w:hint="eastAsia" w:ascii="宋体" w:hAnsi="宋体" w:eastAsia="宋体" w:cs="宋体"/>
          <w:b/>
          <w:bCs/>
          <w:color w:val="000000" w:themeColor="text1"/>
          <w:kern w:val="0"/>
          <w:sz w:val="28"/>
          <w:szCs w:val="28"/>
          <w:highlight w:val="none"/>
          <w:lang w:val="en-US" w:eastAsia="zh-CN"/>
          <w14:textFill>
            <w14:solidFill>
              <w14:schemeClr w14:val="tx1"/>
            </w14:solidFill>
          </w14:textFill>
        </w:rPr>
        <w:t>七、</w:t>
      </w:r>
      <w:r>
        <w:rPr>
          <w:rFonts w:hint="eastAsia" w:ascii="宋体" w:hAnsi="宋体" w:eastAsia="宋体" w:cs="宋体"/>
          <w:b/>
          <w:bCs/>
          <w:color w:val="000000" w:themeColor="text1"/>
          <w:kern w:val="0"/>
          <w:sz w:val="28"/>
          <w:szCs w:val="28"/>
          <w:highlight w:val="none"/>
          <w14:textFill>
            <w14:solidFill>
              <w14:schemeClr w14:val="tx1"/>
            </w14:solidFill>
          </w14:textFill>
        </w:rPr>
        <w:t>其他资料内容</w:t>
      </w:r>
    </w:p>
    <w:p>
      <w:pPr>
        <w:keepNext w:val="0"/>
        <w:keepLines w:val="0"/>
        <w:pageBreakBefore w:val="0"/>
        <w:kinsoku/>
        <w:wordWrap/>
        <w:overflowPunct/>
        <w:topLinePunct w:val="0"/>
        <w:bidi w:val="0"/>
        <w:spacing w:line="360" w:lineRule="auto"/>
        <w:ind w:firstLine="480"/>
        <w:jc w:val="center"/>
        <w:textAlignment w:val="auto"/>
        <w:outlineLvl w:val="1"/>
        <w:rPr>
          <w:rFonts w:hint="eastAsia" w:ascii="宋体" w:hAnsi="宋体" w:eastAsia="宋体" w:cs="宋体"/>
          <w:b/>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br w:type="page"/>
      </w:r>
      <w:bookmarkStart w:id="97" w:name="_Toc509579147"/>
      <w:r>
        <w:rPr>
          <w:rFonts w:hint="eastAsia" w:ascii="宋体" w:hAnsi="宋体" w:eastAsia="宋体" w:cs="宋体"/>
          <w:b/>
          <w:color w:val="000000" w:themeColor="text1"/>
          <w:sz w:val="28"/>
          <w:szCs w:val="28"/>
          <w:highlight w:val="none"/>
          <w:lang w:val="en-US" w:eastAsia="zh-CN"/>
          <w14:textFill>
            <w14:solidFill>
              <w14:schemeClr w14:val="tx1"/>
            </w14:solidFill>
          </w14:textFill>
        </w:rPr>
        <w:t>八、</w:t>
      </w:r>
      <w:r>
        <w:rPr>
          <w:rFonts w:hint="eastAsia" w:ascii="宋体" w:hAnsi="宋体" w:eastAsia="宋体" w:cs="宋体"/>
          <w:b/>
          <w:color w:val="000000" w:themeColor="text1"/>
          <w:sz w:val="28"/>
          <w:szCs w:val="28"/>
          <w:highlight w:val="none"/>
          <w14:textFill>
            <w14:solidFill>
              <w14:schemeClr w14:val="tx1"/>
            </w14:solidFill>
          </w14:textFill>
        </w:rPr>
        <w:t>知识产权声明函</w:t>
      </w:r>
    </w:p>
    <w:p>
      <w:pPr>
        <w:keepNext w:val="0"/>
        <w:keepLines w:val="0"/>
        <w:pageBreakBefore w:val="0"/>
        <w:kinsoku/>
        <w:wordWrap/>
        <w:overflowPunct/>
        <w:topLinePunct w:val="0"/>
        <w:bidi w:val="0"/>
        <w:spacing w:line="360" w:lineRule="auto"/>
        <w:ind w:firstLine="566" w:firstLineChars="236"/>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根据《商标法》、《专利法》、《著作权法》和《反不正当竞争法》等法律法规文件的相关规定，本公司郑重声明：</w:t>
      </w:r>
    </w:p>
    <w:p>
      <w:pPr>
        <w:keepNext w:val="0"/>
        <w:keepLines w:val="0"/>
        <w:pageBreakBefore w:val="0"/>
        <w:kinsoku/>
        <w:wordWrap/>
        <w:overflowPunct/>
        <w:topLinePunct w:val="0"/>
        <w:bidi w:val="0"/>
        <w:spacing w:line="360" w:lineRule="auto"/>
        <w:ind w:firstLine="566" w:firstLineChars="236"/>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一、我公司保证在本项目使用的任何产品和服务（包括部分使用）时，不会产生因第三方提出侵犯其专利权、商标权或其它知识产权而引起的法律和经济纠纷，如因专利权、商标权或其它知识产权而引起法律和经济纠纷，由我司承担所有相关责任。</w:t>
      </w:r>
    </w:p>
    <w:p>
      <w:pPr>
        <w:keepNext w:val="0"/>
        <w:keepLines w:val="0"/>
        <w:pageBreakBefore w:val="0"/>
        <w:kinsoku/>
        <w:wordWrap/>
        <w:overflowPunct/>
        <w:topLinePunct w:val="0"/>
        <w:bidi w:val="0"/>
        <w:spacing w:line="360" w:lineRule="auto"/>
        <w:ind w:firstLine="566" w:firstLineChars="236"/>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二、采购人享有本项目实施过程中产生的知识成果及知识产权。</w:t>
      </w:r>
    </w:p>
    <w:p>
      <w:pPr>
        <w:keepNext w:val="0"/>
        <w:keepLines w:val="0"/>
        <w:pageBreakBefore w:val="0"/>
        <w:kinsoku/>
        <w:wordWrap/>
        <w:overflowPunct/>
        <w:topLinePunct w:val="0"/>
        <w:bidi w:val="0"/>
        <w:spacing w:line="360" w:lineRule="auto"/>
        <w:ind w:firstLine="566" w:firstLineChars="236"/>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三、我司若在项目实施过程中采用自有知识成果，则会在磋商文件中特别声明，并提供相关知识产权证明文件。同时承诺，我司使用该知识成果后，将会提供开发接口和开发手册等技术文档，并承诺提供无限期技术支持，采购人享有永久使用权（含采购人委托第三方在该项目后续开发的使用权）。</w:t>
      </w:r>
    </w:p>
    <w:p>
      <w:pPr>
        <w:keepNext w:val="0"/>
        <w:keepLines w:val="0"/>
        <w:pageBreakBefore w:val="0"/>
        <w:kinsoku/>
        <w:wordWrap/>
        <w:overflowPunct/>
        <w:topLinePunct w:val="0"/>
        <w:bidi w:val="0"/>
        <w:spacing w:line="360" w:lineRule="auto"/>
        <w:ind w:firstLine="566" w:firstLineChars="236"/>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四、如我司采用了非我司的知识产权，则投标报价中已包括合法获取该知识产权的相关费用。</w:t>
      </w:r>
    </w:p>
    <w:p>
      <w:pPr>
        <w:keepNext w:val="0"/>
        <w:keepLines w:val="0"/>
        <w:pageBreakBefore w:val="0"/>
        <w:kinsoku/>
        <w:wordWrap/>
        <w:overflowPunct/>
        <w:topLinePunct w:val="0"/>
        <w:bidi w:val="0"/>
        <w:spacing w:line="360" w:lineRule="auto"/>
        <w:ind w:firstLine="566" w:firstLineChars="236"/>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本公司对上述声明的真实性负责。如有虚假，将按照提供虚假投标材料处理。</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供应商名称：XXXX（单位盖章）。</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法定代表人/单位负责人或授权代表（签字或加盖个人印章）：XXXX。</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递交响应文件截止</w:t>
      </w:r>
      <w:r>
        <w:rPr>
          <w:rFonts w:hint="eastAsia" w:ascii="宋体" w:hAnsi="宋体" w:eastAsia="宋体" w:cs="宋体"/>
          <w:color w:val="000000" w:themeColor="text1"/>
          <w:sz w:val="24"/>
          <w:szCs w:val="24"/>
          <w:highlight w:val="none"/>
          <w14:textFill>
            <w14:solidFill>
              <w14:schemeClr w14:val="tx1"/>
            </w14:solidFill>
          </w14:textFill>
        </w:rPr>
        <w:t>日期: XXXX。</w:t>
      </w:r>
    </w:p>
    <w:p>
      <w:pPr>
        <w:pStyle w:val="21"/>
        <w:pageBreakBefore w:val="0"/>
        <w:kinsoku/>
        <w:wordWrap/>
        <w:overflowPunct/>
        <w:topLinePunct w:val="0"/>
        <w:bidi w:val="0"/>
        <w:spacing w:line="480" w:lineRule="auto"/>
        <w:ind w:left="0" w:leftChars="0" w:firstLine="0" w:firstLineChars="0"/>
        <w:jc w:val="both"/>
        <w:rPr>
          <w:rFonts w:hint="eastAsia" w:ascii="宋体" w:hAnsi="宋体" w:eastAsia="宋体" w:cs="宋体"/>
          <w:color w:val="000000" w:themeColor="text1"/>
          <w:sz w:val="28"/>
          <w:szCs w:val="28"/>
          <w:highlight w:val="none"/>
          <w14:textFill>
            <w14:solidFill>
              <w14:schemeClr w14:val="tx1"/>
            </w14:solidFill>
          </w14:textFill>
        </w:rPr>
      </w:pPr>
    </w:p>
    <w:p>
      <w:pPr>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br w:type="page"/>
      </w:r>
    </w:p>
    <w:p>
      <w:pPr>
        <w:pStyle w:val="21"/>
        <w:pageBreakBefore w:val="0"/>
        <w:kinsoku/>
        <w:wordWrap/>
        <w:overflowPunct/>
        <w:topLinePunct w:val="0"/>
        <w:bidi w:val="0"/>
        <w:spacing w:line="480" w:lineRule="auto"/>
        <w:ind w:firstLine="0" w:firstLineChars="0"/>
        <w:rPr>
          <w:rFonts w:hint="eastAsia" w:ascii="宋体" w:hAnsi="宋体" w:eastAsia="宋体" w:cs="宋体"/>
          <w:color w:val="000000" w:themeColor="text1"/>
          <w:sz w:val="28"/>
          <w:szCs w:val="28"/>
          <w:highlight w:val="none"/>
          <w14:textFill>
            <w14:solidFill>
              <w14:schemeClr w14:val="tx1"/>
            </w14:solidFill>
          </w14:textFill>
        </w:rPr>
      </w:pPr>
      <w:bookmarkStart w:id="98" w:name="_Toc31006"/>
      <w:r>
        <w:rPr>
          <w:rFonts w:hint="eastAsia" w:ascii="宋体" w:hAnsi="宋体" w:eastAsia="宋体" w:cs="宋体"/>
          <w:color w:val="000000" w:themeColor="text1"/>
          <w:sz w:val="28"/>
          <w:szCs w:val="28"/>
          <w:highlight w:val="none"/>
          <w14:textFill>
            <w14:solidFill>
              <w14:schemeClr w14:val="tx1"/>
            </w14:solidFill>
          </w14:textFill>
        </w:rPr>
        <w:t>第八章  评审方法</w:t>
      </w:r>
      <w:bookmarkEnd w:id="97"/>
      <w:bookmarkEnd w:id="98"/>
      <w:bookmarkStart w:id="99" w:name="_Toc101338358"/>
      <w:bookmarkStart w:id="100" w:name="_Toc101250640"/>
      <w:bookmarkStart w:id="101" w:name="_Toc101174146"/>
      <w:bookmarkStart w:id="102" w:name="_Toc209847065"/>
      <w:bookmarkStart w:id="103" w:name="_Toc430773924"/>
    </w:p>
    <w:p>
      <w:pPr>
        <w:pStyle w:val="4"/>
        <w:pageBreakBefore w:val="0"/>
        <w:kinsoku/>
        <w:wordWrap/>
        <w:overflowPunct/>
        <w:topLinePunct w:val="0"/>
        <w:bidi w:val="0"/>
        <w:spacing w:line="480" w:lineRule="auto"/>
        <w:ind w:firstLine="3935" w:firstLineChars="1400"/>
        <w:jc w:val="both"/>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1.总则</w:t>
      </w:r>
    </w:p>
    <w:p>
      <w:pPr>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1.1 根据《中华人民共和国政府采购法》、《中华人民共和国政府采购法实施条例》、《政府采购竞争性磋商采购方式管理暂行办法》等法律制度，结合本采购项目特点制定本磋商方法。</w:t>
      </w:r>
    </w:p>
    <w:p>
      <w:pPr>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1.2 磋商工作由采购代理机构负责组织，具体磋商由采购代理机构依法组建的磋商小组负责。</w:t>
      </w:r>
    </w:p>
    <w:p>
      <w:pPr>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1.3 磋商工作应遵循公平、公正、科学及择优的原则，并以相同的磋商程序和标准对待所有的供应商。</w:t>
      </w:r>
    </w:p>
    <w:p>
      <w:pPr>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1.4 磋商小组按照磋商文件规定的磋商程序、评分方法和标准进行评审，并独立履行下列职责：</w:t>
      </w:r>
    </w:p>
    <w:p>
      <w:pPr>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（一）熟悉和理解磋商文件，确定磋商文件内容是否违反国家有关强制性规定或者磋商文件存在歧义、重大缺陷，根据需要书面要求采购人、采购代理机构对磋商文件作出解释；</w:t>
      </w:r>
    </w:p>
    <w:p>
      <w:pPr>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（二）审查供应商响应文件是否满足磋商文件要求，并作出公正评价；</w:t>
      </w:r>
    </w:p>
    <w:p>
      <w:pPr>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（三）根据需要要求供应商对响应文件中含义不明确、同类问题表述不一致或者有明显文字和计算错误的内容等作出必要的澄清、说明或者更正；</w:t>
      </w:r>
    </w:p>
    <w:p>
      <w:pPr>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（四）推荐成交供应商，或者受采购人委托确定成交供应商；</w:t>
      </w:r>
    </w:p>
    <w:p>
      <w:pPr>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（五）起草评审报告并进行签署；</w:t>
      </w:r>
    </w:p>
    <w:p>
      <w:pPr>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（六）向采购人/采购代理机构、财政部门或者其他监督部门报告非法干预评审工作的行为；</w:t>
      </w:r>
    </w:p>
    <w:p>
      <w:pPr>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（七）法律、法规和规章规定的其他职责。</w:t>
      </w:r>
    </w:p>
    <w:p>
      <w:pPr>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1.5磋商过程独立、保密。供应商非法干预磋商过程的，其响应文件作无效处理。</w:t>
      </w:r>
    </w:p>
    <w:p>
      <w:pPr>
        <w:pageBreakBefore w:val="0"/>
        <w:kinsoku/>
        <w:wordWrap/>
        <w:overflowPunct/>
        <w:topLinePunct w:val="0"/>
        <w:bidi w:val="0"/>
        <w:spacing w:line="480" w:lineRule="auto"/>
        <w:ind w:firstLine="480"/>
        <w:rPr>
          <w:rFonts w:hint="eastAsia" w:ascii="宋体" w:hAnsi="宋体" w:eastAsia="宋体" w:cs="宋体"/>
          <w:color w:val="000000" w:themeColor="text1"/>
          <w:sz w:val="28"/>
          <w:szCs w:val="28"/>
          <w:highlight w:val="none"/>
          <w14:textFill>
            <w14:solidFill>
              <w14:schemeClr w14:val="tx1"/>
            </w14:solidFill>
          </w14:textFill>
        </w:rPr>
      </w:pPr>
    </w:p>
    <w:p>
      <w:pPr>
        <w:pStyle w:val="4"/>
        <w:keepNext w:val="0"/>
        <w:keepLines w:val="0"/>
        <w:pageBreakBefore w:val="0"/>
        <w:kinsoku/>
        <w:wordWrap/>
        <w:overflowPunct/>
        <w:topLinePunct w:val="0"/>
        <w:bidi w:val="0"/>
        <w:spacing w:before="0" w:after="0" w:line="480" w:lineRule="auto"/>
        <w:ind w:firstLine="551" w:firstLineChars="196"/>
        <w:rPr>
          <w:rFonts w:hint="eastAsia" w:ascii="宋体" w:hAnsi="宋体" w:eastAsia="宋体" w:cs="宋体"/>
          <w:b/>
          <w:bCs/>
          <w:color w:val="000000" w:themeColor="text1"/>
          <w:sz w:val="28"/>
          <w:szCs w:val="28"/>
          <w:highlight w:val="none"/>
          <w14:textFill>
            <w14:solidFill>
              <w14:schemeClr w14:val="tx1"/>
            </w14:solidFill>
          </w14:textFill>
        </w:rPr>
      </w:pPr>
    </w:p>
    <w:p>
      <w:pPr>
        <w:pStyle w:val="4"/>
        <w:keepNext w:val="0"/>
        <w:keepLines w:val="0"/>
        <w:pageBreakBefore w:val="0"/>
        <w:kinsoku/>
        <w:wordWrap/>
        <w:overflowPunct/>
        <w:topLinePunct w:val="0"/>
        <w:bidi w:val="0"/>
        <w:spacing w:before="0" w:after="0" w:line="480" w:lineRule="auto"/>
        <w:ind w:firstLine="551" w:firstLineChars="196"/>
        <w:rPr>
          <w:rFonts w:hint="eastAsia" w:ascii="宋体" w:hAnsi="宋体" w:eastAsia="宋体" w:cs="宋体"/>
          <w:b/>
          <w:bCs/>
          <w:color w:val="000000" w:themeColor="text1"/>
          <w:sz w:val="28"/>
          <w:szCs w:val="28"/>
          <w:highlight w:val="none"/>
          <w14:textFill>
            <w14:solidFill>
              <w14:schemeClr w14:val="tx1"/>
            </w14:solidFill>
          </w14:textFill>
        </w:rPr>
      </w:pPr>
    </w:p>
    <w:p>
      <w:pPr>
        <w:pStyle w:val="4"/>
        <w:keepNext w:val="0"/>
        <w:keepLines w:val="0"/>
        <w:pageBreakBefore w:val="0"/>
        <w:kinsoku/>
        <w:wordWrap/>
        <w:overflowPunct/>
        <w:topLinePunct w:val="0"/>
        <w:bidi w:val="0"/>
        <w:spacing w:before="0" w:after="0" w:line="480" w:lineRule="auto"/>
        <w:ind w:firstLine="551" w:firstLineChars="196"/>
        <w:rPr>
          <w:rFonts w:hint="eastAsia" w:ascii="宋体" w:hAnsi="宋体" w:eastAsia="宋体" w:cs="宋体"/>
          <w:b/>
          <w:bCs/>
          <w:color w:val="000000" w:themeColor="text1"/>
          <w:sz w:val="28"/>
          <w:szCs w:val="28"/>
          <w:highlight w:val="none"/>
          <w:lang w:eastAsia="zh-CN"/>
          <w14:textFill>
            <w14:solidFill>
              <w14:schemeClr w14:val="tx1"/>
            </w14:solidFill>
          </w14:textFill>
        </w:rPr>
      </w:pPr>
      <w:r>
        <w:rPr>
          <w:rFonts w:hint="eastAsia" w:ascii="宋体" w:hAnsi="宋体" w:eastAsia="宋体" w:cs="宋体"/>
          <w:b/>
          <w:bCs/>
          <w:color w:val="000000" w:themeColor="text1"/>
          <w:sz w:val="28"/>
          <w:szCs w:val="28"/>
          <w:highlight w:val="none"/>
          <w14:textFill>
            <w14:solidFill>
              <w14:schemeClr w14:val="tx1"/>
            </w14:solidFill>
          </w14:textFill>
        </w:rPr>
        <w:t>2.磋商程序</w:t>
      </w:r>
      <w:r>
        <w:rPr>
          <w:rFonts w:hint="eastAsia" w:ascii="宋体" w:hAnsi="宋体" w:eastAsia="宋体" w:cs="宋体"/>
          <w:b/>
          <w:bCs/>
          <w:color w:val="000000" w:themeColor="text1"/>
          <w:sz w:val="28"/>
          <w:szCs w:val="28"/>
          <w:highlight w:val="none"/>
          <w:lang w:eastAsia="zh-CN"/>
          <w14:textFill>
            <w14:solidFill>
              <w14:schemeClr w14:val="tx1"/>
            </w14:solidFill>
          </w14:textFill>
        </w:rPr>
        <w:t>（</w:t>
      </w:r>
      <w:r>
        <w:rPr>
          <w:rFonts w:hint="eastAsia" w:ascii="宋体" w:hAnsi="宋体" w:eastAsia="宋体" w:cs="宋体"/>
          <w:b/>
          <w:bCs/>
          <w:color w:val="000000" w:themeColor="text1"/>
          <w:sz w:val="28"/>
          <w:szCs w:val="28"/>
          <w:highlight w:val="none"/>
          <w:lang w:val="en-US" w:eastAsia="zh-CN"/>
          <w14:textFill>
            <w14:solidFill>
              <w14:schemeClr w14:val="tx1"/>
            </w14:solidFill>
          </w14:textFill>
        </w:rPr>
        <w:t>综合评分法</w:t>
      </w:r>
      <w:r>
        <w:rPr>
          <w:rFonts w:hint="eastAsia" w:ascii="宋体" w:hAnsi="宋体" w:eastAsia="宋体" w:cs="宋体"/>
          <w:b/>
          <w:bCs/>
          <w:color w:val="000000" w:themeColor="text1"/>
          <w:sz w:val="28"/>
          <w:szCs w:val="28"/>
          <w:highlight w:val="none"/>
          <w:lang w:eastAsia="zh-CN"/>
          <w14:textFill>
            <w14:solidFill>
              <w14:schemeClr w14:val="tx1"/>
            </w14:solidFill>
          </w14:textFill>
        </w:rPr>
        <w:t>）</w:t>
      </w:r>
    </w:p>
    <w:p>
      <w:pPr>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2.1审查磋商文件和停止评审。</w:t>
      </w:r>
    </w:p>
    <w:p>
      <w:pPr>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2.1.1 磋商小组正式评审前，应当对磋商文件进行熟悉和理解，内容主要包括磋商文件中供应商资格条件要求、采购项目技术、服务和商务要求、磋商办法和标准、政府采购政策要求以及政府采购合同主要条款等。</w:t>
      </w:r>
    </w:p>
    <w:p>
      <w:pPr>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2.1.2 本磋商文件有下列情形之一的，磋商小组应当停止评审：</w:t>
      </w:r>
    </w:p>
    <w:p>
      <w:pPr>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（1）磋商文件的规定存在歧义、重大缺陷的；</w:t>
      </w:r>
    </w:p>
    <w:p>
      <w:pPr>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（2）磋商文件明显以不合理条件对供应商实行差别待遇或者歧视待遇的；</w:t>
      </w:r>
    </w:p>
    <w:p>
      <w:pPr>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（3）采购项目属于国家规定的优先、强制采购范围，但是磋商文件未依法体现优先、强制采购相关规定的；</w:t>
      </w:r>
    </w:p>
    <w:p>
      <w:pPr>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（4）采购项目属于政府采购促进中小企业发展的范围，但是磋商文件未依法体现促进中小企业发展相关规定的；</w:t>
      </w:r>
    </w:p>
    <w:p>
      <w:pPr>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（5）磋商文件将供应商的资格条件列为评分因素的；</w:t>
      </w:r>
    </w:p>
    <w:p>
      <w:pPr>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（6）磋商文件载明的成交原则不合法的；</w:t>
      </w:r>
    </w:p>
    <w:p>
      <w:pPr>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（7）磋商文件有违反国家其他有关强制性规定的情形。</w:t>
      </w:r>
    </w:p>
    <w:p>
      <w:pPr>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2.1.3 出现本条2.1.2规定应当停止评审情形的，磋商小组应当向采购组织单位书面书面说明情况。除本条规定的情形外，磋商小组不得以任何方式和理由停止评审。</w:t>
      </w:r>
    </w:p>
    <w:p>
      <w:pPr>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2.2资格性审查。</w:t>
      </w:r>
    </w:p>
    <w:p>
      <w:pPr>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2.2.1本项目需要磋商小组进行资格性检查。</w:t>
      </w:r>
    </w:p>
    <w:p>
      <w:pPr>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磋商小组应依据法律法规和磋商文件的规定，对响应文件是否按照规定要求提供资格性证明材料、是否属于禁止参加磋商的供应商等进行审查，以确定供应商是否具备磋商资格。</w:t>
      </w:r>
    </w:p>
    <w:p>
      <w:pPr>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2.2.2资格性审查结束后，磋商小组应当出具资格性审查报告，没有通过资格审查的供应商，磋商小组应当在资格审查报告中说明原因。</w:t>
      </w:r>
    </w:p>
    <w:p>
      <w:pPr>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2.2.3磋商小组应依据磋商文件规定的实质性要求，对符合资格的响应文件进行有效性、完整性和响应程度审查，以确定参加磋商的供应商名单。</w:t>
      </w:r>
    </w:p>
    <w:p>
      <w:pPr>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2.2.4采购人或者采购代理机构宣布未通过资格性审查的供应商名单时，应当告知供应商未通过审查的原因。</w:t>
      </w:r>
    </w:p>
    <w:p>
      <w:pPr>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2.3 通过资格性审查的供应商不足3家的（本章2.3.1的情况除外），终止本次采购活动，并发布终止采购活动公告。</w:t>
      </w:r>
    </w:p>
    <w:p>
      <w:pPr>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2.3.1</w:t>
      </w:r>
      <w:r>
        <w:rPr>
          <w:rFonts w:hint="eastAsia" w:ascii="宋体" w:hAnsi="宋体" w:eastAsia="宋体" w:cs="宋体"/>
          <w:color w:val="000000" w:themeColor="text1"/>
          <w:sz w:val="24"/>
          <w:szCs w:val="24"/>
          <w:highlight w:val="none"/>
          <w:lang w:val="zh-CN"/>
          <w14:textFill>
            <w14:solidFill>
              <w14:schemeClr w14:val="tx1"/>
            </w14:solidFill>
          </w14:textFill>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pPr>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2.4磋商。</w:t>
      </w:r>
    </w:p>
    <w:p>
      <w:pPr>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2.4.1磋商小组所有成员集中与单一供应商分别进行一轮或多轮磋商，并给予所有参加磋商的供应商平等的磋商机会。磋商顺序以现场抽签的方式确定。磋商过程中，磋商小组可以根据磋商情况调整磋商轮次。</w:t>
      </w:r>
    </w:p>
    <w:p>
      <w:pPr>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2.4.2每轮磋商开始前，磋商小组应根据磋商文件的规定，并结合各供应商的响应文件拟定磋商内容。</w:t>
      </w:r>
    </w:p>
    <w:p>
      <w:pPr>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2.4.3在磋商过程中，磋商小组可以根据磋商文件和磋商情况实质性变动磋商文件的技术、服务要求以及合同草案条款，但不得变动磋商文件中的其他内容。实质性变动的内容，须经采购人代表书面确认。</w:t>
      </w:r>
    </w:p>
    <w:p>
      <w:pPr>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2.4.4对磋商文件作出的实质性变动是磋商文件的有效组成部分，磋商小组应当及时以书面形式同时通知所有参加磋商的供应商。</w:t>
      </w:r>
    </w:p>
    <w:p>
      <w:pPr>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注：仅针对竞争性磋商文件的技术、服务要求以及合同草案条款，供应商可以自行决定变更其响应文件），磋商小组不得拒绝，并应当给予供应商必要的时间，但是供应商变更其响应文件，应当以有利于满足磋商文件要求为原则，不得变更为不利于满足磋商文件规定，否则，其响应文件作为无效处理。</w:t>
      </w:r>
    </w:p>
    <w:p>
      <w:pPr>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2.4.6磋商过程中，磋商的任何一方不得透露与磋商有关的其他供应商的技术资料、价格和其他信息。</w:t>
      </w:r>
    </w:p>
    <w:p>
      <w:pPr>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2.4.7磋商过程中，磋商小组发现或者知晓供应商存在违法、违纪行为的，磋商小组应当将该供应商响应文件作无效处理，不允许其提交最后报价。</w:t>
      </w:r>
    </w:p>
    <w:p>
      <w:pPr>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2.4.8磋商完成后，磋商小组应出具磋商情况记录表，磋商情况记录表需包含磋商内容、磋商意见、实质性变动内容等。</w:t>
      </w:r>
    </w:p>
    <w:p>
      <w:pPr>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2.5最后报价</w:t>
      </w:r>
    </w:p>
    <w:p>
      <w:pPr>
        <w:pStyle w:val="38"/>
        <w:snapToGrid w:val="0"/>
        <w:spacing w:line="360" w:lineRule="auto"/>
        <w:ind w:firstLine="480" w:firstLineChars="200"/>
        <w:jc w:val="both"/>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2.5.1除首次响应文件中的报价以外，供应商报价采用现场报价，参与报价的供应商按磋商小组要求进行报价。报价超过竞争性磋商文件规定的政府采购预算（或最高限价）或者相关报价不符合采购文件其他的报价规定的，应按照无效响应文件处理。</w:t>
      </w:r>
      <w:r>
        <w:rPr>
          <w:rFonts w:hint="eastAsia"/>
          <w:color w:val="000000"/>
          <w:sz w:val="24"/>
          <w:lang w:val="en-US" w:eastAsia="zh-CN"/>
        </w:rPr>
        <w:t>最终</w:t>
      </w:r>
      <w:r>
        <w:rPr>
          <w:rFonts w:hint="eastAsia"/>
          <w:color w:val="000000"/>
          <w:sz w:val="24"/>
        </w:rPr>
        <w:t>报价表（由采购代理机构现场提供）在</w:t>
      </w:r>
      <w:r>
        <w:rPr>
          <w:rFonts w:hint="eastAsia" w:hAnsi="宋体"/>
          <w:color w:val="000000"/>
          <w:sz w:val="24"/>
          <w:lang w:val="en-US" w:eastAsia="zh-CN"/>
        </w:rPr>
        <w:t>磋商</w:t>
      </w:r>
      <w:r>
        <w:rPr>
          <w:rFonts w:hint="eastAsia"/>
          <w:color w:val="000000"/>
          <w:sz w:val="24"/>
        </w:rPr>
        <w:t>后，</w:t>
      </w:r>
      <w:r>
        <w:rPr>
          <w:rFonts w:hint="eastAsia" w:hAnsi="宋体"/>
          <w:color w:val="000000"/>
          <w:sz w:val="24"/>
          <w:lang w:val="en-US" w:eastAsia="zh-CN"/>
        </w:rPr>
        <w:t>磋商</w:t>
      </w:r>
      <w:r>
        <w:rPr>
          <w:rFonts w:hint="eastAsia"/>
          <w:color w:val="000000"/>
          <w:sz w:val="24"/>
        </w:rPr>
        <w:t>小组要求供应商进行最后报价时递交。</w:t>
      </w:r>
    </w:p>
    <w:p>
      <w:pPr>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2.5.2供应商报价大写金额和小写金额不一致的，以大写金额为准，但大写金额文字存在错误的，应当先对大写金额的文字错误进行澄清、说明或者更正，再行修正。修正后的报价经供应商确认后产生约束力，供应商不确认的，其响应文件作为无效处理。</w:t>
      </w:r>
    </w:p>
    <w:p>
      <w:pPr>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2.5.3供应商报价应当由法定代表人/主要负责人/本人或其授权代表签字确认（注：供应商为法人的，应当由其法定代表人或者授权代表签字确认；供应商为其他组织的，应当由其主要负责人或者授权代表签字确认；供应商为自然人的，应当由其本人或者授权代表签字确认）或加盖公章。报价是供应商响应文件的有效组成部分。</w:t>
      </w:r>
    </w:p>
    <w:p>
      <w:pPr>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2.5.4磋商文件能够详细列明采购标的的技术、服务要求的，磋商结束后，磋商小组应当要求所有实质性响应的供应商在规定时间内提交最后报价，提交最后报价的供应商不得少于3家（本章2.3.1和2.5.5的情况除外）。或磋商文件不能详细列明采购标的的技术、服务要求，需经磋商由供应商提供最终设计方案或解决方案的，磋商结束后，磋商小组应当按照少数服从多数的原则投票推荐3家以上（本章2.3.1和2.5.5的情况除外）供应商的设计方案或者解决方案，并要求其在规定时间内提交最后报价。</w:t>
      </w:r>
    </w:p>
    <w:p>
      <w:pPr>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2.5.5符合</w:t>
      </w:r>
      <w:bookmarkStart w:id="104" w:name="_Toc30986"/>
      <w:r>
        <w:rPr>
          <w:rFonts w:hint="eastAsia" w:ascii="宋体" w:hAnsi="宋体" w:eastAsia="宋体" w:cs="宋体"/>
          <w:color w:val="000000" w:themeColor="text1"/>
          <w:sz w:val="24"/>
          <w:szCs w:val="24"/>
          <w:highlight w:val="none"/>
          <w14:textFill>
            <w14:solidFill>
              <w14:schemeClr w14:val="tx1"/>
            </w14:solidFill>
          </w14:textFill>
        </w:rPr>
        <w:t>《政府采购竞争性磋商采购方式管理暂行办法》财库〔2014〕214号</w:t>
      </w:r>
      <w:bookmarkEnd w:id="104"/>
      <w:r>
        <w:rPr>
          <w:rFonts w:hint="eastAsia" w:ascii="宋体" w:hAnsi="宋体" w:eastAsia="宋体" w:cs="宋体"/>
          <w:color w:val="000000" w:themeColor="text1"/>
          <w:sz w:val="24"/>
          <w:szCs w:val="24"/>
          <w:highlight w:val="none"/>
          <w14:textFill>
            <w14:solidFill>
              <w14:schemeClr w14:val="tx1"/>
            </w14:solidFill>
          </w14:textFill>
        </w:rPr>
        <w:t>第三条第四项情形的，提交最后报价的供应商可以为2家。</w:t>
      </w:r>
    </w:p>
    <w:p>
      <w:pPr>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2.5.6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w:t>
      </w:r>
      <w:r>
        <w:rPr>
          <w:rFonts w:hint="eastAsia" w:ascii="宋体" w:hAnsi="宋体" w:eastAsia="宋体" w:cs="宋体"/>
          <w:color w:val="000000" w:themeColor="text1"/>
          <w:sz w:val="24"/>
          <w:szCs w:val="24"/>
          <w:highlight w:val="none"/>
          <w:lang w:val="zh-CN"/>
          <w14:textFill>
            <w14:solidFill>
              <w14:schemeClr w14:val="tx1"/>
            </w14:solidFill>
          </w14:textFill>
        </w:rPr>
        <w:t>磋商小组认为供应商最后报价明显低于成本价，在磋商小组发出质询函后供应商未能提供合理的成本分析和价格构成的或对质函询的解释未被磋商小组采信的，应按照无效响应文件处理。</w:t>
      </w:r>
    </w:p>
    <w:p>
      <w:pPr>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2.6比较与评价。由磋商小组采用综合评分法对提交最后报价的供应商的响应文件和最后报价进行综合评分，具体要求详见本章综合评分部分。</w:t>
      </w:r>
    </w:p>
    <w:p>
      <w:pPr>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2.7推荐成交候选供应商。磋商小组应当根据综合评分情况，按照评审得分由高到低顺序推荐3家以上（本章2.3.1和2.5.</w:t>
      </w:r>
      <w:r>
        <w:rPr>
          <w:rFonts w:hint="eastAsia" w:ascii="宋体" w:hAnsi="宋体" w:cs="宋体"/>
          <w:color w:val="000000" w:themeColor="text1"/>
          <w:sz w:val="24"/>
          <w:szCs w:val="24"/>
          <w:highlight w:val="none"/>
          <w:lang w:val="en-US" w:eastAsia="zh-CN"/>
          <w14:textFill>
            <w14:solidFill>
              <w14:schemeClr w14:val="tx1"/>
            </w14:solidFill>
          </w14:textFill>
        </w:rPr>
        <w:t>5</w:t>
      </w:r>
      <w:r>
        <w:rPr>
          <w:rFonts w:hint="eastAsia" w:ascii="宋体" w:hAnsi="宋体" w:eastAsia="宋体" w:cs="宋体"/>
          <w:color w:val="000000" w:themeColor="text1"/>
          <w:sz w:val="24"/>
          <w:szCs w:val="24"/>
          <w:highlight w:val="none"/>
          <w14:textFill>
            <w14:solidFill>
              <w14:schemeClr w14:val="tx1"/>
            </w14:solidFill>
          </w14:textFill>
        </w:rPr>
        <w:t>的情况除外）成交候选供应商，并编写磋商报告。</w:t>
      </w:r>
      <w:r>
        <w:rPr>
          <w:rFonts w:hint="eastAsia" w:ascii="宋体" w:hAnsi="宋体" w:eastAsia="宋体" w:cs="宋体"/>
          <w:b/>
          <w:bCs/>
          <w:sz w:val="24"/>
          <w:szCs w:val="24"/>
          <w:highlight w:val="none"/>
        </w:rPr>
        <w:t>评审得分相同的，优先选择不发达地区和少数民族地区供应商。若无不发达地区和少数民族地区供应商，按照最后报价由低到高的顺序推荐</w:t>
      </w:r>
      <w:r>
        <w:rPr>
          <w:rFonts w:hint="eastAsia" w:ascii="宋体" w:hAnsi="宋体" w:eastAsia="宋体" w:cs="宋体"/>
          <w:sz w:val="24"/>
          <w:szCs w:val="24"/>
          <w:highlight w:val="none"/>
        </w:rPr>
        <w:t>。</w:t>
      </w:r>
      <w:r>
        <w:rPr>
          <w:rFonts w:hint="eastAsia" w:ascii="宋体" w:hAnsi="宋体" w:eastAsia="宋体" w:cs="宋体"/>
          <w:color w:val="000000" w:themeColor="text1"/>
          <w:sz w:val="24"/>
          <w:szCs w:val="24"/>
          <w:highlight w:val="none"/>
          <w14:textFill>
            <w14:solidFill>
              <w14:schemeClr w14:val="tx1"/>
            </w14:solidFill>
          </w14:textFill>
        </w:rPr>
        <w:t>评审得分且最后报价相同的，按照技术指标优劣顺序推荐。评审得分且最后报价且技术指标分项得分均相同的，成交候选供应商并列。</w:t>
      </w:r>
    </w:p>
    <w:p>
      <w:pPr>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2.8磋商小组复核。磋商小组评分汇总结束后，磋商小组应当进行评审复核，对拟推荐为成交候选供应商的、报价最低的、供应商资格审查未通过的、供应商响应文件作无效处理的重点复核。</w:t>
      </w:r>
    </w:p>
    <w:p>
      <w:pPr>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2.9采购组织单位现场复核评审结果。</w:t>
      </w:r>
    </w:p>
    <w:p>
      <w:pPr>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2.9.1评审结果汇总完成后，磋商小组拟出具磋商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pPr>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（1）资格性审查认定错误的；</w:t>
      </w:r>
    </w:p>
    <w:p>
      <w:pPr>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（2）分值汇总计算错误的；</w:t>
      </w:r>
    </w:p>
    <w:p>
      <w:pPr>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（3）分项评分超出评分标准范围的；</w:t>
      </w:r>
    </w:p>
    <w:p>
      <w:pPr>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（4）客观评分不一致的。</w:t>
      </w:r>
    </w:p>
    <w:p>
      <w:pPr>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pPr>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采购代理机构复核过程中，磋商小组成员不得离开评审现场。</w:t>
      </w:r>
    </w:p>
    <w:p>
      <w:pPr>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2.9.2有下列情形之一的，不得现场修改评审结果：</w:t>
      </w:r>
    </w:p>
    <w:p>
      <w:pPr>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（1）磋商小组已经出具磋商报告并且离开评审现场的；</w:t>
      </w:r>
    </w:p>
    <w:p>
      <w:pPr>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（2）采购代理机构现场复核时，复核工作人员数量不足的；</w:t>
      </w:r>
    </w:p>
    <w:p>
      <w:pPr>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（3）采购代理机构现场复核时，没有采购监督人员现场监督的；</w:t>
      </w:r>
    </w:p>
    <w:p>
      <w:pPr>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（4）采购代理机构现场复核内容超出规定范围的；</w:t>
      </w:r>
    </w:p>
    <w:p>
      <w:pPr>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（5）采购代理机构未提供书面建议的。</w:t>
      </w:r>
    </w:p>
    <w:p>
      <w:pPr>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2.10编写磋商报告。磋商小组推荐成交候选供应商后，应向采购代理机构出具磋商报告。磋商报告应当包括以下主要内容：</w:t>
      </w:r>
    </w:p>
    <w:p>
      <w:pPr>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（1）邀请供应商参加采购活动的具体方式和相关情况；</w:t>
      </w:r>
    </w:p>
    <w:p>
      <w:pPr>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（2）响应文件开启日期和地点；</w:t>
      </w:r>
    </w:p>
    <w:p>
      <w:pPr>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（3）获取磋商文件的供应商名单和磋商小组成员名单；</w:t>
      </w:r>
    </w:p>
    <w:p>
      <w:pPr>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（4）评审情况记录和说明，包括对供应商的资格审查情况、供应商响应文件审查情况、磋商情况、报价情况等；</w:t>
      </w:r>
    </w:p>
    <w:p>
      <w:pPr>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（5）提出的成交候选供应商的排序名单及理由。</w:t>
      </w:r>
    </w:p>
    <w:p>
      <w:pPr>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pPr>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2.11磋商异议处理规则。在磋商过程中，磋商小组成员对响应文件是否符合磋商文件规定存在争议的，应当以少数服从多数的原则处理，但不违背磋商文件规定。有不同意见的磋商小组成员认为认定过程和结果不符合法律法规或者磋商文件规定的，应当在磋商报告中予以反映。</w:t>
      </w:r>
    </w:p>
    <w:p>
      <w:pPr>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2.12供应商澄清、说明</w:t>
      </w:r>
    </w:p>
    <w:p>
      <w:pPr>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2.12.1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2.12.2磋商小组要求供应商澄清、说明或者更正响应文件应当以书面形式作出。供应商的澄清、说明或者更正应当由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w:t>
      </w:r>
    </w:p>
    <w:p>
      <w:pPr>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2.13终止磋商采购活动。</w:t>
      </w:r>
    </w:p>
    <w:p>
      <w:pPr>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出现下列情形之一的，采购人或者采购代理机构应当终止竞争性磋商采购活动，发布项目终止公告并说明原因，重新开展采购活动：</w:t>
      </w:r>
    </w:p>
    <w:p>
      <w:pPr>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（1）因情况变化，不再符合规定的竞争性磋商采购方式适用情形的；</w:t>
      </w:r>
    </w:p>
    <w:p>
      <w:pPr>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（2）出现影响采购公正的违法、违规行为的；</w:t>
      </w:r>
    </w:p>
    <w:p>
      <w:pPr>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（3）除本章2.3.1和2.5.</w:t>
      </w:r>
      <w:r>
        <w:rPr>
          <w:rFonts w:hint="eastAsia" w:ascii="宋体" w:hAnsi="宋体" w:eastAsia="宋体" w:cs="宋体"/>
          <w:color w:val="000000" w:themeColor="text1"/>
          <w:sz w:val="24"/>
          <w:szCs w:val="24"/>
          <w:highlight w:val="none"/>
          <w:lang w:val="en-US" w:eastAsia="zh-CN"/>
          <w14:textFill>
            <w14:solidFill>
              <w14:schemeClr w14:val="tx1"/>
            </w14:solidFill>
          </w14:textFill>
        </w:rPr>
        <w:t>5</w:t>
      </w:r>
      <w:r>
        <w:rPr>
          <w:rFonts w:hint="eastAsia" w:ascii="宋体" w:hAnsi="宋体" w:eastAsia="宋体" w:cs="宋体"/>
          <w:color w:val="000000" w:themeColor="text1"/>
          <w:sz w:val="24"/>
          <w:szCs w:val="24"/>
          <w:highlight w:val="none"/>
          <w14:textFill>
            <w14:solidFill>
              <w14:schemeClr w14:val="tx1"/>
            </w14:solidFill>
          </w14:textFill>
        </w:rPr>
        <w:t>的情况外，在采购过程中符合要求的供应商或者报价未超过采购预算的供应商不足3家的。</w:t>
      </w:r>
    </w:p>
    <w:p>
      <w:pPr>
        <w:pageBreakBefore w:val="0"/>
        <w:kinsoku/>
        <w:wordWrap/>
        <w:overflowPunct/>
        <w:topLinePunct w:val="0"/>
        <w:bidi w:val="0"/>
        <w:spacing w:line="360" w:lineRule="auto"/>
        <w:ind w:firstLine="482"/>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3.综合评分</w:t>
      </w:r>
    </w:p>
    <w:p>
      <w:pPr>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3.1本次综合评分的因素详3.3.3综合评分明细表。</w:t>
      </w:r>
    </w:p>
    <w:p>
      <w:pPr>
        <w:pageBreakBefore w:val="0"/>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3.2 除价格因素外，磋商小组成员应当根据自身专业情况独立对每个有效供应商的响应文件进行评价、打分。价格及其他不能明确区分的评分因素由磋商小组成员共同评分。</w:t>
      </w:r>
    </w:p>
    <w:p>
      <w:pPr>
        <w:pStyle w:val="10"/>
        <w:pageBreakBefore w:val="0"/>
        <w:tabs>
          <w:tab w:val="left" w:pos="600"/>
        </w:tabs>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3.3综合评分明细表</w:t>
      </w:r>
    </w:p>
    <w:p>
      <w:pPr>
        <w:pStyle w:val="10"/>
        <w:pageBreakBefore w:val="0"/>
        <w:tabs>
          <w:tab w:val="left" w:pos="600"/>
        </w:tabs>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3.3.1综合评分明细表的制定以科学合理、降低评委会自由裁量权为原则。</w:t>
      </w:r>
    </w:p>
    <w:p>
      <w:pPr>
        <w:pStyle w:val="10"/>
        <w:pageBreakBefore w:val="0"/>
        <w:tabs>
          <w:tab w:val="left" w:pos="600"/>
        </w:tabs>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3.3.2 综合评分明细表中的报价应先按供应商须知附表中的相关要求进行价格调整，再进行报价评分。</w:t>
      </w:r>
    </w:p>
    <w:p>
      <w:pPr>
        <w:pStyle w:val="4"/>
        <w:keepNext w:val="0"/>
        <w:keepLines w:val="0"/>
        <w:pageBreakBefore w:val="0"/>
        <w:kinsoku/>
        <w:wordWrap/>
        <w:overflowPunct/>
        <w:topLinePunct w:val="0"/>
        <w:bidi w:val="0"/>
        <w:spacing w:before="0" w:after="0" w:line="360" w:lineRule="auto"/>
        <w:ind w:firstLine="480"/>
        <w:jc w:val="both"/>
        <w:rPr>
          <w:rFonts w:hint="eastAsia" w:ascii="宋体" w:hAnsi="宋体" w:eastAsia="宋体" w:cs="宋体"/>
          <w:b w:val="0"/>
          <w:color w:val="000000" w:themeColor="text1"/>
          <w:sz w:val="24"/>
          <w:szCs w:val="24"/>
          <w:highlight w:val="none"/>
          <w14:textFill>
            <w14:solidFill>
              <w14:schemeClr w14:val="tx1"/>
            </w14:solidFill>
          </w14:textFill>
        </w:rPr>
      </w:pPr>
      <w:r>
        <w:rPr>
          <w:rFonts w:hint="eastAsia" w:ascii="宋体" w:hAnsi="宋体" w:eastAsia="宋体" w:cs="宋体"/>
          <w:b w:val="0"/>
          <w:color w:val="000000" w:themeColor="text1"/>
          <w:sz w:val="24"/>
          <w:szCs w:val="24"/>
          <w:highlight w:val="none"/>
          <w14:textFill>
            <w14:solidFill>
              <w14:schemeClr w14:val="tx1"/>
            </w14:solidFill>
          </w14:textFill>
        </w:rPr>
        <w:t>3.3.3综合评分明细表</w:t>
      </w:r>
      <w:bookmarkEnd w:id="56"/>
    </w:p>
    <w:p>
      <w:pPr>
        <w:rPr>
          <w:rFonts w:hint="eastAsia" w:ascii="宋体" w:hAnsi="宋体" w:eastAsia="宋体" w:cs="宋体"/>
          <w:b w:val="0"/>
          <w:color w:val="000000" w:themeColor="text1"/>
          <w:sz w:val="24"/>
          <w:szCs w:val="24"/>
          <w:highlight w:val="none"/>
          <w14:textFill>
            <w14:solidFill>
              <w14:schemeClr w14:val="tx1"/>
            </w14:solidFill>
          </w14:textFill>
        </w:rPr>
      </w:pPr>
    </w:p>
    <w:p>
      <w:pPr>
        <w:pStyle w:val="2"/>
        <w:rPr>
          <w:rFonts w:hint="eastAsia" w:ascii="宋体" w:hAnsi="宋体" w:eastAsia="宋体" w:cs="宋体"/>
          <w:b w:val="0"/>
          <w:color w:val="000000" w:themeColor="text1"/>
          <w:sz w:val="24"/>
          <w:szCs w:val="24"/>
          <w:highlight w:val="none"/>
          <w14:textFill>
            <w14:solidFill>
              <w14:schemeClr w14:val="tx1"/>
            </w14:solidFill>
          </w14:textFill>
        </w:rPr>
      </w:pPr>
    </w:p>
    <w:p>
      <w:pPr>
        <w:rPr>
          <w:rFonts w:hint="eastAsia" w:ascii="宋体" w:hAnsi="宋体" w:eastAsia="宋体" w:cs="宋体"/>
          <w:b w:val="0"/>
          <w:color w:val="000000" w:themeColor="text1"/>
          <w:sz w:val="24"/>
          <w:szCs w:val="24"/>
          <w:highlight w:val="none"/>
          <w14:textFill>
            <w14:solidFill>
              <w14:schemeClr w14:val="tx1"/>
            </w14:solidFill>
          </w14:textFill>
        </w:rPr>
      </w:pPr>
    </w:p>
    <w:p>
      <w:pPr>
        <w:pStyle w:val="2"/>
        <w:rPr>
          <w:rFonts w:hint="eastAsia"/>
        </w:rPr>
      </w:pPr>
    </w:p>
    <w:tbl>
      <w:tblPr>
        <w:tblStyle w:val="24"/>
        <w:tblpPr w:leftFromText="180" w:rightFromText="180" w:vertAnchor="text" w:horzAnchor="page" w:tblpX="1384" w:tblpY="296"/>
        <w:tblOverlap w:val="never"/>
        <w:tblW w:w="503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9"/>
        <w:gridCol w:w="1064"/>
        <w:gridCol w:w="933"/>
        <w:gridCol w:w="4750"/>
        <w:gridCol w:w="17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trPr>
        <w:tc>
          <w:tcPr>
            <w:tcW w:w="432" w:type="pct"/>
            <w:noWrap/>
            <w:vAlign w:val="center"/>
          </w:tcPr>
          <w:p>
            <w:pPr>
              <w:tabs>
                <w:tab w:val="left" w:pos="7665"/>
              </w:tabs>
              <w:snapToGrid w:val="0"/>
              <w:spacing w:line="360" w:lineRule="auto"/>
              <w:ind w:left="0" w:leftChars="0" w:firstLine="0" w:firstLineChars="0"/>
              <w:jc w:val="both"/>
              <w:rPr>
                <w:rFonts w:hint="eastAsia" w:ascii="宋体" w:hAnsi="宋体" w:eastAsia="宋体" w:cs="宋体"/>
                <w:kern w:val="2"/>
                <w:sz w:val="22"/>
                <w:szCs w:val="22"/>
                <w:lang w:val="en-US" w:eastAsia="zh-CN" w:bidi="ar-SA"/>
              </w:rPr>
            </w:pPr>
            <w:bookmarkStart w:id="105" w:name="PO_默认文件内容_27"/>
            <w:r>
              <w:rPr>
                <w:rFonts w:hint="eastAsia" w:ascii="宋体" w:hAnsi="宋体" w:eastAsia="宋体" w:cs="宋体"/>
                <w:kern w:val="2"/>
                <w:sz w:val="22"/>
                <w:szCs w:val="22"/>
                <w:lang w:val="en-US" w:eastAsia="zh-CN" w:bidi="ar-SA"/>
              </w:rPr>
              <w:t>序号</w:t>
            </w:r>
          </w:p>
        </w:tc>
        <w:tc>
          <w:tcPr>
            <w:tcW w:w="568" w:type="pct"/>
            <w:noWrap/>
            <w:vAlign w:val="center"/>
          </w:tcPr>
          <w:p>
            <w:pPr>
              <w:tabs>
                <w:tab w:val="left" w:pos="7665"/>
              </w:tabs>
              <w:snapToGrid w:val="0"/>
              <w:spacing w:line="360" w:lineRule="auto"/>
              <w:ind w:left="0" w:leftChars="0" w:firstLine="0" w:firstLineChars="0"/>
              <w:jc w:val="both"/>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评分因素及权重</w:t>
            </w:r>
          </w:p>
        </w:tc>
        <w:tc>
          <w:tcPr>
            <w:tcW w:w="498" w:type="pct"/>
            <w:noWrap/>
            <w:vAlign w:val="center"/>
          </w:tcPr>
          <w:p>
            <w:pPr>
              <w:tabs>
                <w:tab w:val="left" w:pos="7665"/>
              </w:tabs>
              <w:snapToGrid w:val="0"/>
              <w:spacing w:line="360" w:lineRule="auto"/>
              <w:ind w:left="0" w:leftChars="0" w:firstLine="0" w:firstLineChars="0"/>
              <w:jc w:val="both"/>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分值</w:t>
            </w:r>
          </w:p>
        </w:tc>
        <w:tc>
          <w:tcPr>
            <w:tcW w:w="2538" w:type="pct"/>
            <w:noWrap/>
            <w:vAlign w:val="center"/>
          </w:tcPr>
          <w:p>
            <w:pPr>
              <w:tabs>
                <w:tab w:val="left" w:pos="7665"/>
              </w:tabs>
              <w:snapToGrid w:val="0"/>
              <w:spacing w:line="360" w:lineRule="auto"/>
              <w:jc w:val="center"/>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评分标准</w:t>
            </w:r>
          </w:p>
        </w:tc>
        <w:tc>
          <w:tcPr>
            <w:tcW w:w="961" w:type="pct"/>
            <w:noWrap/>
            <w:vAlign w:val="center"/>
          </w:tcPr>
          <w:p>
            <w:pPr>
              <w:tabs>
                <w:tab w:val="left" w:pos="7665"/>
              </w:tabs>
              <w:snapToGrid w:val="0"/>
              <w:spacing w:line="360" w:lineRule="auto"/>
              <w:jc w:val="center"/>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评审依据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3" w:hRule="atLeast"/>
        </w:trPr>
        <w:tc>
          <w:tcPr>
            <w:tcW w:w="432" w:type="pct"/>
            <w:noWrap/>
            <w:vAlign w:val="center"/>
          </w:tcPr>
          <w:p>
            <w:pPr>
              <w:tabs>
                <w:tab w:val="left" w:pos="7665"/>
              </w:tabs>
              <w:snapToGrid w:val="0"/>
              <w:spacing w:line="360" w:lineRule="auto"/>
              <w:jc w:val="left"/>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1</w:t>
            </w:r>
          </w:p>
        </w:tc>
        <w:tc>
          <w:tcPr>
            <w:tcW w:w="568" w:type="pct"/>
            <w:noWrap/>
            <w:vAlign w:val="center"/>
          </w:tcPr>
          <w:p>
            <w:pPr>
              <w:numPr>
                <w:ilvl w:val="0"/>
                <w:numId w:val="0"/>
              </w:numPr>
              <w:spacing w:line="320" w:lineRule="exact"/>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报价10%</w:t>
            </w:r>
          </w:p>
          <w:p>
            <w:pPr>
              <w:numPr>
                <w:ilvl w:val="0"/>
                <w:numId w:val="0"/>
              </w:numPr>
              <w:spacing w:line="320" w:lineRule="exact"/>
              <w:ind w:firstLine="440" w:firstLineChars="200"/>
              <w:rPr>
                <w:rFonts w:hint="eastAsia" w:ascii="宋体" w:hAnsi="宋体" w:eastAsia="宋体" w:cs="宋体"/>
                <w:kern w:val="2"/>
                <w:sz w:val="22"/>
                <w:szCs w:val="22"/>
                <w:lang w:val="en-US" w:eastAsia="zh-CN" w:bidi="ar-SA"/>
              </w:rPr>
            </w:pPr>
          </w:p>
        </w:tc>
        <w:tc>
          <w:tcPr>
            <w:tcW w:w="498" w:type="pct"/>
            <w:noWrap/>
            <w:vAlign w:val="center"/>
          </w:tcPr>
          <w:p>
            <w:pPr>
              <w:numPr>
                <w:ilvl w:val="0"/>
                <w:numId w:val="0"/>
              </w:numPr>
              <w:spacing w:line="320" w:lineRule="exact"/>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10分</w:t>
            </w:r>
          </w:p>
        </w:tc>
        <w:tc>
          <w:tcPr>
            <w:tcW w:w="2538" w:type="pct"/>
            <w:noWrap/>
            <w:vAlign w:val="center"/>
          </w:tcPr>
          <w:p>
            <w:pPr>
              <w:numPr>
                <w:ilvl w:val="0"/>
                <w:numId w:val="0"/>
              </w:numPr>
              <w:spacing w:line="320" w:lineRule="exact"/>
              <w:ind w:firstLine="440" w:firstLineChars="200"/>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满足采购文件要求且投标报价最低的为评审基准价，其报价分为满分。其他投标人的价格分按此公式计算：投标人报价得分=（评审基准价/投标报价）×10。</w:t>
            </w:r>
          </w:p>
        </w:tc>
        <w:tc>
          <w:tcPr>
            <w:tcW w:w="961" w:type="pct"/>
            <w:noWrap/>
            <w:vAlign w:val="center"/>
          </w:tcPr>
          <w:p>
            <w:pPr>
              <w:tabs>
                <w:tab w:val="left" w:pos="7665"/>
              </w:tabs>
              <w:snapToGrid w:val="0"/>
              <w:spacing w:line="360" w:lineRule="auto"/>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小微企业（监狱企业、残疾人福利性单位视同小微企业）价格扣除按照相关规定执行。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trPr>
        <w:tc>
          <w:tcPr>
            <w:tcW w:w="432" w:type="pct"/>
            <w:tcBorders>
              <w:top w:val="single" w:color="auto" w:sz="4" w:space="0"/>
              <w:left w:val="single" w:color="auto" w:sz="4" w:space="0"/>
              <w:right w:val="single" w:color="auto" w:sz="4" w:space="0"/>
            </w:tcBorders>
            <w:noWrap/>
            <w:vAlign w:val="center"/>
          </w:tcPr>
          <w:p>
            <w:pPr>
              <w:tabs>
                <w:tab w:val="left" w:pos="7665"/>
              </w:tabs>
              <w:snapToGrid w:val="0"/>
              <w:spacing w:line="360" w:lineRule="auto"/>
              <w:jc w:val="left"/>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2</w:t>
            </w:r>
          </w:p>
        </w:tc>
        <w:tc>
          <w:tcPr>
            <w:tcW w:w="568" w:type="pct"/>
            <w:tcBorders>
              <w:top w:val="single" w:color="auto" w:sz="4" w:space="0"/>
              <w:left w:val="single" w:color="auto" w:sz="4" w:space="0"/>
              <w:right w:val="single" w:color="auto" w:sz="4" w:space="0"/>
            </w:tcBorders>
            <w:noWrap/>
            <w:vAlign w:val="center"/>
          </w:tcPr>
          <w:p>
            <w:pPr>
              <w:numPr>
                <w:ilvl w:val="0"/>
                <w:numId w:val="0"/>
              </w:numPr>
              <w:spacing w:line="320" w:lineRule="exact"/>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技术与服务要求30%</w:t>
            </w:r>
          </w:p>
          <w:p>
            <w:pPr>
              <w:numPr>
                <w:ilvl w:val="0"/>
                <w:numId w:val="0"/>
              </w:numPr>
              <w:spacing w:line="320" w:lineRule="exact"/>
              <w:ind w:firstLine="440" w:firstLineChars="200"/>
              <w:rPr>
                <w:rFonts w:hint="eastAsia" w:ascii="宋体" w:hAnsi="宋体" w:eastAsia="宋体" w:cs="宋体"/>
                <w:kern w:val="2"/>
                <w:sz w:val="22"/>
                <w:szCs w:val="22"/>
                <w:lang w:val="en-US" w:eastAsia="zh-CN" w:bidi="ar-SA"/>
              </w:rPr>
            </w:pPr>
          </w:p>
        </w:tc>
        <w:tc>
          <w:tcPr>
            <w:tcW w:w="498" w:type="pct"/>
            <w:tcBorders>
              <w:top w:val="single" w:color="auto" w:sz="4" w:space="0"/>
              <w:left w:val="single" w:color="auto" w:sz="4" w:space="0"/>
              <w:right w:val="single" w:color="auto" w:sz="4" w:space="0"/>
            </w:tcBorders>
            <w:noWrap/>
            <w:vAlign w:val="center"/>
          </w:tcPr>
          <w:p>
            <w:pPr>
              <w:numPr>
                <w:ilvl w:val="0"/>
                <w:numId w:val="0"/>
              </w:numPr>
              <w:spacing w:line="320" w:lineRule="exact"/>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30分</w:t>
            </w:r>
          </w:p>
        </w:tc>
        <w:tc>
          <w:tcPr>
            <w:tcW w:w="2538" w:type="pct"/>
            <w:tcBorders>
              <w:top w:val="single" w:color="auto" w:sz="4" w:space="0"/>
              <w:left w:val="single" w:color="auto" w:sz="4" w:space="0"/>
              <w:bottom w:val="single" w:color="auto" w:sz="4" w:space="0"/>
              <w:right w:val="single" w:color="auto" w:sz="4" w:space="0"/>
            </w:tcBorders>
            <w:noWrap/>
            <w:vAlign w:val="center"/>
          </w:tcPr>
          <w:p>
            <w:pPr>
              <w:numPr>
                <w:ilvl w:val="0"/>
                <w:numId w:val="0"/>
              </w:numPr>
              <w:spacing w:line="320" w:lineRule="exact"/>
              <w:ind w:firstLine="440" w:firstLineChars="200"/>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完全满足竞争性磋商文件技术服务要求没有负偏离得30分：</w:t>
            </w:r>
          </w:p>
          <w:p>
            <w:pPr>
              <w:numPr>
                <w:ilvl w:val="0"/>
                <w:numId w:val="0"/>
              </w:numPr>
              <w:spacing w:line="320" w:lineRule="exact"/>
              <w:ind w:firstLine="440" w:firstLineChars="200"/>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星号条款(标注★)条款得分=（完全满足星号条款的数量÷非星号参数总数量，共14条）×18分</w:t>
            </w:r>
          </w:p>
          <w:p>
            <w:pPr>
              <w:numPr>
                <w:ilvl w:val="0"/>
                <w:numId w:val="0"/>
              </w:numPr>
              <w:spacing w:line="320" w:lineRule="exact"/>
              <w:ind w:firstLine="440" w:firstLineChars="200"/>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非星号条款得分=（完全满足非星号条款的数量÷非星号参数总数量，共66条）×12分（实质性要求除外），扣完为止。</w:t>
            </w:r>
          </w:p>
        </w:tc>
        <w:tc>
          <w:tcPr>
            <w:tcW w:w="961" w:type="pct"/>
            <w:tcBorders>
              <w:top w:val="single" w:color="auto" w:sz="4" w:space="0"/>
              <w:left w:val="single" w:color="auto" w:sz="4" w:space="0"/>
              <w:right w:val="single" w:color="auto" w:sz="4" w:space="0"/>
            </w:tcBorders>
            <w:noWrap/>
            <w:vAlign w:val="center"/>
          </w:tcPr>
          <w:p>
            <w:pPr>
              <w:tabs>
                <w:tab w:val="left" w:pos="7665"/>
              </w:tabs>
              <w:snapToGrid w:val="0"/>
              <w:spacing w:line="360" w:lineRule="auto"/>
              <w:rPr>
                <w:rFonts w:hint="eastAsia" w:ascii="宋体" w:hAnsi="宋体" w:eastAsia="宋体" w:cs="宋体"/>
                <w:kern w:val="2"/>
                <w:sz w:val="20"/>
                <w:szCs w:val="20"/>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432" w:type="pct"/>
            <w:tcBorders>
              <w:left w:val="single" w:color="auto" w:sz="4" w:space="0"/>
              <w:right w:val="single" w:color="auto" w:sz="4" w:space="0"/>
            </w:tcBorders>
            <w:noWrap/>
            <w:vAlign w:val="center"/>
          </w:tcPr>
          <w:p>
            <w:pPr>
              <w:tabs>
                <w:tab w:val="left" w:pos="7665"/>
              </w:tabs>
              <w:snapToGrid w:val="0"/>
              <w:spacing w:line="360" w:lineRule="auto"/>
              <w:jc w:val="left"/>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3</w:t>
            </w:r>
          </w:p>
        </w:tc>
        <w:tc>
          <w:tcPr>
            <w:tcW w:w="568" w:type="pct"/>
            <w:tcBorders>
              <w:left w:val="single" w:color="auto" w:sz="4" w:space="0"/>
              <w:right w:val="single" w:color="auto" w:sz="4" w:space="0"/>
            </w:tcBorders>
            <w:noWrap/>
            <w:vAlign w:val="center"/>
          </w:tcPr>
          <w:p>
            <w:pPr>
              <w:numPr>
                <w:ilvl w:val="0"/>
                <w:numId w:val="0"/>
              </w:numPr>
              <w:spacing w:line="320" w:lineRule="exact"/>
              <w:rPr>
                <w:rFonts w:hint="eastAsia" w:ascii="宋体" w:hAnsi="宋体" w:eastAsia="宋体" w:cs="宋体"/>
                <w:color w:val="auto"/>
                <w:kern w:val="2"/>
                <w:sz w:val="22"/>
                <w:szCs w:val="22"/>
                <w:lang w:val="en-US" w:eastAsia="zh-CN" w:bidi="ar-SA"/>
              </w:rPr>
            </w:pPr>
            <w:r>
              <w:rPr>
                <w:rFonts w:hint="eastAsia" w:ascii="宋体" w:hAnsi="宋体" w:eastAsia="宋体" w:cs="宋体"/>
                <w:color w:val="auto"/>
                <w:kern w:val="2"/>
                <w:sz w:val="22"/>
                <w:szCs w:val="22"/>
                <w:lang w:val="en-US" w:eastAsia="zh-CN" w:bidi="ar-SA"/>
              </w:rPr>
              <w:t>纸质病案仓储服务方案16%</w:t>
            </w:r>
          </w:p>
          <w:p>
            <w:pPr>
              <w:numPr>
                <w:ilvl w:val="0"/>
                <w:numId w:val="0"/>
              </w:numPr>
              <w:spacing w:line="320" w:lineRule="exact"/>
              <w:rPr>
                <w:rFonts w:hint="eastAsia" w:ascii="宋体" w:hAnsi="宋体" w:eastAsia="宋体" w:cs="宋体"/>
                <w:color w:val="auto"/>
                <w:kern w:val="2"/>
                <w:sz w:val="22"/>
                <w:szCs w:val="22"/>
                <w:lang w:val="en-US" w:eastAsia="zh-CN" w:bidi="ar-SA"/>
              </w:rPr>
            </w:pPr>
          </w:p>
        </w:tc>
        <w:tc>
          <w:tcPr>
            <w:tcW w:w="498" w:type="pct"/>
            <w:tcBorders>
              <w:top w:val="single" w:color="auto" w:sz="4" w:space="0"/>
              <w:left w:val="single" w:color="auto" w:sz="4" w:space="0"/>
              <w:right w:val="single" w:color="auto" w:sz="4" w:space="0"/>
            </w:tcBorders>
            <w:noWrap/>
            <w:vAlign w:val="center"/>
          </w:tcPr>
          <w:p>
            <w:pPr>
              <w:numPr>
                <w:ilvl w:val="0"/>
                <w:numId w:val="0"/>
              </w:numPr>
              <w:spacing w:line="320" w:lineRule="exact"/>
              <w:rPr>
                <w:rFonts w:hint="eastAsia" w:ascii="宋体" w:hAnsi="宋体" w:eastAsia="宋体" w:cs="宋体"/>
                <w:color w:val="auto"/>
                <w:kern w:val="2"/>
                <w:sz w:val="22"/>
                <w:szCs w:val="22"/>
                <w:lang w:val="en-US" w:eastAsia="zh-CN" w:bidi="ar-SA"/>
              </w:rPr>
            </w:pPr>
            <w:r>
              <w:rPr>
                <w:rFonts w:hint="eastAsia" w:ascii="宋体" w:hAnsi="宋体" w:eastAsia="宋体" w:cs="宋体"/>
                <w:color w:val="auto"/>
                <w:kern w:val="2"/>
                <w:sz w:val="22"/>
                <w:szCs w:val="22"/>
                <w:lang w:val="en-US" w:eastAsia="zh-CN" w:bidi="ar-SA"/>
              </w:rPr>
              <w:t>16分</w:t>
            </w:r>
          </w:p>
        </w:tc>
        <w:tc>
          <w:tcPr>
            <w:tcW w:w="2538" w:type="pct"/>
            <w:tcBorders>
              <w:top w:val="single" w:color="auto" w:sz="4" w:space="0"/>
              <w:left w:val="single" w:color="auto" w:sz="4" w:space="0"/>
              <w:right w:val="single" w:color="auto" w:sz="4" w:space="0"/>
            </w:tcBorders>
            <w:noWrap/>
            <w:vAlign w:val="center"/>
          </w:tcPr>
          <w:p>
            <w:pPr>
              <w:numPr>
                <w:ilvl w:val="0"/>
                <w:numId w:val="0"/>
              </w:numPr>
              <w:spacing w:line="320" w:lineRule="exact"/>
              <w:ind w:firstLine="440" w:firstLineChars="200"/>
              <w:rPr>
                <w:rFonts w:hint="eastAsia" w:ascii="宋体" w:hAnsi="宋体" w:eastAsia="宋体" w:cs="宋体"/>
                <w:color w:val="auto"/>
                <w:kern w:val="2"/>
                <w:sz w:val="22"/>
                <w:szCs w:val="22"/>
                <w:lang w:val="en-US" w:eastAsia="zh-CN" w:bidi="ar-SA"/>
              </w:rPr>
            </w:pPr>
            <w:r>
              <w:rPr>
                <w:rFonts w:hint="eastAsia" w:ascii="宋体" w:hAnsi="宋体" w:eastAsia="宋体" w:cs="宋体"/>
                <w:color w:val="auto"/>
                <w:kern w:val="2"/>
                <w:sz w:val="22"/>
                <w:szCs w:val="22"/>
                <w:lang w:val="en-US" w:eastAsia="zh-CN" w:bidi="ar-SA"/>
              </w:rPr>
              <w:t>根据采购人针对本项目提供的纸质病案仓储服务方案进行综合评分：包括但不限于：①仓储中心周围环境、②安全防范措施、③库房消防控制系统、④防腐防蛀防光防尘管理。方案包含以上内容得16分；每缺少一项内容扣4分，方案中每有一处不切实可行或有逻辑性错误或不具有针对性的扣2分；扣完为止。未提供整体服务方案的不得分。</w:t>
            </w:r>
          </w:p>
        </w:tc>
        <w:tc>
          <w:tcPr>
            <w:tcW w:w="961" w:type="pct"/>
            <w:tcBorders>
              <w:top w:val="single" w:color="auto" w:sz="4" w:space="0"/>
              <w:left w:val="single" w:color="auto" w:sz="4" w:space="0"/>
              <w:right w:val="single" w:color="auto" w:sz="4" w:space="0"/>
            </w:tcBorders>
            <w:noWrap/>
            <w:vAlign w:val="center"/>
          </w:tcPr>
          <w:p>
            <w:pPr>
              <w:tabs>
                <w:tab w:val="left" w:pos="7665"/>
              </w:tabs>
              <w:snapToGrid w:val="0"/>
              <w:spacing w:line="360" w:lineRule="auto"/>
              <w:rPr>
                <w:rFonts w:hint="eastAsia" w:ascii="宋体" w:hAnsi="宋体" w:eastAsia="宋体" w:cs="宋体"/>
                <w:kern w:val="2"/>
                <w:sz w:val="20"/>
                <w:szCs w:val="20"/>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9" w:hRule="atLeast"/>
        </w:trPr>
        <w:tc>
          <w:tcPr>
            <w:tcW w:w="432" w:type="pct"/>
            <w:tcBorders>
              <w:left w:val="single" w:color="auto" w:sz="4" w:space="0"/>
              <w:right w:val="single" w:color="auto" w:sz="4" w:space="0"/>
            </w:tcBorders>
            <w:noWrap/>
            <w:vAlign w:val="center"/>
          </w:tcPr>
          <w:p>
            <w:pPr>
              <w:tabs>
                <w:tab w:val="left" w:pos="7665"/>
              </w:tabs>
              <w:snapToGrid w:val="0"/>
              <w:spacing w:line="360" w:lineRule="auto"/>
              <w:jc w:val="left"/>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4</w:t>
            </w:r>
          </w:p>
        </w:tc>
        <w:tc>
          <w:tcPr>
            <w:tcW w:w="568" w:type="pct"/>
            <w:tcBorders>
              <w:left w:val="single" w:color="auto" w:sz="4" w:space="0"/>
              <w:right w:val="single" w:color="auto" w:sz="4" w:space="0"/>
            </w:tcBorders>
            <w:noWrap/>
            <w:vAlign w:val="center"/>
          </w:tcPr>
          <w:p>
            <w:pPr>
              <w:tabs>
                <w:tab w:val="left" w:pos="7665"/>
              </w:tabs>
              <w:snapToGrid w:val="0"/>
              <w:spacing w:line="360" w:lineRule="auto"/>
              <w:ind w:left="0" w:leftChars="0" w:firstLine="0" w:firstLineChars="0"/>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项目实施计划18%</w:t>
            </w:r>
          </w:p>
        </w:tc>
        <w:tc>
          <w:tcPr>
            <w:tcW w:w="498" w:type="pct"/>
            <w:tcBorders>
              <w:top w:val="single" w:color="auto" w:sz="4" w:space="0"/>
              <w:left w:val="single" w:color="auto" w:sz="4" w:space="0"/>
              <w:bottom w:val="single" w:color="auto" w:sz="4" w:space="0"/>
              <w:right w:val="single" w:color="auto" w:sz="4" w:space="0"/>
            </w:tcBorders>
            <w:noWrap/>
            <w:vAlign w:val="center"/>
          </w:tcPr>
          <w:p>
            <w:pPr>
              <w:tabs>
                <w:tab w:val="left" w:pos="7665"/>
              </w:tabs>
              <w:snapToGrid w:val="0"/>
              <w:spacing w:line="360" w:lineRule="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18分</w:t>
            </w:r>
          </w:p>
        </w:tc>
        <w:tc>
          <w:tcPr>
            <w:tcW w:w="2538" w:type="pct"/>
            <w:tcBorders>
              <w:top w:val="single" w:color="auto" w:sz="4" w:space="0"/>
              <w:left w:val="single" w:color="auto" w:sz="4" w:space="0"/>
              <w:bottom w:val="single" w:color="auto" w:sz="4" w:space="0"/>
              <w:right w:val="single" w:color="auto" w:sz="4" w:space="0"/>
            </w:tcBorders>
            <w:noWrap/>
            <w:vAlign w:val="center"/>
          </w:tcPr>
          <w:p>
            <w:pPr>
              <w:tabs>
                <w:tab w:val="left" w:pos="7665"/>
              </w:tabs>
              <w:snapToGrid w:val="0"/>
              <w:spacing w:line="360" w:lineRule="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根据供应商针对本项目提供的项目服务实施方案进行综合评分：包括但不限于：①项目管理配置、②档案交接及整理、③项目实施计划安排、④项目培训方案、⑤售后应急措施、⑥质量保障方案。方案包含以上内容得18分；每缺少一项内容扣 3分，方案中每有一处不切实可行或有逻辑性错误或不具有针对性的扣1.5分；扣完为止。未提供整体服务方案的不得分。</w:t>
            </w:r>
          </w:p>
        </w:tc>
        <w:tc>
          <w:tcPr>
            <w:tcW w:w="961" w:type="pct"/>
            <w:tcBorders>
              <w:top w:val="single" w:color="auto" w:sz="4" w:space="0"/>
              <w:left w:val="single" w:color="auto" w:sz="4" w:space="0"/>
              <w:right w:val="single" w:color="auto" w:sz="4" w:space="0"/>
            </w:tcBorders>
            <w:noWrap/>
            <w:vAlign w:val="center"/>
          </w:tcPr>
          <w:p>
            <w:pPr>
              <w:tabs>
                <w:tab w:val="left" w:pos="7665"/>
              </w:tabs>
              <w:snapToGrid w:val="0"/>
              <w:spacing w:line="360" w:lineRule="auto"/>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以供应商提供的采购文件的项目实施计划为依据。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3" w:hRule="atLeast"/>
        </w:trPr>
        <w:tc>
          <w:tcPr>
            <w:tcW w:w="432" w:type="pct"/>
            <w:tcBorders>
              <w:top w:val="single" w:color="auto" w:sz="4" w:space="0"/>
              <w:left w:val="single" w:color="auto" w:sz="4" w:space="0"/>
              <w:bottom w:val="single" w:color="auto" w:sz="4" w:space="0"/>
              <w:right w:val="single" w:color="auto" w:sz="4" w:space="0"/>
            </w:tcBorders>
            <w:noWrap/>
            <w:vAlign w:val="center"/>
          </w:tcPr>
          <w:p>
            <w:pPr>
              <w:tabs>
                <w:tab w:val="left" w:pos="7665"/>
              </w:tabs>
              <w:snapToGrid w:val="0"/>
              <w:spacing w:line="360" w:lineRule="auto"/>
              <w:jc w:val="left"/>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5</w:t>
            </w:r>
          </w:p>
        </w:tc>
        <w:tc>
          <w:tcPr>
            <w:tcW w:w="568" w:type="pct"/>
            <w:tcBorders>
              <w:top w:val="single" w:color="auto" w:sz="4" w:space="0"/>
              <w:left w:val="single" w:color="auto" w:sz="4" w:space="0"/>
              <w:bottom w:val="single" w:color="auto" w:sz="4" w:space="0"/>
              <w:right w:val="single" w:color="auto" w:sz="4" w:space="0"/>
            </w:tcBorders>
            <w:noWrap/>
            <w:vAlign w:val="center"/>
          </w:tcPr>
          <w:p>
            <w:pPr>
              <w:tabs>
                <w:tab w:val="left" w:pos="7665"/>
              </w:tabs>
              <w:snapToGrid w:val="0"/>
              <w:spacing w:line="360" w:lineRule="auto"/>
              <w:ind w:left="0" w:leftChars="0" w:firstLine="0" w:firstLineChars="0"/>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综合实力14%</w:t>
            </w:r>
          </w:p>
          <w:p>
            <w:pPr>
              <w:tabs>
                <w:tab w:val="left" w:pos="7665"/>
              </w:tabs>
              <w:snapToGrid w:val="0"/>
              <w:spacing w:line="360" w:lineRule="auto"/>
              <w:rPr>
                <w:rFonts w:hint="eastAsia" w:ascii="宋体" w:hAnsi="宋体" w:eastAsia="宋体" w:cs="宋体"/>
                <w:kern w:val="2"/>
                <w:sz w:val="22"/>
                <w:szCs w:val="22"/>
                <w:lang w:val="en-US" w:eastAsia="zh-CN" w:bidi="ar-SA"/>
              </w:rPr>
            </w:pPr>
          </w:p>
        </w:tc>
        <w:tc>
          <w:tcPr>
            <w:tcW w:w="498" w:type="pct"/>
            <w:tcBorders>
              <w:top w:val="single" w:color="auto" w:sz="4" w:space="0"/>
              <w:left w:val="single" w:color="auto" w:sz="4" w:space="0"/>
              <w:bottom w:val="single" w:color="auto" w:sz="4" w:space="0"/>
              <w:right w:val="single" w:color="auto" w:sz="4" w:space="0"/>
            </w:tcBorders>
            <w:noWrap/>
            <w:vAlign w:val="center"/>
          </w:tcPr>
          <w:p>
            <w:pPr>
              <w:tabs>
                <w:tab w:val="left" w:pos="7665"/>
              </w:tabs>
              <w:snapToGrid w:val="0"/>
              <w:spacing w:line="360" w:lineRule="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14分</w:t>
            </w:r>
          </w:p>
        </w:tc>
        <w:tc>
          <w:tcPr>
            <w:tcW w:w="2538" w:type="pct"/>
            <w:tcBorders>
              <w:top w:val="single" w:color="auto" w:sz="4" w:space="0"/>
              <w:left w:val="single" w:color="auto" w:sz="4" w:space="0"/>
              <w:bottom w:val="single" w:color="auto" w:sz="4" w:space="0"/>
              <w:right w:val="single" w:color="auto" w:sz="4" w:space="0"/>
            </w:tcBorders>
            <w:noWrap/>
            <w:vAlign w:val="center"/>
          </w:tcPr>
          <w:p>
            <w:pPr>
              <w:tabs>
                <w:tab w:val="left" w:pos="7665"/>
              </w:tabs>
              <w:snapToGrid w:val="0"/>
              <w:spacing w:line="360" w:lineRule="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1.供应商具有有效的信息技术服务管理体系认证证书的得3分。</w:t>
            </w:r>
          </w:p>
          <w:p>
            <w:pPr>
              <w:tabs>
                <w:tab w:val="left" w:pos="7665"/>
              </w:tabs>
              <w:snapToGrid w:val="0"/>
              <w:spacing w:line="360" w:lineRule="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2.供应商针对本项目所提供的病案数字化软件具有相关计算机软件著作权登记证书的得4分。</w:t>
            </w:r>
          </w:p>
          <w:p>
            <w:pPr>
              <w:tabs>
                <w:tab w:val="left" w:pos="7665"/>
              </w:tabs>
              <w:snapToGrid w:val="0"/>
              <w:spacing w:line="360" w:lineRule="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3.投标人具有电子病历系统计算机软件著作权登记证书得2分。</w:t>
            </w:r>
          </w:p>
          <w:p>
            <w:pPr>
              <w:tabs>
                <w:tab w:val="left" w:pos="7665"/>
              </w:tabs>
              <w:snapToGrid w:val="0"/>
              <w:spacing w:line="360" w:lineRule="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4.自2018年至今，每具有一个类似项目（类似病案数字化服务）业绩得0.5分，最多得5分。</w:t>
            </w:r>
          </w:p>
        </w:tc>
        <w:tc>
          <w:tcPr>
            <w:tcW w:w="961" w:type="pct"/>
            <w:tcBorders>
              <w:top w:val="single" w:color="auto" w:sz="4" w:space="0"/>
              <w:left w:val="single" w:color="auto" w:sz="4" w:space="0"/>
              <w:bottom w:val="single" w:color="auto" w:sz="4" w:space="0"/>
              <w:right w:val="single" w:color="auto" w:sz="4" w:space="0"/>
            </w:tcBorders>
            <w:noWrap/>
            <w:vAlign w:val="center"/>
          </w:tcPr>
          <w:p>
            <w:pPr>
              <w:tabs>
                <w:tab w:val="left" w:pos="7665"/>
              </w:tabs>
              <w:snapToGrid w:val="0"/>
              <w:spacing w:line="360" w:lineRule="auto"/>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以供应商提供的相关证书复印件并加盖单位鲜章为依据。</w:t>
            </w:r>
          </w:p>
          <w:p>
            <w:pPr>
              <w:tabs>
                <w:tab w:val="left" w:pos="7665"/>
              </w:tabs>
              <w:snapToGrid w:val="0"/>
              <w:spacing w:line="360" w:lineRule="auto"/>
              <w:rPr>
                <w:rFonts w:hint="default"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业绩需提供项目合同关键页复印件（首页、服务范围页签署页），业绩需要备注业主方联系人和联系方式。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trPr>
        <w:tc>
          <w:tcPr>
            <w:tcW w:w="432" w:type="pct"/>
            <w:tcBorders>
              <w:top w:val="single" w:color="auto" w:sz="4" w:space="0"/>
              <w:left w:val="single" w:color="auto" w:sz="4" w:space="0"/>
              <w:bottom w:val="single" w:color="auto" w:sz="4" w:space="0"/>
              <w:right w:val="single" w:color="auto" w:sz="4" w:space="0"/>
            </w:tcBorders>
            <w:noWrap/>
            <w:vAlign w:val="center"/>
          </w:tcPr>
          <w:p>
            <w:pPr>
              <w:tabs>
                <w:tab w:val="left" w:pos="7665"/>
              </w:tabs>
              <w:snapToGrid w:val="0"/>
              <w:spacing w:line="360" w:lineRule="auto"/>
              <w:jc w:val="left"/>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6</w:t>
            </w:r>
          </w:p>
        </w:tc>
        <w:tc>
          <w:tcPr>
            <w:tcW w:w="568" w:type="pct"/>
            <w:tcBorders>
              <w:top w:val="single" w:color="auto" w:sz="4" w:space="0"/>
              <w:left w:val="single" w:color="auto" w:sz="4" w:space="0"/>
              <w:bottom w:val="single" w:color="auto" w:sz="4" w:space="0"/>
              <w:right w:val="single" w:color="auto" w:sz="4" w:space="0"/>
            </w:tcBorders>
            <w:noWrap/>
            <w:vAlign w:val="center"/>
          </w:tcPr>
          <w:p>
            <w:pPr>
              <w:tabs>
                <w:tab w:val="left" w:pos="7665"/>
              </w:tabs>
              <w:snapToGrid w:val="0"/>
              <w:spacing w:line="360" w:lineRule="auto"/>
              <w:ind w:left="0" w:leftChars="0" w:firstLine="0" w:firstLineChars="0"/>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医疗数据互联互通能力12%</w:t>
            </w:r>
          </w:p>
          <w:p>
            <w:pPr>
              <w:tabs>
                <w:tab w:val="left" w:pos="7665"/>
              </w:tabs>
              <w:snapToGrid w:val="0"/>
              <w:spacing w:line="360" w:lineRule="auto"/>
              <w:rPr>
                <w:rFonts w:hint="eastAsia" w:ascii="宋体" w:hAnsi="宋体" w:eastAsia="宋体" w:cs="宋体"/>
                <w:kern w:val="2"/>
                <w:sz w:val="22"/>
                <w:szCs w:val="22"/>
                <w:lang w:val="en-US" w:eastAsia="zh-CN" w:bidi="ar-SA"/>
              </w:rPr>
            </w:pPr>
          </w:p>
        </w:tc>
        <w:tc>
          <w:tcPr>
            <w:tcW w:w="498" w:type="pct"/>
            <w:tcBorders>
              <w:top w:val="single" w:color="auto" w:sz="4" w:space="0"/>
              <w:left w:val="single" w:color="auto" w:sz="4" w:space="0"/>
              <w:bottom w:val="single" w:color="auto" w:sz="4" w:space="0"/>
              <w:right w:val="single" w:color="auto" w:sz="4" w:space="0"/>
            </w:tcBorders>
            <w:noWrap/>
            <w:vAlign w:val="center"/>
          </w:tcPr>
          <w:p>
            <w:pPr>
              <w:tabs>
                <w:tab w:val="left" w:pos="7665"/>
              </w:tabs>
              <w:snapToGrid w:val="0"/>
              <w:spacing w:line="360" w:lineRule="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12分</w:t>
            </w:r>
          </w:p>
        </w:tc>
        <w:tc>
          <w:tcPr>
            <w:tcW w:w="2538" w:type="pct"/>
            <w:tcBorders>
              <w:top w:val="single" w:color="auto" w:sz="4" w:space="0"/>
              <w:left w:val="single" w:color="auto" w:sz="4" w:space="0"/>
              <w:bottom w:val="single" w:color="auto" w:sz="4" w:space="0"/>
              <w:right w:val="single" w:color="auto" w:sz="4" w:space="0"/>
            </w:tcBorders>
            <w:noWrap/>
            <w:vAlign w:val="center"/>
          </w:tcPr>
          <w:p>
            <w:pPr>
              <w:tabs>
                <w:tab w:val="left" w:pos="7665"/>
              </w:tabs>
              <w:snapToGrid w:val="0"/>
              <w:spacing w:line="360" w:lineRule="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1.供应商证明病案数字化制作数据与医院其他系统</w:t>
            </w:r>
            <w:r>
              <w:rPr>
                <w:rFonts w:hint="eastAsia" w:ascii="宋体" w:hAnsi="宋体" w:eastAsia="宋体" w:cs="宋体"/>
                <w:color w:val="auto"/>
                <w:kern w:val="2"/>
                <w:sz w:val="22"/>
                <w:szCs w:val="22"/>
                <w:lang w:val="en-US" w:eastAsia="zh-CN" w:bidi="ar-SA"/>
              </w:rPr>
              <w:t>对接后，实现医疗数据互联互通，需要提供供应商通过中国软件评测中心关于医院信息互联互通标准化成熟度测评方案，提供完整的复印件加盖公章的得4分，未提供不得分。</w:t>
            </w:r>
          </w:p>
          <w:p>
            <w:pPr>
              <w:tabs>
                <w:tab w:val="left" w:pos="7665"/>
              </w:tabs>
              <w:snapToGrid w:val="0"/>
              <w:spacing w:line="360" w:lineRule="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2.供应商提供在类似项目实施服务过程中用户通过国家卫计委统计信息中心针对互联互通成熟度评测且达到四级甲等及以上水平的得8分。三级及以上水平的得5分，二级以上水平的得2分，二级以下水平的得0分。（提供相关案例合同复印件，同时提供相关用户名称及通过四级甲等授牌图片，以上内容均需加盖投标人公章（鲜章））</w:t>
            </w:r>
          </w:p>
        </w:tc>
        <w:tc>
          <w:tcPr>
            <w:tcW w:w="961" w:type="pct"/>
            <w:tcBorders>
              <w:top w:val="single" w:color="auto" w:sz="4" w:space="0"/>
              <w:left w:val="single" w:color="auto" w:sz="4" w:space="0"/>
              <w:bottom w:val="single" w:color="auto" w:sz="4" w:space="0"/>
              <w:right w:val="single" w:color="auto" w:sz="4" w:space="0"/>
            </w:tcBorders>
            <w:noWrap/>
            <w:vAlign w:val="center"/>
          </w:tcPr>
          <w:p>
            <w:pPr>
              <w:tabs>
                <w:tab w:val="left" w:pos="7665"/>
              </w:tabs>
              <w:snapToGrid w:val="0"/>
              <w:spacing w:line="360" w:lineRule="auto"/>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以供应商提供的证明材料为依据。</w:t>
            </w:r>
          </w:p>
        </w:tc>
      </w:tr>
    </w:tbl>
    <w:p>
      <w:pPr>
        <w:spacing w:line="400" w:lineRule="exact"/>
        <w:ind w:left="0" w:leftChars="0" w:firstLine="0" w:firstLineChars="0"/>
        <w:jc w:val="both"/>
        <w:rPr>
          <w:rFonts w:hint="eastAsia" w:ascii="宋体" w:hAnsi="宋体" w:eastAsia="宋体" w:cs="宋体"/>
          <w:color w:val="auto"/>
          <w:sz w:val="24"/>
          <w:szCs w:val="24"/>
        </w:rPr>
      </w:pPr>
    </w:p>
    <w:p>
      <w:pPr>
        <w:pageBreakBefore w:val="0"/>
        <w:kinsoku/>
        <w:wordWrap/>
        <w:overflowPunct/>
        <w:topLinePunct w:val="0"/>
        <w:bidi w:val="0"/>
        <w:spacing w:line="360" w:lineRule="auto"/>
        <w:ind w:firstLine="360" w:firstLineChars="150"/>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注：评分的取值按四舍五入法，保留小数点后两位。</w:t>
      </w:r>
      <w:bookmarkEnd w:id="99"/>
      <w:bookmarkEnd w:id="100"/>
      <w:bookmarkEnd w:id="101"/>
      <w:bookmarkEnd w:id="102"/>
    </w:p>
    <w:p>
      <w:pPr>
        <w:pageBreakBefore w:val="0"/>
        <w:tabs>
          <w:tab w:val="left" w:pos="851"/>
        </w:tabs>
        <w:kinsoku/>
        <w:wordWrap/>
        <w:overflowPunct/>
        <w:topLinePunct w:val="0"/>
        <w:bidi w:val="0"/>
        <w:spacing w:line="360" w:lineRule="auto"/>
        <w:ind w:firstLine="482"/>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4.磋商纪律及注意事项</w:t>
      </w:r>
    </w:p>
    <w:p>
      <w:pPr>
        <w:pageBreakBefore w:val="0"/>
        <w:tabs>
          <w:tab w:val="left" w:pos="851"/>
        </w:tabs>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4.1磋商小组内部讨论的情况和意见必须保密，任何人不得以任何形式透露给供应商或与供应商有关的单位或个人。</w:t>
      </w:r>
    </w:p>
    <w:p>
      <w:pPr>
        <w:pageBreakBefore w:val="0"/>
        <w:tabs>
          <w:tab w:val="left" w:pos="851"/>
        </w:tabs>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4.2在磋商过程中，供应商不得以任何形式对磋商小组成员进行旨在影响磋商结果的私下接触，否则将取消其参与磋商的资格。</w:t>
      </w:r>
    </w:p>
    <w:p>
      <w:pPr>
        <w:pageBreakBefore w:val="0"/>
        <w:tabs>
          <w:tab w:val="left" w:pos="851"/>
        </w:tabs>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4.3对各供应商的商业秘密，磋商小组成员应予以保密，不得泄露给其他供应商。</w:t>
      </w:r>
    </w:p>
    <w:p>
      <w:pPr>
        <w:pageBreakBefore w:val="0"/>
        <w:tabs>
          <w:tab w:val="left" w:pos="851"/>
        </w:tabs>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4.4 磋商小组独立评判，推荐成交候选人，并写出书面报告。</w:t>
      </w:r>
    </w:p>
    <w:p>
      <w:pPr>
        <w:pageBreakBefore w:val="0"/>
        <w:tabs>
          <w:tab w:val="left" w:pos="851"/>
        </w:tabs>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4.5 磋商小组可根据需要对供应商进行实地考察。</w:t>
      </w:r>
    </w:p>
    <w:p>
      <w:pPr>
        <w:pageBreakBefore w:val="0"/>
        <w:tabs>
          <w:tab w:val="left" w:pos="7665"/>
        </w:tabs>
        <w:kinsoku/>
        <w:wordWrap/>
        <w:overflowPunct/>
        <w:topLinePunct w:val="0"/>
        <w:bidi w:val="0"/>
        <w:spacing w:line="360" w:lineRule="auto"/>
        <w:ind w:firstLine="480"/>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w:t>
      </w:r>
      <w:bookmarkEnd w:id="103"/>
      <w:r>
        <w:rPr>
          <w:rFonts w:hint="eastAsia" w:ascii="宋体" w:hAnsi="宋体" w:eastAsia="宋体" w:cs="宋体"/>
          <w:b/>
          <w:color w:val="000000" w:themeColor="text1"/>
          <w:sz w:val="24"/>
          <w:szCs w:val="24"/>
          <w:highlight w:val="none"/>
          <w14:textFill>
            <w14:solidFill>
              <w14:schemeClr w14:val="tx1"/>
            </w14:solidFill>
          </w14:textFill>
        </w:rPr>
        <w:t>磋商小组在政府采购活动中承担以下义务：</w:t>
      </w:r>
    </w:p>
    <w:p>
      <w:pPr>
        <w:pageBreakBefore w:val="0"/>
        <w:tabs>
          <w:tab w:val="left" w:pos="7665"/>
        </w:tabs>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（一）遵守评审工作纪律；</w:t>
      </w:r>
    </w:p>
    <w:p>
      <w:pPr>
        <w:pageBreakBefore w:val="0"/>
        <w:tabs>
          <w:tab w:val="left" w:pos="7665"/>
        </w:tabs>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（二）按照客观、公正、审慎的原则，根据磋商文件规定的评审程序、评审方法和评审标准进行独立评审；</w:t>
      </w:r>
    </w:p>
    <w:p>
      <w:pPr>
        <w:pageBreakBefore w:val="0"/>
        <w:tabs>
          <w:tab w:val="left" w:pos="7665"/>
        </w:tabs>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（三）不得泄露评审文件、评审情况和在评审过程中获悉的商业秘密；</w:t>
      </w:r>
    </w:p>
    <w:p>
      <w:pPr>
        <w:pageBreakBefore w:val="0"/>
        <w:tabs>
          <w:tab w:val="left" w:pos="7665"/>
        </w:tabs>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（四）及时向财政部门报告评审过程中发现的采购人、采购代理机构向评审专家做倾向性、误导性的解释或者说明，以及供应商行贿、提供虚假材料或者串通等违法行为；</w:t>
      </w:r>
    </w:p>
    <w:p>
      <w:pPr>
        <w:pageBreakBefore w:val="0"/>
        <w:tabs>
          <w:tab w:val="left" w:pos="7665"/>
        </w:tabs>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（五）发现磋商文件内容违反国家有关强制性规定或者磋商文件存在歧义、重大缺陷导致评审工作无法进行时，停止评审并向采购人或者采购代理机构书面说明情况；</w:t>
      </w:r>
    </w:p>
    <w:p>
      <w:pPr>
        <w:pageBreakBefore w:val="0"/>
        <w:tabs>
          <w:tab w:val="left" w:pos="7665"/>
        </w:tabs>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（六）及时向财政、监察等部门举报在评审过程中受到非法干预的情况；</w:t>
      </w:r>
    </w:p>
    <w:p>
      <w:pPr>
        <w:pageBreakBefore w:val="0"/>
        <w:tabs>
          <w:tab w:val="left" w:pos="7665"/>
        </w:tabs>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（七）配合答复处理供应商的询问、质疑和投诉等事项；</w:t>
      </w:r>
    </w:p>
    <w:p>
      <w:pPr>
        <w:pageBreakBefore w:val="0"/>
        <w:tabs>
          <w:tab w:val="left" w:pos="7665"/>
        </w:tabs>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（八）法律、法规和规章规定的其他义务。</w:t>
      </w:r>
    </w:p>
    <w:p>
      <w:pPr>
        <w:pageBreakBefore w:val="0"/>
        <w:tabs>
          <w:tab w:val="left" w:pos="7665"/>
        </w:tabs>
        <w:kinsoku/>
        <w:wordWrap/>
        <w:overflowPunct/>
        <w:topLinePunct w:val="0"/>
        <w:bidi w:val="0"/>
        <w:spacing w:line="360" w:lineRule="auto"/>
        <w:ind w:firstLine="482"/>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6.评审专家在政府采购活动中应当遵守以下工作纪律：</w:t>
      </w:r>
    </w:p>
    <w:p>
      <w:pPr>
        <w:pageBreakBefore w:val="0"/>
        <w:tabs>
          <w:tab w:val="left" w:pos="7665"/>
        </w:tabs>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（一）不得参加与自己有《中华人民共和国政府采购法实施条例》第九条规定的利害关系的政府采购项目的评审活动。发现参加了与自己有利害关系的评审活动，须主动提出回避，退出评审；</w:t>
      </w:r>
    </w:p>
    <w:p>
      <w:pPr>
        <w:pageBreakBefore w:val="0"/>
        <w:tabs>
          <w:tab w:val="left" w:pos="7665"/>
        </w:tabs>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（二）评审前，应当将通讯工具或者相关电子设备交由采购代理机构统一保管；</w:t>
      </w:r>
    </w:p>
    <w:p>
      <w:pPr>
        <w:pageBreakBefore w:val="0"/>
        <w:tabs>
          <w:tab w:val="left" w:pos="7665"/>
        </w:tabs>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（三）评审过程中，不得与外界联系，因发生不可预见情况，确实需要与外界联系的，应当在监督人员监督之下办理；</w:t>
      </w:r>
    </w:p>
    <w:p>
      <w:pPr>
        <w:pageBreakBefore w:val="0"/>
        <w:tabs>
          <w:tab w:val="left" w:pos="7665"/>
        </w:tabs>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pPr>
        <w:pageBreakBefore w:val="0"/>
        <w:tabs>
          <w:tab w:val="left" w:pos="7665"/>
        </w:tabs>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（五）在评审过程中和评审结束后，不得记录、复制或带走任何评审资料，不得向外界透露评审内容；</w:t>
      </w:r>
    </w:p>
    <w:p>
      <w:pPr>
        <w:pageBreakBefore w:val="0"/>
        <w:tabs>
          <w:tab w:val="left" w:pos="7665"/>
        </w:tabs>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（六）评审现场服从采购代理机构工作人员的管理，接受现场监督人员的合法监督；</w:t>
      </w:r>
    </w:p>
    <w:p>
      <w:pPr>
        <w:pageBreakBefore w:val="0"/>
        <w:tabs>
          <w:tab w:val="left" w:pos="7665"/>
        </w:tabs>
        <w:kinsoku/>
        <w:wordWrap/>
        <w:overflowPunct/>
        <w:topLinePunct w:val="0"/>
        <w:bidi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（七）遵守有关廉洁自律规定，不得私下接触供应商，不得收受供应商及有关业务单位和个人的财物或好处，不得接受采购代理机构的请托。</w:t>
      </w:r>
    </w:p>
    <w:p>
      <w:pPr>
        <w:pStyle w:val="21"/>
        <w:spacing w:line="240" w:lineRule="auto"/>
        <w:ind w:firstLine="0" w:firstLineChars="0"/>
        <w:rPr>
          <w:rFonts w:ascii="仿宋" w:hAnsi="仿宋" w:eastAsia="仿宋" w:cs="仿宋"/>
          <w:color w:val="000000" w:themeColor="text1"/>
          <w:kern w:val="0"/>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br w:type="page"/>
      </w:r>
      <w:bookmarkStart w:id="106" w:name="_Toc509579148"/>
      <w:bookmarkStart w:id="107" w:name="_Toc27514"/>
      <w:r>
        <w:rPr>
          <w:rFonts w:hint="eastAsia" w:ascii="宋体" w:hAnsi="宋体" w:eastAsia="宋体" w:cs="宋体"/>
          <w:color w:val="000000" w:themeColor="text1"/>
          <w:sz w:val="24"/>
          <w:szCs w:val="24"/>
          <w:highlight w:val="none"/>
          <w14:textFill>
            <w14:solidFill>
              <w14:schemeClr w14:val="tx1"/>
            </w14:solidFill>
          </w14:textFill>
        </w:rPr>
        <w:t>第九章</w:t>
      </w:r>
      <w:bookmarkEnd w:id="89"/>
      <w:bookmarkEnd w:id="90"/>
      <w:bookmarkEnd w:id="91"/>
      <w:bookmarkEnd w:id="105"/>
      <w:bookmarkEnd w:id="106"/>
      <w:r>
        <w:rPr>
          <w:rFonts w:hint="eastAsia" w:ascii="宋体" w:hAnsi="宋体" w:eastAsia="宋体" w:cs="宋体"/>
          <w:color w:val="000000" w:themeColor="text1"/>
          <w:sz w:val="24"/>
          <w:szCs w:val="24"/>
          <w:highlight w:val="none"/>
          <w14:textFill>
            <w14:solidFill>
              <w14:schemeClr w14:val="tx1"/>
            </w14:solidFill>
          </w14:textFill>
        </w:rPr>
        <w:t xml:space="preserve">  </w:t>
      </w:r>
      <w:bookmarkEnd w:id="107"/>
      <w:r>
        <w:rPr>
          <w:rStyle w:val="63"/>
          <w:rFonts w:hint="eastAsia" w:ascii="仿宋" w:hAnsi="仿宋" w:eastAsia="仿宋" w:cs="仿宋"/>
          <w:b/>
          <w:bCs/>
          <w:color w:val="000000" w:themeColor="text1"/>
          <w:sz w:val="28"/>
          <w:szCs w:val="28"/>
          <w:highlight w:val="none"/>
          <w14:textFill>
            <w14:solidFill>
              <w14:schemeClr w14:val="tx1"/>
            </w14:solidFill>
          </w14:textFill>
        </w:rPr>
        <w:t>政府采购合同（草案）</w:t>
      </w:r>
    </w:p>
    <w:p>
      <w:pPr>
        <w:keepNext w:val="0"/>
        <w:keepLines w:val="0"/>
        <w:pageBreakBefore w:val="0"/>
        <w:widowControl w:val="0"/>
        <w:kinsoku/>
        <w:wordWrap/>
        <w:overflowPunct/>
        <w:topLinePunct w:val="0"/>
        <w:autoSpaceDE w:val="0"/>
        <w:autoSpaceDN w:val="0"/>
        <w:bidi w:val="0"/>
        <w:adjustRightInd w:val="0"/>
        <w:snapToGrid w:val="0"/>
        <w:spacing w:line="312" w:lineRule="auto"/>
        <w:ind w:firstLine="0" w:firstLineChars="0"/>
        <w:jc w:val="center"/>
        <w:rPr>
          <w:rFonts w:hint="eastAsia" w:ascii="宋体" w:hAnsi="宋体" w:eastAsia="宋体" w:cs="宋体"/>
          <w:b/>
          <w:bCs/>
          <w:color w:val="auto"/>
          <w:kern w:val="0"/>
          <w:sz w:val="24"/>
          <w:szCs w:val="24"/>
          <w:highlight w:val="none"/>
          <w:lang w:val="zh-CN"/>
        </w:rPr>
      </w:pPr>
      <w:r>
        <w:rPr>
          <w:rFonts w:hint="eastAsia" w:ascii="宋体" w:hAnsi="宋体" w:eastAsia="宋体" w:cs="宋体"/>
          <w:color w:val="auto"/>
          <w:kern w:val="0"/>
          <w:sz w:val="24"/>
          <w:szCs w:val="24"/>
          <w:highlight w:val="none"/>
        </w:rPr>
        <w:t>（可根据项目具体情况科学合理调整）</w:t>
      </w:r>
    </w:p>
    <w:p>
      <w:pPr>
        <w:spacing w:line="360" w:lineRule="auto"/>
        <w:ind w:firstLine="480" w:firstLineChars="200"/>
        <w:rPr>
          <w:rFonts w:hint="eastAsia" w:ascii="宋体" w:hAnsi="宋体" w:cs="宋体"/>
          <w:sz w:val="24"/>
        </w:rPr>
      </w:pPr>
      <w:r>
        <w:rPr>
          <w:rFonts w:hint="eastAsia" w:ascii="宋体" w:hAnsi="宋体" w:cs="宋体"/>
          <w:sz w:val="24"/>
        </w:rPr>
        <w:t>合同编号：XXXX。</w:t>
      </w:r>
    </w:p>
    <w:p>
      <w:pPr>
        <w:spacing w:line="360" w:lineRule="auto"/>
        <w:ind w:firstLine="480" w:firstLineChars="200"/>
        <w:rPr>
          <w:rFonts w:hint="eastAsia" w:ascii="宋体" w:hAnsi="宋体" w:cs="宋体"/>
          <w:sz w:val="24"/>
        </w:rPr>
      </w:pPr>
      <w:r>
        <w:rPr>
          <w:rFonts w:hint="eastAsia" w:ascii="宋体" w:hAnsi="宋体" w:cs="宋体"/>
          <w:sz w:val="24"/>
        </w:rPr>
        <w:t>签订地点：XXXX。</w:t>
      </w:r>
    </w:p>
    <w:p>
      <w:pPr>
        <w:spacing w:line="360" w:lineRule="auto"/>
        <w:ind w:firstLine="480" w:firstLineChars="200"/>
        <w:rPr>
          <w:rFonts w:hint="eastAsia" w:ascii="宋体" w:hAnsi="宋体" w:cs="宋体"/>
          <w:sz w:val="24"/>
        </w:rPr>
      </w:pPr>
      <w:r>
        <w:rPr>
          <w:rFonts w:hint="eastAsia" w:ascii="宋体" w:hAnsi="宋体" w:cs="宋体"/>
          <w:sz w:val="24"/>
        </w:rPr>
        <w:t>签订时间：XXXX年XX月XX日。</w:t>
      </w:r>
    </w:p>
    <w:p>
      <w:pPr>
        <w:spacing w:line="360" w:lineRule="auto"/>
        <w:ind w:firstLine="480" w:firstLineChars="200"/>
        <w:rPr>
          <w:rFonts w:hint="eastAsia" w:ascii="宋体" w:hAnsi="宋体" w:cs="宋体"/>
          <w:sz w:val="24"/>
        </w:rPr>
      </w:pPr>
      <w:r>
        <w:rPr>
          <w:rFonts w:hint="eastAsia" w:ascii="宋体" w:hAnsi="宋体" w:cs="宋体"/>
          <w:sz w:val="24"/>
        </w:rPr>
        <w:t>采购人（甲方）：</w:t>
      </w:r>
    </w:p>
    <w:p>
      <w:pPr>
        <w:spacing w:line="360" w:lineRule="auto"/>
        <w:ind w:firstLine="480" w:firstLineChars="200"/>
        <w:rPr>
          <w:rFonts w:hint="eastAsia" w:ascii="宋体" w:hAnsi="宋体" w:cs="宋体"/>
          <w:sz w:val="24"/>
        </w:rPr>
      </w:pPr>
      <w:r>
        <w:rPr>
          <w:rFonts w:hint="eastAsia" w:ascii="宋体" w:hAnsi="宋体" w:cs="宋体"/>
          <w:sz w:val="24"/>
        </w:rPr>
        <w:t>供应商（乙方）：</w:t>
      </w:r>
    </w:p>
    <w:p>
      <w:pPr>
        <w:spacing w:line="400" w:lineRule="exact"/>
        <w:rPr>
          <w:rFonts w:hint="eastAsia" w:ascii="宋体" w:hAnsi="宋体" w:cs="宋体"/>
          <w:sz w:val="24"/>
        </w:rPr>
      </w:pPr>
    </w:p>
    <w:p>
      <w:pPr>
        <w:pStyle w:val="55"/>
        <w:ind w:firstLine="480"/>
        <w:rPr>
          <w:rFonts w:hint="eastAsia" w:hAnsi="宋体"/>
          <w:szCs w:val="24"/>
          <w:highlight w:val="green"/>
        </w:rPr>
      </w:pPr>
      <w:r>
        <w:rPr>
          <w:rFonts w:hint="eastAsia" w:ascii="宋体" w:hAnsi="宋体" w:cs="宋体"/>
          <w:color w:val="auto"/>
          <w:kern w:val="0"/>
          <w:sz w:val="24"/>
          <w:szCs w:val="24"/>
          <w:highlight w:val="none"/>
          <w:lang w:val="en-US" w:eastAsia="zh-CN"/>
        </w:rPr>
        <w:t>参照</w:t>
      </w:r>
      <w:r>
        <w:rPr>
          <w:rFonts w:hint="eastAsia" w:ascii="宋体" w:hAnsi="宋体" w:eastAsia="宋体" w:cs="宋体"/>
          <w:color w:val="auto"/>
          <w:kern w:val="0"/>
          <w:sz w:val="24"/>
          <w:szCs w:val="24"/>
          <w:highlight w:val="none"/>
        </w:rPr>
        <w:t>《中华人民共和国政府采购法》、《中华人民共和国</w:t>
      </w:r>
      <w:r>
        <w:rPr>
          <w:rFonts w:hint="eastAsia" w:ascii="宋体" w:hAnsi="宋体" w:cs="宋体"/>
          <w:color w:val="auto"/>
          <w:kern w:val="0"/>
          <w:sz w:val="24"/>
          <w:szCs w:val="24"/>
          <w:highlight w:val="none"/>
          <w:lang w:val="en-US" w:eastAsia="zh-CN"/>
        </w:rPr>
        <w:t>民法典</w:t>
      </w:r>
      <w:r>
        <w:rPr>
          <w:rFonts w:hint="eastAsia" w:ascii="宋体" w:hAnsi="宋体" w:eastAsia="宋体" w:cs="宋体"/>
          <w:color w:val="auto"/>
          <w:kern w:val="0"/>
          <w:sz w:val="24"/>
          <w:szCs w:val="24"/>
          <w:highlight w:val="none"/>
        </w:rPr>
        <w:t>》及XXXX采购项目（项目编号：XX）的《磋商文件》、乙方的《响应文件》及《</w:t>
      </w:r>
      <w:r>
        <w:rPr>
          <w:rFonts w:hint="eastAsia" w:ascii="宋体" w:hAnsi="宋体" w:cs="宋体"/>
          <w:color w:val="auto"/>
          <w:kern w:val="0"/>
          <w:sz w:val="24"/>
          <w:szCs w:val="24"/>
          <w:highlight w:val="none"/>
          <w:lang w:eastAsia="zh-CN"/>
        </w:rPr>
        <w:t>成交通知书</w:t>
      </w:r>
      <w:r>
        <w:rPr>
          <w:rFonts w:hint="eastAsia" w:ascii="宋体" w:hAnsi="宋体" w:eastAsia="宋体" w:cs="宋体"/>
          <w:color w:val="auto"/>
          <w:kern w:val="0"/>
          <w:sz w:val="24"/>
          <w:szCs w:val="24"/>
          <w:highlight w:val="none"/>
        </w:rPr>
        <w:t>》，甲、乙双方同意签订本合同。详细技术说明及其他有关合同项目的特定信息由合同附件予以说明，合同附件及本项目的磋商文件、响应文件、《</w:t>
      </w:r>
      <w:r>
        <w:rPr>
          <w:rFonts w:hint="eastAsia" w:ascii="宋体" w:hAnsi="宋体" w:cs="宋体"/>
          <w:color w:val="auto"/>
          <w:kern w:val="0"/>
          <w:sz w:val="24"/>
          <w:szCs w:val="24"/>
          <w:highlight w:val="none"/>
          <w:lang w:eastAsia="zh-CN"/>
        </w:rPr>
        <w:t>成交通知书</w:t>
      </w:r>
      <w:r>
        <w:rPr>
          <w:rFonts w:hint="eastAsia" w:ascii="宋体" w:hAnsi="宋体" w:eastAsia="宋体" w:cs="宋体"/>
          <w:color w:val="auto"/>
          <w:kern w:val="0"/>
          <w:sz w:val="24"/>
          <w:szCs w:val="24"/>
          <w:highlight w:val="none"/>
        </w:rPr>
        <w:t>》等均为本合同不可分割的部分。双方同意共同遵守如下条款：</w:t>
      </w:r>
    </w:p>
    <w:p>
      <w:pPr>
        <w:numPr>
          <w:ilvl w:val="0"/>
          <w:numId w:val="7"/>
        </w:numPr>
        <w:spacing w:afterAutospacing="0" w:line="360" w:lineRule="auto"/>
        <w:rPr>
          <w:rFonts w:hint="eastAsia" w:ascii="宋体" w:hAnsi="宋体" w:cs="宋体"/>
          <w:b/>
          <w:sz w:val="24"/>
        </w:rPr>
      </w:pPr>
      <w:bookmarkStart w:id="108" w:name="_Toc217446115"/>
      <w:r>
        <w:rPr>
          <w:rFonts w:hint="eastAsia" w:ascii="宋体" w:hAnsi="宋体" w:cs="宋体"/>
          <w:b/>
          <w:sz w:val="24"/>
        </w:rPr>
        <w:t>项目基本情况</w:t>
      </w:r>
    </w:p>
    <w:p>
      <w:pPr>
        <w:numPr>
          <w:ilvl w:val="0"/>
          <w:numId w:val="7"/>
        </w:numPr>
        <w:spacing w:before="220" w:beforeLines="70" w:beforeAutospacing="0" w:after="253" w:afterLines="81" w:afterAutospacing="0" w:line="360" w:lineRule="auto"/>
        <w:rPr>
          <w:rFonts w:hint="eastAsia" w:ascii="宋体" w:hAnsi="宋体" w:cs="宋体"/>
          <w:b/>
          <w:sz w:val="24"/>
          <w:szCs w:val="22"/>
        </w:rPr>
      </w:pPr>
      <w:r>
        <w:rPr>
          <w:rFonts w:hint="eastAsia" w:ascii="宋体" w:hAnsi="宋体" w:cs="宋体"/>
          <w:b/>
          <w:sz w:val="24"/>
          <w:szCs w:val="22"/>
        </w:rPr>
        <w:t>合同期限</w:t>
      </w:r>
    </w:p>
    <w:p>
      <w:pPr>
        <w:numPr>
          <w:ilvl w:val="0"/>
          <w:numId w:val="7"/>
        </w:numPr>
        <w:spacing w:beforeAutospacing="0" w:line="360" w:lineRule="auto"/>
        <w:rPr>
          <w:rFonts w:hint="eastAsia" w:ascii="宋体" w:hAnsi="宋体" w:cs="宋体"/>
          <w:b/>
          <w:sz w:val="24"/>
        </w:rPr>
      </w:pPr>
      <w:bookmarkStart w:id="109" w:name="_Toc251768862"/>
      <w:bookmarkStart w:id="110" w:name="_Toc247334841"/>
      <w:bookmarkStart w:id="111" w:name="_Toc232492928"/>
      <w:bookmarkStart w:id="112" w:name="_Toc185395249"/>
      <w:bookmarkStart w:id="113" w:name="_Toc225244852"/>
      <w:bookmarkStart w:id="114" w:name="_Toc212019594"/>
      <w:bookmarkStart w:id="115" w:name="_Toc211854449"/>
      <w:bookmarkStart w:id="116" w:name="_Toc239233914"/>
      <w:bookmarkStart w:id="117" w:name="_Toc225670751"/>
      <w:bookmarkStart w:id="118" w:name="_Toc238984975"/>
      <w:bookmarkStart w:id="119" w:name="_Toc225654644"/>
      <w:bookmarkStart w:id="120" w:name="_Toc241833903"/>
      <w:bookmarkStart w:id="121" w:name="_Toc283019214"/>
      <w:bookmarkStart w:id="122" w:name="_Toc286993786"/>
      <w:bookmarkStart w:id="123" w:name="_Toc211911348"/>
      <w:bookmarkStart w:id="124" w:name="_Toc239568418"/>
      <w:bookmarkStart w:id="125" w:name="_Toc282696226"/>
      <w:bookmarkStart w:id="126" w:name="_Toc237145406"/>
      <w:r>
        <w:rPr>
          <w:rFonts w:hint="eastAsia" w:ascii="宋体" w:hAnsi="宋体" w:cs="宋体"/>
          <w:b/>
          <w:sz w:val="24"/>
        </w:rPr>
        <w:t>服务内容与质量标准</w:t>
      </w:r>
    </w:p>
    <w:p>
      <w:pPr>
        <w:spacing w:line="360" w:lineRule="auto"/>
        <w:ind w:firstLine="480"/>
        <w:rPr>
          <w:rFonts w:hint="eastAsia" w:ascii="宋体" w:hAnsi="宋体" w:cs="宋体"/>
          <w:sz w:val="24"/>
        </w:rPr>
      </w:pPr>
      <w:r>
        <w:rPr>
          <w:rFonts w:hint="eastAsia" w:ascii="宋体" w:hAnsi="宋体" w:cs="宋体"/>
          <w:sz w:val="24"/>
        </w:rPr>
        <w:t>1、</w:t>
      </w:r>
    </w:p>
    <w:p>
      <w:pPr>
        <w:spacing w:line="360" w:lineRule="auto"/>
        <w:ind w:firstLine="480"/>
        <w:rPr>
          <w:rFonts w:hint="eastAsia" w:ascii="宋体" w:hAnsi="宋体" w:cs="宋体"/>
          <w:sz w:val="24"/>
        </w:rPr>
      </w:pPr>
      <w:r>
        <w:rPr>
          <w:rFonts w:hint="eastAsia" w:ascii="宋体" w:hAnsi="宋体" w:cs="宋体"/>
          <w:sz w:val="24"/>
        </w:rPr>
        <w:t>2、</w:t>
      </w:r>
    </w:p>
    <w:p>
      <w:pPr>
        <w:spacing w:line="360" w:lineRule="auto"/>
        <w:ind w:firstLine="480"/>
        <w:rPr>
          <w:rFonts w:hint="eastAsia" w:ascii="宋体" w:hAnsi="宋体" w:cs="宋体"/>
          <w:sz w:val="24"/>
        </w:rPr>
      </w:pPr>
      <w:r>
        <w:rPr>
          <w:rFonts w:hint="eastAsia" w:ascii="宋体" w:hAnsi="宋体" w:cs="宋体"/>
          <w:sz w:val="24"/>
        </w:rPr>
        <w:t>3、</w:t>
      </w:r>
    </w:p>
    <w:p>
      <w:pPr>
        <w:spacing w:afterAutospacing="0" w:line="360" w:lineRule="auto"/>
        <w:ind w:firstLine="630"/>
        <w:rPr>
          <w:rFonts w:hint="eastAsia" w:ascii="宋体" w:hAnsi="宋体" w:cs="宋体"/>
          <w:sz w:val="24"/>
        </w:rPr>
      </w:pPr>
      <w:r>
        <w:rPr>
          <w:rFonts w:hint="eastAsia" w:ascii="宋体" w:hAnsi="宋体" w:cs="宋体"/>
          <w:sz w:val="24"/>
        </w:rPr>
        <w:t>…</w:t>
      </w:r>
    </w:p>
    <w:p>
      <w:pPr>
        <w:numPr>
          <w:ilvl w:val="0"/>
          <w:numId w:val="7"/>
        </w:numPr>
        <w:spacing w:before="220" w:beforeLines="70" w:beforeAutospacing="0" w:line="360" w:lineRule="auto"/>
        <w:rPr>
          <w:rFonts w:hint="eastAsia" w:ascii="宋体" w:hAnsi="宋体" w:cs="宋体"/>
          <w:b/>
          <w:sz w:val="24"/>
        </w:rPr>
      </w:pPr>
      <w:r>
        <w:rPr>
          <w:rFonts w:hint="eastAsia" w:ascii="宋体" w:hAnsi="宋体" w:cs="宋体"/>
          <w:b/>
          <w:sz w:val="24"/>
        </w:rPr>
        <w:t>服务费用及支付方式</w:t>
      </w:r>
    </w:p>
    <w:p>
      <w:pPr>
        <w:numPr>
          <w:ilvl w:val="0"/>
          <w:numId w:val="8"/>
        </w:numPr>
        <w:spacing w:line="360" w:lineRule="auto"/>
        <w:ind w:left="0" w:firstLine="567"/>
        <w:rPr>
          <w:rFonts w:hint="eastAsia" w:ascii="宋体" w:hAnsi="宋体" w:cs="宋体"/>
          <w:b/>
          <w:sz w:val="24"/>
        </w:rPr>
      </w:pPr>
      <w:r>
        <w:rPr>
          <w:rFonts w:hint="eastAsia" w:ascii="宋体" w:hAnsi="宋体" w:cs="宋体"/>
          <w:b/>
          <w:sz w:val="24"/>
        </w:rPr>
        <w:t>本项目服务费用由以下组成：</w:t>
      </w:r>
    </w:p>
    <w:p>
      <w:pPr>
        <w:numPr>
          <w:ilvl w:val="0"/>
          <w:numId w:val="9"/>
        </w:numPr>
        <w:spacing w:line="360" w:lineRule="auto"/>
        <w:rPr>
          <w:rFonts w:hint="eastAsia" w:ascii="宋体" w:hAnsi="宋体" w:cs="宋体"/>
          <w:sz w:val="24"/>
        </w:rPr>
      </w:pPr>
      <w:r>
        <w:rPr>
          <w:rFonts w:hint="eastAsia" w:ascii="宋体" w:hAnsi="宋体" w:cs="宋体"/>
          <w:sz w:val="24"/>
        </w:rPr>
        <w:t>　　　　万元；</w:t>
      </w:r>
    </w:p>
    <w:p>
      <w:pPr>
        <w:numPr>
          <w:ilvl w:val="0"/>
          <w:numId w:val="9"/>
        </w:numPr>
        <w:spacing w:line="360" w:lineRule="auto"/>
        <w:rPr>
          <w:rFonts w:hint="eastAsia" w:ascii="宋体" w:hAnsi="宋体" w:cs="宋体"/>
          <w:sz w:val="24"/>
        </w:rPr>
      </w:pPr>
      <w:r>
        <w:rPr>
          <w:rFonts w:hint="eastAsia" w:ascii="宋体" w:hAnsi="宋体" w:cs="宋体"/>
          <w:sz w:val="24"/>
        </w:rPr>
        <w:t xml:space="preserve">        万元；</w:t>
      </w:r>
    </w:p>
    <w:p>
      <w:pPr>
        <w:numPr>
          <w:ilvl w:val="0"/>
          <w:numId w:val="9"/>
        </w:numPr>
        <w:spacing w:line="360" w:lineRule="auto"/>
        <w:rPr>
          <w:rFonts w:hint="eastAsia" w:ascii="宋体" w:hAnsi="宋体" w:cs="宋体"/>
          <w:sz w:val="24"/>
        </w:rPr>
      </w:pPr>
      <w:r>
        <w:rPr>
          <w:rFonts w:hint="eastAsia" w:ascii="宋体" w:hAnsi="宋体" w:cs="宋体"/>
          <w:sz w:val="24"/>
        </w:rPr>
        <w:t xml:space="preserve">        万元。</w:t>
      </w:r>
    </w:p>
    <w:p>
      <w:pPr>
        <w:numPr>
          <w:ilvl w:val="0"/>
          <w:numId w:val="8"/>
        </w:numPr>
        <w:tabs>
          <w:tab w:val="left" w:pos="780"/>
        </w:tabs>
        <w:spacing w:line="360" w:lineRule="auto"/>
        <w:ind w:left="0" w:firstLine="567"/>
        <w:rPr>
          <w:rFonts w:hint="eastAsia" w:ascii="宋体" w:hAnsi="宋体" w:cs="宋体"/>
          <w:b/>
          <w:sz w:val="24"/>
        </w:rPr>
      </w:pPr>
      <w:r>
        <w:rPr>
          <w:rFonts w:hint="eastAsia" w:ascii="宋体" w:hAnsi="宋体" w:cs="宋体"/>
          <w:b/>
          <w:sz w:val="24"/>
        </w:rPr>
        <w:t>服务费支付方式：</w:t>
      </w:r>
    </w:p>
    <w:p>
      <w:pPr>
        <w:ind w:firstLine="480" w:firstLineChars="200"/>
        <w:rPr>
          <w:rFonts w:hint="eastAsia" w:ascii="宋体" w:hAnsi="宋体" w:cs="宋体"/>
          <w:sz w:val="24"/>
        </w:rPr>
      </w:pPr>
      <w:r>
        <w:rPr>
          <w:rFonts w:hint="eastAsia" w:ascii="宋体" w:hAnsi="宋体" w:cs="宋体"/>
          <w:sz w:val="24"/>
        </w:rPr>
        <w:t>付款方式：</w:t>
      </w:r>
      <w:r>
        <w:rPr>
          <w:rFonts w:hint="eastAsia" w:ascii="宋体" w:hAnsi="宋体" w:cs="宋体"/>
          <w:sz w:val="24"/>
          <w:lang w:val="en-US" w:eastAsia="zh-CN"/>
        </w:rPr>
        <w:t xml:space="preserve">                                                </w:t>
      </w:r>
      <w:r>
        <w:rPr>
          <w:rFonts w:hint="eastAsia" w:ascii="宋体" w:hAnsi="宋体" w:cs="宋体"/>
          <w:sz w:val="24"/>
        </w:rPr>
        <w:t>。</w:t>
      </w:r>
    </w:p>
    <w:p>
      <w:pPr>
        <w:tabs>
          <w:tab w:val="left" w:pos="1440"/>
        </w:tabs>
        <w:spacing w:line="360" w:lineRule="auto"/>
        <w:ind w:firstLine="482" w:firstLineChars="200"/>
        <w:rPr>
          <w:rFonts w:hint="eastAsia" w:ascii="宋体" w:hAnsi="宋体" w:cs="宋体"/>
          <w:b/>
          <w:sz w:val="24"/>
        </w:rPr>
      </w:pPr>
    </w:p>
    <w:p>
      <w:pPr>
        <w:tabs>
          <w:tab w:val="left" w:pos="1440"/>
        </w:tabs>
        <w:spacing w:line="360" w:lineRule="auto"/>
        <w:ind w:firstLine="482" w:firstLineChars="200"/>
        <w:rPr>
          <w:rFonts w:hint="eastAsia" w:ascii="宋体" w:hAnsi="宋体" w:cs="宋体"/>
          <w:b/>
          <w:sz w:val="24"/>
        </w:rPr>
      </w:pPr>
      <w:r>
        <w:rPr>
          <w:rFonts w:hint="eastAsia" w:ascii="宋体" w:hAnsi="宋体" w:cs="宋体"/>
          <w:b/>
          <w:sz w:val="24"/>
        </w:rPr>
        <w:t>知识产权</w:t>
      </w:r>
    </w:p>
    <w:p>
      <w:pPr>
        <w:tabs>
          <w:tab w:val="left" w:pos="1440"/>
        </w:tabs>
        <w:spacing w:afterAutospacing="0" w:line="360" w:lineRule="auto"/>
        <w:ind w:firstLine="480" w:firstLineChars="200"/>
        <w:rPr>
          <w:rFonts w:hint="eastAsia" w:ascii="宋体" w:hAnsi="宋体" w:cs="宋体"/>
          <w:sz w:val="24"/>
        </w:rPr>
      </w:pPr>
      <w:r>
        <w:rPr>
          <w:rFonts w:hint="eastAsia" w:ascii="宋体" w:hAnsi="宋体" w:cs="宋体"/>
          <w:sz w:val="24"/>
        </w:rPr>
        <w:t>乙方应保证所提供的服务或其任何一部分均不会侵犯任何第三方的专利权、商标权或著作权。</w:t>
      </w:r>
    </w:p>
    <w:p>
      <w:pPr>
        <w:numPr>
          <w:ilvl w:val="0"/>
          <w:numId w:val="7"/>
        </w:numPr>
        <w:spacing w:before="253" w:beforeLines="81" w:beforeAutospacing="0" w:line="360" w:lineRule="auto"/>
        <w:rPr>
          <w:rFonts w:hint="eastAsia" w:ascii="宋体" w:hAnsi="宋体" w:cs="宋体"/>
          <w:b/>
          <w:sz w:val="24"/>
        </w:rPr>
      </w:pPr>
      <w:r>
        <w:rPr>
          <w:rFonts w:hint="eastAsia" w:ascii="宋体" w:hAnsi="宋体" w:cs="宋体"/>
          <w:b/>
          <w:sz w:val="24"/>
        </w:rPr>
        <w:t>无产权瑕疵条款</w:t>
      </w:r>
    </w:p>
    <w:p>
      <w:pPr>
        <w:tabs>
          <w:tab w:val="left" w:pos="1440"/>
        </w:tabs>
        <w:spacing w:afterAutospacing="0" w:line="360" w:lineRule="auto"/>
        <w:ind w:firstLine="480" w:firstLineChars="200"/>
        <w:rPr>
          <w:rFonts w:hint="eastAsia" w:ascii="宋体" w:hAnsi="宋体" w:cs="宋体"/>
          <w:sz w:val="24"/>
        </w:rPr>
      </w:pPr>
      <w:r>
        <w:rPr>
          <w:rFonts w:hint="eastAsia" w:ascii="宋体" w:hAnsi="宋体" w:cs="宋体"/>
          <w:sz w:val="24"/>
        </w:rPr>
        <w:t>乙方保证所提供的服务的所有权完全属于乙方且无任何抵押、查封等产权瑕疵。如有产权瑕疵的，视为乙方违约。乙方应负担由此而产生的一切损失。</w:t>
      </w:r>
    </w:p>
    <w:p>
      <w:pPr>
        <w:numPr>
          <w:ilvl w:val="0"/>
          <w:numId w:val="7"/>
        </w:numPr>
        <w:spacing w:before="253" w:beforeLines="81" w:beforeAutospacing="0" w:line="360" w:lineRule="auto"/>
        <w:rPr>
          <w:rFonts w:hint="eastAsia" w:ascii="宋体" w:hAnsi="宋体" w:cs="宋体"/>
          <w:b/>
          <w:sz w:val="24"/>
        </w:rPr>
      </w:pPr>
      <w:r>
        <w:rPr>
          <w:rFonts w:hint="eastAsia" w:ascii="宋体" w:hAnsi="宋体" w:cs="宋体"/>
          <w:b/>
          <w:sz w:val="24"/>
        </w:rPr>
        <w:t>履约保证金</w:t>
      </w:r>
    </w:p>
    <w:p>
      <w:pPr>
        <w:pStyle w:val="12"/>
        <w:numPr>
          <w:ilvl w:val="0"/>
          <w:numId w:val="10"/>
        </w:numPr>
        <w:spacing w:line="360" w:lineRule="auto"/>
        <w:ind w:firstLine="567"/>
        <w:rPr>
          <w:rFonts w:hint="eastAsia" w:hAnsi="宋体" w:cs="宋体"/>
          <w:sz w:val="24"/>
          <w:szCs w:val="24"/>
        </w:rPr>
      </w:pPr>
      <w:r>
        <w:rPr>
          <w:rFonts w:hint="eastAsia" w:hAnsi="宋体" w:cs="宋体"/>
          <w:sz w:val="24"/>
          <w:szCs w:val="24"/>
        </w:rPr>
        <w:t>乙方交纳人民币</w:t>
      </w:r>
      <w:r>
        <w:rPr>
          <w:rFonts w:hint="eastAsia" w:hAnsi="宋体" w:cs="宋体"/>
          <w:sz w:val="24"/>
          <w:szCs w:val="24"/>
          <w:u w:val="single"/>
        </w:rPr>
        <w:t>　　　　　　</w:t>
      </w:r>
      <w:r>
        <w:rPr>
          <w:rFonts w:hint="eastAsia" w:hAnsi="宋体" w:cs="宋体"/>
          <w:sz w:val="24"/>
          <w:szCs w:val="24"/>
        </w:rPr>
        <w:t>元作为本合同的履约保证金。</w:t>
      </w:r>
    </w:p>
    <w:p>
      <w:pPr>
        <w:pStyle w:val="12"/>
        <w:numPr>
          <w:ilvl w:val="0"/>
          <w:numId w:val="10"/>
        </w:numPr>
        <w:spacing w:afterAutospacing="0" w:line="360" w:lineRule="auto"/>
        <w:ind w:firstLine="567"/>
        <w:rPr>
          <w:rFonts w:hint="eastAsia" w:hAnsi="宋体" w:cs="宋体"/>
          <w:sz w:val="24"/>
          <w:szCs w:val="24"/>
        </w:rPr>
      </w:pPr>
      <w:r>
        <w:rPr>
          <w:rFonts w:hint="eastAsia" w:hAnsi="宋体" w:cs="宋体"/>
          <w:sz w:val="24"/>
          <w:szCs w:val="24"/>
        </w:rPr>
        <w:t>履约保证金作为违约金的一部分及用于补偿甲方因乙方不能履行合同义务而蒙受的损失。</w:t>
      </w:r>
    </w:p>
    <w:p>
      <w:pPr>
        <w:numPr>
          <w:ilvl w:val="0"/>
          <w:numId w:val="7"/>
        </w:numPr>
        <w:spacing w:before="236" w:beforeLines="75" w:beforeAutospacing="0" w:line="360" w:lineRule="auto"/>
        <w:rPr>
          <w:rFonts w:hint="eastAsia" w:ascii="宋体" w:hAnsi="宋体" w:cs="宋体"/>
          <w:b/>
          <w:sz w:val="24"/>
        </w:rPr>
      </w:pPr>
      <w:r>
        <w:rPr>
          <w:rFonts w:hint="eastAsia" w:ascii="宋体" w:hAnsi="宋体" w:cs="宋体"/>
          <w:b/>
          <w:sz w:val="24"/>
        </w:rPr>
        <w:t>甲方的权利和义务</w:t>
      </w:r>
    </w:p>
    <w:p>
      <w:pPr>
        <w:numPr>
          <w:ilvl w:val="0"/>
          <w:numId w:val="11"/>
        </w:numPr>
        <w:tabs>
          <w:tab w:val="left" w:pos="1440"/>
        </w:tabs>
        <w:adjustRightInd w:val="0"/>
        <w:spacing w:line="360" w:lineRule="auto"/>
        <w:ind w:left="0" w:firstLine="420"/>
        <w:jc w:val="left"/>
        <w:textAlignment w:val="baseline"/>
        <w:rPr>
          <w:rFonts w:hint="eastAsia" w:ascii="宋体" w:hAnsi="宋体" w:cs="宋体"/>
          <w:bCs/>
          <w:sz w:val="24"/>
        </w:rPr>
      </w:pPr>
      <w:r>
        <w:rPr>
          <w:rFonts w:hint="eastAsia" w:ascii="宋体" w:hAnsi="宋体" w:cs="宋体"/>
          <w:bCs/>
          <w:sz w:val="24"/>
        </w:rPr>
        <w:t>甲方有权对合同规定范围内乙方的服务行为进行监督和检查，拥有监管权。有权定期核对乙方提供服务所配备的人员数量。对甲方认为不合理的部分有权下达整改通知书，并要求乙方限期整改。</w:t>
      </w:r>
    </w:p>
    <w:p>
      <w:pPr>
        <w:numPr>
          <w:ilvl w:val="0"/>
          <w:numId w:val="11"/>
        </w:numPr>
        <w:tabs>
          <w:tab w:val="left" w:pos="1440"/>
        </w:tabs>
        <w:adjustRightInd w:val="0"/>
        <w:spacing w:line="360" w:lineRule="auto"/>
        <w:ind w:left="0" w:firstLine="420"/>
        <w:jc w:val="left"/>
        <w:textAlignment w:val="baseline"/>
        <w:rPr>
          <w:rFonts w:hint="eastAsia" w:ascii="宋体" w:hAnsi="宋体" w:cs="宋体"/>
          <w:bCs/>
          <w:sz w:val="24"/>
        </w:rPr>
      </w:pPr>
      <w:r>
        <w:rPr>
          <w:rFonts w:hint="eastAsia" w:ascii="宋体" w:hAnsi="宋体" w:cs="宋体"/>
          <w:bCs/>
          <w:sz w:val="24"/>
        </w:rPr>
        <w:t>甲方有权依据双方签订的考评办法对乙方提供的服务进行定期考评。当考评结果未达到标准时，有权依据考评办法约定的数额扣除履约保证金。</w:t>
      </w:r>
    </w:p>
    <w:p>
      <w:pPr>
        <w:numPr>
          <w:ilvl w:val="0"/>
          <w:numId w:val="11"/>
        </w:numPr>
        <w:tabs>
          <w:tab w:val="left" w:pos="1440"/>
        </w:tabs>
        <w:adjustRightInd w:val="0"/>
        <w:spacing w:line="360" w:lineRule="auto"/>
        <w:ind w:left="0" w:firstLine="420"/>
        <w:jc w:val="left"/>
        <w:textAlignment w:val="baseline"/>
        <w:rPr>
          <w:rFonts w:hint="eastAsia" w:ascii="宋体" w:hAnsi="宋体" w:cs="宋体"/>
          <w:bCs/>
          <w:sz w:val="24"/>
        </w:rPr>
      </w:pPr>
      <w:r>
        <w:rPr>
          <w:rFonts w:hint="eastAsia" w:ascii="宋体" w:hAnsi="宋体" w:cs="宋体"/>
          <w:bCs/>
          <w:sz w:val="24"/>
        </w:rPr>
        <w:t>负责检查监督乙方管理工作的实施及制度的执行情况。</w:t>
      </w:r>
    </w:p>
    <w:p>
      <w:pPr>
        <w:numPr>
          <w:ilvl w:val="0"/>
          <w:numId w:val="11"/>
        </w:numPr>
        <w:tabs>
          <w:tab w:val="left" w:pos="1440"/>
        </w:tabs>
        <w:adjustRightInd w:val="0"/>
        <w:spacing w:line="360" w:lineRule="auto"/>
        <w:ind w:left="0" w:firstLine="420"/>
        <w:jc w:val="left"/>
        <w:textAlignment w:val="baseline"/>
        <w:rPr>
          <w:rFonts w:hint="eastAsia" w:ascii="宋体" w:hAnsi="宋体" w:cs="宋体"/>
          <w:bCs/>
          <w:sz w:val="24"/>
        </w:rPr>
      </w:pPr>
      <w:r>
        <w:rPr>
          <w:rFonts w:hint="eastAsia" w:ascii="宋体" w:hAnsi="宋体" w:cs="宋体"/>
          <w:bCs/>
          <w:sz w:val="24"/>
        </w:rPr>
        <w:t>根据本合同规定，按时向乙方支付应付服务费用。</w:t>
      </w:r>
    </w:p>
    <w:p>
      <w:pPr>
        <w:numPr>
          <w:ilvl w:val="0"/>
          <w:numId w:val="11"/>
        </w:numPr>
        <w:tabs>
          <w:tab w:val="left" w:pos="1440"/>
        </w:tabs>
        <w:adjustRightInd w:val="0"/>
        <w:spacing w:afterAutospacing="0" w:line="360" w:lineRule="auto"/>
        <w:ind w:left="0" w:firstLine="420"/>
        <w:jc w:val="left"/>
        <w:textAlignment w:val="baseline"/>
        <w:rPr>
          <w:rFonts w:hint="eastAsia" w:ascii="宋体" w:hAnsi="宋体" w:cs="宋体"/>
          <w:bCs/>
          <w:sz w:val="24"/>
        </w:rPr>
      </w:pPr>
      <w:r>
        <w:rPr>
          <w:rFonts w:hint="eastAsia" w:ascii="宋体" w:hAnsi="宋体" w:cs="宋体"/>
          <w:bCs/>
          <w:sz w:val="24"/>
        </w:rPr>
        <w:t>国家法律、法规所规定由甲方承担的其它责任。</w:t>
      </w:r>
    </w:p>
    <w:p>
      <w:pPr>
        <w:numPr>
          <w:ilvl w:val="0"/>
          <w:numId w:val="7"/>
        </w:numPr>
        <w:spacing w:before="270" w:beforeLines="86" w:beforeAutospacing="0" w:line="360" w:lineRule="auto"/>
        <w:rPr>
          <w:rFonts w:hint="eastAsia" w:ascii="宋体" w:hAnsi="宋体" w:cs="宋体"/>
          <w:b/>
          <w:sz w:val="24"/>
        </w:rPr>
      </w:pPr>
      <w:r>
        <w:rPr>
          <w:rFonts w:hint="eastAsia" w:ascii="宋体" w:hAnsi="宋体" w:cs="宋体"/>
          <w:b/>
          <w:sz w:val="24"/>
        </w:rPr>
        <w:t>乙方的权利和义务</w:t>
      </w:r>
    </w:p>
    <w:p>
      <w:pPr>
        <w:adjustRightInd w:val="0"/>
        <w:spacing w:line="360" w:lineRule="auto"/>
        <w:ind w:left="567"/>
        <w:textAlignment w:val="baseline"/>
        <w:rPr>
          <w:rFonts w:hint="eastAsia" w:ascii="宋体" w:hAnsi="宋体" w:cs="宋体"/>
          <w:bCs/>
          <w:sz w:val="24"/>
        </w:rPr>
      </w:pPr>
      <w:r>
        <w:rPr>
          <w:rFonts w:hint="eastAsia" w:ascii="宋体" w:hAnsi="宋体" w:cs="宋体"/>
          <w:bCs/>
          <w:sz w:val="24"/>
        </w:rPr>
        <w:t>1.对本合同规定的委托服务范围内的项目享有管理权及服务义务。</w:t>
      </w:r>
    </w:p>
    <w:p>
      <w:pPr>
        <w:adjustRightInd w:val="0"/>
        <w:spacing w:line="360" w:lineRule="auto"/>
        <w:ind w:left="567"/>
        <w:textAlignment w:val="baseline"/>
        <w:rPr>
          <w:rFonts w:hint="eastAsia" w:ascii="宋体" w:hAnsi="宋体" w:cs="宋体"/>
          <w:bCs/>
          <w:sz w:val="24"/>
        </w:rPr>
      </w:pPr>
      <w:r>
        <w:rPr>
          <w:rFonts w:hint="eastAsia" w:ascii="宋体" w:hAnsi="宋体" w:cs="宋体"/>
          <w:bCs/>
          <w:sz w:val="24"/>
        </w:rPr>
        <w:t>2.根据本合同的规定向甲方收取相关服务费用，并有权在本项目管理范围内管理及合理使用。</w:t>
      </w:r>
    </w:p>
    <w:p>
      <w:pPr>
        <w:adjustRightInd w:val="0"/>
        <w:spacing w:line="360" w:lineRule="auto"/>
        <w:ind w:left="567"/>
        <w:textAlignment w:val="baseline"/>
        <w:rPr>
          <w:rFonts w:hint="eastAsia" w:ascii="宋体" w:hAnsi="宋体" w:cs="宋体"/>
          <w:bCs/>
          <w:sz w:val="24"/>
        </w:rPr>
      </w:pPr>
      <w:r>
        <w:rPr>
          <w:rFonts w:hint="eastAsia" w:ascii="宋体" w:hAnsi="宋体" w:cs="宋体"/>
          <w:sz w:val="24"/>
        </w:rPr>
        <w:t>3.及时向甲方通告本项目服务范围内有关服务的重大事项，及时配合处理投诉。</w:t>
      </w:r>
    </w:p>
    <w:p>
      <w:pPr>
        <w:adjustRightInd w:val="0"/>
        <w:spacing w:afterAutospacing="0" w:line="360" w:lineRule="auto"/>
        <w:ind w:left="567"/>
        <w:textAlignment w:val="baseline"/>
        <w:rPr>
          <w:rFonts w:hint="eastAsia" w:ascii="宋体" w:hAnsi="宋体" w:cs="宋体"/>
          <w:bCs/>
          <w:sz w:val="24"/>
        </w:rPr>
      </w:pPr>
      <w:r>
        <w:rPr>
          <w:rFonts w:hint="eastAsia" w:ascii="宋体" w:hAnsi="宋体" w:cs="宋体"/>
          <w:bCs/>
          <w:sz w:val="24"/>
        </w:rPr>
        <w:t>4.接受项目行业管理部门及政府有关部门的指导，接受甲方的监督。国家法律、法规所规定由乙方承担的其它责任。</w:t>
      </w:r>
    </w:p>
    <w:p>
      <w:pPr>
        <w:numPr>
          <w:ilvl w:val="0"/>
          <w:numId w:val="7"/>
        </w:numPr>
        <w:spacing w:before="236" w:beforeLines="75" w:beforeAutospacing="0" w:line="360" w:lineRule="auto"/>
        <w:rPr>
          <w:rFonts w:hint="eastAsia" w:ascii="宋体" w:hAnsi="宋体" w:cs="宋体"/>
          <w:b/>
          <w:sz w:val="24"/>
        </w:rPr>
      </w:pPr>
      <w:r>
        <w:rPr>
          <w:rFonts w:hint="eastAsia" w:ascii="宋体" w:hAnsi="宋体" w:cs="宋体"/>
          <w:b/>
          <w:sz w:val="24"/>
        </w:rPr>
        <w:t>违约责任</w:t>
      </w:r>
    </w:p>
    <w:p>
      <w:pPr>
        <w:numPr>
          <w:ilvl w:val="0"/>
          <w:numId w:val="12"/>
        </w:numPr>
        <w:adjustRightInd w:val="0"/>
        <w:spacing w:line="360" w:lineRule="auto"/>
        <w:ind w:firstLine="567"/>
        <w:jc w:val="left"/>
        <w:textAlignment w:val="baseline"/>
        <w:rPr>
          <w:rFonts w:hint="eastAsia" w:ascii="宋体" w:hAnsi="宋体" w:cs="宋体"/>
          <w:bCs/>
          <w:sz w:val="24"/>
        </w:rPr>
      </w:pPr>
      <w:r>
        <w:rPr>
          <w:rFonts w:hint="eastAsia" w:ascii="宋体" w:hAnsi="宋体" w:cs="宋体"/>
          <w:bCs/>
          <w:sz w:val="24"/>
        </w:rPr>
        <w:t>甲乙双方必须遵守本合同并执行合同中的各项规定，保证本合同的正常履行。</w:t>
      </w:r>
    </w:p>
    <w:p>
      <w:pPr>
        <w:numPr>
          <w:ilvl w:val="0"/>
          <w:numId w:val="12"/>
        </w:numPr>
        <w:adjustRightInd w:val="0"/>
        <w:spacing w:afterAutospacing="0" w:line="360" w:lineRule="auto"/>
        <w:ind w:firstLine="567"/>
        <w:jc w:val="left"/>
        <w:textAlignment w:val="baseline"/>
        <w:rPr>
          <w:rFonts w:hint="eastAsia" w:ascii="宋体" w:hAnsi="宋体" w:cs="宋体"/>
          <w:bCs/>
          <w:sz w:val="24"/>
        </w:rPr>
      </w:pPr>
      <w:r>
        <w:rPr>
          <w:rFonts w:hint="eastAsia" w:ascii="宋体" w:hAnsi="宋体" w:cs="宋体"/>
          <w:bCs/>
          <w:sz w:val="24"/>
        </w:rPr>
        <w:t>如因乙方工作人员在履行职务过程中的的疏忽、失职、过错等故意或者过失原因给甲方造成损失或侵害，包括但不限于甲方本身的财产损失、由此而导致的甲方对任何第三方的法律责任等，乙方对此均应承担全部的赔偿责任。</w:t>
      </w:r>
    </w:p>
    <w:p>
      <w:pPr>
        <w:numPr>
          <w:ilvl w:val="0"/>
          <w:numId w:val="7"/>
        </w:numPr>
        <w:spacing w:before="269" w:beforeLines="86" w:beforeAutospacing="0" w:line="360" w:lineRule="auto"/>
        <w:rPr>
          <w:rFonts w:hint="eastAsia" w:ascii="宋体" w:hAnsi="宋体" w:cs="宋体"/>
          <w:b/>
          <w:sz w:val="24"/>
        </w:rPr>
      </w:pPr>
      <w:r>
        <w:rPr>
          <w:rFonts w:hint="eastAsia" w:ascii="宋体" w:hAnsi="宋体" w:cs="宋体"/>
          <w:b/>
          <w:sz w:val="24"/>
        </w:rPr>
        <w:t>不可抗力事件处理</w:t>
      </w:r>
    </w:p>
    <w:p>
      <w:pPr>
        <w:numPr>
          <w:ilvl w:val="0"/>
          <w:numId w:val="13"/>
        </w:numPr>
        <w:tabs>
          <w:tab w:val="left" w:pos="0"/>
        </w:tabs>
        <w:spacing w:line="360" w:lineRule="auto"/>
        <w:ind w:left="0" w:firstLine="567"/>
        <w:rPr>
          <w:rFonts w:hint="eastAsia" w:ascii="宋体" w:hAnsi="宋体" w:cs="宋体"/>
          <w:sz w:val="24"/>
        </w:rPr>
      </w:pPr>
      <w:r>
        <w:rPr>
          <w:rFonts w:hint="eastAsia" w:ascii="宋体" w:hAnsi="宋体" w:cs="宋体"/>
          <w:sz w:val="24"/>
        </w:rPr>
        <w:t>在合同有效期内，任何一方因不可抗力事件导致不能履行合同，则合同履行期可延长，其延长期与不可抗力影响期相同。</w:t>
      </w:r>
    </w:p>
    <w:p>
      <w:pPr>
        <w:numPr>
          <w:ilvl w:val="0"/>
          <w:numId w:val="13"/>
        </w:numPr>
        <w:tabs>
          <w:tab w:val="left" w:pos="0"/>
        </w:tabs>
        <w:spacing w:line="360" w:lineRule="auto"/>
        <w:ind w:left="0" w:firstLine="567"/>
        <w:rPr>
          <w:rFonts w:hint="eastAsia" w:ascii="宋体" w:hAnsi="宋体" w:cs="宋体"/>
          <w:sz w:val="24"/>
        </w:rPr>
      </w:pPr>
      <w:r>
        <w:rPr>
          <w:rFonts w:hint="eastAsia" w:ascii="宋体" w:hAnsi="宋体" w:cs="宋体"/>
          <w:sz w:val="24"/>
        </w:rPr>
        <w:t>不可抗力事件发生后，应立即通知对方，并寄送有关权威机构出具的证明。</w:t>
      </w:r>
    </w:p>
    <w:p>
      <w:pPr>
        <w:numPr>
          <w:ilvl w:val="0"/>
          <w:numId w:val="13"/>
        </w:numPr>
        <w:tabs>
          <w:tab w:val="left" w:pos="0"/>
        </w:tabs>
        <w:spacing w:afterAutospacing="0" w:line="360" w:lineRule="auto"/>
        <w:ind w:left="0" w:firstLine="567"/>
        <w:rPr>
          <w:rFonts w:hint="eastAsia" w:ascii="宋体" w:hAnsi="宋体" w:cs="宋体"/>
          <w:sz w:val="24"/>
        </w:rPr>
      </w:pPr>
      <w:r>
        <w:rPr>
          <w:rFonts w:hint="eastAsia" w:ascii="宋体" w:hAnsi="宋体" w:cs="宋体"/>
          <w:sz w:val="24"/>
        </w:rPr>
        <w:t>不可抗力事件延续120天以上，双方应通过友好协商，确定是否继续履行合同。</w:t>
      </w:r>
    </w:p>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Pr>
        <w:numPr>
          <w:ilvl w:val="0"/>
          <w:numId w:val="7"/>
        </w:numPr>
        <w:spacing w:before="237" w:beforeLines="75" w:beforeAutospacing="0" w:line="360" w:lineRule="auto"/>
        <w:rPr>
          <w:rFonts w:hint="eastAsia" w:ascii="宋体" w:hAnsi="宋体" w:cs="宋体"/>
          <w:b/>
          <w:sz w:val="24"/>
        </w:rPr>
      </w:pPr>
      <w:bookmarkStart w:id="127" w:name="_Toc232492933"/>
      <w:bookmarkStart w:id="128" w:name="_Toc247334846"/>
      <w:bookmarkStart w:id="129" w:name="_Toc225670756"/>
      <w:bookmarkStart w:id="130" w:name="_Toc239568423"/>
      <w:bookmarkStart w:id="131" w:name="_Toc238984980"/>
      <w:bookmarkStart w:id="132" w:name="_Toc211854454"/>
      <w:bookmarkStart w:id="133" w:name="_Toc211911353"/>
      <w:bookmarkStart w:id="134" w:name="_Toc225244857"/>
      <w:bookmarkStart w:id="135" w:name="_Toc237145411"/>
      <w:bookmarkStart w:id="136" w:name="_Toc241833908"/>
      <w:bookmarkStart w:id="137" w:name="_Toc225654649"/>
      <w:bookmarkStart w:id="138" w:name="_Toc239233919"/>
      <w:bookmarkStart w:id="139" w:name="_Toc251768867"/>
      <w:bookmarkStart w:id="140" w:name="_Toc212019599"/>
      <w:bookmarkStart w:id="141" w:name="_Toc286993792"/>
      <w:bookmarkStart w:id="142" w:name="_Toc185395254"/>
      <w:r>
        <w:rPr>
          <w:rFonts w:hint="eastAsia" w:ascii="宋体" w:hAnsi="宋体" w:cs="宋体"/>
          <w:b/>
          <w:sz w:val="24"/>
        </w:rPr>
        <w:t>解决合同纠纷的方式</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pPr>
        <w:numPr>
          <w:ilvl w:val="0"/>
          <w:numId w:val="5"/>
        </w:numPr>
        <w:tabs>
          <w:tab w:val="left" w:pos="0"/>
        </w:tabs>
        <w:spacing w:line="360" w:lineRule="auto"/>
        <w:ind w:left="0" w:firstLine="560"/>
        <w:rPr>
          <w:rFonts w:hint="eastAsia" w:ascii="宋体" w:hAnsi="宋体" w:cs="宋体"/>
          <w:sz w:val="24"/>
        </w:rPr>
      </w:pPr>
      <w:r>
        <w:rPr>
          <w:rFonts w:hint="eastAsia" w:ascii="宋体" w:hAnsi="宋体" w:cs="宋体"/>
          <w:sz w:val="24"/>
        </w:rPr>
        <w:t>在执行本合同中发生的或与本合同有关的争端，双方应通过友好协商解决，经协商在60天内不能达成协议时，应提交成都仲裁委员会仲裁。</w:t>
      </w:r>
    </w:p>
    <w:p>
      <w:pPr>
        <w:numPr>
          <w:ilvl w:val="0"/>
          <w:numId w:val="5"/>
        </w:numPr>
        <w:tabs>
          <w:tab w:val="left" w:pos="0"/>
        </w:tabs>
        <w:spacing w:line="360" w:lineRule="auto"/>
        <w:ind w:left="0" w:firstLine="560"/>
        <w:rPr>
          <w:rFonts w:hint="eastAsia" w:ascii="宋体" w:hAnsi="宋体" w:cs="宋体"/>
          <w:sz w:val="24"/>
        </w:rPr>
      </w:pPr>
      <w:r>
        <w:rPr>
          <w:rFonts w:hint="eastAsia" w:ascii="宋体" w:hAnsi="宋体" w:cs="宋体"/>
          <w:sz w:val="24"/>
        </w:rPr>
        <w:t>仲裁裁决应为最终决定，并对双方具有约束力。</w:t>
      </w:r>
    </w:p>
    <w:p>
      <w:pPr>
        <w:numPr>
          <w:ilvl w:val="0"/>
          <w:numId w:val="5"/>
        </w:numPr>
        <w:tabs>
          <w:tab w:val="left" w:pos="0"/>
        </w:tabs>
        <w:spacing w:line="360" w:lineRule="auto"/>
        <w:ind w:left="0" w:firstLine="560"/>
        <w:rPr>
          <w:rFonts w:hint="eastAsia" w:ascii="宋体" w:hAnsi="宋体" w:cs="宋体"/>
          <w:sz w:val="24"/>
        </w:rPr>
      </w:pPr>
      <w:r>
        <w:rPr>
          <w:rFonts w:hint="eastAsia" w:ascii="宋体" w:hAnsi="宋体" w:cs="宋体"/>
          <w:sz w:val="24"/>
        </w:rPr>
        <w:t xml:space="preserve">除另有裁决外，仲裁费应由败诉方负担。 </w:t>
      </w:r>
    </w:p>
    <w:p>
      <w:pPr>
        <w:numPr>
          <w:ilvl w:val="0"/>
          <w:numId w:val="5"/>
        </w:numPr>
        <w:tabs>
          <w:tab w:val="left" w:pos="0"/>
        </w:tabs>
        <w:spacing w:afterAutospacing="0" w:line="360" w:lineRule="auto"/>
        <w:ind w:left="0" w:firstLine="560"/>
        <w:rPr>
          <w:rFonts w:hint="eastAsia" w:ascii="宋体" w:hAnsi="宋体" w:cs="宋体"/>
          <w:sz w:val="24"/>
        </w:rPr>
      </w:pPr>
      <w:r>
        <w:rPr>
          <w:rFonts w:hint="eastAsia" w:ascii="宋体" w:hAnsi="宋体" w:cs="宋体"/>
          <w:sz w:val="24"/>
        </w:rPr>
        <w:t xml:space="preserve">在仲裁期间，除正在进行仲裁部分外，合同其他部分继续执行。  </w:t>
      </w:r>
    </w:p>
    <w:p>
      <w:pPr>
        <w:numPr>
          <w:ilvl w:val="0"/>
          <w:numId w:val="7"/>
        </w:numPr>
        <w:spacing w:before="232" w:beforeLines="74" w:beforeAutospacing="0" w:line="360" w:lineRule="auto"/>
        <w:rPr>
          <w:rFonts w:hint="eastAsia" w:ascii="宋体" w:hAnsi="宋体" w:cs="宋体"/>
          <w:b/>
          <w:sz w:val="24"/>
        </w:rPr>
      </w:pPr>
      <w:bookmarkStart w:id="143" w:name="_Toc247334847"/>
      <w:bookmarkStart w:id="144" w:name="_Toc251768868"/>
      <w:bookmarkStart w:id="145" w:name="_Toc212019600"/>
      <w:bookmarkStart w:id="146" w:name="_Toc225654650"/>
      <w:bookmarkStart w:id="147" w:name="_Toc241833909"/>
      <w:bookmarkStart w:id="148" w:name="_Toc185395255"/>
      <w:bookmarkStart w:id="149" w:name="_Toc239568424"/>
      <w:bookmarkStart w:id="150" w:name="_Toc211911354"/>
      <w:bookmarkStart w:id="151" w:name="_Toc225670757"/>
      <w:bookmarkStart w:id="152" w:name="_Toc211854455"/>
      <w:bookmarkStart w:id="153" w:name="_Toc232492934"/>
      <w:bookmarkStart w:id="154" w:name="_Toc283019219"/>
      <w:bookmarkStart w:id="155" w:name="_Toc225244858"/>
      <w:bookmarkStart w:id="156" w:name="_Toc237145412"/>
      <w:bookmarkStart w:id="157" w:name="_Toc286993793"/>
      <w:bookmarkStart w:id="158" w:name="_Toc238984981"/>
      <w:bookmarkStart w:id="159" w:name="_Toc239233920"/>
      <w:bookmarkStart w:id="160" w:name="_Toc282696231"/>
      <w:r>
        <w:rPr>
          <w:rFonts w:hint="eastAsia" w:ascii="宋体" w:hAnsi="宋体" w:cs="宋体"/>
          <w:b/>
          <w:sz w:val="24"/>
        </w:rPr>
        <w:t>合同</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r>
        <w:rPr>
          <w:rFonts w:hint="eastAsia" w:ascii="宋体" w:hAnsi="宋体" w:cs="宋体"/>
          <w:b/>
          <w:sz w:val="24"/>
        </w:rPr>
        <w:t>生效</w:t>
      </w:r>
    </w:p>
    <w:p>
      <w:pPr>
        <w:pStyle w:val="56"/>
        <w:numPr>
          <w:ilvl w:val="0"/>
          <w:numId w:val="14"/>
        </w:numPr>
        <w:spacing w:line="360" w:lineRule="auto"/>
        <w:ind w:left="0" w:firstLine="630" w:firstLineChars="0"/>
        <w:rPr>
          <w:rFonts w:hint="eastAsia" w:ascii="宋体" w:hAnsi="宋体" w:cs="宋体"/>
          <w:sz w:val="24"/>
          <w:szCs w:val="24"/>
        </w:rPr>
      </w:pPr>
      <w:r>
        <w:rPr>
          <w:rFonts w:hint="eastAsia" w:ascii="宋体" w:hAnsi="宋体" w:cs="宋体"/>
          <w:sz w:val="24"/>
          <w:szCs w:val="24"/>
        </w:rPr>
        <w:t>合同经双方法定代表人/单位负责人或授权委托代理人签字并加盖单位公章后生效。</w:t>
      </w:r>
    </w:p>
    <w:p>
      <w:pPr>
        <w:pStyle w:val="56"/>
        <w:numPr>
          <w:ilvl w:val="0"/>
          <w:numId w:val="14"/>
        </w:numPr>
        <w:spacing w:afterAutospacing="0" w:line="360" w:lineRule="auto"/>
        <w:ind w:left="0" w:firstLine="630" w:firstLineChars="0"/>
        <w:rPr>
          <w:rFonts w:hint="eastAsia" w:ascii="宋体" w:hAnsi="宋体" w:cs="宋体"/>
          <w:sz w:val="24"/>
          <w:szCs w:val="24"/>
        </w:rPr>
      </w:pPr>
      <w:r>
        <w:rPr>
          <w:rFonts w:hint="eastAsia" w:ascii="宋体" w:hAnsi="宋体" w:cs="宋体"/>
          <w:sz w:val="24"/>
          <w:szCs w:val="24"/>
        </w:rPr>
        <w:t>合同执行中涉及采购资金和采购内容修改或补充的，须经政府采购监管部门审批，并签书面补充协议报政府采购监督管理部门备案，方可作为主合同不可分割的一部分。</w:t>
      </w:r>
    </w:p>
    <w:p>
      <w:pPr>
        <w:numPr>
          <w:ilvl w:val="0"/>
          <w:numId w:val="7"/>
        </w:numPr>
        <w:spacing w:before="270" w:beforeLines="86" w:beforeAutospacing="0" w:line="360" w:lineRule="auto"/>
        <w:rPr>
          <w:rFonts w:hint="eastAsia" w:ascii="宋体" w:hAnsi="宋体" w:cs="宋体"/>
          <w:b/>
          <w:sz w:val="24"/>
        </w:rPr>
      </w:pPr>
      <w:r>
        <w:rPr>
          <w:rFonts w:hint="eastAsia" w:ascii="宋体" w:hAnsi="宋体" w:cs="宋体"/>
          <w:b/>
          <w:sz w:val="24"/>
        </w:rPr>
        <w:t>附件</w:t>
      </w:r>
    </w:p>
    <w:p>
      <w:pPr>
        <w:pStyle w:val="56"/>
        <w:numPr>
          <w:ilvl w:val="0"/>
          <w:numId w:val="15"/>
        </w:numPr>
        <w:spacing w:line="360" w:lineRule="auto"/>
        <w:ind w:firstLineChars="0"/>
        <w:rPr>
          <w:rFonts w:hint="eastAsia" w:ascii="宋体" w:hAnsi="宋体" w:cs="宋体"/>
          <w:sz w:val="24"/>
          <w:szCs w:val="24"/>
        </w:rPr>
      </w:pPr>
      <w:r>
        <w:rPr>
          <w:rFonts w:hint="eastAsia" w:ascii="宋体" w:hAnsi="宋体" w:cs="宋体"/>
          <w:sz w:val="24"/>
          <w:szCs w:val="24"/>
        </w:rPr>
        <w:t>项目比选文件</w:t>
      </w:r>
    </w:p>
    <w:p>
      <w:pPr>
        <w:pStyle w:val="56"/>
        <w:numPr>
          <w:ilvl w:val="0"/>
          <w:numId w:val="15"/>
        </w:numPr>
        <w:spacing w:line="360" w:lineRule="auto"/>
        <w:ind w:firstLineChars="0"/>
        <w:rPr>
          <w:rFonts w:hint="eastAsia" w:ascii="宋体" w:hAnsi="宋体" w:cs="宋体"/>
          <w:sz w:val="24"/>
          <w:szCs w:val="24"/>
        </w:rPr>
      </w:pPr>
      <w:r>
        <w:rPr>
          <w:rFonts w:hint="eastAsia" w:ascii="宋体" w:hAnsi="宋体" w:cs="宋体"/>
          <w:sz w:val="24"/>
          <w:szCs w:val="24"/>
        </w:rPr>
        <w:t>项目修改澄清文件</w:t>
      </w:r>
    </w:p>
    <w:p>
      <w:pPr>
        <w:pStyle w:val="56"/>
        <w:numPr>
          <w:ilvl w:val="0"/>
          <w:numId w:val="15"/>
        </w:numPr>
        <w:spacing w:line="360" w:lineRule="auto"/>
        <w:ind w:firstLineChars="0"/>
        <w:rPr>
          <w:rFonts w:hint="eastAsia" w:ascii="宋体" w:hAnsi="宋体" w:cs="宋体"/>
          <w:sz w:val="24"/>
          <w:szCs w:val="24"/>
        </w:rPr>
      </w:pPr>
      <w:r>
        <w:rPr>
          <w:rFonts w:hint="eastAsia" w:ascii="宋体" w:hAnsi="宋体" w:cs="宋体"/>
          <w:sz w:val="24"/>
          <w:szCs w:val="24"/>
        </w:rPr>
        <w:t>项目响应文件</w:t>
      </w:r>
    </w:p>
    <w:p>
      <w:pPr>
        <w:pStyle w:val="56"/>
        <w:numPr>
          <w:ilvl w:val="0"/>
          <w:numId w:val="15"/>
        </w:numPr>
        <w:spacing w:line="360" w:lineRule="auto"/>
        <w:ind w:firstLineChars="0"/>
        <w:rPr>
          <w:rFonts w:hint="eastAsia" w:ascii="宋体" w:hAnsi="宋体" w:cs="宋体"/>
          <w:sz w:val="24"/>
          <w:szCs w:val="24"/>
        </w:rPr>
      </w:pPr>
      <w:r>
        <w:rPr>
          <w:rFonts w:hint="eastAsia" w:ascii="宋体" w:hAnsi="宋体" w:cs="宋体"/>
          <w:sz w:val="24"/>
          <w:szCs w:val="24"/>
          <w:lang w:eastAsia="zh-CN"/>
        </w:rPr>
        <w:t>成交通知书</w:t>
      </w:r>
    </w:p>
    <w:p>
      <w:pPr>
        <w:pStyle w:val="56"/>
        <w:numPr>
          <w:ilvl w:val="0"/>
          <w:numId w:val="15"/>
        </w:numPr>
        <w:spacing w:afterAutospacing="0" w:line="360" w:lineRule="auto"/>
        <w:ind w:firstLineChars="0"/>
        <w:rPr>
          <w:rFonts w:hint="eastAsia" w:ascii="宋体" w:hAnsi="宋体" w:cs="宋体"/>
          <w:sz w:val="24"/>
          <w:szCs w:val="24"/>
        </w:rPr>
      </w:pPr>
      <w:r>
        <w:rPr>
          <w:rFonts w:hint="eastAsia" w:ascii="宋体" w:hAnsi="宋体" w:cs="宋体"/>
          <w:sz w:val="24"/>
          <w:szCs w:val="24"/>
        </w:rPr>
        <w:t>其他</w:t>
      </w:r>
    </w:p>
    <w:bookmarkEnd w:id="108"/>
    <w:p>
      <w:pPr>
        <w:numPr>
          <w:ilvl w:val="0"/>
          <w:numId w:val="7"/>
        </w:numPr>
        <w:spacing w:before="237" w:beforeLines="75" w:beforeAutospacing="0" w:line="360" w:lineRule="auto"/>
        <w:rPr>
          <w:rFonts w:hint="eastAsia" w:ascii="宋体" w:hAnsi="宋体" w:cs="宋体"/>
          <w:b/>
          <w:sz w:val="24"/>
        </w:rPr>
      </w:pPr>
      <w:r>
        <w:rPr>
          <w:rFonts w:hint="eastAsia" w:ascii="宋体" w:hAnsi="宋体" w:cs="宋体"/>
          <w:b/>
          <w:sz w:val="24"/>
        </w:rPr>
        <w:t>其他</w:t>
      </w:r>
    </w:p>
    <w:p>
      <w:pPr>
        <w:pStyle w:val="55"/>
        <w:ind w:firstLine="480"/>
        <w:rPr>
          <w:rFonts w:hint="eastAsia" w:hAnsi="宋体"/>
          <w:szCs w:val="24"/>
        </w:rPr>
      </w:pPr>
      <w:r>
        <w:rPr>
          <w:rFonts w:hint="eastAsia" w:hAnsi="宋体"/>
          <w:szCs w:val="24"/>
        </w:rPr>
        <w:t>1、如有未尽事宜，由双方依法订立补充合同。</w:t>
      </w:r>
    </w:p>
    <w:p>
      <w:pPr>
        <w:pStyle w:val="55"/>
        <w:ind w:firstLine="480"/>
        <w:rPr>
          <w:rFonts w:hint="eastAsia" w:hAnsi="宋体"/>
          <w:szCs w:val="24"/>
        </w:rPr>
      </w:pPr>
      <w:r>
        <w:rPr>
          <w:rFonts w:hint="eastAsia" w:hAnsi="宋体"/>
          <w:szCs w:val="24"/>
        </w:rPr>
        <w:t>2、本合同一式六份，自双方签章之日起生效。甲方三份，乙方二份、采购代理机构各一份。</w:t>
      </w:r>
    </w:p>
    <w:p>
      <w:pPr>
        <w:spacing w:line="400" w:lineRule="exact"/>
        <w:rPr>
          <w:rFonts w:hint="eastAsia" w:ascii="宋体" w:hAnsi="宋体" w:cs="宋体"/>
          <w:sz w:val="24"/>
        </w:rPr>
      </w:pPr>
    </w:p>
    <w:p>
      <w:pPr>
        <w:pStyle w:val="2"/>
        <w:rPr>
          <w:rFonts w:hint="eastAsia"/>
        </w:rPr>
      </w:pPr>
    </w:p>
    <w:p>
      <w:pPr>
        <w:spacing w:line="400" w:lineRule="exact"/>
        <w:ind w:firstLine="480" w:firstLineChars="200"/>
        <w:rPr>
          <w:rFonts w:hint="eastAsia" w:ascii="宋体" w:hAnsi="宋体" w:cs="宋体"/>
          <w:sz w:val="24"/>
        </w:rPr>
      </w:pPr>
      <w:r>
        <w:rPr>
          <w:rFonts w:hint="eastAsia" w:ascii="宋体" w:hAnsi="宋体" w:cs="宋体"/>
          <w:sz w:val="24"/>
        </w:rPr>
        <w:t xml:space="preserve">甲方：成都市妇女儿童中心医院        </w:t>
      </w:r>
      <w:r>
        <w:rPr>
          <w:rFonts w:hint="eastAsia" w:ascii="宋体" w:hAnsi="宋体" w:cs="宋体"/>
          <w:sz w:val="24"/>
          <w:lang w:val="en-US" w:eastAsia="zh-CN"/>
        </w:rPr>
        <w:t xml:space="preserve">    </w:t>
      </w:r>
      <w:r>
        <w:rPr>
          <w:rFonts w:hint="eastAsia" w:ascii="宋体" w:hAnsi="宋体" w:cs="宋体"/>
          <w:sz w:val="24"/>
        </w:rPr>
        <w:t xml:space="preserve">乙方：   </w:t>
      </w:r>
    </w:p>
    <w:p>
      <w:pPr>
        <w:spacing w:line="400" w:lineRule="exact"/>
        <w:ind w:firstLine="480" w:firstLineChars="200"/>
        <w:rPr>
          <w:rFonts w:hint="eastAsia" w:ascii="宋体" w:hAnsi="宋体" w:cs="宋体"/>
          <w:sz w:val="24"/>
        </w:rPr>
      </w:pPr>
      <w:r>
        <w:rPr>
          <w:rFonts w:hint="eastAsia" w:ascii="宋体" w:hAnsi="宋体" w:cs="宋体"/>
          <w:sz w:val="24"/>
        </w:rPr>
        <w:t xml:space="preserve">            （盖章）                                （盖章）</w:t>
      </w:r>
    </w:p>
    <w:p>
      <w:pPr>
        <w:spacing w:line="400" w:lineRule="exact"/>
        <w:ind w:firstLine="480" w:firstLineChars="200"/>
        <w:rPr>
          <w:rFonts w:hint="eastAsia" w:ascii="宋体" w:hAnsi="宋体" w:cs="宋体"/>
          <w:sz w:val="24"/>
        </w:rPr>
      </w:pPr>
    </w:p>
    <w:p>
      <w:pPr>
        <w:spacing w:line="400" w:lineRule="exact"/>
        <w:ind w:firstLine="480" w:firstLineChars="200"/>
        <w:rPr>
          <w:rFonts w:hint="eastAsia" w:ascii="宋体" w:hAnsi="宋体" w:cs="宋体"/>
          <w:sz w:val="24"/>
        </w:rPr>
      </w:pPr>
      <w:r>
        <w:rPr>
          <w:rFonts w:hint="eastAsia" w:ascii="宋体" w:hAnsi="宋体" w:cs="宋体"/>
          <w:sz w:val="24"/>
        </w:rPr>
        <w:t xml:space="preserve">授权代表：                        </w:t>
      </w:r>
      <w:r>
        <w:rPr>
          <w:rFonts w:hint="eastAsia" w:ascii="宋体" w:hAnsi="宋体" w:cs="宋体"/>
          <w:sz w:val="24"/>
          <w:lang w:val="en-US" w:eastAsia="zh-CN"/>
        </w:rPr>
        <w:t xml:space="preserve">    </w:t>
      </w:r>
      <w:r>
        <w:rPr>
          <w:rFonts w:hint="eastAsia" w:ascii="宋体" w:hAnsi="宋体" w:cs="宋体"/>
          <w:sz w:val="24"/>
        </w:rPr>
        <w:t xml:space="preserve">  </w:t>
      </w:r>
      <w:r>
        <w:rPr>
          <w:rFonts w:hint="eastAsia" w:ascii="宋体" w:hAnsi="宋体" w:cs="宋体"/>
          <w:sz w:val="24"/>
          <w:lang w:val="en-US" w:eastAsia="zh-CN"/>
        </w:rPr>
        <w:t xml:space="preserve"> </w:t>
      </w:r>
      <w:r>
        <w:rPr>
          <w:rFonts w:hint="eastAsia" w:ascii="宋体" w:hAnsi="宋体" w:cs="宋体"/>
          <w:sz w:val="24"/>
        </w:rPr>
        <w:t>授权代表：</w:t>
      </w:r>
    </w:p>
    <w:p>
      <w:pPr>
        <w:spacing w:line="400" w:lineRule="exact"/>
        <w:ind w:firstLine="480" w:firstLineChars="200"/>
        <w:rPr>
          <w:rFonts w:hint="eastAsia" w:ascii="宋体" w:hAnsi="宋体" w:cs="宋体"/>
          <w:sz w:val="24"/>
        </w:rPr>
      </w:pPr>
      <w:r>
        <w:rPr>
          <w:rFonts w:hint="eastAsia" w:ascii="宋体" w:hAnsi="宋体" w:cs="宋体"/>
          <w:sz w:val="24"/>
        </w:rPr>
        <w:t>开户银行：中信银行东城根街支行</w:t>
      </w:r>
    </w:p>
    <w:p>
      <w:pPr>
        <w:spacing w:line="400" w:lineRule="exact"/>
        <w:ind w:firstLine="480" w:firstLineChars="200"/>
        <w:rPr>
          <w:rFonts w:hint="eastAsia" w:ascii="宋体" w:hAnsi="宋体" w:cs="宋体"/>
          <w:sz w:val="24"/>
        </w:rPr>
      </w:pPr>
      <w:r>
        <w:rPr>
          <w:rFonts w:hint="eastAsia" w:ascii="宋体" w:hAnsi="宋体" w:cs="宋体"/>
          <w:sz w:val="24"/>
        </w:rPr>
        <w:t>账号：7411510183100000168</w:t>
      </w:r>
    </w:p>
    <w:p>
      <w:pPr>
        <w:spacing w:line="400" w:lineRule="exact"/>
        <w:ind w:firstLine="480" w:firstLineChars="200"/>
        <w:rPr>
          <w:rFonts w:hint="eastAsia" w:ascii="宋体" w:hAnsi="宋体" w:cs="宋体"/>
          <w:sz w:val="24"/>
        </w:rPr>
      </w:pPr>
      <w:r>
        <w:rPr>
          <w:rFonts w:hint="eastAsia" w:ascii="宋体" w:hAnsi="宋体" w:cs="宋体"/>
          <w:sz w:val="24"/>
        </w:rPr>
        <w:t xml:space="preserve">纳税人识别号：125101005800279116  </w:t>
      </w:r>
      <w:r>
        <w:rPr>
          <w:rFonts w:hint="eastAsia" w:ascii="宋体" w:hAnsi="宋体" w:cs="宋体"/>
          <w:sz w:val="24"/>
          <w:lang w:val="en-US" w:eastAsia="zh-CN"/>
        </w:rPr>
        <w:t xml:space="preserve">    </w:t>
      </w:r>
      <w:r>
        <w:rPr>
          <w:rFonts w:hint="eastAsia" w:ascii="宋体" w:hAnsi="宋体" w:cs="宋体"/>
          <w:sz w:val="24"/>
        </w:rPr>
        <w:t xml:space="preserve"> </w:t>
      </w:r>
      <w:r>
        <w:rPr>
          <w:rFonts w:hint="eastAsia" w:ascii="宋体" w:hAnsi="宋体" w:cs="宋体"/>
          <w:sz w:val="24"/>
          <w:lang w:val="en-US" w:eastAsia="zh-CN"/>
        </w:rPr>
        <w:t xml:space="preserve"> </w:t>
      </w:r>
      <w:r>
        <w:rPr>
          <w:rFonts w:hint="eastAsia" w:ascii="宋体" w:hAnsi="宋体" w:cs="宋体"/>
          <w:sz w:val="24"/>
        </w:rPr>
        <w:t xml:space="preserve"> 纳税人识别号：            </w:t>
      </w:r>
    </w:p>
    <w:p>
      <w:pPr>
        <w:spacing w:line="400" w:lineRule="exact"/>
        <w:ind w:firstLine="480" w:firstLineChars="200"/>
        <w:rPr>
          <w:rFonts w:hint="eastAsia" w:ascii="宋体" w:hAnsi="宋体" w:cs="宋体"/>
          <w:sz w:val="24"/>
        </w:rPr>
      </w:pPr>
      <w:r>
        <w:rPr>
          <w:rFonts w:hint="eastAsia" w:ascii="宋体" w:hAnsi="宋体" w:cs="宋体"/>
          <w:sz w:val="24"/>
        </w:rPr>
        <w:t>电话：</w:t>
      </w:r>
      <w:r>
        <w:rPr>
          <w:rFonts w:hint="eastAsia" w:ascii="宋体" w:hAnsi="宋体" w:cs="宋体"/>
          <w:color w:val="auto"/>
          <w:sz w:val="24"/>
          <w:szCs w:val="24"/>
          <w:highlight w:val="none"/>
          <w:lang w:eastAsia="zh-CN"/>
        </w:rPr>
        <w:t>028－61866000-6703</w:t>
      </w:r>
      <w:r>
        <w:rPr>
          <w:rFonts w:hint="eastAsia" w:ascii="宋体" w:hAnsi="宋体" w:cs="宋体"/>
          <w:sz w:val="24"/>
        </w:rPr>
        <w:t xml:space="preserve">               </w:t>
      </w:r>
      <w:r>
        <w:rPr>
          <w:rFonts w:hint="eastAsia" w:ascii="宋体" w:hAnsi="宋体" w:cs="宋体"/>
          <w:sz w:val="24"/>
          <w:lang w:val="en-US" w:eastAsia="zh-CN"/>
        </w:rPr>
        <w:t xml:space="preserve">  </w:t>
      </w:r>
      <w:r>
        <w:rPr>
          <w:rFonts w:hint="eastAsia" w:ascii="宋体" w:hAnsi="宋体" w:cs="宋体"/>
          <w:sz w:val="24"/>
        </w:rPr>
        <w:t xml:space="preserve">电话： </w:t>
      </w:r>
    </w:p>
    <w:p>
      <w:pPr>
        <w:spacing w:line="400" w:lineRule="exact"/>
        <w:ind w:firstLine="480" w:firstLineChars="200"/>
        <w:rPr>
          <w:rFonts w:hint="eastAsia" w:ascii="宋体" w:hAnsi="宋体" w:cs="宋体"/>
          <w:sz w:val="24"/>
        </w:rPr>
      </w:pPr>
      <w:r>
        <w:rPr>
          <w:rFonts w:hint="eastAsia" w:ascii="宋体" w:hAnsi="宋体" w:cs="宋体"/>
          <w:sz w:val="24"/>
        </w:rPr>
        <w:t xml:space="preserve">签约日期：    年  月   日 </w:t>
      </w:r>
      <w:r>
        <w:rPr>
          <w:rFonts w:hint="eastAsia" w:ascii="宋体" w:hAnsi="宋体" w:cs="宋体"/>
          <w:sz w:val="24"/>
        </w:rPr>
        <w:tab/>
      </w:r>
      <w:r>
        <w:rPr>
          <w:rFonts w:hint="eastAsia" w:ascii="宋体" w:hAnsi="宋体" w:cs="宋体"/>
          <w:sz w:val="24"/>
        </w:rPr>
        <w:tab/>
      </w:r>
      <w:r>
        <w:rPr>
          <w:rFonts w:hint="eastAsia" w:ascii="宋体" w:hAnsi="宋体" w:cs="宋体"/>
          <w:sz w:val="24"/>
        </w:rPr>
        <w:tab/>
      </w:r>
      <w:r>
        <w:rPr>
          <w:rFonts w:hint="eastAsia" w:ascii="宋体" w:hAnsi="宋体" w:cs="宋体"/>
          <w:sz w:val="24"/>
          <w:lang w:val="en-US" w:eastAsia="zh-CN"/>
        </w:rPr>
        <w:t xml:space="preserve">      </w:t>
      </w:r>
      <w:r>
        <w:rPr>
          <w:rFonts w:hint="eastAsia" w:ascii="宋体" w:hAnsi="宋体" w:cs="宋体"/>
          <w:sz w:val="24"/>
        </w:rPr>
        <w:t xml:space="preserve"> 签约日期：    年  月   日</w:t>
      </w:r>
    </w:p>
    <w:p>
      <w:pPr>
        <w:spacing w:line="400" w:lineRule="exact"/>
        <w:ind w:firstLine="480" w:firstLineChars="200"/>
        <w:rPr>
          <w:rFonts w:hint="eastAsia" w:ascii="宋体" w:hAnsi="宋体" w:cs="宋体"/>
          <w:sz w:val="24"/>
        </w:rPr>
      </w:pPr>
    </w:p>
    <w:p>
      <w:pPr>
        <w:spacing w:line="400" w:lineRule="exact"/>
        <w:ind w:firstLine="480" w:firstLineChars="200"/>
        <w:rPr>
          <w:rFonts w:hint="eastAsia" w:ascii="宋体" w:hAnsi="宋体" w:cs="宋体"/>
          <w:sz w:val="24"/>
        </w:rPr>
      </w:pPr>
    </w:p>
    <w:p>
      <w:pPr>
        <w:spacing w:line="240" w:lineRule="auto"/>
        <w:rPr>
          <w:rFonts w:hint="eastAsia" w:ascii="宋体" w:hAnsi="宋体" w:eastAsia="宋体" w:cs="宋体"/>
          <w:b/>
          <w:sz w:val="24"/>
          <w:szCs w:val="24"/>
        </w:rPr>
      </w:pPr>
    </w:p>
    <w:p>
      <w:pP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drawing>
          <wp:inline distT="0" distB="0" distL="114300" distR="114300">
            <wp:extent cx="5270500" cy="7487285"/>
            <wp:effectExtent l="0" t="0" r="6350" b="18415"/>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pic:cNvPicPr>
                  </pic:nvPicPr>
                  <pic:blipFill>
                    <a:blip r:embed="rId20"/>
                    <a:stretch>
                      <a:fillRect/>
                    </a:stretch>
                  </pic:blipFill>
                  <pic:spPr>
                    <a:xfrm>
                      <a:off x="0" y="0"/>
                      <a:ext cx="5270500" cy="7487285"/>
                    </a:xfrm>
                    <a:prstGeom prst="rect">
                      <a:avLst/>
                    </a:prstGeom>
                    <a:noFill/>
                    <a:ln>
                      <a:noFill/>
                    </a:ln>
                  </pic:spPr>
                </pic:pic>
              </a:graphicData>
            </a:graphic>
          </wp:inline>
        </w:drawing>
      </w:r>
    </w:p>
    <w:p>
      <w:pP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drawing>
          <wp:inline distT="0" distB="0" distL="114300" distR="114300">
            <wp:extent cx="5796915" cy="8134985"/>
            <wp:effectExtent l="0" t="0" r="13335" b="18415"/>
            <wp:docPr id="13" name="图片 2"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C:\Users\Administrator\AppData\Roaming\DingTalk\18198513_v2\ImageFiles\8a\lALPDgQ9qzkdtwTNA4XNAoI_642_901.png"/>
                    <pic:cNvPicPr>
                      <a:picLocks noChangeAspect="1"/>
                    </pic:cNvPicPr>
                  </pic:nvPicPr>
                  <pic:blipFill>
                    <a:blip r:embed="rId21"/>
                    <a:stretch>
                      <a:fillRect/>
                    </a:stretch>
                  </pic:blipFill>
                  <pic:spPr>
                    <a:xfrm>
                      <a:off x="0" y="0"/>
                      <a:ext cx="5796915" cy="8134985"/>
                    </a:xfrm>
                    <a:prstGeom prst="rect">
                      <a:avLst/>
                    </a:prstGeom>
                    <a:noFill/>
                    <a:ln>
                      <a:noFill/>
                    </a:ln>
                  </pic:spPr>
                </pic:pic>
              </a:graphicData>
            </a:graphic>
          </wp:inline>
        </w:drawing>
      </w:r>
    </w:p>
    <w:p>
      <w:pP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drawing>
          <wp:inline distT="0" distB="0" distL="114300" distR="114300">
            <wp:extent cx="5941060" cy="8237220"/>
            <wp:effectExtent l="0" t="0" r="2540" b="11430"/>
            <wp:docPr id="14" name="图片 3"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C:\Users\Administrator\AppData\Roaming\DingTalk\18198513_v2\ImageFiles\36\lALPDgQ9qzkb_mjNA3bNAn8_639_886.png"/>
                    <pic:cNvPicPr>
                      <a:picLocks noChangeAspect="1"/>
                    </pic:cNvPicPr>
                  </pic:nvPicPr>
                  <pic:blipFill>
                    <a:blip r:embed="rId22"/>
                    <a:stretch>
                      <a:fillRect/>
                    </a:stretch>
                  </pic:blipFill>
                  <pic:spPr>
                    <a:xfrm>
                      <a:off x="0" y="0"/>
                      <a:ext cx="5941060" cy="8237220"/>
                    </a:xfrm>
                    <a:prstGeom prst="rect">
                      <a:avLst/>
                    </a:prstGeom>
                    <a:noFill/>
                    <a:ln>
                      <a:noFill/>
                    </a:ln>
                  </pic:spPr>
                </pic:pic>
              </a:graphicData>
            </a:graphic>
          </wp:inline>
        </w:drawing>
      </w:r>
    </w:p>
    <w:p>
      <w:pP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drawing>
          <wp:inline distT="0" distB="0" distL="114300" distR="114300">
            <wp:extent cx="5941060" cy="8303895"/>
            <wp:effectExtent l="0" t="0" r="2540" b="1905"/>
            <wp:docPr id="11" name="图片 4"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C:\Users\Administrator\AppData\Roaming\DingTalk\18198513_v2\ImageFiles\78\lALPDgQ9qzkb4yrNA3LNAnc_631_882.png"/>
                    <pic:cNvPicPr>
                      <a:picLocks noChangeAspect="1"/>
                    </pic:cNvPicPr>
                  </pic:nvPicPr>
                  <pic:blipFill>
                    <a:blip r:embed="rId23"/>
                    <a:stretch>
                      <a:fillRect/>
                    </a:stretch>
                  </pic:blipFill>
                  <pic:spPr>
                    <a:xfrm>
                      <a:off x="0" y="0"/>
                      <a:ext cx="5941060" cy="8303895"/>
                    </a:xfrm>
                    <a:prstGeom prst="rect">
                      <a:avLst/>
                    </a:prstGeom>
                    <a:noFill/>
                    <a:ln>
                      <a:noFill/>
                    </a:ln>
                  </pic:spPr>
                </pic:pic>
              </a:graphicData>
            </a:graphic>
          </wp:inline>
        </w:drawing>
      </w:r>
    </w:p>
    <w:p>
      <w:pP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drawing>
          <wp:inline distT="0" distB="0" distL="114300" distR="114300">
            <wp:extent cx="5941060" cy="8076565"/>
            <wp:effectExtent l="0" t="0" r="2540" b="635"/>
            <wp:docPr id="3" name="图片 5"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C:\Users\Administrator\AppData\Roaming\DingTalk\18198513_v2\ImageFiles\72\lALPDgQ9qzkdtwHNA2LNAn0_637_866.png"/>
                    <pic:cNvPicPr>
                      <a:picLocks noChangeAspect="1"/>
                    </pic:cNvPicPr>
                  </pic:nvPicPr>
                  <pic:blipFill>
                    <a:blip r:embed="rId24"/>
                    <a:stretch>
                      <a:fillRect/>
                    </a:stretch>
                  </pic:blipFill>
                  <pic:spPr>
                    <a:xfrm>
                      <a:off x="0" y="0"/>
                      <a:ext cx="5941060" cy="8076565"/>
                    </a:xfrm>
                    <a:prstGeom prst="rect">
                      <a:avLst/>
                    </a:prstGeom>
                    <a:noFill/>
                    <a:ln>
                      <a:noFill/>
                    </a:ln>
                  </pic:spPr>
                </pic:pic>
              </a:graphicData>
            </a:graphic>
          </wp:inline>
        </w:drawing>
      </w:r>
    </w:p>
    <w:p>
      <w:pP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drawing>
          <wp:inline distT="0" distB="0" distL="114300" distR="114300">
            <wp:extent cx="5941060" cy="8279765"/>
            <wp:effectExtent l="0" t="0" r="2540" b="6985"/>
            <wp:docPr id="6" name="图片 6"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65\lALPDgQ9qzkb_mnNA3zNAoA_640_892.png"/>
                    <pic:cNvPicPr>
                      <a:picLocks noChangeAspect="1"/>
                    </pic:cNvPicPr>
                  </pic:nvPicPr>
                  <pic:blipFill>
                    <a:blip r:embed="rId25"/>
                    <a:stretch>
                      <a:fillRect/>
                    </a:stretch>
                  </pic:blipFill>
                  <pic:spPr>
                    <a:xfrm>
                      <a:off x="0" y="0"/>
                      <a:ext cx="5941060" cy="8279765"/>
                    </a:xfrm>
                    <a:prstGeom prst="rect">
                      <a:avLst/>
                    </a:prstGeom>
                    <a:noFill/>
                    <a:ln>
                      <a:noFill/>
                    </a:ln>
                  </pic:spPr>
                </pic:pic>
              </a:graphicData>
            </a:graphic>
          </wp:inline>
        </w:drawing>
      </w:r>
    </w:p>
    <w:p>
      <w:pP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drawing>
          <wp:inline distT="0" distB="0" distL="114300" distR="114300">
            <wp:extent cx="5941060" cy="8360410"/>
            <wp:effectExtent l="0" t="0" r="2540" b="2540"/>
            <wp:docPr id="4" name="图片 7"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C:\Users\Administrator\AppData\Roaming\DingTalk\18198513_v2\ImageFiles\97\lALPDgQ9qzkb4yzNA3_NAnw_636_895.png"/>
                    <pic:cNvPicPr>
                      <a:picLocks noChangeAspect="1"/>
                    </pic:cNvPicPr>
                  </pic:nvPicPr>
                  <pic:blipFill>
                    <a:blip r:embed="rId26"/>
                    <a:stretch>
                      <a:fillRect/>
                    </a:stretch>
                  </pic:blipFill>
                  <pic:spPr>
                    <a:xfrm>
                      <a:off x="0" y="0"/>
                      <a:ext cx="5941060" cy="8360410"/>
                    </a:xfrm>
                    <a:prstGeom prst="rect">
                      <a:avLst/>
                    </a:prstGeom>
                    <a:noFill/>
                    <a:ln>
                      <a:noFill/>
                    </a:ln>
                  </pic:spPr>
                </pic:pic>
              </a:graphicData>
            </a:graphic>
          </wp:inline>
        </w:drawing>
      </w:r>
    </w:p>
    <w:p>
      <w:pP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drawing>
          <wp:inline distT="0" distB="0" distL="114300" distR="114300">
            <wp:extent cx="5941060" cy="8354695"/>
            <wp:effectExtent l="0" t="0" r="2540" b="8255"/>
            <wp:docPr id="15" name="图片 8"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descr="C:\Users\Administrator\AppData\Roaming\DingTalk\18198513_v2\ImageFiles\e8\lALPDgQ9qzkdtwPNA3bNAnY_630_886.png"/>
                    <pic:cNvPicPr>
                      <a:picLocks noChangeAspect="1"/>
                    </pic:cNvPicPr>
                  </pic:nvPicPr>
                  <pic:blipFill>
                    <a:blip r:embed="rId27"/>
                    <a:stretch>
                      <a:fillRect/>
                    </a:stretch>
                  </pic:blipFill>
                  <pic:spPr>
                    <a:xfrm>
                      <a:off x="0" y="0"/>
                      <a:ext cx="5941060" cy="8354695"/>
                    </a:xfrm>
                    <a:prstGeom prst="rect">
                      <a:avLst/>
                    </a:prstGeom>
                    <a:noFill/>
                    <a:ln>
                      <a:noFill/>
                    </a:ln>
                  </pic:spPr>
                </pic:pic>
              </a:graphicData>
            </a:graphic>
          </wp:inline>
        </w:drawing>
      </w:r>
    </w:p>
    <w:p>
      <w:pP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drawing>
          <wp:inline distT="0" distB="0" distL="114300" distR="114300">
            <wp:extent cx="5941060" cy="8089265"/>
            <wp:effectExtent l="0" t="0" r="2540" b="6985"/>
            <wp:docPr id="2" name="图片 9"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descr="C:\Users\Administrator\AppData\Roaming\DingTalk\18198513_v2\ImageFiles\43\lALPDgQ9qzkb_mrNA2LNAnw_636_866.png"/>
                    <pic:cNvPicPr>
                      <a:picLocks noChangeAspect="1"/>
                    </pic:cNvPicPr>
                  </pic:nvPicPr>
                  <pic:blipFill>
                    <a:blip r:embed="rId28"/>
                    <a:stretch>
                      <a:fillRect/>
                    </a:stretch>
                  </pic:blipFill>
                  <pic:spPr>
                    <a:xfrm>
                      <a:off x="0" y="0"/>
                      <a:ext cx="5941060" cy="8089265"/>
                    </a:xfrm>
                    <a:prstGeom prst="rect">
                      <a:avLst/>
                    </a:prstGeom>
                    <a:noFill/>
                    <a:ln>
                      <a:noFill/>
                    </a:ln>
                  </pic:spPr>
                </pic:pic>
              </a:graphicData>
            </a:graphic>
          </wp:inline>
        </w:drawing>
      </w:r>
    </w:p>
    <w:p>
      <w:pP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drawing>
          <wp:inline distT="0" distB="0" distL="114300" distR="114300">
            <wp:extent cx="5941060" cy="8197850"/>
            <wp:effectExtent l="0" t="0" r="2540" b="12700"/>
            <wp:docPr id="12" name="图片 10"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descr="C:\Users\Administrator\AppData\Roaming\DingTalk\18198513_v2\ImageFiles\5e\lALPDgQ9qzkb4yvNA2TNAnU_629_868.png"/>
                    <pic:cNvPicPr>
                      <a:picLocks noChangeAspect="1"/>
                    </pic:cNvPicPr>
                  </pic:nvPicPr>
                  <pic:blipFill>
                    <a:blip r:embed="rId29"/>
                    <a:stretch>
                      <a:fillRect/>
                    </a:stretch>
                  </pic:blipFill>
                  <pic:spPr>
                    <a:xfrm>
                      <a:off x="0" y="0"/>
                      <a:ext cx="5941060" cy="8197850"/>
                    </a:xfrm>
                    <a:prstGeom prst="rect">
                      <a:avLst/>
                    </a:prstGeom>
                    <a:noFill/>
                    <a:ln>
                      <a:noFill/>
                    </a:ln>
                  </pic:spPr>
                </pic:pic>
              </a:graphicData>
            </a:graphic>
          </wp:inline>
        </w:drawing>
      </w:r>
    </w:p>
    <w:p>
      <w:pP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drawing>
          <wp:inline distT="0" distB="0" distL="114300" distR="114300">
            <wp:extent cx="5941060" cy="8289290"/>
            <wp:effectExtent l="0" t="0" r="2540" b="16510"/>
            <wp:docPr id="7" name="图片 11"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1" descr="C:\Users\Administrator\AppData\Roaming\DingTalk\18198513_v2\ImageFiles\bb\lALPDgQ9qzkdtwLNA33NAoA_640_893.png"/>
                    <pic:cNvPicPr>
                      <a:picLocks noChangeAspect="1"/>
                    </pic:cNvPicPr>
                  </pic:nvPicPr>
                  <pic:blipFill>
                    <a:blip r:embed="rId30"/>
                    <a:stretch>
                      <a:fillRect/>
                    </a:stretch>
                  </pic:blipFill>
                  <pic:spPr>
                    <a:xfrm>
                      <a:off x="0" y="0"/>
                      <a:ext cx="5941060" cy="8289290"/>
                    </a:xfrm>
                    <a:prstGeom prst="rect">
                      <a:avLst/>
                    </a:prstGeom>
                    <a:noFill/>
                    <a:ln>
                      <a:noFill/>
                    </a:ln>
                  </pic:spPr>
                </pic:pic>
              </a:graphicData>
            </a:graphic>
          </wp:inline>
        </w:drawing>
      </w:r>
    </w:p>
    <w:p>
      <w:pP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drawing>
          <wp:inline distT="0" distB="0" distL="114300" distR="114300">
            <wp:extent cx="5971540" cy="7998460"/>
            <wp:effectExtent l="0" t="0" r="10160" b="2540"/>
            <wp:docPr id="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2"/>
                    <pic:cNvPicPr>
                      <a:picLocks noChangeAspect="1"/>
                    </pic:cNvPicPr>
                  </pic:nvPicPr>
                  <pic:blipFill>
                    <a:blip r:embed="rId31"/>
                    <a:stretch>
                      <a:fillRect/>
                    </a:stretch>
                  </pic:blipFill>
                  <pic:spPr>
                    <a:xfrm>
                      <a:off x="0" y="0"/>
                      <a:ext cx="5971540" cy="7998460"/>
                    </a:xfrm>
                    <a:prstGeom prst="rect">
                      <a:avLst/>
                    </a:prstGeom>
                    <a:noFill/>
                    <a:ln>
                      <a:noFill/>
                    </a:ln>
                  </pic:spPr>
                </pic:pic>
              </a:graphicData>
            </a:graphic>
          </wp:inline>
        </w:drawing>
      </w:r>
    </w:p>
    <w:p>
      <w:pP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drawing>
          <wp:inline distT="0" distB="0" distL="114300" distR="114300">
            <wp:extent cx="5910580" cy="8364220"/>
            <wp:effectExtent l="0" t="0" r="13970" b="17780"/>
            <wp:docPr id="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3"/>
                    <pic:cNvPicPr>
                      <a:picLocks noChangeAspect="1"/>
                    </pic:cNvPicPr>
                  </pic:nvPicPr>
                  <pic:blipFill>
                    <a:blip r:embed="rId32"/>
                    <a:stretch>
                      <a:fillRect/>
                    </a:stretch>
                  </pic:blipFill>
                  <pic:spPr>
                    <a:xfrm>
                      <a:off x="0" y="0"/>
                      <a:ext cx="5910580" cy="8364220"/>
                    </a:xfrm>
                    <a:prstGeom prst="rect">
                      <a:avLst/>
                    </a:prstGeom>
                    <a:noFill/>
                    <a:ln>
                      <a:noFill/>
                    </a:ln>
                  </pic:spPr>
                </pic:pic>
              </a:graphicData>
            </a:graphic>
          </wp:inline>
        </w:drawing>
      </w:r>
    </w:p>
    <w:p>
      <w:pP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drawing>
          <wp:inline distT="0" distB="0" distL="114300" distR="114300">
            <wp:extent cx="5930900" cy="7664450"/>
            <wp:effectExtent l="0" t="0" r="12700" b="12700"/>
            <wp:docPr id="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4"/>
                    <pic:cNvPicPr>
                      <a:picLocks noChangeAspect="1"/>
                    </pic:cNvPicPr>
                  </pic:nvPicPr>
                  <pic:blipFill>
                    <a:blip r:embed="rId33"/>
                    <a:stretch>
                      <a:fillRect/>
                    </a:stretch>
                  </pic:blipFill>
                  <pic:spPr>
                    <a:xfrm>
                      <a:off x="0" y="0"/>
                      <a:ext cx="5930900" cy="7664450"/>
                    </a:xfrm>
                    <a:prstGeom prst="rect">
                      <a:avLst/>
                    </a:prstGeom>
                    <a:noFill/>
                    <a:ln>
                      <a:noFill/>
                    </a:ln>
                  </pic:spPr>
                </pic:pic>
              </a:graphicData>
            </a:graphic>
          </wp:inline>
        </w:drawing>
      </w:r>
    </w:p>
    <w:p>
      <w:pP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drawing>
          <wp:inline distT="0" distB="0" distL="114300" distR="114300">
            <wp:extent cx="5882640" cy="8324850"/>
            <wp:effectExtent l="0" t="0" r="3810" b="0"/>
            <wp:docPr id="1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5"/>
                    <pic:cNvPicPr>
                      <a:picLocks noChangeAspect="1"/>
                    </pic:cNvPicPr>
                  </pic:nvPicPr>
                  <pic:blipFill>
                    <a:blip r:embed="rId34"/>
                    <a:stretch>
                      <a:fillRect/>
                    </a:stretch>
                  </pic:blipFill>
                  <pic:spPr>
                    <a:xfrm>
                      <a:off x="0" y="0"/>
                      <a:ext cx="5882640" cy="8324850"/>
                    </a:xfrm>
                    <a:prstGeom prst="rect">
                      <a:avLst/>
                    </a:prstGeom>
                    <a:noFill/>
                    <a:ln>
                      <a:noFill/>
                    </a:ln>
                  </pic:spPr>
                </pic:pic>
              </a:graphicData>
            </a:graphic>
          </wp:inline>
        </w:drawing>
      </w:r>
    </w:p>
    <w:p>
      <w:pP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drawing>
          <wp:inline distT="0" distB="0" distL="114300" distR="114300">
            <wp:extent cx="5860415" cy="7603490"/>
            <wp:effectExtent l="0" t="0" r="6985" b="16510"/>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pic:cNvPicPr>
                  </pic:nvPicPr>
                  <pic:blipFill>
                    <a:blip r:embed="rId35"/>
                    <a:stretch>
                      <a:fillRect/>
                    </a:stretch>
                  </pic:blipFill>
                  <pic:spPr>
                    <a:xfrm>
                      <a:off x="0" y="0"/>
                      <a:ext cx="5860415" cy="7603490"/>
                    </a:xfrm>
                    <a:prstGeom prst="rect">
                      <a:avLst/>
                    </a:prstGeom>
                    <a:noFill/>
                    <a:ln>
                      <a:noFill/>
                    </a:ln>
                  </pic:spPr>
                </pic:pic>
              </a:graphicData>
            </a:graphic>
          </wp:inline>
        </w:drawing>
      </w:r>
    </w:p>
    <w:p>
      <w:pP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drawing>
          <wp:inline distT="0" distB="0" distL="114300" distR="114300">
            <wp:extent cx="5875655" cy="8314690"/>
            <wp:effectExtent l="0" t="0" r="10795" b="10160"/>
            <wp:docPr id="2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7"/>
                    <pic:cNvPicPr>
                      <a:picLocks noChangeAspect="1"/>
                    </pic:cNvPicPr>
                  </pic:nvPicPr>
                  <pic:blipFill>
                    <a:blip r:embed="rId36"/>
                    <a:stretch>
                      <a:fillRect/>
                    </a:stretch>
                  </pic:blipFill>
                  <pic:spPr>
                    <a:xfrm>
                      <a:off x="0" y="0"/>
                      <a:ext cx="5875655" cy="8314690"/>
                    </a:xfrm>
                    <a:prstGeom prst="rect">
                      <a:avLst/>
                    </a:prstGeom>
                    <a:noFill/>
                    <a:ln>
                      <a:noFill/>
                    </a:ln>
                  </pic:spPr>
                </pic:pic>
              </a:graphicData>
            </a:graphic>
          </wp:inline>
        </w:drawing>
      </w:r>
    </w:p>
    <w:p>
      <w:pP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drawing>
          <wp:inline distT="0" distB="0" distL="114300" distR="114300">
            <wp:extent cx="5970905" cy="8053705"/>
            <wp:effectExtent l="0" t="0" r="10795" b="4445"/>
            <wp:docPr id="2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8"/>
                    <pic:cNvPicPr>
                      <a:picLocks noChangeAspect="1"/>
                    </pic:cNvPicPr>
                  </pic:nvPicPr>
                  <pic:blipFill>
                    <a:blip r:embed="rId37"/>
                    <a:stretch>
                      <a:fillRect/>
                    </a:stretch>
                  </pic:blipFill>
                  <pic:spPr>
                    <a:xfrm>
                      <a:off x="0" y="0"/>
                      <a:ext cx="5970905" cy="8053705"/>
                    </a:xfrm>
                    <a:prstGeom prst="rect">
                      <a:avLst/>
                    </a:prstGeom>
                    <a:noFill/>
                    <a:ln>
                      <a:noFill/>
                    </a:ln>
                  </pic:spPr>
                </pic:pic>
              </a:graphicData>
            </a:graphic>
          </wp:inline>
        </w:drawing>
      </w:r>
    </w:p>
    <w:p>
      <w:pPr>
        <w:rPr>
          <w:rFonts w:hint="eastAsia" w:ascii="宋体" w:hAnsi="宋体" w:eastAsia="宋体" w:cs="宋体"/>
          <w:color w:val="000000" w:themeColor="text1"/>
          <w:highlight w:val="none"/>
          <w14:textFill>
            <w14:solidFill>
              <w14:schemeClr w14:val="tx1"/>
            </w14:solidFill>
          </w14:textFill>
        </w:rPr>
      </w:pPr>
    </w:p>
    <w:p>
      <w:pP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drawing>
          <wp:inline distT="0" distB="0" distL="114300" distR="114300">
            <wp:extent cx="5920105" cy="8364220"/>
            <wp:effectExtent l="0" t="0" r="4445" b="17780"/>
            <wp:docPr id="2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9"/>
                    <pic:cNvPicPr>
                      <a:picLocks noChangeAspect="1"/>
                    </pic:cNvPicPr>
                  </pic:nvPicPr>
                  <pic:blipFill>
                    <a:blip r:embed="rId38"/>
                    <a:stretch>
                      <a:fillRect/>
                    </a:stretch>
                  </pic:blipFill>
                  <pic:spPr>
                    <a:xfrm>
                      <a:off x="0" y="0"/>
                      <a:ext cx="5920105" cy="8364220"/>
                    </a:xfrm>
                    <a:prstGeom prst="rect">
                      <a:avLst/>
                    </a:prstGeom>
                    <a:noFill/>
                    <a:ln>
                      <a:noFill/>
                    </a:ln>
                  </pic:spPr>
                </pic:pic>
              </a:graphicData>
            </a:graphic>
          </wp:inline>
        </w:drawing>
      </w:r>
    </w:p>
    <w:p>
      <w:pP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drawing>
          <wp:inline distT="0" distB="0" distL="114300" distR="114300">
            <wp:extent cx="5868035" cy="7672705"/>
            <wp:effectExtent l="0" t="0" r="18415" b="4445"/>
            <wp:docPr id="2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0"/>
                    <pic:cNvPicPr>
                      <a:picLocks noChangeAspect="1"/>
                    </pic:cNvPicPr>
                  </pic:nvPicPr>
                  <pic:blipFill>
                    <a:blip r:embed="rId39"/>
                    <a:stretch>
                      <a:fillRect/>
                    </a:stretch>
                  </pic:blipFill>
                  <pic:spPr>
                    <a:xfrm>
                      <a:off x="0" y="0"/>
                      <a:ext cx="5868035" cy="7672705"/>
                    </a:xfrm>
                    <a:prstGeom prst="rect">
                      <a:avLst/>
                    </a:prstGeom>
                    <a:noFill/>
                    <a:ln>
                      <a:noFill/>
                    </a:ln>
                  </pic:spPr>
                </pic:pic>
              </a:graphicData>
            </a:graphic>
          </wp:inline>
        </w:drawing>
      </w:r>
    </w:p>
    <w:p>
      <w:pP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drawing>
          <wp:inline distT="0" distB="0" distL="114300" distR="114300">
            <wp:extent cx="5899785" cy="8348980"/>
            <wp:effectExtent l="0" t="0" r="5715" b="13970"/>
            <wp:docPr id="1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1"/>
                    <pic:cNvPicPr>
                      <a:picLocks noChangeAspect="1"/>
                    </pic:cNvPicPr>
                  </pic:nvPicPr>
                  <pic:blipFill>
                    <a:blip r:embed="rId40"/>
                    <a:stretch>
                      <a:fillRect/>
                    </a:stretch>
                  </pic:blipFill>
                  <pic:spPr>
                    <a:xfrm>
                      <a:off x="0" y="0"/>
                      <a:ext cx="5899785" cy="8348980"/>
                    </a:xfrm>
                    <a:prstGeom prst="rect">
                      <a:avLst/>
                    </a:prstGeom>
                    <a:noFill/>
                    <a:ln>
                      <a:noFill/>
                    </a:ln>
                  </pic:spPr>
                </pic:pic>
              </a:graphicData>
            </a:graphic>
          </wp:inline>
        </w:drawing>
      </w:r>
    </w:p>
    <w:p>
      <w:pP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drawing>
          <wp:inline distT="0" distB="0" distL="114300" distR="114300">
            <wp:extent cx="5923280" cy="7786370"/>
            <wp:effectExtent l="0" t="0" r="1270" b="5080"/>
            <wp:docPr id="2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2"/>
                    <pic:cNvPicPr>
                      <a:picLocks noChangeAspect="1"/>
                    </pic:cNvPicPr>
                  </pic:nvPicPr>
                  <pic:blipFill>
                    <a:blip r:embed="rId41"/>
                    <a:stretch>
                      <a:fillRect/>
                    </a:stretch>
                  </pic:blipFill>
                  <pic:spPr>
                    <a:xfrm>
                      <a:off x="0" y="0"/>
                      <a:ext cx="5923280" cy="7786370"/>
                    </a:xfrm>
                    <a:prstGeom prst="rect">
                      <a:avLst/>
                    </a:prstGeom>
                    <a:noFill/>
                    <a:ln>
                      <a:noFill/>
                    </a:ln>
                  </pic:spPr>
                </pic:pic>
              </a:graphicData>
            </a:graphic>
          </wp:inline>
        </w:drawing>
      </w:r>
    </w:p>
    <w:p>
      <w:pP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drawing>
          <wp:inline distT="0" distB="0" distL="114300" distR="114300">
            <wp:extent cx="5899785" cy="8335010"/>
            <wp:effectExtent l="0" t="0" r="5715" b="8890"/>
            <wp:docPr id="2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3"/>
                    <pic:cNvPicPr>
                      <a:picLocks noChangeAspect="1"/>
                    </pic:cNvPicPr>
                  </pic:nvPicPr>
                  <pic:blipFill>
                    <a:blip r:embed="rId42"/>
                    <a:stretch>
                      <a:fillRect/>
                    </a:stretch>
                  </pic:blipFill>
                  <pic:spPr>
                    <a:xfrm>
                      <a:off x="0" y="0"/>
                      <a:ext cx="5899785" cy="8335010"/>
                    </a:xfrm>
                    <a:prstGeom prst="rect">
                      <a:avLst/>
                    </a:prstGeom>
                    <a:noFill/>
                    <a:ln>
                      <a:noFill/>
                    </a:ln>
                  </pic:spPr>
                </pic:pic>
              </a:graphicData>
            </a:graphic>
          </wp:inline>
        </w:drawing>
      </w:r>
    </w:p>
    <w:p>
      <w:pP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drawing>
          <wp:inline distT="0" distB="0" distL="114300" distR="114300">
            <wp:extent cx="6011545" cy="7740015"/>
            <wp:effectExtent l="0" t="0" r="8255" b="13335"/>
            <wp:docPr id="1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4"/>
                    <pic:cNvPicPr>
                      <a:picLocks noChangeAspect="1"/>
                    </pic:cNvPicPr>
                  </pic:nvPicPr>
                  <pic:blipFill>
                    <a:blip r:embed="rId43"/>
                    <a:stretch>
                      <a:fillRect/>
                    </a:stretch>
                  </pic:blipFill>
                  <pic:spPr>
                    <a:xfrm>
                      <a:off x="0" y="0"/>
                      <a:ext cx="6011545" cy="7740015"/>
                    </a:xfrm>
                    <a:prstGeom prst="rect">
                      <a:avLst/>
                    </a:prstGeom>
                    <a:noFill/>
                    <a:ln>
                      <a:noFill/>
                    </a:ln>
                  </pic:spPr>
                </pic:pic>
              </a:graphicData>
            </a:graphic>
          </wp:inline>
        </w:drawing>
      </w:r>
    </w:p>
    <w:p>
      <w:pP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drawing>
          <wp:inline distT="0" distB="0" distL="114300" distR="114300">
            <wp:extent cx="5899785" cy="8348980"/>
            <wp:effectExtent l="0" t="0" r="5715" b="13970"/>
            <wp:docPr id="1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5"/>
                    <pic:cNvPicPr>
                      <a:picLocks noChangeAspect="1"/>
                    </pic:cNvPicPr>
                  </pic:nvPicPr>
                  <pic:blipFill>
                    <a:blip r:embed="rId44"/>
                    <a:stretch>
                      <a:fillRect/>
                    </a:stretch>
                  </pic:blipFill>
                  <pic:spPr>
                    <a:xfrm>
                      <a:off x="0" y="0"/>
                      <a:ext cx="5899785" cy="8348980"/>
                    </a:xfrm>
                    <a:prstGeom prst="rect">
                      <a:avLst/>
                    </a:prstGeom>
                    <a:noFill/>
                    <a:ln>
                      <a:noFill/>
                    </a:ln>
                  </pic:spPr>
                </pic:pic>
              </a:graphicData>
            </a:graphic>
          </wp:inline>
        </w:drawing>
      </w:r>
    </w:p>
    <w:p>
      <w:pPr>
        <w:pStyle w:val="21"/>
        <w:ind w:firstLine="0" w:firstLineChars="0"/>
        <w:rPr>
          <w:rFonts w:hint="eastAsia" w:ascii="宋体" w:hAnsi="宋体" w:eastAsia="宋体" w:cs="宋体"/>
          <w:color w:val="000000" w:themeColor="text1"/>
          <w:highlight w:val="none"/>
          <w14:textFill>
            <w14:solidFill>
              <w14:schemeClr w14:val="tx1"/>
            </w14:solidFill>
          </w14:textFill>
        </w:rPr>
      </w:pPr>
      <w:bookmarkStart w:id="161" w:name="_Toc27579"/>
      <w:r>
        <w:rPr>
          <w:rFonts w:hint="eastAsia" w:ascii="宋体" w:hAnsi="宋体" w:eastAsia="宋体" w:cs="宋体"/>
          <w:color w:val="000000" w:themeColor="text1"/>
          <w:highlight w:val="none"/>
          <w14:textFill>
            <w14:solidFill>
              <w14:schemeClr w14:val="tx1"/>
            </w14:solidFill>
          </w14:textFill>
        </w:rPr>
        <w:drawing>
          <wp:inline distT="0" distB="0" distL="114300" distR="114300">
            <wp:extent cx="5970905" cy="7463790"/>
            <wp:effectExtent l="0" t="0" r="10795" b="3810"/>
            <wp:docPr id="1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6"/>
                    <pic:cNvPicPr>
                      <a:picLocks noChangeAspect="1"/>
                    </pic:cNvPicPr>
                  </pic:nvPicPr>
                  <pic:blipFill>
                    <a:blip r:embed="rId45"/>
                    <a:stretch>
                      <a:fillRect/>
                    </a:stretch>
                  </pic:blipFill>
                  <pic:spPr>
                    <a:xfrm>
                      <a:off x="0" y="0"/>
                      <a:ext cx="5970905" cy="7463790"/>
                    </a:xfrm>
                    <a:prstGeom prst="rect">
                      <a:avLst/>
                    </a:prstGeom>
                    <a:noFill/>
                    <a:ln>
                      <a:noFill/>
                    </a:ln>
                  </pic:spPr>
                </pic:pic>
              </a:graphicData>
            </a:graphic>
          </wp:inline>
        </w:drawing>
      </w:r>
      <w:bookmarkEnd w:id="161"/>
    </w:p>
    <w:p>
      <w:pP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br w:type="page"/>
      </w:r>
    </w:p>
    <w:p>
      <w:pPr>
        <w:rPr>
          <w:b/>
          <w:color w:val="000000" w:themeColor="text1"/>
          <w:sz w:val="22"/>
          <w:szCs w:val="20"/>
          <w:highlight w:val="none"/>
          <w14:textFill>
            <w14:solidFill>
              <w14:schemeClr w14:val="tx1"/>
            </w14:solidFill>
          </w14:textFill>
        </w:rPr>
      </w:pPr>
      <w:bookmarkStart w:id="162" w:name="_Toc136935012"/>
      <w:r>
        <w:rPr>
          <w:rFonts w:hint="eastAsia"/>
          <w:b/>
          <w:color w:val="000000" w:themeColor="text1"/>
          <w:sz w:val="22"/>
          <w:szCs w:val="22"/>
          <w:highlight w:val="none"/>
          <w14:textFill>
            <w14:solidFill>
              <w14:schemeClr w14:val="tx1"/>
            </w14:solidFill>
          </w14:textFill>
        </w:rPr>
        <w:t xml:space="preserve">附件一        </w:t>
      </w:r>
      <w:r>
        <w:rPr>
          <w:rFonts w:hint="eastAsia"/>
          <w:b/>
          <w:color w:val="000000" w:themeColor="text1"/>
          <w:sz w:val="21"/>
          <w:szCs w:val="21"/>
          <w:highlight w:val="none"/>
          <w14:textFill>
            <w14:solidFill>
              <w14:schemeClr w14:val="tx1"/>
            </w14:solidFill>
          </w14:textFill>
        </w:rPr>
        <w:t xml:space="preserve">     </w:t>
      </w:r>
      <w:r>
        <w:rPr>
          <w:rFonts w:hint="eastAsia"/>
          <w:b/>
          <w:color w:val="000000" w:themeColor="text1"/>
          <w:sz w:val="36"/>
          <w:szCs w:val="36"/>
          <w:highlight w:val="none"/>
          <w14:textFill>
            <w14:solidFill>
              <w14:schemeClr w14:val="tx1"/>
            </w14:solidFill>
          </w14:textFill>
        </w:rPr>
        <w:t>购买</w:t>
      </w:r>
      <w:r>
        <w:rPr>
          <w:rFonts w:hint="eastAsia"/>
          <w:b/>
          <w:color w:val="000000" w:themeColor="text1"/>
          <w:sz w:val="36"/>
          <w:szCs w:val="36"/>
          <w:highlight w:val="none"/>
          <w:lang w:eastAsia="zh-CN"/>
          <w14:textFill>
            <w14:solidFill>
              <w14:schemeClr w14:val="tx1"/>
            </w14:solidFill>
          </w14:textFill>
        </w:rPr>
        <w:t>竞争性磋商文件报名</w:t>
      </w:r>
      <w:r>
        <w:rPr>
          <w:rFonts w:hint="eastAsia"/>
          <w:b/>
          <w:color w:val="000000" w:themeColor="text1"/>
          <w:sz w:val="36"/>
          <w:szCs w:val="36"/>
          <w:highlight w:val="none"/>
          <w14:textFill>
            <w14:solidFill>
              <w14:schemeClr w14:val="tx1"/>
            </w14:solidFill>
          </w14:textFill>
        </w:rPr>
        <w:t>登记表</w:t>
      </w:r>
    </w:p>
    <w:tbl>
      <w:tblPr>
        <w:tblStyle w:val="24"/>
        <w:tblpPr w:leftFromText="180" w:rightFromText="180" w:vertAnchor="text" w:horzAnchor="page" w:tblpX="1251" w:tblpY="310"/>
        <w:tblOverlap w:val="never"/>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6"/>
        <w:gridCol w:w="3570"/>
        <w:gridCol w:w="1133"/>
        <w:gridCol w:w="425"/>
        <w:gridCol w:w="1559"/>
        <w:gridCol w:w="10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5" w:hRule="atLeast"/>
        </w:trPr>
        <w:tc>
          <w:tcPr>
            <w:tcW w:w="1916" w:type="dxa"/>
            <w:tcBorders>
              <w:top w:val="single" w:color="auto" w:sz="4" w:space="0"/>
              <w:left w:val="single" w:color="auto" w:sz="4" w:space="0"/>
              <w:bottom w:val="single" w:color="auto" w:sz="4" w:space="0"/>
              <w:right w:val="single" w:color="auto" w:sz="4" w:space="0"/>
            </w:tcBorders>
            <w:noWrap w:val="0"/>
            <w:vAlign w:val="center"/>
          </w:tcPr>
          <w:p>
            <w:pPr>
              <w:widowControl/>
              <w:ind w:left="0" w:leftChars="0" w:firstLine="0" w:firstLineChars="0"/>
              <w:jc w:val="both"/>
              <w:textAlignment w:val="center"/>
              <w:rPr>
                <w:b/>
                <w:color w:val="000000" w:themeColor="text1"/>
                <w:sz w:val="22"/>
                <w:szCs w:val="22"/>
                <w:highlight w:val="none"/>
                <w14:textFill>
                  <w14:solidFill>
                    <w14:schemeClr w14:val="tx1"/>
                  </w14:solidFill>
                </w14:textFill>
              </w:rPr>
            </w:pPr>
            <w:r>
              <w:rPr>
                <w:rFonts w:hint="eastAsia" w:ascii="宋体" w:hAnsi="宋体" w:cs="宋体"/>
                <w:b/>
                <w:color w:val="000000" w:themeColor="text1"/>
                <w:kern w:val="0"/>
                <w:sz w:val="22"/>
                <w:szCs w:val="22"/>
                <w:highlight w:val="none"/>
                <w14:textFill>
                  <w14:solidFill>
                    <w14:schemeClr w14:val="tx1"/>
                  </w14:solidFill>
                </w14:textFill>
              </w:rPr>
              <w:t>项目名称</w:t>
            </w:r>
          </w:p>
        </w:tc>
        <w:tc>
          <w:tcPr>
            <w:tcW w:w="7714" w:type="dxa"/>
            <w:gridSpan w:val="5"/>
            <w:tcBorders>
              <w:top w:val="single" w:color="auto" w:sz="4" w:space="0"/>
              <w:left w:val="single" w:color="auto" w:sz="4" w:space="0"/>
              <w:bottom w:val="single" w:color="auto" w:sz="4" w:space="0"/>
              <w:right w:val="single" w:color="auto" w:sz="4" w:space="0"/>
            </w:tcBorders>
            <w:noWrap w:val="0"/>
            <w:vAlign w:val="center"/>
          </w:tcPr>
          <w:p>
            <w:pPr>
              <w:jc w:val="center"/>
              <w:rPr>
                <w:b/>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1916" w:type="dxa"/>
            <w:tcBorders>
              <w:top w:val="single" w:color="auto" w:sz="4" w:space="0"/>
              <w:left w:val="single" w:color="auto" w:sz="4" w:space="0"/>
              <w:bottom w:val="single" w:color="auto" w:sz="4" w:space="0"/>
              <w:right w:val="single" w:color="auto" w:sz="4" w:space="0"/>
            </w:tcBorders>
            <w:noWrap w:val="0"/>
            <w:vAlign w:val="center"/>
          </w:tcPr>
          <w:p>
            <w:pPr>
              <w:widowControl/>
              <w:ind w:left="0" w:leftChars="0" w:firstLine="0" w:firstLineChars="0"/>
              <w:jc w:val="both"/>
              <w:textAlignment w:val="center"/>
              <w:rPr>
                <w:b/>
                <w:color w:val="000000" w:themeColor="text1"/>
                <w:sz w:val="22"/>
                <w:szCs w:val="22"/>
                <w:highlight w:val="none"/>
                <w14:textFill>
                  <w14:solidFill>
                    <w14:schemeClr w14:val="tx1"/>
                  </w14:solidFill>
                </w14:textFill>
              </w:rPr>
            </w:pPr>
            <w:r>
              <w:rPr>
                <w:rFonts w:hint="eastAsia" w:ascii="宋体" w:hAnsi="宋体" w:cs="宋体"/>
                <w:b/>
                <w:color w:val="000000" w:themeColor="text1"/>
                <w:kern w:val="0"/>
                <w:sz w:val="22"/>
                <w:szCs w:val="22"/>
                <w:highlight w:val="none"/>
                <w14:textFill>
                  <w14:solidFill>
                    <w14:schemeClr w14:val="tx1"/>
                  </w14:solidFill>
                </w14:textFill>
              </w:rPr>
              <w:t>项目编号</w:t>
            </w:r>
          </w:p>
        </w:tc>
        <w:tc>
          <w:tcPr>
            <w:tcW w:w="5128"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b/>
                <w:color w:val="000000" w:themeColor="text1"/>
                <w:sz w:val="22"/>
                <w:szCs w:val="22"/>
                <w:highlight w:val="none"/>
                <w14:textFill>
                  <w14:solidFill>
                    <w14:schemeClr w14:val="tx1"/>
                  </w14:solidFill>
                </w14:textFill>
              </w:rPr>
            </w:pPr>
          </w:p>
        </w:tc>
        <w:tc>
          <w:tcPr>
            <w:tcW w:w="1559" w:type="dxa"/>
            <w:tcBorders>
              <w:top w:val="single" w:color="auto" w:sz="4" w:space="0"/>
              <w:left w:val="single" w:color="auto" w:sz="4" w:space="0"/>
              <w:bottom w:val="single" w:color="auto" w:sz="4" w:space="0"/>
              <w:right w:val="single" w:color="auto" w:sz="4" w:space="0"/>
            </w:tcBorders>
            <w:noWrap w:val="0"/>
            <w:vAlign w:val="center"/>
          </w:tcPr>
          <w:p>
            <w:pPr>
              <w:widowControl/>
              <w:ind w:left="0" w:leftChars="0" w:firstLine="0" w:firstLineChars="0"/>
              <w:jc w:val="both"/>
              <w:textAlignment w:val="center"/>
              <w:rPr>
                <w:b/>
                <w:color w:val="000000" w:themeColor="text1"/>
                <w:sz w:val="22"/>
                <w:szCs w:val="22"/>
                <w:highlight w:val="none"/>
                <w14:textFill>
                  <w14:solidFill>
                    <w14:schemeClr w14:val="tx1"/>
                  </w14:solidFill>
                </w14:textFill>
              </w:rPr>
            </w:pPr>
            <w:r>
              <w:rPr>
                <w:b/>
                <w:color w:val="000000" w:themeColor="text1"/>
                <w:kern w:val="0"/>
                <w:sz w:val="22"/>
                <w:szCs w:val="22"/>
                <w:highlight w:val="none"/>
                <w14:textFill>
                  <w14:solidFill>
                    <w14:schemeClr w14:val="tx1"/>
                  </w14:solidFill>
                </w14:textFill>
              </w:rPr>
              <w:t>投标包号</w:t>
            </w:r>
          </w:p>
        </w:tc>
        <w:tc>
          <w:tcPr>
            <w:tcW w:w="1027" w:type="dxa"/>
            <w:tcBorders>
              <w:top w:val="single" w:color="auto" w:sz="4" w:space="0"/>
              <w:left w:val="single" w:color="auto" w:sz="4" w:space="0"/>
              <w:bottom w:val="single" w:color="auto" w:sz="4" w:space="0"/>
              <w:right w:val="single" w:color="auto" w:sz="4" w:space="0"/>
            </w:tcBorders>
            <w:noWrap w:val="0"/>
            <w:vAlign w:val="center"/>
          </w:tcPr>
          <w:p>
            <w:pPr>
              <w:jc w:val="center"/>
              <w:rPr>
                <w:b/>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1916" w:type="dxa"/>
            <w:tcBorders>
              <w:top w:val="single" w:color="auto" w:sz="4" w:space="0"/>
              <w:left w:val="single" w:color="auto" w:sz="4" w:space="0"/>
              <w:bottom w:val="single" w:color="auto" w:sz="4" w:space="0"/>
              <w:right w:val="single" w:color="auto" w:sz="4" w:space="0"/>
            </w:tcBorders>
            <w:noWrap w:val="0"/>
            <w:vAlign w:val="center"/>
          </w:tcPr>
          <w:p>
            <w:pPr>
              <w:widowControl/>
              <w:ind w:left="0" w:leftChars="0" w:firstLine="0" w:firstLineChars="0"/>
              <w:jc w:val="both"/>
              <w:textAlignment w:val="center"/>
              <w:rPr>
                <w:b/>
                <w:color w:val="000000" w:themeColor="text1"/>
                <w:sz w:val="21"/>
                <w:szCs w:val="21"/>
                <w:highlight w:val="none"/>
                <w14:textFill>
                  <w14:solidFill>
                    <w14:schemeClr w14:val="tx1"/>
                  </w14:solidFill>
                </w14:textFill>
              </w:rPr>
            </w:pPr>
            <w:r>
              <w:rPr>
                <w:rFonts w:hint="eastAsia" w:ascii="宋体" w:hAnsi="宋体" w:cs="宋体"/>
                <w:b/>
                <w:color w:val="000000" w:themeColor="text1"/>
                <w:kern w:val="0"/>
                <w:sz w:val="21"/>
                <w:szCs w:val="21"/>
                <w:highlight w:val="none"/>
                <w:lang w:eastAsia="zh-CN"/>
                <w14:textFill>
                  <w14:solidFill>
                    <w14:schemeClr w14:val="tx1"/>
                  </w14:solidFill>
                </w14:textFill>
              </w:rPr>
              <w:t>报名</w:t>
            </w:r>
            <w:r>
              <w:rPr>
                <w:rFonts w:hint="eastAsia" w:ascii="宋体" w:hAnsi="宋体" w:cs="宋体"/>
                <w:b/>
                <w:color w:val="000000" w:themeColor="text1"/>
                <w:kern w:val="0"/>
                <w:sz w:val="21"/>
                <w:szCs w:val="21"/>
                <w:highlight w:val="none"/>
                <w14:textFill>
                  <w14:solidFill>
                    <w14:schemeClr w14:val="tx1"/>
                  </w14:solidFill>
                </w14:textFill>
              </w:rPr>
              <w:t>单位名称</w:t>
            </w:r>
          </w:p>
        </w:tc>
        <w:tc>
          <w:tcPr>
            <w:tcW w:w="7714" w:type="dxa"/>
            <w:gridSpan w:val="5"/>
            <w:tcBorders>
              <w:top w:val="nil"/>
              <w:left w:val="single" w:color="auto" w:sz="4" w:space="0"/>
              <w:bottom w:val="single" w:color="auto" w:sz="4" w:space="0"/>
              <w:right w:val="single" w:color="auto" w:sz="4" w:space="0"/>
            </w:tcBorders>
            <w:noWrap w:val="0"/>
            <w:vAlign w:val="center"/>
          </w:tcPr>
          <w:p>
            <w:pPr>
              <w:jc w:val="center"/>
              <w:rPr>
                <w:b/>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1916" w:type="dxa"/>
            <w:tcBorders>
              <w:top w:val="single" w:color="auto" w:sz="4" w:space="0"/>
              <w:left w:val="single" w:color="auto" w:sz="4" w:space="0"/>
              <w:bottom w:val="single" w:color="auto" w:sz="4" w:space="0"/>
              <w:right w:val="single" w:color="auto" w:sz="4" w:space="0"/>
            </w:tcBorders>
            <w:noWrap w:val="0"/>
            <w:vAlign w:val="center"/>
          </w:tcPr>
          <w:p>
            <w:pPr>
              <w:widowControl/>
              <w:ind w:left="0" w:leftChars="0" w:firstLine="0" w:firstLineChars="0"/>
              <w:jc w:val="both"/>
              <w:textAlignment w:val="center"/>
              <w:rPr>
                <w:b/>
                <w:color w:val="000000" w:themeColor="text1"/>
                <w:sz w:val="21"/>
                <w:szCs w:val="21"/>
                <w:highlight w:val="none"/>
                <w14:textFill>
                  <w14:solidFill>
                    <w14:schemeClr w14:val="tx1"/>
                  </w14:solidFill>
                </w14:textFill>
              </w:rPr>
            </w:pPr>
            <w:r>
              <w:rPr>
                <w:rFonts w:hint="eastAsia" w:ascii="宋体" w:hAnsi="宋体" w:cs="宋体"/>
                <w:b/>
                <w:color w:val="000000" w:themeColor="text1"/>
                <w:kern w:val="0"/>
                <w:sz w:val="21"/>
                <w:szCs w:val="21"/>
                <w:highlight w:val="none"/>
                <w:lang w:eastAsia="zh-CN"/>
                <w14:textFill>
                  <w14:solidFill>
                    <w14:schemeClr w14:val="tx1"/>
                  </w14:solidFill>
                </w14:textFill>
              </w:rPr>
              <w:t>报名</w:t>
            </w:r>
            <w:r>
              <w:rPr>
                <w:rFonts w:hint="eastAsia" w:ascii="宋体" w:hAnsi="宋体" w:cs="宋体"/>
                <w:b/>
                <w:color w:val="000000" w:themeColor="text1"/>
                <w:kern w:val="0"/>
                <w:sz w:val="21"/>
                <w:szCs w:val="21"/>
                <w:highlight w:val="none"/>
                <w14:textFill>
                  <w14:solidFill>
                    <w14:schemeClr w14:val="tx1"/>
                  </w14:solidFill>
                </w14:textFill>
              </w:rPr>
              <w:t>单位通讯地址</w:t>
            </w:r>
          </w:p>
        </w:tc>
        <w:tc>
          <w:tcPr>
            <w:tcW w:w="7714" w:type="dxa"/>
            <w:gridSpan w:val="5"/>
            <w:tcBorders>
              <w:top w:val="single" w:color="auto" w:sz="4" w:space="0"/>
              <w:left w:val="single" w:color="auto" w:sz="4" w:space="0"/>
              <w:bottom w:val="single" w:color="auto" w:sz="4" w:space="0"/>
              <w:right w:val="single" w:color="auto" w:sz="4" w:space="0"/>
            </w:tcBorders>
            <w:noWrap w:val="0"/>
            <w:vAlign w:val="center"/>
          </w:tcPr>
          <w:p>
            <w:pPr>
              <w:ind w:left="82"/>
              <w:textAlignment w:val="center"/>
              <w:rPr>
                <w:b/>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916" w:type="dxa"/>
            <w:tcBorders>
              <w:top w:val="single" w:color="auto" w:sz="4" w:space="0"/>
              <w:left w:val="single" w:color="auto" w:sz="4" w:space="0"/>
              <w:bottom w:val="single" w:color="auto" w:sz="4" w:space="0"/>
              <w:right w:val="single" w:color="auto" w:sz="4" w:space="0"/>
            </w:tcBorders>
            <w:noWrap w:val="0"/>
            <w:vAlign w:val="center"/>
          </w:tcPr>
          <w:p>
            <w:pPr>
              <w:widowControl/>
              <w:ind w:left="0" w:leftChars="0" w:firstLine="0" w:firstLineChars="0"/>
              <w:jc w:val="both"/>
              <w:textAlignment w:val="center"/>
              <w:rPr>
                <w:b/>
                <w:color w:val="000000" w:themeColor="text1"/>
                <w:sz w:val="21"/>
                <w:szCs w:val="21"/>
                <w:highlight w:val="none"/>
                <w14:textFill>
                  <w14:solidFill>
                    <w14:schemeClr w14:val="tx1"/>
                  </w14:solidFill>
                </w14:textFill>
              </w:rPr>
            </w:pPr>
            <w:r>
              <w:rPr>
                <w:rFonts w:hint="eastAsia" w:ascii="宋体" w:hAnsi="宋体" w:cs="宋体"/>
                <w:b/>
                <w:color w:val="000000" w:themeColor="text1"/>
                <w:kern w:val="0"/>
                <w:sz w:val="21"/>
                <w:szCs w:val="21"/>
                <w:highlight w:val="none"/>
                <w14:textFill>
                  <w14:solidFill>
                    <w14:schemeClr w14:val="tx1"/>
                  </w14:solidFill>
                </w14:textFill>
              </w:rPr>
              <w:t>统一社会信用代码</w:t>
            </w:r>
          </w:p>
        </w:tc>
        <w:tc>
          <w:tcPr>
            <w:tcW w:w="7714" w:type="dxa"/>
            <w:gridSpan w:val="5"/>
            <w:tcBorders>
              <w:top w:val="single" w:color="auto" w:sz="4" w:space="0"/>
              <w:left w:val="single" w:color="auto" w:sz="4" w:space="0"/>
              <w:bottom w:val="single" w:color="auto" w:sz="4" w:space="0"/>
              <w:right w:val="single" w:color="auto" w:sz="4" w:space="0"/>
            </w:tcBorders>
            <w:noWrap w:val="0"/>
            <w:vAlign w:val="center"/>
          </w:tcPr>
          <w:p>
            <w:pPr>
              <w:widowControl/>
              <w:textAlignment w:val="center"/>
              <w:rPr>
                <w:b/>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1916" w:type="dxa"/>
            <w:tcBorders>
              <w:top w:val="single" w:color="auto" w:sz="4" w:space="0"/>
              <w:left w:val="single" w:color="auto" w:sz="4" w:space="0"/>
              <w:bottom w:val="single" w:color="auto" w:sz="4" w:space="0"/>
              <w:right w:val="single" w:color="auto" w:sz="4" w:space="0"/>
            </w:tcBorders>
            <w:noWrap w:val="0"/>
            <w:vAlign w:val="center"/>
          </w:tcPr>
          <w:p>
            <w:pPr>
              <w:widowControl/>
              <w:ind w:left="0" w:leftChars="0" w:firstLine="0" w:firstLineChars="0"/>
              <w:jc w:val="both"/>
              <w:textAlignment w:val="center"/>
              <w:rPr>
                <w:rFonts w:ascii="宋体" w:hAnsi="宋体"/>
                <w:b/>
                <w:color w:val="000000" w:themeColor="text1"/>
                <w:sz w:val="22"/>
                <w:szCs w:val="22"/>
                <w:highlight w:val="none"/>
                <w14:textFill>
                  <w14:solidFill>
                    <w14:schemeClr w14:val="tx1"/>
                  </w14:solidFill>
                </w14:textFill>
              </w:rPr>
            </w:pPr>
            <w:r>
              <w:rPr>
                <w:rFonts w:hint="eastAsia" w:ascii="宋体" w:hAnsi="宋体" w:cs="宋体"/>
                <w:b/>
                <w:color w:val="000000" w:themeColor="text1"/>
                <w:kern w:val="0"/>
                <w:sz w:val="22"/>
                <w:szCs w:val="22"/>
                <w:highlight w:val="none"/>
                <w14:textFill>
                  <w14:solidFill>
                    <w14:schemeClr w14:val="tx1"/>
                  </w14:solidFill>
                </w14:textFill>
              </w:rPr>
              <w:t>经办人姓名</w:t>
            </w:r>
          </w:p>
        </w:tc>
        <w:tc>
          <w:tcPr>
            <w:tcW w:w="3570" w:type="dxa"/>
            <w:tcBorders>
              <w:top w:val="single" w:color="auto" w:sz="4" w:space="0"/>
              <w:left w:val="single" w:color="auto" w:sz="4" w:space="0"/>
              <w:bottom w:val="single" w:color="auto" w:sz="4" w:space="0"/>
              <w:right w:val="single" w:color="auto" w:sz="4" w:space="0"/>
            </w:tcBorders>
            <w:noWrap w:val="0"/>
            <w:vAlign w:val="center"/>
          </w:tcPr>
          <w:p>
            <w:pPr>
              <w:jc w:val="left"/>
              <w:rPr>
                <w:b/>
                <w:color w:val="000000" w:themeColor="text1"/>
                <w:sz w:val="22"/>
                <w:szCs w:val="22"/>
                <w:highlight w:val="none"/>
                <w14:textFill>
                  <w14:solidFill>
                    <w14:schemeClr w14:val="tx1"/>
                  </w14:solidFill>
                </w14:textFill>
              </w:rPr>
            </w:pPr>
          </w:p>
        </w:tc>
        <w:tc>
          <w:tcPr>
            <w:tcW w:w="1133" w:type="dxa"/>
            <w:tcBorders>
              <w:top w:val="single" w:color="auto" w:sz="4" w:space="0"/>
              <w:left w:val="single" w:color="auto" w:sz="4" w:space="0"/>
              <w:bottom w:val="single" w:color="auto" w:sz="4" w:space="0"/>
              <w:right w:val="single" w:color="auto" w:sz="4" w:space="0"/>
            </w:tcBorders>
            <w:noWrap w:val="0"/>
            <w:vAlign w:val="center"/>
          </w:tcPr>
          <w:p>
            <w:pPr>
              <w:widowControl/>
              <w:ind w:left="0" w:leftChars="0" w:firstLine="0" w:firstLineChars="0"/>
              <w:jc w:val="both"/>
              <w:textAlignment w:val="center"/>
              <w:rPr>
                <w:b/>
                <w:color w:val="000000" w:themeColor="text1"/>
                <w:sz w:val="18"/>
                <w:szCs w:val="21"/>
                <w:highlight w:val="none"/>
                <w14:textFill>
                  <w14:solidFill>
                    <w14:schemeClr w14:val="tx1"/>
                  </w14:solidFill>
                </w14:textFill>
              </w:rPr>
            </w:pPr>
            <w:r>
              <w:rPr>
                <w:rFonts w:hint="eastAsia" w:ascii="宋体" w:hAnsi="宋体" w:cs="宋体"/>
                <w:b/>
                <w:bCs/>
                <w:color w:val="000000" w:themeColor="text1"/>
                <w:kern w:val="0"/>
                <w:sz w:val="22"/>
                <w:szCs w:val="22"/>
                <w:highlight w:val="none"/>
                <w14:textFill>
                  <w14:solidFill>
                    <w14:schemeClr w14:val="tx1"/>
                  </w14:solidFill>
                </w14:textFill>
              </w:rPr>
              <w:t>联系电话</w:t>
            </w:r>
          </w:p>
        </w:tc>
        <w:tc>
          <w:tcPr>
            <w:tcW w:w="3011" w:type="dxa"/>
            <w:gridSpan w:val="3"/>
            <w:tcBorders>
              <w:top w:val="single" w:color="auto" w:sz="4" w:space="0"/>
              <w:left w:val="single" w:color="auto" w:sz="4" w:space="0"/>
              <w:bottom w:val="single" w:color="auto" w:sz="4" w:space="0"/>
              <w:right w:val="single" w:color="auto" w:sz="4" w:space="0"/>
            </w:tcBorders>
            <w:noWrap w:val="0"/>
            <w:vAlign w:val="center"/>
          </w:tcPr>
          <w:p>
            <w:pPr>
              <w:rPr>
                <w:b/>
                <w:color w:val="000000" w:themeColor="text1"/>
                <w:sz w:val="18"/>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1916" w:type="dxa"/>
            <w:tcBorders>
              <w:top w:val="single" w:color="auto" w:sz="4" w:space="0"/>
              <w:left w:val="single" w:color="auto" w:sz="4" w:space="0"/>
              <w:bottom w:val="single" w:color="auto" w:sz="4" w:space="0"/>
              <w:right w:val="single" w:color="auto" w:sz="4" w:space="0"/>
            </w:tcBorders>
            <w:noWrap w:val="0"/>
            <w:vAlign w:val="center"/>
          </w:tcPr>
          <w:p>
            <w:pPr>
              <w:widowControl/>
              <w:ind w:left="0" w:leftChars="0" w:firstLine="0" w:firstLineChars="0"/>
              <w:jc w:val="both"/>
              <w:textAlignment w:val="center"/>
              <w:rPr>
                <w:rFonts w:hint="eastAsia" w:ascii="宋体" w:hAnsi="宋体" w:eastAsia="宋体"/>
                <w:b/>
                <w:color w:val="000000" w:themeColor="text1"/>
                <w:sz w:val="22"/>
                <w:szCs w:val="22"/>
                <w:highlight w:val="none"/>
                <w:lang w:eastAsia="zh-CN"/>
                <w14:textFill>
                  <w14:solidFill>
                    <w14:schemeClr w14:val="tx1"/>
                  </w14:solidFill>
                </w14:textFill>
              </w:rPr>
            </w:pPr>
            <w:r>
              <w:rPr>
                <w:rFonts w:hint="eastAsia" w:ascii="宋体" w:hAnsi="宋体"/>
                <w:b/>
                <w:color w:val="000000" w:themeColor="text1"/>
                <w:sz w:val="22"/>
                <w:szCs w:val="22"/>
                <w:highlight w:val="none"/>
                <w14:textFill>
                  <w14:solidFill>
                    <w14:schemeClr w14:val="tx1"/>
                  </w14:solidFill>
                </w14:textFill>
              </w:rPr>
              <w:t>邮</w:t>
            </w:r>
            <w:r>
              <w:rPr>
                <w:rFonts w:hint="eastAsia" w:ascii="宋体" w:hAnsi="宋体"/>
                <w:b/>
                <w:color w:val="000000" w:themeColor="text1"/>
                <w:sz w:val="22"/>
                <w:szCs w:val="22"/>
                <w:highlight w:val="none"/>
                <w:lang w:val="en-US" w:eastAsia="zh-CN"/>
                <w14:textFill>
                  <w14:solidFill>
                    <w14:schemeClr w14:val="tx1"/>
                  </w14:solidFill>
                </w14:textFill>
              </w:rPr>
              <w:t>箱地址</w:t>
            </w:r>
          </w:p>
        </w:tc>
        <w:tc>
          <w:tcPr>
            <w:tcW w:w="7714" w:type="dxa"/>
            <w:gridSpan w:val="5"/>
            <w:tcBorders>
              <w:top w:val="single" w:color="auto" w:sz="4" w:space="0"/>
              <w:left w:val="single" w:color="auto" w:sz="4" w:space="0"/>
              <w:bottom w:val="single" w:color="auto" w:sz="4" w:space="0"/>
              <w:right w:val="single" w:color="auto" w:sz="4" w:space="0"/>
            </w:tcBorders>
            <w:noWrap w:val="0"/>
            <w:vAlign w:val="center"/>
          </w:tcPr>
          <w:p>
            <w:pPr>
              <w:rPr>
                <w:b/>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trPr>
        <w:tc>
          <w:tcPr>
            <w:tcW w:w="1916" w:type="dxa"/>
            <w:tcBorders>
              <w:top w:val="single" w:color="auto" w:sz="4" w:space="0"/>
              <w:left w:val="single" w:color="auto" w:sz="4" w:space="0"/>
              <w:bottom w:val="single" w:color="auto" w:sz="4" w:space="0"/>
              <w:right w:val="single" w:color="auto" w:sz="4" w:space="0"/>
            </w:tcBorders>
            <w:noWrap w:val="0"/>
            <w:vAlign w:val="center"/>
          </w:tcPr>
          <w:p>
            <w:pPr>
              <w:widowControl/>
              <w:ind w:left="0" w:leftChars="0" w:firstLine="0" w:firstLineChars="0"/>
              <w:jc w:val="both"/>
              <w:textAlignment w:val="center"/>
              <w:rPr>
                <w:rFonts w:hint="eastAsia" w:ascii="宋体" w:hAnsi="宋体" w:cs="宋体"/>
                <w:b/>
                <w:color w:val="000000" w:themeColor="text1"/>
                <w:kern w:val="0"/>
                <w:sz w:val="22"/>
                <w:szCs w:val="22"/>
                <w:highlight w:val="none"/>
                <w14:textFill>
                  <w14:solidFill>
                    <w14:schemeClr w14:val="tx1"/>
                  </w14:solidFill>
                </w14:textFill>
              </w:rPr>
            </w:pPr>
            <w:r>
              <w:rPr>
                <w:rFonts w:hint="eastAsia" w:ascii="宋体" w:hAnsi="宋体" w:cs="宋体"/>
                <w:b/>
                <w:color w:val="000000" w:themeColor="text1"/>
                <w:kern w:val="0"/>
                <w:sz w:val="22"/>
                <w:szCs w:val="22"/>
                <w:highlight w:val="none"/>
                <w14:textFill>
                  <w14:solidFill>
                    <w14:schemeClr w14:val="tx1"/>
                  </w14:solidFill>
                </w14:textFill>
              </w:rPr>
              <w:t>购买文件</w:t>
            </w:r>
          </w:p>
          <w:p>
            <w:pPr>
              <w:widowControl/>
              <w:ind w:left="0" w:leftChars="0" w:firstLine="0" w:firstLineChars="0"/>
              <w:jc w:val="both"/>
              <w:textAlignment w:val="center"/>
              <w:rPr>
                <w:rFonts w:ascii="宋体" w:hAnsi="宋体"/>
                <w:b/>
                <w:color w:val="000000" w:themeColor="text1"/>
                <w:sz w:val="22"/>
                <w:szCs w:val="22"/>
                <w:highlight w:val="none"/>
                <w14:textFill>
                  <w14:solidFill>
                    <w14:schemeClr w14:val="tx1"/>
                  </w14:solidFill>
                </w14:textFill>
              </w:rPr>
            </w:pPr>
            <w:r>
              <w:rPr>
                <w:rFonts w:hint="eastAsia" w:ascii="宋体" w:hAnsi="宋体" w:cs="宋体"/>
                <w:b/>
                <w:color w:val="000000" w:themeColor="text1"/>
                <w:kern w:val="0"/>
                <w:sz w:val="22"/>
                <w:szCs w:val="22"/>
                <w:highlight w:val="none"/>
                <w14:textFill>
                  <w14:solidFill>
                    <w14:schemeClr w14:val="tx1"/>
                  </w14:solidFill>
                </w14:textFill>
              </w:rPr>
              <w:t>所</w:t>
            </w:r>
            <w:r>
              <w:rPr>
                <w:rFonts w:hint="eastAsia" w:ascii="宋体" w:hAnsi="宋体" w:cs="宋体"/>
                <w:b/>
                <w:color w:val="000000" w:themeColor="text1"/>
                <w:kern w:val="0"/>
                <w:sz w:val="22"/>
                <w:szCs w:val="22"/>
                <w:highlight w:val="none"/>
                <w:lang w:eastAsia="zh-CN"/>
                <w14:textFill>
                  <w14:solidFill>
                    <w14:schemeClr w14:val="tx1"/>
                  </w14:solidFill>
                </w14:textFill>
              </w:rPr>
              <w:t>需</w:t>
            </w:r>
            <w:r>
              <w:rPr>
                <w:rFonts w:hint="eastAsia" w:ascii="宋体" w:hAnsi="宋体" w:cs="宋体"/>
                <w:b/>
                <w:color w:val="000000" w:themeColor="text1"/>
                <w:kern w:val="0"/>
                <w:sz w:val="22"/>
                <w:szCs w:val="22"/>
                <w:highlight w:val="none"/>
                <w14:textFill>
                  <w14:solidFill>
                    <w14:schemeClr w14:val="tx1"/>
                  </w14:solidFill>
                </w14:textFill>
              </w:rPr>
              <w:t>资料</w:t>
            </w:r>
          </w:p>
        </w:tc>
        <w:tc>
          <w:tcPr>
            <w:tcW w:w="7714" w:type="dxa"/>
            <w:gridSpan w:val="5"/>
            <w:tcBorders>
              <w:top w:val="single" w:color="auto" w:sz="4" w:space="0"/>
              <w:left w:val="single" w:color="auto" w:sz="4" w:space="0"/>
              <w:right w:val="single" w:color="auto" w:sz="4" w:space="0"/>
            </w:tcBorders>
            <w:noWrap w:val="0"/>
            <w:vAlign w:val="center"/>
          </w:tcPr>
          <w:p>
            <w:pPr>
              <w:widowControl/>
              <w:textAlignment w:val="center"/>
              <w:rPr>
                <w:rStyle w:val="67"/>
                <w:rFonts w:hint="default"/>
                <w:b/>
                <w:color w:val="000000" w:themeColor="text1"/>
                <w:sz w:val="21"/>
                <w:szCs w:val="21"/>
                <w:highlight w:val="none"/>
                <w14:textFill>
                  <w14:solidFill>
                    <w14:schemeClr w14:val="tx1"/>
                  </w14:solidFill>
                </w14:textFill>
              </w:rPr>
            </w:pPr>
            <w:r>
              <w:rPr>
                <w:rFonts w:hint="eastAsia" w:ascii="Wingdings 2" w:hAnsi="Wingdings 2" w:cs="Wingdings 2"/>
                <w:b/>
                <w:color w:val="000000" w:themeColor="text1"/>
                <w:kern w:val="0"/>
                <w:sz w:val="24"/>
                <w:highlight w:val="none"/>
                <w:lang w:val="en-US" w:eastAsia="zh-CN"/>
                <w14:textFill>
                  <w14:solidFill>
                    <w14:schemeClr w14:val="tx1"/>
                  </w14:solidFill>
                </w14:textFill>
              </w:rPr>
              <w:t>□</w:t>
            </w:r>
            <w:r>
              <w:rPr>
                <w:rStyle w:val="67"/>
                <w:rFonts w:hint="default"/>
                <w:b/>
                <w:color w:val="000000" w:themeColor="text1"/>
                <w:sz w:val="21"/>
                <w:szCs w:val="21"/>
                <w:highlight w:val="none"/>
                <w14:textFill>
                  <w14:solidFill>
                    <w14:schemeClr w14:val="tx1"/>
                  </w14:solidFill>
                </w14:textFill>
              </w:rPr>
              <w:t>单位介绍信</w:t>
            </w:r>
            <w:r>
              <w:rPr>
                <w:rStyle w:val="67"/>
                <w:rFonts w:hint="eastAsia"/>
                <w:b/>
                <w:color w:val="000000" w:themeColor="text1"/>
                <w:sz w:val="21"/>
                <w:szCs w:val="21"/>
                <w:highlight w:val="none"/>
                <w:lang w:val="en-US" w:eastAsia="zh-CN"/>
                <w14:textFill>
                  <w14:solidFill>
                    <w14:schemeClr w14:val="tx1"/>
                  </w14:solidFill>
                </w14:textFill>
              </w:rPr>
              <w:t xml:space="preserve"> </w:t>
            </w:r>
            <w:r>
              <w:rPr>
                <w:rStyle w:val="67"/>
                <w:rFonts w:hint="default"/>
                <w:b/>
                <w:color w:val="000000" w:themeColor="text1"/>
                <w:sz w:val="21"/>
                <w:szCs w:val="21"/>
                <w:highlight w:val="none"/>
                <w14:textFill>
                  <w14:solidFill>
                    <w14:schemeClr w14:val="tx1"/>
                  </w14:solidFill>
                </w14:textFill>
              </w:rPr>
              <w:t>（</w:t>
            </w:r>
            <w:r>
              <w:rPr>
                <w:rStyle w:val="67"/>
                <w:rFonts w:hint="eastAsia"/>
                <w:b/>
                <w:color w:val="000000" w:themeColor="text1"/>
                <w:sz w:val="21"/>
                <w:szCs w:val="21"/>
                <w:highlight w:val="none"/>
                <w:lang w:eastAsia="zh-CN"/>
                <w14:textFill>
                  <w14:solidFill>
                    <w14:schemeClr w14:val="tx1"/>
                  </w14:solidFill>
                </w14:textFill>
              </w:rPr>
              <w:t>加</w:t>
            </w:r>
            <w:r>
              <w:rPr>
                <w:rStyle w:val="67"/>
                <w:rFonts w:hint="default"/>
                <w:b/>
                <w:color w:val="000000" w:themeColor="text1"/>
                <w:sz w:val="21"/>
                <w:szCs w:val="21"/>
                <w:highlight w:val="none"/>
                <w14:textFill>
                  <w14:solidFill>
                    <w14:schemeClr w14:val="tx1"/>
                  </w14:solidFill>
                </w14:textFill>
              </w:rPr>
              <w:t>盖单位鲜章）</w:t>
            </w:r>
          </w:p>
          <w:p>
            <w:pPr>
              <w:widowControl/>
              <w:textAlignment w:val="center"/>
              <w:rPr>
                <w:rStyle w:val="67"/>
                <w:rFonts w:hint="default"/>
                <w:b/>
                <w:color w:val="000000" w:themeColor="text1"/>
                <w:sz w:val="21"/>
                <w:szCs w:val="21"/>
                <w:highlight w:val="none"/>
                <w14:textFill>
                  <w14:solidFill>
                    <w14:schemeClr w14:val="tx1"/>
                  </w14:solidFill>
                </w14:textFill>
              </w:rPr>
            </w:pPr>
            <w:r>
              <w:rPr>
                <w:rFonts w:hint="eastAsia" w:ascii="Wingdings 2" w:hAnsi="Wingdings 2" w:cs="Wingdings 2"/>
                <w:b/>
                <w:color w:val="000000" w:themeColor="text1"/>
                <w:kern w:val="0"/>
                <w:sz w:val="24"/>
                <w:highlight w:val="none"/>
                <w:lang w:val="en-US" w:eastAsia="zh-CN"/>
                <w14:textFill>
                  <w14:solidFill>
                    <w14:schemeClr w14:val="tx1"/>
                  </w14:solidFill>
                </w14:textFill>
              </w:rPr>
              <w:t>□</w:t>
            </w:r>
            <w:r>
              <w:rPr>
                <w:rStyle w:val="67"/>
                <w:rFonts w:hint="default"/>
                <w:b/>
                <w:color w:val="000000" w:themeColor="text1"/>
                <w:sz w:val="21"/>
                <w:szCs w:val="21"/>
                <w:highlight w:val="none"/>
                <w14:textFill>
                  <w14:solidFill>
                    <w14:schemeClr w14:val="tx1"/>
                  </w14:solidFill>
                </w14:textFill>
              </w:rPr>
              <w:t>经办人身份证复印件(正反面)（</w:t>
            </w:r>
            <w:r>
              <w:rPr>
                <w:rStyle w:val="67"/>
                <w:rFonts w:hint="eastAsia"/>
                <w:b/>
                <w:color w:val="000000" w:themeColor="text1"/>
                <w:sz w:val="21"/>
                <w:szCs w:val="21"/>
                <w:highlight w:val="none"/>
                <w:lang w:eastAsia="zh-CN"/>
                <w14:textFill>
                  <w14:solidFill>
                    <w14:schemeClr w14:val="tx1"/>
                  </w14:solidFill>
                </w14:textFill>
              </w:rPr>
              <w:t>加</w:t>
            </w:r>
            <w:r>
              <w:rPr>
                <w:rStyle w:val="67"/>
                <w:rFonts w:hint="default"/>
                <w:b/>
                <w:color w:val="000000" w:themeColor="text1"/>
                <w:sz w:val="21"/>
                <w:szCs w:val="21"/>
                <w:highlight w:val="none"/>
                <w14:textFill>
                  <w14:solidFill>
                    <w14:schemeClr w14:val="tx1"/>
                  </w14:solidFill>
                </w14:textFill>
              </w:rPr>
              <w:t>盖单位鲜章）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atLeast"/>
        </w:trPr>
        <w:tc>
          <w:tcPr>
            <w:tcW w:w="1916" w:type="dxa"/>
            <w:tcBorders>
              <w:top w:val="single" w:color="auto" w:sz="4" w:space="0"/>
              <w:left w:val="single" w:color="auto" w:sz="4" w:space="0"/>
              <w:bottom w:val="single" w:color="auto" w:sz="4" w:space="0"/>
              <w:right w:val="single" w:color="auto" w:sz="4" w:space="0"/>
            </w:tcBorders>
            <w:noWrap w:val="0"/>
            <w:vAlign w:val="center"/>
          </w:tcPr>
          <w:p>
            <w:pPr>
              <w:widowControl/>
              <w:ind w:left="0" w:leftChars="0" w:firstLine="0" w:firstLineChars="0"/>
              <w:jc w:val="both"/>
              <w:textAlignment w:val="center"/>
              <w:rPr>
                <w:rFonts w:ascii="宋体" w:hAnsi="宋体" w:cs="宋体"/>
                <w:b/>
                <w:color w:val="000000" w:themeColor="text1"/>
                <w:kern w:val="0"/>
                <w:sz w:val="22"/>
                <w:szCs w:val="22"/>
                <w:highlight w:val="none"/>
                <w14:textFill>
                  <w14:solidFill>
                    <w14:schemeClr w14:val="tx1"/>
                  </w14:solidFill>
                </w14:textFill>
              </w:rPr>
            </w:pPr>
            <w:r>
              <w:rPr>
                <w:rFonts w:hint="eastAsia" w:ascii="宋体" w:hAnsi="宋体" w:cs="宋体"/>
                <w:b/>
                <w:color w:val="000000" w:themeColor="text1"/>
                <w:kern w:val="0"/>
                <w:sz w:val="22"/>
                <w:szCs w:val="22"/>
                <w:highlight w:val="none"/>
                <w14:textFill>
                  <w14:solidFill>
                    <w14:schemeClr w14:val="tx1"/>
                  </w14:solidFill>
                </w14:textFill>
              </w:rPr>
              <w:t>领取文件方式</w:t>
            </w:r>
          </w:p>
        </w:tc>
        <w:tc>
          <w:tcPr>
            <w:tcW w:w="7714" w:type="dxa"/>
            <w:gridSpan w:val="5"/>
            <w:tcBorders>
              <w:top w:val="single" w:color="auto" w:sz="4" w:space="0"/>
              <w:left w:val="single" w:color="auto" w:sz="4" w:space="0"/>
              <w:bottom w:val="single" w:color="auto" w:sz="4" w:space="0"/>
              <w:right w:val="single" w:color="auto" w:sz="4" w:space="0"/>
            </w:tcBorders>
            <w:noWrap w:val="0"/>
            <w:vAlign w:val="center"/>
          </w:tcPr>
          <w:p>
            <w:pPr>
              <w:widowControl/>
              <w:textAlignment w:val="center"/>
              <w:rPr>
                <w:rStyle w:val="67"/>
                <w:rFonts w:hint="default"/>
                <w:b/>
                <w:color w:val="000000" w:themeColor="text1"/>
                <w:sz w:val="21"/>
                <w:szCs w:val="21"/>
                <w:highlight w:val="none"/>
                <w14:textFill>
                  <w14:solidFill>
                    <w14:schemeClr w14:val="tx1"/>
                  </w14:solidFill>
                </w14:textFill>
              </w:rPr>
            </w:pPr>
            <w:r>
              <w:rPr>
                <w:rFonts w:hint="eastAsia" w:ascii="Wingdings 2" w:hAnsi="Wingdings 2" w:cs="Wingdings 2"/>
                <w:b/>
                <w:color w:val="000000" w:themeColor="text1"/>
                <w:kern w:val="0"/>
                <w:sz w:val="24"/>
                <w:highlight w:val="none"/>
                <w:lang w:val="en-US" w:eastAsia="zh-CN"/>
                <w14:textFill>
                  <w14:solidFill>
                    <w14:schemeClr w14:val="tx1"/>
                  </w14:solidFill>
                </w14:textFill>
              </w:rPr>
              <w:t>□</w:t>
            </w:r>
            <w:r>
              <w:rPr>
                <w:rStyle w:val="67"/>
                <w:rFonts w:hint="default"/>
                <w:b/>
                <w:color w:val="000000" w:themeColor="text1"/>
                <w:sz w:val="21"/>
                <w:szCs w:val="21"/>
                <w:highlight w:val="none"/>
                <w14:textFill>
                  <w14:solidFill>
                    <w14:schemeClr w14:val="tx1"/>
                  </w14:solidFill>
                </w14:textFill>
              </w:rPr>
              <w:t>现场U盘拷贝</w:t>
            </w:r>
            <w:r>
              <w:rPr>
                <w:rStyle w:val="67"/>
                <w:rFonts w:hint="eastAsia"/>
                <w:b/>
                <w:color w:val="000000" w:themeColor="text1"/>
                <w:sz w:val="21"/>
                <w:szCs w:val="21"/>
                <w:highlight w:val="none"/>
                <w:lang w:val="en-US" w:eastAsia="zh-CN"/>
                <w14:textFill>
                  <w14:solidFill>
                    <w14:schemeClr w14:val="tx1"/>
                  </w14:solidFill>
                </w14:textFill>
              </w:rPr>
              <w:t xml:space="preserve">       </w:t>
            </w:r>
            <w:r>
              <w:rPr>
                <w:rFonts w:hint="eastAsia" w:ascii="Wingdings 2" w:hAnsi="Wingdings 2" w:cs="Wingdings 2"/>
                <w:b/>
                <w:color w:val="000000" w:themeColor="text1"/>
                <w:kern w:val="0"/>
                <w:sz w:val="24"/>
                <w:highlight w:val="none"/>
                <w:lang w:val="en-US" w:eastAsia="zh-CN"/>
                <w14:textFill>
                  <w14:solidFill>
                    <w14:schemeClr w14:val="tx1"/>
                  </w14:solidFill>
                </w14:textFill>
              </w:rPr>
              <w:t>□</w:t>
            </w:r>
            <w:r>
              <w:rPr>
                <w:rStyle w:val="67"/>
                <w:rFonts w:hint="default"/>
                <w:b/>
                <w:color w:val="000000" w:themeColor="text1"/>
                <w:sz w:val="21"/>
                <w:szCs w:val="21"/>
                <w:highlight w:val="none"/>
                <w14:textFill>
                  <w14:solidFill>
                    <w14:schemeClr w14:val="tx1"/>
                  </w14:solidFill>
                </w14:textFill>
              </w:rPr>
              <w:t>邮件获取</w:t>
            </w:r>
          </w:p>
        </w:tc>
      </w:tr>
    </w:tbl>
    <w:p>
      <w:pPr>
        <w:keepNext w:val="0"/>
        <w:keepLines w:val="0"/>
        <w:pageBreakBefore w:val="0"/>
        <w:widowControl w:val="0"/>
        <w:kinsoku/>
        <w:wordWrap/>
        <w:overflowPunct/>
        <w:topLinePunct w:val="0"/>
        <w:autoSpaceDE/>
        <w:autoSpaceDN/>
        <w:bidi w:val="0"/>
        <w:adjustRightInd/>
        <w:snapToGrid/>
        <w:spacing w:line="360" w:lineRule="auto"/>
        <w:ind w:right="0"/>
        <w:jc w:val="left"/>
        <w:textAlignment w:val="auto"/>
        <w:rPr>
          <w:rFonts w:hint="eastAsia" w:ascii="宋体" w:hAnsi="宋体"/>
          <w:b/>
          <w:bCs w:val="0"/>
          <w:color w:val="000000" w:themeColor="text1"/>
          <w:sz w:val="24"/>
          <w:szCs w:val="24"/>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right="0"/>
        <w:jc w:val="left"/>
        <w:textAlignment w:val="auto"/>
        <w:rPr>
          <w:rFonts w:hint="eastAsia" w:ascii="宋体" w:hAnsi="宋体"/>
          <w:b/>
          <w:bCs w:val="0"/>
          <w:sz w:val="22"/>
          <w:szCs w:val="22"/>
          <w:lang w:val="en-US" w:eastAsia="zh-CN"/>
        </w:rPr>
      </w:pPr>
      <w:r>
        <w:rPr>
          <w:rFonts w:hint="eastAsia" w:ascii="宋体" w:hAnsi="宋体"/>
          <w:b/>
          <w:bCs w:val="0"/>
          <w:color w:val="000000" w:themeColor="text1"/>
          <w:sz w:val="40"/>
          <w:szCs w:val="40"/>
          <w:highlight w:val="none"/>
          <w14:textFill>
            <w14:solidFill>
              <w14:schemeClr w14:val="tx1"/>
            </w14:solidFill>
          </w14:textFill>
        </w:rPr>
        <w:drawing>
          <wp:anchor distT="0" distB="0" distL="114300" distR="114300" simplePos="0" relativeHeight="251659264" behindDoc="0" locked="0" layoutInCell="1" allowOverlap="1">
            <wp:simplePos x="0" y="0"/>
            <wp:positionH relativeFrom="column">
              <wp:posOffset>-339090</wp:posOffset>
            </wp:positionH>
            <wp:positionV relativeFrom="paragraph">
              <wp:posOffset>721995</wp:posOffset>
            </wp:positionV>
            <wp:extent cx="1882140" cy="2040255"/>
            <wp:effectExtent l="0" t="0" r="3810" b="17145"/>
            <wp:wrapSquare wrapText="bothSides"/>
            <wp:docPr id="30" name="图片 2" descr="1ae20e07a6ae3065b95df30526126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descr="1ae20e07a6ae3065b95df30526126f9"/>
                    <pic:cNvPicPr>
                      <a:picLocks noChangeAspect="1"/>
                    </pic:cNvPicPr>
                  </pic:nvPicPr>
                  <pic:blipFill>
                    <a:blip r:embed="rId46"/>
                    <a:stretch>
                      <a:fillRect/>
                    </a:stretch>
                  </pic:blipFill>
                  <pic:spPr>
                    <a:xfrm>
                      <a:off x="0" y="0"/>
                      <a:ext cx="1882140" cy="2040255"/>
                    </a:xfrm>
                    <a:prstGeom prst="rect">
                      <a:avLst/>
                    </a:prstGeom>
                    <a:noFill/>
                    <a:ln>
                      <a:noFill/>
                    </a:ln>
                  </pic:spPr>
                </pic:pic>
              </a:graphicData>
            </a:graphic>
          </wp:anchor>
        </w:drawing>
      </w:r>
      <w:r>
        <w:rPr>
          <w:rFonts w:hint="eastAsia" w:ascii="宋体" w:hAnsi="宋体"/>
          <w:b/>
          <w:bCs w:val="0"/>
          <w:color w:val="000000" w:themeColor="text1"/>
          <w:sz w:val="40"/>
          <w:szCs w:val="40"/>
          <w:highlight w:val="none"/>
          <w:lang w:val="en-US" w:eastAsia="zh-CN"/>
          <w14:textFill>
            <w14:solidFill>
              <w14:schemeClr w14:val="tx1"/>
            </w14:solidFill>
          </w14:textFill>
        </w:rPr>
        <w:t>注</w:t>
      </w:r>
      <w:r>
        <w:rPr>
          <w:rFonts w:hint="eastAsia" w:ascii="宋体" w:hAnsi="宋体"/>
          <w:b/>
          <w:bCs w:val="0"/>
          <w:color w:val="000000" w:themeColor="text1"/>
          <w:sz w:val="22"/>
          <w:szCs w:val="22"/>
          <w:highlight w:val="none"/>
          <w:lang w:val="en-US" w:eastAsia="zh-CN"/>
          <w14:textFill>
            <w14:solidFill>
              <w14:schemeClr w14:val="tx1"/>
            </w14:solidFill>
          </w14:textFill>
        </w:rPr>
        <w:t>：</w:t>
      </w:r>
      <w:r>
        <w:rPr>
          <w:rFonts w:hint="eastAsia" w:ascii="宋体" w:hAnsi="宋体"/>
          <w:b/>
          <w:bCs w:val="0"/>
          <w:sz w:val="22"/>
          <w:szCs w:val="22"/>
          <w:lang w:val="en-US" w:eastAsia="zh-CN"/>
        </w:rPr>
        <w:t>1.报名单位将此标下载并填写相关信息；2.扫描下方收款二维码（付款备注公司简称）进行支付报名费（采购公告未要求缴纳报名费的除外）；3.加盖报名单位公章的报名资料（报名资料包含单位介绍信、</w:t>
      </w:r>
      <w:r>
        <w:rPr>
          <w:rFonts w:hint="default" w:ascii="宋体" w:hAnsi="宋体"/>
          <w:b/>
          <w:bCs w:val="0"/>
          <w:sz w:val="22"/>
          <w:szCs w:val="22"/>
          <w:lang w:val="en-US" w:eastAsia="zh-CN"/>
        </w:rPr>
        <w:t>经办人身份证复印件(正反面)</w:t>
      </w:r>
      <w:r>
        <w:rPr>
          <w:rFonts w:hint="eastAsia" w:ascii="宋体" w:hAnsi="宋体"/>
          <w:b/>
          <w:bCs w:val="0"/>
          <w:sz w:val="22"/>
          <w:szCs w:val="22"/>
          <w:lang w:val="en-US" w:eastAsia="zh-CN"/>
        </w:rPr>
        <w:t>、本报名登记表、缴费凭证截图且能显示付款时间及金额）发至我公司邮箱：</w:t>
      </w:r>
      <w:r>
        <w:rPr>
          <w:rFonts w:hint="eastAsia" w:ascii="宋体" w:hAnsi="宋体"/>
          <w:b/>
          <w:bCs w:val="0"/>
          <w:sz w:val="22"/>
          <w:szCs w:val="22"/>
          <w:lang w:val="en-US" w:eastAsia="zh-CN"/>
        </w:rPr>
        <w:fldChar w:fldCharType="begin"/>
      </w:r>
      <w:r>
        <w:rPr>
          <w:rFonts w:hint="eastAsia" w:ascii="宋体" w:hAnsi="宋体"/>
          <w:b/>
          <w:bCs w:val="0"/>
          <w:sz w:val="22"/>
          <w:szCs w:val="22"/>
          <w:lang w:val="en-US" w:eastAsia="zh-CN"/>
        </w:rPr>
        <w:instrText xml:space="preserve"> HYPERLINK "mailto:doc@syba.net.cn；我司工作人员在收到报名单位资料并确认无误后发送招标文件至报名单位经办人登记表上邮箱）" </w:instrText>
      </w:r>
      <w:r>
        <w:rPr>
          <w:rFonts w:hint="eastAsia" w:ascii="宋体" w:hAnsi="宋体"/>
          <w:b/>
          <w:bCs w:val="0"/>
          <w:sz w:val="22"/>
          <w:szCs w:val="22"/>
          <w:lang w:val="en-US" w:eastAsia="zh-CN"/>
        </w:rPr>
        <w:fldChar w:fldCharType="separate"/>
      </w:r>
      <w:r>
        <w:rPr>
          <w:rFonts w:hint="eastAsia" w:ascii="宋体" w:hAnsi="宋体"/>
          <w:b/>
          <w:bCs w:val="0"/>
          <w:sz w:val="32"/>
          <w:szCs w:val="32"/>
          <w:u w:val="single"/>
          <w:lang w:val="en-US" w:eastAsia="zh-CN"/>
        </w:rPr>
        <w:t>doc@syba.net.cn</w:t>
      </w:r>
      <w:r>
        <w:rPr>
          <w:rFonts w:hint="eastAsia" w:ascii="宋体" w:hAnsi="宋体"/>
          <w:b/>
          <w:bCs w:val="0"/>
          <w:sz w:val="22"/>
          <w:szCs w:val="22"/>
          <w:lang w:val="en-US" w:eastAsia="zh-CN"/>
        </w:rPr>
        <w:t>；我司工作人员在收到报名单位资料并确认无误后发送招标文件至报名单位经办人登记表上邮箱）</w:t>
      </w:r>
      <w:r>
        <w:rPr>
          <w:rFonts w:hint="eastAsia" w:ascii="宋体" w:hAnsi="宋体"/>
          <w:b/>
          <w:bCs w:val="0"/>
          <w:sz w:val="22"/>
          <w:szCs w:val="22"/>
          <w:lang w:val="en-US" w:eastAsia="zh-CN"/>
        </w:rPr>
        <w:fldChar w:fldCharType="end"/>
      </w:r>
    </w:p>
    <w:p>
      <w:pPr>
        <w:keepNext w:val="0"/>
        <w:keepLines w:val="0"/>
        <w:pageBreakBefore w:val="0"/>
        <w:widowControl w:val="0"/>
        <w:kinsoku/>
        <w:wordWrap/>
        <w:overflowPunct/>
        <w:topLinePunct w:val="0"/>
        <w:autoSpaceDE/>
        <w:autoSpaceDN/>
        <w:bidi w:val="0"/>
        <w:adjustRightInd/>
        <w:snapToGrid/>
        <w:spacing w:line="360" w:lineRule="auto"/>
        <w:ind w:right="0"/>
        <w:jc w:val="left"/>
        <w:textAlignment w:val="auto"/>
        <w:rPr>
          <w:rFonts w:hint="default" w:ascii="宋体" w:hAnsi="宋体"/>
          <w:b/>
          <w:bCs w:val="0"/>
          <w:color w:val="000000" w:themeColor="text1"/>
          <w:sz w:val="22"/>
          <w:szCs w:val="22"/>
          <w:highlight w:val="none"/>
          <w:lang w:val="en-US" w:eastAsia="zh-CN"/>
          <w14:textFill>
            <w14:solidFill>
              <w14:schemeClr w14:val="tx1"/>
            </w14:solidFill>
          </w14:textFill>
        </w:rPr>
      </w:pPr>
      <w:r>
        <w:rPr>
          <w:rFonts w:hint="eastAsia" w:ascii="宋体" w:hAnsi="宋体"/>
          <w:b/>
          <w:bCs w:val="0"/>
          <w:sz w:val="22"/>
          <w:szCs w:val="22"/>
          <w:lang w:val="en-US" w:eastAsia="zh-CN"/>
        </w:rPr>
        <w:t>报名咨询电话：</w:t>
      </w:r>
      <w:r>
        <w:rPr>
          <w:rFonts w:hint="eastAsia" w:ascii="宋体" w:hAnsi="宋体"/>
          <w:b/>
          <w:bCs w:val="0"/>
          <w:sz w:val="22"/>
          <w:szCs w:val="22"/>
          <w:u w:val="single"/>
          <w:lang w:val="en-US" w:eastAsia="zh-CN"/>
        </w:rPr>
        <w:t>028-87654015</w:t>
      </w:r>
      <w:r>
        <w:rPr>
          <w:rFonts w:hint="eastAsia" w:ascii="宋体" w:hAnsi="宋体"/>
          <w:b/>
          <w:sz w:val="28"/>
          <w:szCs w:val="28"/>
        </w:rPr>
        <w:t xml:space="preserve">    </w:t>
      </w:r>
    </w:p>
    <w:p>
      <w:pPr>
        <w:keepNext w:val="0"/>
        <w:keepLines w:val="0"/>
        <w:pageBreakBefore w:val="0"/>
        <w:widowControl w:val="0"/>
        <w:kinsoku/>
        <w:wordWrap/>
        <w:overflowPunct/>
        <w:topLinePunct w:val="0"/>
        <w:autoSpaceDE/>
        <w:autoSpaceDN/>
        <w:bidi w:val="0"/>
        <w:adjustRightInd/>
        <w:snapToGrid/>
        <w:spacing w:line="240" w:lineRule="auto"/>
        <w:ind w:left="5421" w:right="1800" w:hanging="5060" w:hangingChars="1800"/>
        <w:textAlignment w:val="auto"/>
        <w:rPr>
          <w:rFonts w:hint="eastAsia" w:ascii="宋体" w:hAnsi="宋体"/>
          <w:b/>
          <w:color w:val="000000" w:themeColor="text1"/>
          <w:sz w:val="28"/>
          <w:szCs w:val="28"/>
          <w:highlight w:val="none"/>
          <w:lang w:val="en-US" w:eastAsia="zh-CN"/>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 xml:space="preserve">                     </w:t>
      </w:r>
      <w:r>
        <w:rPr>
          <w:rFonts w:hint="eastAsia" w:ascii="宋体" w:hAnsi="宋体"/>
          <w:b/>
          <w:color w:val="000000" w:themeColor="text1"/>
          <w:sz w:val="28"/>
          <w:szCs w:val="28"/>
          <w:highlight w:val="none"/>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240" w:lineRule="auto"/>
        <w:ind w:right="1800" w:firstLine="1446" w:firstLineChars="600"/>
        <w:textAlignment w:val="auto"/>
        <w:rPr>
          <w:b/>
          <w:color w:val="000000" w:themeColor="text1"/>
          <w:sz w:val="24"/>
          <w:szCs w:val="24"/>
          <w:highlight w:val="none"/>
          <w14:textFill>
            <w14:solidFill>
              <w14:schemeClr w14:val="tx1"/>
            </w14:solidFill>
          </w14:textFill>
        </w:rPr>
      </w:pPr>
      <w:r>
        <w:rPr>
          <w:rFonts w:hint="eastAsia" w:ascii="宋体" w:hAnsi="宋体"/>
          <w:b/>
          <w:bCs/>
          <w:color w:val="000000" w:themeColor="text1"/>
          <w:sz w:val="24"/>
          <w:szCs w:val="24"/>
          <w:highlight w:val="none"/>
          <w14:textFill>
            <w14:solidFill>
              <w14:schemeClr w14:val="tx1"/>
            </w14:solidFill>
          </w14:textFill>
        </w:rPr>
        <w:t>经办人签字：</w:t>
      </w:r>
      <w:r>
        <w:rPr>
          <w:rFonts w:hint="eastAsia" w:ascii="宋体" w:hAnsi="宋体"/>
          <w:b/>
          <w:color w:val="000000" w:themeColor="text1"/>
          <w:sz w:val="28"/>
          <w:szCs w:val="28"/>
          <w:highlight w:val="none"/>
          <w14:textFill>
            <w14:solidFill>
              <w14:schemeClr w14:val="tx1"/>
            </w14:solidFill>
          </w14:textFill>
        </w:rPr>
        <w:t xml:space="preserve">                         </w:t>
      </w:r>
    </w:p>
    <w:bookmarkEnd w:id="162"/>
    <w:p>
      <w:pPr>
        <w:keepNext w:val="0"/>
        <w:keepLines w:val="0"/>
        <w:pageBreakBefore w:val="0"/>
        <w:widowControl w:val="0"/>
        <w:kinsoku/>
        <w:wordWrap/>
        <w:overflowPunct/>
        <w:topLinePunct w:val="0"/>
        <w:autoSpaceDE/>
        <w:autoSpaceDN/>
        <w:bidi w:val="0"/>
        <w:adjustRightInd/>
        <w:snapToGrid/>
        <w:spacing w:line="240" w:lineRule="auto"/>
        <w:ind w:firstLine="964" w:firstLineChars="400"/>
        <w:jc w:val="both"/>
        <w:textAlignment w:val="auto"/>
        <w:rPr>
          <w:rFonts w:hint="eastAsia" w:ascii="宋体" w:hAnsi="宋体"/>
          <w:b/>
          <w:bCs/>
          <w:color w:val="000000" w:themeColor="text1"/>
          <w:sz w:val="24"/>
          <w:szCs w:val="24"/>
          <w:highlight w:val="none"/>
          <w:lang w:val="en-US" w:eastAsia="zh-CN"/>
          <w14:textFill>
            <w14:solidFill>
              <w14:schemeClr w14:val="tx1"/>
            </w14:solidFill>
          </w14:textFill>
        </w:rPr>
      </w:pPr>
      <w:r>
        <w:rPr>
          <w:rFonts w:hint="eastAsia" w:ascii="宋体" w:hAnsi="宋体"/>
          <w:b/>
          <w:bCs/>
          <w:color w:val="000000" w:themeColor="text1"/>
          <w:sz w:val="24"/>
          <w:szCs w:val="24"/>
          <w:highlight w:val="none"/>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240" w:lineRule="auto"/>
        <w:ind w:firstLine="3855" w:firstLineChars="1600"/>
        <w:jc w:val="both"/>
        <w:textAlignment w:val="auto"/>
        <w:rPr>
          <w:rFonts w:hint="default" w:ascii="仿宋" w:hAnsi="仿宋" w:eastAsia="仿宋" w:cs="仿宋"/>
          <w:color w:val="000000" w:themeColor="text1"/>
          <w:sz w:val="22"/>
          <w:szCs w:val="22"/>
          <w:highlight w:val="none"/>
          <w:lang w:val="en-US" w:eastAsia="zh-CN"/>
          <w14:textFill>
            <w14:solidFill>
              <w14:schemeClr w14:val="tx1"/>
            </w14:solidFill>
          </w14:textFill>
        </w:rPr>
      </w:pPr>
      <w:r>
        <w:rPr>
          <w:rFonts w:hint="eastAsia" w:ascii="宋体" w:hAnsi="宋体"/>
          <w:b/>
          <w:bCs/>
          <w:color w:val="000000" w:themeColor="text1"/>
          <w:sz w:val="24"/>
          <w:szCs w:val="24"/>
          <w:highlight w:val="none"/>
          <w:lang w:val="en-US" w:eastAsia="zh-CN"/>
          <w14:textFill>
            <w14:solidFill>
              <w14:schemeClr w14:val="tx1"/>
            </w14:solidFill>
          </w14:textFill>
        </w:rPr>
        <w:t xml:space="preserve">报名登记时间： </w:t>
      </w:r>
    </w:p>
    <w:p>
      <w:pPr>
        <w:spacing w:line="240" w:lineRule="auto"/>
        <w:ind w:firstLine="0" w:firstLineChars="0"/>
        <w:rPr>
          <w:rFonts w:hint="eastAsia"/>
          <w:color w:val="000000" w:themeColor="text1"/>
          <w:highlight w:val="none"/>
          <w14:textFill>
            <w14:solidFill>
              <w14:schemeClr w14:val="tx1"/>
            </w14:solidFill>
          </w14:textFill>
        </w:rPr>
      </w:pPr>
    </w:p>
    <w:sectPr>
      <w:footerReference r:id="rId18" w:type="default"/>
      <w:pgSz w:w="11907" w:h="16840"/>
      <w:pgMar w:top="1134" w:right="1418" w:bottom="1134" w:left="1418" w:header="851" w:footer="992" w:gutter="0"/>
      <w:pgNumType w:fmt="decimal"/>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ms Rmn">
    <w:altName w:val="Times New Roman"/>
    <w:panose1 w:val="02020603040505020304"/>
    <w:charset w:val="00"/>
    <w:family w:val="roman"/>
    <w:pitch w:val="default"/>
    <w:sig w:usb0="00000000" w:usb1="00000000" w:usb2="00000000" w:usb3="00000000" w:csb0="00000001" w:csb1="00000000"/>
  </w:font>
  <w:font w:name="Cambria">
    <w:panose1 w:val="02040503050406030204"/>
    <w:charset w:val="00"/>
    <w:family w:val="roman"/>
    <w:pitch w:val="default"/>
    <w:sig w:usb0="E00006FF" w:usb1="420024FF" w:usb2="02000000" w:usb3="00000000" w:csb0="2000019F" w:csb1="00000000"/>
  </w:font>
  <w:font w:name=".......">
    <w:altName w:val="宋体"/>
    <w:panose1 w:val="00000000000000000000"/>
    <w:charset w:val="86"/>
    <w:family w:val="roman"/>
    <w:pitch w:val="default"/>
    <w:sig w:usb0="00000000" w:usb1="00000000" w:usb2="00000010" w:usb3="00000000" w:csb0="00040000" w:csb1="00000000"/>
  </w:font>
  <w:font w:name="MingLiU">
    <w:altName w:val="Microsoft JhengHei UI"/>
    <w:panose1 w:val="02010609000101010101"/>
    <w:charset w:val="88"/>
    <w:family w:val="modern"/>
    <w:pitch w:val="default"/>
    <w:sig w:usb0="00000000" w:usb1="00000000" w:usb2="00000016" w:usb3="00000000" w:csb0="00100001" w:csb1="00000000"/>
  </w:font>
  <w:font w:name="Microsoft JhengHei UI">
    <w:panose1 w:val="020B0604030504040204"/>
    <w:charset w:val="88"/>
    <w:family w:val="auto"/>
    <w:pitch w:val="default"/>
    <w:sig w:usb0="000002A7" w:usb1="28CF4400" w:usb2="00000016" w:usb3="00000000" w:csb0="00100009"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rFonts w:hint="eastAsia"/>
        <w:b/>
        <w:bCs/>
      </w:rPr>
      <w:t>学法于心  尊法于行  守法于念  用法于理</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jc w:val="center"/>
    </w:pPr>
  </w:p>
  <w:p>
    <w:pPr>
      <w:pStyle w:val="16"/>
    </w:pPr>
    <w:r>
      <w:rPr>
        <w:rFonts w:hint="eastAsia"/>
        <w:b/>
        <w:bCs/>
      </w:rPr>
      <w:t>学法于心  尊法于行  守法于念  用法于理</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rFonts w:hint="eastAsia"/>
        <w:b/>
        <w:bCs/>
      </w:rPr>
      <w:t>学法于心  尊法于行  守法于念  用法于理</w:t>
    </w:r>
  </w:p>
  <w:p>
    <w:pPr>
      <w:pStyle w:val="16"/>
      <w:ind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6"/>
                            <w:ind w:firstLine="360"/>
                            <w:jc w:val="center"/>
                          </w:pPr>
                          <w:r>
                            <w:fldChar w:fldCharType="begin"/>
                          </w:r>
                          <w:r>
                            <w:instrText xml:space="preserve">PAGE   \* MERGEFORMAT</w:instrText>
                          </w:r>
                          <w:r>
                            <w:fldChar w:fldCharType="separate"/>
                          </w:r>
                          <w:r>
                            <w:rPr>
                              <w:lang w:val="zh-CN"/>
                            </w:rPr>
                            <w:t>24</w:t>
                          </w:r>
                          <w:r>
                            <w:rPr>
                              <w:lang w:val="zh-CN"/>
                            </w:rPr>
                            <w:fldChar w:fldCharType="end"/>
                          </w:r>
                        </w:p>
                      </w:txbxContent>
                    </wps:txbx>
                    <wps:bodyPr wrap="none" lIns="0" tIns="0" rIns="0" bIns="0" upright="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CU/jfjzAEAAJ0DAAAOAAAAAAAAAAEAIAAAAB4BAABkcnMvZTJv&#10;RG9jLnhtbFBLBQYAAAAABgAGAFkBAABcBQAAAAA=&#10;">
              <v:fill on="f" focussize="0,0"/>
              <v:stroke on="f"/>
              <v:imagedata o:title=""/>
              <o:lock v:ext="edit" aspectratio="f"/>
              <v:textbox inset="0mm,0mm,0mm,0mm" style="mso-fit-shape-to-text:t;">
                <w:txbxContent>
                  <w:p>
                    <w:pPr>
                      <w:pStyle w:val="16"/>
                      <w:ind w:firstLine="360"/>
                      <w:jc w:val="center"/>
                    </w:pPr>
                    <w:r>
                      <w:fldChar w:fldCharType="begin"/>
                    </w:r>
                    <w:r>
                      <w:instrText xml:space="preserve">PAGE   \* MERGEFORMAT</w:instrText>
                    </w:r>
                    <w:r>
                      <w:fldChar w:fldCharType="separate"/>
                    </w:r>
                    <w:r>
                      <w:rPr>
                        <w:lang w:val="zh-CN"/>
                      </w:rPr>
                      <w:t>24</w:t>
                    </w:r>
                    <w:r>
                      <w:rPr>
                        <w:lang w:val="zh-CN"/>
                      </w:rPr>
                      <w:fldChar w:fldCharType="end"/>
                    </w:r>
                  </w:p>
                </w:txbxContent>
              </v:textbox>
            </v:shape>
          </w:pict>
        </mc:Fallback>
      </mc:AlternateContent>
    </w:r>
  </w:p>
  <w:p>
    <w:pPr>
      <w:pStyle w:val="16"/>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6"/>
                            <w:ind w:firstLine="360"/>
                            <w:jc w:val="center"/>
                          </w:pPr>
                        </w:p>
                      </w:txbxContent>
                    </wps:txbx>
                    <wps:bodyPr wrap="none" lIns="0" tIns="0" rIns="0" bIns="0" upright="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PuSTFfLAQAAnQMAAA4AAAAAAAAAAQAgAAAAHgEAAGRycy9lMm9E&#10;b2MueG1sUEsFBgAAAAAGAAYAWQEAAFsFAAAAAA==&#10;">
              <v:fill on="f" focussize="0,0"/>
              <v:stroke on="f"/>
              <v:imagedata o:title=""/>
              <o:lock v:ext="edit" aspectratio="f"/>
              <v:textbox inset="0mm,0mm,0mm,0mm" style="mso-fit-shape-to-text:t;">
                <w:txbxContent>
                  <w:p>
                    <w:pPr>
                      <w:pStyle w:val="16"/>
                      <w:ind w:firstLine="360"/>
                      <w:jc w:val="center"/>
                    </w:pPr>
                  </w:p>
                </w:txbxContent>
              </v:textbox>
            </v:shape>
          </w:pict>
        </mc:Fallback>
      </mc:AlternateContent>
    </w:r>
  </w:p>
  <w:p>
    <w:pPr>
      <w:pStyle w:val="16"/>
      <w:rPr>
        <w:rFonts w:ascii="宋体"/>
        <w:sz w:val="28"/>
        <w:szCs w:val="28"/>
      </w:rPr>
    </w:pPr>
    <w:r>
      <w:rPr>
        <w:sz w:val="18"/>
      </w:rPr>
      <mc:AlternateContent>
        <mc:Choice Requires="wps">
          <w:drawing>
            <wp:anchor distT="0" distB="0" distL="114300" distR="114300" simplePos="0" relativeHeight="251662336" behindDoc="0" locked="0" layoutInCell="1" allowOverlap="1">
              <wp:simplePos x="0" y="0"/>
              <wp:positionH relativeFrom="margin">
                <wp:posOffset>2919730</wp:posOffset>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29.9pt;margin-top:0pt;height:144pt;width:144pt;mso-position-horizontal-relative:margin;mso-wrap-style:none;z-index:251662336;mso-width-relative:page;mso-height-relative:page;" filled="f" stroked="f" coordsize="21600,21600" o:gfxdata="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km1Dc1QAAAAgBAAAPAAAAAAAAAAEAIAAAACIAAABkcnMvZG93bnJldi54bWxQ&#10;SwECFAAUAAAACACHTuJACMWOmTMCAABjBAAADgAAAAAAAAABACAAAAAkAQAAZHJzL2Uyb0RvYy54&#10;bWxQSwUGAAAAAAYABgBZAQAAyQU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22</w:t>
                    </w:r>
                    <w:r>
                      <w:fldChar w:fldCharType="end"/>
                    </w:r>
                  </w:p>
                </w:txbxContent>
              </v:textbox>
            </v:shape>
          </w:pict>
        </mc:Fallback>
      </mc:AlternateContent>
    </w:r>
    <w:r>
      <w:rPr>
        <w:rFonts w:hint="eastAsia"/>
        <w:b/>
        <w:bCs/>
      </w:rPr>
      <w:t>学法于心  尊法于行  守法于念  用法于理</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outside" w:y="1"/>
      <w:ind w:firstLine="360"/>
      <w:rPr>
        <w:rStyle w:val="27"/>
      </w:rPr>
    </w:pPr>
    <w:r>
      <w:rPr>
        <w:rStyle w:val="27"/>
      </w:rPr>
      <w:fldChar w:fldCharType="begin"/>
    </w:r>
    <w:r>
      <w:rPr>
        <w:rStyle w:val="27"/>
      </w:rPr>
      <w:instrText xml:space="preserve">PAGE  </w:instrText>
    </w:r>
    <w:r>
      <w:rPr>
        <w:rStyle w:val="27"/>
      </w:rPr>
      <w:fldChar w:fldCharType="end"/>
    </w:r>
  </w:p>
  <w:p>
    <w:pPr>
      <w:pStyle w:val="16"/>
      <w:ind w:right="360"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560"/>
      <w:jc w:val="center"/>
      <w:rPr>
        <w:rFonts w:asci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sz w:val="28"/>
        <w:szCs w:val="28"/>
        <w:lang w:val="zh-CN"/>
      </w:rPr>
      <w:t>-</w:t>
    </w:r>
    <w:r>
      <w:rPr>
        <w:rFonts w:ascii="宋体" w:hAnsi="宋体"/>
        <w:sz w:val="28"/>
        <w:szCs w:val="28"/>
      </w:rPr>
      <w:t xml:space="preserve"> 2 -</w:t>
    </w:r>
    <w:r>
      <w:rPr>
        <w:rFonts w:ascii="宋体" w:hAnsi="宋体"/>
        <w:sz w:val="28"/>
        <w:szCs w:val="28"/>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10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6"/>
                            <w:ind w:firstLine="360"/>
                            <w:jc w:val="center"/>
                          </w:pPr>
                          <w:r>
                            <w:fldChar w:fldCharType="begin"/>
                          </w:r>
                          <w:r>
                            <w:instrText xml:space="preserve"> PAGE   \* MERGEFORMAT </w:instrText>
                          </w:r>
                          <w:r>
                            <w:fldChar w:fldCharType="separate"/>
                          </w:r>
                          <w:r>
                            <w:rPr>
                              <w:lang w:val="zh-CN"/>
                            </w:rPr>
                            <w:t>-</w:t>
                          </w:r>
                          <w:r>
                            <w:t xml:space="preserve"> 68 -</w:t>
                          </w:r>
                          <w:r>
                            <w:fldChar w:fldCharType="end"/>
                          </w:r>
                        </w:p>
                      </w:txbxContent>
                    </wps:txbx>
                    <wps:bodyPr wrap="none" lIns="0" tIns="0" rIns="0" bIns="0" upright="0">
                      <a:spAutoFit/>
                    </wps:bodyPr>
                  </wps:wsp>
                </a:graphicData>
              </a:graphic>
            </wp:anchor>
          </w:drawing>
        </mc:Choice>
        <mc:Fallback>
          <w:pict>
            <v:shape id="文本框 1027"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Axn9fhzAEAAJ0DAAAOAAAAAAAAAAEAIAAAAB4BAABkcnMvZTJv&#10;RG9jLnhtbFBLBQYAAAAABgAGAFkBAABcBQAAAAA=&#10;">
              <v:fill on="f" focussize="0,0"/>
              <v:stroke on="f"/>
              <v:imagedata o:title=""/>
              <o:lock v:ext="edit" aspectratio="f"/>
              <v:textbox inset="0mm,0mm,0mm,0mm" style="mso-fit-shape-to-text:t;">
                <w:txbxContent>
                  <w:p>
                    <w:pPr>
                      <w:pStyle w:val="16"/>
                      <w:ind w:firstLine="360"/>
                      <w:jc w:val="center"/>
                    </w:pPr>
                    <w:r>
                      <w:fldChar w:fldCharType="begin"/>
                    </w:r>
                    <w:r>
                      <w:instrText xml:space="preserve"> PAGE   \* MERGEFORMAT </w:instrText>
                    </w:r>
                    <w:r>
                      <w:fldChar w:fldCharType="separate"/>
                    </w:r>
                    <w:r>
                      <w:rPr>
                        <w:lang w:val="zh-CN"/>
                      </w:rPr>
                      <w:t>-</w:t>
                    </w:r>
                    <w:r>
                      <w:t xml:space="preserve"> 68 -</w:t>
                    </w:r>
                    <w:r>
                      <w:fldChar w:fldCharType="end"/>
                    </w:r>
                  </w:p>
                </w:txbxContent>
              </v:textbox>
            </v:shape>
          </w:pict>
        </mc:Fallback>
      </mc:AlternateContent>
    </w:r>
  </w:p>
  <w:p>
    <w:pPr>
      <w:pStyle w:val="16"/>
      <w:rPr>
        <w:rFonts w:ascii="宋体"/>
        <w:sz w:val="28"/>
        <w:szCs w:val="28"/>
      </w:rPr>
    </w:pPr>
    <w:r>
      <w:rPr>
        <w:rFonts w:hint="eastAsia"/>
        <w:b/>
        <w:bCs/>
      </w:rPr>
      <w:t>学法于心  尊法于行  守法于念  用法于理</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spacing w:after="240" w:afterLines="100"/>
      <w:jc w:val="both"/>
    </w:pPr>
    <w:r>
      <w:rPr>
        <w:rFonts w:hint="eastAsia"/>
        <w:szCs w:val="18"/>
      </w:rPr>
      <w:drawing>
        <wp:inline distT="0" distB="0" distL="114300" distR="114300">
          <wp:extent cx="1823085" cy="218440"/>
          <wp:effectExtent l="0" t="0" r="5715" b="10160"/>
          <wp:docPr id="31" name="图片 1" descr="三盈页眉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descr="三盈页眉2"/>
                  <pic:cNvPicPr>
                    <a:picLocks noChangeAspect="1"/>
                  </pic:cNvPicPr>
                </pic:nvPicPr>
                <pic:blipFill>
                  <a:blip r:embed="rId1"/>
                  <a:stretch>
                    <a:fillRect/>
                  </a:stretch>
                </pic:blipFill>
                <pic:spPr>
                  <a:xfrm>
                    <a:off x="0" y="0"/>
                    <a:ext cx="1823085" cy="218440"/>
                  </a:xfrm>
                  <a:prstGeom prst="rect">
                    <a:avLst/>
                  </a:prstGeom>
                  <a:noFill/>
                  <a:ln>
                    <a:noFill/>
                  </a:ln>
                </pic:spPr>
              </pic:pic>
            </a:graphicData>
          </a:graphic>
        </wp:inline>
      </w:drawing>
    </w:r>
    <w:r>
      <w:rPr>
        <w:rFonts w:hint="eastAsia"/>
        <w:szCs w:val="18"/>
      </w:rPr>
      <w:t xml:space="preserve">             </w:t>
    </w:r>
    <w:r>
      <w:rPr>
        <w:rFonts w:hint="eastAsia"/>
        <w:szCs w:val="18"/>
        <w:lang w:val="en-US" w:eastAsia="zh-CN"/>
      </w:rPr>
      <w:t>成都市妇女儿童中心医院病案缩微数字化服务采购项目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spacing w:after="240" w:afterLines="100"/>
      <w:jc w:val="both"/>
    </w:pPr>
    <w:r>
      <w:rPr>
        <w:rFonts w:hint="eastAsia"/>
        <w:szCs w:val="18"/>
      </w:rPr>
      <w:drawing>
        <wp:inline distT="0" distB="0" distL="114300" distR="114300">
          <wp:extent cx="1823085" cy="218440"/>
          <wp:effectExtent l="0" t="0" r="5715" b="10160"/>
          <wp:docPr id="32" name="图片 1" descr="三盈页眉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descr="三盈页眉2"/>
                  <pic:cNvPicPr>
                    <a:picLocks noChangeAspect="1"/>
                  </pic:cNvPicPr>
                </pic:nvPicPr>
                <pic:blipFill>
                  <a:blip r:embed="rId1"/>
                  <a:stretch>
                    <a:fillRect/>
                  </a:stretch>
                </pic:blipFill>
                <pic:spPr>
                  <a:xfrm>
                    <a:off x="0" y="0"/>
                    <a:ext cx="1823085" cy="218440"/>
                  </a:xfrm>
                  <a:prstGeom prst="rect">
                    <a:avLst/>
                  </a:prstGeom>
                  <a:noFill/>
                  <a:ln>
                    <a:noFill/>
                  </a:ln>
                </pic:spPr>
              </pic:pic>
            </a:graphicData>
          </a:graphic>
        </wp:inline>
      </w:drawing>
    </w:r>
    <w:r>
      <w:rPr>
        <w:rFonts w:hint="eastAsia"/>
        <w:szCs w:val="18"/>
      </w:rPr>
      <w:t xml:space="preserve">         </w:t>
    </w:r>
    <w:r>
      <w:rPr>
        <w:rFonts w:hint="eastAsia"/>
        <w:szCs w:val="18"/>
        <w:lang w:val="en-US" w:eastAsia="zh-CN"/>
      </w:rPr>
      <w:t xml:space="preserve">  成都市妇女儿童中心医院病案缩微数字化服务采购项目</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1ACE57"/>
    <w:multiLevelType w:val="singleLevel"/>
    <w:tmpl w:val="831ACE57"/>
    <w:lvl w:ilvl="0" w:tentative="0">
      <w:start w:val="1"/>
      <w:numFmt w:val="decimal"/>
      <w:suff w:val="space"/>
      <w:lvlText w:val="%1."/>
      <w:lvlJc w:val="left"/>
    </w:lvl>
  </w:abstractNum>
  <w:abstractNum w:abstractNumId="1">
    <w:nsid w:val="BF50B0D6"/>
    <w:multiLevelType w:val="singleLevel"/>
    <w:tmpl w:val="BF50B0D6"/>
    <w:lvl w:ilvl="0" w:tentative="0">
      <w:start w:val="4"/>
      <w:numFmt w:val="chineseCounting"/>
      <w:suff w:val="space"/>
      <w:lvlText w:val="第%1章"/>
      <w:lvlJc w:val="left"/>
      <w:rPr>
        <w:rFonts w:hint="eastAsia"/>
      </w:rPr>
    </w:lvl>
  </w:abstractNum>
  <w:abstractNum w:abstractNumId="2">
    <w:nsid w:val="00000000"/>
    <w:multiLevelType w:val="multilevel"/>
    <w:tmpl w:val="00000000"/>
    <w:lvl w:ilvl="0" w:tentative="0">
      <w:start w:val="1"/>
      <w:numFmt w:val="decimal"/>
      <w:suff w:val="nothing"/>
      <w:lvlText w:val="%1."/>
      <w:lvlJc w:val="left"/>
      <w:pPr>
        <w:ind w:left="1560" w:hanging="720"/>
      </w:pPr>
      <w:rPr>
        <w:rFonts w:hint="eastAsia"/>
        <w:sz w:val="28"/>
        <w:szCs w:val="28"/>
      </w:rPr>
    </w:lvl>
    <w:lvl w:ilvl="1" w:tentative="0">
      <w:start w:val="1"/>
      <w:numFmt w:val="lowerLetter"/>
      <w:lvlText w:val="%2)"/>
      <w:lvlJc w:val="left"/>
      <w:pPr>
        <w:ind w:left="1470" w:hanging="420"/>
      </w:pPr>
    </w:lvl>
    <w:lvl w:ilvl="2" w:tentative="0">
      <w:start w:val="1"/>
      <w:numFmt w:val="lowerRoman"/>
      <w:lvlText w:val="%3."/>
      <w:lvlJc w:val="right"/>
      <w:pPr>
        <w:ind w:left="1890" w:hanging="420"/>
      </w:pPr>
    </w:lvl>
    <w:lvl w:ilvl="3" w:tentative="0">
      <w:start w:val="1"/>
      <w:numFmt w:val="decimal"/>
      <w:lvlText w:val="%4."/>
      <w:lvlJc w:val="left"/>
      <w:pPr>
        <w:ind w:left="2310" w:hanging="420"/>
      </w:pPr>
    </w:lvl>
    <w:lvl w:ilvl="4" w:tentative="0">
      <w:start w:val="1"/>
      <w:numFmt w:val="lowerLetter"/>
      <w:lvlText w:val="%5)"/>
      <w:lvlJc w:val="left"/>
      <w:pPr>
        <w:ind w:left="2730" w:hanging="420"/>
      </w:pPr>
    </w:lvl>
    <w:lvl w:ilvl="5" w:tentative="0">
      <w:start w:val="1"/>
      <w:numFmt w:val="lowerRoman"/>
      <w:lvlText w:val="%6."/>
      <w:lvlJc w:val="right"/>
      <w:pPr>
        <w:ind w:left="3150" w:hanging="420"/>
      </w:pPr>
    </w:lvl>
    <w:lvl w:ilvl="6" w:tentative="0">
      <w:start w:val="1"/>
      <w:numFmt w:val="decimal"/>
      <w:lvlText w:val="%7."/>
      <w:lvlJc w:val="left"/>
      <w:pPr>
        <w:ind w:left="3570" w:hanging="420"/>
      </w:pPr>
    </w:lvl>
    <w:lvl w:ilvl="7" w:tentative="0">
      <w:start w:val="1"/>
      <w:numFmt w:val="lowerLetter"/>
      <w:lvlText w:val="%8)"/>
      <w:lvlJc w:val="left"/>
      <w:pPr>
        <w:ind w:left="3990" w:hanging="420"/>
      </w:pPr>
    </w:lvl>
    <w:lvl w:ilvl="8" w:tentative="0">
      <w:start w:val="1"/>
      <w:numFmt w:val="lowerRoman"/>
      <w:lvlText w:val="%9."/>
      <w:lvlJc w:val="right"/>
      <w:pPr>
        <w:ind w:left="4410" w:hanging="420"/>
      </w:pPr>
    </w:lvl>
  </w:abstractNum>
  <w:abstractNum w:abstractNumId="3">
    <w:nsid w:val="00000001"/>
    <w:multiLevelType w:val="multilevel"/>
    <w:tmpl w:val="00000001"/>
    <w:lvl w:ilvl="0" w:tentative="0">
      <w:start w:val="1"/>
      <w:numFmt w:val="decimal"/>
      <w:suff w:val="nothing"/>
      <w:lvlText w:val="%1."/>
      <w:lvlJc w:val="left"/>
      <w:pPr>
        <w:ind w:left="840" w:hanging="840"/>
      </w:pPr>
      <w:rPr>
        <w:rFonts w:hint="default"/>
      </w:rPr>
    </w:lvl>
    <w:lvl w:ilvl="1" w:tentative="0">
      <w:start w:val="1"/>
      <w:numFmt w:val="decimal"/>
      <w:lvlText w:val="%2、"/>
      <w:lvlJc w:val="left"/>
      <w:pPr>
        <w:tabs>
          <w:tab w:val="left" w:pos="1200"/>
        </w:tabs>
        <w:ind w:left="1200" w:hanging="360"/>
      </w:pPr>
      <w:rPr>
        <w:rFonts w:hint="default"/>
      </w:r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4">
    <w:nsid w:val="00000002"/>
    <w:multiLevelType w:val="multilevel"/>
    <w:tmpl w:val="00000002"/>
    <w:lvl w:ilvl="0" w:tentative="0">
      <w:start w:val="1"/>
      <w:numFmt w:val="decimal"/>
      <w:suff w:val="nothing"/>
      <w:lvlText w:val="%1、"/>
      <w:lvlJc w:val="left"/>
      <w:rPr>
        <w:rFonts w:cs="Times New Roman"/>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
    <w:nsid w:val="00000006"/>
    <w:multiLevelType w:val="multilevel"/>
    <w:tmpl w:val="00000006"/>
    <w:lvl w:ilvl="0" w:tentative="0">
      <w:start w:val="1"/>
      <w:numFmt w:val="decimal"/>
      <w:suff w:val="nothing"/>
      <w:lvlText w:val="（%1）"/>
      <w:lvlJc w:val="left"/>
    </w:lvl>
    <w:lvl w:ilvl="1" w:tentative="0">
      <w:start w:val="1"/>
      <w:numFmt w:val="lowerLetter"/>
      <w:lvlText w:val="%2)"/>
      <w:lvlJc w:val="left"/>
      <w:pPr>
        <w:ind w:left="1596" w:hanging="420"/>
      </w:pPr>
    </w:lvl>
    <w:lvl w:ilvl="2" w:tentative="0">
      <w:start w:val="1"/>
      <w:numFmt w:val="lowerRoman"/>
      <w:lvlText w:val="%3."/>
      <w:lvlJc w:val="right"/>
      <w:pPr>
        <w:ind w:left="2016" w:hanging="420"/>
      </w:pPr>
    </w:lvl>
    <w:lvl w:ilvl="3" w:tentative="0">
      <w:start w:val="1"/>
      <w:numFmt w:val="decimal"/>
      <w:lvlText w:val="%4."/>
      <w:lvlJc w:val="left"/>
      <w:pPr>
        <w:ind w:left="2436" w:hanging="420"/>
      </w:pPr>
    </w:lvl>
    <w:lvl w:ilvl="4" w:tentative="0">
      <w:start w:val="1"/>
      <w:numFmt w:val="lowerLetter"/>
      <w:lvlText w:val="%5)"/>
      <w:lvlJc w:val="left"/>
      <w:pPr>
        <w:ind w:left="2856" w:hanging="420"/>
      </w:pPr>
    </w:lvl>
    <w:lvl w:ilvl="5" w:tentative="0">
      <w:start w:val="1"/>
      <w:numFmt w:val="lowerRoman"/>
      <w:lvlText w:val="%6."/>
      <w:lvlJc w:val="right"/>
      <w:pPr>
        <w:ind w:left="3276" w:hanging="420"/>
      </w:pPr>
    </w:lvl>
    <w:lvl w:ilvl="6" w:tentative="0">
      <w:start w:val="1"/>
      <w:numFmt w:val="decimal"/>
      <w:lvlText w:val="%7."/>
      <w:lvlJc w:val="left"/>
      <w:pPr>
        <w:ind w:left="3696" w:hanging="420"/>
      </w:pPr>
    </w:lvl>
    <w:lvl w:ilvl="7" w:tentative="0">
      <w:start w:val="1"/>
      <w:numFmt w:val="lowerLetter"/>
      <w:lvlText w:val="%8)"/>
      <w:lvlJc w:val="left"/>
      <w:pPr>
        <w:ind w:left="4116" w:hanging="420"/>
      </w:pPr>
    </w:lvl>
    <w:lvl w:ilvl="8" w:tentative="0">
      <w:start w:val="1"/>
      <w:numFmt w:val="lowerRoman"/>
      <w:lvlText w:val="%9."/>
      <w:lvlJc w:val="right"/>
      <w:pPr>
        <w:ind w:left="4536" w:hanging="420"/>
      </w:pPr>
    </w:lvl>
  </w:abstractNum>
  <w:abstractNum w:abstractNumId="6">
    <w:nsid w:val="00000007"/>
    <w:multiLevelType w:val="multilevel"/>
    <w:tmpl w:val="00000007"/>
    <w:lvl w:ilvl="0" w:tentative="0">
      <w:start w:val="7"/>
      <w:numFmt w:val="chineseCounting"/>
      <w:suff w:val="nothing"/>
      <w:lvlText w:val="%1、"/>
      <w:lvlJc w:val="left"/>
    </w:lvl>
    <w:lvl w:ilvl="1" w:tentative="0">
      <w:start w:val="1"/>
      <w:numFmt w:val="decimal"/>
      <w:lvlText w:val="%2、"/>
      <w:lvlJc w:val="left"/>
      <w:pPr>
        <w:tabs>
          <w:tab w:val="left" w:pos="1200"/>
        </w:tabs>
        <w:ind w:left="1200" w:hanging="360"/>
      </w:pPr>
      <w:rPr>
        <w:rFonts w:hint="default"/>
      </w:r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7">
    <w:nsid w:val="00000008"/>
    <w:multiLevelType w:val="multilevel"/>
    <w:tmpl w:val="00000008"/>
    <w:lvl w:ilvl="0" w:tentative="0">
      <w:start w:val="1"/>
      <w:numFmt w:val="decimal"/>
      <w:suff w:val="nothing"/>
      <w:lvlText w:val="%1."/>
      <w:lvlJc w:val="left"/>
      <w:pPr>
        <w:ind w:left="420" w:hanging="420"/>
      </w:pPr>
      <w:rPr>
        <w:rFonts w:hint="eastAsia"/>
        <w:sz w:val="28"/>
        <w:szCs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00000012"/>
    <w:multiLevelType w:val="multilevel"/>
    <w:tmpl w:val="00000012"/>
    <w:lvl w:ilvl="0" w:tentative="0">
      <w:start w:val="1"/>
      <w:numFmt w:val="japaneseCounting"/>
      <w:lvlText w:val="第%1条"/>
      <w:lvlJc w:val="left"/>
      <w:pPr>
        <w:tabs>
          <w:tab w:val="left" w:pos="1521"/>
        </w:tabs>
        <w:ind w:left="1521" w:hanging="1095"/>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00000013"/>
    <w:multiLevelType w:val="multilevel"/>
    <w:tmpl w:val="00000013"/>
    <w:lvl w:ilvl="0" w:tentative="0">
      <w:start w:val="1"/>
      <w:numFmt w:val="decimal"/>
      <w:lvlText w:val="%1."/>
      <w:lvlJc w:val="left"/>
      <w:pPr>
        <w:ind w:left="986" w:hanging="420"/>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10">
    <w:nsid w:val="00000014"/>
    <w:multiLevelType w:val="multilevel"/>
    <w:tmpl w:val="00000014"/>
    <w:lvl w:ilvl="0" w:tentative="0">
      <w:start w:val="1"/>
      <w:numFmt w:val="chineseCountingThousand"/>
      <w:suff w:val="nothing"/>
      <w:lvlText w:val="(%1)"/>
      <w:lvlJc w:val="left"/>
      <w:pPr>
        <w:ind w:left="420" w:hanging="420"/>
      </w:pPr>
      <w:rPr>
        <w:rFonts w:hint="eastAsia"/>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0000016"/>
    <w:multiLevelType w:val="multilevel"/>
    <w:tmpl w:val="00000016"/>
    <w:lvl w:ilvl="0" w:tentative="0">
      <w:start w:val="1"/>
      <w:numFmt w:val="decimal"/>
      <w:suff w:val="nothing"/>
      <w:lvlText w:val="%1."/>
      <w:lvlJc w:val="left"/>
      <w:pPr>
        <w:ind w:left="1560" w:hanging="720"/>
      </w:pPr>
      <w:rPr>
        <w:rFonts w:hint="eastAsia"/>
        <w:sz w:val="28"/>
        <w:szCs w:val="28"/>
      </w:rPr>
    </w:lvl>
    <w:lvl w:ilvl="1" w:tentative="0">
      <w:start w:val="1"/>
      <w:numFmt w:val="lowerLetter"/>
      <w:lvlText w:val="%2)"/>
      <w:lvlJc w:val="left"/>
      <w:pPr>
        <w:ind w:left="1470" w:hanging="420"/>
      </w:pPr>
    </w:lvl>
    <w:lvl w:ilvl="2" w:tentative="0">
      <w:start w:val="1"/>
      <w:numFmt w:val="lowerRoman"/>
      <w:lvlText w:val="%3."/>
      <w:lvlJc w:val="right"/>
      <w:pPr>
        <w:ind w:left="1890" w:hanging="420"/>
      </w:pPr>
    </w:lvl>
    <w:lvl w:ilvl="3" w:tentative="0">
      <w:start w:val="1"/>
      <w:numFmt w:val="decimal"/>
      <w:lvlText w:val="%4."/>
      <w:lvlJc w:val="left"/>
      <w:pPr>
        <w:ind w:left="2310" w:hanging="420"/>
      </w:pPr>
    </w:lvl>
    <w:lvl w:ilvl="4" w:tentative="0">
      <w:start w:val="1"/>
      <w:numFmt w:val="lowerLetter"/>
      <w:lvlText w:val="%5)"/>
      <w:lvlJc w:val="left"/>
      <w:pPr>
        <w:ind w:left="2730" w:hanging="420"/>
      </w:pPr>
    </w:lvl>
    <w:lvl w:ilvl="5" w:tentative="0">
      <w:start w:val="1"/>
      <w:numFmt w:val="lowerRoman"/>
      <w:lvlText w:val="%6."/>
      <w:lvlJc w:val="right"/>
      <w:pPr>
        <w:ind w:left="3150" w:hanging="420"/>
      </w:pPr>
    </w:lvl>
    <w:lvl w:ilvl="6" w:tentative="0">
      <w:start w:val="1"/>
      <w:numFmt w:val="decimal"/>
      <w:lvlText w:val="%7."/>
      <w:lvlJc w:val="left"/>
      <w:pPr>
        <w:ind w:left="3570" w:hanging="420"/>
      </w:pPr>
    </w:lvl>
    <w:lvl w:ilvl="7" w:tentative="0">
      <w:start w:val="1"/>
      <w:numFmt w:val="lowerLetter"/>
      <w:lvlText w:val="%8)"/>
      <w:lvlJc w:val="left"/>
      <w:pPr>
        <w:ind w:left="3990" w:hanging="420"/>
      </w:pPr>
    </w:lvl>
    <w:lvl w:ilvl="8" w:tentative="0">
      <w:start w:val="1"/>
      <w:numFmt w:val="lowerRoman"/>
      <w:lvlText w:val="%9."/>
      <w:lvlJc w:val="right"/>
      <w:pPr>
        <w:ind w:left="4410" w:hanging="420"/>
      </w:pPr>
    </w:lvl>
  </w:abstractNum>
  <w:abstractNum w:abstractNumId="12">
    <w:nsid w:val="15BA1F1C"/>
    <w:multiLevelType w:val="singleLevel"/>
    <w:tmpl w:val="15BA1F1C"/>
    <w:lvl w:ilvl="0" w:tentative="0">
      <w:start w:val="1"/>
      <w:numFmt w:val="decimal"/>
      <w:suff w:val="nothing"/>
      <w:lvlText w:val="%1、"/>
      <w:lvlJc w:val="left"/>
    </w:lvl>
  </w:abstractNum>
  <w:abstractNum w:abstractNumId="13">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36"/>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14">
    <w:nsid w:val="47BDA60A"/>
    <w:multiLevelType w:val="singleLevel"/>
    <w:tmpl w:val="47BDA60A"/>
    <w:lvl w:ilvl="0" w:tentative="0">
      <w:start w:val="5"/>
      <w:numFmt w:val="chineseCounting"/>
      <w:suff w:val="space"/>
      <w:lvlText w:val="第%1章"/>
      <w:lvlJc w:val="left"/>
      <w:rPr>
        <w:rFonts w:hint="eastAsia"/>
      </w:rPr>
    </w:lvl>
  </w:abstractNum>
  <w:num w:numId="1">
    <w:abstractNumId w:val="13"/>
  </w:num>
  <w:num w:numId="2">
    <w:abstractNumId w:val="12"/>
  </w:num>
  <w:num w:numId="3">
    <w:abstractNumId w:val="1"/>
  </w:num>
  <w:num w:numId="4">
    <w:abstractNumId w:val="14"/>
  </w:num>
  <w:num w:numId="5">
    <w:abstractNumId w:val="4"/>
  </w:num>
  <w:num w:numId="6">
    <w:abstractNumId w:val="0"/>
  </w:num>
  <w:num w:numId="7">
    <w:abstractNumId w:val="8"/>
  </w:num>
  <w:num w:numId="8">
    <w:abstractNumId w:val="10"/>
  </w:num>
  <w:num w:numId="9">
    <w:abstractNumId w:val="9"/>
  </w:num>
  <w:num w:numId="10">
    <w:abstractNumId w:val="5"/>
  </w:num>
  <w:num w:numId="11">
    <w:abstractNumId w:val="3"/>
  </w:num>
  <w:num w:numId="12">
    <w:abstractNumId w:val="6"/>
  </w:num>
  <w:num w:numId="13">
    <w:abstractNumId w:val="7"/>
  </w:num>
  <w:num w:numId="14">
    <w:abstractNumId w:val="2"/>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3,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5E26"/>
    <w:rsid w:val="00002692"/>
    <w:rsid w:val="0001022A"/>
    <w:rsid w:val="00076939"/>
    <w:rsid w:val="0007782E"/>
    <w:rsid w:val="000A5A56"/>
    <w:rsid w:val="000C4198"/>
    <w:rsid w:val="00115BC4"/>
    <w:rsid w:val="00164FE2"/>
    <w:rsid w:val="002456AD"/>
    <w:rsid w:val="0026175D"/>
    <w:rsid w:val="002D2C8D"/>
    <w:rsid w:val="00312BD5"/>
    <w:rsid w:val="003149A2"/>
    <w:rsid w:val="00345804"/>
    <w:rsid w:val="00362AF3"/>
    <w:rsid w:val="00376961"/>
    <w:rsid w:val="00393ED1"/>
    <w:rsid w:val="003C6278"/>
    <w:rsid w:val="00405F5C"/>
    <w:rsid w:val="00454BDB"/>
    <w:rsid w:val="004B53F5"/>
    <w:rsid w:val="00524E9F"/>
    <w:rsid w:val="005465E8"/>
    <w:rsid w:val="0061109B"/>
    <w:rsid w:val="006B6379"/>
    <w:rsid w:val="006C6EB5"/>
    <w:rsid w:val="006E084E"/>
    <w:rsid w:val="00753F52"/>
    <w:rsid w:val="00794C8F"/>
    <w:rsid w:val="00845EC8"/>
    <w:rsid w:val="008F6A96"/>
    <w:rsid w:val="00900EC7"/>
    <w:rsid w:val="009C2B93"/>
    <w:rsid w:val="009D3843"/>
    <w:rsid w:val="00A977DA"/>
    <w:rsid w:val="00AE6FAB"/>
    <w:rsid w:val="00B245D9"/>
    <w:rsid w:val="00B514B7"/>
    <w:rsid w:val="00B5185A"/>
    <w:rsid w:val="00BD2E0E"/>
    <w:rsid w:val="00BE2385"/>
    <w:rsid w:val="00BE4A8B"/>
    <w:rsid w:val="00C55F7C"/>
    <w:rsid w:val="00C65676"/>
    <w:rsid w:val="00CA63CC"/>
    <w:rsid w:val="00CF5E26"/>
    <w:rsid w:val="00D15D15"/>
    <w:rsid w:val="00D300E8"/>
    <w:rsid w:val="00D30A06"/>
    <w:rsid w:val="00D530E8"/>
    <w:rsid w:val="00D57511"/>
    <w:rsid w:val="00D651BD"/>
    <w:rsid w:val="00D93362"/>
    <w:rsid w:val="00DB12BC"/>
    <w:rsid w:val="00DB2C3B"/>
    <w:rsid w:val="00DD79B3"/>
    <w:rsid w:val="00E04547"/>
    <w:rsid w:val="00E570B7"/>
    <w:rsid w:val="00E70B92"/>
    <w:rsid w:val="00E95C05"/>
    <w:rsid w:val="00EE3D50"/>
    <w:rsid w:val="00F00E2A"/>
    <w:rsid w:val="00F013CE"/>
    <w:rsid w:val="00F54337"/>
    <w:rsid w:val="00F81B61"/>
    <w:rsid w:val="00F849E8"/>
    <w:rsid w:val="00F93816"/>
    <w:rsid w:val="00FF405D"/>
    <w:rsid w:val="0105622B"/>
    <w:rsid w:val="01303C2B"/>
    <w:rsid w:val="01450C13"/>
    <w:rsid w:val="018A7CC3"/>
    <w:rsid w:val="01C7609C"/>
    <w:rsid w:val="01D07A4F"/>
    <w:rsid w:val="01EA7AEB"/>
    <w:rsid w:val="02316A1C"/>
    <w:rsid w:val="02887B86"/>
    <w:rsid w:val="02972F2E"/>
    <w:rsid w:val="03332D0D"/>
    <w:rsid w:val="03826C90"/>
    <w:rsid w:val="03A57971"/>
    <w:rsid w:val="03DB0ADE"/>
    <w:rsid w:val="03EB745E"/>
    <w:rsid w:val="041F21E9"/>
    <w:rsid w:val="04BD2298"/>
    <w:rsid w:val="04C16CD9"/>
    <w:rsid w:val="052A5EFD"/>
    <w:rsid w:val="055F4955"/>
    <w:rsid w:val="056370A1"/>
    <w:rsid w:val="064B4AF0"/>
    <w:rsid w:val="067B6D51"/>
    <w:rsid w:val="069F2F02"/>
    <w:rsid w:val="06AC663B"/>
    <w:rsid w:val="06D547A0"/>
    <w:rsid w:val="06EB1F7A"/>
    <w:rsid w:val="07305C5E"/>
    <w:rsid w:val="07332EA5"/>
    <w:rsid w:val="07631761"/>
    <w:rsid w:val="07A433CE"/>
    <w:rsid w:val="07EA2BD1"/>
    <w:rsid w:val="0889189C"/>
    <w:rsid w:val="089B54B8"/>
    <w:rsid w:val="098A77A3"/>
    <w:rsid w:val="09925D95"/>
    <w:rsid w:val="099A71D0"/>
    <w:rsid w:val="0A4C6EFB"/>
    <w:rsid w:val="0A6F083F"/>
    <w:rsid w:val="0B35483A"/>
    <w:rsid w:val="0B6D3A04"/>
    <w:rsid w:val="0C451890"/>
    <w:rsid w:val="0C7B45CA"/>
    <w:rsid w:val="0CA062A6"/>
    <w:rsid w:val="0CC103B4"/>
    <w:rsid w:val="0D0C16B9"/>
    <w:rsid w:val="0D1339F1"/>
    <w:rsid w:val="0D152DFB"/>
    <w:rsid w:val="0E2A131B"/>
    <w:rsid w:val="0E407C11"/>
    <w:rsid w:val="0E7066F8"/>
    <w:rsid w:val="0EAF4360"/>
    <w:rsid w:val="0EDE7DCF"/>
    <w:rsid w:val="0EEE4DF1"/>
    <w:rsid w:val="0EEF364B"/>
    <w:rsid w:val="0F243680"/>
    <w:rsid w:val="0F554752"/>
    <w:rsid w:val="0F73606F"/>
    <w:rsid w:val="0F900847"/>
    <w:rsid w:val="0F9A0386"/>
    <w:rsid w:val="0FC07631"/>
    <w:rsid w:val="0FF916ED"/>
    <w:rsid w:val="0FFA179A"/>
    <w:rsid w:val="10553689"/>
    <w:rsid w:val="10A4335A"/>
    <w:rsid w:val="10A51185"/>
    <w:rsid w:val="10EB1C74"/>
    <w:rsid w:val="11E90012"/>
    <w:rsid w:val="12531331"/>
    <w:rsid w:val="128B235E"/>
    <w:rsid w:val="12F061DE"/>
    <w:rsid w:val="133B6A16"/>
    <w:rsid w:val="139830CE"/>
    <w:rsid w:val="139831EF"/>
    <w:rsid w:val="139971E8"/>
    <w:rsid w:val="13CF5FBD"/>
    <w:rsid w:val="13F92620"/>
    <w:rsid w:val="14024837"/>
    <w:rsid w:val="14FD4348"/>
    <w:rsid w:val="15645863"/>
    <w:rsid w:val="165315B4"/>
    <w:rsid w:val="16754372"/>
    <w:rsid w:val="167753BA"/>
    <w:rsid w:val="16A22CB3"/>
    <w:rsid w:val="16BF3DD0"/>
    <w:rsid w:val="16D80C02"/>
    <w:rsid w:val="173E6BF5"/>
    <w:rsid w:val="17471FD5"/>
    <w:rsid w:val="17D07DB9"/>
    <w:rsid w:val="17DF07F8"/>
    <w:rsid w:val="18103590"/>
    <w:rsid w:val="18487195"/>
    <w:rsid w:val="18A06710"/>
    <w:rsid w:val="191F0273"/>
    <w:rsid w:val="194E5C68"/>
    <w:rsid w:val="19830EAC"/>
    <w:rsid w:val="199D4242"/>
    <w:rsid w:val="1A054E8B"/>
    <w:rsid w:val="1A4E4F3D"/>
    <w:rsid w:val="1C0A35F8"/>
    <w:rsid w:val="1C716A37"/>
    <w:rsid w:val="1C7A6CC9"/>
    <w:rsid w:val="1CA274E4"/>
    <w:rsid w:val="1CD24C2A"/>
    <w:rsid w:val="1D1B3E72"/>
    <w:rsid w:val="1D620D3B"/>
    <w:rsid w:val="1D653027"/>
    <w:rsid w:val="1DA72308"/>
    <w:rsid w:val="1DE50923"/>
    <w:rsid w:val="1E146E41"/>
    <w:rsid w:val="1EEC2BA6"/>
    <w:rsid w:val="1EFC4EFB"/>
    <w:rsid w:val="1F0755A2"/>
    <w:rsid w:val="1F553088"/>
    <w:rsid w:val="1F7E18F5"/>
    <w:rsid w:val="203F098D"/>
    <w:rsid w:val="21063138"/>
    <w:rsid w:val="21B901A8"/>
    <w:rsid w:val="21D606E3"/>
    <w:rsid w:val="22071CE4"/>
    <w:rsid w:val="221F6B83"/>
    <w:rsid w:val="22D558F8"/>
    <w:rsid w:val="231450DA"/>
    <w:rsid w:val="235563E5"/>
    <w:rsid w:val="235E165B"/>
    <w:rsid w:val="23873FA6"/>
    <w:rsid w:val="23917CD3"/>
    <w:rsid w:val="239C2E69"/>
    <w:rsid w:val="23B575EA"/>
    <w:rsid w:val="23D561C8"/>
    <w:rsid w:val="240F0D22"/>
    <w:rsid w:val="243067AE"/>
    <w:rsid w:val="24EF1B58"/>
    <w:rsid w:val="250514C6"/>
    <w:rsid w:val="251425AE"/>
    <w:rsid w:val="251877E7"/>
    <w:rsid w:val="26674D57"/>
    <w:rsid w:val="26ED4EA7"/>
    <w:rsid w:val="2701393C"/>
    <w:rsid w:val="27075C82"/>
    <w:rsid w:val="27527038"/>
    <w:rsid w:val="2804464A"/>
    <w:rsid w:val="2842726D"/>
    <w:rsid w:val="284B322C"/>
    <w:rsid w:val="28C72564"/>
    <w:rsid w:val="28E2691A"/>
    <w:rsid w:val="28E46CB2"/>
    <w:rsid w:val="28E92028"/>
    <w:rsid w:val="292B2B72"/>
    <w:rsid w:val="294F2F0E"/>
    <w:rsid w:val="29583C5C"/>
    <w:rsid w:val="297F6801"/>
    <w:rsid w:val="299E273C"/>
    <w:rsid w:val="29A20F6E"/>
    <w:rsid w:val="29C87269"/>
    <w:rsid w:val="2A1A42D6"/>
    <w:rsid w:val="2A4203FD"/>
    <w:rsid w:val="2A6F6418"/>
    <w:rsid w:val="2AD64EE8"/>
    <w:rsid w:val="2AF250B6"/>
    <w:rsid w:val="2B02258E"/>
    <w:rsid w:val="2B4E2C55"/>
    <w:rsid w:val="2B566BD2"/>
    <w:rsid w:val="2BEA2B33"/>
    <w:rsid w:val="2D031171"/>
    <w:rsid w:val="2D5E33E7"/>
    <w:rsid w:val="2D611EAE"/>
    <w:rsid w:val="2E5F7B19"/>
    <w:rsid w:val="2EAD2CFA"/>
    <w:rsid w:val="2EB9405C"/>
    <w:rsid w:val="2F09577B"/>
    <w:rsid w:val="2F532160"/>
    <w:rsid w:val="2F9B177D"/>
    <w:rsid w:val="2FCE107E"/>
    <w:rsid w:val="2FD85DA6"/>
    <w:rsid w:val="2FE71F58"/>
    <w:rsid w:val="301F4A32"/>
    <w:rsid w:val="30FE7153"/>
    <w:rsid w:val="31027EF1"/>
    <w:rsid w:val="31272CAD"/>
    <w:rsid w:val="31A065FB"/>
    <w:rsid w:val="329450DD"/>
    <w:rsid w:val="33531608"/>
    <w:rsid w:val="336D2750"/>
    <w:rsid w:val="338E3ABE"/>
    <w:rsid w:val="33951B70"/>
    <w:rsid w:val="339C05CC"/>
    <w:rsid w:val="33AA79D7"/>
    <w:rsid w:val="33AE2AAF"/>
    <w:rsid w:val="33EF6CB3"/>
    <w:rsid w:val="340674FC"/>
    <w:rsid w:val="340B4FBD"/>
    <w:rsid w:val="34952D0E"/>
    <w:rsid w:val="34B676CD"/>
    <w:rsid w:val="35690B56"/>
    <w:rsid w:val="3586430C"/>
    <w:rsid w:val="35A43215"/>
    <w:rsid w:val="36137036"/>
    <w:rsid w:val="363A29ED"/>
    <w:rsid w:val="364D4748"/>
    <w:rsid w:val="36B54D59"/>
    <w:rsid w:val="36C4644A"/>
    <w:rsid w:val="36ED07F9"/>
    <w:rsid w:val="37953C9D"/>
    <w:rsid w:val="37954547"/>
    <w:rsid w:val="38EE6562"/>
    <w:rsid w:val="39024F61"/>
    <w:rsid w:val="396422BB"/>
    <w:rsid w:val="39AB4C6B"/>
    <w:rsid w:val="3A2F30ED"/>
    <w:rsid w:val="3AC651BD"/>
    <w:rsid w:val="3B184B87"/>
    <w:rsid w:val="3BBD7D2B"/>
    <w:rsid w:val="3BD278EB"/>
    <w:rsid w:val="3C235054"/>
    <w:rsid w:val="3C424A98"/>
    <w:rsid w:val="3D912FFD"/>
    <w:rsid w:val="3D9948C5"/>
    <w:rsid w:val="3DA638F0"/>
    <w:rsid w:val="3DC45AA8"/>
    <w:rsid w:val="3DD570B7"/>
    <w:rsid w:val="3E1F5A67"/>
    <w:rsid w:val="3EB71003"/>
    <w:rsid w:val="3F196749"/>
    <w:rsid w:val="3F2F56FD"/>
    <w:rsid w:val="3FA75DCA"/>
    <w:rsid w:val="3FF963A1"/>
    <w:rsid w:val="40481766"/>
    <w:rsid w:val="407E1F34"/>
    <w:rsid w:val="40986D62"/>
    <w:rsid w:val="40B95748"/>
    <w:rsid w:val="40C03CC4"/>
    <w:rsid w:val="40C4249E"/>
    <w:rsid w:val="40DC6FDC"/>
    <w:rsid w:val="40F40DDD"/>
    <w:rsid w:val="4106103F"/>
    <w:rsid w:val="415A24F1"/>
    <w:rsid w:val="41F312EE"/>
    <w:rsid w:val="421635E3"/>
    <w:rsid w:val="423E1E78"/>
    <w:rsid w:val="427C7876"/>
    <w:rsid w:val="429407A6"/>
    <w:rsid w:val="42954702"/>
    <w:rsid w:val="42EA489B"/>
    <w:rsid w:val="43602BE1"/>
    <w:rsid w:val="4394635D"/>
    <w:rsid w:val="43956B88"/>
    <w:rsid w:val="43AE68B6"/>
    <w:rsid w:val="440B5395"/>
    <w:rsid w:val="447B27BE"/>
    <w:rsid w:val="45017E28"/>
    <w:rsid w:val="457C2791"/>
    <w:rsid w:val="45DC5E27"/>
    <w:rsid w:val="45DF373F"/>
    <w:rsid w:val="46460C44"/>
    <w:rsid w:val="46707D07"/>
    <w:rsid w:val="467C053B"/>
    <w:rsid w:val="46A438B8"/>
    <w:rsid w:val="46AA1AF1"/>
    <w:rsid w:val="474E2977"/>
    <w:rsid w:val="47D96D84"/>
    <w:rsid w:val="47DC31E7"/>
    <w:rsid w:val="47E71E86"/>
    <w:rsid w:val="48167472"/>
    <w:rsid w:val="48193693"/>
    <w:rsid w:val="48284399"/>
    <w:rsid w:val="48835432"/>
    <w:rsid w:val="48BC02A6"/>
    <w:rsid w:val="48D3463A"/>
    <w:rsid w:val="490D6C3F"/>
    <w:rsid w:val="496441F1"/>
    <w:rsid w:val="49B3625A"/>
    <w:rsid w:val="49D4159A"/>
    <w:rsid w:val="4A383733"/>
    <w:rsid w:val="4A51294A"/>
    <w:rsid w:val="4A840629"/>
    <w:rsid w:val="4AE84896"/>
    <w:rsid w:val="4B2C7DAC"/>
    <w:rsid w:val="4B3A50DC"/>
    <w:rsid w:val="4BB7319A"/>
    <w:rsid w:val="4C535B64"/>
    <w:rsid w:val="4CF2214A"/>
    <w:rsid w:val="4D447C97"/>
    <w:rsid w:val="4D922323"/>
    <w:rsid w:val="4DD30F56"/>
    <w:rsid w:val="4E531E0C"/>
    <w:rsid w:val="4EDA10DA"/>
    <w:rsid w:val="4F3C408F"/>
    <w:rsid w:val="4FEA5E7D"/>
    <w:rsid w:val="506A3A4E"/>
    <w:rsid w:val="50AE74C5"/>
    <w:rsid w:val="516E302D"/>
    <w:rsid w:val="517D5347"/>
    <w:rsid w:val="526854A3"/>
    <w:rsid w:val="52AE3000"/>
    <w:rsid w:val="53621A16"/>
    <w:rsid w:val="53774D38"/>
    <w:rsid w:val="53B6033F"/>
    <w:rsid w:val="53F80630"/>
    <w:rsid w:val="54015EDE"/>
    <w:rsid w:val="541608FB"/>
    <w:rsid w:val="54E4230C"/>
    <w:rsid w:val="55405594"/>
    <w:rsid w:val="555B7D0C"/>
    <w:rsid w:val="55DA61B7"/>
    <w:rsid w:val="561F0DC3"/>
    <w:rsid w:val="56296B5B"/>
    <w:rsid w:val="56A2515B"/>
    <w:rsid w:val="571638CC"/>
    <w:rsid w:val="5758505C"/>
    <w:rsid w:val="575C787E"/>
    <w:rsid w:val="58046EFB"/>
    <w:rsid w:val="58542F5B"/>
    <w:rsid w:val="58B639F0"/>
    <w:rsid w:val="59256273"/>
    <w:rsid w:val="5A1444A7"/>
    <w:rsid w:val="5A3C52D8"/>
    <w:rsid w:val="5A42563B"/>
    <w:rsid w:val="5A6A2636"/>
    <w:rsid w:val="5A9E48B9"/>
    <w:rsid w:val="5B283142"/>
    <w:rsid w:val="5B9E5E0D"/>
    <w:rsid w:val="5BB84864"/>
    <w:rsid w:val="5BED2CBB"/>
    <w:rsid w:val="5BFE012D"/>
    <w:rsid w:val="5C6146B5"/>
    <w:rsid w:val="5C9D5E10"/>
    <w:rsid w:val="5CB36F08"/>
    <w:rsid w:val="5CD73201"/>
    <w:rsid w:val="5CEA1C29"/>
    <w:rsid w:val="5D1A375A"/>
    <w:rsid w:val="5D2B7EA7"/>
    <w:rsid w:val="5D5C6AA2"/>
    <w:rsid w:val="5D6B040C"/>
    <w:rsid w:val="5D863DC6"/>
    <w:rsid w:val="5E013554"/>
    <w:rsid w:val="5E382698"/>
    <w:rsid w:val="5E6A723B"/>
    <w:rsid w:val="5E8F4563"/>
    <w:rsid w:val="5EBB3815"/>
    <w:rsid w:val="5ECA67FD"/>
    <w:rsid w:val="5ECC3C54"/>
    <w:rsid w:val="5ED25578"/>
    <w:rsid w:val="5EEE1C06"/>
    <w:rsid w:val="5F0B5741"/>
    <w:rsid w:val="5F4F7246"/>
    <w:rsid w:val="5F816CAF"/>
    <w:rsid w:val="5FB16B7C"/>
    <w:rsid w:val="5FE467F4"/>
    <w:rsid w:val="6064269C"/>
    <w:rsid w:val="60E04EA7"/>
    <w:rsid w:val="60EA0D49"/>
    <w:rsid w:val="61537E89"/>
    <w:rsid w:val="615A72FD"/>
    <w:rsid w:val="61B31E20"/>
    <w:rsid w:val="61CF4624"/>
    <w:rsid w:val="62BD00E2"/>
    <w:rsid w:val="62DD1540"/>
    <w:rsid w:val="62EA1D22"/>
    <w:rsid w:val="634F074F"/>
    <w:rsid w:val="6350450A"/>
    <w:rsid w:val="63AC1717"/>
    <w:rsid w:val="64DA1EA6"/>
    <w:rsid w:val="655D5205"/>
    <w:rsid w:val="65745E40"/>
    <w:rsid w:val="657F20BD"/>
    <w:rsid w:val="65AA7EEB"/>
    <w:rsid w:val="65BC5790"/>
    <w:rsid w:val="65D85AE4"/>
    <w:rsid w:val="65FB621D"/>
    <w:rsid w:val="66EF2CD3"/>
    <w:rsid w:val="67781B69"/>
    <w:rsid w:val="68412106"/>
    <w:rsid w:val="685760FE"/>
    <w:rsid w:val="695845ED"/>
    <w:rsid w:val="6A205E59"/>
    <w:rsid w:val="6A263343"/>
    <w:rsid w:val="6A664188"/>
    <w:rsid w:val="6A727285"/>
    <w:rsid w:val="6A865962"/>
    <w:rsid w:val="6A8807F7"/>
    <w:rsid w:val="6AA47060"/>
    <w:rsid w:val="6AED468E"/>
    <w:rsid w:val="6B7E11EA"/>
    <w:rsid w:val="6B8C3BC7"/>
    <w:rsid w:val="6BB33C1E"/>
    <w:rsid w:val="6BBC4E60"/>
    <w:rsid w:val="6C747EFC"/>
    <w:rsid w:val="6C774D14"/>
    <w:rsid w:val="6C920FB6"/>
    <w:rsid w:val="6D360900"/>
    <w:rsid w:val="6D524A11"/>
    <w:rsid w:val="6DC16554"/>
    <w:rsid w:val="6EC87756"/>
    <w:rsid w:val="6F3734D6"/>
    <w:rsid w:val="6F4A6D77"/>
    <w:rsid w:val="6FEF0873"/>
    <w:rsid w:val="70563428"/>
    <w:rsid w:val="70861663"/>
    <w:rsid w:val="70DF0B91"/>
    <w:rsid w:val="70FD0AB1"/>
    <w:rsid w:val="716C56C9"/>
    <w:rsid w:val="71852DA9"/>
    <w:rsid w:val="71945E3D"/>
    <w:rsid w:val="719C7DA6"/>
    <w:rsid w:val="71AB226A"/>
    <w:rsid w:val="724B18C4"/>
    <w:rsid w:val="72EF150A"/>
    <w:rsid w:val="72FB00FF"/>
    <w:rsid w:val="73A86A23"/>
    <w:rsid w:val="73BE2CBA"/>
    <w:rsid w:val="73C6245E"/>
    <w:rsid w:val="73F7239A"/>
    <w:rsid w:val="743367E3"/>
    <w:rsid w:val="74682561"/>
    <w:rsid w:val="7478646C"/>
    <w:rsid w:val="74C51A76"/>
    <w:rsid w:val="74F213E0"/>
    <w:rsid w:val="755F2BAC"/>
    <w:rsid w:val="75BE61EF"/>
    <w:rsid w:val="75DF6B71"/>
    <w:rsid w:val="761D2A49"/>
    <w:rsid w:val="763A4B47"/>
    <w:rsid w:val="764F2046"/>
    <w:rsid w:val="769C3F6D"/>
    <w:rsid w:val="76E41191"/>
    <w:rsid w:val="76F1260A"/>
    <w:rsid w:val="773B0C2B"/>
    <w:rsid w:val="777F2568"/>
    <w:rsid w:val="77B41971"/>
    <w:rsid w:val="77E94293"/>
    <w:rsid w:val="78F127A9"/>
    <w:rsid w:val="78F24AD2"/>
    <w:rsid w:val="791A40D8"/>
    <w:rsid w:val="79BD4EFE"/>
    <w:rsid w:val="79F67A13"/>
    <w:rsid w:val="7AB12A95"/>
    <w:rsid w:val="7AB6280A"/>
    <w:rsid w:val="7AC9037D"/>
    <w:rsid w:val="7AD24EFD"/>
    <w:rsid w:val="7B121671"/>
    <w:rsid w:val="7B5A7944"/>
    <w:rsid w:val="7C001623"/>
    <w:rsid w:val="7C2A55B2"/>
    <w:rsid w:val="7C47085D"/>
    <w:rsid w:val="7C8B6B88"/>
    <w:rsid w:val="7CD7714F"/>
    <w:rsid w:val="7D2F5F82"/>
    <w:rsid w:val="7D3F7E1E"/>
    <w:rsid w:val="7DE07FB0"/>
    <w:rsid w:val="7E0B764D"/>
    <w:rsid w:val="7E376DFD"/>
    <w:rsid w:val="7EE9017E"/>
    <w:rsid w:val="7FAD25E3"/>
    <w:rsid w:val="7FDB4AF2"/>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9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4" w:semiHidden="0" w:name="Subtitle"/>
    <w:lsdException w:unhideWhenUsed="0" w:uiPriority="0" w:semiHidden="0" w:name="Salutation"/>
    <w:lsdException w:qFormat="1" w:unhideWhenUsed="0" w:uiPriority="99"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99" w:semiHidden="0" w:name="Body Text Indent 2"/>
    <w:lsdException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styleId="3">
    <w:name w:val="heading 1"/>
    <w:basedOn w:val="1"/>
    <w:next w:val="1"/>
    <w:link w:val="63"/>
    <w:qFormat/>
    <w:uiPriority w:val="0"/>
    <w:pPr>
      <w:keepNext/>
      <w:keepLines/>
      <w:spacing w:before="340" w:after="330"/>
      <w:jc w:val="center"/>
      <w:outlineLvl w:val="0"/>
    </w:pPr>
    <w:rPr>
      <w:b/>
      <w:bCs/>
      <w:kern w:val="44"/>
      <w:sz w:val="36"/>
      <w:szCs w:val="44"/>
    </w:rPr>
  </w:style>
  <w:style w:type="paragraph" w:styleId="4">
    <w:name w:val="heading 2"/>
    <w:basedOn w:val="1"/>
    <w:next w:val="1"/>
    <w:link w:val="41"/>
    <w:qFormat/>
    <w:uiPriority w:val="99"/>
    <w:pPr>
      <w:keepNext/>
      <w:keepLines/>
      <w:spacing w:before="260" w:after="260" w:line="416" w:lineRule="auto"/>
      <w:jc w:val="center"/>
      <w:outlineLvl w:val="1"/>
    </w:pPr>
    <w:rPr>
      <w:rFonts w:ascii="Arial" w:hAnsi="Arial" w:eastAsia="黑体"/>
      <w:b/>
      <w:bCs/>
      <w:sz w:val="32"/>
      <w:szCs w:val="32"/>
    </w:rPr>
  </w:style>
  <w:style w:type="paragraph" w:styleId="5">
    <w:name w:val="heading 3"/>
    <w:basedOn w:val="1"/>
    <w:next w:val="1"/>
    <w:link w:val="42"/>
    <w:qFormat/>
    <w:uiPriority w:val="99"/>
    <w:pPr>
      <w:keepNext/>
      <w:keepLines/>
      <w:spacing w:before="260" w:after="260" w:line="416" w:lineRule="auto"/>
      <w:jc w:val="left"/>
      <w:outlineLvl w:val="2"/>
    </w:pPr>
    <w:rPr>
      <w:b/>
      <w:bCs/>
      <w:szCs w:val="32"/>
    </w:rPr>
  </w:style>
  <w:style w:type="paragraph" w:styleId="6">
    <w:name w:val="heading 4"/>
    <w:basedOn w:val="1"/>
    <w:next w:val="1"/>
    <w:link w:val="43"/>
    <w:qFormat/>
    <w:uiPriority w:val="99"/>
    <w:pPr>
      <w:keepNext/>
      <w:keepLines/>
      <w:outlineLvl w:val="3"/>
    </w:pPr>
    <w:rPr>
      <w:rFonts w:ascii="Arial" w:hAnsi="Arial"/>
    </w:rPr>
  </w:style>
  <w:style w:type="paragraph" w:styleId="7">
    <w:name w:val="heading 5"/>
    <w:basedOn w:val="1"/>
    <w:next w:val="1"/>
    <w:link w:val="44"/>
    <w:qFormat/>
    <w:uiPriority w:val="0"/>
    <w:pPr>
      <w:keepNext/>
      <w:keepLines/>
      <w:spacing w:before="280" w:after="290" w:line="376" w:lineRule="auto"/>
      <w:outlineLvl w:val="4"/>
    </w:pPr>
    <w:rPr>
      <w:b/>
      <w:bCs/>
      <w:sz w:val="28"/>
      <w:szCs w:val="28"/>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71"/>
    <w:qFormat/>
    <w:uiPriority w:val="99"/>
    <w:pPr>
      <w:spacing w:after="120"/>
    </w:pPr>
  </w:style>
  <w:style w:type="paragraph" w:styleId="8">
    <w:name w:val="Normal Indent"/>
    <w:basedOn w:val="1"/>
    <w:qFormat/>
    <w:uiPriority w:val="99"/>
    <w:pPr>
      <w:ind w:firstLine="420"/>
    </w:pPr>
  </w:style>
  <w:style w:type="paragraph" w:styleId="9">
    <w:name w:val="annotation text"/>
    <w:basedOn w:val="1"/>
    <w:unhideWhenUsed/>
    <w:qFormat/>
    <w:uiPriority w:val="0"/>
    <w:pPr>
      <w:jc w:val="left"/>
    </w:pPr>
  </w:style>
  <w:style w:type="paragraph" w:styleId="10">
    <w:name w:val="Body Text Indent"/>
    <w:basedOn w:val="1"/>
    <w:next w:val="1"/>
    <w:link w:val="45"/>
    <w:qFormat/>
    <w:uiPriority w:val="99"/>
    <w:pPr>
      <w:ind w:firstLine="630"/>
    </w:pPr>
    <w:rPr>
      <w:sz w:val="32"/>
      <w:szCs w:val="20"/>
    </w:rPr>
  </w:style>
  <w:style w:type="paragraph" w:styleId="11">
    <w:name w:val="Block Text"/>
    <w:basedOn w:val="1"/>
    <w:qFormat/>
    <w:uiPriority w:val="0"/>
    <w:pPr>
      <w:spacing w:after="120"/>
      <w:ind w:left="1440" w:leftChars="700" w:right="700" w:rightChars="700"/>
    </w:pPr>
  </w:style>
  <w:style w:type="paragraph" w:styleId="12">
    <w:name w:val="Plain Text"/>
    <w:basedOn w:val="1"/>
    <w:link w:val="46"/>
    <w:qFormat/>
    <w:uiPriority w:val="99"/>
    <w:pPr>
      <w:autoSpaceDE w:val="0"/>
      <w:autoSpaceDN w:val="0"/>
      <w:adjustRightInd w:val="0"/>
    </w:pPr>
    <w:rPr>
      <w:rFonts w:ascii="宋体" w:hAnsi="Tms Rmn"/>
      <w:szCs w:val="22"/>
    </w:rPr>
  </w:style>
  <w:style w:type="paragraph" w:styleId="13">
    <w:name w:val="Date"/>
    <w:basedOn w:val="1"/>
    <w:next w:val="1"/>
    <w:link w:val="59"/>
    <w:qFormat/>
    <w:uiPriority w:val="99"/>
    <w:pPr>
      <w:ind w:left="100" w:leftChars="2500"/>
    </w:pPr>
  </w:style>
  <w:style w:type="paragraph" w:styleId="14">
    <w:name w:val="Body Text Indent 2"/>
    <w:basedOn w:val="1"/>
    <w:link w:val="47"/>
    <w:qFormat/>
    <w:uiPriority w:val="99"/>
    <w:pPr>
      <w:spacing w:after="120" w:line="480" w:lineRule="auto"/>
      <w:ind w:left="420" w:leftChars="200"/>
    </w:pPr>
  </w:style>
  <w:style w:type="paragraph" w:styleId="15">
    <w:name w:val="Balloon Text"/>
    <w:basedOn w:val="1"/>
    <w:link w:val="48"/>
    <w:qFormat/>
    <w:uiPriority w:val="99"/>
    <w:rPr>
      <w:sz w:val="18"/>
      <w:szCs w:val="18"/>
    </w:rPr>
  </w:style>
  <w:style w:type="paragraph" w:styleId="16">
    <w:name w:val="footer"/>
    <w:basedOn w:val="1"/>
    <w:link w:val="49"/>
    <w:qFormat/>
    <w:uiPriority w:val="99"/>
    <w:pPr>
      <w:tabs>
        <w:tab w:val="center" w:pos="4153"/>
        <w:tab w:val="right" w:pos="8306"/>
      </w:tabs>
      <w:snapToGrid w:val="0"/>
      <w:jc w:val="left"/>
    </w:pPr>
    <w:rPr>
      <w:sz w:val="18"/>
      <w:szCs w:val="18"/>
    </w:rPr>
  </w:style>
  <w:style w:type="paragraph" w:styleId="17">
    <w:name w:val="header"/>
    <w:basedOn w:val="1"/>
    <w:link w:val="50"/>
    <w:qFormat/>
    <w:uiPriority w:val="99"/>
    <w:pPr>
      <w:pBdr>
        <w:bottom w:val="single" w:color="auto" w:sz="6" w:space="1"/>
      </w:pBdr>
      <w:tabs>
        <w:tab w:val="center" w:pos="4153"/>
        <w:tab w:val="right" w:pos="8306"/>
      </w:tabs>
      <w:snapToGrid w:val="0"/>
      <w:jc w:val="center"/>
    </w:pPr>
    <w:rPr>
      <w:sz w:val="18"/>
      <w:szCs w:val="18"/>
    </w:rPr>
  </w:style>
  <w:style w:type="paragraph" w:styleId="18">
    <w:name w:val="toc 1"/>
    <w:basedOn w:val="1"/>
    <w:next w:val="1"/>
    <w:qFormat/>
    <w:uiPriority w:val="99"/>
    <w:pPr>
      <w:spacing w:line="480" w:lineRule="auto"/>
    </w:pPr>
    <w:rPr>
      <w:szCs w:val="20"/>
    </w:rPr>
  </w:style>
  <w:style w:type="paragraph" w:styleId="19">
    <w:name w:val="Subtitle"/>
    <w:basedOn w:val="1"/>
    <w:next w:val="1"/>
    <w:qFormat/>
    <w:uiPriority w:val="4"/>
    <w:pPr>
      <w:widowControl/>
      <w:spacing w:beforeLines="50" w:afterLines="50"/>
      <w:jc w:val="center"/>
    </w:pPr>
    <w:rPr>
      <w:rFonts w:ascii="Cambria" w:hAnsi="Cambria" w:eastAsia="黑体"/>
      <w:b/>
      <w:kern w:val="0"/>
      <w:sz w:val="44"/>
    </w:rPr>
  </w:style>
  <w:style w:type="paragraph" w:styleId="20">
    <w:name w:val="Normal (Web)"/>
    <w:basedOn w:val="1"/>
    <w:qFormat/>
    <w:uiPriority w:val="99"/>
    <w:pPr>
      <w:widowControl/>
      <w:spacing w:before="100" w:beforeAutospacing="1" w:after="100" w:afterAutospacing="1"/>
      <w:jc w:val="left"/>
    </w:pPr>
    <w:rPr>
      <w:rFonts w:ascii="宋体" w:hAnsi="宋体"/>
      <w:kern w:val="0"/>
      <w:sz w:val="18"/>
      <w:szCs w:val="18"/>
    </w:rPr>
  </w:style>
  <w:style w:type="paragraph" w:styleId="21">
    <w:name w:val="Title"/>
    <w:basedOn w:val="1"/>
    <w:next w:val="1"/>
    <w:link w:val="51"/>
    <w:qFormat/>
    <w:uiPriority w:val="99"/>
    <w:pPr>
      <w:spacing w:before="240" w:after="60"/>
      <w:jc w:val="center"/>
      <w:outlineLvl w:val="0"/>
    </w:pPr>
    <w:rPr>
      <w:rFonts w:ascii="Cambria" w:hAnsi="Cambria"/>
      <w:b/>
      <w:bCs/>
      <w:sz w:val="32"/>
      <w:szCs w:val="32"/>
    </w:rPr>
  </w:style>
  <w:style w:type="paragraph" w:styleId="22">
    <w:name w:val="Body Text First Indent"/>
    <w:basedOn w:val="2"/>
    <w:unhideWhenUsed/>
    <w:qFormat/>
    <w:uiPriority w:val="99"/>
    <w:pPr>
      <w:spacing w:line="240" w:lineRule="auto"/>
      <w:ind w:firstLine="420" w:firstLineChars="100"/>
    </w:pPr>
    <w:rPr>
      <w:szCs w:val="22"/>
    </w:rPr>
  </w:style>
  <w:style w:type="paragraph" w:styleId="23">
    <w:name w:val="Body Text First Indent 2"/>
    <w:basedOn w:val="10"/>
    <w:qFormat/>
    <w:uiPriority w:val="0"/>
    <w:pPr>
      <w:ind w:firstLine="420" w:firstLineChars="200"/>
    </w:pPr>
  </w:style>
  <w:style w:type="table" w:styleId="25">
    <w:name w:val="Table Grid"/>
    <w:basedOn w:val="24"/>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27">
    <w:name w:val="page number"/>
    <w:basedOn w:val="26"/>
    <w:qFormat/>
    <w:uiPriority w:val="99"/>
    <w:rPr>
      <w:rFonts w:cs="Times New Roman"/>
    </w:rPr>
  </w:style>
  <w:style w:type="character" w:styleId="28">
    <w:name w:val="FollowedHyperlink"/>
    <w:basedOn w:val="26"/>
    <w:qFormat/>
    <w:uiPriority w:val="0"/>
    <w:rPr>
      <w:color w:val="3D3D3D"/>
      <w:u w:val="none"/>
    </w:rPr>
  </w:style>
  <w:style w:type="character" w:styleId="29">
    <w:name w:val="Emphasis"/>
    <w:basedOn w:val="26"/>
    <w:qFormat/>
    <w:uiPriority w:val="20"/>
    <w:rPr>
      <w:i/>
      <w:iCs/>
    </w:rPr>
  </w:style>
  <w:style w:type="character" w:styleId="30">
    <w:name w:val="HTML Definition"/>
    <w:basedOn w:val="26"/>
    <w:qFormat/>
    <w:uiPriority w:val="0"/>
  </w:style>
  <w:style w:type="character" w:styleId="31">
    <w:name w:val="HTML Variable"/>
    <w:basedOn w:val="26"/>
    <w:qFormat/>
    <w:uiPriority w:val="0"/>
  </w:style>
  <w:style w:type="character" w:styleId="32">
    <w:name w:val="Hyperlink"/>
    <w:basedOn w:val="26"/>
    <w:qFormat/>
    <w:uiPriority w:val="99"/>
    <w:rPr>
      <w:rFonts w:cs="Times New Roman"/>
      <w:color w:val="0000FF"/>
      <w:u w:val="single"/>
    </w:rPr>
  </w:style>
  <w:style w:type="character" w:styleId="33">
    <w:name w:val="HTML Code"/>
    <w:basedOn w:val="26"/>
    <w:qFormat/>
    <w:uiPriority w:val="0"/>
    <w:rPr>
      <w:rFonts w:ascii="Courier New" w:hAnsi="Courier New"/>
      <w:sz w:val="20"/>
    </w:rPr>
  </w:style>
  <w:style w:type="character" w:styleId="34">
    <w:name w:val="HTML Cite"/>
    <w:basedOn w:val="26"/>
    <w:qFormat/>
    <w:uiPriority w:val="0"/>
  </w:style>
  <w:style w:type="paragraph" w:styleId="35">
    <w:name w:val="Quote"/>
    <w:basedOn w:val="1"/>
    <w:next w:val="1"/>
    <w:qFormat/>
    <w:uiPriority w:val="0"/>
    <w:pPr>
      <w:wordWrap w:val="0"/>
      <w:spacing w:before="200" w:after="160"/>
      <w:ind w:left="864" w:right="864"/>
      <w:jc w:val="center"/>
    </w:pPr>
    <w:rPr>
      <w:rFonts w:ascii="Times New Roman" w:hAnsi="Times New Roman" w:eastAsia="宋体" w:cs="Times New Roman"/>
      <w:i/>
      <w:sz w:val="21"/>
      <w:lang w:val="en-US" w:eastAsia="zh-CN" w:bidi="ar-SA"/>
    </w:rPr>
  </w:style>
  <w:style w:type="paragraph" w:customStyle="1" w:styleId="36">
    <w:name w:val="标题 5（有编号）（绿盟科技）"/>
    <w:basedOn w:val="1"/>
    <w:next w:val="1"/>
    <w:qFormat/>
    <w:uiPriority w:val="0"/>
    <w:pPr>
      <w:keepNext/>
      <w:keepLines/>
      <w:numPr>
        <w:ilvl w:val="4"/>
        <w:numId w:val="1"/>
      </w:numPr>
      <w:spacing w:before="280" w:after="156" w:line="377" w:lineRule="auto"/>
      <w:jc w:val="left"/>
      <w:outlineLvl w:val="4"/>
    </w:pPr>
    <w:rPr>
      <w:rFonts w:ascii="Arial" w:hAnsi="Arial" w:eastAsia="黑体"/>
      <w:b/>
      <w:kern w:val="0"/>
      <w:sz w:val="24"/>
      <w:szCs w:val="28"/>
    </w:rPr>
  </w:style>
  <w:style w:type="paragraph" w:customStyle="1" w:styleId="37">
    <w:name w:val="正文（绿盟科技）"/>
    <w:qFormat/>
    <w:uiPriority w:val="0"/>
    <w:pPr>
      <w:spacing w:line="300" w:lineRule="auto"/>
    </w:pPr>
    <w:rPr>
      <w:rFonts w:ascii="Arial" w:hAnsi="Arial" w:eastAsia="宋体" w:cs="黑体"/>
      <w:sz w:val="21"/>
      <w:szCs w:val="21"/>
      <w:lang w:val="en-US" w:eastAsia="zh-CN" w:bidi="ar-SA"/>
    </w:rPr>
  </w:style>
  <w:style w:type="paragraph" w:customStyle="1" w:styleId="38">
    <w:name w:val="Default"/>
    <w:qFormat/>
    <w:uiPriority w:val="99"/>
    <w:pPr>
      <w:widowControl w:val="0"/>
      <w:autoSpaceDE w:val="0"/>
      <w:autoSpaceDN w:val="0"/>
      <w:adjustRightInd w:val="0"/>
    </w:pPr>
    <w:rPr>
      <w:rFonts w:ascii="......." w:hAnsi="......." w:eastAsia="......." w:cs="......."/>
      <w:color w:val="000000"/>
      <w:sz w:val="24"/>
      <w:szCs w:val="24"/>
      <w:lang w:val="en-US" w:eastAsia="zh-CN" w:bidi="ar-SA"/>
    </w:rPr>
  </w:style>
  <w:style w:type="character" w:customStyle="1" w:styleId="39">
    <w:name w:val="正文文本 字符"/>
    <w:basedOn w:val="26"/>
    <w:link w:val="2"/>
    <w:qFormat/>
    <w:uiPriority w:val="99"/>
    <w:rPr>
      <w:szCs w:val="24"/>
    </w:rPr>
  </w:style>
  <w:style w:type="character" w:customStyle="1" w:styleId="40">
    <w:name w:val="标题 1 Char"/>
    <w:basedOn w:val="26"/>
    <w:qFormat/>
    <w:uiPriority w:val="0"/>
    <w:rPr>
      <w:rFonts w:ascii="Times New Roman" w:hAnsi="Times New Roman"/>
      <w:b/>
      <w:bCs/>
      <w:kern w:val="44"/>
      <w:sz w:val="36"/>
      <w:szCs w:val="44"/>
    </w:rPr>
  </w:style>
  <w:style w:type="character" w:customStyle="1" w:styleId="41">
    <w:name w:val="标题 2 字符"/>
    <w:basedOn w:val="26"/>
    <w:link w:val="4"/>
    <w:qFormat/>
    <w:uiPriority w:val="99"/>
    <w:rPr>
      <w:rFonts w:ascii="Arial" w:hAnsi="Arial" w:eastAsia="黑体"/>
      <w:b/>
      <w:bCs/>
      <w:kern w:val="2"/>
      <w:sz w:val="32"/>
      <w:szCs w:val="32"/>
    </w:rPr>
  </w:style>
  <w:style w:type="character" w:customStyle="1" w:styleId="42">
    <w:name w:val="标题 3 字符"/>
    <w:basedOn w:val="26"/>
    <w:link w:val="5"/>
    <w:qFormat/>
    <w:uiPriority w:val="99"/>
    <w:rPr>
      <w:rFonts w:ascii="Times New Roman" w:hAnsi="Times New Roman"/>
      <w:b/>
      <w:bCs/>
      <w:kern w:val="2"/>
      <w:sz w:val="24"/>
      <w:szCs w:val="32"/>
    </w:rPr>
  </w:style>
  <w:style w:type="character" w:customStyle="1" w:styleId="43">
    <w:name w:val="标题 4 字符"/>
    <w:basedOn w:val="26"/>
    <w:link w:val="6"/>
    <w:qFormat/>
    <w:uiPriority w:val="99"/>
    <w:rPr>
      <w:rFonts w:ascii="Arial" w:hAnsi="Arial" w:eastAsia="宋体"/>
      <w:kern w:val="2"/>
      <w:sz w:val="24"/>
      <w:szCs w:val="24"/>
    </w:rPr>
  </w:style>
  <w:style w:type="character" w:customStyle="1" w:styleId="44">
    <w:name w:val="标题 5 字符"/>
    <w:basedOn w:val="26"/>
    <w:link w:val="7"/>
    <w:qFormat/>
    <w:uiPriority w:val="0"/>
    <w:rPr>
      <w:rFonts w:ascii="Times New Roman" w:hAnsi="Times New Roman"/>
      <w:b/>
      <w:bCs/>
      <w:kern w:val="2"/>
      <w:sz w:val="28"/>
      <w:szCs w:val="28"/>
    </w:rPr>
  </w:style>
  <w:style w:type="character" w:customStyle="1" w:styleId="45">
    <w:name w:val="正文文本缩进 字符"/>
    <w:basedOn w:val="26"/>
    <w:link w:val="10"/>
    <w:qFormat/>
    <w:uiPriority w:val="99"/>
    <w:rPr>
      <w:szCs w:val="24"/>
    </w:rPr>
  </w:style>
  <w:style w:type="character" w:customStyle="1" w:styleId="46">
    <w:name w:val="纯文本 字符"/>
    <w:basedOn w:val="26"/>
    <w:link w:val="12"/>
    <w:qFormat/>
    <w:uiPriority w:val="99"/>
    <w:rPr>
      <w:rFonts w:ascii="宋体" w:hAnsi="Tms Rmn"/>
      <w:kern w:val="2"/>
      <w:sz w:val="21"/>
      <w:szCs w:val="22"/>
    </w:rPr>
  </w:style>
  <w:style w:type="character" w:customStyle="1" w:styleId="47">
    <w:name w:val="正文文本缩进 2 字符"/>
    <w:basedOn w:val="26"/>
    <w:link w:val="14"/>
    <w:qFormat/>
    <w:uiPriority w:val="99"/>
    <w:rPr>
      <w:szCs w:val="24"/>
    </w:rPr>
  </w:style>
  <w:style w:type="character" w:customStyle="1" w:styleId="48">
    <w:name w:val="批注框文本 字符"/>
    <w:basedOn w:val="26"/>
    <w:link w:val="15"/>
    <w:qFormat/>
    <w:uiPriority w:val="99"/>
    <w:rPr>
      <w:rFonts w:ascii="Times New Roman" w:hAnsi="Times New Roman"/>
      <w:kern w:val="2"/>
      <w:sz w:val="18"/>
      <w:szCs w:val="18"/>
    </w:rPr>
  </w:style>
  <w:style w:type="character" w:customStyle="1" w:styleId="49">
    <w:name w:val="页脚 字符"/>
    <w:basedOn w:val="26"/>
    <w:link w:val="16"/>
    <w:qFormat/>
    <w:uiPriority w:val="99"/>
    <w:rPr>
      <w:sz w:val="18"/>
      <w:szCs w:val="18"/>
    </w:rPr>
  </w:style>
  <w:style w:type="character" w:customStyle="1" w:styleId="50">
    <w:name w:val="页眉 字符"/>
    <w:basedOn w:val="26"/>
    <w:link w:val="17"/>
    <w:qFormat/>
    <w:uiPriority w:val="99"/>
    <w:rPr>
      <w:sz w:val="18"/>
      <w:szCs w:val="18"/>
    </w:rPr>
  </w:style>
  <w:style w:type="character" w:customStyle="1" w:styleId="51">
    <w:name w:val="标题 字符"/>
    <w:basedOn w:val="26"/>
    <w:link w:val="21"/>
    <w:qFormat/>
    <w:uiPriority w:val="10"/>
    <w:rPr>
      <w:rFonts w:ascii="Cambria" w:hAnsi="Cambria" w:cs="宋体"/>
      <w:b/>
      <w:bCs/>
      <w:sz w:val="32"/>
      <w:szCs w:val="32"/>
    </w:rPr>
  </w:style>
  <w:style w:type="paragraph" w:customStyle="1" w:styleId="52">
    <w:name w:val="正文首行缩进两字符"/>
    <w:basedOn w:val="1"/>
    <w:qFormat/>
    <w:uiPriority w:val="0"/>
  </w:style>
  <w:style w:type="paragraph" w:customStyle="1" w:styleId="53">
    <w:name w:val="样式"/>
    <w:qFormat/>
    <w:uiPriority w:val="99"/>
    <w:pPr>
      <w:widowControl w:val="0"/>
      <w:autoSpaceDE w:val="0"/>
      <w:autoSpaceDN w:val="0"/>
      <w:adjustRightInd w:val="0"/>
    </w:pPr>
    <w:rPr>
      <w:rFonts w:ascii="宋体" w:hAnsi="宋体" w:eastAsia="宋体" w:cs="宋体"/>
      <w:sz w:val="24"/>
      <w:szCs w:val="24"/>
      <w:lang w:val="en-US" w:eastAsia="zh-CN" w:bidi="ar-SA"/>
    </w:rPr>
  </w:style>
  <w:style w:type="paragraph" w:customStyle="1" w:styleId="54">
    <w:name w:val="正文1"/>
    <w:qFormat/>
    <w:uiPriority w:val="99"/>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55">
    <w:name w:val="样式 首行缩进:  2 字符"/>
    <w:basedOn w:val="1"/>
    <w:qFormat/>
    <w:uiPriority w:val="99"/>
    <w:pPr>
      <w:spacing w:line="400" w:lineRule="exact"/>
    </w:pPr>
    <w:rPr>
      <w:rFonts w:cs="宋体"/>
    </w:rPr>
  </w:style>
  <w:style w:type="paragraph" w:customStyle="1" w:styleId="56">
    <w:name w:val="_Style 2"/>
    <w:basedOn w:val="1"/>
    <w:qFormat/>
    <w:uiPriority w:val="99"/>
    <w:pPr>
      <w:ind w:firstLine="420"/>
    </w:pPr>
    <w:rPr>
      <w:sz w:val="18"/>
      <w:szCs w:val="18"/>
    </w:rPr>
  </w:style>
  <w:style w:type="paragraph" w:customStyle="1" w:styleId="57">
    <w:name w:val="列出段落1"/>
    <w:basedOn w:val="1"/>
    <w:qFormat/>
    <w:uiPriority w:val="99"/>
    <w:pPr>
      <w:widowControl/>
      <w:spacing w:before="39" w:after="158" w:line="351" w:lineRule="atLeast"/>
      <w:ind w:firstLine="419"/>
      <w:textAlignment w:val="baseline"/>
    </w:pPr>
    <w:rPr>
      <w:color w:val="000000"/>
      <w:kern w:val="0"/>
      <w:szCs w:val="20"/>
      <w:u w:color="000000"/>
    </w:rPr>
  </w:style>
  <w:style w:type="paragraph" w:customStyle="1" w:styleId="58">
    <w:name w:val="List Paragraph1"/>
    <w:basedOn w:val="1"/>
    <w:qFormat/>
    <w:uiPriority w:val="99"/>
    <w:pPr>
      <w:ind w:firstLine="420"/>
    </w:pPr>
    <w:rPr>
      <w:rFonts w:ascii="Calibri" w:hAnsi="Calibri"/>
    </w:rPr>
  </w:style>
  <w:style w:type="character" w:customStyle="1" w:styleId="59">
    <w:name w:val="日期 字符"/>
    <w:basedOn w:val="26"/>
    <w:link w:val="13"/>
    <w:qFormat/>
    <w:uiPriority w:val="99"/>
    <w:rPr>
      <w:kern w:val="2"/>
      <w:sz w:val="24"/>
      <w:szCs w:val="24"/>
    </w:rPr>
  </w:style>
  <w:style w:type="paragraph" w:styleId="60">
    <w:name w:val="List Paragraph"/>
    <w:basedOn w:val="1"/>
    <w:qFormat/>
    <w:uiPriority w:val="34"/>
    <w:pPr>
      <w:ind w:firstLine="420"/>
    </w:pPr>
  </w:style>
  <w:style w:type="character" w:customStyle="1" w:styleId="61">
    <w:name w:val="img"/>
    <w:basedOn w:val="26"/>
    <w:qFormat/>
    <w:uiPriority w:val="0"/>
  </w:style>
  <w:style w:type="character" w:customStyle="1" w:styleId="62">
    <w:name w:val="img1"/>
    <w:basedOn w:val="26"/>
    <w:qFormat/>
    <w:uiPriority w:val="0"/>
  </w:style>
  <w:style w:type="character" w:customStyle="1" w:styleId="63">
    <w:name w:val="标题 1 字符"/>
    <w:link w:val="3"/>
    <w:qFormat/>
    <w:uiPriority w:val="1"/>
    <w:rPr>
      <w:b/>
      <w:bCs/>
      <w:kern w:val="44"/>
      <w:sz w:val="44"/>
      <w:szCs w:val="44"/>
    </w:rPr>
  </w:style>
  <w:style w:type="paragraph" w:customStyle="1" w:styleId="64">
    <w:name w:val="Body text|1"/>
    <w:basedOn w:val="1"/>
    <w:link w:val="65"/>
    <w:unhideWhenUsed/>
    <w:qFormat/>
    <w:uiPriority w:val="0"/>
    <w:pPr>
      <w:spacing w:line="480" w:lineRule="auto"/>
      <w:jc w:val="left"/>
    </w:pPr>
    <w:rPr>
      <w:rFonts w:ascii="MingLiU" w:hAnsi="MingLiU" w:eastAsia="MingLiU"/>
      <w:color w:val="000000"/>
      <w:sz w:val="20"/>
      <w:lang w:val="zh-TW" w:eastAsia="zh-TW"/>
    </w:rPr>
  </w:style>
  <w:style w:type="character" w:customStyle="1" w:styleId="65">
    <w:name w:val="Body text|1_"/>
    <w:link w:val="64"/>
    <w:unhideWhenUsed/>
    <w:qFormat/>
    <w:uiPriority w:val="0"/>
    <w:rPr>
      <w:rFonts w:ascii="MingLiU" w:hAnsi="MingLiU" w:eastAsia="MingLiU"/>
      <w:color w:val="000000"/>
      <w:kern w:val="2"/>
      <w:szCs w:val="24"/>
      <w:lang w:val="zh-TW" w:eastAsia="zh-TW"/>
    </w:rPr>
  </w:style>
  <w:style w:type="paragraph" w:customStyle="1" w:styleId="66">
    <w:name w:val="Table Paragraph"/>
    <w:basedOn w:val="1"/>
    <w:qFormat/>
    <w:uiPriority w:val="1"/>
    <w:pPr>
      <w:spacing w:before="92"/>
      <w:ind w:left="111"/>
      <w:jc w:val="center"/>
    </w:pPr>
    <w:rPr>
      <w:rFonts w:ascii="楷体" w:hAnsi="楷体" w:eastAsia="楷体" w:cs="楷体"/>
      <w:lang w:val="zh-CN" w:eastAsia="zh-CN" w:bidi="zh-CN"/>
    </w:rPr>
  </w:style>
  <w:style w:type="character" w:customStyle="1" w:styleId="67">
    <w:name w:val="font51"/>
    <w:basedOn w:val="26"/>
    <w:qFormat/>
    <w:uiPriority w:val="0"/>
    <w:rPr>
      <w:rFonts w:hint="eastAsia" w:ascii="宋体" w:hAnsi="宋体" w:eastAsia="宋体" w:cs="宋体"/>
      <w:color w:val="000000"/>
      <w:sz w:val="24"/>
      <w:szCs w:val="24"/>
      <w:u w:val="none"/>
    </w:rPr>
  </w:style>
  <w:style w:type="character" w:customStyle="1" w:styleId="68">
    <w:name w:val="无"/>
    <w:qFormat/>
    <w:uiPriority w:val="0"/>
  </w:style>
  <w:style w:type="paragraph" w:customStyle="1" w:styleId="69">
    <w:name w:val="aa"/>
    <w:basedOn w:val="1"/>
    <w:qFormat/>
    <w:uiPriority w:val="0"/>
    <w:pPr>
      <w:jc w:val="center"/>
    </w:pPr>
    <w:rPr>
      <w:rFonts w:ascii="Calibri" w:hAnsi="Calibri"/>
      <w:b/>
      <w:sz w:val="28"/>
    </w:rPr>
  </w:style>
  <w:style w:type="paragraph" w:customStyle="1" w:styleId="70">
    <w:name w:val="_Style 3"/>
    <w:basedOn w:val="1"/>
    <w:qFormat/>
    <w:uiPriority w:val="0"/>
    <w:pPr>
      <w:widowControl w:val="0"/>
      <w:ind w:firstLine="420" w:firstLineChars="200"/>
      <w:jc w:val="both"/>
    </w:pPr>
    <w:rPr>
      <w:rFonts w:ascii="Calibri" w:hAnsi="Calibri"/>
      <w:kern w:val="2"/>
      <w:sz w:val="21"/>
      <w:szCs w:val="22"/>
    </w:rPr>
  </w:style>
  <w:style w:type="character" w:customStyle="1" w:styleId="71">
    <w:name w:val="正文文本 Char"/>
    <w:link w:val="2"/>
    <w:qFormat/>
    <w:uiPriority w:val="1"/>
    <w:rPr>
      <w:kern w:val="2"/>
      <w:sz w:val="21"/>
      <w:szCs w:val="22"/>
    </w:rPr>
  </w:style>
  <w:style w:type="character" w:customStyle="1" w:styleId="72">
    <w:name w:val="font71"/>
    <w:basedOn w:val="26"/>
    <w:qFormat/>
    <w:uiPriority w:val="0"/>
    <w:rPr>
      <w:rFonts w:hint="eastAsia" w:ascii="宋体" w:hAnsi="宋体" w:eastAsia="宋体" w:cs="宋体"/>
      <w:color w:val="000000"/>
      <w:sz w:val="20"/>
      <w:szCs w:val="20"/>
      <w:u w:val="none"/>
    </w:rPr>
  </w:style>
  <w:style w:type="paragraph" w:customStyle="1" w:styleId="73">
    <w:name w:val="列出段落2"/>
    <w:basedOn w:val="1"/>
    <w:qFormat/>
    <w:uiPriority w:val="99"/>
    <w:pPr>
      <w:ind w:firstLine="420" w:firstLineChars="200"/>
    </w:pPr>
  </w:style>
  <w:style w:type="paragraph" w:customStyle="1" w:styleId="74">
    <w:name w:val="U_正文2"/>
    <w:basedOn w:val="1"/>
    <w:qFormat/>
    <w:uiPriority w:val="99"/>
    <w:pPr>
      <w:spacing w:beforeLines="10" w:afterLines="10" w:line="300" w:lineRule="auto"/>
    </w:pPr>
    <w:rPr>
      <w:sz w:val="24"/>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0" Type="http://schemas.openxmlformats.org/officeDocument/2006/relationships/fontTable" Target="fontTable.xml"/><Relationship Id="rId5" Type="http://schemas.openxmlformats.org/officeDocument/2006/relationships/header" Target="header1.xml"/><Relationship Id="rId49" Type="http://schemas.openxmlformats.org/officeDocument/2006/relationships/customXml" Target="../customXml/item2.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28.png"/><Relationship Id="rId45" Type="http://schemas.openxmlformats.org/officeDocument/2006/relationships/image" Target="media/image27.png"/><Relationship Id="rId44" Type="http://schemas.openxmlformats.org/officeDocument/2006/relationships/image" Target="media/image26.png"/><Relationship Id="rId43" Type="http://schemas.openxmlformats.org/officeDocument/2006/relationships/image" Target="media/image25.png"/><Relationship Id="rId42" Type="http://schemas.openxmlformats.org/officeDocument/2006/relationships/image" Target="media/image24.png"/><Relationship Id="rId41" Type="http://schemas.openxmlformats.org/officeDocument/2006/relationships/image" Target="media/image23.png"/><Relationship Id="rId40" Type="http://schemas.openxmlformats.org/officeDocument/2006/relationships/image" Target="media/image22.png"/><Relationship Id="rId4" Type="http://schemas.openxmlformats.org/officeDocument/2006/relationships/endnotes" Target="endnotes.xml"/><Relationship Id="rId39" Type="http://schemas.openxmlformats.org/officeDocument/2006/relationships/image" Target="media/image21.png"/><Relationship Id="rId38" Type="http://schemas.openxmlformats.org/officeDocument/2006/relationships/image" Target="media/image20.png"/><Relationship Id="rId37" Type="http://schemas.openxmlformats.org/officeDocument/2006/relationships/image" Target="media/image19.png"/><Relationship Id="rId36" Type="http://schemas.openxmlformats.org/officeDocument/2006/relationships/image" Target="media/image18.png"/><Relationship Id="rId35" Type="http://schemas.openxmlformats.org/officeDocument/2006/relationships/image" Target="media/image17.png"/><Relationship Id="rId34" Type="http://schemas.openxmlformats.org/officeDocument/2006/relationships/image" Target="media/image16.png"/><Relationship Id="rId33" Type="http://schemas.openxmlformats.org/officeDocument/2006/relationships/image" Target="media/image15.png"/><Relationship Id="rId32" Type="http://schemas.openxmlformats.org/officeDocument/2006/relationships/image" Target="media/image14.png"/><Relationship Id="rId31" Type="http://schemas.openxmlformats.org/officeDocument/2006/relationships/image" Target="media/image13.png"/><Relationship Id="rId30" Type="http://schemas.openxmlformats.org/officeDocument/2006/relationships/image" Target="media/image12.png"/><Relationship Id="rId3" Type="http://schemas.openxmlformats.org/officeDocument/2006/relationships/footnotes" Target="footnotes.xml"/><Relationship Id="rId29" Type="http://schemas.openxmlformats.org/officeDocument/2006/relationships/image" Target="media/image11.png"/><Relationship Id="rId28" Type="http://schemas.openxmlformats.org/officeDocument/2006/relationships/image" Target="media/image10.png"/><Relationship Id="rId27"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5.xml"/><Relationship Id="rId13" Type="http://schemas.openxmlformats.org/officeDocument/2006/relationships/header" Target="header4.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C237F3-0A0A-42BE-92AD-3FAC1283082C}">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129</Pages>
  <Words>33201</Words>
  <Characters>34568</Characters>
  <Lines>266</Lines>
  <Paragraphs>75</Paragraphs>
  <TotalTime>63</TotalTime>
  <ScaleCrop>false</ScaleCrop>
  <LinksUpToDate>false</LinksUpToDate>
  <CharactersWithSpaces>35313</CharactersWithSpaces>
  <Application>WPS Office_11.1.0.10503_F1E327BC-269C-435d-A152-05C5408002CA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2018-11-16T06:11:00Z</dcterms:created>
  <dc:creator>freda+</dc:creator>
  <cp:lastModifiedBy>珺妈</cp:lastModifiedBy>
  <cp:lastPrinted>2018-12-19T03:28:00Z</cp:lastPrinted>
  <dcterms:modified xsi:type="dcterms:W3CDTF">2021-08-19T06:31:53Z</dcterms:modified>
  <cp:revision>75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2052-11.1.0.10503</vt:lpwstr>
  </property>
  <property fmtid="{D5CDD505-2E9C-101B-9397-08002B2CF9AE}" pid="3" name="ICV">
    <vt:lpwstr>16D7577EE2C24328B958EF2389BE575B</vt:lpwstr>
  </property>
</Properties>
</file>