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tabs>
          <w:tab w:val="left" w:pos="488"/>
        </w:tabs>
        <w:spacing w:line="560" w:lineRule="exact"/>
        <w:ind w:left="0" w:leftChars="0" w:firstLine="0" w:firstLineChars="0"/>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val="en-US" w:eastAsia="zh-CN"/>
        </w:rPr>
        <w:t>成都东部新区玉成街道办事处征地补偿工作辅助性服务采购项目</w:t>
      </w:r>
    </w:p>
    <w:p>
      <w:pPr>
        <w:ind w:firstLine="0" w:firstLineChars="0"/>
        <w:jc w:val="center"/>
        <w:rPr>
          <w:rFonts w:hint="eastAsia" w:ascii="宋体" w:hAnsi="宋体" w:eastAsia="宋体" w:cs="宋体"/>
          <w:b/>
          <w:sz w:val="36"/>
          <w:szCs w:val="36"/>
          <w:highlight w:val="none"/>
        </w:rPr>
      </w:pPr>
    </w:p>
    <w:p>
      <w:pPr>
        <w:ind w:firstLine="0" w:firstLineChars="0"/>
        <w:jc w:val="center"/>
        <w:rPr>
          <w:rFonts w:hint="default" w:ascii="宋体" w:hAnsi="宋体" w:eastAsia="宋体" w:cs="宋体"/>
          <w:b/>
          <w:bCs/>
          <w:sz w:val="36"/>
          <w:szCs w:val="36"/>
          <w:highlight w:val="none"/>
          <w:lang w:val="en-US" w:eastAsia="zh-CN"/>
        </w:rPr>
      </w:pPr>
      <w:r>
        <w:rPr>
          <w:rFonts w:hint="eastAsia" w:ascii="宋体" w:hAnsi="宋体" w:eastAsia="宋体" w:cs="宋体"/>
          <w:b/>
          <w:sz w:val="36"/>
          <w:szCs w:val="36"/>
          <w:highlight w:val="none"/>
        </w:rPr>
        <w:t>项目编号：</w:t>
      </w:r>
      <w:r>
        <w:rPr>
          <w:rFonts w:hint="eastAsia" w:ascii="宋体" w:hAnsi="宋体" w:cs="宋体"/>
          <w:b/>
          <w:sz w:val="36"/>
          <w:szCs w:val="36"/>
          <w:highlight w:val="none"/>
          <w:lang w:val="en-US" w:eastAsia="zh-CN"/>
        </w:rPr>
        <w:t>以四川政府采购网挂网编号为准</w:t>
      </w:r>
    </w:p>
    <w:p>
      <w:pPr>
        <w:pStyle w:val="12"/>
        <w:ind w:firstLine="480"/>
        <w:jc w:val="center"/>
        <w:rPr>
          <w:rFonts w:hint="eastAsia" w:ascii="宋体" w:hAnsi="宋体" w:eastAsia="宋体" w:cs="宋体"/>
          <w:highlight w:val="none"/>
        </w:rPr>
      </w:pP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竞</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争</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性</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磋</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商</w:t>
      </w:r>
    </w:p>
    <w:p>
      <w:pPr>
        <w:ind w:firstLine="0" w:firstLineChars="0"/>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文</w:t>
      </w:r>
    </w:p>
    <w:p>
      <w:pPr>
        <w:ind w:firstLine="0" w:firstLineChars="0"/>
        <w:jc w:val="center"/>
        <w:rPr>
          <w:rFonts w:hint="eastAsia" w:ascii="宋体" w:hAnsi="宋体" w:eastAsia="宋体" w:cs="宋体"/>
          <w:b/>
          <w:sz w:val="32"/>
          <w:szCs w:val="32"/>
          <w:highlight w:val="none"/>
        </w:rPr>
      </w:pPr>
      <w:r>
        <w:rPr>
          <w:rFonts w:hint="eastAsia" w:ascii="宋体" w:hAnsi="宋体" w:eastAsia="宋体" w:cs="宋体"/>
          <w:b/>
          <w:sz w:val="52"/>
          <w:szCs w:val="52"/>
          <w:highlight w:val="none"/>
        </w:rPr>
        <w:t>件</w:t>
      </w:r>
    </w:p>
    <w:p>
      <w:pPr>
        <w:ind w:left="0" w:leftChars="0" w:firstLine="0" w:firstLineChars="0"/>
        <w:jc w:val="center"/>
        <w:rPr>
          <w:rFonts w:hint="eastAsia" w:ascii="宋体" w:hAnsi="宋体" w:eastAsia="宋体" w:cs="宋体"/>
          <w:b/>
          <w:sz w:val="32"/>
          <w:szCs w:val="32"/>
          <w:highlight w:val="none"/>
        </w:rPr>
      </w:pPr>
      <w:r>
        <w:rPr>
          <w:rFonts w:hint="eastAsia" w:ascii="宋体" w:hAnsi="宋体" w:cs="宋体"/>
          <w:b/>
          <w:sz w:val="32"/>
          <w:szCs w:val="32"/>
          <w:highlight w:val="none"/>
          <w:lang w:eastAsia="zh-CN"/>
        </w:rPr>
        <w:t>成都东部新区玉成街道办事处</w:t>
      </w:r>
    </w:p>
    <w:p>
      <w:pPr>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四川三盈招标代理有限公司</w:t>
      </w:r>
    </w:p>
    <w:p>
      <w:pPr>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共同编制</w:t>
      </w:r>
    </w:p>
    <w:p>
      <w:pPr>
        <w:pStyle w:val="4"/>
        <w:keepNext w:val="0"/>
        <w:keepLines w:val="0"/>
        <w:spacing w:line="360" w:lineRule="auto"/>
        <w:ind w:left="0" w:leftChars="0" w:firstLine="0" w:firstLineChars="0"/>
        <w:jc w:val="center"/>
        <w:rPr>
          <w:rFonts w:hint="eastAsia" w:ascii="宋体" w:hAnsi="宋体" w:eastAsia="宋体" w:cs="宋体"/>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531" w:header="1247" w:footer="992" w:gutter="0"/>
          <w:cols w:space="720" w:num="1"/>
          <w:docGrid w:linePitch="326" w:charSpace="0"/>
        </w:sectPr>
      </w:pPr>
      <w:r>
        <w:rPr>
          <w:rFonts w:hint="eastAsia" w:ascii="宋体" w:hAnsi="宋体" w:eastAsia="宋体" w:cs="宋体"/>
          <w:highlight w:val="none"/>
          <w:lang w:val="zh-CN"/>
        </w:rPr>
        <w:t>20</w:t>
      </w:r>
      <w:r>
        <w:rPr>
          <w:rFonts w:hint="eastAsia" w:ascii="宋体" w:hAnsi="宋体" w:eastAsia="宋体" w:cs="宋体"/>
          <w:highlight w:val="none"/>
        </w:rPr>
        <w:t>2</w:t>
      </w:r>
      <w:r>
        <w:rPr>
          <w:rFonts w:hint="eastAsia" w:ascii="宋体" w:hAnsi="宋体" w:eastAsia="宋体" w:cs="宋体"/>
          <w:highlight w:val="none"/>
          <w:lang w:val="en-US" w:eastAsia="zh-CN"/>
        </w:rPr>
        <w:t>1</w:t>
      </w:r>
      <w:r>
        <w:rPr>
          <w:rFonts w:hint="eastAsia" w:ascii="宋体" w:hAnsi="宋体" w:eastAsia="宋体" w:cs="宋体"/>
          <w:highlight w:val="none"/>
          <w:lang w:val="zh-CN"/>
        </w:rPr>
        <w:t>年</w:t>
      </w:r>
      <w:r>
        <w:rPr>
          <w:rFonts w:hint="eastAsia" w:ascii="宋体" w:hAnsi="宋体" w:eastAsia="宋体" w:cs="宋体"/>
          <w:highlight w:val="none"/>
          <w:lang w:val="en-US" w:eastAsia="zh-CN"/>
        </w:rPr>
        <w:t>9</w:t>
      </w:r>
      <w:r>
        <w:rPr>
          <w:rFonts w:hint="eastAsia" w:ascii="宋体" w:hAnsi="宋体" w:eastAsia="宋体" w:cs="宋体"/>
          <w:highlight w:val="none"/>
          <w:lang w:val="zh-CN"/>
        </w:rPr>
        <w:t>月</w:t>
      </w:r>
    </w:p>
    <w:p>
      <w:pPr>
        <w:pStyle w:val="4"/>
        <w:keepNext w:val="0"/>
        <w:keepLines w:val="0"/>
        <w:spacing w:line="360" w:lineRule="auto"/>
        <w:ind w:firstLine="723"/>
        <w:rPr>
          <w:rFonts w:hint="eastAsia" w:ascii="宋体" w:hAnsi="宋体" w:eastAsia="宋体" w:cs="宋体"/>
          <w:highlight w:val="none"/>
        </w:rPr>
      </w:pPr>
      <w:r>
        <w:rPr>
          <w:rFonts w:hint="eastAsia" w:ascii="宋体" w:hAnsi="宋体" w:eastAsia="宋体" w:cs="宋体"/>
          <w:bCs w:val="0"/>
          <w:sz w:val="36"/>
          <w:highlight w:val="none"/>
        </w:rPr>
        <w:t>目    录</w:t>
      </w:r>
    </w:p>
    <w:p>
      <w:pPr>
        <w:pStyle w:val="20"/>
        <w:tabs>
          <w:tab w:val="right" w:leader="dot" w:pos="9298"/>
        </w:tabs>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\h \z \t "标题,1"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_Toc19047 </w:instrText>
      </w:r>
      <w:r>
        <w:rPr>
          <w:rFonts w:hint="eastAsia" w:ascii="宋体" w:hAnsi="宋体" w:eastAsia="宋体" w:cs="宋体"/>
          <w:szCs w:val="24"/>
          <w:highlight w:val="none"/>
        </w:rPr>
        <w:fldChar w:fldCharType="separate"/>
      </w:r>
      <w:r>
        <w:rPr>
          <w:rFonts w:hint="eastAsia"/>
          <w:highlight w:val="none"/>
        </w:rPr>
        <w:t>第一章  磋商邀请</w:t>
      </w:r>
      <w:r>
        <w:rPr>
          <w:highlight w:val="none"/>
        </w:rPr>
        <w:tab/>
      </w:r>
      <w:r>
        <w:rPr>
          <w:highlight w:val="none"/>
        </w:rPr>
        <w:fldChar w:fldCharType="begin"/>
      </w:r>
      <w:r>
        <w:rPr>
          <w:highlight w:val="none"/>
        </w:rPr>
        <w:instrText xml:space="preserve"> PAGEREF _Toc19047 </w:instrText>
      </w:r>
      <w:r>
        <w:rPr>
          <w:highlight w:val="none"/>
        </w:rPr>
        <w:fldChar w:fldCharType="separate"/>
      </w:r>
      <w:r>
        <w:rPr>
          <w:highlight w:val="none"/>
        </w:rPr>
        <w:t>1</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_Toc8414 </w:instrText>
      </w:r>
      <w:r>
        <w:rPr>
          <w:rFonts w:hint="eastAsia" w:ascii="宋体" w:hAnsi="宋体" w:eastAsia="宋体" w:cs="宋体"/>
          <w:szCs w:val="24"/>
          <w:highlight w:val="none"/>
        </w:rPr>
        <w:fldChar w:fldCharType="separate"/>
      </w:r>
      <w:r>
        <w:rPr>
          <w:rFonts w:hint="eastAsia"/>
          <w:highlight w:val="none"/>
          <w:lang w:val="en-US" w:eastAsia="zh-CN"/>
        </w:rPr>
        <w:t>第二章  磋商须知</w:t>
      </w:r>
      <w:r>
        <w:rPr>
          <w:highlight w:val="none"/>
        </w:rPr>
        <w:tab/>
      </w:r>
      <w:r>
        <w:rPr>
          <w:highlight w:val="none"/>
        </w:rPr>
        <w:fldChar w:fldCharType="begin"/>
      </w:r>
      <w:r>
        <w:rPr>
          <w:highlight w:val="none"/>
        </w:rPr>
        <w:instrText xml:space="preserve"> PAGEREF _Toc8414 </w:instrText>
      </w:r>
      <w:r>
        <w:rPr>
          <w:highlight w:val="none"/>
        </w:rPr>
        <w:fldChar w:fldCharType="separate"/>
      </w:r>
      <w:r>
        <w:rPr>
          <w:highlight w:val="none"/>
        </w:rPr>
        <w:t>4</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_Toc1012 </w:instrText>
      </w:r>
      <w:r>
        <w:rPr>
          <w:rFonts w:hint="eastAsia" w:ascii="宋体" w:hAnsi="宋体" w:eastAsia="宋体" w:cs="宋体"/>
          <w:szCs w:val="24"/>
          <w:highlight w:val="none"/>
        </w:rPr>
        <w:fldChar w:fldCharType="separate"/>
      </w:r>
      <w:r>
        <w:rPr>
          <w:rFonts w:hint="eastAsia"/>
          <w:highlight w:val="none"/>
        </w:rPr>
        <w:t>第三章  供应商和报价产品的资格、资质性及其他类似效力要求</w:t>
      </w:r>
      <w:r>
        <w:rPr>
          <w:highlight w:val="none"/>
        </w:rPr>
        <w:tab/>
      </w:r>
      <w:r>
        <w:rPr>
          <w:highlight w:val="none"/>
        </w:rPr>
        <w:fldChar w:fldCharType="begin"/>
      </w:r>
      <w:r>
        <w:rPr>
          <w:highlight w:val="none"/>
        </w:rPr>
        <w:instrText xml:space="preserve"> PAGEREF _Toc1012 </w:instrText>
      </w:r>
      <w:r>
        <w:rPr>
          <w:highlight w:val="none"/>
        </w:rPr>
        <w:fldChar w:fldCharType="separate"/>
      </w:r>
      <w:r>
        <w:rPr>
          <w:highlight w:val="none"/>
        </w:rPr>
        <w:t>22</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_Toc29302 </w:instrText>
      </w:r>
      <w:r>
        <w:rPr>
          <w:rFonts w:hint="eastAsia" w:ascii="宋体" w:hAnsi="宋体" w:eastAsia="宋体" w:cs="宋体"/>
          <w:szCs w:val="24"/>
          <w:highlight w:val="none"/>
        </w:rPr>
        <w:fldChar w:fldCharType="separate"/>
      </w:r>
      <w:r>
        <w:rPr>
          <w:rFonts w:hint="eastAsia"/>
          <w:highlight w:val="none"/>
        </w:rPr>
        <w:t xml:space="preserve">第四章 </w:t>
      </w:r>
      <w:r>
        <w:rPr>
          <w:rFonts w:hint="eastAsia"/>
          <w:highlight w:val="none"/>
          <w:lang w:val="en-US" w:eastAsia="zh-CN"/>
        </w:rPr>
        <w:t xml:space="preserve"> 供应商应当提供的资格、资质性及其他类似效力要求的相关证明材料</w:t>
      </w:r>
      <w:r>
        <w:rPr>
          <w:highlight w:val="none"/>
        </w:rPr>
        <w:tab/>
      </w:r>
      <w:r>
        <w:rPr>
          <w:highlight w:val="none"/>
        </w:rPr>
        <w:fldChar w:fldCharType="begin"/>
      </w:r>
      <w:r>
        <w:rPr>
          <w:highlight w:val="none"/>
        </w:rPr>
        <w:instrText xml:space="preserve"> PAGEREF _Toc29302 </w:instrText>
      </w:r>
      <w:r>
        <w:rPr>
          <w:highlight w:val="none"/>
        </w:rPr>
        <w:fldChar w:fldCharType="separate"/>
      </w:r>
      <w:r>
        <w:rPr>
          <w:highlight w:val="none"/>
        </w:rPr>
        <w:t>23</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_Toc15888 </w:instrText>
      </w:r>
      <w:r>
        <w:rPr>
          <w:rFonts w:hint="eastAsia" w:ascii="宋体" w:hAnsi="宋体" w:eastAsia="宋体" w:cs="宋体"/>
          <w:szCs w:val="24"/>
          <w:highlight w:val="none"/>
        </w:rPr>
        <w:fldChar w:fldCharType="separate"/>
      </w:r>
      <w:r>
        <w:rPr>
          <w:rFonts w:hint="eastAsia"/>
          <w:highlight w:val="none"/>
        </w:rPr>
        <w:t>第五章</w:t>
      </w:r>
      <w:r>
        <w:rPr>
          <w:rFonts w:hint="eastAsia"/>
          <w:highlight w:val="none"/>
          <w:lang w:val="en-US" w:eastAsia="zh-CN"/>
        </w:rPr>
        <w:t xml:space="preserve"> </w:t>
      </w:r>
      <w:r>
        <w:rPr>
          <w:rFonts w:hint="eastAsia"/>
          <w:highlight w:val="none"/>
        </w:rPr>
        <w:t xml:space="preserve"> 采购项目技术、服务、政府采购合同内容条款及其他商务要求</w:t>
      </w:r>
      <w:r>
        <w:rPr>
          <w:highlight w:val="none"/>
        </w:rPr>
        <w:tab/>
      </w:r>
      <w:r>
        <w:rPr>
          <w:highlight w:val="none"/>
        </w:rPr>
        <w:fldChar w:fldCharType="begin"/>
      </w:r>
      <w:r>
        <w:rPr>
          <w:highlight w:val="none"/>
        </w:rPr>
        <w:instrText xml:space="preserve"> PAGEREF _Toc15888 </w:instrText>
      </w:r>
      <w:r>
        <w:rPr>
          <w:highlight w:val="none"/>
        </w:rPr>
        <w:fldChar w:fldCharType="separate"/>
      </w:r>
      <w:r>
        <w:rPr>
          <w:highlight w:val="none"/>
        </w:rPr>
        <w:t>25</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_Toc14991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第七章  响应文件格式</w:t>
      </w:r>
      <w:r>
        <w:rPr>
          <w:highlight w:val="none"/>
        </w:rPr>
        <w:tab/>
      </w:r>
      <w:r>
        <w:rPr>
          <w:highlight w:val="none"/>
        </w:rPr>
        <w:fldChar w:fldCharType="begin"/>
      </w:r>
      <w:r>
        <w:rPr>
          <w:highlight w:val="none"/>
        </w:rPr>
        <w:instrText xml:space="preserve"> PAGEREF _Toc14991 </w:instrText>
      </w:r>
      <w:r>
        <w:rPr>
          <w:highlight w:val="none"/>
        </w:rPr>
        <w:fldChar w:fldCharType="separate"/>
      </w:r>
      <w:r>
        <w:rPr>
          <w:highlight w:val="none"/>
        </w:rPr>
        <w:t>28</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_Toc31006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第八章  评审方法</w:t>
      </w:r>
      <w:r>
        <w:rPr>
          <w:highlight w:val="none"/>
        </w:rPr>
        <w:tab/>
      </w:r>
      <w:r>
        <w:rPr>
          <w:highlight w:val="none"/>
        </w:rPr>
        <w:fldChar w:fldCharType="begin"/>
      </w:r>
      <w:r>
        <w:rPr>
          <w:highlight w:val="none"/>
        </w:rPr>
        <w:instrText xml:space="preserve"> PAGEREF _Toc31006 </w:instrText>
      </w:r>
      <w:r>
        <w:rPr>
          <w:highlight w:val="none"/>
        </w:rPr>
        <w:fldChar w:fldCharType="separate"/>
      </w:r>
      <w:r>
        <w:rPr>
          <w:highlight w:val="none"/>
        </w:rPr>
        <w:t>54</w:t>
      </w:r>
      <w:r>
        <w:rPr>
          <w:highlight w:val="none"/>
        </w:rPr>
        <w:fldChar w:fldCharType="end"/>
      </w:r>
      <w:r>
        <w:rPr>
          <w:rFonts w:hint="eastAsia" w:ascii="宋体" w:hAnsi="宋体" w:eastAsia="宋体" w:cs="宋体"/>
          <w:szCs w:val="24"/>
          <w:highlight w:val="none"/>
        </w:rPr>
        <w:fldChar w:fldCharType="end"/>
      </w:r>
    </w:p>
    <w:p>
      <w:pPr>
        <w:pStyle w:val="20"/>
        <w:tabs>
          <w:tab w:val="right" w:leader="dot" w:pos="929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_Toc27514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 xml:space="preserve">第九章  </w:t>
      </w:r>
      <w:r>
        <w:rPr>
          <w:rFonts w:hint="eastAsia" w:ascii="宋体" w:hAnsi="宋体" w:eastAsia="宋体" w:cs="宋体"/>
          <w:bCs/>
          <w:szCs w:val="24"/>
          <w:highlight w:val="none"/>
        </w:rPr>
        <w:t>政府采购合同（草案）</w:t>
      </w:r>
      <w:r>
        <w:rPr>
          <w:highlight w:val="none"/>
        </w:rPr>
        <w:tab/>
      </w:r>
      <w:r>
        <w:rPr>
          <w:highlight w:val="none"/>
        </w:rPr>
        <w:fldChar w:fldCharType="begin"/>
      </w:r>
      <w:r>
        <w:rPr>
          <w:highlight w:val="none"/>
        </w:rPr>
        <w:instrText xml:space="preserve"> PAGEREF _Toc27514 </w:instrText>
      </w:r>
      <w:r>
        <w:rPr>
          <w:highlight w:val="none"/>
        </w:rPr>
        <w:fldChar w:fldCharType="separate"/>
      </w:r>
      <w:r>
        <w:rPr>
          <w:highlight w:val="none"/>
        </w:rPr>
        <w:t>63</w:t>
      </w:r>
      <w:r>
        <w:rPr>
          <w:highlight w:val="none"/>
        </w:rPr>
        <w:fldChar w:fldCharType="end"/>
      </w:r>
      <w:r>
        <w:rPr>
          <w:rFonts w:hint="eastAsia" w:ascii="宋体" w:hAnsi="宋体" w:eastAsia="宋体" w:cs="宋体"/>
          <w:szCs w:val="24"/>
          <w:highlight w:val="none"/>
        </w:rPr>
        <w:fldChar w:fldCharType="end"/>
      </w:r>
    </w:p>
    <w:p>
      <w:pPr>
        <w:ind w:firstLine="480"/>
        <w:rPr>
          <w:rFonts w:hint="eastAsia" w:ascii="宋体" w:hAnsi="宋体" w:eastAsia="宋体" w:cs="宋体"/>
          <w:highlight w:val="none"/>
        </w:rPr>
      </w:pPr>
      <w:r>
        <w:rPr>
          <w:rFonts w:hint="eastAsia" w:ascii="宋体" w:hAnsi="宋体" w:eastAsia="宋体" w:cs="宋体"/>
          <w:szCs w:val="24"/>
          <w:highlight w:val="none"/>
        </w:rPr>
        <w:fldChar w:fldCharType="end"/>
      </w:r>
    </w:p>
    <w:p>
      <w:pPr>
        <w:pStyle w:val="3"/>
        <w:ind w:firstLine="723"/>
        <w:rPr>
          <w:rFonts w:hint="eastAsia" w:ascii="宋体" w:hAnsi="宋体" w:eastAsia="宋体" w:cs="宋体"/>
          <w:highlight w:val="none"/>
        </w:rPr>
        <w:sectPr>
          <w:footerReference r:id="rId11" w:type="default"/>
          <w:pgSz w:w="11906" w:h="16838"/>
          <w:pgMar w:top="1418" w:right="1361" w:bottom="1418" w:left="1247" w:header="1247" w:footer="992" w:gutter="0"/>
          <w:pgNumType w:start="1"/>
          <w:cols w:space="720" w:num="1"/>
          <w:docGrid w:linePitch="326" w:charSpace="0"/>
        </w:sectPr>
      </w:pPr>
      <w:bookmarkStart w:id="0" w:name="_Toc509579140"/>
    </w:p>
    <w:p>
      <w:pPr>
        <w:pStyle w:val="23"/>
        <w:bidi w:val="0"/>
        <w:rPr>
          <w:rFonts w:hint="eastAsia"/>
          <w:highlight w:val="none"/>
        </w:rPr>
      </w:pPr>
      <w:bookmarkStart w:id="1" w:name="_Toc19047"/>
      <w:r>
        <w:rPr>
          <w:rFonts w:hint="eastAsia"/>
          <w:highlight w:val="none"/>
        </w:rPr>
        <w:t>第一章  磋商邀请</w:t>
      </w:r>
      <w:bookmarkEnd w:id="0"/>
      <w:bookmarkEnd w:id="1"/>
    </w:p>
    <w:p>
      <w:pPr>
        <w:pageBreakBefore w:val="0"/>
        <w:kinsoku/>
        <w:wordWrap/>
        <w:overflowPunct/>
        <w:topLinePunct w:val="0"/>
        <w:bidi w:val="0"/>
        <w:spacing w:line="360" w:lineRule="auto"/>
        <w:ind w:firstLine="723" w:firstLineChars="300"/>
        <w:jc w:val="left"/>
        <w:rPr>
          <w:rFonts w:hint="eastAsia" w:ascii="宋体" w:hAnsi="宋体" w:eastAsia="宋体" w:cs="宋体"/>
          <w:sz w:val="24"/>
          <w:szCs w:val="24"/>
          <w:highlight w:val="none"/>
        </w:rPr>
      </w:pPr>
      <w:r>
        <w:rPr>
          <w:rFonts w:hint="eastAsia" w:ascii="宋体" w:hAnsi="宋体" w:cs="宋体"/>
          <w:b/>
          <w:bCs/>
          <w:sz w:val="24"/>
          <w:szCs w:val="24"/>
          <w:highlight w:val="none"/>
          <w:u w:val="single"/>
          <w:lang w:val="en-US" w:eastAsia="zh-CN"/>
        </w:rPr>
        <w:t xml:space="preserve"> 四</w:t>
      </w:r>
      <w:r>
        <w:rPr>
          <w:rFonts w:hint="eastAsia" w:ascii="宋体" w:hAnsi="宋体" w:eastAsia="宋体" w:cs="宋体"/>
          <w:b/>
          <w:bCs/>
          <w:sz w:val="24"/>
          <w:szCs w:val="24"/>
          <w:highlight w:val="none"/>
          <w:u w:val="single"/>
        </w:rPr>
        <w:t>川三盈招标代理有限公司</w:t>
      </w:r>
      <w:r>
        <w:rPr>
          <w:rFonts w:hint="eastAsia" w:ascii="宋体" w:hAnsi="宋体" w:cs="宋体"/>
          <w:b/>
          <w:bCs/>
          <w:sz w:val="24"/>
          <w:szCs w:val="24"/>
          <w:highlight w:val="none"/>
          <w:u w:val="single"/>
          <w:lang w:val="en-US" w:eastAsia="zh-CN"/>
        </w:rPr>
        <w:t xml:space="preserve"> </w:t>
      </w:r>
      <w:r>
        <w:rPr>
          <w:rFonts w:hint="eastAsia" w:ascii="宋体" w:hAnsi="宋体" w:eastAsia="宋体" w:cs="宋体"/>
          <w:sz w:val="24"/>
          <w:szCs w:val="24"/>
          <w:highlight w:val="none"/>
        </w:rPr>
        <w:t>受</w:t>
      </w:r>
      <w:r>
        <w:rPr>
          <w:rFonts w:hint="eastAsia" w:ascii="宋体" w:hAnsi="宋体" w:cs="宋体"/>
          <w:sz w:val="24"/>
          <w:szCs w:val="24"/>
          <w:highlight w:val="none"/>
          <w:u w:val="single"/>
          <w:lang w:val="en-US" w:eastAsia="zh-CN"/>
        </w:rPr>
        <w:t xml:space="preserve"> </w:t>
      </w:r>
      <w:r>
        <w:rPr>
          <w:rFonts w:hint="eastAsia" w:ascii="宋体" w:hAnsi="宋体" w:cs="宋体"/>
          <w:b/>
          <w:bCs w:val="0"/>
          <w:color w:val="000000"/>
          <w:sz w:val="24"/>
          <w:szCs w:val="24"/>
          <w:highlight w:val="none"/>
          <w:u w:val="single"/>
          <w:lang w:eastAsia="zh-CN"/>
        </w:rPr>
        <w:t>成都东部新区玉成街道办事处</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rPr>
        <w:t>委托，拟对</w:t>
      </w:r>
      <w:bookmarkStart w:id="2" w:name="PO_默认文件内容_1"/>
      <w:r>
        <w:rPr>
          <w:rFonts w:hint="eastAsia" w:ascii="宋体" w:hAnsi="宋体" w:cs="宋体"/>
          <w:sz w:val="24"/>
          <w:szCs w:val="24"/>
          <w:highlight w:val="none"/>
          <w:u w:val="single"/>
          <w:lang w:val="en-US" w:eastAsia="zh-CN"/>
        </w:rPr>
        <w:t>成都东部新区玉成街道办事处征地补偿工作辅助性服务采购项目</w:t>
      </w:r>
      <w:r>
        <w:rPr>
          <w:rFonts w:hint="eastAsia" w:ascii="宋体" w:hAnsi="宋体" w:cs="宋体"/>
          <w:b/>
          <w:bCs/>
          <w:sz w:val="24"/>
          <w:szCs w:val="24"/>
          <w:highlight w:val="none"/>
          <w:u w:val="single"/>
          <w:lang w:val="en-US" w:eastAsia="zh-CN"/>
        </w:rPr>
        <w:t xml:space="preserve"> </w:t>
      </w:r>
      <w:r>
        <w:rPr>
          <w:rFonts w:hint="eastAsia" w:ascii="宋体" w:hAnsi="宋体" w:eastAsia="宋体" w:cs="宋体"/>
          <w:sz w:val="24"/>
          <w:szCs w:val="24"/>
          <w:highlight w:val="none"/>
        </w:rPr>
        <w:t>采用竞争性磋商方式进行采购，特邀请符合本次采购要求的供应商参加本项目的竞争性磋商。</w:t>
      </w:r>
      <w:bookmarkEnd w:id="2"/>
    </w:p>
    <w:p>
      <w:pPr>
        <w:pageBreakBefore w:val="0"/>
        <w:kinsoku/>
        <w:wordWrap/>
        <w:overflowPunct/>
        <w:topLinePunct w:val="0"/>
        <w:bidi w:val="0"/>
        <w:spacing w:line="360" w:lineRule="auto"/>
        <w:ind w:left="0" w:leftChars="0"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一、采购项目基本情况</w:t>
      </w:r>
    </w:p>
    <w:p>
      <w:pPr>
        <w:pageBreakBefore w:val="0"/>
        <w:kinsoku/>
        <w:wordWrap/>
        <w:overflowPunct/>
        <w:topLinePunct w:val="0"/>
        <w:bidi w:val="0"/>
        <w:spacing w:line="360" w:lineRule="auto"/>
        <w:ind w:firstLine="420" w:firstLineChars="175"/>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eastAsia="宋体" w:cs="宋体"/>
          <w:sz w:val="24"/>
          <w:szCs w:val="24"/>
          <w:highlight w:val="none"/>
          <w:lang w:val="en-US" w:eastAsia="zh-CN"/>
        </w:rPr>
        <w:t>以四川政府采购网挂网编号为准</w:t>
      </w:r>
    </w:p>
    <w:p>
      <w:pPr>
        <w:pageBreakBefore w:val="0"/>
        <w:kinsoku/>
        <w:wordWrap/>
        <w:overflowPunct/>
        <w:topLinePunct w:val="0"/>
        <w:bidi w:val="0"/>
        <w:spacing w:line="360" w:lineRule="auto"/>
        <w:ind w:firstLine="420" w:firstLineChars="175"/>
        <w:rPr>
          <w:rFonts w:hint="eastAsia" w:ascii="宋体" w:hAnsi="宋体" w:eastAsia="宋体" w:cs="宋体"/>
          <w:b/>
          <w:sz w:val="24"/>
          <w:szCs w:val="24"/>
          <w:highlight w:val="none"/>
        </w:rPr>
      </w:pPr>
      <w:r>
        <w:rPr>
          <w:rFonts w:hint="eastAsia" w:ascii="宋体" w:hAnsi="宋体" w:eastAsia="宋体" w:cs="宋体"/>
          <w:sz w:val="24"/>
          <w:szCs w:val="24"/>
          <w:highlight w:val="none"/>
        </w:rPr>
        <w:t>2.采购项目名称：</w:t>
      </w:r>
      <w:r>
        <w:rPr>
          <w:rFonts w:hint="eastAsia" w:ascii="宋体" w:hAnsi="宋体" w:cs="宋体"/>
          <w:sz w:val="24"/>
          <w:szCs w:val="24"/>
          <w:highlight w:val="none"/>
          <w:lang w:eastAsia="zh-CN"/>
        </w:rPr>
        <w:t>成都东部新区玉成街道办事处征地补偿工作辅助性服务采购项目</w:t>
      </w:r>
    </w:p>
    <w:p>
      <w:pPr>
        <w:pageBreakBefore w:val="0"/>
        <w:kinsoku/>
        <w:wordWrap/>
        <w:overflowPunct/>
        <w:topLinePunct w:val="0"/>
        <w:bidi w:val="0"/>
        <w:spacing w:line="360" w:lineRule="auto"/>
        <w:ind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二、资金情况</w:t>
      </w:r>
    </w:p>
    <w:p>
      <w:pPr>
        <w:pageBreakBefore w:val="0"/>
        <w:kinsoku/>
        <w:wordWrap/>
        <w:overflowPunct/>
        <w:topLinePunct w:val="0"/>
        <w:bidi w:val="0"/>
        <w:spacing w:line="360" w:lineRule="auto"/>
        <w:ind w:right="36" w:rightChars="15" w:firstLine="420" w:firstLineChars="175"/>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资金来源及金额：财政性资金</w:t>
      </w:r>
      <w:r>
        <w:rPr>
          <w:rFonts w:hint="eastAsia" w:ascii="宋体" w:hAnsi="宋体" w:cs="宋体"/>
          <w:color w:val="000000"/>
          <w:sz w:val="24"/>
          <w:szCs w:val="24"/>
          <w:highlight w:val="none"/>
          <w:lang w:eastAsia="zh-CN"/>
        </w:rPr>
        <w:t>160</w:t>
      </w:r>
      <w:r>
        <w:rPr>
          <w:rFonts w:hint="eastAsia" w:ascii="宋体" w:hAnsi="宋体" w:eastAsia="宋体" w:cs="宋体"/>
          <w:color w:val="000000"/>
          <w:sz w:val="24"/>
          <w:szCs w:val="24"/>
          <w:highlight w:val="none"/>
        </w:rPr>
        <w:t>万元</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lang w:val="en-US" w:eastAsia="zh-CN"/>
        </w:rPr>
        <w:t>，服务期限三年（合同一年一签）</w:t>
      </w:r>
      <w:r>
        <w:rPr>
          <w:rFonts w:hint="eastAsia" w:ascii="宋体" w:hAnsi="宋体" w:eastAsia="宋体" w:cs="宋体"/>
          <w:color w:val="000000"/>
          <w:sz w:val="24"/>
          <w:szCs w:val="24"/>
          <w:highlight w:val="none"/>
        </w:rPr>
        <w:t>。</w:t>
      </w:r>
    </w:p>
    <w:p>
      <w:pPr>
        <w:pageBreakBefore w:val="0"/>
        <w:kinsoku/>
        <w:wordWrap/>
        <w:overflowPunct/>
        <w:topLinePunct w:val="0"/>
        <w:bidi w:val="0"/>
        <w:spacing w:line="360" w:lineRule="auto"/>
        <w:ind w:firstLine="422" w:firstLineChars="175"/>
        <w:rPr>
          <w:rFonts w:hint="eastAsia" w:ascii="宋体" w:hAnsi="宋体" w:eastAsia="宋体" w:cs="宋体"/>
          <w:sz w:val="24"/>
          <w:szCs w:val="24"/>
          <w:highlight w:val="none"/>
        </w:rPr>
      </w:pPr>
      <w:r>
        <w:rPr>
          <w:rFonts w:hint="eastAsia" w:ascii="宋体" w:hAnsi="宋体" w:eastAsia="宋体" w:cs="宋体"/>
          <w:b/>
          <w:sz w:val="24"/>
          <w:szCs w:val="24"/>
          <w:highlight w:val="none"/>
        </w:rPr>
        <w:t>三</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采购项目简介：</w:t>
      </w:r>
    </w:p>
    <w:p>
      <w:pPr>
        <w:pageBreakBefore w:val="0"/>
        <w:kinsoku/>
        <w:wordWrap/>
        <w:overflowPunct/>
        <w:topLinePunct w:val="0"/>
        <w:bidi w:val="0"/>
        <w:spacing w:after="120" w:line="360" w:lineRule="auto"/>
        <w:ind w:firstLine="420" w:firstLineChars="175"/>
        <w:rPr>
          <w:rFonts w:hint="eastAsia" w:ascii="宋体" w:hAnsi="宋体" w:eastAsia="宋体" w:cs="宋体"/>
          <w:b/>
          <w:bCs/>
          <w:sz w:val="24"/>
          <w:szCs w:val="24"/>
          <w:highlight w:val="none"/>
        </w:rPr>
      </w:pPr>
      <w:r>
        <w:rPr>
          <w:rFonts w:hint="eastAsia" w:ascii="宋体" w:hAnsi="宋体" w:cs="宋体"/>
          <w:sz w:val="24"/>
          <w:szCs w:val="24"/>
          <w:highlight w:val="none"/>
          <w:lang w:eastAsia="zh-CN"/>
        </w:rPr>
        <w:t>成都东部新区玉成街道办事处征地补偿工作辅助性服务采购项目</w:t>
      </w:r>
      <w:r>
        <w:rPr>
          <w:rFonts w:hint="eastAsia" w:ascii="宋体" w:hAnsi="宋体" w:eastAsia="宋体" w:cs="宋体"/>
          <w:sz w:val="24"/>
          <w:szCs w:val="24"/>
          <w:highlight w:val="none"/>
        </w:rPr>
        <w:t>（详见第五章要求）</w:t>
      </w:r>
    </w:p>
    <w:p>
      <w:pPr>
        <w:pageBreakBefore w:val="0"/>
        <w:kinsoku/>
        <w:wordWrap/>
        <w:overflowPunct/>
        <w:topLinePunct w:val="0"/>
        <w:bidi w:val="0"/>
        <w:spacing w:after="120" w:line="360" w:lineRule="auto"/>
        <w:ind w:firstLine="422" w:firstLineChars="17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四、供应商邀请方式</w:t>
      </w:r>
    </w:p>
    <w:p>
      <w:pPr>
        <w:pageBreakBefore w:val="0"/>
        <w:kinsoku/>
        <w:wordWrap/>
        <w:overflowPunct/>
        <w:topLinePunct w:val="0"/>
        <w:bidi w:val="0"/>
        <w:spacing w:after="120" w:line="360" w:lineRule="auto"/>
        <w:ind w:firstLine="480"/>
        <w:rPr>
          <w:rFonts w:hint="eastAsia" w:ascii="宋体" w:hAnsi="宋体" w:eastAsia="宋体" w:cs="宋体"/>
          <w:b/>
          <w:bCs/>
          <w:sz w:val="24"/>
          <w:szCs w:val="24"/>
          <w:highlight w:val="none"/>
        </w:rPr>
      </w:pPr>
      <w:bookmarkStart w:id="3" w:name="PO_默认文件内容_3"/>
      <w:r>
        <w:rPr>
          <w:rFonts w:hint="eastAsia" w:ascii="宋体" w:hAnsi="宋体" w:eastAsia="宋体" w:cs="宋体"/>
          <w:bCs/>
          <w:sz w:val="24"/>
          <w:szCs w:val="24"/>
          <w:highlight w:val="none"/>
        </w:rPr>
        <w:t>本次竞争性磋商邀请在四川政府采购网（www.ccgp-sichuan.gov.cn）上以公告形式发布；</w:t>
      </w:r>
      <w:bookmarkEnd w:id="3"/>
    </w:p>
    <w:p>
      <w:pPr>
        <w:pageBreakBefore w:val="0"/>
        <w:kinsoku/>
        <w:wordWrap/>
        <w:overflowPunct/>
        <w:topLinePunct w:val="0"/>
        <w:bidi w:val="0"/>
        <w:spacing w:afterAutospacing="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五、供应商参加本次政府采购活动应具备下列条件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pPr>
        <w:tabs>
          <w:tab w:val="left" w:pos="766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pPr>
        <w:tabs>
          <w:tab w:val="left" w:pos="766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7.本项目不接受联合体投标。</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.根据采购项目提出的特殊条件：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没有行贿犯罪记录；</w:t>
      </w:r>
    </w:p>
    <w:p>
      <w:pPr>
        <w:tabs>
          <w:tab w:val="left" w:pos="7665"/>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9.本项目专门面向中小企业采购。</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.按照本项目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文件要求购买了</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 xml:space="preserve">文件。      </w:t>
      </w:r>
      <w:r>
        <w:rPr>
          <w:rFonts w:hint="eastAsia" w:ascii="宋体" w:hAnsi="宋体" w:eastAsia="宋体" w:cs="宋体"/>
          <w:color w:val="auto"/>
          <w:sz w:val="24"/>
          <w:szCs w:val="24"/>
          <w:highlight w:val="none"/>
        </w:rPr>
        <w:t xml:space="preserve">          </w:t>
      </w:r>
    </w:p>
    <w:p>
      <w:pPr>
        <w:pageBreakBefore w:val="0"/>
        <w:numPr>
          <w:ilvl w:val="0"/>
          <w:numId w:val="0"/>
        </w:numPr>
        <w:kinsoku/>
        <w:wordWrap/>
        <w:overflowPunct/>
        <w:topLinePunct w:val="0"/>
        <w:bidi w:val="0"/>
        <w:spacing w:line="360" w:lineRule="auto"/>
        <w:ind w:left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六、禁止参加本次采购活动的供应商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bookmarkStart w:id="4" w:name="PO_默认文件内容_4"/>
      <w:r>
        <w:rPr>
          <w:rFonts w:hint="eastAsia" w:ascii="宋体" w:hAnsi="宋体" w:eastAsia="宋体" w:cs="宋体"/>
          <w:sz w:val="24"/>
          <w:szCs w:val="24"/>
          <w:highlight w:val="none"/>
        </w:rPr>
        <w:t>1.</w:t>
      </w:r>
      <w:r>
        <w:rPr>
          <w:rFonts w:hint="eastAsia" w:ascii="宋体" w:hAnsi="宋体" w:eastAsia="宋体" w:cs="宋体"/>
          <w:sz w:val="24"/>
          <w:highlight w:val="none"/>
        </w:rPr>
        <w:t>根据《关于在政府采购活动中查询及使用信用记录有关问题的通知》（财库〔2016〕125号）的要求，采购人/采购代理机构将通过“信用中国”网站（www.creditchina.gov.cn）、“中国政府采购网”网站（www.ccgp.gov.cn）等渠道查询</w:t>
      </w: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的信用记录并保存信用记录结果网页截图，拒绝列入失信被执行人名单、重大税收违法案件当事人名单、政府采购严重违法失信行为记录名单中的供应商报名参加本项目的采购活动。</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bookmarkEnd w:id="4"/>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七、磋商文件获取方式、时间、地点：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磋商文件自</w:t>
      </w:r>
      <w:r>
        <w:rPr>
          <w:rFonts w:hint="eastAsia" w:ascii="宋体" w:hAnsi="宋体"/>
          <w:b/>
          <w:bCs/>
          <w:sz w:val="24"/>
          <w:highlight w:val="yellow"/>
        </w:rPr>
        <w:t>202</w:t>
      </w:r>
      <w:r>
        <w:rPr>
          <w:rFonts w:hint="eastAsia" w:ascii="宋体" w:hAnsi="宋体"/>
          <w:b/>
          <w:bCs/>
          <w:sz w:val="24"/>
          <w:highlight w:val="yellow"/>
          <w:lang w:val="en-US" w:eastAsia="zh-CN"/>
        </w:rPr>
        <w:t>1</w:t>
      </w:r>
      <w:r>
        <w:rPr>
          <w:rFonts w:hint="eastAsia" w:ascii="宋体" w:hAnsi="宋体"/>
          <w:b/>
          <w:bCs/>
          <w:sz w:val="24"/>
          <w:highlight w:val="yellow"/>
        </w:rPr>
        <w:t>年</w:t>
      </w:r>
      <w:r>
        <w:rPr>
          <w:rFonts w:hint="eastAsia" w:ascii="宋体" w:hAnsi="宋体"/>
          <w:b/>
          <w:bCs/>
          <w:sz w:val="24"/>
          <w:highlight w:val="yellow"/>
          <w:lang w:val="en-US" w:eastAsia="zh-CN"/>
        </w:rPr>
        <w:t xml:space="preserve"> 10 </w:t>
      </w:r>
      <w:r>
        <w:rPr>
          <w:rFonts w:hint="eastAsia" w:ascii="宋体" w:hAnsi="宋体"/>
          <w:b/>
          <w:bCs/>
          <w:sz w:val="24"/>
          <w:highlight w:val="yellow"/>
        </w:rPr>
        <w:t>月</w:t>
      </w:r>
      <w:r>
        <w:rPr>
          <w:rFonts w:hint="eastAsia" w:ascii="宋体" w:hAnsi="宋体"/>
          <w:b/>
          <w:bCs/>
          <w:sz w:val="24"/>
          <w:highlight w:val="yellow"/>
          <w:lang w:val="en-US" w:eastAsia="zh-CN"/>
        </w:rPr>
        <w:t>9</w:t>
      </w:r>
      <w:r>
        <w:rPr>
          <w:rFonts w:hint="eastAsia" w:ascii="宋体" w:hAnsi="宋体"/>
          <w:b/>
          <w:bCs/>
          <w:sz w:val="24"/>
          <w:highlight w:val="yellow"/>
        </w:rPr>
        <w:t>日至202</w:t>
      </w:r>
      <w:r>
        <w:rPr>
          <w:rFonts w:hint="eastAsia" w:ascii="宋体" w:hAnsi="宋体"/>
          <w:b/>
          <w:bCs/>
          <w:sz w:val="24"/>
          <w:highlight w:val="yellow"/>
          <w:lang w:val="en-US" w:eastAsia="zh-CN"/>
        </w:rPr>
        <w:t>1</w:t>
      </w:r>
      <w:r>
        <w:rPr>
          <w:rFonts w:hint="eastAsia" w:ascii="宋体" w:hAnsi="宋体"/>
          <w:b/>
          <w:bCs/>
          <w:sz w:val="24"/>
          <w:highlight w:val="yellow"/>
        </w:rPr>
        <w:t>年</w:t>
      </w:r>
      <w:r>
        <w:rPr>
          <w:rFonts w:hint="eastAsia" w:ascii="宋体" w:hAnsi="宋体"/>
          <w:b/>
          <w:bCs/>
          <w:sz w:val="24"/>
          <w:highlight w:val="yellow"/>
          <w:lang w:val="en-US" w:eastAsia="zh-CN"/>
        </w:rPr>
        <w:t xml:space="preserve">10 </w:t>
      </w:r>
      <w:r>
        <w:rPr>
          <w:rFonts w:hint="eastAsia" w:ascii="宋体" w:hAnsi="宋体"/>
          <w:b/>
          <w:bCs/>
          <w:sz w:val="24"/>
          <w:highlight w:val="yellow"/>
        </w:rPr>
        <w:t>月</w:t>
      </w:r>
      <w:r>
        <w:rPr>
          <w:rFonts w:hint="eastAsia" w:ascii="宋体" w:hAnsi="宋体"/>
          <w:b/>
          <w:bCs/>
          <w:sz w:val="24"/>
          <w:highlight w:val="yellow"/>
          <w:lang w:val="en-US" w:eastAsia="zh-CN"/>
        </w:rPr>
        <w:t xml:space="preserve"> 14</w:t>
      </w:r>
      <w:r>
        <w:rPr>
          <w:rFonts w:hint="eastAsia" w:ascii="宋体" w:hAnsi="宋体"/>
          <w:b/>
          <w:bCs/>
          <w:sz w:val="24"/>
          <w:highlight w:val="yellow"/>
        </w:rPr>
        <w:t>日</w:t>
      </w:r>
      <w:r>
        <w:rPr>
          <w:rFonts w:hint="eastAsia" w:ascii="宋体" w:hAnsi="宋体" w:eastAsia="宋体" w:cs="宋体"/>
          <w:sz w:val="24"/>
          <w:szCs w:val="24"/>
          <w:highlight w:val="none"/>
        </w:rPr>
        <w:t>09:</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:00-1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0（北京时间，法定节假日除外）</w:t>
      </w:r>
      <w:r>
        <w:rPr>
          <w:rFonts w:hint="eastAsia" w:ascii="宋体" w:hAnsi="宋体" w:eastAsia="宋体" w:cs="宋体"/>
          <w:sz w:val="24"/>
          <w:szCs w:val="24"/>
          <w:highlight w:val="none"/>
          <w:lang w:eastAsia="zh-CN"/>
        </w:rPr>
        <w:t>。</w:t>
      </w:r>
      <w:r>
        <w:rPr>
          <w:rFonts w:hint="eastAsia" w:ascii="宋体" w:hAnsi="宋体"/>
          <w:sz w:val="24"/>
          <w:highlight w:val="none"/>
          <w:lang w:val="en-US" w:eastAsia="zh-CN"/>
        </w:rPr>
        <w:t>获取招标文件地点:https://www.zcygov.cn。</w:t>
      </w:r>
    </w:p>
    <w:p>
      <w:pPr>
        <w:pStyle w:val="37"/>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获取方式：投标人从“政府采购云平台”获取采购文件（网址：https://www.zcygov.cn）。登录政府采购云平台—项目采购—获取采购文件—申请获取采购文件。</w:t>
      </w:r>
    </w:p>
    <w:p>
      <w:pPr>
        <w:pStyle w:val="37"/>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提示： </w:t>
      </w:r>
    </w:p>
    <w:p>
      <w:pPr>
        <w:pStyle w:val="37"/>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（1）本项目招标文件免费获取（报名后资格不能转让）。 </w:t>
      </w:r>
    </w:p>
    <w:p>
      <w:pPr>
        <w:pStyle w:val="37"/>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（2）投标人只有在“政府采购云平台”完成获取招标文件申请并下载招标文件后才视作依法参与本项目。如未在“政府采购云平台”内完成相关流程，引起的投标无效责任自负。 </w:t>
      </w:r>
    </w:p>
    <w:p>
      <w:pPr>
        <w:pStyle w:val="37"/>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（3）本项目为电子招标投标项目，投标人参与本项目全过程中凡涉及系统操作请详见</w:t>
      </w:r>
      <w:r>
        <w:rPr>
          <w:rFonts w:hint="eastAsia" w:ascii="宋体" w:hAnsi="宋体" w:eastAsia="宋体" w:cs="Times New Roman"/>
          <w:b/>
          <w:bCs/>
          <w:color w:val="auto"/>
          <w:kern w:val="2"/>
          <w:sz w:val="24"/>
          <w:szCs w:val="24"/>
          <w:highlight w:val="none"/>
          <w:lang w:val="en-US" w:eastAsia="zh-CN" w:bidi="ar-SA"/>
        </w:rPr>
        <w:t>《供应商政府采购项目电子交易操作指南》</w:t>
      </w:r>
      <w:r>
        <w:rPr>
          <w:rFonts w:hint="eastAsia" w:ascii="宋体" w:hAnsi="宋体" w:eastAsia="宋体" w:cs="Times New Roman"/>
          <w:color w:val="auto"/>
          <w:kern w:val="2"/>
          <w:sz w:val="24"/>
          <w:szCs w:val="24"/>
          <w:highlight w:val="none"/>
          <w:lang w:val="en-US" w:eastAsia="zh-CN" w:bidi="ar-SA"/>
        </w:rPr>
        <w:t xml:space="preserve">。（操作指南以政府采购云平台网站发布为准，获取方式详见：招标文件附件三-政府采购云平台使用介绍） </w:t>
      </w:r>
    </w:p>
    <w:p>
      <w:pPr>
        <w:pageBreakBefore w:val="0"/>
        <w:kinsoku/>
        <w:wordWrap/>
        <w:overflowPunct/>
        <w:topLinePunct w:val="0"/>
        <w:bidi w:val="0"/>
        <w:spacing w:after="120" w:line="360" w:lineRule="auto"/>
        <w:ind w:firstLine="480"/>
        <w:jc w:val="left"/>
        <w:rPr>
          <w:rFonts w:hint="eastAsia" w:ascii="宋体" w:hAnsi="宋体"/>
          <w:b/>
          <w:bCs/>
          <w:color w:val="auto"/>
          <w:sz w:val="24"/>
          <w:szCs w:val="28"/>
          <w:highlight w:val="none"/>
          <w:lang w:val="en-US" w:eastAsia="zh-CN"/>
        </w:rPr>
      </w:pPr>
      <w:r>
        <w:rPr>
          <w:rFonts w:hint="eastAsia" w:ascii="宋体" w:hAnsi="宋体" w:eastAsia="宋体" w:cs="Times New Roman"/>
          <w:color w:val="auto"/>
          <w:kern w:val="2"/>
          <w:sz w:val="24"/>
          <w:szCs w:val="24"/>
          <w:highlight w:val="none"/>
          <w:lang w:val="en-US" w:eastAsia="zh-CN" w:bidi="ar-SA"/>
        </w:rPr>
        <w:t xml:space="preserve">（4）政府采购云平台投标人注册地址： </w:t>
      </w: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HYPERLINK "https://middle.zcygov.cn/v-settle-front/registry?settleCategory=1&amp;entranceType=119&amp;utm=a0017.b1347.cl50.3.c0de9400b91b11eb870ad7da87d69c97。" </w:instrText>
      </w:r>
      <w:r>
        <w:rPr>
          <w:rFonts w:hint="eastAsia" w:ascii="宋体" w:hAnsi="宋体" w:eastAsia="宋体" w:cs="Times New Roman"/>
          <w:color w:val="auto"/>
          <w:kern w:val="2"/>
          <w:sz w:val="24"/>
          <w:szCs w:val="24"/>
          <w:highlight w:val="none"/>
          <w:lang w:val="en-US" w:eastAsia="zh-CN" w:bidi="ar-SA"/>
        </w:rPr>
        <w:fldChar w:fldCharType="separate"/>
      </w:r>
      <w:r>
        <w:rPr>
          <w:rStyle w:val="34"/>
          <w:rFonts w:hint="eastAsia" w:ascii="宋体" w:hAnsi="宋体" w:eastAsia="宋体" w:cs="Times New Roman"/>
          <w:color w:val="auto"/>
          <w:kern w:val="2"/>
          <w:sz w:val="24"/>
          <w:szCs w:val="24"/>
          <w:highlight w:val="none"/>
          <w:lang w:val="en-US" w:eastAsia="zh-CN" w:bidi="ar-SA"/>
        </w:rPr>
        <w:t>https://middle.zcygov.cn/v-settle-front/registry?settleCategory=1&amp;entranceType=119&amp;utm=a0017.b1347.cl50.3.c0de9400b91b11eb870ad7da87d69c97。</w:t>
      </w:r>
      <w:r>
        <w:rPr>
          <w:rFonts w:hint="eastAsia" w:ascii="宋体" w:hAnsi="宋体" w:eastAsia="宋体" w:cs="Times New Roman"/>
          <w:color w:val="auto"/>
          <w:kern w:val="2"/>
          <w:sz w:val="24"/>
          <w:szCs w:val="24"/>
          <w:highlight w:val="none"/>
          <w:lang w:val="en-US" w:eastAsia="zh-CN" w:bidi="ar-SA"/>
        </w:rPr>
        <w:fldChar w:fldCharType="end"/>
      </w:r>
    </w:p>
    <w:p>
      <w:pPr>
        <w:pageBreakBefore w:val="0"/>
        <w:kinsoku/>
        <w:wordWrap/>
        <w:overflowPunct/>
        <w:topLinePunct w:val="0"/>
        <w:bidi w:val="0"/>
        <w:spacing w:after="120" w:line="360" w:lineRule="auto"/>
        <w:ind w:firstLine="480"/>
        <w:rPr>
          <w:rFonts w:hint="eastAsia" w:ascii="宋体" w:hAnsi="宋体" w:eastAsia="宋体" w:cs="宋体"/>
          <w:b/>
          <w:sz w:val="24"/>
          <w:szCs w:val="24"/>
          <w:highlight w:val="none"/>
        </w:rPr>
      </w:pPr>
      <w:r>
        <w:rPr>
          <w:rFonts w:hint="eastAsia" w:ascii="宋体" w:hAnsi="宋体" w:eastAsia="宋体" w:cs="宋体"/>
          <w:b/>
          <w:sz w:val="24"/>
          <w:szCs w:val="24"/>
          <w:highlight w:val="none"/>
        </w:rPr>
        <w:t>八、递交响应文件截止时间：</w:t>
      </w:r>
      <w:r>
        <w:rPr>
          <w:rFonts w:hint="eastAsia" w:ascii="宋体" w:hAnsi="宋体"/>
          <w:b/>
          <w:bCs/>
          <w:sz w:val="24"/>
          <w:highlight w:val="yellow"/>
        </w:rPr>
        <w:t>202</w:t>
      </w:r>
      <w:r>
        <w:rPr>
          <w:rFonts w:hint="eastAsia" w:ascii="宋体" w:hAnsi="宋体"/>
          <w:b/>
          <w:bCs/>
          <w:sz w:val="24"/>
          <w:highlight w:val="yellow"/>
          <w:lang w:val="en-US" w:eastAsia="zh-CN"/>
        </w:rPr>
        <w:t>1</w:t>
      </w:r>
      <w:r>
        <w:rPr>
          <w:rFonts w:hint="eastAsia" w:ascii="宋体" w:hAnsi="宋体"/>
          <w:b/>
          <w:bCs/>
          <w:sz w:val="24"/>
          <w:highlight w:val="yellow"/>
        </w:rPr>
        <w:t>年</w:t>
      </w:r>
      <w:r>
        <w:rPr>
          <w:rFonts w:hint="eastAsia" w:ascii="宋体" w:hAnsi="宋体"/>
          <w:b/>
          <w:bCs/>
          <w:sz w:val="24"/>
          <w:highlight w:val="yellow"/>
          <w:lang w:val="en-US" w:eastAsia="zh-CN"/>
        </w:rPr>
        <w:t>10</w:t>
      </w:r>
      <w:r>
        <w:rPr>
          <w:rFonts w:hint="eastAsia" w:ascii="宋体" w:hAnsi="宋体"/>
          <w:b/>
          <w:bCs/>
          <w:sz w:val="24"/>
          <w:highlight w:val="yellow"/>
        </w:rPr>
        <w:t>月</w:t>
      </w:r>
      <w:r>
        <w:rPr>
          <w:rFonts w:hint="eastAsia" w:ascii="宋体" w:hAnsi="宋体"/>
          <w:b/>
          <w:bCs/>
          <w:sz w:val="24"/>
          <w:highlight w:val="yellow"/>
          <w:lang w:val="en-US" w:eastAsia="zh-CN"/>
        </w:rPr>
        <w:t xml:space="preserve"> 19</w:t>
      </w:r>
      <w:r>
        <w:rPr>
          <w:rFonts w:hint="eastAsia" w:ascii="宋体" w:hAnsi="宋体"/>
          <w:b/>
          <w:bCs/>
          <w:sz w:val="24"/>
          <w:highlight w:val="yellow"/>
        </w:rPr>
        <w:t xml:space="preserve">日 </w:t>
      </w:r>
      <w:r>
        <w:rPr>
          <w:rFonts w:hint="eastAsia" w:ascii="宋体" w:hAnsi="宋体"/>
          <w:b/>
          <w:bCs/>
          <w:sz w:val="24"/>
          <w:highlight w:val="yellow"/>
          <w:lang w:val="en-US" w:eastAsia="zh-CN"/>
        </w:rPr>
        <w:t>10</w:t>
      </w:r>
      <w:r>
        <w:rPr>
          <w:rFonts w:hint="eastAsia" w:ascii="宋体" w:hAnsi="宋体"/>
          <w:b/>
          <w:bCs/>
          <w:sz w:val="24"/>
          <w:highlight w:val="yellow"/>
        </w:rPr>
        <w:t>：</w:t>
      </w:r>
      <w:r>
        <w:rPr>
          <w:rFonts w:hint="eastAsia" w:ascii="宋体" w:hAnsi="宋体"/>
          <w:b/>
          <w:bCs/>
          <w:sz w:val="24"/>
          <w:highlight w:val="yellow"/>
          <w:lang w:val="en-US" w:eastAsia="zh-CN"/>
        </w:rPr>
        <w:t>0</w:t>
      </w:r>
      <w:r>
        <w:rPr>
          <w:rFonts w:hint="eastAsia" w:ascii="宋体" w:hAnsi="宋体"/>
          <w:b/>
          <w:bCs/>
          <w:sz w:val="24"/>
          <w:highlight w:val="yellow"/>
        </w:rPr>
        <w:t>0</w:t>
      </w:r>
      <w:r>
        <w:rPr>
          <w:rFonts w:hint="eastAsia" w:ascii="宋体" w:hAnsi="宋体" w:eastAsia="宋体" w:cs="宋体"/>
          <w:sz w:val="24"/>
          <w:szCs w:val="24"/>
          <w:highlight w:val="none"/>
        </w:rPr>
        <w:t xml:space="preserve">（北京时间）。 </w:t>
      </w:r>
    </w:p>
    <w:p>
      <w:pPr>
        <w:pageBreakBefore w:val="0"/>
        <w:kinsoku/>
        <w:wordWrap/>
        <w:overflowPunct/>
        <w:topLinePunct w:val="0"/>
        <w:bidi w:val="0"/>
        <w:spacing w:after="120" w:line="360" w:lineRule="auto"/>
        <w:ind w:firstLine="482"/>
        <w:rPr>
          <w:rFonts w:hint="eastAsia" w:ascii="宋体" w:hAnsi="宋体" w:eastAsia="宋体" w:cs="宋体"/>
          <w:b/>
          <w:sz w:val="24"/>
          <w:szCs w:val="24"/>
          <w:highlight w:val="yellow"/>
        </w:rPr>
      </w:pPr>
      <w:r>
        <w:rPr>
          <w:rFonts w:hint="eastAsia" w:ascii="宋体" w:hAnsi="宋体" w:eastAsia="宋体" w:cs="宋体"/>
          <w:b/>
          <w:sz w:val="24"/>
          <w:szCs w:val="24"/>
          <w:highlight w:val="none"/>
        </w:rPr>
        <w:t>九、递交响应文件地点：</w:t>
      </w:r>
      <w:bookmarkStart w:id="5" w:name="PO_默认文件内容_7"/>
      <w:r>
        <w:rPr>
          <w:rFonts w:hint="eastAsia" w:ascii="宋体" w:hAnsi="宋体" w:eastAsia="宋体" w:cs="宋体"/>
          <w:sz w:val="24"/>
          <w:szCs w:val="24"/>
          <w:highlight w:val="none"/>
        </w:rPr>
        <w:t>响应文件必须在递交响应文件截止时间前送达磋商地点。逾期送达或没有密封的响应文件恕不接收。本次采购不接收邮寄的响应文件。</w:t>
      </w:r>
      <w:bookmarkEnd w:id="5"/>
      <w:r>
        <w:rPr>
          <w:rFonts w:hint="eastAsia" w:ascii="宋体" w:hAnsi="宋体" w:eastAsia="宋体" w:cs="宋体"/>
          <w:b/>
          <w:bCs/>
          <w:sz w:val="24"/>
          <w:szCs w:val="24"/>
          <w:highlight w:val="yellow"/>
        </w:rPr>
        <w:t>（文件接收时间：</w:t>
      </w:r>
      <w:r>
        <w:rPr>
          <w:rFonts w:hint="eastAsia" w:ascii="宋体" w:hAnsi="宋体" w:eastAsia="宋体" w:cs="宋体"/>
          <w:sz w:val="24"/>
          <w:szCs w:val="24"/>
          <w:highlight w:val="yellow"/>
          <w:lang w:eastAsia="zh-CN"/>
        </w:rPr>
        <w:t>202</w:t>
      </w:r>
      <w:r>
        <w:rPr>
          <w:rFonts w:hint="eastAsia" w:ascii="宋体" w:hAnsi="宋体" w:cs="宋体"/>
          <w:sz w:val="24"/>
          <w:szCs w:val="24"/>
          <w:highlight w:val="yellow"/>
          <w:lang w:val="en-US" w:eastAsia="zh-CN"/>
        </w:rPr>
        <w:t>1</w:t>
      </w:r>
      <w:r>
        <w:rPr>
          <w:rFonts w:hint="eastAsia" w:ascii="宋体" w:hAnsi="宋体" w:eastAsia="宋体" w:cs="宋体"/>
          <w:sz w:val="24"/>
          <w:szCs w:val="24"/>
          <w:highlight w:val="yellow"/>
          <w:lang w:eastAsia="zh-CN"/>
        </w:rPr>
        <w:t>年</w:t>
      </w:r>
      <w:r>
        <w:rPr>
          <w:rFonts w:hint="eastAsia" w:ascii="宋体" w:hAnsi="宋体" w:cs="宋体"/>
          <w:sz w:val="24"/>
          <w:szCs w:val="24"/>
          <w:highlight w:val="yellow"/>
          <w:lang w:val="en-US" w:eastAsia="zh-CN"/>
        </w:rPr>
        <w:t xml:space="preserve"> 10</w:t>
      </w:r>
      <w:r>
        <w:rPr>
          <w:rFonts w:hint="eastAsia" w:ascii="宋体" w:hAnsi="宋体" w:eastAsia="宋体" w:cs="宋体"/>
          <w:sz w:val="24"/>
          <w:szCs w:val="24"/>
          <w:highlight w:val="yellow"/>
          <w:lang w:eastAsia="zh-CN"/>
        </w:rPr>
        <w:t>月</w:t>
      </w:r>
      <w:r>
        <w:rPr>
          <w:rFonts w:hint="eastAsia" w:ascii="宋体" w:hAnsi="宋体" w:cs="宋体"/>
          <w:sz w:val="24"/>
          <w:szCs w:val="24"/>
          <w:highlight w:val="yellow"/>
          <w:lang w:val="en-US" w:eastAsia="zh-CN"/>
        </w:rPr>
        <w:t xml:space="preserve"> 19</w:t>
      </w:r>
      <w:r>
        <w:rPr>
          <w:rFonts w:hint="eastAsia" w:ascii="宋体" w:hAnsi="宋体" w:eastAsia="宋体" w:cs="宋体"/>
          <w:sz w:val="24"/>
          <w:szCs w:val="24"/>
          <w:highlight w:val="yellow"/>
        </w:rPr>
        <w:t>日</w:t>
      </w:r>
      <w:r>
        <w:rPr>
          <w:rFonts w:hint="eastAsia" w:ascii="宋体" w:hAnsi="宋体" w:cs="宋体"/>
          <w:sz w:val="24"/>
          <w:szCs w:val="24"/>
          <w:highlight w:val="yellow"/>
          <w:lang w:val="en-US" w:eastAsia="zh-CN"/>
        </w:rPr>
        <w:t>9</w:t>
      </w:r>
      <w:r>
        <w:rPr>
          <w:rFonts w:hint="eastAsia" w:ascii="宋体" w:hAnsi="宋体" w:cs="宋体"/>
          <w:sz w:val="24"/>
          <w:szCs w:val="24"/>
          <w:highlight w:val="yellow"/>
          <w:lang w:eastAsia="zh-CN"/>
        </w:rPr>
        <w:t>：</w:t>
      </w:r>
      <w:r>
        <w:rPr>
          <w:rFonts w:hint="eastAsia" w:ascii="宋体" w:hAnsi="宋体" w:cs="宋体"/>
          <w:sz w:val="24"/>
          <w:szCs w:val="24"/>
          <w:highlight w:val="yellow"/>
          <w:lang w:val="en-US" w:eastAsia="zh-CN"/>
        </w:rPr>
        <w:t>30</w:t>
      </w:r>
      <w:r>
        <w:rPr>
          <w:rFonts w:hint="eastAsia" w:ascii="宋体" w:hAnsi="宋体" w:eastAsia="宋体" w:cs="宋体"/>
          <w:sz w:val="24"/>
          <w:szCs w:val="24"/>
          <w:highlight w:val="yellow"/>
        </w:rPr>
        <w:t>-202</w:t>
      </w:r>
      <w:r>
        <w:rPr>
          <w:rFonts w:hint="eastAsia" w:ascii="宋体" w:hAnsi="宋体" w:cs="宋体"/>
          <w:sz w:val="24"/>
          <w:szCs w:val="24"/>
          <w:highlight w:val="yellow"/>
          <w:lang w:val="en-US" w:eastAsia="zh-CN"/>
        </w:rPr>
        <w:t>1</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10</w:t>
      </w:r>
      <w:r>
        <w:rPr>
          <w:rFonts w:hint="eastAsia" w:ascii="宋体" w:hAnsi="宋体" w:eastAsia="宋体" w:cs="宋体"/>
          <w:sz w:val="24"/>
          <w:szCs w:val="24"/>
          <w:highlight w:val="yellow"/>
          <w:lang w:eastAsia="zh-CN"/>
        </w:rPr>
        <w:t>月</w:t>
      </w:r>
      <w:r>
        <w:rPr>
          <w:rFonts w:hint="eastAsia" w:ascii="宋体" w:hAnsi="宋体" w:cs="宋体"/>
          <w:sz w:val="24"/>
          <w:szCs w:val="24"/>
          <w:highlight w:val="yellow"/>
          <w:lang w:val="en-US" w:eastAsia="zh-CN"/>
        </w:rPr>
        <w:t xml:space="preserve"> 19 </w:t>
      </w:r>
      <w:r>
        <w:rPr>
          <w:rFonts w:hint="eastAsia" w:ascii="宋体" w:hAnsi="宋体" w:eastAsia="宋体" w:cs="宋体"/>
          <w:sz w:val="24"/>
          <w:szCs w:val="24"/>
          <w:highlight w:val="yellow"/>
        </w:rPr>
        <w:t>日1</w:t>
      </w:r>
      <w:r>
        <w:rPr>
          <w:rFonts w:hint="eastAsia" w:ascii="宋体" w:hAnsi="宋体" w:cs="宋体"/>
          <w:sz w:val="24"/>
          <w:szCs w:val="24"/>
          <w:highlight w:val="yellow"/>
          <w:lang w:val="en-US" w:eastAsia="zh-CN"/>
        </w:rPr>
        <w:t>0</w:t>
      </w:r>
      <w:r>
        <w:rPr>
          <w:rFonts w:hint="eastAsia" w:ascii="宋体" w:hAnsi="宋体" w:eastAsia="宋体" w:cs="宋体"/>
          <w:sz w:val="24"/>
          <w:szCs w:val="24"/>
          <w:highlight w:val="yellow"/>
        </w:rPr>
        <w:t>：</w:t>
      </w:r>
      <w:r>
        <w:rPr>
          <w:rFonts w:hint="eastAsia" w:ascii="宋体" w:hAnsi="宋体" w:cs="宋体"/>
          <w:sz w:val="24"/>
          <w:szCs w:val="24"/>
          <w:highlight w:val="yellow"/>
          <w:lang w:val="en-US" w:eastAsia="zh-CN"/>
        </w:rPr>
        <w:t>00</w:t>
      </w:r>
      <w:r>
        <w:rPr>
          <w:rFonts w:hint="eastAsia" w:ascii="宋体" w:hAnsi="宋体" w:eastAsia="宋体" w:cs="宋体"/>
          <w:b/>
          <w:bCs/>
          <w:sz w:val="24"/>
          <w:szCs w:val="24"/>
          <w:highlight w:val="yellow"/>
        </w:rPr>
        <w:t>）</w:t>
      </w:r>
    </w:p>
    <w:p>
      <w:pPr>
        <w:pageBreakBefore w:val="0"/>
        <w:kinsoku/>
        <w:wordWrap/>
        <w:overflowPunct/>
        <w:topLinePunct w:val="0"/>
        <w:bidi w:val="0"/>
        <w:spacing w:after="120"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yellow"/>
        </w:rPr>
        <w:t>十、响应文件开启时间：</w:t>
      </w:r>
      <w:r>
        <w:rPr>
          <w:rFonts w:hint="eastAsia" w:ascii="宋体" w:hAnsi="宋体"/>
          <w:b/>
          <w:bCs/>
          <w:sz w:val="24"/>
          <w:highlight w:val="yellow"/>
        </w:rPr>
        <w:t>202</w:t>
      </w:r>
      <w:r>
        <w:rPr>
          <w:rFonts w:hint="eastAsia" w:ascii="宋体" w:hAnsi="宋体"/>
          <w:b/>
          <w:bCs/>
          <w:sz w:val="24"/>
          <w:highlight w:val="yellow"/>
          <w:lang w:val="en-US" w:eastAsia="zh-CN"/>
        </w:rPr>
        <w:t>1</w:t>
      </w:r>
      <w:r>
        <w:rPr>
          <w:rFonts w:hint="eastAsia" w:ascii="宋体" w:hAnsi="宋体"/>
          <w:b/>
          <w:bCs/>
          <w:sz w:val="24"/>
          <w:highlight w:val="yellow"/>
        </w:rPr>
        <w:t>年</w:t>
      </w:r>
      <w:r>
        <w:rPr>
          <w:rFonts w:hint="eastAsia" w:ascii="宋体" w:hAnsi="宋体"/>
          <w:b/>
          <w:bCs/>
          <w:sz w:val="24"/>
          <w:highlight w:val="yellow"/>
          <w:lang w:val="en-US" w:eastAsia="zh-CN"/>
        </w:rPr>
        <w:t>10</w:t>
      </w:r>
      <w:r>
        <w:rPr>
          <w:rFonts w:hint="eastAsia" w:ascii="宋体" w:hAnsi="宋体"/>
          <w:b/>
          <w:bCs/>
          <w:sz w:val="24"/>
          <w:highlight w:val="yellow"/>
        </w:rPr>
        <w:t>月</w:t>
      </w:r>
      <w:r>
        <w:rPr>
          <w:rFonts w:hint="eastAsia" w:ascii="宋体" w:hAnsi="宋体"/>
          <w:b/>
          <w:bCs/>
          <w:sz w:val="24"/>
          <w:highlight w:val="yellow"/>
          <w:lang w:val="en-US" w:eastAsia="zh-CN"/>
        </w:rPr>
        <w:t xml:space="preserve"> 19 </w:t>
      </w:r>
      <w:r>
        <w:rPr>
          <w:rFonts w:hint="eastAsia" w:ascii="宋体" w:hAnsi="宋体"/>
          <w:b/>
          <w:bCs/>
          <w:sz w:val="24"/>
          <w:highlight w:val="yellow"/>
        </w:rPr>
        <w:t>日 1</w:t>
      </w:r>
      <w:r>
        <w:rPr>
          <w:rFonts w:hint="eastAsia" w:ascii="宋体" w:hAnsi="宋体"/>
          <w:b/>
          <w:bCs/>
          <w:sz w:val="24"/>
          <w:highlight w:val="yellow"/>
          <w:lang w:val="en-US" w:eastAsia="zh-CN"/>
        </w:rPr>
        <w:t>0</w:t>
      </w:r>
      <w:r>
        <w:rPr>
          <w:rFonts w:hint="eastAsia" w:ascii="宋体" w:hAnsi="宋体"/>
          <w:b/>
          <w:bCs/>
          <w:sz w:val="24"/>
          <w:highlight w:val="yellow"/>
        </w:rPr>
        <w:t>：</w:t>
      </w:r>
      <w:r>
        <w:rPr>
          <w:rFonts w:hint="eastAsia" w:ascii="宋体" w:hAnsi="宋体"/>
          <w:b/>
          <w:bCs/>
          <w:sz w:val="24"/>
          <w:highlight w:val="yellow"/>
          <w:lang w:val="en-US" w:eastAsia="zh-CN"/>
        </w:rPr>
        <w:t>0</w:t>
      </w:r>
      <w:r>
        <w:rPr>
          <w:rFonts w:hint="eastAsia" w:ascii="宋体" w:hAnsi="宋体"/>
          <w:b/>
          <w:bCs/>
          <w:sz w:val="24"/>
          <w:highlight w:val="yellow"/>
        </w:rPr>
        <w:t>0</w:t>
      </w:r>
      <w:r>
        <w:rPr>
          <w:rFonts w:hint="eastAsia" w:ascii="宋体" w:hAnsi="宋体" w:eastAsia="宋体" w:cs="宋体"/>
          <w:sz w:val="24"/>
          <w:szCs w:val="24"/>
          <w:highlight w:val="yellow"/>
        </w:rPr>
        <w:t>（北京时间）</w:t>
      </w:r>
      <w:r>
        <w:rPr>
          <w:rFonts w:hint="eastAsia" w:ascii="宋体" w:hAnsi="宋体" w:eastAsia="宋体" w:cs="宋体"/>
          <w:sz w:val="24"/>
          <w:szCs w:val="24"/>
          <w:highlight w:val="none"/>
        </w:rPr>
        <w:t>在磋商地点开启。</w:t>
      </w:r>
    </w:p>
    <w:p>
      <w:pPr>
        <w:pageBreakBefore w:val="0"/>
        <w:kinsoku/>
        <w:wordWrap/>
        <w:overflowPunct/>
        <w:topLinePunct w:val="0"/>
        <w:bidi w:val="0"/>
        <w:spacing w:line="360" w:lineRule="auto"/>
        <w:ind w:firstLine="489" w:firstLineChars="203"/>
        <w:rPr>
          <w:rFonts w:hint="eastAsia" w:ascii="宋体" w:hAnsi="宋体" w:eastAsia="宋体" w:cs="宋体"/>
          <w:sz w:val="24"/>
          <w:szCs w:val="24"/>
          <w:highlight w:val="none"/>
        </w:rPr>
      </w:pPr>
      <w:r>
        <w:rPr>
          <w:rFonts w:hint="eastAsia" w:ascii="宋体" w:hAnsi="宋体" w:eastAsia="宋体" w:cs="宋体"/>
          <w:b/>
          <w:sz w:val="24"/>
          <w:szCs w:val="24"/>
          <w:highlight w:val="none"/>
        </w:rPr>
        <w:t>十一、磋商地点：四川三盈招标代理有限公司开标室（地址：</w:t>
      </w:r>
      <w:r>
        <w:rPr>
          <w:rFonts w:hint="eastAsia" w:ascii="宋体" w:hAnsi="宋体" w:eastAsia="宋体" w:cs="宋体"/>
          <w:sz w:val="24"/>
          <w:szCs w:val="24"/>
          <w:highlight w:val="none"/>
        </w:rPr>
        <w:t>成都市高新区盛和一路88号康普雷斯1栋1单元701号</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w:t>
      </w:r>
    </w:p>
    <w:p>
      <w:pPr>
        <w:pStyle w:val="51"/>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十二、联系方式</w:t>
      </w:r>
    </w:p>
    <w:p>
      <w:pPr>
        <w:pStyle w:val="51"/>
        <w:pageBreakBefore w:val="0"/>
        <w:kinsoku/>
        <w:wordWrap/>
        <w:overflowPunct/>
        <w:topLinePunct w:val="0"/>
        <w:bidi w:val="0"/>
        <w:spacing w:line="360" w:lineRule="auto"/>
        <w:ind w:firstLine="954" w:firstLineChars="396"/>
        <w:rPr>
          <w:rFonts w:hint="eastAsia" w:ascii="宋体" w:hAnsi="宋体" w:eastAsia="宋体" w:cs="宋体"/>
          <w:b/>
          <w:bCs/>
          <w:sz w:val="24"/>
          <w:szCs w:val="24"/>
          <w:highlight w:val="none"/>
        </w:rPr>
      </w:pPr>
      <w:r>
        <w:rPr>
          <w:rFonts w:hint="eastAsia" w:ascii="宋体" w:hAnsi="宋体" w:eastAsia="宋体" w:cs="宋体"/>
          <w:b/>
          <w:sz w:val="24"/>
          <w:szCs w:val="24"/>
          <w:highlight w:val="none"/>
        </w:rPr>
        <w:t xml:space="preserve">  采购人：</w:t>
      </w:r>
      <w:r>
        <w:rPr>
          <w:rFonts w:hint="eastAsia" w:ascii="宋体" w:hAnsi="宋体" w:cs="宋体"/>
          <w:b/>
          <w:sz w:val="24"/>
          <w:szCs w:val="24"/>
          <w:highlight w:val="none"/>
          <w:lang w:eastAsia="zh-CN"/>
        </w:rPr>
        <w:t>成都东部新区玉成街道办事处</w:t>
      </w:r>
      <w:r>
        <w:rPr>
          <w:rFonts w:hint="eastAsia" w:ascii="宋体" w:hAnsi="宋体" w:eastAsia="宋体" w:cs="宋体"/>
          <w:b/>
          <w:sz w:val="24"/>
          <w:szCs w:val="24"/>
          <w:highlight w:val="none"/>
        </w:rPr>
        <w:t xml:space="preserve"> </w:t>
      </w:r>
    </w:p>
    <w:p>
      <w:pPr>
        <w:pStyle w:val="51"/>
        <w:pageBreakBefore w:val="0"/>
        <w:kinsoku/>
        <w:wordWrap/>
        <w:overflowPunct/>
        <w:topLinePunct w:val="0"/>
        <w:bidi w:val="0"/>
        <w:spacing w:line="360" w:lineRule="auto"/>
        <w:ind w:firstLine="1200" w:firstLineChars="5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通讯地址：</w:t>
      </w:r>
      <w:r>
        <w:rPr>
          <w:rFonts w:hint="eastAsia" w:ascii="宋体" w:hAnsi="宋体" w:cs="宋体"/>
          <w:bCs/>
          <w:sz w:val="24"/>
          <w:szCs w:val="24"/>
          <w:highlight w:val="none"/>
          <w:lang w:val="en-US" w:eastAsia="zh-CN"/>
        </w:rPr>
        <w:t xml:space="preserve"> 玉成街道利民街143号 </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sz w:val="24"/>
          <w:highlight w:val="none"/>
          <w:lang w:eastAsia="zh-CN"/>
        </w:rPr>
        <w:t>周老师</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cs="宋体"/>
          <w:sz w:val="24"/>
          <w:szCs w:val="24"/>
          <w:highlight w:val="none"/>
          <w:lang w:eastAsia="zh-CN"/>
        </w:rPr>
        <w:t>028-27861131</w:t>
      </w:r>
    </w:p>
    <w:p>
      <w:pPr>
        <w:pStyle w:val="51"/>
        <w:pageBreakBefore w:val="0"/>
        <w:kinsoku/>
        <w:wordWrap/>
        <w:overflowPunct/>
        <w:topLinePunct w:val="0"/>
        <w:bidi w:val="0"/>
        <w:spacing w:line="360" w:lineRule="auto"/>
        <w:ind w:firstLine="1195" w:firstLineChars="496"/>
        <w:rPr>
          <w:rFonts w:hint="eastAsia" w:ascii="宋体" w:hAnsi="宋体" w:eastAsia="宋体" w:cs="宋体"/>
          <w:b/>
          <w:sz w:val="24"/>
          <w:szCs w:val="24"/>
          <w:highlight w:val="none"/>
        </w:rPr>
      </w:pPr>
    </w:p>
    <w:p>
      <w:pPr>
        <w:pStyle w:val="51"/>
        <w:pageBreakBefore w:val="0"/>
        <w:kinsoku/>
        <w:wordWrap/>
        <w:overflowPunct/>
        <w:topLinePunct w:val="0"/>
        <w:bidi w:val="0"/>
        <w:spacing w:line="360" w:lineRule="auto"/>
        <w:ind w:firstLine="1195" w:firstLineChars="496"/>
        <w:rPr>
          <w:rFonts w:hint="eastAsia" w:ascii="宋体" w:hAnsi="宋体" w:eastAsia="宋体" w:cs="宋体"/>
          <w:b/>
          <w:sz w:val="24"/>
          <w:szCs w:val="24"/>
          <w:highlight w:val="none"/>
        </w:rPr>
      </w:pPr>
      <w:r>
        <w:rPr>
          <w:rFonts w:hint="eastAsia" w:ascii="宋体" w:hAnsi="宋体" w:eastAsia="宋体" w:cs="宋体"/>
          <w:b/>
          <w:sz w:val="24"/>
          <w:szCs w:val="24"/>
          <w:highlight w:val="none"/>
        </w:rPr>
        <w:t>采购代理机构：四川三盈招标代理有限公司</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地址：成都市高新区盛和一路88号康普雷斯1栋1单元701号</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sz w:val="24"/>
          <w:highlight w:val="none"/>
          <w:lang w:val="en-US" w:eastAsia="zh-CN"/>
        </w:rPr>
        <w:t>王女士</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联系电话：028-</w:t>
      </w:r>
      <w:r>
        <w:rPr>
          <w:rFonts w:hint="eastAsia" w:ascii="宋体" w:hAnsi="宋体" w:eastAsia="宋体" w:cs="宋体"/>
          <w:sz w:val="24"/>
          <w:szCs w:val="24"/>
          <w:highlight w:val="none"/>
          <w:lang w:val="en-US" w:eastAsia="zh-CN"/>
        </w:rPr>
        <w:t>87456828</w:t>
      </w:r>
      <w:r>
        <w:rPr>
          <w:rFonts w:hint="eastAsia" w:ascii="宋体" w:hAnsi="宋体" w:eastAsia="宋体" w:cs="宋体"/>
          <w:sz w:val="24"/>
          <w:szCs w:val="24"/>
          <w:highlight w:val="none"/>
        </w:rPr>
        <w:t xml:space="preserve"> </w:t>
      </w:r>
    </w:p>
    <w:p>
      <w:pPr>
        <w:pStyle w:val="51"/>
        <w:pageBreakBefore w:val="0"/>
        <w:kinsoku/>
        <w:wordWrap/>
        <w:overflowPunct/>
        <w:topLinePunct w:val="0"/>
        <w:bidi w:val="0"/>
        <w:spacing w:line="360" w:lineRule="auto"/>
        <w:ind w:firstLine="1200" w:firstLineChars="500"/>
        <w:rPr>
          <w:rFonts w:hint="eastAsia" w:ascii="宋体" w:hAnsi="宋体" w:eastAsia="宋体" w:cs="宋体"/>
          <w:sz w:val="28"/>
          <w:szCs w:val="28"/>
          <w:highlight w:val="none"/>
        </w:rPr>
      </w:pPr>
      <w:r>
        <w:rPr>
          <w:rFonts w:hint="eastAsia" w:ascii="宋体" w:hAnsi="宋体" w:eastAsia="宋体" w:cs="宋体"/>
          <w:sz w:val="24"/>
          <w:szCs w:val="24"/>
          <w:highlight w:val="none"/>
        </w:rPr>
        <w:t>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真：028-</w:t>
      </w:r>
      <w:r>
        <w:rPr>
          <w:rFonts w:hint="eastAsia" w:ascii="宋体" w:hAnsi="宋体" w:eastAsia="宋体" w:cs="宋体"/>
          <w:sz w:val="24"/>
          <w:szCs w:val="24"/>
          <w:highlight w:val="none"/>
          <w:lang w:val="en-US" w:eastAsia="zh-CN"/>
        </w:rPr>
        <w:t>87456828</w:t>
      </w:r>
      <w:r>
        <w:rPr>
          <w:rFonts w:hint="eastAsia" w:ascii="宋体" w:hAnsi="宋体" w:eastAsia="宋体" w:cs="宋体"/>
          <w:sz w:val="28"/>
          <w:szCs w:val="28"/>
          <w:highlight w:val="none"/>
        </w:rPr>
        <w:t xml:space="preserve"> </w:t>
      </w:r>
    </w:p>
    <w:p>
      <w:pPr>
        <w:pStyle w:val="22"/>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2"/>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2"/>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2"/>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pStyle w:val="22"/>
        <w:pageBreakBefore w:val="0"/>
        <w:kinsoku/>
        <w:wordWrap/>
        <w:overflowPunct/>
        <w:topLinePunct w:val="0"/>
        <w:bidi w:val="0"/>
        <w:spacing w:before="0" w:beforeAutospacing="0" w:after="0" w:afterAutospacing="0" w:line="480" w:lineRule="auto"/>
        <w:ind w:left="0" w:leftChars="0" w:firstLine="0" w:firstLineChars="0"/>
        <w:jc w:val="center"/>
        <w:rPr>
          <w:rFonts w:hint="eastAsia" w:ascii="宋体" w:hAnsi="宋体" w:eastAsia="宋体" w:cs="宋体"/>
          <w:b/>
          <w:bCs/>
          <w:kern w:val="44"/>
          <w:sz w:val="36"/>
          <w:szCs w:val="44"/>
          <w:highlight w:val="none"/>
          <w:lang w:val="en-US" w:eastAsia="zh-CN" w:bidi="ar-SA"/>
        </w:rPr>
      </w:pPr>
    </w:p>
    <w:p>
      <w:pPr>
        <w:rPr>
          <w:rFonts w:hint="eastAsia"/>
          <w:highlight w:val="none"/>
          <w:lang w:val="en-US" w:eastAsia="zh-CN"/>
        </w:rPr>
      </w:pPr>
      <w:bookmarkStart w:id="6" w:name="_Toc217446031"/>
      <w:bookmarkStart w:id="7" w:name="_Toc213396945"/>
      <w:bookmarkStart w:id="8" w:name="_Toc213396759"/>
      <w:bookmarkStart w:id="9" w:name="_Toc509579141"/>
      <w:bookmarkStart w:id="10" w:name="_Toc213496267"/>
      <w:bookmarkStart w:id="11" w:name="_Toc8414"/>
      <w:bookmarkStart w:id="12" w:name="_Toc213397009"/>
      <w:r>
        <w:rPr>
          <w:rFonts w:hint="eastAsia"/>
          <w:highlight w:val="none"/>
          <w:lang w:val="en-US" w:eastAsia="zh-CN"/>
        </w:rPr>
        <w:br w:type="page"/>
      </w:r>
    </w:p>
    <w:p>
      <w:pPr>
        <w:pStyle w:val="23"/>
        <w:bidi w:val="0"/>
        <w:spacing w:after="0" w:afterAutospacing="0"/>
        <w:ind w:left="0" w:leftChars="0" w:firstLine="0" w:firstLineChars="0"/>
        <w:jc w:val="center"/>
        <w:rPr>
          <w:rFonts w:hint="eastAsia"/>
          <w:highlight w:val="none"/>
          <w:lang w:val="en-US" w:eastAsia="zh-CN"/>
        </w:rPr>
      </w:pPr>
      <w:r>
        <w:rPr>
          <w:rFonts w:hint="eastAsia"/>
          <w:highlight w:val="none"/>
          <w:lang w:val="en-US" w:eastAsia="zh-CN"/>
        </w:rPr>
        <w:t>第二章  磋商须知</w:t>
      </w:r>
      <w:bookmarkEnd w:id="6"/>
      <w:bookmarkEnd w:id="7"/>
      <w:bookmarkEnd w:id="8"/>
      <w:bookmarkEnd w:id="9"/>
      <w:bookmarkEnd w:id="10"/>
      <w:bookmarkEnd w:id="11"/>
      <w:bookmarkEnd w:id="12"/>
    </w:p>
    <w:p>
      <w:pPr>
        <w:pStyle w:val="4"/>
        <w:keepNext w:val="0"/>
        <w:keepLines w:val="0"/>
        <w:spacing w:before="0" w:after="0" w:line="360" w:lineRule="auto"/>
        <w:ind w:firstLine="0" w:firstLineChars="0"/>
        <w:jc w:val="center"/>
        <w:rPr>
          <w:rFonts w:hint="eastAsia" w:ascii="宋体" w:hAnsi="宋体" w:eastAsia="宋体" w:cs="Times New Roman"/>
          <w:highlight w:val="none"/>
        </w:rPr>
      </w:pPr>
      <w:r>
        <w:rPr>
          <w:rFonts w:hint="eastAsia" w:ascii="宋体" w:hAnsi="宋体" w:eastAsia="宋体" w:cs="Times New Roman"/>
          <w:highlight w:val="none"/>
        </w:rPr>
        <w:t>一、供应商须知附表</w:t>
      </w:r>
    </w:p>
    <w:tbl>
      <w:tblPr>
        <w:tblStyle w:val="2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03"/>
        <w:gridCol w:w="1623"/>
        <w:gridCol w:w="72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603" w:type="dxa"/>
            <w:tcBorders>
              <w:top w:val="single" w:color="auto" w:sz="18" w:space="0"/>
            </w:tcBorders>
            <w:vAlign w:val="center"/>
          </w:tcPr>
          <w:p>
            <w:pPr>
              <w:pStyle w:val="52"/>
              <w:pageBreakBefore w:val="0"/>
              <w:kinsoku/>
              <w:wordWrap/>
              <w:overflowPunct/>
              <w:topLinePunct w:val="0"/>
              <w:bidi w:val="0"/>
              <w:spacing w:beforeAutospacing="0" w:line="360" w:lineRule="auto"/>
              <w:ind w:left="9"/>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1623" w:type="dxa"/>
            <w:tcBorders>
              <w:top w:val="single" w:color="auto" w:sz="18" w:space="0"/>
            </w:tcBorders>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应知事项</w:t>
            </w:r>
          </w:p>
        </w:tc>
        <w:tc>
          <w:tcPr>
            <w:tcW w:w="7280" w:type="dxa"/>
            <w:tcBorders>
              <w:top w:val="single" w:color="auto" w:sz="18" w:space="0"/>
            </w:tcBorders>
            <w:vAlign w:val="center"/>
          </w:tcPr>
          <w:p>
            <w:pPr>
              <w:pStyle w:val="52"/>
              <w:pageBreakBefore w:val="0"/>
              <w:kinsoku/>
              <w:wordWrap/>
              <w:overflowPunct/>
              <w:topLinePunct w:val="0"/>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2" w:hRule="atLeast"/>
          <w:jc w:val="center"/>
        </w:trPr>
        <w:tc>
          <w:tcPr>
            <w:tcW w:w="603" w:type="dxa"/>
            <w:vAlign w:val="center"/>
          </w:tcPr>
          <w:p>
            <w:pPr>
              <w:pStyle w:val="52"/>
              <w:pageBreakBefore w:val="0"/>
              <w:kinsoku/>
              <w:wordWrap/>
              <w:overflowPunct/>
              <w:topLinePunct w:val="0"/>
              <w:bidi w:val="0"/>
              <w:spacing w:line="360" w:lineRule="auto"/>
              <w:ind w:right="211" w:rightChars="8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1623" w:type="dxa"/>
            <w:vAlign w:val="center"/>
          </w:tcPr>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采购预算</w:t>
            </w:r>
          </w:p>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（实质性要求）</w:t>
            </w:r>
          </w:p>
        </w:tc>
        <w:tc>
          <w:tcPr>
            <w:tcW w:w="7280" w:type="dxa"/>
            <w:vAlign w:val="center"/>
          </w:tcPr>
          <w:p>
            <w:pPr>
              <w:pStyle w:val="52"/>
              <w:pageBreakBefore w:val="0"/>
              <w:kinsoku/>
              <w:wordWrap/>
              <w:overflowPunct/>
              <w:topLinePunct w:val="0"/>
              <w:bidi w:val="0"/>
              <w:spacing w:line="360" w:lineRule="auto"/>
              <w:rPr>
                <w:rFonts w:hint="eastAsia" w:cs="宋体"/>
                <w:sz w:val="24"/>
                <w:szCs w:val="24"/>
                <w:highlight w:val="none"/>
                <w:lang w:val="en-US" w:eastAsia="zh-CN"/>
              </w:rPr>
            </w:pPr>
            <w:r>
              <w:rPr>
                <w:rFonts w:hint="eastAsia" w:ascii="宋体" w:hAnsi="宋体" w:eastAsia="宋体" w:cs="宋体"/>
                <w:sz w:val="24"/>
                <w:szCs w:val="24"/>
                <w:highlight w:val="none"/>
              </w:rPr>
              <w:t>采购预算</w:t>
            </w:r>
            <w:r>
              <w:rPr>
                <w:rFonts w:hint="eastAsia" w:cs="宋体"/>
                <w:sz w:val="24"/>
                <w:szCs w:val="24"/>
                <w:highlight w:val="none"/>
                <w:lang w:eastAsia="zh-CN"/>
              </w:rPr>
              <w:t>：160万元</w:t>
            </w:r>
            <w:r>
              <w:rPr>
                <w:rFonts w:hint="eastAsia" w:cs="宋体"/>
                <w:sz w:val="24"/>
                <w:szCs w:val="24"/>
                <w:highlight w:val="none"/>
                <w:lang w:val="en-US" w:eastAsia="zh-CN"/>
              </w:rPr>
              <w:t>/年；</w:t>
            </w:r>
          </w:p>
          <w:p>
            <w:pPr>
              <w:pStyle w:val="52"/>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1"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tc>
        <w:tc>
          <w:tcPr>
            <w:tcW w:w="1623" w:type="dxa"/>
            <w:vAlign w:val="center"/>
          </w:tcPr>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最高限价</w:t>
            </w:r>
          </w:p>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（实质性要求）</w:t>
            </w:r>
          </w:p>
        </w:tc>
        <w:tc>
          <w:tcPr>
            <w:tcW w:w="7280" w:type="dxa"/>
            <w:vAlign w:val="center"/>
          </w:tcPr>
          <w:p>
            <w:pPr>
              <w:pStyle w:val="52"/>
              <w:pageBreakBefore w:val="0"/>
              <w:kinsoku/>
              <w:wordWrap/>
              <w:overflowPunct/>
              <w:topLinePunct w:val="0"/>
              <w:bidi w:val="0"/>
              <w:spacing w:line="360" w:lineRule="auto"/>
              <w:rPr>
                <w:rFonts w:hint="eastAsia" w:cs="宋体"/>
                <w:sz w:val="24"/>
                <w:szCs w:val="24"/>
                <w:highlight w:val="none"/>
                <w:lang w:val="en-US" w:eastAsia="zh-CN"/>
              </w:rPr>
            </w:pPr>
            <w:r>
              <w:rPr>
                <w:rFonts w:hint="eastAsia" w:ascii="宋体" w:hAnsi="宋体" w:eastAsia="宋体" w:cs="宋体"/>
                <w:sz w:val="24"/>
                <w:szCs w:val="24"/>
                <w:highlight w:val="none"/>
              </w:rPr>
              <w:t>最高限价</w:t>
            </w:r>
            <w:r>
              <w:rPr>
                <w:rFonts w:hint="eastAsia" w:cs="宋体"/>
                <w:sz w:val="24"/>
                <w:szCs w:val="24"/>
                <w:highlight w:val="none"/>
                <w:lang w:eastAsia="zh-CN"/>
              </w:rPr>
              <w:t>：160万元</w:t>
            </w:r>
            <w:r>
              <w:rPr>
                <w:rFonts w:hint="eastAsia" w:cs="宋体"/>
                <w:sz w:val="24"/>
                <w:szCs w:val="24"/>
                <w:highlight w:val="none"/>
                <w:lang w:val="en-US" w:eastAsia="zh-CN"/>
              </w:rPr>
              <w:t>/年(400元/亩，800元/户)；</w:t>
            </w:r>
          </w:p>
          <w:p>
            <w:pPr>
              <w:pStyle w:val="52"/>
              <w:pageBreakBefore w:val="0"/>
              <w:kinsoku/>
              <w:wordWrap/>
              <w:overflowPunct/>
              <w:topLinePunct w:val="0"/>
              <w:bidi w:val="0"/>
              <w:spacing w:line="360" w:lineRule="auto"/>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报价超过最高限价,其响应文件按无效处理。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p>
        </w:tc>
        <w:tc>
          <w:tcPr>
            <w:tcW w:w="1623" w:type="dxa"/>
            <w:vAlign w:val="center"/>
          </w:tcPr>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进口产品</w:t>
            </w:r>
          </w:p>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不涉及</w:t>
            </w:r>
            <w:r>
              <w:rPr>
                <w:rFonts w:hint="eastAsia" w:ascii="宋体" w:hAnsi="宋体" w:eastAsia="宋体" w:cs="宋体"/>
                <w:sz w:val="24"/>
                <w:szCs w:val="24"/>
                <w:highlight w:val="none"/>
                <w:lang w:val="zh-CN"/>
              </w:rPr>
              <w:t>）</w:t>
            </w:r>
          </w:p>
        </w:tc>
        <w:tc>
          <w:tcPr>
            <w:tcW w:w="7280" w:type="dxa"/>
            <w:vAlign w:val="center"/>
          </w:tcPr>
          <w:p>
            <w:pPr>
              <w:pStyle w:val="52"/>
              <w:pageBreakBefore w:val="0"/>
              <w:kinsoku/>
              <w:wordWrap/>
              <w:overflowPunct/>
              <w:topLinePunct w:val="0"/>
              <w:bidi w:val="0"/>
              <w:spacing w:line="360" w:lineRule="auto"/>
              <w:ind w:firstLine="480" w:firstLineChars="200"/>
              <w:jc w:val="both"/>
              <w:rPr>
                <w:rFonts w:hint="eastAsia" w:ascii="宋体" w:hAnsi="宋体" w:eastAsia="宋体" w:cs="宋体"/>
                <w:sz w:val="24"/>
                <w:szCs w:val="24"/>
                <w:highlight w:val="none"/>
                <w:lang w:val="zh-CN"/>
              </w:rPr>
            </w:pPr>
            <w:bookmarkStart w:id="13" w:name="PO_默认文件内容_10"/>
            <w:r>
              <w:rPr>
                <w:rFonts w:hint="eastAsia" w:ascii="宋体" w:hAnsi="宋体" w:eastAsia="宋体" w:cs="宋体"/>
                <w:sz w:val="24"/>
                <w:szCs w:val="24"/>
                <w:highlight w:val="none"/>
              </w:rPr>
              <w:t>本项目竞争性磋商文件中未载明“允许采购进口产品”的产品，拒绝进口产品参与竞争。载明“允许采购进口产品”的产品，不限制国产产品参与竞争。</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2"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w:t>
            </w:r>
          </w:p>
        </w:tc>
        <w:tc>
          <w:tcPr>
            <w:tcW w:w="1623" w:type="dxa"/>
            <w:vAlign w:val="center"/>
          </w:tcPr>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联合体</w:t>
            </w:r>
          </w:p>
          <w:p>
            <w:pPr>
              <w:pStyle w:val="52"/>
              <w:pageBreakBefore w:val="0"/>
              <w:kinsoku/>
              <w:wordWrap/>
              <w:overflowPunct/>
              <w:topLinePunct w:val="0"/>
              <w:bidi w:val="0"/>
              <w:spacing w:line="24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（实质性要求）</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bookmarkStart w:id="14" w:name="PO_默认文件内容_11"/>
            <w:r>
              <w:rPr>
                <w:rFonts w:hint="eastAsia" w:ascii="宋体" w:hAnsi="宋体" w:eastAsia="宋体" w:cs="宋体"/>
                <w:sz w:val="24"/>
                <w:szCs w:val="24"/>
                <w:highlight w:val="none"/>
                <w:lang w:val="zh-CN"/>
              </w:rPr>
              <w:t>不允许联合体</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低于成本价</w:t>
            </w:r>
          </w:p>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不正当竞争预防措施（实质性要求）</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在评</w:t>
            </w:r>
            <w:r>
              <w:rPr>
                <w:rFonts w:hint="eastAsia" w:cs="宋体"/>
                <w:sz w:val="24"/>
                <w:szCs w:val="24"/>
                <w:highlight w:val="none"/>
                <w:lang w:val="en-US" w:eastAsia="zh-CN"/>
              </w:rPr>
              <w:t>审</w:t>
            </w:r>
            <w:r>
              <w:rPr>
                <w:rFonts w:hint="eastAsia" w:ascii="宋体" w:hAnsi="宋体" w:eastAsia="宋体" w:cs="宋体"/>
                <w:sz w:val="24"/>
                <w:szCs w:val="24"/>
                <w:highlight w:val="none"/>
              </w:rPr>
              <w:t>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2"/>
              <w:pageBreakBefore w:val="0"/>
              <w:kinsoku/>
              <w:wordWrap/>
              <w:overflowPunct/>
              <w:topLinePunct w:val="0"/>
              <w:bidi w:val="0"/>
              <w:spacing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磋商文件作为无效处理</w:t>
            </w:r>
            <w:r>
              <w:rPr>
                <w:rFonts w:hint="eastAsia" w:ascii="宋体" w:hAnsi="宋体" w:eastAsia="宋体" w:cs="宋体"/>
                <w:sz w:val="24"/>
                <w:szCs w:val="24"/>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12"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cs="宋体"/>
                <w:sz w:val="24"/>
                <w:szCs w:val="24"/>
                <w:highlight w:val="none"/>
                <w:lang w:val="en-US" w:eastAsia="zh-CN"/>
              </w:rPr>
            </w:pPr>
            <w:r>
              <w:rPr>
                <w:rFonts w:hint="eastAsia" w:cs="宋体"/>
                <w:sz w:val="24"/>
                <w:szCs w:val="24"/>
                <w:highlight w:val="none"/>
                <w:lang w:val="en-US" w:eastAsia="zh-CN"/>
              </w:rPr>
              <w:t>6</w:t>
            </w:r>
          </w:p>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小微企业</w:t>
            </w:r>
          </w:p>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rPr>
            </w:pPr>
          </w:p>
        </w:tc>
        <w:tc>
          <w:tcPr>
            <w:tcW w:w="7280" w:type="dxa"/>
            <w:vAlign w:val="center"/>
          </w:tcPr>
          <w:p>
            <w:pPr>
              <w:pStyle w:val="52"/>
              <w:pageBreakBefore w:val="0"/>
              <w:kinsoku/>
              <w:wordWrap/>
              <w:overflowPunct/>
              <w:topLinePunct w:val="0"/>
              <w:bidi w:val="0"/>
              <w:spacing w:line="360" w:lineRule="auto"/>
              <w:ind w:firstLine="480" w:firstLineChars="200"/>
              <w:jc w:val="both"/>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本项目专门面向中小微企业采购</w:t>
            </w:r>
            <w:r>
              <w:rPr>
                <w:rFonts w:hint="eastAsia" w:ascii="宋体" w:hAnsi="宋体" w:eastAsia="宋体" w:cs="宋体"/>
                <w:sz w:val="24"/>
                <w:szCs w:val="24"/>
                <w:highlight w:val="none"/>
                <w:lang w:val="zh-CN"/>
              </w:rPr>
              <w:t>（监狱企业、残疾人福利性单位视同小微企业）</w:t>
            </w:r>
            <w:r>
              <w:rPr>
                <w:rFonts w:hint="eastAsia" w:cs="宋体"/>
                <w:sz w:val="24"/>
                <w:szCs w:val="24"/>
                <w:highlight w:val="none"/>
                <w:lang w:val="zh-CN"/>
              </w:rPr>
              <w:t>；</w:t>
            </w:r>
            <w:r>
              <w:rPr>
                <w:rFonts w:hint="eastAsia" w:ascii="宋体" w:hAnsi="宋体" w:eastAsia="宋体" w:cs="宋体"/>
                <w:kern w:val="0"/>
                <w:sz w:val="24"/>
                <w:szCs w:val="24"/>
                <w:highlight w:val="none"/>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国家规定的强制采购范围 （</w:t>
            </w:r>
            <w:r>
              <w:rPr>
                <w:rFonts w:hint="eastAsia" w:ascii="宋体" w:hAnsi="宋体" w:eastAsia="宋体" w:cs="宋体"/>
                <w:kern w:val="2"/>
                <w:sz w:val="24"/>
                <w:szCs w:val="24"/>
                <w:highlight w:val="none"/>
              </w:rPr>
              <w:t>本项目不涉及</w:t>
            </w:r>
            <w:r>
              <w:rPr>
                <w:rFonts w:hint="eastAsia" w:ascii="宋体" w:hAnsi="宋体" w:eastAsia="宋体" w:cs="宋体"/>
                <w:kern w:val="2"/>
                <w:sz w:val="24"/>
                <w:szCs w:val="24"/>
                <w:highlight w:val="none"/>
                <w:lang w:val="zh-CN"/>
              </w:rPr>
              <w:t>）</w:t>
            </w:r>
          </w:p>
        </w:tc>
        <w:tc>
          <w:tcPr>
            <w:tcW w:w="7280" w:type="dxa"/>
          </w:tcPr>
          <w:p>
            <w:pPr>
              <w:pStyle w:val="52"/>
              <w:pageBreakBefore w:val="0"/>
              <w:kinsoku/>
              <w:wordWrap/>
              <w:overflowPunct/>
              <w:topLinePunct w:val="0"/>
              <w:bidi w:val="0"/>
              <w:spacing w:line="360" w:lineRule="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节能、环保、无线局域网产品</w:t>
            </w:r>
          </w:p>
          <w:p>
            <w:pPr>
              <w:pageBreakBefore w:val="0"/>
              <w:numPr>
                <w:ilvl w:val="0"/>
                <w:numId w:val="1"/>
              </w:numPr>
              <w:kinsoku/>
              <w:wordWrap/>
              <w:overflowPunct/>
              <w:topLinePunct w:val="0"/>
              <w:bidi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ageBreakBefore w:val="0"/>
              <w:numPr>
                <w:ilvl w:val="0"/>
                <w:numId w:val="1"/>
              </w:numPr>
              <w:kinsoku/>
              <w:wordWrap/>
              <w:overflowPunct/>
              <w:topLinePunct w:val="0"/>
              <w:bidi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本项目采购的产品属于品目清单范围内强制采购的，供应商应按上述要求提供产品认证证书复印件并加盖供应商单位公章（鲜章），否则</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无效。（实质性要求）</w:t>
            </w:r>
          </w:p>
          <w:p>
            <w:pPr>
              <w:pageBreakBefore w:val="0"/>
              <w:numPr>
                <w:ilvl w:val="0"/>
                <w:numId w:val="1"/>
              </w:numPr>
              <w:kinsoku/>
              <w:wordWrap/>
              <w:overflowPunct/>
              <w:topLinePunct w:val="0"/>
              <w:bidi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本项目采购的产品属于品目清单范围内优先采购的，按照第八章《综合评分明细表》的规则进行加分。</w:t>
            </w:r>
          </w:p>
          <w:p>
            <w:pPr>
              <w:pageBreakBefore w:val="0"/>
              <w:kinsoku/>
              <w:wordWrap/>
              <w:overflowPunct/>
              <w:topLinePunct w:val="0"/>
              <w:bidi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4.无线局域网产品政府采购政策：</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本项目采购的产品属于中国政府采购网公布的《无线局域网认证产品政府采购清单》的，将按照第八章《综合评分明细表》的规则进行加分。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7"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8</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磋商情况公告</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bookmarkStart w:id="15" w:name="PO_默认文件内容_15"/>
            <w:r>
              <w:rPr>
                <w:rFonts w:hint="eastAsia" w:ascii="宋体" w:hAnsi="宋体" w:eastAsia="宋体" w:cs="宋体"/>
                <w:sz w:val="24"/>
                <w:szCs w:val="24"/>
                <w:highlight w:val="none"/>
                <w:lang w:val="zh-CN"/>
              </w:rPr>
              <w:t>供应商资格审查情况、磋商情况、报价情况、磋商结果等在四川政府采购网上采购结果公告栏中予以公告。</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9</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磋商保证金</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本项目无需缴纳</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保证金</w:t>
            </w:r>
            <w:r>
              <w:rPr>
                <w:rFonts w:hint="eastAsia" w:cs="宋体"/>
                <w:sz w:val="24"/>
                <w:szCs w:val="24"/>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履约保证金</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eastAsia="zh-CN"/>
              </w:rPr>
            </w:pPr>
            <w:r>
              <w:rPr>
                <w:rFonts w:hint="eastAsia" w:ascii="Times New Roman" w:hAnsi="Times New Roman" w:cs="Times New Roman"/>
                <w:highlight w:val="none"/>
                <w:lang w:val="en-US"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bCs/>
                <w:sz w:val="24"/>
                <w:szCs w:val="24"/>
                <w:highlight w:val="none"/>
              </w:rPr>
              <w:t>磋商</w:t>
            </w:r>
            <w:r>
              <w:rPr>
                <w:rFonts w:hint="eastAsia" w:ascii="宋体" w:hAnsi="宋体" w:eastAsia="宋体" w:cs="宋体"/>
                <w:sz w:val="24"/>
                <w:szCs w:val="24"/>
                <w:highlight w:val="none"/>
                <w:lang w:val="zh-CN"/>
              </w:rPr>
              <w:t>文件咨询</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w:t>
            </w:r>
            <w:r>
              <w:rPr>
                <w:rFonts w:hint="eastAsia"/>
                <w:sz w:val="24"/>
                <w:highlight w:val="none"/>
                <w:lang w:eastAsia="zh-CN"/>
              </w:rPr>
              <w:t>王女士</w:t>
            </w:r>
            <w:r>
              <w:rPr>
                <w:rFonts w:hint="eastAsia" w:ascii="宋体" w:hAnsi="宋体" w:eastAsia="宋体" w:cs="宋体"/>
                <w:sz w:val="24"/>
                <w:szCs w:val="24"/>
                <w:highlight w:val="none"/>
                <w:lang w:val="zh-CN"/>
              </w:rPr>
              <w:t xml:space="preserve">    </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联系电话：028-</w:t>
            </w:r>
            <w:r>
              <w:rPr>
                <w:rFonts w:hint="eastAsia" w:ascii="宋体" w:hAnsi="宋体" w:eastAsia="宋体" w:cs="宋体"/>
                <w:sz w:val="24"/>
                <w:szCs w:val="24"/>
                <w:highlight w:val="none"/>
                <w:lang w:val="en-US" w:eastAsia="zh-CN"/>
              </w:rPr>
              <w:t>87456828</w:t>
            </w:r>
            <w:r>
              <w:rPr>
                <w:rFonts w:hint="eastAsia" w:ascii="宋体" w:hAnsi="宋体" w:eastAsia="宋体" w:cs="宋体"/>
                <w:sz w:val="24"/>
                <w:szCs w:val="24"/>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4"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磋商过程、结果工作咨询</w:t>
            </w:r>
          </w:p>
        </w:tc>
        <w:tc>
          <w:tcPr>
            <w:tcW w:w="7280" w:type="dxa"/>
            <w:vAlign w:val="center"/>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w:t>
            </w:r>
            <w:r>
              <w:rPr>
                <w:rFonts w:hint="eastAsia"/>
                <w:sz w:val="24"/>
                <w:highlight w:val="none"/>
                <w:lang w:eastAsia="zh-CN"/>
              </w:rPr>
              <w:t>王女士</w:t>
            </w:r>
            <w:r>
              <w:rPr>
                <w:rFonts w:hint="eastAsia" w:ascii="宋体" w:hAnsi="宋体" w:eastAsia="宋体" w:cs="宋体"/>
                <w:sz w:val="24"/>
                <w:szCs w:val="24"/>
                <w:highlight w:val="none"/>
                <w:lang w:val="zh-CN"/>
              </w:rPr>
              <w:t xml:space="preserve">     </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联系电话：028-</w:t>
            </w:r>
            <w:r>
              <w:rPr>
                <w:rFonts w:hint="eastAsia" w:ascii="宋体" w:hAnsi="宋体" w:eastAsia="宋体" w:cs="宋体"/>
                <w:sz w:val="24"/>
                <w:szCs w:val="24"/>
                <w:highlight w:val="none"/>
                <w:lang w:val="en-US" w:eastAsia="zh-CN"/>
              </w:rPr>
              <w:t>87456828</w:t>
            </w:r>
            <w:r>
              <w:rPr>
                <w:rFonts w:hint="eastAsia" w:ascii="宋体" w:hAnsi="宋体" w:eastAsia="宋体" w:cs="宋体"/>
                <w:sz w:val="24"/>
                <w:szCs w:val="24"/>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成交通知书领取</w:t>
            </w:r>
          </w:p>
        </w:tc>
        <w:tc>
          <w:tcPr>
            <w:tcW w:w="7280" w:type="dxa"/>
            <w:vAlign w:val="center"/>
          </w:tcPr>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bookmarkStart w:id="16" w:name="PO_默认文件内容_18"/>
            <w:r>
              <w:rPr>
                <w:rFonts w:hint="eastAsia" w:ascii="宋体" w:hAnsi="宋体" w:eastAsia="宋体" w:cs="宋体"/>
                <w:sz w:val="24"/>
                <w:szCs w:val="24"/>
                <w:highlight w:val="none"/>
                <w:lang w:val="zh-CN"/>
              </w:rPr>
              <w:t>采购结果公告在四川政府采购网上发布后，请成交供应商凭有效身份证明证件到采购代理机构领取成交通知书。</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 系 人：粟女士。</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联系电话：028-87654015  </w:t>
            </w:r>
          </w:p>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    址：成都市高新区盛和一路88号康普雷斯1栋1单元701</w:t>
            </w:r>
            <w:r>
              <w:rPr>
                <w:rFonts w:hint="eastAsia" w:cs="宋体"/>
                <w:sz w:val="24"/>
                <w:szCs w:val="24"/>
                <w:highlight w:val="none"/>
                <w:lang w:val="en-US" w:eastAsia="zh-CN"/>
              </w:rPr>
              <w:t>-1</w:t>
            </w:r>
            <w:r>
              <w:rPr>
                <w:rFonts w:hint="eastAsia" w:ascii="宋体" w:hAnsi="宋体" w:eastAsia="宋体" w:cs="宋体"/>
                <w:sz w:val="24"/>
                <w:szCs w:val="24"/>
                <w:highlight w:val="none"/>
                <w:lang w:val="zh-CN"/>
              </w:rPr>
              <w:t>号。</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94"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623" w:type="dxa"/>
            <w:vAlign w:val="center"/>
          </w:tcPr>
          <w:p>
            <w:pPr>
              <w:pStyle w:val="52"/>
              <w:pageBreakBefore w:val="0"/>
              <w:kinsoku/>
              <w:wordWrap/>
              <w:overflowPunct/>
              <w:topLinePunct w:val="0"/>
              <w:bidi w:val="0"/>
              <w:spacing w:line="360" w:lineRule="auto"/>
              <w:ind w:left="38"/>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供应商咨询、询问、质疑供应商质疑</w:t>
            </w:r>
          </w:p>
        </w:tc>
        <w:tc>
          <w:tcPr>
            <w:tcW w:w="7280" w:type="dxa"/>
          </w:tcPr>
          <w:p>
            <w:pPr>
              <w:pStyle w:val="52"/>
              <w:pageBreakBefore w:val="0"/>
              <w:kinsoku/>
              <w:wordWrap/>
              <w:overflowPunct/>
              <w:topLinePunct w:val="0"/>
              <w:bidi w:val="0"/>
              <w:spacing w:line="360" w:lineRule="auto"/>
              <w:ind w:firstLine="240" w:firstLineChars="1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对于采购文件中资格要求、技术/服务要求、商务要求、评分细则的质疑由采购人负责答复；对于采购过程由四川三盈招标代理有限公司负责答复；对于采购结果由四川三盈招标代理有限公司负责答复。</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cs="宋体"/>
                <w:sz w:val="24"/>
                <w:szCs w:val="24"/>
                <w:highlight w:val="none"/>
                <w:lang w:val="zh-CN"/>
              </w:rPr>
              <w:t>成都东部新区玉成街道办事处</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联系人：</w:t>
            </w:r>
            <w:r>
              <w:rPr>
                <w:rFonts w:hint="eastAsia" w:cs="宋体"/>
                <w:sz w:val="24"/>
                <w:szCs w:val="24"/>
                <w:highlight w:val="none"/>
                <w:lang w:val="en-US" w:eastAsia="zh-CN"/>
              </w:rPr>
              <w:t>周老师</w:t>
            </w:r>
          </w:p>
          <w:p>
            <w:pPr>
              <w:pStyle w:val="52"/>
              <w:pageBreakBefore w:val="0"/>
              <w:kinsoku/>
              <w:wordWrap/>
              <w:overflowPunct/>
              <w:topLinePunct w:val="0"/>
              <w:bidi w:val="0"/>
              <w:spacing w:line="360" w:lineRule="auto"/>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联系电话：</w:t>
            </w:r>
            <w:r>
              <w:rPr>
                <w:rFonts w:hint="eastAsia"/>
                <w:sz w:val="24"/>
                <w:highlight w:val="none"/>
                <w:lang w:val="en-US" w:eastAsia="zh-CN"/>
              </w:rPr>
              <w:t xml:space="preserve">028-27861131           </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地址：</w:t>
            </w:r>
            <w:r>
              <w:rPr>
                <w:rFonts w:hint="eastAsia"/>
                <w:sz w:val="24"/>
                <w:highlight w:val="none"/>
                <w:lang w:val="zh-CN"/>
              </w:rPr>
              <w:t xml:space="preserve">玉成街道利民街143号 </w:t>
            </w:r>
            <w:r>
              <w:rPr>
                <w:rFonts w:hint="eastAsia" w:ascii="宋体" w:hAnsi="宋体" w:eastAsia="宋体" w:cs="宋体"/>
                <w:sz w:val="24"/>
                <w:szCs w:val="24"/>
                <w:highlight w:val="none"/>
                <w:lang w:val="zh-CN"/>
              </w:rPr>
              <w:t xml:space="preserve"> </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四川三盈招标代理有限公司</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联系人：</w:t>
            </w:r>
            <w:r>
              <w:rPr>
                <w:rFonts w:hint="eastAsia" w:cs="宋体"/>
                <w:sz w:val="24"/>
                <w:szCs w:val="24"/>
                <w:highlight w:val="none"/>
                <w:lang w:val="en-US" w:eastAsia="zh-CN"/>
              </w:rPr>
              <w:t>王女士</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联系电话：0</w:t>
            </w:r>
            <w:r>
              <w:rPr>
                <w:rFonts w:hint="eastAsia" w:ascii="宋体" w:hAnsi="宋体"/>
                <w:sz w:val="24"/>
                <w:highlight w:val="none"/>
                <w:lang w:val="zh-CN"/>
              </w:rPr>
              <w:t>28-87</w:t>
            </w:r>
            <w:r>
              <w:rPr>
                <w:rFonts w:hint="eastAsia" w:ascii="宋体" w:hAnsi="宋体"/>
                <w:sz w:val="24"/>
                <w:highlight w:val="none"/>
                <w:lang w:val="en-US" w:eastAsia="zh-CN"/>
              </w:rPr>
              <w:t>456828</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地址：成都市高新区盛和一路88号康普雷斯1栋1单元701</w:t>
            </w:r>
            <w:r>
              <w:rPr>
                <w:rFonts w:hint="eastAsia" w:cs="宋体"/>
                <w:sz w:val="24"/>
                <w:szCs w:val="24"/>
                <w:highlight w:val="none"/>
                <w:lang w:val="en-US" w:eastAsia="zh-CN"/>
              </w:rPr>
              <w:t>-1</w:t>
            </w:r>
            <w:r>
              <w:rPr>
                <w:rFonts w:hint="eastAsia" w:ascii="宋体" w:hAnsi="宋体" w:eastAsia="宋体" w:cs="宋体"/>
                <w:sz w:val="24"/>
                <w:szCs w:val="24"/>
                <w:highlight w:val="none"/>
                <w:lang w:val="zh-CN"/>
              </w:rPr>
              <w:t>号。</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邮编：610000</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注：1、根据《中华人民共和国政府采购法》的规定，供应商质疑不得超出磋商文件、磋商过程、磋商结果的范围。</w:t>
            </w:r>
          </w:p>
          <w:p>
            <w:pPr>
              <w:pStyle w:val="52"/>
              <w:pageBreakBefore w:val="0"/>
              <w:kinsoku/>
              <w:wordWrap/>
              <w:overflowPunct/>
              <w:topLinePunct w:val="0"/>
              <w:bidi w:val="0"/>
              <w:spacing w:line="360" w:lineRule="auto"/>
              <w:ind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2、供应商须在法定质疑期内一次性提出针对同一磋商程序环节的质疑。不得超出磋商文件、磋商过程、磋商结果的范围。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42"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623" w:type="dxa"/>
            <w:vAlign w:val="center"/>
          </w:tcPr>
          <w:p>
            <w:pPr>
              <w:pStyle w:val="52"/>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供应商投诉</w:t>
            </w:r>
          </w:p>
        </w:tc>
        <w:tc>
          <w:tcPr>
            <w:tcW w:w="7280" w:type="dxa"/>
            <w:vAlign w:val="center"/>
          </w:tcPr>
          <w:p>
            <w:pPr>
              <w:spacing w:line="360" w:lineRule="auto"/>
              <w:ind w:left="0" w:leftChars="0" w:right="120" w:rightChars="50" w:firstLine="0" w:firstLineChars="0"/>
              <w:jc w:val="left"/>
              <w:rPr>
                <w:rFonts w:hint="eastAsia" w:ascii="宋体" w:hAnsi="宋体"/>
                <w:sz w:val="24"/>
                <w:highlight w:val="none"/>
              </w:rPr>
            </w:pPr>
            <w:r>
              <w:rPr>
                <w:rFonts w:hint="eastAsia" w:ascii="宋体" w:hAnsi="宋体"/>
                <w:sz w:val="24"/>
                <w:highlight w:val="none"/>
              </w:rPr>
              <w:t>投诉受理单位：本采购项目同级财政部门，即省级为四川省财政厅，市州级为各市州财政局，区县为各区县财政局</w:t>
            </w:r>
            <w:r>
              <w:rPr>
                <w:rFonts w:hint="eastAsia" w:ascii="宋体" w:hAnsi="宋体"/>
                <w:sz w:val="24"/>
                <w:highlight w:val="none"/>
                <w:lang w:val="zh-CN"/>
              </w:rPr>
              <w:t>。</w:t>
            </w:r>
            <w:r>
              <w:rPr>
                <w:rFonts w:hint="eastAsia" w:ascii="宋体" w:hAnsi="宋体"/>
                <w:sz w:val="24"/>
                <w:highlight w:val="none"/>
              </w:rPr>
              <w:t xml:space="preserve"> </w:t>
            </w:r>
          </w:p>
          <w:p>
            <w:pPr>
              <w:spacing w:line="360" w:lineRule="auto"/>
              <w:ind w:left="0" w:leftChars="0" w:right="120" w:rightChars="50" w:firstLine="0" w:firstLineChars="0"/>
              <w:rPr>
                <w:rFonts w:hint="eastAsia" w:ascii="宋体" w:hAnsi="宋体"/>
                <w:sz w:val="24"/>
                <w:highlight w:val="none"/>
              </w:rPr>
            </w:pPr>
            <w:r>
              <w:rPr>
                <w:rFonts w:hint="eastAsia" w:ascii="宋体" w:hAnsi="宋体"/>
                <w:sz w:val="24"/>
                <w:highlight w:val="none"/>
                <w:lang w:val="zh-CN"/>
              </w:rPr>
              <w:t>本项目即</w:t>
            </w:r>
            <w:r>
              <w:rPr>
                <w:rFonts w:hint="eastAsia" w:ascii="宋体" w:hAnsi="宋体"/>
                <w:sz w:val="24"/>
                <w:highlight w:val="none"/>
                <w:lang w:val="zh-CN" w:eastAsia="zh-CN"/>
              </w:rPr>
              <w:t>成都东部新区党工委管委会(成都市东部新城办) 财政金融局</w:t>
            </w:r>
            <w:r>
              <w:rPr>
                <w:rFonts w:hint="eastAsia" w:ascii="宋体" w:hAnsi="宋体"/>
                <w:sz w:val="24"/>
                <w:highlight w:val="none"/>
                <w:lang w:val="zh-CN"/>
              </w:rPr>
              <w:t>。</w:t>
            </w:r>
            <w:r>
              <w:rPr>
                <w:rFonts w:hint="eastAsia" w:ascii="宋体" w:hAnsi="宋体"/>
                <w:sz w:val="24"/>
                <w:highlight w:val="none"/>
              </w:rPr>
              <w:t xml:space="preserve"> </w:t>
            </w:r>
          </w:p>
          <w:p>
            <w:pPr>
              <w:spacing w:line="360" w:lineRule="auto"/>
              <w:ind w:left="0" w:leftChars="0" w:right="120" w:rightChars="50" w:firstLine="0" w:firstLineChars="0"/>
              <w:jc w:val="left"/>
              <w:rPr>
                <w:rFonts w:hint="default" w:ascii="宋体" w:hAnsi="宋体" w:eastAsia="宋体"/>
                <w:sz w:val="24"/>
                <w:highlight w:val="none"/>
                <w:lang w:val="en-US" w:eastAsia="zh-CN"/>
              </w:rPr>
            </w:pPr>
            <w:r>
              <w:rPr>
                <w:rFonts w:hint="eastAsia" w:ascii="宋体" w:hAnsi="宋体"/>
                <w:sz w:val="24"/>
                <w:highlight w:val="none"/>
                <w:lang w:val="zh-CN"/>
              </w:rPr>
              <w:t>联系电话：</w:t>
            </w:r>
            <w:r>
              <w:rPr>
                <w:rFonts w:hint="eastAsia" w:ascii="宋体" w:hAnsi="宋体"/>
                <w:sz w:val="24"/>
                <w:highlight w:val="none"/>
                <w:lang w:val="zh-CN" w:eastAsia="zh-CN"/>
              </w:rPr>
              <w:t>028-86360129</w:t>
            </w:r>
          </w:p>
          <w:p>
            <w:pPr>
              <w:pStyle w:val="52"/>
              <w:pageBreakBefore w:val="0"/>
              <w:kinsoku/>
              <w:wordWrap/>
              <w:overflowPunct/>
              <w:topLinePunct w:val="0"/>
              <w:bidi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联系电话，地址等可在四川政府采购网上查询。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3"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623" w:type="dxa"/>
            <w:vAlign w:val="center"/>
          </w:tcPr>
          <w:p>
            <w:pPr>
              <w:pStyle w:val="52"/>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政府采购合同</w:t>
            </w:r>
          </w:p>
          <w:p>
            <w:pPr>
              <w:pStyle w:val="52"/>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公告备案</w:t>
            </w:r>
          </w:p>
        </w:tc>
        <w:tc>
          <w:tcPr>
            <w:tcW w:w="7280" w:type="dxa"/>
            <w:vAlign w:val="center"/>
          </w:tcPr>
          <w:p>
            <w:pPr>
              <w:pStyle w:val="52"/>
              <w:pageBreakBefore w:val="0"/>
              <w:kinsoku/>
              <w:wordWrap/>
              <w:overflowPunct/>
              <w:topLinePunct w:val="0"/>
              <w:bidi w:val="0"/>
              <w:spacing w:line="360" w:lineRule="auto"/>
              <w:rPr>
                <w:rFonts w:hint="eastAsia" w:ascii="宋体" w:hAnsi="宋体" w:eastAsia="宋体" w:cs="宋体"/>
                <w:sz w:val="24"/>
                <w:szCs w:val="24"/>
                <w:highlight w:val="none"/>
                <w:lang w:val="zh-CN"/>
              </w:rPr>
            </w:pPr>
            <w:bookmarkStart w:id="17" w:name="PO_默认文件内容_20"/>
            <w:r>
              <w:rPr>
                <w:rFonts w:hint="eastAsia" w:ascii="宋体" w:hAnsi="宋体" w:eastAsia="宋体" w:cs="宋体"/>
                <w:sz w:val="24"/>
                <w:szCs w:val="24"/>
                <w:highlight w:val="none"/>
                <w:lang w:val="zh-CN"/>
              </w:rPr>
              <w:t>政府采购合同签订之日起2个工作日内，政府采购合同将在四川政府采购网公告；政府采购合同签订之日起七个工作日内，政府采购合同将向采购项目同级财政部门备案。</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623" w:type="dxa"/>
            <w:vAlign w:val="center"/>
          </w:tcPr>
          <w:p>
            <w:pPr>
              <w:pStyle w:val="52"/>
              <w:pageBreakBefore w:val="0"/>
              <w:kinsoku/>
              <w:wordWrap/>
              <w:overflowPunct/>
              <w:topLinePunct w:val="0"/>
              <w:bidi w:val="0"/>
              <w:spacing w:line="360" w:lineRule="auto"/>
              <w:ind w:left="96"/>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成交服务费</w:t>
            </w:r>
          </w:p>
        </w:tc>
        <w:tc>
          <w:tcPr>
            <w:tcW w:w="7280" w:type="dxa"/>
            <w:vAlign w:val="center"/>
          </w:tcPr>
          <w:p>
            <w:pPr>
              <w:pStyle w:val="52"/>
              <w:pageBreakBefore w:val="0"/>
              <w:kinsoku/>
              <w:wordWrap/>
              <w:overflowPunct/>
              <w:topLinePunct w:val="0"/>
              <w:bidi w:val="0"/>
              <w:spacing w:afterAutospacing="0" w:line="360" w:lineRule="auto"/>
              <w:ind w:left="178" w:leftChars="74" w:firstLine="302" w:firstLineChars="126"/>
              <w:jc w:val="both"/>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根据《四川省政府采购营商环境指标提升专项行动工作方案》中“成本+合理利润”原则，以</w:t>
            </w:r>
            <w:r>
              <w:rPr>
                <w:rFonts w:hint="eastAsia" w:ascii="宋体" w:hAnsi="宋体" w:eastAsia="宋体" w:cs="宋体"/>
                <w:kern w:val="0"/>
                <w:sz w:val="24"/>
                <w:szCs w:val="24"/>
                <w:highlight w:val="none"/>
                <w:lang w:val="en-US" w:eastAsia="zh-CN" w:bidi="ar-SA"/>
              </w:rPr>
              <w:t>预算</w:t>
            </w:r>
            <w:r>
              <w:rPr>
                <w:rFonts w:hint="eastAsia" w:ascii="宋体" w:hAnsi="宋体" w:eastAsia="宋体" w:cs="宋体"/>
                <w:kern w:val="0"/>
                <w:sz w:val="24"/>
                <w:szCs w:val="24"/>
                <w:highlight w:val="none"/>
                <w:lang w:val="zh-CN" w:eastAsia="zh-CN" w:bidi="ar-SA"/>
              </w:rPr>
              <w:t>金额作为计算基数, 按下列收费标准向</w:t>
            </w:r>
            <w:r>
              <w:rPr>
                <w:rFonts w:hint="eastAsia" w:ascii="宋体" w:hAnsi="宋体" w:eastAsia="宋体" w:cs="宋体"/>
                <w:kern w:val="0"/>
                <w:sz w:val="24"/>
                <w:szCs w:val="24"/>
                <w:highlight w:val="none"/>
                <w:lang w:val="en-US" w:eastAsia="zh-CN" w:bidi="ar-SA"/>
              </w:rPr>
              <w:t>成交</w:t>
            </w:r>
            <w:r>
              <w:rPr>
                <w:rFonts w:hint="eastAsia" w:ascii="宋体" w:hAnsi="宋体" w:eastAsia="宋体" w:cs="宋体"/>
                <w:kern w:val="0"/>
                <w:sz w:val="24"/>
                <w:szCs w:val="24"/>
                <w:highlight w:val="none"/>
                <w:lang w:val="zh-CN" w:eastAsia="zh-CN" w:bidi="ar-SA"/>
              </w:rPr>
              <w:t>供应商收取</w:t>
            </w:r>
            <w:r>
              <w:rPr>
                <w:rFonts w:hint="eastAsia" w:cs="宋体"/>
                <w:kern w:val="0"/>
                <w:sz w:val="24"/>
                <w:szCs w:val="24"/>
                <w:highlight w:val="none"/>
                <w:lang w:val="en-US" w:eastAsia="zh-CN" w:bidi="ar-SA"/>
              </w:rPr>
              <w:t>每年代理服务费</w:t>
            </w:r>
            <w:r>
              <w:rPr>
                <w:rFonts w:hint="eastAsia" w:ascii="宋体" w:hAnsi="宋体" w:eastAsia="宋体" w:cs="宋体"/>
                <w:kern w:val="0"/>
                <w:sz w:val="24"/>
                <w:szCs w:val="24"/>
                <w:highlight w:val="none"/>
                <w:lang w:val="zh-CN" w:eastAsia="zh-CN" w:bidi="ar-SA"/>
              </w:rPr>
              <w:t>。</w:t>
            </w:r>
            <w:r>
              <w:rPr>
                <w:rFonts w:hint="eastAsia" w:ascii="宋体" w:hAnsi="宋体" w:eastAsia="宋体" w:cs="宋体"/>
                <w:b/>
                <w:bCs/>
                <w:sz w:val="24"/>
                <w:szCs w:val="24"/>
                <w:highlight w:val="none"/>
                <w:lang w:val="zh-CN"/>
              </w:rPr>
              <w:t>（付款时注明项目编号、包号，以便登记、查询。）</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991"/>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en-US" w:eastAsia="zh-CN"/>
                    </w:rPr>
                    <w:t>预算</w:t>
                  </w:r>
                  <w:r>
                    <w:rPr>
                      <w:rFonts w:hint="eastAsia" w:ascii="仿宋" w:hAnsi="仿宋" w:eastAsia="仿宋" w:cs="Courier New"/>
                      <w:kern w:val="2"/>
                      <w:sz w:val="18"/>
                      <w:szCs w:val="18"/>
                      <w:highlight w:val="none"/>
                      <w:lang w:val="zh-CN"/>
                    </w:rPr>
                    <w:t>金额（万元）</w:t>
                  </w:r>
                </w:p>
              </w:tc>
              <w:tc>
                <w:tcPr>
                  <w:tcW w:w="991" w:type="dxa"/>
                  <w:tcBorders>
                    <w:top w:val="single" w:color="auto" w:sz="4" w:space="0"/>
                    <w:left w:val="single" w:color="auto" w:sz="4" w:space="0"/>
                    <w:bottom w:val="single" w:color="auto" w:sz="4" w:space="0"/>
                    <w:right w:val="single" w:color="auto" w:sz="4" w:space="0"/>
                  </w:tcBorders>
                  <w:noWrap w:val="0"/>
                  <w:vAlign w:val="center"/>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货物类</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服务类</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100以下</w:t>
                  </w:r>
                </w:p>
              </w:tc>
              <w:tc>
                <w:tcPr>
                  <w:tcW w:w="991"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1.5%</w:t>
                  </w:r>
                </w:p>
              </w:tc>
              <w:tc>
                <w:tcPr>
                  <w:tcW w:w="1477"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1.5%</w:t>
                  </w:r>
                </w:p>
              </w:tc>
              <w:tc>
                <w:tcPr>
                  <w:tcW w:w="1478"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100-500</w:t>
                  </w:r>
                </w:p>
              </w:tc>
              <w:tc>
                <w:tcPr>
                  <w:tcW w:w="991"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1.1%</w:t>
                  </w:r>
                </w:p>
              </w:tc>
              <w:tc>
                <w:tcPr>
                  <w:tcW w:w="1477"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0.8%</w:t>
                  </w:r>
                </w:p>
              </w:tc>
              <w:tc>
                <w:tcPr>
                  <w:tcW w:w="1478"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500-1000</w:t>
                  </w:r>
                </w:p>
              </w:tc>
              <w:tc>
                <w:tcPr>
                  <w:tcW w:w="991"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0.8%</w:t>
                  </w:r>
                </w:p>
              </w:tc>
              <w:tc>
                <w:tcPr>
                  <w:tcW w:w="1477"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0.45%</w:t>
                  </w:r>
                </w:p>
              </w:tc>
              <w:tc>
                <w:tcPr>
                  <w:tcW w:w="1478"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1000-5000</w:t>
                  </w:r>
                </w:p>
              </w:tc>
              <w:tc>
                <w:tcPr>
                  <w:tcW w:w="991"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0.5%</w:t>
                  </w:r>
                </w:p>
              </w:tc>
              <w:tc>
                <w:tcPr>
                  <w:tcW w:w="1477"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0.25%</w:t>
                  </w:r>
                </w:p>
              </w:tc>
              <w:tc>
                <w:tcPr>
                  <w:tcW w:w="1478"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5000-10000</w:t>
                  </w:r>
                </w:p>
              </w:tc>
              <w:tc>
                <w:tcPr>
                  <w:tcW w:w="991"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0.25%</w:t>
                  </w:r>
                </w:p>
              </w:tc>
              <w:tc>
                <w:tcPr>
                  <w:tcW w:w="1477"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0.1%</w:t>
                  </w:r>
                </w:p>
              </w:tc>
              <w:tc>
                <w:tcPr>
                  <w:tcW w:w="1478"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10000-100000</w:t>
                  </w:r>
                </w:p>
              </w:tc>
              <w:tc>
                <w:tcPr>
                  <w:tcW w:w="991"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0.05%</w:t>
                  </w:r>
                </w:p>
              </w:tc>
              <w:tc>
                <w:tcPr>
                  <w:tcW w:w="1477"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0.05%</w:t>
                  </w:r>
                </w:p>
              </w:tc>
              <w:tc>
                <w:tcPr>
                  <w:tcW w:w="1478"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1000000以上</w:t>
                  </w:r>
                </w:p>
              </w:tc>
              <w:tc>
                <w:tcPr>
                  <w:tcW w:w="991"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0.01%</w:t>
                  </w:r>
                </w:p>
              </w:tc>
              <w:tc>
                <w:tcPr>
                  <w:tcW w:w="1477"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0.01%</w:t>
                  </w:r>
                </w:p>
              </w:tc>
              <w:tc>
                <w:tcPr>
                  <w:tcW w:w="1478" w:type="dxa"/>
                  <w:tcBorders>
                    <w:top w:val="single" w:color="auto" w:sz="4" w:space="0"/>
                    <w:left w:val="single" w:color="auto" w:sz="4" w:space="0"/>
                    <w:bottom w:val="single" w:color="auto" w:sz="4" w:space="0"/>
                    <w:right w:val="single" w:color="auto" w:sz="4" w:space="0"/>
                  </w:tcBorders>
                  <w:noWrap w:val="0"/>
                  <w:vAlign w:val="top"/>
                </w:tcPr>
                <w:p>
                  <w:pPr>
                    <w:pStyle w:val="52"/>
                    <w:rPr>
                      <w:rFonts w:ascii="仿宋" w:hAnsi="仿宋" w:eastAsia="仿宋" w:cs="Courier New"/>
                      <w:kern w:val="2"/>
                      <w:sz w:val="18"/>
                      <w:szCs w:val="18"/>
                      <w:highlight w:val="none"/>
                      <w:lang w:val="zh-CN"/>
                    </w:rPr>
                  </w:pPr>
                  <w:r>
                    <w:rPr>
                      <w:rFonts w:hint="eastAsia" w:ascii="仿宋" w:hAnsi="仿宋" w:eastAsia="仿宋" w:cs="Courier New"/>
                      <w:kern w:val="2"/>
                      <w:sz w:val="18"/>
                      <w:szCs w:val="18"/>
                      <w:highlight w:val="none"/>
                      <w:lang w:val="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260" w:type="dxa"/>
                  <w:gridSpan w:val="4"/>
                  <w:tcBorders>
                    <w:top w:val="single" w:color="auto" w:sz="4" w:space="0"/>
                    <w:left w:val="single" w:color="auto" w:sz="4" w:space="0"/>
                    <w:bottom w:val="single" w:color="auto" w:sz="4" w:space="0"/>
                    <w:right w:val="single" w:color="auto" w:sz="4" w:space="0"/>
                  </w:tcBorders>
                  <w:noWrap w:val="0"/>
                  <w:vAlign w:val="top"/>
                </w:tcPr>
                <w:p>
                  <w:pPr>
                    <w:pStyle w:val="52"/>
                    <w:rPr>
                      <w:rFonts w:hint="eastAsia" w:ascii="仿宋" w:hAnsi="仿宋" w:eastAsia="仿宋" w:cs="Courier New"/>
                      <w:kern w:val="2"/>
                      <w:sz w:val="18"/>
                      <w:szCs w:val="18"/>
                      <w:highlight w:val="none"/>
                      <w:lang w:val="zh-CN"/>
                    </w:rPr>
                  </w:pPr>
                  <w:r>
                    <w:rPr>
                      <w:rFonts w:hint="eastAsia" w:ascii="仿宋" w:hAnsi="仿宋" w:eastAsia="仿宋" w:cs="Courier New"/>
                      <w:kern w:val="2"/>
                      <w:sz w:val="20"/>
                      <w:szCs w:val="20"/>
                      <w:highlight w:val="none"/>
                      <w:lang w:val="zh-CN"/>
                    </w:rPr>
                    <w:t>代理服务收费按差额定率累进法计算</w:t>
                  </w:r>
                </w:p>
              </w:tc>
            </w:tr>
          </w:tbl>
          <w:p>
            <w:pPr>
              <w:pStyle w:val="65"/>
              <w:spacing w:before="0" w:beforeAutospacing="0" w:afterAutospacing="0" w:line="360" w:lineRule="auto"/>
              <w:ind w:left="0" w:leftChars="0" w:right="57" w:firstLine="0" w:firstLineChars="0"/>
              <w:jc w:val="left"/>
              <w:rPr>
                <w:rFonts w:hint="eastAsia" w:ascii="宋体" w:hAnsi="宋体" w:eastAsia="宋体" w:cs="宋体"/>
                <w:sz w:val="24"/>
                <w:highlight w:val="none"/>
                <w:lang w:val="zh-CN" w:eastAsia="zh-CN" w:bidi="ar-SA"/>
              </w:rPr>
            </w:pPr>
            <w:r>
              <w:rPr>
                <w:rFonts w:hint="eastAsia" w:ascii="宋体" w:hAnsi="宋体" w:eastAsia="宋体" w:cs="宋体"/>
                <w:sz w:val="24"/>
                <w:highlight w:val="none"/>
                <w:lang w:val="zh-CN" w:eastAsia="zh-CN" w:bidi="ar-SA"/>
              </w:rPr>
              <w:t>收款单位：四川三盈招标代理有限公司</w:t>
            </w:r>
          </w:p>
          <w:p>
            <w:pPr>
              <w:pStyle w:val="65"/>
              <w:spacing w:before="0" w:beforeAutospacing="0" w:line="360" w:lineRule="auto"/>
              <w:ind w:left="0" w:leftChars="0" w:right="57" w:firstLine="0" w:firstLineChars="0"/>
              <w:jc w:val="left"/>
              <w:rPr>
                <w:rFonts w:hint="eastAsia" w:ascii="宋体" w:hAnsi="宋体" w:eastAsia="宋体" w:cs="宋体"/>
                <w:sz w:val="24"/>
                <w:highlight w:val="none"/>
                <w:lang w:val="zh-CN" w:eastAsia="zh-CN" w:bidi="ar-SA"/>
              </w:rPr>
            </w:pPr>
            <w:r>
              <w:rPr>
                <w:rFonts w:hint="eastAsia" w:ascii="宋体" w:hAnsi="宋体" w:eastAsia="宋体" w:cs="宋体"/>
                <w:sz w:val="24"/>
                <w:highlight w:val="none"/>
                <w:lang w:val="zh-CN" w:eastAsia="zh-CN" w:bidi="ar-SA"/>
              </w:rPr>
              <w:t>开 户 行：工行成都高新天仁路支行</w:t>
            </w:r>
          </w:p>
          <w:p>
            <w:pPr>
              <w:pStyle w:val="52"/>
              <w:pageBreakBefore w:val="0"/>
              <w:kinsoku/>
              <w:wordWrap/>
              <w:overflowPunct/>
              <w:topLinePunct w:val="0"/>
              <w:bidi w:val="0"/>
              <w:spacing w:line="360" w:lineRule="auto"/>
              <w:jc w:val="both"/>
              <w:rPr>
                <w:rFonts w:hint="eastAsia" w:ascii="宋体" w:hAnsi="宋体" w:eastAsia="宋体" w:cs="宋体"/>
                <w:b/>
                <w:bCs/>
                <w:sz w:val="24"/>
                <w:szCs w:val="24"/>
                <w:highlight w:val="none"/>
                <w:lang w:val="zh-CN"/>
              </w:rPr>
            </w:pPr>
            <w:r>
              <w:rPr>
                <w:rFonts w:hint="eastAsia" w:ascii="宋体" w:hAnsi="宋体" w:eastAsia="宋体" w:cs="宋体"/>
                <w:sz w:val="24"/>
                <w:highlight w:val="none"/>
                <w:lang w:val="zh-CN" w:eastAsia="zh-CN" w:bidi="ar-SA"/>
              </w:rPr>
              <w:t>银行账号：4402 2394 1910 0022 932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2"/>
              <w:pageBreakBefore w:val="0"/>
              <w:kinsoku/>
              <w:wordWrap/>
              <w:overflowPunct/>
              <w:topLinePunct w:val="0"/>
              <w:bidi w:val="0"/>
              <w:spacing w:line="360" w:lineRule="auto"/>
              <w:ind w:right="23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cs="宋体"/>
                <w:sz w:val="24"/>
                <w:szCs w:val="24"/>
                <w:highlight w:val="none"/>
                <w:lang w:val="en-US" w:eastAsia="zh-CN"/>
              </w:rPr>
              <w:t>8</w:t>
            </w:r>
          </w:p>
        </w:tc>
        <w:tc>
          <w:tcPr>
            <w:tcW w:w="1623" w:type="dxa"/>
            <w:vAlign w:val="center"/>
          </w:tcPr>
          <w:p>
            <w:pPr>
              <w:pageBreakBefore w:val="0"/>
              <w:kinsoku/>
              <w:wordWrap/>
              <w:overflowPunct/>
              <w:topLinePunct w:val="0"/>
              <w:bidi w:val="0"/>
              <w:spacing w:line="360" w:lineRule="auto"/>
              <w:ind w:left="0" w:leftChars="0" w:firstLine="0" w:firstLineChars="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信用融资</w:t>
            </w:r>
          </w:p>
        </w:tc>
        <w:tc>
          <w:tcPr>
            <w:tcW w:w="7280" w:type="dxa"/>
            <w:vAlign w:val="center"/>
          </w:tcPr>
          <w:p>
            <w:pPr>
              <w:pStyle w:val="65"/>
              <w:pageBreakBefore w:val="0"/>
              <w:kinsoku/>
              <w:wordWrap/>
              <w:overflowPunct/>
              <w:topLinePunct w:val="0"/>
              <w:bidi w:val="0"/>
              <w:spacing w:before="0" w:beforeAutospacing="0" w:afterAutospacing="0" w:line="360" w:lineRule="auto"/>
              <w:ind w:left="107" w:right="57"/>
              <w:jc w:val="left"/>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供应商信用融资： 本项目可开展信用贷款融资：</w:t>
            </w:r>
          </w:p>
          <w:p>
            <w:pPr>
              <w:pStyle w:val="65"/>
              <w:pageBreakBefore w:val="0"/>
              <w:numPr>
                <w:ilvl w:val="0"/>
                <w:numId w:val="2"/>
              </w:numPr>
              <w:kinsoku/>
              <w:wordWrap/>
              <w:overflowPunct/>
              <w:topLinePunct w:val="0"/>
              <w:bidi w:val="0"/>
              <w:spacing w:before="0" w:beforeAutospacing="0" w:line="360" w:lineRule="auto"/>
              <w:ind w:left="107" w:right="57"/>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zh-CN" w:eastAsia="zh-CN" w:bidi="ar-S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w:t>
            </w:r>
            <w:r>
              <w:rPr>
                <w:rFonts w:hint="eastAsia" w:ascii="宋体" w:hAnsi="宋体" w:eastAsia="宋体" w:cs="宋体"/>
                <w:sz w:val="24"/>
                <w:szCs w:val="24"/>
                <w:highlight w:val="none"/>
                <w:lang w:val="en-US" w:eastAsia="zh-CN" w:bidi="ar-SA"/>
              </w:rPr>
              <w:t>磋商</w:t>
            </w:r>
            <w:r>
              <w:rPr>
                <w:rFonts w:hint="eastAsia" w:ascii="宋体" w:hAnsi="宋体" w:eastAsia="宋体" w:cs="宋体"/>
                <w:sz w:val="24"/>
                <w:szCs w:val="24"/>
                <w:highlight w:val="none"/>
                <w:lang w:val="zh-CN" w:eastAsia="zh-CN" w:bidi="ar-SA"/>
              </w:rPr>
              <w:t>文件投标人须知）</w:t>
            </w:r>
          </w:p>
          <w:p>
            <w:pPr>
              <w:pStyle w:val="65"/>
              <w:pageBreakBefore w:val="0"/>
              <w:numPr>
                <w:ilvl w:val="0"/>
                <w:numId w:val="2"/>
              </w:numPr>
              <w:kinsoku/>
              <w:wordWrap/>
              <w:overflowPunct/>
              <w:topLinePunct w:val="0"/>
              <w:bidi w:val="0"/>
              <w:spacing w:before="0" w:beforeAutospacing="0" w:line="360" w:lineRule="auto"/>
              <w:ind w:left="107" w:leftChars="0" w:right="57" w:rightChars="0" w:firstLine="480" w:firstLineChars="200"/>
              <w:jc w:val="left"/>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 xml:space="preserve">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磋商文件供应商须知）。 </w:t>
            </w:r>
          </w:p>
          <w:p>
            <w:pPr>
              <w:pStyle w:val="65"/>
              <w:pageBreakBefore w:val="0"/>
              <w:numPr>
                <w:ilvl w:val="0"/>
                <w:numId w:val="2"/>
              </w:numPr>
              <w:kinsoku/>
              <w:wordWrap/>
              <w:overflowPunct/>
              <w:topLinePunct w:val="0"/>
              <w:bidi w:val="0"/>
              <w:spacing w:before="0" w:beforeAutospacing="0" w:line="360" w:lineRule="auto"/>
              <w:ind w:left="107" w:leftChars="0" w:right="57" w:rightChars="0"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bidi="ar-SA"/>
              </w:rPr>
              <w:t>为有效缓解中小企业融资难、融资贵问题，成都市财政局、中国人民银行成都分行营业管理部制定了《成都市中小企业政府采购信用融资暂行办法》（成财采〔2019〕17 号）。 </w:t>
            </w:r>
          </w:p>
        </w:tc>
      </w:tr>
    </w:tbl>
    <w:p>
      <w:pPr>
        <w:pStyle w:val="14"/>
        <w:pageBreakBefore w:val="0"/>
        <w:kinsoku/>
        <w:wordWrap/>
        <w:overflowPunct/>
        <w:topLinePunct w:val="0"/>
        <w:bidi w:val="0"/>
        <w:spacing w:line="480" w:lineRule="auto"/>
        <w:ind w:firstLine="480"/>
        <w:rPr>
          <w:rFonts w:hint="eastAsia" w:ascii="宋体" w:hAnsi="宋体" w:eastAsia="宋体" w:cs="宋体"/>
          <w:sz w:val="28"/>
          <w:szCs w:val="28"/>
          <w:highlight w:val="none"/>
        </w:rPr>
      </w:pPr>
    </w:p>
    <w:p>
      <w:pPr>
        <w:pageBreakBefore w:val="0"/>
        <w:widowControl/>
        <w:kinsoku/>
        <w:wordWrap/>
        <w:overflowPunct/>
        <w:topLinePunct w:val="0"/>
        <w:bidi w:val="0"/>
        <w:spacing w:line="480" w:lineRule="auto"/>
        <w:ind w:firstLine="480"/>
        <w:jc w:val="left"/>
        <w:rPr>
          <w:rFonts w:hint="eastAsia" w:ascii="宋体" w:hAnsi="宋体" w:eastAsia="宋体" w:cs="宋体"/>
          <w:b/>
          <w:sz w:val="28"/>
          <w:szCs w:val="28"/>
          <w:highlight w:val="none"/>
        </w:rPr>
      </w:pPr>
      <w:r>
        <w:rPr>
          <w:rFonts w:hint="eastAsia" w:ascii="宋体" w:hAnsi="宋体" w:eastAsia="宋体" w:cs="宋体"/>
          <w:bCs/>
          <w:sz w:val="28"/>
          <w:szCs w:val="28"/>
          <w:highlight w:val="none"/>
        </w:rPr>
        <w:br w:type="page"/>
      </w:r>
    </w:p>
    <w:p>
      <w:pPr>
        <w:pStyle w:val="4"/>
        <w:pageBreakBefore w:val="0"/>
        <w:kinsoku/>
        <w:wordWrap/>
        <w:overflowPunct/>
        <w:topLinePunct w:val="0"/>
        <w:bidi w:val="0"/>
        <w:spacing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二、总  则</w:t>
      </w:r>
      <w:bookmarkStart w:id="18" w:name="_Toc183582205"/>
      <w:bookmarkStart w:id="19" w:name="_Toc183682342"/>
      <w:bookmarkStart w:id="20" w:name="_Toc217446034"/>
    </w:p>
    <w:p>
      <w:pPr>
        <w:pStyle w:val="5"/>
        <w:pageBreakBefore w:val="0"/>
        <w:kinsoku/>
        <w:wordWrap/>
        <w:overflowPunct/>
        <w:topLinePunct w:val="0"/>
        <w:bidi w:val="0"/>
        <w:spacing w:after="0" w:afterAutospacing="0" w:line="360" w:lineRule="auto"/>
        <w:ind w:firstLine="482"/>
        <w:rPr>
          <w:rFonts w:hint="eastAsia" w:ascii="宋体" w:hAnsi="宋体" w:eastAsia="宋体" w:cs="宋体"/>
          <w:sz w:val="24"/>
          <w:szCs w:val="24"/>
          <w:highlight w:val="none"/>
        </w:rPr>
      </w:pPr>
      <w:bookmarkStart w:id="21" w:name="PO_默认文件内容_23"/>
      <w:r>
        <w:rPr>
          <w:rFonts w:hint="eastAsia" w:ascii="宋体" w:hAnsi="宋体" w:eastAsia="宋体" w:cs="宋体"/>
          <w:sz w:val="24"/>
          <w:szCs w:val="24"/>
          <w:highlight w:val="none"/>
        </w:rPr>
        <w:t>1.</w:t>
      </w:r>
      <w:bookmarkEnd w:id="18"/>
      <w:bookmarkEnd w:id="19"/>
      <w:r>
        <w:rPr>
          <w:rFonts w:hint="eastAsia" w:ascii="宋体" w:hAnsi="宋体" w:eastAsia="宋体" w:cs="宋体"/>
          <w:sz w:val="24"/>
          <w:szCs w:val="24"/>
          <w:highlight w:val="none"/>
        </w:rPr>
        <w:t>适用范围</w:t>
      </w:r>
      <w:bookmarkEnd w:id="20"/>
    </w:p>
    <w:p>
      <w:pPr>
        <w:pageBreakBefore w:val="0"/>
        <w:tabs>
          <w:tab w:val="left" w:pos="7665"/>
        </w:tabs>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 本磋商文件仅适用于本次磋商采购项目。</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 本磋商文件的解释权归采购人和采购代理机构所有。</w:t>
      </w:r>
      <w:bookmarkEnd w:id="21"/>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22" w:name="_Toc217446035"/>
      <w:bookmarkStart w:id="23" w:name="_Toc183682343"/>
      <w:bookmarkStart w:id="24" w:name="_Toc183582206"/>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2.</w:t>
      </w:r>
      <w:bookmarkEnd w:id="22"/>
      <w:bookmarkEnd w:id="23"/>
      <w:bookmarkEnd w:id="24"/>
      <w:r>
        <w:rPr>
          <w:rFonts w:hint="eastAsia" w:ascii="宋体" w:hAnsi="宋体" w:eastAsia="宋体" w:cs="宋体"/>
          <w:sz w:val="24"/>
          <w:szCs w:val="24"/>
          <w:highlight w:val="none"/>
        </w:rPr>
        <w:t>采购主体</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2.1本次磋商的采购人是</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成都东部新区玉成街道办事处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bookmarkStart w:id="25" w:name="PO_默认文件内容_24"/>
      <w:r>
        <w:rPr>
          <w:rFonts w:hint="eastAsia" w:ascii="宋体" w:hAnsi="宋体" w:eastAsia="宋体" w:cs="宋体"/>
          <w:sz w:val="24"/>
          <w:szCs w:val="24"/>
          <w:highlight w:val="none"/>
        </w:rPr>
        <w:t>2.2本次磋商的采购代理机构是</w:t>
      </w:r>
      <w:r>
        <w:rPr>
          <w:rFonts w:hint="eastAsia" w:ascii="宋体" w:hAnsi="宋体" w:eastAsia="宋体" w:cs="宋体"/>
          <w:sz w:val="24"/>
          <w:szCs w:val="24"/>
          <w:highlight w:val="none"/>
          <w:u w:val="single"/>
        </w:rPr>
        <w:t>四川三盈招标代理有限公司</w:t>
      </w:r>
      <w:r>
        <w:rPr>
          <w:rFonts w:hint="eastAsia" w:ascii="宋体" w:hAnsi="宋体" w:eastAsia="宋体" w:cs="宋体"/>
          <w:sz w:val="24"/>
          <w:szCs w:val="24"/>
          <w:highlight w:val="none"/>
        </w:rPr>
        <w:t>。</w:t>
      </w: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26" w:name="_Toc217446036"/>
      <w:bookmarkStart w:id="27" w:name="_Toc183682344"/>
      <w:bookmarkStart w:id="28" w:name="_Toc183582207"/>
      <w:bookmarkStart w:id="29" w:name="_Toc217390843"/>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3. 合格</w:t>
      </w:r>
      <w:bookmarkEnd w:id="26"/>
      <w:bookmarkEnd w:id="27"/>
      <w:bookmarkEnd w:id="28"/>
      <w:bookmarkEnd w:id="29"/>
      <w:r>
        <w:rPr>
          <w:rFonts w:hint="eastAsia" w:ascii="宋体" w:hAnsi="宋体" w:eastAsia="宋体" w:cs="宋体"/>
          <w:sz w:val="24"/>
          <w:szCs w:val="24"/>
          <w:highlight w:val="none"/>
        </w:rPr>
        <w:t>供应商（实质性要求）</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合格供应商应具备以下条件：</w:t>
      </w:r>
    </w:p>
    <w:p>
      <w:pPr>
        <w:pageBreakBefore w:val="0"/>
        <w:tabs>
          <w:tab w:val="left" w:pos="7665"/>
        </w:tabs>
        <w:kinsoku/>
        <w:wordWrap/>
        <w:overflowPunct/>
        <w:topLinePunct w:val="0"/>
        <w:bidi w:val="0"/>
        <w:spacing w:line="360" w:lineRule="auto"/>
        <w:ind w:firstLine="480"/>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3.1 具备法律法规和本采购文件规定的资格条件</w:t>
      </w:r>
      <w:r>
        <w:rPr>
          <w:rFonts w:hint="eastAsia" w:ascii="宋体" w:hAnsi="宋体" w:eastAsia="宋体" w:cs="宋体"/>
          <w:spacing w:val="-4"/>
          <w:sz w:val="24"/>
          <w:szCs w:val="24"/>
          <w:highlight w:val="none"/>
        </w:rPr>
        <w:t>；</w:t>
      </w:r>
    </w:p>
    <w:p>
      <w:pPr>
        <w:pageBreakBefore w:val="0"/>
        <w:tabs>
          <w:tab w:val="left" w:pos="7665"/>
        </w:tabs>
        <w:kinsoku/>
        <w:wordWrap/>
        <w:overflowPunct/>
        <w:topLinePunct w:val="0"/>
        <w:bidi w:val="0"/>
        <w:spacing w:line="360" w:lineRule="auto"/>
        <w:ind w:firstLine="464"/>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3.2 不属于禁止参加本项目采购活动的供应商；</w:t>
      </w:r>
    </w:p>
    <w:p>
      <w:pPr>
        <w:pageBreakBefore w:val="0"/>
        <w:tabs>
          <w:tab w:val="left" w:pos="7665"/>
        </w:tabs>
        <w:kinsoku/>
        <w:wordWrap/>
        <w:overflowPunct/>
        <w:topLinePunct w:val="0"/>
        <w:bidi w:val="0"/>
        <w:spacing w:line="360" w:lineRule="auto"/>
        <w:ind w:firstLine="46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3.3 按照规定</w:t>
      </w:r>
      <w:r>
        <w:rPr>
          <w:rFonts w:hint="eastAsia" w:ascii="宋体" w:hAnsi="宋体" w:eastAsia="宋体" w:cs="宋体"/>
          <w:sz w:val="24"/>
          <w:szCs w:val="24"/>
          <w:highlight w:val="none"/>
        </w:rPr>
        <w:t>获取了磋商文件，属于实质性参加政府采购活动的供应商。</w:t>
      </w:r>
      <w:bookmarkStart w:id="30" w:name="_Toc183682345"/>
      <w:bookmarkStart w:id="31" w:name="_Toc183582208"/>
      <w:bookmarkStart w:id="32" w:name="_Toc217446037"/>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4. 磋商费用</w:t>
      </w:r>
      <w:bookmarkEnd w:id="30"/>
      <w:bookmarkEnd w:id="31"/>
      <w:bookmarkEnd w:id="32"/>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供应商应自行承担参加磋商活动的全部费用。</w:t>
      </w:r>
    </w:p>
    <w:p>
      <w:pPr>
        <w:pStyle w:val="53"/>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p>
    <w:p>
      <w:pPr>
        <w:pStyle w:val="53"/>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5.充分、公平竞争保障措施（实质性要求）</w:t>
      </w:r>
    </w:p>
    <w:p>
      <w:pPr>
        <w:pStyle w:val="53"/>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5.1利害关系供应商处理。</w:t>
      </w:r>
      <w:r>
        <w:rPr>
          <w:rFonts w:hint="eastAsia" w:ascii="宋体" w:hAnsi="宋体" w:eastAsia="宋体" w:cs="宋体"/>
          <w:sz w:val="24"/>
          <w:szCs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3"/>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5.2利害关系授权代表处理。</w:t>
      </w:r>
      <w:r>
        <w:rPr>
          <w:rFonts w:hint="eastAsia" w:ascii="宋体" w:hAnsi="宋体" w:eastAsia="宋体" w:cs="宋体"/>
          <w:sz w:val="24"/>
          <w:szCs w:val="24"/>
          <w:highlight w:val="none"/>
        </w:rPr>
        <w:t>两家以上的供应商不得在同一合同项下的采购项目中，委托同一个自然人、同一家庭的人员、同一单位的人员作为其授权代表，否则，其响应文件作为无效处理。</w:t>
      </w:r>
    </w:p>
    <w:p>
      <w:pPr>
        <w:pStyle w:val="53"/>
        <w:pageBreakBefore w:val="0"/>
        <w:kinsoku/>
        <w:wordWrap/>
        <w:overflowPunct/>
        <w:topLinePunct w:val="0"/>
        <w:bidi w:val="0"/>
        <w:spacing w:line="360" w:lineRule="auto"/>
        <w:ind w:left="1"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5.3前期参与供应商处理。</w:t>
      </w:r>
      <w:r>
        <w:rPr>
          <w:rFonts w:hint="eastAsia" w:ascii="宋体" w:hAnsi="宋体" w:eastAsia="宋体" w:cs="宋体"/>
          <w:sz w:val="24"/>
          <w:szCs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不适用）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5.5供应商实际控制人或者中高级管理人员，同时是采购代理机构工作人员，不得参与本项目政府采购活动。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5.6同一母公司的两家以上的子公司只能组成联合体参加本项目同一合同项下的采购活动，不得以不同供应商身份同时参加本项目同一合同项下的采购活动。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5.7供应商与采购代理机构存在关联关系，或者是采购代理机构的母公司或子公司，不得参加本项目政府采购活动。</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5.8回避。政府采购活动中，采购人员及相关人员与供应商有下列利害关系之一的，应当回避：</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（1）参加采购活动前3年内与供应商存在劳动关系；</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（2）参加采购活动前3年内担任供应商的董事、监事；</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（3）参加采购活动前3年内是供应商的控股股东或者实际控制人；</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（4）与供应商的法定代表人或者负责人有夫妻、直系血亲、三代以内旁系血亲或者近姻亲关系；</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（5）与供应商有其他可能影响政府采购活动公平、公正进行的关系。</w:t>
      </w:r>
    </w:p>
    <w:p>
      <w:pPr>
        <w:pStyle w:val="53"/>
        <w:pageBreakBefore w:val="0"/>
        <w:kinsoku/>
        <w:wordWrap/>
        <w:overflowPunct/>
        <w:topLinePunct w:val="0"/>
        <w:bidi w:val="0"/>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53"/>
        <w:pageBreakBefore w:val="0"/>
        <w:kinsoku/>
        <w:wordWrap/>
        <w:overflowPunct/>
        <w:topLinePunct w:val="0"/>
        <w:bidi w:val="0"/>
        <w:spacing w:line="360" w:lineRule="auto"/>
        <w:ind w:left="1"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3"/>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p>
    <w:p>
      <w:pPr>
        <w:pStyle w:val="53"/>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6.联合体竞争性磋商（</w:t>
      </w:r>
      <w:r>
        <w:rPr>
          <w:rFonts w:hint="eastAsia" w:ascii="宋体" w:hAnsi="宋体" w:eastAsia="宋体" w:cs="宋体"/>
          <w:b/>
          <w:sz w:val="24"/>
          <w:szCs w:val="24"/>
          <w:highlight w:val="none"/>
          <w:lang w:val="en-US" w:eastAsia="zh-CN"/>
        </w:rPr>
        <w:t>本项目不接受联合体</w:t>
      </w:r>
      <w:r>
        <w:rPr>
          <w:rFonts w:hint="eastAsia" w:ascii="宋体" w:hAnsi="宋体" w:eastAsia="宋体" w:cs="宋体"/>
          <w:b/>
          <w:sz w:val="24"/>
          <w:szCs w:val="24"/>
          <w:highlight w:val="none"/>
        </w:rPr>
        <w:t>）</w:t>
      </w:r>
    </w:p>
    <w:p>
      <w:pPr>
        <w:pStyle w:val="53"/>
        <w:pageBreakBefore w:val="0"/>
        <w:kinsoku/>
        <w:wordWrap/>
        <w:overflowPunct/>
        <w:topLinePunct w:val="0"/>
        <w:bidi w:val="0"/>
        <w:spacing w:line="360" w:lineRule="auto"/>
        <w:ind w:left="1"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7.磋商保证金（</w:t>
      </w:r>
      <w:r>
        <w:rPr>
          <w:rFonts w:hint="eastAsia" w:ascii="宋体" w:hAnsi="宋体" w:eastAsia="宋体" w:cs="宋体"/>
          <w:b/>
          <w:sz w:val="24"/>
          <w:szCs w:val="24"/>
          <w:highlight w:val="none"/>
          <w:lang w:val="en-US" w:eastAsia="zh-CN"/>
        </w:rPr>
        <w:t>本项目无需缴纳磋商保证金</w:t>
      </w:r>
      <w:r>
        <w:rPr>
          <w:rFonts w:hint="eastAsia" w:ascii="宋体" w:hAnsi="宋体" w:eastAsia="宋体" w:cs="宋体"/>
          <w:b/>
          <w:sz w:val="24"/>
          <w:szCs w:val="24"/>
          <w:highlight w:val="none"/>
        </w:rPr>
        <w:t>）</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7.1 供应商必须以人民币按磋商文件要求足额缴纳磋商保证金。联合体磋商的，可以由联合体的一方或者共同提交磋商保证金，以一方名义提交磋商保证金的，对联合体各方均具有约束力。</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7.2 未按磋商文件要求在规定时间前交纳规定数额磋商保证金的响应文件无效。</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7.3 供应商所交纳的磋商保证金不计利息。</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7.5发生下列情形之一的，采购代理机构/采购人将不予退还磋商保证金：</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（一）在磋商文件规定的递交响应文件截止时间后撤销响应文件的；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（二）在采购人确定成交供应商之前放弃成交候选资格的；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（三）成交后放弃、不领取或者不接收成交通知书的；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（四）由于成交供应商的原因未能按照磋商文件的规定与采购人签订合同的；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（五）由于成交供应商的原因未能按照磋商文件的规定交纳履约保证金的；</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（六）供应商在政府采购活动中提供虚假材料的；</w:t>
      </w:r>
    </w:p>
    <w:p>
      <w:pPr>
        <w:pageBreakBefore w:val="0"/>
        <w:kinsoku/>
        <w:wordWrap/>
        <w:overflowPunct/>
        <w:topLinePunct w:val="0"/>
        <w:bidi w:val="0"/>
        <w:spacing w:line="360" w:lineRule="auto"/>
        <w:ind w:firstLine="470" w:firstLineChars="196"/>
        <w:rPr>
          <w:rFonts w:hint="eastAsia" w:ascii="宋体" w:hAnsi="宋体" w:eastAsia="宋体" w:cs="宋体"/>
          <w:b/>
          <w:sz w:val="24"/>
          <w:szCs w:val="24"/>
          <w:highlight w:val="none"/>
        </w:rPr>
      </w:pPr>
      <w:r>
        <w:rPr>
          <w:rFonts w:hint="eastAsia" w:ascii="宋体" w:hAnsi="宋体" w:eastAsia="宋体" w:cs="宋体"/>
          <w:sz w:val="24"/>
          <w:szCs w:val="24"/>
          <w:highlight w:val="none"/>
        </w:rPr>
        <w:t>（七）响应文件有效期内，供应商在政府采购活动中有违法、违规、违纪行为。</w:t>
      </w:r>
    </w:p>
    <w:p>
      <w:pPr>
        <w:pageBreakBefore w:val="0"/>
        <w:kinsoku/>
        <w:wordWrap/>
        <w:overflowPunct/>
        <w:topLinePunct w:val="0"/>
        <w:bidi w:val="0"/>
        <w:spacing w:line="360" w:lineRule="auto"/>
        <w:ind w:firstLine="472" w:firstLineChars="196"/>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8.响应文件有效期（实质性要求）</w:t>
      </w:r>
    </w:p>
    <w:p>
      <w:pPr>
        <w:pageBreakBefore w:val="0"/>
        <w:kinsoku/>
        <w:wordWrap/>
        <w:overflowPunct/>
        <w:topLinePunct w:val="0"/>
        <w:bidi w:val="0"/>
        <w:spacing w:afterAutospacing="0"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9.知识产权（实质性要求）</w:t>
      </w:r>
    </w:p>
    <w:p>
      <w:pPr>
        <w:pStyle w:val="13"/>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3"/>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9.2 除非磋商文件特别规定，采购人享有本项目实施过程中产生的知识成果及知识产权。</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ageBreakBefore w:val="0"/>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9.4 如采用供应商所不拥有的知识产权，则在报价中必须包括合法获取该知识产权的相关费用。</w:t>
      </w:r>
      <w:bookmarkEnd w:id="25"/>
      <w:r>
        <w:rPr>
          <w:rFonts w:hint="eastAsia" w:ascii="宋体" w:hAnsi="宋体" w:eastAsia="宋体" w:cs="宋体"/>
          <w:sz w:val="24"/>
          <w:szCs w:val="24"/>
          <w:highlight w:val="none"/>
        </w:rPr>
        <w:t xml:space="preserve"> </w:t>
      </w:r>
      <w:bookmarkStart w:id="33" w:name="_Toc183582209"/>
      <w:bookmarkStart w:id="34" w:name="_Toc183682346"/>
      <w:bookmarkStart w:id="35" w:name="_Toc217446038"/>
      <w:bookmarkStart w:id="36" w:name="_Toc89075875"/>
      <w:bookmarkStart w:id="37" w:name="_Toc77400779"/>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三、磋商文件</w:t>
      </w:r>
      <w:bookmarkEnd w:id="33"/>
      <w:bookmarkEnd w:id="34"/>
      <w:bookmarkEnd w:id="35"/>
      <w:bookmarkEnd w:id="36"/>
      <w:bookmarkEnd w:id="37"/>
    </w:p>
    <w:p>
      <w:pPr>
        <w:pStyle w:val="5"/>
        <w:pageBreakBefore w:val="0"/>
        <w:kinsoku/>
        <w:wordWrap/>
        <w:overflowPunct/>
        <w:topLinePunct w:val="0"/>
        <w:bidi w:val="0"/>
        <w:spacing w:after="0" w:afterAutospacing="0" w:line="360" w:lineRule="auto"/>
        <w:rPr>
          <w:rFonts w:hint="eastAsia" w:ascii="宋体" w:hAnsi="宋体" w:eastAsia="宋体" w:cs="宋体"/>
          <w:sz w:val="24"/>
          <w:szCs w:val="24"/>
          <w:highlight w:val="none"/>
        </w:rPr>
      </w:pPr>
      <w:bookmarkStart w:id="38" w:name="_Toc217446039"/>
      <w:bookmarkStart w:id="39" w:name="_Toc183682347"/>
      <w:bookmarkStart w:id="40" w:name="_Toc183582210"/>
      <w:bookmarkStart w:id="41" w:name="PO_默认文件内容_25"/>
      <w:r>
        <w:rPr>
          <w:rFonts w:hint="eastAsia" w:ascii="宋体" w:hAnsi="宋体" w:eastAsia="宋体" w:cs="宋体"/>
          <w:sz w:val="24"/>
          <w:szCs w:val="24"/>
          <w:highlight w:val="none"/>
        </w:rPr>
        <w:t>10．磋商文件的构成</w:t>
      </w:r>
      <w:bookmarkEnd w:id="38"/>
      <w:bookmarkEnd w:id="39"/>
      <w:bookmarkEnd w:id="40"/>
    </w:p>
    <w:p>
      <w:pPr>
        <w:pageBreakBefore w:val="0"/>
        <w:tabs>
          <w:tab w:val="left" w:pos="720"/>
        </w:tabs>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42" w:name="_Toc183682348"/>
      <w:bookmarkStart w:id="43" w:name="_Toc183582211"/>
      <w:bookmarkStart w:id="44" w:name="_Toc217446040"/>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11. 磋商文件的澄清</w:t>
      </w:r>
      <w:bookmarkEnd w:id="42"/>
      <w:bookmarkEnd w:id="43"/>
      <w:r>
        <w:rPr>
          <w:rFonts w:hint="eastAsia" w:ascii="宋体" w:hAnsi="宋体" w:eastAsia="宋体" w:cs="宋体"/>
          <w:sz w:val="24"/>
          <w:szCs w:val="24"/>
          <w:highlight w:val="none"/>
        </w:rPr>
        <w:t>和修改</w:t>
      </w:r>
      <w:bookmarkEnd w:id="44"/>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11.1 在递交响应文件截止时间前，采购人、采购代理机构可以对磋商文件进行澄清或者修改。</w:t>
      </w:r>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11.2 采购代理机构对已发出的磋商文件进行澄清或者修改，应当在四川政府采购网上发布更正公告。该澄清或者修改的内容为磋商文件的组成部分，澄清或者修改的内容可能影响响应文件编制的，采购人或者采购代理机构发布公告的时间，应当在提交首次响应文件截止之日起5日前；不足上述时间的，应当顺延递交响应文件的截止时间。</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ageBreakBefore w:val="0"/>
        <w:tabs>
          <w:tab w:val="left" w:pos="72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11.4供应商认为需要对磋商文件进行澄清或者修改的，可以以书面形式向采购人或采购代理机构提出申请，由采购人或采购代理机构决定是否采纳供应商的申请事项。</w:t>
      </w: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45" w:name="_Toc217446041"/>
      <w:bookmarkStart w:id="46" w:name="_Toc208848971"/>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12. 答疑会和现场考察</w:t>
      </w:r>
      <w:bookmarkEnd w:id="45"/>
      <w:bookmarkEnd w:id="46"/>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12.1 根据采购项目和具体情况，采购人、采购代理机构认为有必要，可以在磋商文件提供期限截止后响应文件提交截止前，组织已获取磋商文件的潜在供应商现场考察或者召开答疑会。</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ageBreakBefore w:val="0"/>
        <w:kinsoku/>
        <w:wordWrap/>
        <w:overflowPunct/>
        <w:topLinePunct w:val="0"/>
        <w:bidi w:val="0"/>
        <w:adjustRightInd w:val="0"/>
        <w:snapToGrid w:val="0"/>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12.3 供应商考察现场或者参加答疑会所发生的一切费用由供应商自己承担。</w:t>
      </w:r>
      <w:bookmarkEnd w:id="41"/>
      <w:bookmarkStart w:id="47" w:name="_Toc217446042"/>
      <w:bookmarkStart w:id="48" w:name="_Toc183582214"/>
      <w:bookmarkStart w:id="49" w:name="_Toc77400780"/>
      <w:bookmarkStart w:id="50" w:name="_Toc89075876"/>
      <w:bookmarkStart w:id="51" w:name="_Toc183682351"/>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bCs w:val="0"/>
          <w:sz w:val="24"/>
          <w:szCs w:val="24"/>
          <w:highlight w:val="none"/>
        </w:rPr>
      </w:pPr>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r>
        <w:rPr>
          <w:rFonts w:hint="eastAsia" w:ascii="宋体" w:hAnsi="宋体" w:eastAsia="宋体" w:cs="宋体"/>
          <w:bCs w:val="0"/>
          <w:sz w:val="24"/>
          <w:szCs w:val="24"/>
          <w:highlight w:val="none"/>
        </w:rPr>
        <w:t>四、响应文件</w:t>
      </w:r>
      <w:bookmarkEnd w:id="47"/>
      <w:bookmarkEnd w:id="48"/>
      <w:bookmarkEnd w:id="49"/>
      <w:bookmarkEnd w:id="50"/>
      <w:bookmarkEnd w:id="51"/>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bookmarkStart w:id="52" w:name="_Toc183582215"/>
      <w:bookmarkStart w:id="53" w:name="_Toc183682352"/>
      <w:bookmarkStart w:id="54" w:name="_Toc217446043"/>
      <w:bookmarkStart w:id="55" w:name="PO_默认文件内容_26"/>
      <w:r>
        <w:rPr>
          <w:rFonts w:hint="eastAsia" w:ascii="宋体" w:hAnsi="宋体" w:eastAsia="宋体" w:cs="宋体"/>
          <w:sz w:val="24"/>
          <w:szCs w:val="24"/>
          <w:highlight w:val="none"/>
        </w:rPr>
        <w:t>13.响应文件的组成（实质性要求）</w:t>
      </w:r>
    </w:p>
    <w:p>
      <w:pPr>
        <w:pageBreakBefore w:val="0"/>
        <w:kinsoku/>
        <w:wordWrap/>
        <w:overflowPunct/>
        <w:topLinePunct w:val="0"/>
        <w:bidi w:val="0"/>
        <w:spacing w:line="360" w:lineRule="auto"/>
        <w:ind w:left="2" w:leftChars="1"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w:t>
      </w:r>
      <w:r>
        <w:rPr>
          <w:rFonts w:hint="eastAsia" w:ascii="宋体" w:hAnsi="宋体" w:eastAsia="宋体" w:cs="宋体"/>
          <w:sz w:val="24"/>
          <w:szCs w:val="24"/>
          <w:highlight w:val="none"/>
          <w:lang w:eastAsia="zh-CN"/>
        </w:rPr>
        <w:t>。</w:t>
      </w: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bCs w:val="0"/>
          <w:sz w:val="24"/>
          <w:szCs w:val="24"/>
          <w:highlight w:val="none"/>
        </w:rPr>
      </w:pPr>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14.响应文件的语言</w:t>
      </w:r>
      <w:bookmarkEnd w:id="52"/>
      <w:bookmarkEnd w:id="53"/>
      <w:bookmarkEnd w:id="54"/>
      <w:r>
        <w:rPr>
          <w:rFonts w:hint="eastAsia" w:ascii="宋体" w:hAnsi="宋体" w:eastAsia="宋体" w:cs="宋体"/>
          <w:bCs w:val="0"/>
          <w:sz w:val="24"/>
          <w:szCs w:val="24"/>
          <w:highlight w:val="none"/>
        </w:rPr>
        <w:t>（实质性要求）</w:t>
      </w:r>
    </w:p>
    <w:p>
      <w:pPr>
        <w:pageBreakBefore w:val="0"/>
        <w:tabs>
          <w:tab w:val="left" w:pos="1134"/>
        </w:tabs>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pageBreakBefore w:val="0"/>
        <w:tabs>
          <w:tab w:val="left" w:pos="1134"/>
        </w:tabs>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14.2 翻译的中文资料与外文资料如果出现差异和矛盾时，以中文为准。涉嫌虚假响应的按照相关法律法规处理。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14.3 如因未翻译而造成的响应文件无效风险，由供应商承担。</w:t>
      </w:r>
      <w:bookmarkStart w:id="56" w:name="_Toc217446044"/>
      <w:bookmarkStart w:id="57" w:name="_Toc183582216"/>
      <w:bookmarkStart w:id="58" w:name="_Toc183682353"/>
    </w:p>
    <w:p>
      <w:pPr>
        <w:pStyle w:val="5"/>
        <w:keepNext w:val="0"/>
        <w:keepLines w:val="0"/>
        <w:pageBreakBefore w:val="0"/>
        <w:kinsoku/>
        <w:wordWrap/>
        <w:overflowPunct/>
        <w:topLinePunct w:val="0"/>
        <w:bidi w:val="0"/>
        <w:spacing w:before="0" w:after="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15．计量单位</w:t>
      </w:r>
      <w:bookmarkEnd w:id="56"/>
      <w:bookmarkEnd w:id="57"/>
      <w:bookmarkEnd w:id="58"/>
      <w:r>
        <w:rPr>
          <w:rFonts w:hint="eastAsia" w:ascii="宋体" w:hAnsi="宋体" w:eastAsia="宋体" w:cs="宋体"/>
          <w:sz w:val="24"/>
          <w:szCs w:val="24"/>
          <w:highlight w:val="none"/>
        </w:rPr>
        <w:t>（实质性要求）</w:t>
      </w:r>
    </w:p>
    <w:p>
      <w:pPr>
        <w:pageBreakBefore w:val="0"/>
        <w:kinsoku/>
        <w:wordWrap/>
        <w:overflowPunct/>
        <w:topLinePunct w:val="0"/>
        <w:bidi w:val="0"/>
        <w:spacing w:line="360" w:lineRule="auto"/>
        <w:ind w:firstLine="470" w:firstLineChars="196"/>
        <w:rPr>
          <w:rFonts w:hint="eastAsia" w:ascii="宋体" w:hAnsi="宋体" w:eastAsia="宋体" w:cs="宋体"/>
          <w:b/>
          <w:bCs/>
          <w:sz w:val="24"/>
          <w:szCs w:val="24"/>
          <w:highlight w:val="none"/>
        </w:rPr>
      </w:pPr>
      <w:r>
        <w:rPr>
          <w:rFonts w:hint="eastAsia" w:ascii="宋体" w:hAnsi="宋体" w:eastAsia="宋体" w:cs="宋体"/>
          <w:sz w:val="24"/>
          <w:szCs w:val="24"/>
          <w:highlight w:val="none"/>
        </w:rPr>
        <w:t>除磋商文件中另有规定外，本次采购项目所有合同项下的报价均采用国家法定的计量单位。</w:t>
      </w:r>
      <w:bookmarkStart w:id="59" w:name="_Toc217446045"/>
    </w:p>
    <w:p>
      <w:pPr>
        <w:pageBreakBefore w:val="0"/>
        <w:kinsoku/>
        <w:wordWrap/>
        <w:overflowPunct/>
        <w:topLinePunct w:val="0"/>
        <w:bidi w:val="0"/>
        <w:spacing w:line="360" w:lineRule="auto"/>
        <w:ind w:firstLine="470" w:firstLineChars="195"/>
        <w:rPr>
          <w:rFonts w:hint="eastAsia" w:ascii="宋体" w:hAnsi="宋体" w:eastAsia="宋体" w:cs="宋体"/>
          <w:b/>
          <w:bCs/>
          <w:sz w:val="24"/>
          <w:szCs w:val="24"/>
          <w:highlight w:val="none"/>
        </w:rPr>
      </w:pPr>
    </w:p>
    <w:p>
      <w:pPr>
        <w:pageBreakBefore w:val="0"/>
        <w:kinsoku/>
        <w:wordWrap/>
        <w:overflowPunct/>
        <w:topLinePunct w:val="0"/>
        <w:bidi w:val="0"/>
        <w:spacing w:line="360" w:lineRule="auto"/>
        <w:ind w:firstLine="470" w:firstLineChars="195"/>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16.</w:t>
      </w:r>
      <w:r>
        <w:rPr>
          <w:rFonts w:hint="eastAsia" w:ascii="宋体" w:hAnsi="宋体" w:eastAsia="宋体" w:cs="宋体"/>
          <w:b/>
          <w:color w:val="000000"/>
          <w:sz w:val="24"/>
          <w:szCs w:val="24"/>
          <w:highlight w:val="none"/>
        </w:rPr>
        <w:t>报价</w:t>
      </w:r>
      <w:r>
        <w:rPr>
          <w:rFonts w:hint="eastAsia" w:ascii="宋体" w:hAnsi="宋体" w:eastAsia="宋体" w:cs="宋体"/>
          <w:b/>
          <w:bCs/>
          <w:color w:val="000000"/>
          <w:sz w:val="24"/>
          <w:szCs w:val="24"/>
          <w:highlight w:val="none"/>
        </w:rPr>
        <w:t>货币（实质性要求）</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color w:val="000000"/>
          <w:sz w:val="24"/>
          <w:szCs w:val="24"/>
          <w:highlight w:val="none"/>
        </w:rPr>
        <w:t>本次磋商项目的</w:t>
      </w:r>
      <w:r>
        <w:rPr>
          <w:rFonts w:hint="eastAsia" w:ascii="宋体" w:hAnsi="宋体" w:eastAsia="宋体" w:cs="宋体"/>
          <w:color w:val="000000"/>
          <w:sz w:val="24"/>
          <w:szCs w:val="24"/>
          <w:highlight w:val="none"/>
        </w:rPr>
        <w:t>报价货币为</w:t>
      </w:r>
      <w:r>
        <w:rPr>
          <w:rFonts w:hint="eastAsia" w:ascii="宋体" w:hAnsi="宋体" w:eastAsia="宋体" w:cs="宋体"/>
          <w:bCs/>
          <w:color w:val="000000"/>
          <w:sz w:val="24"/>
          <w:szCs w:val="24"/>
          <w:highlight w:val="none"/>
        </w:rPr>
        <w:t>人民币，报价以磋商文件规定为准。</w:t>
      </w:r>
    </w:p>
    <w:bookmarkEnd w:id="59"/>
    <w:p>
      <w:pPr>
        <w:pageBreakBefore w:val="0"/>
        <w:kinsoku/>
        <w:wordWrap/>
        <w:overflowPunct/>
        <w:topLinePunct w:val="0"/>
        <w:bidi w:val="0"/>
        <w:spacing w:line="360" w:lineRule="auto"/>
        <w:ind w:left="2" w:leftChars="1" w:firstLine="482"/>
        <w:rPr>
          <w:rFonts w:hint="eastAsia" w:ascii="宋体" w:hAnsi="宋体" w:eastAsia="宋体" w:cs="宋体"/>
          <w:b/>
          <w:bCs/>
          <w:sz w:val="24"/>
          <w:szCs w:val="24"/>
          <w:highlight w:val="none"/>
        </w:rPr>
      </w:pPr>
    </w:p>
    <w:p>
      <w:pPr>
        <w:pageBreakBefore w:val="0"/>
        <w:kinsoku/>
        <w:wordWrap/>
        <w:overflowPunct/>
        <w:topLinePunct w:val="0"/>
        <w:bidi w:val="0"/>
        <w:spacing w:line="360" w:lineRule="auto"/>
        <w:ind w:left="2" w:leftChars="1"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17.响应文件格式</w:t>
      </w:r>
    </w:p>
    <w:p>
      <w:pPr>
        <w:pageBreakBefore w:val="0"/>
        <w:kinsoku/>
        <w:wordWrap/>
        <w:overflowPunct/>
        <w:topLinePunct w:val="0"/>
        <w:bidi w:val="0"/>
        <w:spacing w:line="360" w:lineRule="auto"/>
        <w:ind w:left="2" w:leftChars="1"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17.1 供应商应执行磋商文件第七章的规定要求。</w:t>
      </w:r>
    </w:p>
    <w:p>
      <w:pPr>
        <w:pageBreakBefore w:val="0"/>
        <w:kinsoku/>
        <w:wordWrap/>
        <w:overflowPunct/>
        <w:topLinePunct w:val="0"/>
        <w:bidi w:val="0"/>
        <w:spacing w:line="360" w:lineRule="auto"/>
        <w:ind w:left="2" w:leftChars="1"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17.2 对于没有格式要求的磋商文件由供应商自行编写。</w:t>
      </w:r>
    </w:p>
    <w:p>
      <w:pPr>
        <w:pageBreakBefore w:val="0"/>
        <w:kinsoku/>
        <w:wordWrap/>
        <w:overflowPunct/>
        <w:topLinePunct w:val="0"/>
        <w:bidi w:val="0"/>
        <w:spacing w:line="360" w:lineRule="auto"/>
        <w:rPr>
          <w:rFonts w:hint="eastAsia" w:ascii="宋体" w:hAnsi="宋体" w:eastAsia="宋体" w:cs="宋体"/>
          <w:b/>
          <w:sz w:val="24"/>
          <w:szCs w:val="24"/>
          <w:highlight w:val="none"/>
        </w:rPr>
      </w:pPr>
      <w:bookmarkStart w:id="60" w:name="_Toc183682361"/>
      <w:bookmarkStart w:id="61" w:name="_Toc217446051"/>
      <w:bookmarkStart w:id="62" w:name="_Toc183582224"/>
    </w:p>
    <w:p>
      <w:pPr>
        <w:pageBreakBefore w:val="0"/>
        <w:kinsoku/>
        <w:wordWrap/>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18.响应文件的编制和签署</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18.1 </w:t>
      </w:r>
      <w:r>
        <w:rPr>
          <w:rFonts w:hint="eastAsia" w:ascii="宋体" w:hAnsi="宋体" w:eastAsia="宋体" w:cs="宋体"/>
          <w:b/>
          <w:bCs/>
          <w:sz w:val="24"/>
          <w:szCs w:val="24"/>
          <w:highlight w:val="none"/>
        </w:rPr>
        <w:t>资格性响应文件正本1份副本2份（实质性要求）</w:t>
      </w:r>
      <w:r>
        <w:rPr>
          <w:rFonts w:hint="eastAsia" w:ascii="宋体" w:hAnsi="宋体" w:eastAsia="宋体" w:cs="宋体"/>
          <w:bCs/>
          <w:sz w:val="24"/>
          <w:szCs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18.2 </w:t>
      </w:r>
      <w:r>
        <w:rPr>
          <w:rFonts w:hint="eastAsia" w:ascii="宋体" w:hAnsi="宋体" w:eastAsia="宋体" w:cs="宋体"/>
          <w:b/>
          <w:sz w:val="24"/>
          <w:szCs w:val="24"/>
          <w:highlight w:val="none"/>
        </w:rPr>
        <w:t>其他响应文件正本1份副本2份（实质性要求）</w:t>
      </w:r>
      <w:r>
        <w:rPr>
          <w:rFonts w:hint="eastAsia" w:ascii="宋体" w:hAnsi="宋体" w:eastAsia="宋体" w:cs="宋体"/>
          <w:bCs/>
          <w:sz w:val="24"/>
          <w:szCs w:val="24"/>
          <w:highlight w:val="none"/>
        </w:rPr>
        <w:t>，并在其封面上清楚地标明其他响应文件、采购项目名称、采购项目编号、包件号及名称（若有）、供应商名称以及“正本”或“副本”字样。若正本和副本有不一致的内容，以正本书面响应文件为准。</w:t>
      </w:r>
    </w:p>
    <w:bookmarkEnd w:id="60"/>
    <w:bookmarkEnd w:id="61"/>
    <w:bookmarkEnd w:id="62"/>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18.3 响应文件正本和副本均需在规定签章处签字和盖章。响应文件副本可采用正本的复印件。</w:t>
      </w:r>
      <w:r>
        <w:rPr>
          <w:rFonts w:hint="eastAsia" w:ascii="宋体" w:hAnsi="宋体" w:eastAsia="宋体" w:cs="宋体"/>
          <w:b/>
          <w:bCs w:val="0"/>
          <w:sz w:val="24"/>
          <w:szCs w:val="24"/>
          <w:highlight w:val="none"/>
        </w:rPr>
        <w:t>电子文档1份</w:t>
      </w:r>
      <w:r>
        <w:rPr>
          <w:rFonts w:hint="eastAsia" w:ascii="宋体" w:hAnsi="宋体" w:eastAsia="宋体" w:cs="宋体"/>
          <w:bCs/>
          <w:sz w:val="24"/>
          <w:szCs w:val="24"/>
          <w:highlight w:val="none"/>
        </w:rPr>
        <w:t>采用U盘或光盘制作。</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18.4响应文件的打印和书写应清楚工整，任何行间插字、涂改或增删，必须由供应商的法定代表人/单位负责人或其授权代表签字并盖供应商公章。</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18.5响应文件应由供应商法定代表人/主要负责人/本人或其授权代表在响应文件要求的地方签字（注：</w:t>
      </w:r>
      <w:r>
        <w:rPr>
          <w:rFonts w:hint="eastAsia" w:ascii="宋体" w:hAnsi="宋体" w:eastAsia="宋体" w:cs="宋体"/>
          <w:sz w:val="24"/>
          <w:szCs w:val="24"/>
          <w:highlight w:val="none"/>
        </w:rPr>
        <w:t>供应商为法人的，应当由其法定代表人或者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签字确认；供应商为其他组织的，应当由其主要负责人或者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签字确认；供应商为自然人的，应当由其本人或者</w:t>
      </w:r>
      <w:r>
        <w:rPr>
          <w:rFonts w:hint="eastAsia" w:ascii="宋体" w:hAnsi="宋体" w:eastAsia="宋体" w:cs="宋体"/>
          <w:bCs/>
          <w:sz w:val="24"/>
          <w:szCs w:val="24"/>
          <w:highlight w:val="none"/>
        </w:rPr>
        <w:t>授权代表</w:t>
      </w:r>
      <w:r>
        <w:rPr>
          <w:rFonts w:hint="eastAsia" w:ascii="宋体" w:hAnsi="宋体" w:eastAsia="宋体" w:cs="宋体"/>
          <w:sz w:val="24"/>
          <w:szCs w:val="24"/>
          <w:highlight w:val="none"/>
        </w:rPr>
        <w:t>签字确认</w:t>
      </w:r>
      <w:r>
        <w:rPr>
          <w:rFonts w:hint="eastAsia" w:ascii="宋体" w:hAnsi="宋体" w:eastAsia="宋体" w:cs="宋体"/>
          <w:bCs/>
          <w:sz w:val="24"/>
          <w:szCs w:val="24"/>
          <w:highlight w:val="none"/>
        </w:rPr>
        <w:t>）或加盖私人印章，要求加盖公章的地方加盖单位公章，不得使用专用章（如经济合同章、投标专用章等）或下属单位印章代替。</w:t>
      </w:r>
    </w:p>
    <w:p>
      <w:pPr>
        <w:pageBreakBefore w:val="0"/>
        <w:kinsoku/>
        <w:wordWrap/>
        <w:overflowPunct/>
        <w:topLinePunct w:val="0"/>
        <w:bidi w:val="0"/>
        <w:spacing w:line="360" w:lineRule="auto"/>
        <w:ind w:firstLine="468" w:firstLineChars="195"/>
        <w:rPr>
          <w:rFonts w:hint="eastAsia" w:ascii="宋体" w:hAnsi="宋体" w:eastAsia="宋体" w:cs="宋体"/>
          <w:bCs/>
          <w:sz w:val="24"/>
          <w:szCs w:val="24"/>
          <w:highlight w:val="none"/>
        </w:rPr>
      </w:pPr>
      <w:r>
        <w:rPr>
          <w:rFonts w:hint="eastAsia" w:ascii="宋体" w:hAnsi="宋体" w:eastAsia="宋体" w:cs="宋体"/>
          <w:bCs/>
          <w:sz w:val="24"/>
          <w:szCs w:val="24"/>
          <w:highlight w:val="none"/>
        </w:rPr>
        <w:t>18.6响应文件正本和副本需要逐页编目编码。</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18.7响应文件正本和副本应当采用胶装方式装订成册，不得散装或者合页装订。</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18.8响应文件应根据磋商文件的要求制作，签署、盖章。</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b/>
          <w:sz w:val="24"/>
          <w:szCs w:val="24"/>
          <w:highlight w:val="none"/>
        </w:rPr>
      </w:pPr>
      <w:r>
        <w:rPr>
          <w:rFonts w:hint="eastAsia" w:ascii="宋体" w:hAnsi="宋体" w:eastAsia="宋体" w:cs="宋体"/>
          <w:sz w:val="24"/>
          <w:szCs w:val="24"/>
          <w:highlight w:val="none"/>
        </w:rPr>
        <w:t>18.9响应文件统一用A4幅面纸印制，除另有规定外。</w:t>
      </w:r>
      <w:bookmarkStart w:id="63" w:name="_Toc89075877"/>
      <w:bookmarkStart w:id="64" w:name="_Toc77400781"/>
      <w:bookmarkStart w:id="65" w:name="_Toc183582226"/>
      <w:bookmarkStart w:id="66" w:name="_Toc217446053"/>
      <w:bookmarkStart w:id="67" w:name="_Toc183682363"/>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19.响应文件的密封和标注（不属于本项目磋商小组评审范畴，由采购人、采购代理机构在接收响应文件时及时处理）</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19.1 响应文件可以单独密封包装，也可以所有响应文件密封包装在一个密封袋内。</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19.2 响应文件密封袋的最外层应清楚地标明采购项目名称、采购项目编号、包件号及名称（若有）、供应商名称。</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19.3 所有外层密封袋的封口处应粘贴牢固，并加盖投标人公章。</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19.4 未按要求进行密封的磋商文件将被拒收。</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20.响应文件的递交</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20.1 响应文件可以单独密封包装，也可以所有响应文件密封包装在一个密封袋内。</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 响应文件密封袋的最外层应清楚地标明采购项目名称、采购项目编号、包件号及名称（若有）、供应商名称。</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所有外层密封袋的封口处应粘贴牢固。</w:t>
      </w:r>
    </w:p>
    <w:p>
      <w:pPr>
        <w:pageBreakBefore w:val="0"/>
        <w:tabs>
          <w:tab w:val="left" w:pos="1080"/>
        </w:tabs>
        <w:kinsoku/>
        <w:wordWrap/>
        <w:overflowPunct/>
        <w:topLinePunct w:val="0"/>
        <w:bidi w:val="0"/>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20.4 未按以上要求进行密封和标注的响应文件，采购人、采购代理机构将拒收或者在时间允许的范围内，要求修改完善后接收。</w:t>
      </w:r>
    </w:p>
    <w:bookmarkEnd w:id="63"/>
    <w:bookmarkEnd w:id="64"/>
    <w:bookmarkEnd w:id="65"/>
    <w:bookmarkEnd w:id="66"/>
    <w:bookmarkEnd w:id="67"/>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bookmarkStart w:id="68" w:name="_Toc183582228"/>
      <w:bookmarkStart w:id="69" w:name="_Toc183682365"/>
      <w:bookmarkStart w:id="70" w:name="_Toc217446055"/>
    </w:p>
    <w:p>
      <w:pPr>
        <w:pageBreakBefore w:val="0"/>
        <w:tabs>
          <w:tab w:val="left" w:pos="1080"/>
        </w:tabs>
        <w:kinsoku/>
        <w:wordWrap/>
        <w:overflowPunct/>
        <w:topLinePunct w:val="0"/>
        <w:bidi w:val="0"/>
        <w:spacing w:line="360" w:lineRule="auto"/>
        <w:ind w:firstLine="463" w:firstLineChars="192"/>
        <w:rPr>
          <w:rFonts w:hint="eastAsia" w:ascii="宋体" w:hAnsi="宋体" w:eastAsia="宋体" w:cs="宋体"/>
          <w:b/>
          <w:sz w:val="24"/>
          <w:szCs w:val="24"/>
          <w:highlight w:val="none"/>
        </w:rPr>
      </w:pPr>
      <w:r>
        <w:rPr>
          <w:rFonts w:hint="eastAsia" w:ascii="宋体" w:hAnsi="宋体" w:eastAsia="宋体" w:cs="宋体"/>
          <w:b/>
          <w:sz w:val="24"/>
          <w:szCs w:val="24"/>
          <w:highlight w:val="none"/>
        </w:rPr>
        <w:t>21.响应文件的修改和撤回（补充、修改响应文件的密封和标注按照本章“19.响应文件的密封和标注”规定处理）</w:t>
      </w:r>
    </w:p>
    <w:p>
      <w:pPr>
        <w:pStyle w:val="9"/>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ageBreakBefore w:val="0"/>
        <w:kinsoku/>
        <w:wordWrap/>
        <w:overflowPunct/>
        <w:topLinePunct w:val="0"/>
        <w:bidi w:val="0"/>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21.2供应商对响应文件修改的书面材料或撤回的通知应该按规定进行编写、密封、标注和递送，并注明“修改响应文件”字样。</w:t>
      </w:r>
    </w:p>
    <w:p>
      <w:pPr>
        <w:pageBreakBefore w:val="0"/>
        <w:kinsoku/>
        <w:wordWrap/>
        <w:overflowPunct/>
        <w:topLinePunct w:val="0"/>
        <w:bidi w:val="0"/>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21.3供应商不得在递交截止时间起至响应文件有效期期满前撤销其响应文件。否则其磋商保证金将按相关规定不予退还。</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21.4 响应文件中报价如果出现下列不一致的，可按以下原则进行修改：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kern w:val="0"/>
          <w:sz w:val="24"/>
          <w:szCs w:val="24"/>
          <w:highlight w:val="none"/>
        </w:rPr>
        <w:t>大写金额和小写金额不一致的，以大写金额为准</w:t>
      </w:r>
      <w:r>
        <w:rPr>
          <w:rFonts w:hint="eastAsia" w:ascii="宋体" w:hAnsi="宋体" w:eastAsia="宋体" w:cs="宋体"/>
          <w:sz w:val="24"/>
          <w:szCs w:val="24"/>
          <w:highlight w:val="none"/>
        </w:rPr>
        <w:t>，但大写金额文字存在错误的，应当先对大写金额的文字错误进行澄清、说明或者更正，再行修正。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kern w:val="0"/>
          <w:sz w:val="24"/>
          <w:szCs w:val="24"/>
          <w:highlight w:val="none"/>
        </w:rPr>
        <w:t>总价金额与按单价汇总金额不一致的，以单价金额计算结果为准，</w:t>
      </w:r>
      <w:r>
        <w:rPr>
          <w:rFonts w:hint="eastAsia" w:ascii="宋体" w:hAnsi="宋体" w:eastAsia="宋体" w:cs="宋体"/>
          <w:sz w:val="24"/>
          <w:szCs w:val="24"/>
          <w:highlight w:val="none"/>
        </w:rPr>
        <w:t>但</w:t>
      </w:r>
      <w:r>
        <w:rPr>
          <w:rFonts w:hint="eastAsia" w:ascii="宋体" w:hAnsi="宋体" w:eastAsia="宋体" w:cs="宋体"/>
          <w:kern w:val="0"/>
          <w:sz w:val="24"/>
          <w:szCs w:val="24"/>
          <w:highlight w:val="none"/>
        </w:rPr>
        <w:t>单价或者单价汇总金额存在数字或者</w:t>
      </w:r>
      <w:r>
        <w:rPr>
          <w:rFonts w:hint="eastAsia" w:ascii="宋体" w:hAnsi="宋体" w:eastAsia="宋体" w:cs="宋体"/>
          <w:sz w:val="24"/>
          <w:szCs w:val="24"/>
          <w:highlight w:val="none"/>
        </w:rPr>
        <w:t>文字错误的，应当先对</w:t>
      </w:r>
      <w:r>
        <w:rPr>
          <w:rFonts w:hint="eastAsia" w:ascii="宋体" w:hAnsi="宋体" w:eastAsia="宋体" w:cs="宋体"/>
          <w:kern w:val="0"/>
          <w:sz w:val="24"/>
          <w:szCs w:val="24"/>
          <w:highlight w:val="none"/>
        </w:rPr>
        <w:t>数字或者</w:t>
      </w:r>
      <w:r>
        <w:rPr>
          <w:rFonts w:hint="eastAsia" w:ascii="宋体" w:hAnsi="宋体" w:eastAsia="宋体" w:cs="宋体"/>
          <w:sz w:val="24"/>
          <w:szCs w:val="24"/>
          <w:highlight w:val="none"/>
        </w:rPr>
        <w:t>文字错误进行澄清、说明或者更正，再行修正。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（三）单价金额小数点</w:t>
      </w:r>
      <w:r>
        <w:rPr>
          <w:rFonts w:hint="eastAsia" w:ascii="宋体" w:hAnsi="宋体" w:eastAsia="宋体" w:cs="宋体"/>
          <w:kern w:val="0"/>
          <w:sz w:val="24"/>
          <w:szCs w:val="24"/>
          <w:highlight w:val="none"/>
        </w:rPr>
        <w:t>或者百分比有明显错位的</w:t>
      </w:r>
      <w:r>
        <w:rPr>
          <w:rFonts w:hint="eastAsia" w:ascii="宋体" w:hAnsi="宋体" w:eastAsia="宋体" w:cs="宋体"/>
          <w:sz w:val="24"/>
          <w:szCs w:val="24"/>
          <w:highlight w:val="none"/>
        </w:rPr>
        <w:t>，以总价为准，修正单价。</w:t>
      </w:r>
    </w:p>
    <w:p>
      <w:pPr>
        <w:pageBreakBefore w:val="0"/>
        <w:kinsoku/>
        <w:wordWrap/>
        <w:overflowPunct/>
        <w:topLinePunct w:val="0"/>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21.5供应商对其提交的响应文件的真实性、合法性承担法律责任。</w:t>
      </w:r>
      <w:bookmarkEnd w:id="68"/>
      <w:bookmarkEnd w:id="69"/>
      <w:bookmarkEnd w:id="70"/>
    </w:p>
    <w:p>
      <w:pPr>
        <w:pageBreakBefore w:val="0"/>
        <w:widowControl/>
        <w:kinsoku/>
        <w:wordWrap/>
        <w:overflowPunct/>
        <w:topLinePunct w:val="0"/>
        <w:bidi w:val="0"/>
        <w:spacing w:line="360" w:lineRule="auto"/>
        <w:ind w:firstLine="482"/>
        <w:jc w:val="center"/>
        <w:rPr>
          <w:rFonts w:hint="eastAsia" w:ascii="宋体" w:hAnsi="宋体" w:eastAsia="宋体" w:cs="宋体"/>
          <w:b/>
          <w:bCs/>
          <w:kern w:val="2"/>
          <w:sz w:val="24"/>
          <w:szCs w:val="24"/>
          <w:highlight w:val="none"/>
          <w:lang w:val="en-US" w:eastAsia="zh-CN" w:bidi="ar-SA"/>
        </w:rPr>
      </w:pPr>
      <w:bookmarkStart w:id="71" w:name="_Toc183682368"/>
      <w:bookmarkStart w:id="72" w:name="_Toc183582231"/>
      <w:bookmarkStart w:id="73" w:name="_Toc77400782"/>
      <w:bookmarkStart w:id="74" w:name="_Toc89075878"/>
      <w:bookmarkStart w:id="75" w:name="_Toc217446056"/>
    </w:p>
    <w:p>
      <w:pPr>
        <w:pageBreakBefore w:val="0"/>
        <w:widowControl/>
        <w:kinsoku/>
        <w:wordWrap/>
        <w:overflowPunct/>
        <w:topLinePunct w:val="0"/>
        <w:bidi w:val="0"/>
        <w:spacing w:afterAutospacing="0" w:line="360" w:lineRule="auto"/>
        <w:ind w:firstLine="482"/>
        <w:jc w:val="center"/>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eastAsia="zh-CN" w:bidi="ar-SA"/>
        </w:rPr>
        <w:t>五、评审</w:t>
      </w: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22.磋商小组的组建及其评审工作按照有关法律制度和本文件第八章的规定进行。</w:t>
      </w:r>
    </w:p>
    <w:p>
      <w:pPr>
        <w:pStyle w:val="4"/>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p>
    <w:p>
      <w:pPr>
        <w:pStyle w:val="4"/>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六、成交事项</w:t>
      </w:r>
    </w:p>
    <w:p>
      <w:pPr>
        <w:pStyle w:val="5"/>
        <w:pageBreakBefore w:val="0"/>
        <w:kinsoku/>
        <w:wordWrap/>
        <w:overflowPunct/>
        <w:topLinePunct w:val="0"/>
        <w:bidi w:val="0"/>
        <w:spacing w:before="0" w:beforeAutospacing="0" w:after="0" w:afterAutospacing="0"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23.确定成交供应商</w:t>
      </w:r>
    </w:p>
    <w:p>
      <w:pPr>
        <w:pStyle w:val="14"/>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本项目采用方式一确定成交供应商。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方式一：采购人将按磋商小组推荐的成交候选供应商顺序确定成交供应商。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方式二：采购人授权磋商小组根据综合评分排名直接确定成交供应商。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23.1采购代理机构自评审结束后2个工作日内将磋商报告及有关资料送交采购人确定成交供应商。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23.2采购人收到磋商报告及有关资料后，将在</w:t>
      </w:r>
      <w:r>
        <w:rPr>
          <w:rFonts w:hint="eastAsia" w:hAnsi="宋体" w:cs="宋体"/>
          <w:sz w:val="24"/>
          <w:szCs w:val="24"/>
          <w:highlight w:val="none"/>
          <w:lang w:val="en-US" w:eastAsia="zh-CN"/>
        </w:rPr>
        <w:t>3</w:t>
      </w:r>
      <w:r>
        <w:rPr>
          <w:rFonts w:hint="eastAsia" w:ascii="宋体" w:hAnsi="宋体" w:eastAsia="宋体" w:cs="宋体"/>
          <w:sz w:val="24"/>
          <w:szCs w:val="24"/>
          <w:highlight w:val="none"/>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23.3采购人确定成交供应商过程中，发现成交候选供应商有下列情形之一的，应当不予确定其为成交供应商：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（1）发现成交候选供应商存在禁止参加本项目采购活动的违法行为的；</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（2）成交候选供应商因不可抗力，不能继续参加政府采购活动；</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（3）成交候选供应商无偿赠与或者低于成本价竞争；</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（4）成交候选供应商提供虚假材料；</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（5）成交候选供应商恶意串通。</w:t>
      </w:r>
    </w:p>
    <w:p>
      <w:pPr>
        <w:pStyle w:val="14"/>
        <w:pageBreakBefore w:val="0"/>
        <w:kinsoku/>
        <w:wordWrap/>
        <w:overflowPunct/>
        <w:topLinePunct w:val="0"/>
        <w:bidi w:val="0"/>
        <w:spacing w:line="360" w:lineRule="auto"/>
        <w:ind w:firstLine="480"/>
        <w:rPr>
          <w:rFonts w:hint="eastAsia" w:ascii="宋体" w:hAnsi="宋体" w:eastAsia="宋体" w:cs="宋体"/>
          <w:b/>
          <w:bCs/>
          <w:sz w:val="24"/>
          <w:szCs w:val="24"/>
          <w:highlight w:val="none"/>
        </w:rPr>
      </w:pPr>
      <w:r>
        <w:rPr>
          <w:rFonts w:hint="eastAsia" w:ascii="宋体" w:hAnsi="宋体" w:eastAsia="宋体" w:cs="宋体"/>
          <w:sz w:val="24"/>
          <w:szCs w:val="24"/>
          <w:highlight w:val="none"/>
        </w:rPr>
        <w:t>成交候选供应商有本条情形之一的，采购人可以确定后一位成交候选供应商为成交供应商，依次类推。无法确定成交供应商的，应当重新组织采购。</w:t>
      </w:r>
    </w:p>
    <w:p>
      <w:pPr>
        <w:pStyle w:val="14"/>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p>
    <w:p>
      <w:pPr>
        <w:pStyle w:val="14"/>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24.行贿犯罪档案查询</w:t>
      </w:r>
    </w:p>
    <w:p>
      <w:pPr>
        <w:pStyle w:val="14"/>
        <w:pageBreakBefore w:val="0"/>
        <w:kinsoku/>
        <w:wordWrap/>
        <w:overflowPunct/>
        <w:topLinePunct w:val="0"/>
        <w:bidi w:val="0"/>
        <w:spacing w:line="360" w:lineRule="auto"/>
        <w:ind w:firstLine="480"/>
        <w:rPr>
          <w:rFonts w:hint="eastAsia" w:ascii="宋体" w:hAnsi="宋体" w:eastAsia="宋体" w:cs="宋体"/>
          <w:b/>
          <w:bCs/>
          <w:sz w:val="24"/>
          <w:szCs w:val="24"/>
          <w:highlight w:val="none"/>
        </w:rPr>
      </w:pPr>
      <w:r>
        <w:rPr>
          <w:rFonts w:hint="eastAsia" w:ascii="宋体" w:hAnsi="宋体" w:eastAsia="宋体" w:cs="宋体"/>
          <w:sz w:val="24"/>
          <w:szCs w:val="24"/>
          <w:highlight w:val="none"/>
        </w:rPr>
        <w:t>24.1成交候选供应商单位及其现任法定代表人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14"/>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p>
    <w:p>
      <w:pPr>
        <w:pStyle w:val="14"/>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25.成交结果</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25.1采购人确定成交供应商后，将及时书面通知采购代理机构，发出成交通知书并发布成交结果公告。</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25.2成交供应商应当及时领取成交通知书。本项目需要交纳履约保证金的，成交供应商应当及时向采购人交纳。</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25.3成交供应商不能及时领取成交通知书，采购人或者采购代理机应当通过邮寄、快递等方式将项目成交通知书送达成交供应商。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p>
    <w:p>
      <w:pPr>
        <w:pStyle w:val="14"/>
        <w:pageBreakBefore w:val="0"/>
        <w:kinsoku/>
        <w:wordWrap/>
        <w:overflowPunct/>
        <w:topLinePunct w:val="0"/>
        <w:bidi w:val="0"/>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26.成交通知书</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26.1成交通知书为签订政府采购合同的依据之一，是合同的有效组成部分。</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26.2成交通知书对采购人和成交供应商均具有法律效力。成交通知书发出后，采购人无正当理由改变成交结果，或者成交供应商无正当理由放弃成交的，将承担相应的法律责任。</w:t>
      </w:r>
    </w:p>
    <w:p>
      <w:pPr>
        <w:pStyle w:val="14"/>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kinsoku/>
        <w:wordWrap/>
        <w:overflowPunct/>
        <w:topLinePunct w:val="0"/>
        <w:bidi w:val="0"/>
        <w:spacing w:before="0" w:beforeAutospacing="0" w:after="0" w:afterAutospacing="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七、合同事项</w:t>
      </w:r>
    </w:p>
    <w:p>
      <w:pPr>
        <w:pStyle w:val="5"/>
        <w:pageBreakBefore w:val="0"/>
        <w:kinsoku/>
        <w:wordWrap/>
        <w:overflowPunct/>
        <w:topLinePunct w:val="0"/>
        <w:bidi w:val="0"/>
        <w:spacing w:after="0" w:afterAutospacing="0" w:line="360" w:lineRule="auto"/>
        <w:ind w:firstLine="482"/>
        <w:rPr>
          <w:rFonts w:hint="eastAsia" w:ascii="宋体" w:hAnsi="宋体" w:eastAsia="宋体" w:cs="宋体"/>
          <w:sz w:val="24"/>
          <w:szCs w:val="24"/>
          <w:highlight w:val="none"/>
        </w:rPr>
      </w:pPr>
      <w:bookmarkStart w:id="76" w:name="_Toc430773927"/>
      <w:bookmarkStart w:id="77" w:name="_Toc101338364"/>
      <w:bookmarkStart w:id="78" w:name="_Toc101250646"/>
      <w:bookmarkStart w:id="79" w:name="_Toc209847069"/>
      <w:bookmarkStart w:id="80" w:name="_Toc101174151"/>
      <w:r>
        <w:rPr>
          <w:rFonts w:hint="eastAsia" w:ascii="宋体" w:hAnsi="宋体" w:eastAsia="宋体" w:cs="宋体"/>
          <w:sz w:val="24"/>
          <w:szCs w:val="24"/>
          <w:highlight w:val="none"/>
        </w:rPr>
        <w:t>27.签订合同</w:t>
      </w:r>
      <w:bookmarkEnd w:id="76"/>
      <w:bookmarkEnd w:id="77"/>
      <w:bookmarkEnd w:id="78"/>
      <w:bookmarkEnd w:id="79"/>
      <w:bookmarkEnd w:id="80"/>
    </w:p>
    <w:p>
      <w:pPr>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27.2 磋商文件、成交供应商的响应文件及双方确认的澄清文件等，均为有法律约束力的合同组成部分。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27.4 成交供应商因不可抗力原因不能履行采购合同或放弃成交的，采购人可以与排在成交供应商之后第一位的成交候选人签订采购合同，以此类推。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27.5竞争性磋商文件、成交供应商提交的响应文件、磋商中的最后报价、成交供应商承诺书、成交通知书等均称为有法律约束力的合同组成内容。</w:t>
      </w:r>
    </w:p>
    <w:p>
      <w:pPr>
        <w:pageBreakBefore w:val="0"/>
        <w:numPr>
          <w:ilvl w:val="0"/>
          <w:numId w:val="0"/>
        </w:numPr>
        <w:kinsoku/>
        <w:wordWrap/>
        <w:overflowPunct/>
        <w:topLinePunct w:val="0"/>
        <w:bidi w:val="0"/>
        <w:spacing w:line="360" w:lineRule="auto"/>
        <w:ind w:firstLine="482" w:firstLineChars="200"/>
        <w:rPr>
          <w:rFonts w:hint="eastAsia" w:ascii="宋体" w:hAnsi="宋体" w:cs="宋体"/>
          <w:b/>
          <w:sz w:val="24"/>
          <w:szCs w:val="24"/>
          <w:highlight w:val="none"/>
          <w:lang w:val="en-US" w:eastAsia="zh-CN"/>
        </w:rPr>
      </w:pPr>
    </w:p>
    <w:p>
      <w:pPr>
        <w:pageBreakBefore w:val="0"/>
        <w:numPr>
          <w:ilvl w:val="0"/>
          <w:numId w:val="0"/>
        </w:numPr>
        <w:kinsoku/>
        <w:wordWrap/>
        <w:overflowPunct/>
        <w:topLinePunct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28.</w:t>
      </w:r>
      <w:r>
        <w:rPr>
          <w:rFonts w:hint="eastAsia" w:ascii="宋体" w:hAnsi="宋体" w:eastAsia="宋体" w:cs="宋体"/>
          <w:b/>
          <w:sz w:val="24"/>
          <w:szCs w:val="24"/>
          <w:highlight w:val="none"/>
        </w:rPr>
        <w:t>合同分包（实质性要求）</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允许分包。</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获取政府采购合同后，小型、微型企业不得分包或转包给大型、中型企业，中型企业不得分包或转包给大型企业。</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29.合同转包（实质性要求）</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成交供应商转包的，视同拒绝履行政府采购合同义务，将依法追究法律责任。</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30.补充合同</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31.履约保证金</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本项目无需缴纳履约保证金</w:t>
      </w:r>
      <w:r>
        <w:rPr>
          <w:rFonts w:hint="eastAsia" w:ascii="宋体" w:hAnsi="宋体" w:cs="宋体"/>
          <w:b/>
          <w:sz w:val="24"/>
          <w:szCs w:val="24"/>
          <w:highlight w:val="none"/>
          <w:lang w:eastAsia="zh-CN"/>
        </w:rPr>
        <w:t>）</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32.合同公告</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采购人应当自政府采购合同签订（双方当事人均已签字盖章）之日起2个工作日内，将政府采购合同在四川政府采购网上公告，但政府采购合同中涉及国家秘密、商业秘密的内容除外。</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33.合同备案</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采购人应当将政府采购合同副本自签订（双方当事人均已签字盖章）之日起七个工作日内通过四川政府采购网报同级财政部门备案。</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34.履行合同</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34.1 成交供应商与采购人签订合同后，合同双方应严格执行合同条款，履行合同规定的义务，保证合同的顺利完成。</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34.2 在合同履行过程中，如发生合同纠纷，合同双方应按照合同约定及《中华人民共和国</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》的有关规定进行处理。</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35.验收</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35.1本项目采购人将严格按照政府采购相关法律法规以及</w:t>
      </w:r>
      <w:r>
        <w:rPr>
          <w:rFonts w:hint="eastAsia" w:ascii="宋体" w:hAnsi="宋体" w:eastAsia="宋体" w:cs="宋体"/>
          <w:sz w:val="24"/>
          <w:szCs w:val="24"/>
          <w:highlight w:val="none"/>
          <w:lang w:val="en-US" w:eastAsia="zh-CN"/>
        </w:rPr>
        <w:t>《财政部关于进一步加强政府采购需求和履约验收管理的指导意见》(财库〔2016〕205 号)</w:t>
      </w:r>
      <w:r>
        <w:rPr>
          <w:rFonts w:hint="eastAsia" w:ascii="宋体" w:hAnsi="宋体" w:eastAsia="宋体" w:cs="宋体"/>
          <w:sz w:val="24"/>
          <w:szCs w:val="24"/>
          <w:highlight w:val="none"/>
        </w:rPr>
        <w:t>的要求进行验收。</w:t>
      </w:r>
    </w:p>
    <w:p>
      <w:pPr>
        <w:pageBreakBefore w:val="0"/>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35.2 验收结果合格的，成交供应商凭验收报告办理相关手续；验收结果不合格的，将不予支付采购资金。</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36.资金支付</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采购人将按照政府采购合同规定，及时向成交供应商支付采购资金。本项目采购资金付款详见第五章规定的付款方式。</w:t>
      </w:r>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p>
    <w:p>
      <w:pPr>
        <w:pStyle w:val="4"/>
        <w:keepNext w:val="0"/>
        <w:keepLines w:val="0"/>
        <w:pageBreakBefore w:val="0"/>
        <w:kinsoku/>
        <w:wordWrap/>
        <w:overflowPunct/>
        <w:topLinePunct w:val="0"/>
        <w:bidi w:val="0"/>
        <w:spacing w:before="0" w:after="0" w:line="360" w:lineRule="auto"/>
        <w:ind w:firstLine="643"/>
        <w:rPr>
          <w:rFonts w:hint="eastAsia" w:ascii="宋体" w:hAnsi="宋体" w:eastAsia="宋体" w:cs="宋体"/>
          <w:sz w:val="24"/>
          <w:szCs w:val="24"/>
          <w:highlight w:val="none"/>
        </w:rPr>
      </w:pPr>
      <w:r>
        <w:rPr>
          <w:rFonts w:hint="eastAsia" w:ascii="宋体" w:hAnsi="宋体" w:eastAsia="宋体" w:cs="宋体"/>
          <w:sz w:val="24"/>
          <w:szCs w:val="24"/>
          <w:highlight w:val="none"/>
        </w:rPr>
        <w:t>八、磋商纪律要求</w:t>
      </w:r>
    </w:p>
    <w:p>
      <w:pPr>
        <w:pageBreakBefore w:val="0"/>
        <w:tabs>
          <w:tab w:val="left" w:pos="851"/>
        </w:tabs>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37.供应商不得具有的情形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供应商参加本项目磋商不得有下列情形：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（1）提供虚假材料谋取成交；</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（2）采取不正当手段诋毁、排挤其他供应商；</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（3）与采购人、采购代理机构、或其他供应商恶意串通；</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（4）向采购人、采购代理机构、磋商小组成员行贿或者提供其他不正当利益；</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（5）在磋商过程中与采购人、采购代理机构进行协商；</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（6）成交后无正当理由拒不与采购人签订政府采购合同；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（7）未按照磋商文件确定的事项签订政府采购合同；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（8）将政府采购合同转包或者违规分包；</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（9）提供假冒伪劣产品；</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（10）擅自变更、中止或者终止政府采购合同；</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（11）拒绝有关部门的监督检查或者向监督检查部门提供虚假情况；</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（12）法律法规规定的其他情形。</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供应商有上述情形的，按照规定追究法律责任，具备（1）-（10）条情形之一的，同时将取消被确认为成交供应商的资格或者认定成交无效。</w:t>
      </w: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b/>
          <w:sz w:val="24"/>
          <w:szCs w:val="24"/>
          <w:highlight w:val="none"/>
        </w:rPr>
      </w:pP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九、询问、质疑和投诉</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38.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知》和《四川省政府采购投标人投诉处理工作规程》的规定办理（详细规定请在四川政府采购网政策法规模块查询）。</w:t>
      </w: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b/>
          <w:sz w:val="24"/>
          <w:szCs w:val="24"/>
          <w:highlight w:val="none"/>
        </w:rPr>
      </w:pPr>
    </w:p>
    <w:p>
      <w:pPr>
        <w:pageBreakBefore w:val="0"/>
        <w:tabs>
          <w:tab w:val="left" w:pos="851"/>
        </w:tabs>
        <w:kinsoku/>
        <w:wordWrap/>
        <w:overflowPunct/>
        <w:topLinePunct w:val="0"/>
        <w:bidi w:val="0"/>
        <w:spacing w:line="360" w:lineRule="auto"/>
        <w:ind w:firstLine="643"/>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十、其  他</w:t>
      </w:r>
    </w:p>
    <w:p>
      <w:pPr>
        <w:pageBreakBefore w:val="0"/>
        <w:tabs>
          <w:tab w:val="left" w:pos="851"/>
        </w:tabs>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ageBreakBefore w:val="0"/>
        <w:kinsoku/>
        <w:wordWrap/>
        <w:overflowPunct/>
        <w:topLinePunct w:val="0"/>
        <w:bidi w:val="0"/>
        <w:spacing w:line="360" w:lineRule="auto"/>
        <w:ind w:firstLine="480"/>
        <w:rPr>
          <w:rFonts w:hint="eastAsia" w:ascii="宋体" w:hAnsi="宋体" w:eastAsia="宋体" w:cs="宋体"/>
          <w:sz w:val="28"/>
          <w:szCs w:val="28"/>
          <w:highlight w:val="none"/>
        </w:rPr>
      </w:pPr>
      <w:r>
        <w:rPr>
          <w:rFonts w:hint="eastAsia" w:ascii="宋体" w:hAnsi="宋体" w:eastAsia="宋体" w:cs="宋体"/>
          <w:sz w:val="24"/>
          <w:szCs w:val="24"/>
          <w:highlight w:val="none"/>
        </w:rPr>
        <w:t>40.</w:t>
      </w:r>
      <w:r>
        <w:rPr>
          <w:rFonts w:hint="eastAsia" w:ascii="宋体" w:hAnsi="宋体" w:eastAsia="宋体" w:cs="宋体"/>
          <w:b/>
          <w:sz w:val="24"/>
          <w:szCs w:val="24"/>
          <w:highlight w:val="none"/>
        </w:rPr>
        <w:t>（实质性要求）</w:t>
      </w:r>
      <w:r>
        <w:rPr>
          <w:rFonts w:hint="eastAsia" w:ascii="宋体" w:hAnsi="宋体" w:eastAsia="宋体" w:cs="宋体"/>
          <w:sz w:val="24"/>
          <w:szCs w:val="24"/>
          <w:highlight w:val="none"/>
        </w:rPr>
        <w:t>国家或行业主管部门对供应商和采购产品的技术标准、质量标准和资格资质条件等有强制性规定的，必须符合其要求。</w:t>
      </w:r>
    </w:p>
    <w:p>
      <w:pPr>
        <w:pageBreakBefore w:val="0"/>
        <w:kinsoku/>
        <w:wordWrap/>
        <w:overflowPunct/>
        <w:topLinePunct w:val="0"/>
        <w:bidi w:val="0"/>
        <w:spacing w:line="480" w:lineRule="auto"/>
        <w:ind w:firstLine="480"/>
        <w:rPr>
          <w:rFonts w:hint="eastAsia" w:ascii="宋体" w:hAnsi="宋体" w:eastAsia="宋体" w:cs="宋体"/>
          <w:sz w:val="28"/>
          <w:szCs w:val="28"/>
          <w:highlight w:val="none"/>
        </w:rPr>
        <w:sectPr>
          <w:footerReference r:id="rId12" w:type="default"/>
          <w:pgSz w:w="11906" w:h="16838"/>
          <w:pgMar w:top="1440" w:right="1080" w:bottom="1440" w:left="1080" w:header="1247" w:footer="992" w:gutter="0"/>
          <w:pgNumType w:fmt="decimal" w:start="1"/>
          <w:cols w:space="720" w:num="1"/>
          <w:docGrid w:linePitch="326" w:charSpace="0"/>
        </w:sectPr>
      </w:pPr>
    </w:p>
    <w:p>
      <w:pPr>
        <w:pStyle w:val="23"/>
        <w:bidi w:val="0"/>
        <w:rPr>
          <w:rFonts w:hint="eastAsia"/>
          <w:highlight w:val="none"/>
        </w:rPr>
      </w:pPr>
      <w:bookmarkStart w:id="81" w:name="_Toc1012"/>
      <w:bookmarkStart w:id="82" w:name="_Toc509579142"/>
      <w:r>
        <w:rPr>
          <w:rFonts w:hint="eastAsia"/>
          <w:highlight w:val="none"/>
        </w:rPr>
        <w:t>第三章  供应商和报价产品的资格、资质性及其他类似效力要求</w:t>
      </w:r>
      <w:bookmarkEnd w:id="81"/>
      <w:bookmarkEnd w:id="82"/>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一、参加磋商的供应商应具备下列资格条件：</w:t>
      </w:r>
    </w:p>
    <w:p>
      <w:pPr>
        <w:pageBreakBefore w:val="0"/>
        <w:kinsoku/>
        <w:wordWrap/>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（一）《中华人民共和国政府采购法》第二十二条第一款第1项至第6项规定的条件：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pPr>
        <w:tabs>
          <w:tab w:val="left" w:pos="766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pPr>
        <w:tabs>
          <w:tab w:val="left" w:pos="766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7.本项目不接受联合体投标。</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.根据采购项目提出的特殊条件：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没有行贿犯罪记录；</w:t>
      </w:r>
    </w:p>
    <w:p>
      <w:pPr>
        <w:tabs>
          <w:tab w:val="left" w:pos="7665"/>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9.本项目专门面向中小企业采购。</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.按照本项目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文件要求购买了</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 xml:space="preserve"> </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（二）其他类似效力要求：</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1.授权参加本次采购活动的供应商代表证明材料。</w:t>
      </w:r>
    </w:p>
    <w:p>
      <w:pPr>
        <w:pageBreakBefore w:val="0"/>
        <w:kinsoku/>
        <w:wordWrap/>
        <w:overflowPunct/>
        <w:topLinePunct w:val="0"/>
        <w:bidi w:val="0"/>
        <w:spacing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二、报价产品的资格、资质性及其他类似效力要求：无。</w:t>
      </w:r>
    </w:p>
    <w:p>
      <w:pPr>
        <w:pageBreakBefore w:val="0"/>
        <w:kinsoku/>
        <w:wordWrap/>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宋体" w:hAnsi="宋体" w:eastAsia="宋体" w:cs="宋体"/>
          <w:sz w:val="24"/>
          <w:szCs w:val="24"/>
          <w:highlight w:val="none"/>
        </w:rPr>
        <w:br w:type="page"/>
      </w:r>
    </w:p>
    <w:p>
      <w:pPr>
        <w:pStyle w:val="23"/>
        <w:numPr>
          <w:ilvl w:val="0"/>
          <w:numId w:val="3"/>
        </w:numPr>
        <w:bidi w:val="0"/>
        <w:rPr>
          <w:rFonts w:hint="eastAsia"/>
          <w:highlight w:val="none"/>
        </w:rPr>
      </w:pPr>
      <w:bookmarkStart w:id="83" w:name="_Toc509579143"/>
      <w:r>
        <w:rPr>
          <w:rFonts w:hint="eastAsia"/>
          <w:highlight w:val="none"/>
        </w:rPr>
        <w:t xml:space="preserve"> </w:t>
      </w:r>
      <w:bookmarkStart w:id="84" w:name="_Toc29302"/>
      <w:r>
        <w:rPr>
          <w:rFonts w:hint="eastAsia"/>
          <w:highlight w:val="none"/>
          <w:lang w:val="en-US" w:eastAsia="zh-CN"/>
        </w:rPr>
        <w:t>供应商应当提供的资格、资质性及其他类似效力要求的相关证明材料</w:t>
      </w:r>
      <w:bookmarkEnd w:id="83"/>
      <w:bookmarkEnd w:id="84"/>
    </w:p>
    <w:p>
      <w:pPr>
        <w:pageBreakBefore w:val="0"/>
        <w:kinsoku/>
        <w:wordWrap/>
        <w:overflowPunct/>
        <w:topLinePunct w:val="0"/>
        <w:bidi w:val="0"/>
        <w:spacing w:line="360" w:lineRule="auto"/>
        <w:ind w:firstLine="551" w:firstLineChars="196"/>
        <w:rPr>
          <w:rFonts w:hint="eastAsia" w:ascii="宋体" w:hAnsi="宋体" w:eastAsia="宋体" w:cs="宋体"/>
          <w:b/>
          <w:sz w:val="28"/>
          <w:szCs w:val="28"/>
          <w:highlight w:val="none"/>
        </w:rPr>
      </w:pPr>
      <w:r>
        <w:rPr>
          <w:rFonts w:hint="eastAsia" w:ascii="宋体" w:hAnsi="宋体" w:eastAsia="宋体" w:cs="宋体"/>
          <w:b/>
          <w:sz w:val="28"/>
          <w:szCs w:val="28"/>
          <w:highlight w:val="none"/>
        </w:rPr>
        <w:t>一、应当提供的供应商资格、资质性及其他类似效力要求的相关证明材料</w:t>
      </w:r>
    </w:p>
    <w:p>
      <w:pPr>
        <w:pageBreakBefore w:val="0"/>
        <w:kinsoku/>
        <w:wordWrap/>
        <w:overflowPunct/>
        <w:topLinePunct w:val="0"/>
        <w:bidi w:val="0"/>
        <w:spacing w:line="360" w:lineRule="auto"/>
        <w:ind w:firstLine="236" w:firstLineChars="98"/>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（一）资格要求相关证明材料：</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2、具备良好商业信誉的证明材料（可提供承诺函，详见第七章：格式1-3）；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3、具备健全的财务会计制度的证明材料。｛注：①可提供2019</w:t>
      </w:r>
      <w:r>
        <w:rPr>
          <w:rFonts w:hint="eastAsia" w:ascii="宋体" w:hAnsi="宋体" w:cs="宋体"/>
          <w:sz w:val="24"/>
          <w:szCs w:val="24"/>
          <w:highlight w:val="none"/>
          <w:lang w:val="en-US" w:eastAsia="zh-CN"/>
        </w:rPr>
        <w:t>或2020</w:t>
      </w:r>
      <w:r>
        <w:rPr>
          <w:rFonts w:hint="eastAsia" w:ascii="宋体" w:hAnsi="宋体" w:eastAsia="宋体" w:cs="宋体"/>
          <w:sz w:val="24"/>
          <w:szCs w:val="24"/>
          <w:highlight w:val="none"/>
        </w:rPr>
        <w:t>年度经审计的财务报告复印件（包含审计报告和审计报告中所涉及的财务报表和报表附注），②也可提供2019</w:t>
      </w:r>
      <w:r>
        <w:rPr>
          <w:rFonts w:hint="eastAsia" w:ascii="宋体" w:hAnsi="宋体" w:cs="宋体"/>
          <w:sz w:val="24"/>
          <w:szCs w:val="24"/>
          <w:highlight w:val="none"/>
          <w:lang w:val="en-US" w:eastAsia="zh-CN"/>
        </w:rPr>
        <w:t>或2020</w:t>
      </w:r>
      <w:r>
        <w:rPr>
          <w:rFonts w:hint="eastAsia" w:ascii="宋体" w:hAnsi="宋体" w:eastAsia="宋体" w:cs="宋体"/>
          <w:sz w:val="24"/>
          <w:szCs w:val="24"/>
          <w:highlight w:val="none"/>
        </w:rPr>
        <w:t>年度供应商内部的财务报表复印件（至少包含资产负债表），③也可提供截至响应文件递交截止日一年内银行出具的资信证明（复印件），④供应商注册时间截至响应文件递交截止日不足一年的，提供在工商备案的公司章程（复印件）。｝</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4、具有依法缴纳税收和社会保障资金的良好记录的证明材料</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（1）①可提供20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年至今任意一个月的纳税证明材料和社保缴纳证明材料②也可提供承诺函，详见第七章：格式1-3。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（2）依法免税和不需要缴纳社会保障资金的供应商，应提供相应文件证明。</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5、具备履行合同所必需的设备和专业技术能力的证明材料（可提供承诺函，详见第七章：格式1-3）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6、参加政府采购活动前3年内在经营活动中没有重大违法记录的承诺函（（可提供承诺函，详见第七章：格式1-3）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7、具备法律、行政法规规定的其他条件的证明材料（可提供承诺函，详见第七章：格式1-3）；</w:t>
      </w:r>
    </w:p>
    <w:p>
      <w:pPr>
        <w:pageBreakBefore w:val="0"/>
        <w:kinsoku/>
        <w:wordWrap/>
        <w:overflowPunct/>
        <w:topLinePunct w:val="0"/>
        <w:bidi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8、根据采购项目提出的特殊条件：</w:t>
      </w:r>
    </w:p>
    <w:p>
      <w:pPr>
        <w:pageBreakBefore w:val="0"/>
        <w:kinsoku/>
        <w:wordWrap/>
        <w:overflowPunct/>
        <w:topLinePunct w:val="0"/>
        <w:bidi w:val="0"/>
        <w:spacing w:after="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不得具有行犯罪记录的承诺函（原件）；</w:t>
      </w:r>
    </w:p>
    <w:p>
      <w:pPr>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本项目专门面向中小企业采购（监狱企业、残疾人福利性单位视同小微企业）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提供《中小企业声明函》</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《残疾人福利性单位声明函》原件。监狱管理局、戒毒管理局(含新疆生产建设兵团)出具的属于监狱企业的证明文件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pPr>
        <w:pStyle w:val="2"/>
        <w:pageBreakBefore w:val="0"/>
        <w:kinsoku/>
        <w:wordWrap/>
        <w:overflowPunct/>
        <w:topLinePunct w:val="0"/>
        <w:bidi w:val="0"/>
        <w:spacing w:line="360" w:lineRule="auto"/>
        <w:ind w:left="0" w:leftChars="0" w:right="391" w:rightChars="163" w:firstLine="480"/>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按照本项目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文件要求购买了</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文件（供应商不需要对本条提供证明材料，由采购代理机构提供供应商购买竞争性磋商文件情况的材料）；</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（二）其他类似效力要求相关证明材料：</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）法定代表人/单位负责人授权代理书原件</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法定代表人/单位负责人</w:t>
      </w:r>
      <w:r>
        <w:rPr>
          <w:rFonts w:hint="eastAsia" w:ascii="宋体" w:hAnsi="宋体" w:eastAsia="宋体" w:cs="宋体"/>
          <w:sz w:val="24"/>
          <w:szCs w:val="24"/>
          <w:highlight w:val="none"/>
        </w:rPr>
        <w:t>身份证明材料复印件</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代理人身份证明材料复印件</w:t>
      </w:r>
      <w:r>
        <w:rPr>
          <w:rFonts w:hint="eastAsia" w:ascii="宋体" w:hAnsi="宋体" w:eastAsia="宋体" w:cs="宋体"/>
          <w:b/>
          <w:bCs/>
          <w:highlight w:val="none"/>
        </w:rPr>
        <w:t>（</w:t>
      </w:r>
      <w:r>
        <w:rPr>
          <w:rFonts w:hint="eastAsia" w:ascii="宋体" w:hAnsi="宋体" w:cs="宋体"/>
          <w:b/>
          <w:bCs/>
          <w:sz w:val="24"/>
          <w:szCs w:val="24"/>
          <w:highlight w:val="none"/>
          <w:lang w:val="en-US" w:eastAsia="zh-CN"/>
        </w:rPr>
        <w:t>如为法定代表人/单位负责人或自然人直接参与磋商时提供身份证明材料复印件即可</w:t>
      </w:r>
      <w:r>
        <w:rPr>
          <w:rFonts w:hint="eastAsia" w:ascii="宋体" w:hAnsi="宋体" w:eastAsia="宋体" w:cs="宋体"/>
          <w:b/>
          <w:bCs/>
          <w:highlight w:val="none"/>
        </w:rPr>
        <w:t>）。</w:t>
      </w:r>
    </w:p>
    <w:p>
      <w:pPr>
        <w:pageBreakBefore w:val="0"/>
        <w:kinsoku/>
        <w:wordWrap/>
        <w:overflowPunct/>
        <w:topLinePunct w:val="0"/>
        <w:bidi w:val="0"/>
        <w:spacing w:after="5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二、供应商应提供的报价产品的资格、资质性及其他类似效力要求的相关证明材料：无。</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本章要求提供的相关证明材料应当与第三章的规定要求对应，除投标人自愿以外，不能要求投标人提供额外的证明材料。如果要求提供额外的证明材料，投标人有权不予提供，且不影响磋商文件的有效性和完整性。</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2.本章要求提供的相关证明材料应当结合采购项目具体情况和投标人的组织机构性质确定，不得一概而论。</w:t>
      </w:r>
    </w:p>
    <w:p>
      <w:pPr>
        <w:pageBreakBefore w:val="0"/>
        <w:kinsoku/>
        <w:wordWrap/>
        <w:overflowPunct/>
        <w:topLinePunct w:val="0"/>
        <w:bidi w:val="0"/>
        <w:spacing w:after="50"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3.本章要求可提供承诺函（详见第七章：格式1-3）的，可只提供一份涵盖所有内容的书面承诺函原件，不需多份提供。</w:t>
      </w:r>
    </w:p>
    <w:p>
      <w:pPr>
        <w:pageBreakBefore w:val="0"/>
        <w:kinsoku/>
        <w:wordWrap/>
        <w:overflowPunct/>
        <w:topLinePunct w:val="0"/>
        <w:bidi w:val="0"/>
        <w:spacing w:after="50" w:line="360" w:lineRule="auto"/>
        <w:ind w:firstLine="482"/>
        <w:rPr>
          <w:rFonts w:hint="eastAsia" w:ascii="宋体" w:hAnsi="宋体" w:eastAsia="宋体" w:cs="宋体"/>
          <w:sz w:val="24"/>
          <w:szCs w:val="24"/>
          <w:highlight w:val="none"/>
        </w:rPr>
      </w:pPr>
      <w:r>
        <w:rPr>
          <w:rFonts w:hint="eastAsia" w:ascii="宋体" w:hAnsi="宋体" w:eastAsia="宋体" w:cs="宋体"/>
          <w:b/>
          <w:bCs/>
          <w:sz w:val="24"/>
          <w:szCs w:val="24"/>
          <w:highlight w:val="none"/>
        </w:rPr>
        <w:t>4.以上要求的资料复印件均须加盖供应商单位的公章（鲜章）。</w:t>
      </w:r>
    </w:p>
    <w:p>
      <w:pPr>
        <w:pageBreakBefore w:val="0"/>
        <w:kinsoku/>
        <w:wordWrap/>
        <w:overflowPunct/>
        <w:topLinePunct w:val="0"/>
        <w:bidi w:val="0"/>
        <w:spacing w:line="480" w:lineRule="auto"/>
        <w:ind w:firstLine="0" w:firstLineChars="0"/>
        <w:rPr>
          <w:rFonts w:hint="eastAsia" w:ascii="宋体" w:hAnsi="宋体" w:eastAsia="宋体" w:cs="宋体"/>
          <w:b/>
          <w:bCs/>
          <w:sz w:val="28"/>
          <w:szCs w:val="28"/>
          <w:highlight w:val="none"/>
        </w:rPr>
      </w:pPr>
    </w:p>
    <w:p>
      <w:pPr>
        <w:pageBreakBefore w:val="0"/>
        <w:kinsoku/>
        <w:wordWrap/>
        <w:overflowPunct/>
        <w:topLinePunct w:val="0"/>
        <w:bidi w:val="0"/>
        <w:spacing w:after="50" w:line="48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23"/>
        <w:numPr>
          <w:ilvl w:val="0"/>
          <w:numId w:val="4"/>
        </w:numPr>
        <w:bidi w:val="0"/>
        <w:ind w:left="0" w:leftChars="0" w:firstLine="0" w:firstLineChars="0"/>
        <w:rPr>
          <w:rFonts w:hint="eastAsia"/>
          <w:highlight w:val="none"/>
        </w:rPr>
      </w:pPr>
      <w:bookmarkStart w:id="85" w:name="_Toc509579144"/>
      <w:bookmarkStart w:id="86" w:name="_Toc15888"/>
      <w:r>
        <w:rPr>
          <w:rFonts w:hint="eastAsia"/>
          <w:highlight w:val="none"/>
        </w:rPr>
        <w:t>采购项目技术、服务、政府采购合同内容条款及其他商务要求</w:t>
      </w:r>
      <w:bookmarkEnd w:id="85"/>
      <w:bookmarkEnd w:id="86"/>
    </w:p>
    <w:p>
      <w:pPr>
        <w:spacing w:before="48" w:beforeLines="20" w:after="48" w:afterLines="20" w:line="576" w:lineRule="exact"/>
        <w:ind w:right="360" w:rightChars="150"/>
        <w:rPr>
          <w:rFonts w:ascii="宋体" w:hAnsi="宋体" w:eastAsia="宋体" w:cs="Times New Roman"/>
          <w:b/>
          <w:bCs/>
          <w:szCs w:val="21"/>
          <w:highlight w:val="none"/>
        </w:rPr>
      </w:pPr>
      <w:r>
        <w:rPr>
          <w:rFonts w:hint="eastAsia" w:ascii="宋体" w:hAnsi="宋体" w:eastAsia="宋体" w:cs="Times New Roman"/>
          <w:b/>
          <w:bCs/>
          <w:szCs w:val="21"/>
          <w:highlight w:val="none"/>
        </w:rPr>
        <w:t>一、项目概况</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rPr>
        <w:t>拆迁任务</w:t>
      </w:r>
      <w:r>
        <w:rPr>
          <w:rFonts w:hint="eastAsia" w:ascii="宋体" w:hAnsi="宋体" w:eastAsia="宋体" w:cs="Times New Roman"/>
          <w:color w:val="auto"/>
          <w:szCs w:val="21"/>
          <w:highlight w:val="none"/>
        </w:rPr>
        <w:t>约</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3000  </w:t>
      </w:r>
      <w:r>
        <w:rPr>
          <w:rFonts w:ascii="宋体" w:hAnsi="宋体" w:eastAsia="宋体" w:cs="Times New Roman"/>
          <w:color w:val="auto"/>
          <w:szCs w:val="21"/>
          <w:highlight w:val="none"/>
        </w:rPr>
        <w:t>亩和</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500</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户</w:t>
      </w:r>
      <w:r>
        <w:rPr>
          <w:rFonts w:ascii="宋体" w:hAnsi="宋体" w:eastAsia="宋体" w:cs="Times New Roman"/>
          <w:szCs w:val="21"/>
          <w:highlight w:val="none"/>
        </w:rPr>
        <w:t>（</w:t>
      </w:r>
      <w:r>
        <w:rPr>
          <w:rFonts w:hint="eastAsia" w:ascii="宋体" w:hAnsi="宋体" w:eastAsia="宋体" w:cs="Times New Roman"/>
          <w:szCs w:val="21"/>
          <w:highlight w:val="none"/>
        </w:rPr>
        <w:t>户数按照最终签订协议户数为准，拆迁亩数按照交地任务书面积为准</w:t>
      </w:r>
      <w:r>
        <w:rPr>
          <w:rFonts w:ascii="宋体" w:hAnsi="宋体" w:eastAsia="宋体" w:cs="Times New Roman"/>
          <w:szCs w:val="21"/>
          <w:highlight w:val="none"/>
        </w:rPr>
        <w:t>）。</w:t>
      </w:r>
    </w:p>
    <w:p>
      <w:pPr>
        <w:numPr>
          <w:ilvl w:val="0"/>
          <w:numId w:val="5"/>
        </w:numPr>
        <w:spacing w:before="48" w:beforeLines="20" w:after="48" w:afterLines="20" w:line="576" w:lineRule="exact"/>
        <w:ind w:right="360" w:rightChars="150"/>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技术服务要求：</w:t>
      </w:r>
    </w:p>
    <w:p>
      <w:pPr>
        <w:numPr>
          <w:ilvl w:val="0"/>
          <w:numId w:val="0"/>
        </w:numPr>
        <w:spacing w:before="48" w:beforeLines="20" w:after="48" w:afterLines="20" w:line="576" w:lineRule="exact"/>
        <w:ind w:right="360" w:rightChars="150" w:firstLine="480" w:firstLineChars="200"/>
        <w:rPr>
          <w:rFonts w:ascii="宋体" w:hAnsi="宋体" w:eastAsia="宋体" w:cs="Times New Roman"/>
          <w:szCs w:val="21"/>
          <w:highlight w:val="none"/>
        </w:rPr>
      </w:pPr>
      <w:r>
        <w:rPr>
          <w:rFonts w:hint="eastAsia" w:ascii="宋体" w:hAnsi="宋体" w:eastAsia="宋体" w:cs="Times New Roman"/>
          <w:szCs w:val="21"/>
          <w:highlight w:val="none"/>
        </w:rPr>
        <w:t>（一）服务内容</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负责拆迁任务书范围内农户房屋及其地面附着物调查登记工作，负责对调查数据的核实、确认，对入户调查工作影像资料的收集、上传；</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根据调查数据及人员情况按照拆迁政策及工作流程完成农户拆迁补偿费用的核算，并完成补偿</w:t>
      </w:r>
      <w:bookmarkStart w:id="160" w:name="_GoBack"/>
      <w:bookmarkEnd w:id="160"/>
      <w:r>
        <w:rPr>
          <w:rFonts w:hint="eastAsia" w:ascii="宋体" w:hAnsi="宋体" w:eastAsia="宋体" w:cs="Times New Roman"/>
          <w:szCs w:val="21"/>
          <w:highlight w:val="none"/>
        </w:rPr>
        <w:t>协议、住房申购协议的填写、录入工作；</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核实拆迁补偿资料完整性并扫描上传信息化系统；</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参与街道召集的拆迁个案处理例会，并根据实际工作情况提出意见或建议。</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rPr>
        <w:t>（二）服务要求</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严格遵守征收相关法律法规、政策规定，并做好</w:t>
      </w:r>
      <w:r>
        <w:rPr>
          <w:rFonts w:hint="eastAsia" w:ascii="宋体" w:hAnsi="宋体" w:eastAsia="宋体" w:cs="Times New Roman"/>
          <w:szCs w:val="21"/>
          <w:highlight w:val="none"/>
          <w:lang w:val="en-US" w:eastAsia="zh-CN"/>
        </w:rPr>
        <w:t>宣传</w:t>
      </w:r>
      <w:r>
        <w:rPr>
          <w:rFonts w:hint="eastAsia" w:ascii="宋体" w:hAnsi="宋体" w:eastAsia="宋体" w:cs="Times New Roman"/>
          <w:szCs w:val="21"/>
          <w:highlight w:val="none"/>
        </w:rPr>
        <w:t>、解释工作。</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严格按照房屋搬迁职业操作规范，绝不收取被搬迁人贿赂，绝不接受被搬迁人吃请，绝不和被搬迁人串通一气伪造搬迁数据、资料，骗取补偿安置资金。</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拆迁人员必须掌握相关拆迁政策，在开展工作时注重仪容仪表，使用文明用语和工作用语。</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在工作现场须统一着装，真实记录与工作相关的情况（需保留影象资料）。</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内部资料履行保密义务并与街道办事处签订保密协议，禁止外泄。</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lang w:val="en-US" w:eastAsia="zh-CN"/>
        </w:rPr>
        <w:t>6.供应商</w:t>
      </w:r>
      <w:r>
        <w:rPr>
          <w:rFonts w:hint="eastAsia" w:ascii="宋体" w:hAnsi="宋体" w:eastAsia="宋体" w:cs="Times New Roman"/>
          <w:szCs w:val="21"/>
          <w:highlight w:val="none"/>
        </w:rPr>
        <w:t>在确定了相关人员服务期间要严格按照街道办事处的要求进行上下班，统一纳入拆迁办管理，需要加班时要无条件配合。</w:t>
      </w:r>
    </w:p>
    <w:p>
      <w:pPr>
        <w:spacing w:before="48" w:beforeLines="20" w:after="48" w:afterLines="20" w:line="576" w:lineRule="exact"/>
        <w:ind w:right="360" w:rightChars="150"/>
        <w:rPr>
          <w:rFonts w:ascii="宋体" w:hAnsi="宋体" w:eastAsia="宋体" w:cs="Times New Roman"/>
          <w:szCs w:val="21"/>
          <w:highlight w:val="none"/>
        </w:rPr>
      </w:pP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在工作中未明确的特殊事宜，不能擅自处理，需及时书面汇报采购人，经批准后方可执行。</w:t>
      </w:r>
    </w:p>
    <w:p>
      <w:pPr>
        <w:numPr>
          <w:ilvl w:val="0"/>
          <w:numId w:val="0"/>
        </w:numPr>
        <w:rPr>
          <w:rFonts w:hint="default"/>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sz w:val="28"/>
          <w:szCs w:val="28"/>
          <w:highlight w:val="none"/>
          <w:lang w:val="en-US" w:eastAsia="zh-CN"/>
        </w:rPr>
        <w:t>▲</w:t>
      </w:r>
      <w:r>
        <w:rPr>
          <w:rFonts w:hint="eastAsia" w:ascii="宋体" w:hAnsi="宋体" w:eastAsia="宋体" w:cs="宋体"/>
          <w:b/>
          <w:bCs/>
          <w:color w:val="auto"/>
          <w:sz w:val="28"/>
          <w:szCs w:val="36"/>
          <w:highlight w:val="none"/>
          <w:lang w:val="en-US" w:eastAsia="zh-CN"/>
        </w:rPr>
        <w:t>三、商务要求：</w:t>
      </w:r>
    </w:p>
    <w:p>
      <w:pPr>
        <w:pStyle w:val="9"/>
        <w:snapToGrid w:val="0"/>
        <w:spacing w:line="360" w:lineRule="auto"/>
        <w:ind w:left="0" w:leftChars="0" w:firstLine="481" w:firstLineChars="0"/>
        <w:jc w:val="both"/>
        <w:rPr>
          <w:rFonts w:hint="default" w:ascii="新宋体" w:hAnsi="新宋体" w:eastAsia="新宋体" w:cs="新宋体"/>
          <w:sz w:val="24"/>
          <w:szCs w:val="24"/>
          <w:highlight w:val="none"/>
          <w:lang w:val="en-US" w:eastAsia="zh-CN"/>
        </w:rPr>
      </w:pPr>
      <w:r>
        <w:rPr>
          <w:rFonts w:hint="default" w:ascii="新宋体" w:hAnsi="新宋体" w:eastAsia="新宋体" w:cs="新宋体"/>
          <w:sz w:val="24"/>
          <w:szCs w:val="24"/>
          <w:highlight w:val="none"/>
          <w:lang w:val="en-US" w:eastAsia="zh-CN"/>
        </w:rPr>
        <w:t>1.服务期：三年（</w:t>
      </w:r>
      <w:r>
        <w:rPr>
          <w:rFonts w:hint="eastAsia" w:ascii="新宋体" w:hAnsi="新宋体" w:eastAsia="新宋体" w:cs="新宋体"/>
          <w:sz w:val="24"/>
          <w:szCs w:val="24"/>
          <w:highlight w:val="none"/>
          <w:lang w:val="en-US" w:eastAsia="zh-CN"/>
        </w:rPr>
        <w:t>合同</w:t>
      </w:r>
      <w:r>
        <w:rPr>
          <w:rFonts w:hint="default" w:ascii="新宋体" w:hAnsi="新宋体" w:eastAsia="新宋体" w:cs="新宋体"/>
          <w:sz w:val="24"/>
          <w:szCs w:val="24"/>
          <w:highlight w:val="none"/>
          <w:lang w:val="en-US" w:eastAsia="zh-CN"/>
        </w:rPr>
        <w:t>一年一签）。（具体起止时间以合同签订为准）</w:t>
      </w:r>
    </w:p>
    <w:p>
      <w:pPr>
        <w:pStyle w:val="9"/>
        <w:snapToGrid w:val="0"/>
        <w:spacing w:line="360" w:lineRule="auto"/>
        <w:ind w:left="0" w:leftChars="0" w:firstLine="481" w:firstLineChars="0"/>
        <w:jc w:val="both"/>
        <w:rPr>
          <w:rFonts w:hint="default" w:ascii="新宋体" w:hAnsi="新宋体" w:eastAsia="新宋体" w:cs="新宋体"/>
          <w:sz w:val="24"/>
          <w:szCs w:val="24"/>
          <w:highlight w:val="none"/>
          <w:lang w:val="en-US" w:eastAsia="zh-CN"/>
        </w:rPr>
      </w:pPr>
      <w:r>
        <w:rPr>
          <w:rFonts w:hint="default" w:ascii="新宋体" w:hAnsi="新宋体" w:eastAsia="新宋体" w:cs="新宋体"/>
          <w:sz w:val="24"/>
          <w:szCs w:val="24"/>
          <w:highlight w:val="none"/>
          <w:lang w:val="en-US" w:eastAsia="zh-CN"/>
        </w:rPr>
        <w:t>2.服务地点：采购人指定地点。</w:t>
      </w:r>
    </w:p>
    <w:p>
      <w:pPr>
        <w:pStyle w:val="9"/>
        <w:snapToGrid w:val="0"/>
        <w:spacing w:line="360" w:lineRule="auto"/>
        <w:ind w:left="0" w:leftChars="0" w:firstLine="481" w:firstLineChars="0"/>
        <w:jc w:val="both"/>
        <w:rPr>
          <w:rFonts w:hint="default" w:ascii="新宋体" w:hAnsi="新宋体" w:eastAsia="新宋体" w:cs="新宋体"/>
          <w:sz w:val="24"/>
          <w:szCs w:val="24"/>
          <w:highlight w:val="none"/>
          <w:lang w:val="en-US" w:eastAsia="zh-CN"/>
        </w:rPr>
      </w:pPr>
      <w:r>
        <w:rPr>
          <w:rFonts w:hint="default" w:ascii="新宋体" w:hAnsi="新宋体" w:eastAsia="新宋体" w:cs="新宋体"/>
          <w:sz w:val="24"/>
          <w:szCs w:val="24"/>
          <w:highlight w:val="none"/>
          <w:lang w:val="en-US" w:eastAsia="zh-CN"/>
        </w:rPr>
        <w:t>3.付款方式：</w:t>
      </w:r>
    </w:p>
    <w:p>
      <w:pPr>
        <w:pStyle w:val="9"/>
        <w:snapToGrid w:val="0"/>
        <w:spacing w:line="360" w:lineRule="auto"/>
        <w:ind w:left="0" w:leftChars="0" w:firstLine="481" w:firstLineChars="0"/>
        <w:jc w:val="both"/>
        <w:rPr>
          <w:rFonts w:hint="default" w:ascii="新宋体" w:hAnsi="新宋体" w:eastAsia="新宋体" w:cs="新宋体"/>
          <w:sz w:val="24"/>
          <w:szCs w:val="24"/>
          <w:highlight w:val="none"/>
          <w:lang w:val="en-US" w:eastAsia="zh-CN"/>
        </w:rPr>
      </w:pPr>
      <w:r>
        <w:rPr>
          <w:rFonts w:hint="default" w:ascii="新宋体" w:hAnsi="新宋体" w:eastAsia="新宋体" w:cs="新宋体"/>
          <w:sz w:val="24"/>
          <w:szCs w:val="24"/>
          <w:highlight w:val="none"/>
          <w:lang w:val="en-US" w:eastAsia="zh-CN"/>
        </w:rPr>
        <w:t>按街道下达的拆迁任务书工作量进度并结合拆迁服务考核结果，分阶段付款。 街道办按照每阶段由拆迁服务单位向街办提交工作报告及付款申请，待街办核实、考评后，支付相关费用。</w:t>
      </w:r>
    </w:p>
    <w:p>
      <w:pPr>
        <w:pStyle w:val="9"/>
        <w:snapToGrid w:val="0"/>
        <w:spacing w:line="360" w:lineRule="auto"/>
        <w:ind w:left="0" w:leftChars="0" w:firstLine="481" w:firstLineChars="0"/>
        <w:jc w:val="both"/>
        <w:rPr>
          <w:rFonts w:hint="default" w:ascii="新宋体" w:hAnsi="新宋体" w:eastAsia="新宋体" w:cs="新宋体"/>
          <w:sz w:val="24"/>
          <w:szCs w:val="24"/>
          <w:highlight w:val="none"/>
          <w:lang w:val="en-US" w:eastAsia="zh-CN"/>
        </w:rPr>
      </w:pPr>
      <w:r>
        <w:rPr>
          <w:rFonts w:hint="default" w:ascii="新宋体" w:hAnsi="新宋体" w:eastAsia="新宋体" w:cs="新宋体"/>
          <w:sz w:val="24"/>
          <w:szCs w:val="24"/>
          <w:highlight w:val="none"/>
          <w:lang w:val="en-US" w:eastAsia="zh-CN"/>
        </w:rPr>
        <w:t>第一阶段：拆迁任务书完成率达70%，考评为优，支付项目总服务费用的70%，考评为良，支付项目总服务费用的50%，考评为差，暂不支付服务费；</w:t>
      </w:r>
    </w:p>
    <w:p>
      <w:pPr>
        <w:pStyle w:val="9"/>
        <w:snapToGrid w:val="0"/>
        <w:spacing w:line="360" w:lineRule="auto"/>
        <w:ind w:left="0" w:leftChars="0" w:firstLine="481" w:firstLineChars="0"/>
        <w:jc w:val="both"/>
        <w:rPr>
          <w:rFonts w:hint="default" w:ascii="新宋体" w:hAnsi="新宋体" w:eastAsia="新宋体" w:cs="新宋体"/>
          <w:sz w:val="24"/>
          <w:szCs w:val="24"/>
          <w:highlight w:val="none"/>
          <w:lang w:val="en-US" w:eastAsia="zh-CN"/>
        </w:rPr>
      </w:pPr>
      <w:r>
        <w:rPr>
          <w:rFonts w:hint="default" w:ascii="新宋体" w:hAnsi="新宋体" w:eastAsia="新宋体" w:cs="新宋体"/>
          <w:sz w:val="24"/>
          <w:szCs w:val="24"/>
          <w:highlight w:val="none"/>
          <w:lang w:val="en-US" w:eastAsia="zh-CN"/>
        </w:rPr>
        <w:t>第二阶段：拆迁任务书完成率达90%，考评为优，支付至项目总服务费用的90%，考评为良，支付至项目总服务费用的70%，考评为差，暂不支付服务费；</w:t>
      </w:r>
    </w:p>
    <w:p>
      <w:pPr>
        <w:pStyle w:val="9"/>
        <w:snapToGrid w:val="0"/>
        <w:spacing w:line="360" w:lineRule="auto"/>
        <w:ind w:left="0" w:leftChars="0" w:firstLine="481" w:firstLineChars="0"/>
        <w:jc w:val="both"/>
        <w:rPr>
          <w:rFonts w:hint="default" w:ascii="新宋体" w:hAnsi="新宋体" w:eastAsia="新宋体" w:cs="新宋体"/>
          <w:sz w:val="24"/>
          <w:szCs w:val="24"/>
          <w:highlight w:val="none"/>
          <w:lang w:val="en-US" w:eastAsia="zh-CN"/>
        </w:rPr>
      </w:pPr>
      <w:r>
        <w:rPr>
          <w:rFonts w:hint="default" w:ascii="新宋体" w:hAnsi="新宋体" w:eastAsia="新宋体" w:cs="新宋体"/>
          <w:sz w:val="24"/>
          <w:szCs w:val="24"/>
          <w:highlight w:val="none"/>
          <w:lang w:val="en-US" w:eastAsia="zh-CN"/>
        </w:rPr>
        <w:t>第三阶段：拆迁任务书完成率达100%，考评为优，以实际完成工作量，支付剩余全部服务费用，考评为良，以实际完成工作量，支付剩余全部服务费用的70%，考评为差，暂不支付服务费。</w:t>
      </w:r>
    </w:p>
    <w:p>
      <w:pPr>
        <w:pStyle w:val="9"/>
        <w:numPr>
          <w:ilvl w:val="0"/>
          <w:numId w:val="6"/>
        </w:numPr>
        <w:snapToGrid w:val="0"/>
        <w:spacing w:line="360" w:lineRule="auto"/>
        <w:ind w:left="0" w:leftChars="0" w:firstLine="481" w:firstLineChars="0"/>
        <w:jc w:val="both"/>
        <w:rPr>
          <w:rFonts w:hint="default" w:ascii="新宋体" w:hAnsi="新宋体" w:eastAsia="新宋体" w:cs="新宋体"/>
          <w:sz w:val="24"/>
          <w:szCs w:val="24"/>
          <w:highlight w:val="none"/>
          <w:lang w:val="en-US" w:eastAsia="zh-CN"/>
        </w:rPr>
      </w:pPr>
      <w:r>
        <w:rPr>
          <w:rFonts w:hint="default" w:ascii="新宋体" w:hAnsi="新宋体" w:eastAsia="新宋体" w:cs="新宋体"/>
          <w:sz w:val="24"/>
          <w:szCs w:val="24"/>
          <w:highlight w:val="none"/>
          <w:lang w:val="en-US" w:eastAsia="zh-CN"/>
        </w:rPr>
        <w:t>验收标准：以竞争性磋商文件技术参数及要求和相关行业标准为准。成交供应商与采购人应严格按照《财政部关于进一步加强政府采购需求和履约验收管理的指导意见》（财库〔2016〕205号）的要求进行验收。</w:t>
      </w:r>
    </w:p>
    <w:p>
      <w:pPr>
        <w:pStyle w:val="9"/>
        <w:numPr>
          <w:numId w:val="0"/>
        </w:numPr>
        <w:snapToGrid w:val="0"/>
        <w:spacing w:line="360" w:lineRule="auto"/>
        <w:ind w:left="481" w:leftChars="0"/>
        <w:jc w:val="both"/>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5.考核办法</w:t>
      </w:r>
    </w:p>
    <w:p>
      <w:pPr>
        <w:spacing w:before="48" w:beforeLines="20" w:after="48" w:afterLines="20" w:line="576" w:lineRule="exact"/>
        <w:ind w:right="360" w:rightChars="150"/>
        <w:rPr>
          <w:rFonts w:hint="eastAsia" w:ascii="宋体" w:hAnsi="宋体" w:eastAsia="宋体" w:cs="Times New Roman"/>
          <w:szCs w:val="21"/>
          <w:highlight w:val="none"/>
        </w:rPr>
      </w:pP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1、为切实加强拆迁服务单位日常管理，全面做好辖区拆迁工作，特制定本考核办法。</w:t>
      </w:r>
    </w:p>
    <w:p>
      <w:pPr>
        <w:spacing w:before="48" w:beforeLines="20" w:after="48" w:afterLines="20" w:line="576" w:lineRule="exact"/>
        <w:ind w:right="360" w:rightChars="150"/>
        <w:rPr>
          <w:rFonts w:hint="eastAsia" w:ascii="宋体" w:hAnsi="宋体" w:eastAsia="宋体" w:cs="Times New Roman"/>
          <w:szCs w:val="21"/>
          <w:highlight w:val="none"/>
        </w:rPr>
      </w:pP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2、考核内容结合拆迁服务范围及工作要求，主要从信息录入、队伍管理、保密及维稳、服务工作等，考核实行百分制，内容、标准分及赋分原则详见附表。</w:t>
      </w:r>
    </w:p>
    <w:p>
      <w:pPr>
        <w:spacing w:before="48" w:beforeLines="20" w:after="48" w:afterLines="20" w:line="576" w:lineRule="exact"/>
        <w:ind w:right="360" w:rightChars="150"/>
        <w:rPr>
          <w:rFonts w:hint="eastAsia" w:ascii="宋体" w:hAnsi="宋体" w:eastAsia="宋体" w:cs="Times New Roman"/>
          <w:szCs w:val="21"/>
          <w:highlight w:val="none"/>
        </w:rPr>
      </w:pP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3、根据拆迁服务单位考核成绩确定四个档次：优秀、良好、合格、不合格，其中优秀为90分-100分，良好为80分-90分（不含），合格为70分-80分（不含），不合格为70分以下。采购人或其相关单位将根据测评成绩的平均分综合评定考核档次。</w:t>
      </w:r>
    </w:p>
    <w:p>
      <w:pPr>
        <w:spacing w:before="48" w:beforeLines="20" w:after="48" w:afterLines="20" w:line="576" w:lineRule="exact"/>
        <w:ind w:right="360" w:rightChars="15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附件：拆迁服务考核表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2808"/>
        <w:gridCol w:w="654"/>
        <w:gridCol w:w="4154"/>
        <w:gridCol w:w="564"/>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858" w:type="dxa"/>
            <w:gridSpan w:val="6"/>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 w:hAnsi="仿宋" w:eastAsia="仿宋"/>
                <w:color w:val="auto"/>
                <w:sz w:val="18"/>
                <w:szCs w:val="18"/>
                <w:highlight w:val="none"/>
              </w:rPr>
            </w:pPr>
            <w:r>
              <w:rPr>
                <w:rFonts w:hint="eastAsia"/>
                <w:sz w:val="16"/>
                <w:szCs w:val="16"/>
                <w:highlight w:val="none"/>
                <w:vertAlign w:val="baseline"/>
                <w:lang w:val="en-US" w:eastAsia="zh-CN"/>
              </w:rPr>
              <w:t>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858" w:type="dxa"/>
            <w:gridSpan w:val="6"/>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16"/>
                <w:szCs w:val="16"/>
                <w:highlight w:val="none"/>
                <w:vertAlign w:val="baseline"/>
                <w:lang w:val="en-US" w:eastAsia="zh-CN"/>
              </w:rPr>
            </w:pPr>
            <w:r>
              <w:rPr>
                <w:rFonts w:hint="eastAsia"/>
                <w:sz w:val="16"/>
                <w:szCs w:val="16"/>
                <w:highlight w:val="none"/>
                <w:vertAlign w:val="baseline"/>
                <w:lang w:val="en-US" w:eastAsia="zh-CN"/>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07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r>
              <w:rPr>
                <w:rFonts w:hint="eastAsia" w:eastAsia="宋体" w:cs="Times New Roman"/>
                <w:sz w:val="16"/>
                <w:szCs w:val="16"/>
                <w:highlight w:val="none"/>
                <w:vertAlign w:val="baseline"/>
                <w:lang w:val="en-US" w:eastAsia="zh-CN"/>
              </w:rPr>
              <w:t>考核项目</w:t>
            </w: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r>
              <w:rPr>
                <w:rFonts w:hint="eastAsia" w:eastAsia="宋体" w:cs="Times New Roman"/>
                <w:sz w:val="16"/>
                <w:szCs w:val="16"/>
                <w:highlight w:val="none"/>
                <w:vertAlign w:val="baseline"/>
                <w:lang w:val="en-US" w:eastAsia="zh-CN"/>
              </w:rPr>
              <w:t>考核内容</w:t>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r>
              <w:rPr>
                <w:rFonts w:hint="eastAsia" w:eastAsia="宋体" w:cs="Times New Roman"/>
                <w:sz w:val="16"/>
                <w:szCs w:val="16"/>
                <w:highlight w:val="none"/>
                <w:vertAlign w:val="baseline"/>
                <w:lang w:val="en-US" w:eastAsia="zh-CN"/>
              </w:rPr>
              <w:t>分值</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r>
              <w:rPr>
                <w:rFonts w:hint="eastAsia" w:ascii="宋体" w:hAnsi="宋体" w:eastAsia="宋体" w:cs="Times New Roman"/>
                <w:sz w:val="16"/>
                <w:szCs w:val="13"/>
                <w:highlight w:val="none"/>
              </w:rPr>
              <w:t>赋</w:t>
            </w:r>
            <w:r>
              <w:rPr>
                <w:rFonts w:hint="eastAsia" w:eastAsia="宋体" w:cs="Times New Roman"/>
                <w:sz w:val="16"/>
                <w:szCs w:val="16"/>
                <w:highlight w:val="none"/>
                <w:vertAlign w:val="baseline"/>
                <w:lang w:val="en-US" w:eastAsia="zh-CN"/>
              </w:rPr>
              <w:t>分原则</w:t>
            </w:r>
            <w:r>
              <w:rPr>
                <w:rFonts w:hint="eastAsia" w:eastAsia="宋体" w:cs="Times New Roman"/>
                <w:sz w:val="16"/>
                <w:szCs w:val="16"/>
                <w:highlight w:val="none"/>
                <w:vertAlign w:val="baseline"/>
                <w:lang w:val="en-US" w:eastAsia="zh-CN"/>
              </w:rPr>
              <w:tab/>
            </w: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r>
              <w:rPr>
                <w:rFonts w:hint="eastAsia" w:eastAsia="宋体" w:cs="Times New Roman"/>
                <w:sz w:val="16"/>
                <w:szCs w:val="16"/>
                <w:highlight w:val="none"/>
                <w:vertAlign w:val="baseline"/>
                <w:lang w:val="en-US" w:eastAsia="zh-CN"/>
              </w:rPr>
              <w:t>得分</w:t>
            </w: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r>
              <w:rPr>
                <w:rFonts w:hint="eastAsia" w:eastAsia="宋体" w:cs="Times New Roman"/>
                <w:sz w:val="16"/>
                <w:szCs w:val="16"/>
                <w:highlight w:val="none"/>
                <w:vertAlign w:val="baseline"/>
                <w:lang w:val="en-US" w:eastAsia="zh-CN"/>
              </w:rPr>
              <w:t>备注</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restart"/>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eastAsia" w:eastAsia="宋体" w:cs="Times New Roman"/>
                <w:sz w:val="16"/>
                <w:szCs w:val="16"/>
                <w:highlight w:val="none"/>
                <w:vertAlign w:val="baseline"/>
                <w:lang w:val="en-US" w:eastAsia="zh-CN"/>
              </w:rPr>
              <w:t>信息报送（10分）</w:t>
            </w: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拆迁服务工作相关信息报送及时完整</w:t>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s="Times New Roman"/>
                <w:sz w:val="16"/>
                <w:szCs w:val="16"/>
                <w:highlight w:val="none"/>
                <w:vertAlign w:val="baseline"/>
                <w:lang w:val="en-US" w:eastAsia="zh-CN"/>
              </w:rPr>
            </w:pPr>
            <w:r>
              <w:rPr>
                <w:rFonts w:hint="eastAsia" w:eastAsia="宋体" w:cs="Times New Roman"/>
                <w:sz w:val="16"/>
                <w:szCs w:val="16"/>
                <w:highlight w:val="none"/>
                <w:vertAlign w:val="baseline"/>
                <w:lang w:val="en-US" w:eastAsia="zh-CN"/>
              </w:rPr>
              <w:t>5分</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按照是否及时通报拆迁服务工作进度，是否及时沟通交流拆迁服务工作中的问题赋分</w:t>
            </w:r>
            <w:r>
              <w:rPr>
                <w:rFonts w:hint="eastAsia" w:eastAsia="宋体" w:cs="Times New Roman"/>
                <w:sz w:val="16"/>
                <w:szCs w:val="16"/>
                <w:highlight w:val="none"/>
                <w:vertAlign w:val="baseline"/>
                <w:lang w:val="en-US" w:eastAsia="zh-CN"/>
              </w:rPr>
              <w:t>；</w:t>
            </w: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continue"/>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建立明确的联系人、联系方式及情况报送渠道</w:t>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eastAsia" w:eastAsia="宋体" w:cs="Times New Roman"/>
                <w:sz w:val="16"/>
                <w:szCs w:val="16"/>
                <w:highlight w:val="none"/>
                <w:vertAlign w:val="baseline"/>
                <w:lang w:val="en-US" w:eastAsia="zh-CN"/>
              </w:rPr>
              <w:t>5分</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按是否有明确的联系人、联系方式以及报送渠道是否畅通程度赋分</w:t>
            </w: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restart"/>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r>
              <w:rPr>
                <w:rFonts w:hint="eastAsia" w:eastAsia="宋体" w:cs="Times New Roman"/>
                <w:sz w:val="16"/>
                <w:szCs w:val="16"/>
                <w:highlight w:val="none"/>
                <w:vertAlign w:val="baseline"/>
                <w:lang w:val="en-US" w:eastAsia="zh-CN"/>
              </w:rPr>
              <w:t>队伍</w:t>
            </w:r>
            <w:r>
              <w:rPr>
                <w:rFonts w:hint="default" w:eastAsia="宋体" w:cs="Times New Roman"/>
                <w:sz w:val="16"/>
                <w:szCs w:val="16"/>
                <w:highlight w:val="none"/>
                <w:vertAlign w:val="baseline"/>
                <w:lang w:val="en-US" w:eastAsia="zh-CN"/>
              </w:rPr>
              <w:t>管理</w:t>
            </w:r>
            <w:r>
              <w:rPr>
                <w:rFonts w:hint="eastAsia" w:eastAsia="宋体" w:cs="Times New Roman"/>
                <w:sz w:val="16"/>
                <w:szCs w:val="16"/>
                <w:highlight w:val="none"/>
                <w:vertAlign w:val="baseline"/>
                <w:lang w:val="en-US" w:eastAsia="zh-CN"/>
              </w:rPr>
              <w:t>（10分）</w:t>
            </w: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确保服务人员的业务素质，工作具有主动性</w:t>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eastAsia" w:eastAsia="宋体" w:cs="Times New Roman"/>
                <w:sz w:val="16"/>
                <w:szCs w:val="16"/>
                <w:highlight w:val="none"/>
                <w:vertAlign w:val="baseline"/>
                <w:lang w:val="en-US" w:eastAsia="zh-CN"/>
              </w:rPr>
              <w:t>2分</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按与街办工作交流指导程度赋分</w:t>
            </w:r>
            <w:r>
              <w:rPr>
                <w:rFonts w:hint="default" w:eastAsia="宋体" w:cs="Times New Roman"/>
                <w:sz w:val="16"/>
                <w:szCs w:val="16"/>
                <w:highlight w:val="none"/>
                <w:vertAlign w:val="baseline"/>
                <w:lang w:val="en-US" w:eastAsia="zh-CN"/>
              </w:rPr>
              <w:tab/>
            </w:r>
            <w:r>
              <w:rPr>
                <w:rFonts w:hint="default" w:eastAsia="宋体" w:cs="Times New Roman"/>
                <w:sz w:val="16"/>
                <w:szCs w:val="16"/>
                <w:highlight w:val="none"/>
                <w:vertAlign w:val="baseline"/>
                <w:lang w:val="en-US" w:eastAsia="zh-CN"/>
              </w:rPr>
              <w:t>　</w:t>
            </w: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continue"/>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定期（每月）向街办书面报告征地拆迁服务工作情况</w:t>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eastAsia" w:eastAsia="宋体" w:cs="Times New Roman"/>
                <w:sz w:val="16"/>
                <w:szCs w:val="16"/>
                <w:highlight w:val="none"/>
                <w:vertAlign w:val="baseline"/>
                <w:lang w:val="en-US" w:eastAsia="zh-CN"/>
              </w:rPr>
              <w:t>3分</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按报告内容是否客观、全面程度赋分</w:t>
            </w:r>
            <w:r>
              <w:rPr>
                <w:rFonts w:hint="default" w:eastAsia="宋体" w:cs="Times New Roman"/>
                <w:sz w:val="16"/>
                <w:szCs w:val="16"/>
                <w:highlight w:val="none"/>
                <w:vertAlign w:val="baseline"/>
                <w:lang w:val="en-US" w:eastAsia="zh-CN"/>
              </w:rPr>
              <w:tab/>
            </w:r>
            <w:r>
              <w:rPr>
                <w:rFonts w:hint="default" w:eastAsia="宋体" w:cs="Times New Roman"/>
                <w:sz w:val="16"/>
                <w:szCs w:val="16"/>
                <w:highlight w:val="none"/>
                <w:vertAlign w:val="baseline"/>
                <w:lang w:val="en-US" w:eastAsia="zh-CN"/>
              </w:rPr>
              <w:t>　</w:t>
            </w:r>
            <w:r>
              <w:rPr>
                <w:rFonts w:hint="default" w:eastAsia="宋体" w:cs="Times New Roman"/>
                <w:sz w:val="16"/>
                <w:szCs w:val="16"/>
                <w:highlight w:val="none"/>
                <w:vertAlign w:val="baseline"/>
                <w:lang w:val="en-US" w:eastAsia="zh-CN"/>
              </w:rPr>
              <w:tab/>
            </w:r>
            <w:r>
              <w:rPr>
                <w:rFonts w:hint="default" w:eastAsia="宋体" w:cs="Times New Roman"/>
                <w:sz w:val="16"/>
                <w:szCs w:val="16"/>
                <w:highlight w:val="none"/>
                <w:vertAlign w:val="baseline"/>
                <w:lang w:val="en-US" w:eastAsia="zh-CN"/>
              </w:rPr>
              <w:t>　</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continue"/>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建立驻点服务小组，分组分片区设点位并定期不定期进行工作沟通</w:t>
            </w:r>
            <w:r>
              <w:rPr>
                <w:rFonts w:hint="default" w:eastAsia="宋体" w:cs="Times New Roman"/>
                <w:sz w:val="16"/>
                <w:szCs w:val="16"/>
                <w:highlight w:val="none"/>
                <w:vertAlign w:val="baseline"/>
                <w:lang w:val="en-US" w:eastAsia="zh-CN"/>
              </w:rPr>
              <w:tab/>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eastAsia" w:eastAsia="宋体" w:cs="Times New Roman"/>
                <w:sz w:val="16"/>
                <w:szCs w:val="16"/>
                <w:highlight w:val="none"/>
                <w:vertAlign w:val="baseline"/>
                <w:lang w:val="en-US" w:eastAsia="zh-CN"/>
              </w:rPr>
              <w:t>5分</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按队伍建设完善程度、工作情况赋分</w:t>
            </w:r>
            <w:r>
              <w:rPr>
                <w:rFonts w:hint="default" w:eastAsia="宋体" w:cs="Times New Roman"/>
                <w:sz w:val="16"/>
                <w:szCs w:val="16"/>
                <w:highlight w:val="none"/>
                <w:vertAlign w:val="baseline"/>
                <w:lang w:val="en-US" w:eastAsia="zh-CN"/>
              </w:rPr>
              <w:tab/>
            </w:r>
            <w:r>
              <w:rPr>
                <w:rFonts w:hint="default" w:eastAsia="宋体" w:cs="Times New Roman"/>
                <w:sz w:val="16"/>
                <w:szCs w:val="16"/>
                <w:highlight w:val="none"/>
                <w:vertAlign w:val="baseline"/>
                <w:lang w:val="en-US" w:eastAsia="zh-CN"/>
              </w:rPr>
              <w:t>　</w:t>
            </w:r>
            <w:r>
              <w:rPr>
                <w:rFonts w:hint="default" w:eastAsia="宋体" w:cs="Times New Roman"/>
                <w:sz w:val="16"/>
                <w:szCs w:val="16"/>
                <w:highlight w:val="none"/>
                <w:vertAlign w:val="baseline"/>
                <w:lang w:val="en-US" w:eastAsia="zh-CN"/>
              </w:rPr>
              <w:tab/>
            </w: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保密及维稳（10分）</w:t>
            </w: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制度建设</w:t>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10</w:t>
            </w:r>
            <w:r>
              <w:rPr>
                <w:rFonts w:hint="eastAsia" w:eastAsia="宋体" w:cs="Times New Roman"/>
                <w:sz w:val="16"/>
                <w:szCs w:val="16"/>
                <w:highlight w:val="none"/>
                <w:vertAlign w:val="baseline"/>
                <w:lang w:val="en-US" w:eastAsia="zh-CN"/>
              </w:rPr>
              <w:t>分</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保密制度的制定和运行情况</w:t>
            </w: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维稳处置（10分）</w:t>
            </w: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采取有效措施及时处理维稳，未发生维稳事故</w:t>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10</w:t>
            </w:r>
            <w:r>
              <w:rPr>
                <w:rFonts w:hint="eastAsia" w:eastAsia="宋体" w:cs="Times New Roman"/>
                <w:sz w:val="16"/>
                <w:szCs w:val="16"/>
                <w:highlight w:val="none"/>
                <w:vertAlign w:val="baseline"/>
                <w:lang w:val="en-US" w:eastAsia="zh-CN"/>
              </w:rPr>
              <w:t>分</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78" w:type="dxa"/>
            <w:vMerge w:val="restart"/>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服务工作   （60分）</w:t>
            </w: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负责拆迁任务书范围内农户房屋及其地面附着物调查登记工作，负责对调查数据的核实、确认，对入户调查工作影像资料的收集、上传</w:t>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20</w:t>
            </w:r>
            <w:r>
              <w:rPr>
                <w:rFonts w:hint="eastAsia" w:eastAsia="宋体" w:cs="Times New Roman"/>
                <w:sz w:val="16"/>
                <w:szCs w:val="16"/>
                <w:highlight w:val="none"/>
                <w:vertAlign w:val="baseline"/>
                <w:lang w:val="en-US" w:eastAsia="zh-CN"/>
              </w:rPr>
              <w:t>分</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未在限定时间内处置的，每户扣1分；对未及时处置的，根据实际情况扣1-2分。</w:t>
            </w:r>
            <w:r>
              <w:rPr>
                <w:rFonts w:hint="default" w:eastAsia="宋体" w:cs="Times New Roman"/>
                <w:sz w:val="16"/>
                <w:szCs w:val="16"/>
                <w:highlight w:val="none"/>
                <w:vertAlign w:val="baseline"/>
                <w:lang w:val="en-US" w:eastAsia="zh-CN"/>
              </w:rPr>
              <w:tab/>
            </w: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Merge w:val="continue"/>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根据调查数据及人员情况按照拆迁政策及工作流程完成农户拆迁补偿费用的核算，并完成补偿协议、住房申购协议的填写、录入工作</w:t>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20</w:t>
            </w:r>
            <w:r>
              <w:rPr>
                <w:rFonts w:hint="eastAsia" w:eastAsia="宋体" w:cs="Times New Roman"/>
                <w:sz w:val="16"/>
                <w:szCs w:val="16"/>
                <w:highlight w:val="none"/>
                <w:vertAlign w:val="baseline"/>
                <w:lang w:val="en-US" w:eastAsia="zh-CN"/>
              </w:rPr>
              <w:t>分</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未在限定时间内处置的，每户扣1分；对未及时处置的，根据实际情况扣1-2分。</w:t>
            </w: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78" w:type="dxa"/>
            <w:vMerge w:val="continue"/>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核实拆迁补偿资料完整性并扫描上传信息化系统</w:t>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15</w:t>
            </w:r>
            <w:r>
              <w:rPr>
                <w:rFonts w:hint="eastAsia" w:eastAsia="宋体" w:cs="Times New Roman"/>
                <w:sz w:val="16"/>
                <w:szCs w:val="16"/>
                <w:highlight w:val="none"/>
                <w:vertAlign w:val="baseline"/>
                <w:lang w:val="en-US" w:eastAsia="zh-CN"/>
              </w:rPr>
              <w:t>分</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未在限定时间内处置的，每户扣1分；对未及时处置的，根据实际情况扣1-2分</w:t>
            </w:r>
            <w:r>
              <w:rPr>
                <w:rFonts w:hint="default" w:eastAsia="宋体" w:cs="Times New Roman"/>
                <w:sz w:val="16"/>
                <w:szCs w:val="16"/>
                <w:highlight w:val="none"/>
                <w:vertAlign w:val="baseline"/>
                <w:lang w:val="en-US" w:eastAsia="zh-CN"/>
              </w:rPr>
              <w:tab/>
            </w:r>
            <w:r>
              <w:rPr>
                <w:rFonts w:hint="default" w:eastAsia="宋体" w:cs="Times New Roman"/>
                <w:sz w:val="16"/>
                <w:szCs w:val="16"/>
                <w:highlight w:val="none"/>
                <w:vertAlign w:val="baseline"/>
                <w:lang w:val="en-US" w:eastAsia="zh-CN"/>
              </w:rPr>
              <w:t>　</w:t>
            </w:r>
            <w:r>
              <w:rPr>
                <w:rFonts w:hint="default" w:eastAsia="宋体" w:cs="Times New Roman"/>
                <w:sz w:val="16"/>
                <w:szCs w:val="16"/>
                <w:highlight w:val="none"/>
                <w:vertAlign w:val="baseline"/>
                <w:lang w:val="en-US" w:eastAsia="zh-CN"/>
              </w:rPr>
              <w:tab/>
            </w:r>
            <w:r>
              <w:rPr>
                <w:rFonts w:hint="default" w:eastAsia="宋体" w:cs="Times New Roman"/>
                <w:sz w:val="16"/>
                <w:szCs w:val="16"/>
                <w:highlight w:val="none"/>
                <w:vertAlign w:val="baseline"/>
                <w:lang w:val="en-US" w:eastAsia="zh-CN"/>
              </w:rPr>
              <w:t>　</w:t>
            </w: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continue"/>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c>
          <w:tcPr>
            <w:tcW w:w="2808"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参与街道召集的拆迁个案处理例会，并根据实际工作情况提出意见或建议</w:t>
            </w:r>
          </w:p>
        </w:tc>
        <w:tc>
          <w:tcPr>
            <w:tcW w:w="6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5分</w:t>
            </w:r>
          </w:p>
        </w:tc>
        <w:tc>
          <w:tcPr>
            <w:tcW w:w="415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sz w:val="16"/>
                <w:szCs w:val="16"/>
                <w:highlight w:val="none"/>
                <w:vertAlign w:val="baseline"/>
                <w:lang w:val="en-US" w:eastAsia="zh-CN"/>
              </w:rPr>
            </w:pPr>
            <w:r>
              <w:rPr>
                <w:rFonts w:hint="default" w:eastAsia="宋体" w:cs="Times New Roman"/>
                <w:sz w:val="16"/>
                <w:szCs w:val="16"/>
                <w:highlight w:val="none"/>
                <w:vertAlign w:val="baseline"/>
                <w:lang w:val="en-US" w:eastAsia="zh-CN"/>
              </w:rPr>
              <w:t>对存在的问题及时反映，协助业主及时解决</w:t>
            </w:r>
          </w:p>
        </w:tc>
        <w:tc>
          <w:tcPr>
            <w:tcW w:w="564"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c>
          <w:tcPr>
            <w:tcW w:w="600"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16"/>
                <w:szCs w:val="16"/>
                <w:highlight w:val="none"/>
                <w:vertAlign w:val="baseline"/>
                <w:lang w:val="en-US" w:eastAsia="zh-CN"/>
              </w:rPr>
            </w:pPr>
          </w:p>
        </w:tc>
      </w:tr>
    </w:tbl>
    <w:p>
      <w:pPr>
        <w:pStyle w:val="9"/>
        <w:snapToGrid w:val="0"/>
        <w:spacing w:line="360" w:lineRule="auto"/>
        <w:ind w:left="0" w:leftChars="0" w:firstLine="481" w:firstLineChars="0"/>
        <w:jc w:val="both"/>
        <w:rPr>
          <w:rFonts w:hint="default" w:ascii="新宋体" w:hAnsi="新宋体" w:eastAsia="新宋体" w:cs="新宋体"/>
          <w:sz w:val="24"/>
          <w:szCs w:val="24"/>
          <w:highlight w:val="none"/>
          <w:lang w:val="en-US" w:eastAsia="zh-CN"/>
        </w:rPr>
      </w:pPr>
    </w:p>
    <w:p>
      <w:pPr>
        <w:pStyle w:val="9"/>
        <w:snapToGrid w:val="0"/>
        <w:spacing w:line="360" w:lineRule="auto"/>
        <w:ind w:left="0" w:leftChars="0" w:firstLine="481" w:firstLineChars="0"/>
        <w:jc w:val="both"/>
        <w:rPr>
          <w:rFonts w:hint="default" w:ascii="新宋体" w:hAnsi="新宋体" w:eastAsia="新宋体" w:cs="新宋体"/>
          <w:sz w:val="24"/>
          <w:szCs w:val="24"/>
          <w:highlight w:val="none"/>
          <w:lang w:val="en-US" w:eastAsia="zh-CN"/>
        </w:rPr>
      </w:pPr>
      <w:r>
        <w:rPr>
          <w:rFonts w:hint="default" w:ascii="新宋体" w:hAnsi="新宋体" w:eastAsia="新宋体" w:cs="新宋体"/>
          <w:sz w:val="24"/>
          <w:szCs w:val="24"/>
          <w:highlight w:val="none"/>
          <w:lang w:val="en-US" w:eastAsia="zh-CN"/>
        </w:rPr>
        <w:t>注：标注“▲号”的为本次采购项目的实质性要求，不允许有负偏离，否则作无效投标处理。</w:t>
      </w:r>
    </w:p>
    <w:p>
      <w:pPr>
        <w:pStyle w:val="12"/>
        <w:spacing w:line="360" w:lineRule="auto"/>
        <w:ind w:firstLine="241" w:firstLineChars="100"/>
        <w:rPr>
          <w:rFonts w:hint="eastAsia" w:ascii="宋体" w:hAnsi="宋体" w:cs="宋体"/>
          <w:b/>
          <w:bCs/>
          <w:color w:val="auto"/>
          <w:sz w:val="24"/>
          <w:szCs w:val="24"/>
          <w:highlight w:val="none"/>
        </w:rPr>
      </w:pPr>
    </w:p>
    <w:p>
      <w:pPr>
        <w:pStyle w:val="12"/>
        <w:spacing w:line="360" w:lineRule="auto"/>
        <w:ind w:firstLine="241" w:firstLineChars="100"/>
        <w:rPr>
          <w:rFonts w:hint="eastAsia" w:ascii="宋体" w:hAnsi="宋体" w:cs="宋体"/>
          <w:b/>
          <w:bCs/>
          <w:color w:val="auto"/>
          <w:sz w:val="24"/>
          <w:szCs w:val="24"/>
          <w:highlight w:val="none"/>
        </w:rPr>
      </w:pPr>
    </w:p>
    <w:p>
      <w:pPr>
        <w:rPr>
          <w:rFonts w:hint="eastAsia" w:ascii="宋体" w:hAnsi="宋体" w:cs="宋体"/>
          <w:b/>
          <w:bCs/>
          <w:color w:val="auto"/>
          <w:sz w:val="24"/>
          <w:szCs w:val="24"/>
          <w:highlight w:val="none"/>
        </w:rPr>
      </w:pPr>
    </w:p>
    <w:p>
      <w:pPr>
        <w:pStyle w:val="2"/>
        <w:rPr>
          <w:rFonts w:hint="eastAsia"/>
          <w:highlight w:val="none"/>
        </w:rPr>
      </w:pPr>
    </w:p>
    <w:bookmarkEnd w:id="71"/>
    <w:bookmarkEnd w:id="72"/>
    <w:bookmarkEnd w:id="73"/>
    <w:bookmarkEnd w:id="74"/>
    <w:bookmarkEnd w:id="75"/>
    <w:p>
      <w:pPr>
        <w:spacing w:before="62" w:beforeLines="20" w:after="62" w:afterLines="20" w:line="576" w:lineRule="exact"/>
        <w:ind w:firstLine="0" w:firstLineChars="0"/>
        <w:rPr>
          <w:rFonts w:hint="eastAsia" w:ascii="宋体" w:hAnsi="宋体" w:eastAsia="宋体" w:cs="宋体"/>
          <w:b/>
          <w:bCs/>
          <w:kern w:val="2"/>
          <w:sz w:val="28"/>
          <w:szCs w:val="28"/>
          <w:highlight w:val="none"/>
          <w:lang w:val="en-US" w:eastAsia="zh-CN" w:bidi="ar-SA"/>
        </w:rPr>
      </w:pPr>
      <w:bookmarkStart w:id="87" w:name="_Toc509579145"/>
      <w:bookmarkStart w:id="88" w:name="_Toc183582232"/>
      <w:bookmarkStart w:id="89" w:name="_Toc183682369"/>
      <w:bookmarkStart w:id="90" w:name="_Toc217446057"/>
      <w:r>
        <w:rPr>
          <w:rFonts w:hint="eastAsia" w:ascii="宋体" w:hAnsi="宋体" w:eastAsia="宋体" w:cs="宋体"/>
          <w:b/>
          <w:bCs/>
          <w:kern w:val="2"/>
          <w:sz w:val="28"/>
          <w:szCs w:val="28"/>
          <w:highlight w:val="none"/>
          <w:lang w:val="en-US" w:eastAsia="zh-CN" w:bidi="ar-SA"/>
        </w:rPr>
        <w:t xml:space="preserve">         第六章   磋商内容、磋商过程中可实质性变动的内容</w:t>
      </w:r>
      <w:bookmarkEnd w:id="87"/>
    </w:p>
    <w:p>
      <w:pPr>
        <w:pStyle w:val="12"/>
        <w:rPr>
          <w:rFonts w:hint="eastAsia"/>
          <w:highlight w:val="none"/>
          <w:lang w:val="en-US" w:eastAsia="zh-CN"/>
        </w:rPr>
      </w:pPr>
    </w:p>
    <w:p>
      <w:pPr>
        <w:pageBreakBefore w:val="0"/>
        <w:tabs>
          <w:tab w:val="left" w:pos="7665"/>
        </w:tabs>
        <w:kinsoku/>
        <w:wordWrap/>
        <w:overflowPunct/>
        <w:topLinePunct w:val="0"/>
        <w:bidi w:val="0"/>
        <w:spacing w:line="360" w:lineRule="auto"/>
        <w:ind w:firstLine="480"/>
        <w:rPr>
          <w:rFonts w:hint="eastAsia" w:ascii="宋体" w:hAnsi="宋体" w:eastAsia="宋体" w:cs="宋体"/>
          <w:bCs/>
          <w:sz w:val="24"/>
          <w:szCs w:val="24"/>
          <w:highlight w:val="none"/>
        </w:rPr>
      </w:pPr>
      <w:r>
        <w:rPr>
          <w:rFonts w:hint="eastAsia" w:ascii="宋体" w:hAnsi="宋体" w:eastAsia="宋体" w:cs="宋体"/>
          <w:sz w:val="24"/>
          <w:szCs w:val="24"/>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ageBreakBefore w:val="0"/>
        <w:tabs>
          <w:tab w:val="left" w:pos="7665"/>
        </w:tabs>
        <w:kinsoku/>
        <w:wordWrap/>
        <w:overflowPunct/>
        <w:topLinePunct w:val="0"/>
        <w:bidi w:val="0"/>
        <w:spacing w:line="480" w:lineRule="auto"/>
        <w:ind w:firstLine="480"/>
        <w:rPr>
          <w:rFonts w:hint="eastAsia" w:ascii="宋体" w:hAnsi="宋体" w:eastAsia="宋体" w:cs="宋体"/>
          <w:bCs/>
          <w:sz w:val="28"/>
          <w:szCs w:val="28"/>
          <w:highlight w:val="none"/>
        </w:rPr>
      </w:pPr>
    </w:p>
    <w:p>
      <w:pPr>
        <w:pageBreakBefore w:val="0"/>
        <w:tabs>
          <w:tab w:val="left" w:pos="7665"/>
        </w:tabs>
        <w:kinsoku/>
        <w:wordWrap/>
        <w:overflowPunct/>
        <w:topLinePunct w:val="0"/>
        <w:bidi w:val="0"/>
        <w:spacing w:line="480" w:lineRule="auto"/>
        <w:ind w:firstLine="643"/>
        <w:jc w:val="center"/>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643"/>
        <w:jc w:val="center"/>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643"/>
        <w:jc w:val="center"/>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480"/>
        <w:rPr>
          <w:rFonts w:hint="eastAsia" w:ascii="宋体" w:hAnsi="宋体" w:eastAsia="宋体" w:cs="宋体"/>
          <w:bCs/>
          <w:sz w:val="28"/>
          <w:szCs w:val="28"/>
          <w:highlight w:val="none"/>
        </w:rPr>
      </w:pPr>
    </w:p>
    <w:p>
      <w:pPr>
        <w:pageBreakBefore w:val="0"/>
        <w:tabs>
          <w:tab w:val="left" w:pos="7665"/>
        </w:tabs>
        <w:kinsoku/>
        <w:wordWrap/>
        <w:overflowPunct/>
        <w:topLinePunct w:val="0"/>
        <w:bidi w:val="0"/>
        <w:spacing w:line="480" w:lineRule="auto"/>
        <w:ind w:firstLine="643"/>
        <w:rPr>
          <w:rFonts w:hint="eastAsia" w:ascii="宋体" w:hAnsi="宋体" w:eastAsia="宋体" w:cs="宋体"/>
          <w:b/>
          <w:bCs/>
          <w:sz w:val="28"/>
          <w:szCs w:val="28"/>
          <w:highlight w:val="none"/>
        </w:rPr>
      </w:pPr>
    </w:p>
    <w:p>
      <w:pPr>
        <w:pageBreakBefore w:val="0"/>
        <w:tabs>
          <w:tab w:val="left" w:pos="7665"/>
        </w:tabs>
        <w:kinsoku/>
        <w:wordWrap/>
        <w:overflowPunct/>
        <w:topLinePunct w:val="0"/>
        <w:bidi w:val="0"/>
        <w:spacing w:line="480" w:lineRule="auto"/>
        <w:ind w:firstLine="643"/>
        <w:rPr>
          <w:rFonts w:hint="eastAsia" w:ascii="宋体" w:hAnsi="宋体" w:eastAsia="宋体" w:cs="宋体"/>
          <w:b/>
          <w:bCs/>
          <w:sz w:val="28"/>
          <w:szCs w:val="28"/>
          <w:highlight w:val="none"/>
        </w:rPr>
      </w:pPr>
    </w:p>
    <w:p>
      <w:pPr>
        <w:pStyle w:val="23"/>
        <w:pageBreakBefore w:val="0"/>
        <w:kinsoku/>
        <w:wordWrap/>
        <w:overflowPunct/>
        <w:topLinePunct w:val="0"/>
        <w:bidi w:val="0"/>
        <w:spacing w:line="480" w:lineRule="auto"/>
        <w:ind w:firstLine="643"/>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bookmarkStart w:id="91" w:name="_Toc14991"/>
      <w:bookmarkStart w:id="92" w:name="_Toc509579146"/>
      <w:r>
        <w:rPr>
          <w:rFonts w:hint="eastAsia" w:ascii="宋体" w:hAnsi="宋体" w:eastAsia="宋体" w:cs="宋体"/>
          <w:sz w:val="28"/>
          <w:szCs w:val="28"/>
          <w:highlight w:val="none"/>
        </w:rPr>
        <w:t>第七章  响应文件格式</w:t>
      </w:r>
      <w:bookmarkEnd w:id="91"/>
      <w:bookmarkEnd w:id="92"/>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二、本章所制响应文件格式有关表格中的备注栏，由供应商根据自身响应情况作解释性说明，不作为必填项。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三、本章所制响应文件格式中需要填写的相关内容事项，可能会与本采购项目无关，在不改变响应文件原义、不影响本项目采购需求的情况下，供应商可以不予填写，但应当注明。</w:t>
      </w:r>
    </w:p>
    <w:p>
      <w:pPr>
        <w:pageBreakBefore w:val="0"/>
        <w:kinsoku/>
        <w:wordWrap/>
        <w:overflowPunct/>
        <w:topLinePunct w:val="0"/>
        <w:bidi w:val="0"/>
        <w:spacing w:line="480" w:lineRule="auto"/>
        <w:ind w:firstLine="643"/>
        <w:jc w:val="center"/>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643"/>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第一部分     “资格性响应文件”格式</w:t>
      </w:r>
    </w:p>
    <w:p>
      <w:pPr>
        <w:pageBreakBefore w:val="0"/>
        <w:kinsoku/>
        <w:wordWrap/>
        <w:overflowPunct/>
        <w:topLinePunct w:val="0"/>
        <w:bidi w:val="0"/>
        <w:spacing w:line="480" w:lineRule="auto"/>
        <w:ind w:firstLine="562"/>
        <w:rPr>
          <w:rFonts w:hint="eastAsia" w:ascii="宋体" w:hAnsi="宋体" w:eastAsia="宋体" w:cs="宋体"/>
          <w:b/>
          <w:sz w:val="28"/>
          <w:szCs w:val="28"/>
          <w:highlight w:val="none"/>
        </w:rPr>
      </w:pPr>
      <w:r>
        <w:rPr>
          <w:rFonts w:hint="eastAsia" w:ascii="宋体" w:hAnsi="宋体" w:eastAsia="宋体" w:cs="宋体"/>
          <w:b/>
          <w:sz w:val="28"/>
          <w:szCs w:val="28"/>
          <w:highlight w:val="none"/>
        </w:rPr>
        <w:t>格式1-1</w:t>
      </w:r>
    </w:p>
    <w:p>
      <w:pPr>
        <w:pageBreakBefore w:val="0"/>
        <w:kinsoku/>
        <w:wordWrap/>
        <w:overflowPunct/>
        <w:topLinePunct w:val="0"/>
        <w:bidi w:val="0"/>
        <w:spacing w:line="480" w:lineRule="auto"/>
        <w:ind w:firstLine="643"/>
        <w:jc w:val="center"/>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723"/>
        <w:jc w:val="right"/>
        <w:rPr>
          <w:rFonts w:hint="eastAsia" w:ascii="宋体" w:hAnsi="宋体" w:eastAsia="宋体" w:cs="宋体"/>
          <w:b/>
          <w:sz w:val="28"/>
          <w:szCs w:val="28"/>
          <w:highlight w:val="none"/>
        </w:rPr>
      </w:pPr>
      <w:r>
        <w:rPr>
          <w:rFonts w:hint="eastAsia" w:ascii="宋体" w:hAnsi="宋体" w:eastAsia="宋体" w:cs="宋体"/>
          <w:b/>
          <w:sz w:val="28"/>
          <w:szCs w:val="28"/>
          <w:highlight w:val="none"/>
        </w:rPr>
        <w:t>（正本/副本）</w:t>
      </w:r>
    </w:p>
    <w:p>
      <w:pPr>
        <w:pageBreakBefore w:val="0"/>
        <w:kinsoku/>
        <w:wordWrap/>
        <w:overflowPunct/>
        <w:topLinePunct w:val="0"/>
        <w:bidi w:val="0"/>
        <w:spacing w:line="480" w:lineRule="auto"/>
        <w:ind w:firstLine="801"/>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u w:val="single"/>
        </w:rPr>
        <w:t>XX</w:t>
      </w:r>
      <w:r>
        <w:rPr>
          <w:rFonts w:hint="eastAsia" w:ascii="宋体" w:hAnsi="宋体" w:eastAsia="宋体" w:cs="宋体"/>
          <w:b/>
          <w:sz w:val="28"/>
          <w:szCs w:val="28"/>
          <w:highlight w:val="none"/>
        </w:rPr>
        <w:t>项目</w:t>
      </w:r>
    </w:p>
    <w:p>
      <w:pPr>
        <w:pageBreakBefore w:val="0"/>
        <w:kinsoku/>
        <w:wordWrap/>
        <w:overflowPunct/>
        <w:topLinePunct w:val="0"/>
        <w:bidi w:val="0"/>
        <w:spacing w:line="480" w:lineRule="auto"/>
        <w:ind w:firstLine="1041"/>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1041"/>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资格性响应文件</w:t>
      </w:r>
    </w:p>
    <w:p>
      <w:pPr>
        <w:pageBreakBefore w:val="0"/>
        <w:kinsoku/>
        <w:wordWrap/>
        <w:overflowPunct/>
        <w:topLinePunct w:val="0"/>
        <w:bidi w:val="0"/>
        <w:spacing w:line="480" w:lineRule="auto"/>
        <w:ind w:firstLine="721"/>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721"/>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641"/>
        <w:jc w:val="left"/>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供 应 商名称：</w:t>
      </w:r>
    </w:p>
    <w:p>
      <w:pPr>
        <w:pageBreakBefore w:val="0"/>
        <w:kinsoku/>
        <w:wordWrap/>
        <w:overflowPunct/>
        <w:topLinePunct w:val="0"/>
        <w:bidi w:val="0"/>
        <w:spacing w:line="480" w:lineRule="auto"/>
        <w:ind w:firstLine="641"/>
        <w:jc w:val="left"/>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采购项目编号：</w:t>
      </w:r>
    </w:p>
    <w:p>
      <w:pPr>
        <w:pageBreakBefore w:val="0"/>
        <w:kinsoku/>
        <w:wordWrap/>
        <w:overflowPunct/>
        <w:topLinePunct w:val="0"/>
        <w:bidi w:val="0"/>
        <w:spacing w:line="480" w:lineRule="auto"/>
        <w:ind w:firstLine="723"/>
        <w:jc w:val="center"/>
        <w:rPr>
          <w:rFonts w:hint="eastAsia" w:ascii="宋体" w:hAnsi="宋体" w:eastAsia="宋体" w:cs="宋体"/>
          <w:b/>
          <w:sz w:val="28"/>
          <w:szCs w:val="28"/>
          <w:highlight w:val="none"/>
        </w:rPr>
      </w:pPr>
    </w:p>
    <w:p>
      <w:pPr>
        <w:pStyle w:val="12"/>
        <w:rPr>
          <w:rFonts w:hint="eastAsia" w:ascii="宋体" w:hAnsi="宋体" w:eastAsia="宋体" w:cs="宋体"/>
          <w:highlight w:val="none"/>
        </w:rPr>
      </w:pPr>
    </w:p>
    <w:p>
      <w:pPr>
        <w:pageBreakBefore w:val="0"/>
        <w:kinsoku/>
        <w:wordWrap/>
        <w:overflowPunct/>
        <w:topLinePunct w:val="0"/>
        <w:bidi w:val="0"/>
        <w:spacing w:line="480" w:lineRule="auto"/>
        <w:ind w:firstLine="723"/>
        <w:jc w:val="center"/>
        <w:rPr>
          <w:rFonts w:hint="eastAsia" w:ascii="宋体" w:hAnsi="宋体" w:eastAsia="宋体" w:cs="宋体"/>
          <w:b/>
          <w:sz w:val="28"/>
          <w:szCs w:val="28"/>
          <w:highlight w:val="none"/>
        </w:rPr>
      </w:pPr>
    </w:p>
    <w:p>
      <w:pPr>
        <w:pageBreakBefore w:val="0"/>
        <w:kinsoku/>
        <w:wordWrap/>
        <w:overflowPunct/>
        <w:topLinePunct w:val="0"/>
        <w:bidi w:val="0"/>
        <w:spacing w:line="480" w:lineRule="auto"/>
        <w:ind w:firstLine="641"/>
        <w:jc w:val="center"/>
        <w:rPr>
          <w:rFonts w:hint="eastAsia" w:ascii="宋体" w:hAnsi="宋体" w:eastAsia="宋体" w:cs="宋体"/>
          <w:b/>
          <w:bCs/>
          <w:sz w:val="28"/>
          <w:szCs w:val="28"/>
          <w:highlight w:val="none"/>
        </w:rPr>
      </w:pPr>
      <w:r>
        <w:rPr>
          <w:rFonts w:hint="eastAsia" w:ascii="宋体" w:hAnsi="宋体" w:eastAsia="宋体" w:cs="宋体"/>
          <w:b/>
          <w:sz w:val="28"/>
          <w:szCs w:val="28"/>
          <w:highlight w:val="none"/>
        </w:rPr>
        <w:t>202</w:t>
      </w:r>
      <w:r>
        <w:rPr>
          <w:rFonts w:hint="eastAsia" w:ascii="宋体" w:hAnsi="宋体" w:cs="宋体"/>
          <w:b/>
          <w:sz w:val="28"/>
          <w:szCs w:val="28"/>
          <w:highlight w:val="none"/>
          <w:lang w:val="en-US" w:eastAsia="zh-CN"/>
        </w:rPr>
        <w:t>1</w:t>
      </w:r>
      <w:r>
        <w:rPr>
          <w:rFonts w:hint="eastAsia" w:ascii="宋体" w:hAnsi="宋体" w:eastAsia="宋体" w:cs="宋体"/>
          <w:b/>
          <w:sz w:val="28"/>
          <w:szCs w:val="28"/>
          <w:highlight w:val="none"/>
        </w:rPr>
        <w:t>年XX月XX日</w:t>
      </w:r>
    </w:p>
    <w:p>
      <w:pPr>
        <w:pageBreakBefore w:val="0"/>
        <w:widowControl/>
        <w:kinsoku/>
        <w:wordWrap/>
        <w:overflowPunct/>
        <w:topLinePunct w:val="0"/>
        <w:bidi w:val="0"/>
        <w:spacing w:line="480" w:lineRule="auto"/>
        <w:ind w:firstLine="641"/>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pageBreakBefore w:val="0"/>
        <w:kinsoku/>
        <w:wordWrap/>
        <w:overflowPunct/>
        <w:topLinePunct w:val="0"/>
        <w:bidi w:val="0"/>
        <w:spacing w:line="480" w:lineRule="auto"/>
        <w:ind w:firstLine="562"/>
        <w:rPr>
          <w:rFonts w:hint="eastAsia" w:ascii="宋体" w:hAnsi="宋体" w:eastAsia="宋体" w:cs="宋体"/>
          <w:b/>
          <w:sz w:val="28"/>
          <w:szCs w:val="28"/>
          <w:highlight w:val="none"/>
        </w:rPr>
      </w:pPr>
      <w:r>
        <w:rPr>
          <w:rFonts w:hint="eastAsia" w:ascii="宋体" w:hAnsi="宋体" w:eastAsia="宋体" w:cs="宋体"/>
          <w:b/>
          <w:sz w:val="28"/>
          <w:szCs w:val="28"/>
          <w:highlight w:val="none"/>
        </w:rPr>
        <w:t>格式1-2</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rPr>
        <w:t>一、法定代表人/单位负责人授权书</w:t>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XXXXXXXX（采购代理机构名称）：</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法定代表人/单位负责人（委托人）签字或加盖个人印章：XXXX。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授权代表（被授权人）签字：XXXX。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供应商名称：XXXX（单位盖章）。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期：XXXX。</w:t>
      </w:r>
    </w:p>
    <w:p>
      <w:pPr>
        <w:pStyle w:val="2"/>
        <w:spacing w:line="360" w:lineRule="auto"/>
        <w:rPr>
          <w:rFonts w:hint="eastAsia" w:ascii="宋体" w:hAnsi="宋体" w:eastAsia="宋体" w:cs="宋体"/>
          <w:sz w:val="24"/>
          <w:szCs w:val="24"/>
          <w:highlight w:val="none"/>
        </w:rPr>
      </w:pPr>
    </w:p>
    <w:p>
      <w:pPr>
        <w:pStyle w:val="2"/>
        <w:spacing w:line="360" w:lineRule="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bookmarkStart w:id="93" w:name="_Toc217446084"/>
      <w:r>
        <w:rPr>
          <w:rFonts w:hint="eastAsia" w:ascii="宋体" w:hAnsi="宋体" w:eastAsia="宋体" w:cs="宋体"/>
          <w:sz w:val="24"/>
          <w:szCs w:val="24"/>
          <w:highlight w:val="none"/>
        </w:rPr>
        <w:t>注：1、供应商为法人单位时提供“法定代表人授权书”，供应商为其他组织时提供“单位负责人授权书”，供应商为自然人时提供“自然人身份证明材料”。</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2、应附法定代表人/单位负责人身份证明材料复印件和授权代表身份证明材料复印件。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3、身份证明材料包括居民身份证或户口本或军官证或护照等。</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4、身份证明材料应同时提供其在有效期的材料，如居民身份证正、反面复印件。</w:t>
      </w:r>
    </w:p>
    <w:bookmarkEnd w:id="93"/>
    <w:p>
      <w:pPr>
        <w:keepNext w:val="0"/>
        <w:keepLines w:val="0"/>
        <w:pageBreakBefore w:val="0"/>
        <w:kinsoku/>
        <w:wordWrap/>
        <w:overflowPunct/>
        <w:topLinePunct w:val="0"/>
        <w:bidi w:val="0"/>
        <w:spacing w:line="360" w:lineRule="auto"/>
        <w:ind w:firstLine="643"/>
        <w:textAlignment w:val="auto"/>
        <w:rPr>
          <w:rFonts w:hint="eastAsia" w:ascii="宋体" w:hAnsi="宋体" w:eastAsia="宋体" w:cs="宋体"/>
          <w:b/>
          <w:sz w:val="28"/>
          <w:szCs w:val="28"/>
          <w:highlight w:val="none"/>
        </w:rPr>
      </w:pPr>
      <w:r>
        <w:rPr>
          <w:rFonts w:hint="eastAsia" w:ascii="宋体" w:hAnsi="宋体" w:eastAsia="宋体" w:cs="宋体"/>
          <w:b/>
          <w:bCs/>
          <w:highlight w:val="none"/>
          <w:lang w:val="en-US" w:eastAsia="zh-CN"/>
        </w:rPr>
        <w:t>5、如为法定代表人/单位负责人或自然人直接参与磋商时提供身份证明材料复印件即可。</w:t>
      </w: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格式1-3</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二、承诺函</w:t>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XXXX（采购代理机构名称）：</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我单位作为本次采购项目的供应商，根据磋商文件要求，现郑重承诺如下：</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一、具备《中华人民共和国政府采购法》第二十二条第一款和本项目规定的条件：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（一）具有独立承担民事责任的能力；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（二）具有良好的商业信誉和健全的财务会计制度；</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（三）具有履行合同所必需的设备和专业技术能力；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（四）有依法缴纳税收和社会保障资金的良好记录；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（五）参加政府采购活动前三年内，在经营活动中没有重大违法记录；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（七）根据采购项目提出的特殊条件。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二、截至响应文件递交截止日未被列入失信被执行人、重大税收违法案件当事人名单、政府采购严重违法失信行为记录名单。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三、我单位及其现任法定代表人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不具有行贿犯罪记录。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供应商名称：XXXX（单位公章）。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sz w:val="28"/>
          <w:szCs w:val="28"/>
          <w:highlight w:val="none"/>
        </w:rPr>
        <w:t>格式1-4</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sz w:val="28"/>
          <w:szCs w:val="28"/>
          <w:highlight w:val="none"/>
        </w:rPr>
      </w:pPr>
      <w:r>
        <w:rPr>
          <w:rFonts w:hint="eastAsia" w:ascii="宋体" w:hAnsi="宋体" w:eastAsia="宋体" w:cs="宋体"/>
          <w:b/>
          <w:bCs/>
          <w:kern w:val="0"/>
          <w:sz w:val="28"/>
          <w:szCs w:val="28"/>
          <w:highlight w:val="none"/>
        </w:rPr>
        <w:t>三、</w:t>
      </w:r>
      <w:r>
        <w:rPr>
          <w:rFonts w:hint="eastAsia" w:ascii="宋体" w:hAnsi="宋体" w:cs="宋体"/>
          <w:b/>
          <w:bCs/>
          <w:kern w:val="0"/>
          <w:sz w:val="28"/>
          <w:szCs w:val="28"/>
          <w:highlight w:val="none"/>
          <w:lang w:val="en-US" w:eastAsia="zh-CN"/>
        </w:rPr>
        <w:t>供应商</w:t>
      </w:r>
      <w:r>
        <w:rPr>
          <w:rFonts w:hint="eastAsia" w:ascii="宋体" w:hAnsi="宋体" w:eastAsia="宋体" w:cs="宋体"/>
          <w:b/>
          <w:bCs/>
          <w:kern w:val="0"/>
          <w:sz w:val="28"/>
          <w:szCs w:val="28"/>
          <w:highlight w:val="none"/>
        </w:rPr>
        <w:t>单位及其现任法定代表人</w:t>
      </w:r>
      <w:r>
        <w:rPr>
          <w:rFonts w:hint="eastAsia" w:ascii="宋体" w:hAnsi="宋体" w:eastAsia="宋体" w:cs="宋体"/>
          <w:b/>
          <w:bCs/>
          <w:kern w:val="0"/>
          <w:sz w:val="28"/>
          <w:szCs w:val="28"/>
          <w:highlight w:val="none"/>
          <w:lang w:eastAsia="zh-CN"/>
        </w:rPr>
        <w:t>、</w:t>
      </w:r>
      <w:r>
        <w:rPr>
          <w:rFonts w:hint="eastAsia" w:ascii="宋体" w:hAnsi="宋体" w:eastAsia="宋体" w:cs="宋体"/>
          <w:b/>
          <w:bCs/>
          <w:kern w:val="0"/>
          <w:sz w:val="28"/>
          <w:szCs w:val="28"/>
          <w:highlight w:val="none"/>
          <w:lang w:val="en-US" w:eastAsia="zh-CN"/>
        </w:rPr>
        <w:t>主要负责人</w:t>
      </w:r>
      <w:r>
        <w:rPr>
          <w:rFonts w:hint="eastAsia" w:ascii="宋体" w:hAnsi="宋体" w:eastAsia="宋体" w:cs="宋体"/>
          <w:b/>
          <w:bCs/>
          <w:kern w:val="0"/>
          <w:sz w:val="28"/>
          <w:szCs w:val="28"/>
          <w:highlight w:val="none"/>
        </w:rPr>
        <w:t>不得具有行贿犯罪记录的承诺函</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XXXX（采购代理机构名称）：</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本单位 </w:t>
      </w:r>
      <w:r>
        <w:rPr>
          <w:rFonts w:hint="eastAsia" w:ascii="宋体" w:hAnsi="宋体" w:eastAsia="宋体" w:cs="宋体"/>
          <w:sz w:val="24"/>
          <w:szCs w:val="24"/>
          <w:highlight w:val="none"/>
          <w:u w:val="single"/>
        </w:rPr>
        <w:t xml:space="preserve">                  （供应商名称）</w:t>
      </w:r>
      <w:r>
        <w:rPr>
          <w:rFonts w:hint="eastAsia" w:ascii="宋体" w:hAnsi="宋体" w:eastAsia="宋体" w:cs="宋体"/>
          <w:sz w:val="24"/>
          <w:szCs w:val="24"/>
          <w:highlight w:val="none"/>
        </w:rPr>
        <w:t xml:space="preserve">参加   </w:t>
      </w:r>
      <w:r>
        <w:rPr>
          <w:rFonts w:hint="eastAsia" w:ascii="宋体" w:hAnsi="宋体" w:eastAsia="宋体" w:cs="宋体"/>
          <w:sz w:val="24"/>
          <w:szCs w:val="24"/>
          <w:highlight w:val="none"/>
          <w:u w:val="single"/>
        </w:rPr>
        <w:t xml:space="preserve">              （项目名称）</w:t>
      </w:r>
      <w:r>
        <w:rPr>
          <w:rFonts w:hint="eastAsia" w:ascii="宋体" w:hAnsi="宋体" w:eastAsia="宋体" w:cs="宋体"/>
          <w:sz w:val="24"/>
          <w:szCs w:val="24"/>
          <w:highlight w:val="none"/>
        </w:rPr>
        <w:t>的磋商活动，现进行如下承诺：</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我单位及其现任法定代表人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主要负责人</w:t>
      </w:r>
      <w:r>
        <w:rPr>
          <w:rFonts w:hint="eastAsia" w:ascii="宋体" w:hAnsi="宋体" w:eastAsia="宋体" w:cs="宋体"/>
          <w:sz w:val="24"/>
          <w:szCs w:val="24"/>
          <w:highlight w:val="none"/>
        </w:rPr>
        <w:t>不具有行贿犯罪记录。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供应商名称：XXXX（单位公章）。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期：XXXX。</w:t>
      </w:r>
    </w:p>
    <w:p>
      <w:pPr>
        <w:keepNext w:val="0"/>
        <w:keepLines w:val="0"/>
        <w:pageBreakBefore w:val="0"/>
        <w:kinsoku/>
        <w:wordWrap/>
        <w:overflowPunct/>
        <w:topLinePunct w:val="0"/>
        <w:bidi w:val="0"/>
        <w:spacing w:line="360" w:lineRule="auto"/>
        <w:ind w:firstLine="643"/>
        <w:textAlignment w:val="auto"/>
        <w:rPr>
          <w:rFonts w:hint="eastAsia" w:ascii="宋体" w:hAnsi="宋体" w:eastAsia="宋体" w:cs="宋体"/>
          <w:b/>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sz w:val="28"/>
          <w:szCs w:val="28"/>
          <w:highlight w:val="none"/>
        </w:rPr>
        <w:t>格式1-5</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 xml:space="preserve">四、中小企业声明函（工程、服务） </w:t>
      </w:r>
    </w:p>
    <w:p>
      <w:pPr>
        <w:pStyle w:val="37"/>
        <w:rPr>
          <w:sz w:val="22"/>
          <w:szCs w:val="22"/>
          <w:highlight w:val="none"/>
        </w:rPr>
      </w:pPr>
    </w:p>
    <w:p>
      <w:pPr>
        <w:pStyle w:val="37"/>
        <w:spacing w:line="360" w:lineRule="auto"/>
        <w:ind w:firstLine="480" w:firstLineChars="200"/>
        <w:rPr>
          <w:rFonts w:hAnsi="宋体" w:cs="宋体"/>
          <w:sz w:val="24"/>
          <w:szCs w:val="24"/>
          <w:highlight w:val="none"/>
        </w:rPr>
      </w:pPr>
      <w:r>
        <w:rPr>
          <w:rFonts w:hAnsi="宋体" w:cs="宋体"/>
          <w:sz w:val="24"/>
          <w:szCs w:val="24"/>
          <w:highlight w:val="none"/>
        </w:rPr>
        <w:t>本公司郑重声明，根据《政府采购促进中小企业发展管理办法》（财库﹝2020﹞46 号）的规定，本公司参加</w:t>
      </w:r>
      <w:r>
        <w:rPr>
          <w:rFonts w:hAnsi="宋体" w:cs="宋体"/>
          <w:sz w:val="24"/>
          <w:szCs w:val="24"/>
          <w:highlight w:val="none"/>
          <w:u w:val="single"/>
        </w:rPr>
        <w:t xml:space="preserve"> </w:t>
      </w:r>
      <w:r>
        <w:rPr>
          <w:rFonts w:hint="eastAsia" w:hAnsi="宋体" w:cs="宋体"/>
          <w:sz w:val="24"/>
          <w:szCs w:val="24"/>
          <w:highlight w:val="none"/>
          <w:u w:val="single"/>
          <w:lang w:eastAsia="zh-CN"/>
        </w:rPr>
        <w:t>成都东部新区玉成街道办事处</w:t>
      </w:r>
      <w:r>
        <w:rPr>
          <w:rFonts w:hint="eastAsia" w:hAnsi="宋体" w:cs="宋体"/>
          <w:sz w:val="24"/>
          <w:szCs w:val="24"/>
          <w:highlight w:val="none"/>
          <w:u w:val="single"/>
        </w:rPr>
        <w:t xml:space="preserve"> </w:t>
      </w:r>
      <w:r>
        <w:rPr>
          <w:rFonts w:hAnsi="宋体" w:cs="宋体"/>
          <w:sz w:val="24"/>
          <w:szCs w:val="24"/>
          <w:highlight w:val="none"/>
          <w:u w:val="single"/>
        </w:rPr>
        <w:t xml:space="preserve">（单位名称） </w:t>
      </w:r>
      <w:r>
        <w:rPr>
          <w:rFonts w:hAnsi="宋体" w:cs="宋体"/>
          <w:sz w:val="24"/>
          <w:szCs w:val="24"/>
          <w:highlight w:val="none"/>
        </w:rPr>
        <w:t>的</w:t>
      </w:r>
      <w:r>
        <w:rPr>
          <w:rFonts w:hint="eastAsia" w:hAnsi="宋体" w:cs="宋体"/>
          <w:sz w:val="24"/>
          <w:szCs w:val="24"/>
          <w:highlight w:val="none"/>
          <w:u w:val="single"/>
          <w:lang w:eastAsia="zh-CN"/>
        </w:rPr>
        <w:t>成都东部新区玉成街道办事处征地补偿工作辅助性服务采购项目</w:t>
      </w:r>
      <w:r>
        <w:rPr>
          <w:rFonts w:hAnsi="宋体" w:cs="宋体"/>
          <w:sz w:val="24"/>
          <w:szCs w:val="24"/>
          <w:highlight w:val="none"/>
          <w:u w:val="single"/>
        </w:rPr>
        <w:t xml:space="preserve">（项目名称） </w:t>
      </w:r>
      <w:r>
        <w:rPr>
          <w:rFonts w:hAnsi="宋体" w:cs="宋体"/>
          <w:sz w:val="24"/>
          <w:szCs w:val="24"/>
          <w:highlight w:val="none"/>
        </w:rPr>
        <w:t xml:space="preserve">采购活动，服务全部由符合政策要求的中小企业承接。相关企业（含联合体中的中小企业、签订分包意向协议的中小企业）的具体情况如下： </w:t>
      </w:r>
    </w:p>
    <w:p>
      <w:pPr>
        <w:pStyle w:val="37"/>
        <w:numPr>
          <w:ilvl w:val="0"/>
          <w:numId w:val="7"/>
        </w:numPr>
        <w:spacing w:line="360" w:lineRule="auto"/>
        <w:ind w:firstLine="480" w:firstLineChars="200"/>
        <w:rPr>
          <w:rFonts w:hAnsi="宋体" w:cs="宋体"/>
          <w:sz w:val="24"/>
          <w:szCs w:val="24"/>
          <w:highlight w:val="none"/>
        </w:rPr>
      </w:pPr>
      <w:r>
        <w:rPr>
          <w:rFonts w:hint="eastAsia" w:hAnsi="宋体" w:cs="宋体"/>
          <w:sz w:val="24"/>
          <w:szCs w:val="24"/>
          <w:highlight w:val="none"/>
          <w:u w:val="single"/>
          <w:lang w:val="en-US" w:eastAsia="zh-CN"/>
        </w:rPr>
        <w:t>成都东部新区玉成街道办事处征地补偿工作辅助性服务采购项目</w:t>
      </w:r>
      <w:r>
        <w:rPr>
          <w:rFonts w:hAnsi="宋体" w:cs="宋体"/>
          <w:sz w:val="24"/>
          <w:szCs w:val="24"/>
          <w:highlight w:val="none"/>
          <w:u w:val="single"/>
        </w:rPr>
        <w:t>（标的名称）</w:t>
      </w:r>
      <w:r>
        <w:rPr>
          <w:rFonts w:hAnsi="宋体" w:cs="宋体"/>
          <w:sz w:val="24"/>
          <w:szCs w:val="24"/>
          <w:highlight w:val="none"/>
        </w:rPr>
        <w:t>，属于</w:t>
      </w:r>
      <w:r>
        <w:rPr>
          <w:rFonts w:hAnsi="宋体" w:cs="宋体"/>
          <w:sz w:val="24"/>
          <w:szCs w:val="24"/>
          <w:highlight w:val="none"/>
          <w:u w:val="single"/>
        </w:rPr>
        <w:t xml:space="preserve"> </w:t>
      </w:r>
      <w:r>
        <w:rPr>
          <w:rFonts w:hint="eastAsia" w:hAnsi="宋体" w:cs="宋体"/>
          <w:sz w:val="24"/>
          <w:szCs w:val="24"/>
          <w:highlight w:val="none"/>
          <w:u w:val="single"/>
        </w:rPr>
        <w:t>其他未列明行业</w:t>
      </w:r>
      <w:r>
        <w:rPr>
          <w:rFonts w:hAnsi="宋体" w:cs="宋体"/>
          <w:sz w:val="24"/>
          <w:szCs w:val="24"/>
          <w:highlight w:val="none"/>
          <w:u w:val="single"/>
        </w:rPr>
        <w:t xml:space="preserve"> （采购文件中明确的所属行业）</w:t>
      </w:r>
      <w:r>
        <w:rPr>
          <w:rFonts w:hAnsi="宋体" w:cs="宋体"/>
          <w:sz w:val="24"/>
          <w:szCs w:val="24"/>
          <w:highlight w:val="none"/>
        </w:rPr>
        <w:t>； 承建（承接）企业为</w:t>
      </w:r>
      <w:r>
        <w:rPr>
          <w:rFonts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Ansi="宋体" w:cs="宋体"/>
          <w:sz w:val="24"/>
          <w:szCs w:val="24"/>
          <w:highlight w:val="none"/>
          <w:u w:val="single"/>
        </w:rPr>
        <w:t xml:space="preserve">  （企业名称）</w:t>
      </w:r>
      <w:r>
        <w:rPr>
          <w:rFonts w:hAnsi="宋体" w:cs="宋体"/>
          <w:sz w:val="24"/>
          <w:szCs w:val="24"/>
          <w:highlight w:val="none"/>
        </w:rPr>
        <w:t>，从业人员</w:t>
      </w:r>
      <w:r>
        <w:rPr>
          <w:rFonts w:hAnsi="宋体" w:cs="宋体"/>
          <w:sz w:val="24"/>
          <w:szCs w:val="24"/>
          <w:highlight w:val="none"/>
          <w:u w:val="single"/>
        </w:rPr>
        <w:t xml:space="preserve">           </w:t>
      </w:r>
      <w:r>
        <w:rPr>
          <w:rFonts w:hAnsi="宋体" w:cs="宋体"/>
          <w:sz w:val="24"/>
          <w:szCs w:val="24"/>
          <w:highlight w:val="none"/>
        </w:rPr>
        <w:t>人，营业收入为</w:t>
      </w:r>
      <w:r>
        <w:rPr>
          <w:rFonts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Ansi="宋体" w:cs="宋体"/>
          <w:sz w:val="24"/>
          <w:szCs w:val="24"/>
          <w:highlight w:val="none"/>
          <w:u w:val="single"/>
        </w:rPr>
        <w:t xml:space="preserve">      </w:t>
      </w:r>
      <w:r>
        <w:rPr>
          <w:rFonts w:hAnsi="宋体" w:cs="宋体"/>
          <w:sz w:val="24"/>
          <w:szCs w:val="24"/>
          <w:highlight w:val="none"/>
        </w:rPr>
        <w:t>万元，资产总额为</w:t>
      </w:r>
      <w:r>
        <w:rPr>
          <w:rFonts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Ansi="宋体" w:cs="宋体"/>
          <w:sz w:val="24"/>
          <w:szCs w:val="24"/>
          <w:highlight w:val="none"/>
          <w:u w:val="single"/>
        </w:rPr>
        <w:t xml:space="preserve">  </w:t>
      </w:r>
      <w:r>
        <w:rPr>
          <w:rFonts w:hAnsi="宋体" w:cs="宋体"/>
          <w:sz w:val="24"/>
          <w:szCs w:val="24"/>
          <w:highlight w:val="none"/>
        </w:rPr>
        <w:t>万元 ，属于</w:t>
      </w:r>
      <w:r>
        <w:rPr>
          <w:rFonts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Ansi="宋体" w:cs="宋体"/>
          <w:sz w:val="24"/>
          <w:szCs w:val="24"/>
          <w:highlight w:val="none"/>
          <w:u w:val="single"/>
        </w:rPr>
        <w:t>（中型企业、小型企业、微型企业）</w:t>
      </w:r>
      <w:r>
        <w:rPr>
          <w:rFonts w:hAnsi="宋体" w:cs="宋体"/>
          <w:sz w:val="24"/>
          <w:szCs w:val="24"/>
          <w:highlight w:val="none"/>
        </w:rPr>
        <w:t xml:space="preserve">； </w:t>
      </w:r>
    </w:p>
    <w:p>
      <w:pPr>
        <w:pStyle w:val="37"/>
        <w:spacing w:line="360" w:lineRule="auto"/>
        <w:ind w:firstLine="480" w:firstLineChars="200"/>
        <w:rPr>
          <w:rFonts w:hAnsi="宋体" w:cs="宋体"/>
          <w:sz w:val="24"/>
          <w:szCs w:val="24"/>
          <w:highlight w:val="none"/>
        </w:rPr>
      </w:pPr>
      <w:r>
        <w:rPr>
          <w:rFonts w:hAnsi="宋体" w:cs="宋体"/>
          <w:sz w:val="24"/>
          <w:szCs w:val="24"/>
          <w:highlight w:val="none"/>
        </w:rPr>
        <w:t>以上企业，不属于大企业的分支机构，不存在控股股东为大企业的情形，也不存在与大企业的负责人为同一人的情形。</w:t>
      </w:r>
    </w:p>
    <w:p>
      <w:pPr>
        <w:pStyle w:val="37"/>
        <w:spacing w:line="360" w:lineRule="auto"/>
        <w:ind w:firstLine="480" w:firstLineChars="200"/>
        <w:rPr>
          <w:rFonts w:hAnsi="宋体" w:cs="宋体"/>
          <w:sz w:val="24"/>
          <w:szCs w:val="24"/>
          <w:highlight w:val="none"/>
        </w:rPr>
      </w:pPr>
      <w:r>
        <w:rPr>
          <w:rFonts w:hAnsi="宋体" w:cs="宋体"/>
          <w:sz w:val="24"/>
          <w:szCs w:val="24"/>
          <w:highlight w:val="none"/>
        </w:rPr>
        <w:t xml:space="preserve">本企业对上述声明内容的真实性负责。如有虚假，将依法承担相应责任。 </w:t>
      </w:r>
    </w:p>
    <w:p>
      <w:pPr>
        <w:pStyle w:val="37"/>
        <w:spacing w:line="360" w:lineRule="auto"/>
        <w:ind w:firstLine="480" w:firstLineChars="200"/>
        <w:rPr>
          <w:rFonts w:hAnsi="宋体" w:cs="宋体"/>
          <w:sz w:val="24"/>
          <w:szCs w:val="24"/>
          <w:highlight w:val="none"/>
        </w:rPr>
      </w:pPr>
    </w:p>
    <w:p>
      <w:pPr>
        <w:pStyle w:val="37"/>
        <w:spacing w:line="360" w:lineRule="auto"/>
        <w:ind w:firstLine="480" w:firstLineChars="200"/>
        <w:rPr>
          <w:rFonts w:hAnsi="宋体" w:cs="宋体"/>
          <w:sz w:val="24"/>
          <w:szCs w:val="24"/>
          <w:highlight w:val="none"/>
        </w:rPr>
      </w:pPr>
      <w:r>
        <w:rPr>
          <w:rFonts w:hint="eastAsia" w:hAnsi="宋体" w:cs="宋体"/>
          <w:sz w:val="24"/>
          <w:szCs w:val="24"/>
          <w:highlight w:val="none"/>
          <w:lang w:val="en-US" w:eastAsia="zh-CN"/>
        </w:rPr>
        <w:t>企业</w:t>
      </w:r>
      <w:r>
        <w:rPr>
          <w:rFonts w:hAnsi="宋体" w:cs="宋体"/>
          <w:sz w:val="24"/>
          <w:szCs w:val="24"/>
          <w:highlight w:val="none"/>
          <w:lang w:val="zh-CN"/>
        </w:rPr>
        <w:t>名称</w:t>
      </w:r>
      <w:r>
        <w:rPr>
          <w:rFonts w:hAnsi="宋体" w:cs="宋体"/>
          <w:sz w:val="24"/>
          <w:szCs w:val="24"/>
          <w:highlight w:val="none"/>
        </w:rPr>
        <w:t xml:space="preserve">（盖章）： </w:t>
      </w:r>
    </w:p>
    <w:p>
      <w:pPr>
        <w:pStyle w:val="37"/>
        <w:spacing w:line="360" w:lineRule="auto"/>
        <w:ind w:firstLine="480" w:firstLineChars="200"/>
        <w:rPr>
          <w:sz w:val="22"/>
          <w:szCs w:val="22"/>
          <w:highlight w:val="none"/>
        </w:rPr>
      </w:pPr>
      <w:r>
        <w:rPr>
          <w:rFonts w:hAnsi="宋体" w:cs="宋体"/>
          <w:sz w:val="24"/>
          <w:szCs w:val="24"/>
          <w:highlight w:val="none"/>
        </w:rPr>
        <w:t>日 期： 20XX年XX月XX日</w:t>
      </w:r>
    </w:p>
    <w:p>
      <w:pPr>
        <w:spacing w:line="580" w:lineRule="exact"/>
        <w:ind w:firstLine="563"/>
        <w:rPr>
          <w:rFonts w:hint="eastAsia" w:ascii="宋体" w:hAnsi="宋体" w:cs="宋体"/>
          <w:b/>
          <w:bCs/>
          <w:spacing w:val="6"/>
          <w:sz w:val="24"/>
          <w:szCs w:val="24"/>
          <w:highlight w:val="none"/>
        </w:rPr>
      </w:pPr>
    </w:p>
    <w:p>
      <w:pPr>
        <w:spacing w:line="360" w:lineRule="auto"/>
        <w:ind w:firstLine="563"/>
        <w:rPr>
          <w:rFonts w:hint="eastAsia" w:ascii="宋体" w:hAnsi="宋体" w:cs="宋体"/>
          <w:color w:val="auto"/>
          <w:spacing w:val="6"/>
          <w:sz w:val="24"/>
          <w:szCs w:val="24"/>
          <w:highlight w:val="none"/>
          <w:u w:val="none"/>
        </w:rPr>
      </w:pPr>
      <w:r>
        <w:rPr>
          <w:rFonts w:hint="eastAsia" w:ascii="宋体" w:hAnsi="宋体" w:cs="宋体"/>
          <w:b/>
          <w:bCs/>
          <w:color w:val="auto"/>
          <w:spacing w:val="6"/>
          <w:sz w:val="24"/>
          <w:szCs w:val="24"/>
          <w:highlight w:val="none"/>
          <w:u w:val="none"/>
        </w:rPr>
        <w:t>说明：</w:t>
      </w:r>
      <w:r>
        <w:rPr>
          <w:rFonts w:hint="eastAsia" w:ascii="宋体" w:hAnsi="宋体" w:cs="宋体"/>
          <w:b/>
          <w:bCs/>
          <w:color w:val="auto"/>
          <w:spacing w:val="6"/>
          <w:sz w:val="24"/>
          <w:szCs w:val="24"/>
          <w:highlight w:val="none"/>
          <w:u w:val="none"/>
          <w:lang w:val="en-US" w:eastAsia="zh-CN"/>
        </w:rPr>
        <w:t>1、</w:t>
      </w:r>
      <w:r>
        <w:rPr>
          <w:rFonts w:hint="eastAsia" w:ascii="宋体" w:hAnsi="宋体" w:cs="宋体"/>
          <w:color w:val="auto"/>
          <w:spacing w:val="6"/>
          <w:sz w:val="24"/>
          <w:szCs w:val="24"/>
          <w:highlight w:val="none"/>
          <w:u w:val="none"/>
        </w:rPr>
        <w:t>从业人员、营业收入、资产总额填报上一年度数据，无上一年度数据的新成立企业可不填报。如未提供中小企业声明函</w:t>
      </w:r>
      <w:r>
        <w:rPr>
          <w:rFonts w:hint="eastAsia" w:ascii="宋体" w:hAnsi="宋体" w:cs="宋体"/>
          <w:color w:val="auto"/>
          <w:spacing w:val="6"/>
          <w:sz w:val="24"/>
          <w:szCs w:val="24"/>
          <w:highlight w:val="none"/>
          <w:u w:val="none"/>
          <w:lang w:val="en-US" w:eastAsia="zh-CN"/>
        </w:rPr>
        <w:t>或残疾人福利性单位声明函或监狱企业证明材料</w:t>
      </w:r>
      <w:r>
        <w:rPr>
          <w:rFonts w:hint="eastAsia" w:ascii="宋体" w:hAnsi="宋体" w:cs="宋体"/>
          <w:color w:val="auto"/>
          <w:spacing w:val="6"/>
          <w:sz w:val="24"/>
          <w:szCs w:val="24"/>
          <w:highlight w:val="none"/>
          <w:u w:val="none"/>
        </w:rPr>
        <w:t>的，</w:t>
      </w:r>
      <w:r>
        <w:rPr>
          <w:rFonts w:hint="eastAsia" w:ascii="宋体" w:hAnsi="宋体" w:cs="宋体"/>
          <w:color w:val="auto"/>
          <w:spacing w:val="6"/>
          <w:sz w:val="24"/>
          <w:szCs w:val="24"/>
          <w:highlight w:val="none"/>
          <w:u w:val="none"/>
          <w:lang w:val="en-US" w:eastAsia="zh-CN"/>
        </w:rPr>
        <w:t>其</w:t>
      </w:r>
      <w:r>
        <w:rPr>
          <w:rFonts w:hint="eastAsia" w:ascii="宋体" w:hAnsi="宋体" w:cs="宋体"/>
          <w:color w:val="auto"/>
          <w:spacing w:val="6"/>
          <w:sz w:val="24"/>
          <w:szCs w:val="24"/>
          <w:highlight w:val="none"/>
          <w:u w:val="none"/>
          <w:lang w:eastAsia="zh-CN"/>
        </w:rPr>
        <w:t>响应文件</w:t>
      </w:r>
      <w:r>
        <w:rPr>
          <w:rFonts w:hint="eastAsia" w:ascii="宋体" w:hAnsi="宋体" w:cs="宋体"/>
          <w:color w:val="auto"/>
          <w:spacing w:val="6"/>
          <w:sz w:val="24"/>
          <w:szCs w:val="24"/>
          <w:highlight w:val="none"/>
          <w:u w:val="none"/>
          <w:lang w:val="en-US" w:eastAsia="zh-CN"/>
        </w:rPr>
        <w:t>作无效处理</w:t>
      </w:r>
      <w:r>
        <w:rPr>
          <w:rFonts w:hint="eastAsia" w:ascii="宋体" w:hAnsi="宋体" w:cs="宋体"/>
          <w:color w:val="auto"/>
          <w:spacing w:val="6"/>
          <w:sz w:val="24"/>
          <w:szCs w:val="24"/>
          <w:highlight w:val="none"/>
          <w:u w:val="none"/>
        </w:rPr>
        <w:t>。</w:t>
      </w:r>
    </w:p>
    <w:p>
      <w:pPr>
        <w:pStyle w:val="37"/>
        <w:spacing w:line="360" w:lineRule="auto"/>
        <w:ind w:firstLine="504" w:firstLineChars="200"/>
        <w:rPr>
          <w:rFonts w:hint="eastAsia" w:hAnsi="宋体" w:cs="宋体"/>
          <w:color w:val="auto"/>
          <w:spacing w:val="6"/>
          <w:kern w:val="2"/>
          <w:sz w:val="24"/>
          <w:szCs w:val="24"/>
          <w:highlight w:val="none"/>
          <w:u w:val="none"/>
        </w:rPr>
      </w:pPr>
      <w:r>
        <w:rPr>
          <w:rFonts w:hint="eastAsia" w:hAnsi="宋体" w:cs="宋体"/>
          <w:color w:val="auto"/>
          <w:spacing w:val="6"/>
          <w:kern w:val="2"/>
          <w:sz w:val="24"/>
          <w:szCs w:val="24"/>
          <w:highlight w:val="none"/>
          <w:u w:val="none"/>
          <w:lang w:val="en-US" w:eastAsia="zh-CN"/>
        </w:rPr>
        <w:t>2、中小企业应当按照《政府采购促进中小企业发展管理办法》规定和《中小企业划型标准规定》（工信部联企业〔2011〕300号），如实填写并提交《中小企业声明函》。</w:t>
      </w:r>
    </w:p>
    <w:p>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3、本项目所属行业：</w:t>
      </w:r>
      <w:r>
        <w:rPr>
          <w:rFonts w:hint="eastAsia" w:ascii="宋体" w:hAnsi="宋体" w:eastAsia="宋体" w:cs="宋体"/>
          <w:b/>
          <w:bCs/>
          <w:sz w:val="24"/>
          <w:szCs w:val="24"/>
          <w:highlight w:val="none"/>
        </w:rPr>
        <w:t>其他未列明行业</w:t>
      </w:r>
      <w:r>
        <w:rPr>
          <w:rFonts w:hint="eastAsia" w:ascii="宋体" w:hAnsi="宋体" w:cs="宋体"/>
          <w:b/>
          <w:sz w:val="24"/>
          <w:szCs w:val="24"/>
          <w:highlight w:val="none"/>
          <w:lang w:val="en-US" w:eastAsia="zh-CN"/>
        </w:rPr>
        <w:t>。</w:t>
      </w:r>
    </w:p>
    <w:p>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br w:type="page"/>
      </w:r>
    </w:p>
    <w:p>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附件：</w:t>
      </w:r>
    </w:p>
    <w:p>
      <w:pPr>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中小企业划型标准规定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w:t>
      </w:r>
      <w:r>
        <w:rPr>
          <w:rFonts w:hint="eastAsia" w:ascii="宋体" w:hAnsi="宋体" w:eastAsia="宋体" w:cs="宋体"/>
          <w:b/>
          <w:bCs/>
          <w:sz w:val="24"/>
          <w:szCs w:val="24"/>
          <w:highlight w:val="none"/>
        </w:rPr>
        <w:t>其他未列明行业（包括科学研究和技术服务业，水利、环境和公共设施管理业，居民服务、修理和其他服务业，社会工作，文化、体育和娱乐业</w:t>
      </w:r>
      <w:r>
        <w:rPr>
          <w:rFonts w:hint="eastAsia" w:ascii="宋体" w:hAnsi="宋体" w:eastAsia="宋体" w:cs="宋体"/>
          <w:sz w:val="24"/>
          <w:szCs w:val="24"/>
          <w:highlight w:val="none"/>
        </w:rPr>
        <w:t>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四、各行业划型标准为: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b/>
          <w:bCs/>
          <w:sz w:val="24"/>
          <w:szCs w:val="24"/>
          <w:highlight w:val="none"/>
        </w:rPr>
        <w:t>农、林、牧、渔业</w:t>
      </w:r>
      <w:r>
        <w:rPr>
          <w:rFonts w:hint="eastAsia" w:ascii="宋体" w:hAnsi="宋体" w:eastAsia="宋体" w:cs="宋体"/>
          <w:sz w:val="24"/>
          <w:szCs w:val="24"/>
          <w:highlight w:val="none"/>
        </w:rPr>
        <w:t>。营业收入20000万元以下的为中小微型企业。其中，营业收入500万元及以上的为中型企业，营业收入50万元及以上的为小型企业，营业收入50万元以下的为微型企业。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
          <w:bCs/>
          <w:sz w:val="24"/>
          <w:szCs w:val="24"/>
          <w:highlight w:val="none"/>
        </w:rPr>
        <w:t>工业</w:t>
      </w:r>
      <w:r>
        <w:rPr>
          <w:rFonts w:hint="eastAsia" w:ascii="宋体" w:hAnsi="宋体" w:eastAsia="宋体" w:cs="宋体"/>
          <w:sz w:val="24"/>
          <w:szCs w:val="24"/>
          <w:highlight w:val="none"/>
        </w:rPr>
        <w:t>。从业人员1000人以下或营业收入40000万元以下的为中小微型企业。其中，从业人员300人及以上，且营业收入2000万元及以上的为中型企业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从业人员20人及以上，且营业收入300万元及以上的为小型企业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从业人员20人以下或营业收入300万元以下的为微型企业。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b/>
          <w:bCs/>
          <w:sz w:val="24"/>
          <w:szCs w:val="24"/>
          <w:highlight w:val="none"/>
        </w:rPr>
        <w:t>建筑业</w:t>
      </w:r>
      <w:r>
        <w:rPr>
          <w:rFonts w:hint="eastAsia" w:ascii="宋体" w:hAnsi="宋体" w:eastAsia="宋体" w:cs="宋体"/>
          <w:sz w:val="24"/>
          <w:szCs w:val="24"/>
          <w:highlight w:val="none"/>
        </w:rPr>
        <w:t>。营业收入80000万元以下或资产总额80000万元以下的为中小微型企业。其中，营业收入6000万元及以上，且资产总额5000万元及以上的为中型企业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营业收入300万元及以上，且资产总额300万元及以上的为小型企业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营业收入300万元以下或资产总额300万元以下的为微型企业。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b/>
          <w:bCs/>
          <w:sz w:val="24"/>
          <w:szCs w:val="24"/>
          <w:highlight w:val="none"/>
        </w:rPr>
        <w:t>批发业</w:t>
      </w:r>
      <w:r>
        <w:rPr>
          <w:rFonts w:hint="eastAsia" w:ascii="宋体" w:hAnsi="宋体" w:eastAsia="宋体" w:cs="宋体"/>
          <w:sz w:val="24"/>
          <w:szCs w:val="24"/>
          <w:highlight w:val="none"/>
        </w:rPr>
        <w:t>。从业人员200人以下或营业收入40000万元以下的为中小微型企业。其中，从业人员20人及以上，且营业收入5000万元及以上的为中型企业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从业人员5人及以上，且营业收入1000万元及以上的为小型企业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从业人员5人以下或营业收入1000万元以下的为微型企业。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b/>
          <w:bCs/>
          <w:sz w:val="24"/>
          <w:szCs w:val="24"/>
          <w:highlight w:val="none"/>
        </w:rPr>
        <w:t>零售业</w:t>
      </w:r>
      <w:r>
        <w:rPr>
          <w:rFonts w:hint="eastAsia" w:ascii="宋体" w:hAnsi="宋体" w:eastAsia="宋体" w:cs="宋体"/>
          <w:sz w:val="24"/>
          <w:szCs w:val="24"/>
          <w:highlight w:val="none"/>
        </w:rPr>
        <w:t>。从业人员300人以下或营业收入20000万元以下的为中小微型企业。其中，从业人员50人及以上，且营业收入500万元及以上的为中型企业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b/>
          <w:bCs/>
          <w:sz w:val="24"/>
          <w:szCs w:val="24"/>
          <w:highlight w:val="none"/>
        </w:rPr>
        <w:t>交通运输业</w:t>
      </w:r>
      <w:r>
        <w:rPr>
          <w:rFonts w:hint="eastAsia" w:ascii="宋体" w:hAnsi="宋体" w:eastAsia="宋体" w:cs="宋体"/>
          <w:sz w:val="24"/>
          <w:szCs w:val="24"/>
          <w:highlight w:val="none"/>
        </w:rPr>
        <w:t>。从业人员1000人以下或营业收入30000万元以下的为中小微型企业。其中，从业人员300人及以上，且营业收入3000万元及以上的为中型企业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从业人员20人及以上，且营业收入200万元及以上的为小型企业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从业人员20人以下或营业收入200万元以下的为微型企业。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b/>
          <w:bCs/>
          <w:sz w:val="24"/>
          <w:szCs w:val="24"/>
          <w:highlight w:val="none"/>
        </w:rPr>
        <w:t>仓储业</w:t>
      </w:r>
      <w:r>
        <w:rPr>
          <w:rFonts w:hint="eastAsia" w:ascii="宋体" w:hAnsi="宋体" w:eastAsia="宋体" w:cs="宋体"/>
          <w:sz w:val="24"/>
          <w:szCs w:val="24"/>
          <w:highlight w:val="none"/>
        </w:rPr>
        <w:t>。从业人员200人以下或营业收入30000万元以下的为中小微型企业。其中，从业人员100人及以上，且营业收入1000万元及以上的为中型企业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w:t>
      </w:r>
      <w:r>
        <w:rPr>
          <w:rFonts w:hint="eastAsia" w:ascii="宋体" w:hAnsi="宋体" w:eastAsia="宋体" w:cs="宋体"/>
          <w:b/>
          <w:bCs/>
          <w:sz w:val="24"/>
          <w:szCs w:val="24"/>
          <w:highlight w:val="none"/>
        </w:rPr>
        <w:t>邮政业</w:t>
      </w:r>
      <w:r>
        <w:rPr>
          <w:rFonts w:hint="eastAsia" w:ascii="宋体" w:hAnsi="宋体" w:eastAsia="宋体" w:cs="宋体"/>
          <w:sz w:val="24"/>
          <w:szCs w:val="24"/>
          <w:highlight w:val="none"/>
        </w:rPr>
        <w:t>。从业人员1000人以下或营业收入30000万元以下的为中小微型企业。其中，从业人员300人及以上，且营业收入2000万元及以上的为中型企业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从业人员20人以下或营业收入100万元以下的为微型企业。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w:t>
      </w:r>
      <w:r>
        <w:rPr>
          <w:rFonts w:hint="eastAsia" w:ascii="宋体" w:hAnsi="宋体" w:eastAsia="宋体" w:cs="宋体"/>
          <w:b/>
          <w:bCs/>
          <w:sz w:val="24"/>
          <w:szCs w:val="24"/>
          <w:highlight w:val="none"/>
        </w:rPr>
        <w:t>住宿业</w:t>
      </w:r>
      <w:r>
        <w:rPr>
          <w:rFonts w:hint="eastAsia" w:ascii="宋体" w:hAnsi="宋体" w:eastAsia="宋体" w:cs="宋体"/>
          <w:sz w:val="24"/>
          <w:szCs w:val="24"/>
          <w:highlight w:val="none"/>
        </w:rPr>
        <w:t>。从业人员300人以下或营业收入10000万元以下的为中小微型企业。其中，从业人员100人及以上，且营业收入2000万元及以上的为中型企业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eastAsia="宋体" w:cs="宋体"/>
          <w:b/>
          <w:bCs/>
          <w:sz w:val="24"/>
          <w:szCs w:val="24"/>
          <w:highlight w:val="none"/>
        </w:rPr>
        <w:t>餐饮业</w:t>
      </w:r>
      <w:r>
        <w:rPr>
          <w:rFonts w:hint="eastAsia" w:ascii="宋体" w:hAnsi="宋体" w:eastAsia="宋体" w:cs="宋体"/>
          <w:sz w:val="24"/>
          <w:szCs w:val="24"/>
          <w:highlight w:val="none"/>
        </w:rPr>
        <w:t>。从业人员300人以下或营业收入10000万元以下的为中小微型企业。其中，从业人员100人及以上，且营业收入2000万元及以上的为中型企业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r>
        <w:rPr>
          <w:rFonts w:hint="eastAsia" w:ascii="宋体" w:hAnsi="宋体" w:eastAsia="宋体" w:cs="宋体"/>
          <w:b/>
          <w:bCs/>
          <w:sz w:val="24"/>
          <w:szCs w:val="24"/>
          <w:highlight w:val="none"/>
        </w:rPr>
        <w:t>信息传输业</w:t>
      </w:r>
      <w:r>
        <w:rPr>
          <w:rFonts w:hint="eastAsia" w:ascii="宋体" w:hAnsi="宋体" w:eastAsia="宋体" w:cs="宋体"/>
          <w:sz w:val="24"/>
          <w:szCs w:val="24"/>
          <w:highlight w:val="none"/>
        </w:rPr>
        <w:t>。从业人员2000人以下或营业收入100000万元以下的为中小微型企业。其中，从业人员100人及以上，且营业收入1000万元及以上的为中型企业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(十二)</w:t>
      </w:r>
      <w:r>
        <w:rPr>
          <w:rFonts w:hint="eastAsia" w:ascii="宋体" w:hAnsi="宋体" w:eastAsia="宋体" w:cs="宋体"/>
          <w:b/>
          <w:bCs/>
          <w:sz w:val="24"/>
          <w:szCs w:val="24"/>
          <w:highlight w:val="none"/>
        </w:rPr>
        <w:t>软件和信息技术服务业</w:t>
      </w:r>
      <w:r>
        <w:rPr>
          <w:rFonts w:hint="eastAsia" w:ascii="宋体" w:hAnsi="宋体" w:eastAsia="宋体" w:cs="宋体"/>
          <w:sz w:val="24"/>
          <w:szCs w:val="24"/>
          <w:highlight w:val="none"/>
        </w:rPr>
        <w:t>。从业人员300人以下或营业收入10000万元以下的为中小微型企业.其中,从业人员100人及以上，且营业收入1000万元及以上的为中型企业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从业人员10人及以上，且营业收入50万元及以上的为小型企业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从业人员10人以下或营业收入50万元以下的为微型企业。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(十三)</w:t>
      </w:r>
      <w:r>
        <w:rPr>
          <w:rFonts w:hint="eastAsia" w:ascii="宋体" w:hAnsi="宋体" w:eastAsia="宋体" w:cs="宋体"/>
          <w:b/>
          <w:bCs/>
          <w:sz w:val="24"/>
          <w:szCs w:val="24"/>
          <w:highlight w:val="none"/>
        </w:rPr>
        <w:t>房地产开发经营</w:t>
      </w:r>
      <w:r>
        <w:rPr>
          <w:rFonts w:hint="eastAsia" w:ascii="宋体" w:hAnsi="宋体" w:eastAsia="宋体" w:cs="宋体"/>
          <w:sz w:val="24"/>
          <w:szCs w:val="24"/>
          <w:highlight w:val="none"/>
        </w:rPr>
        <w:t>。营业收入200000万元以下或资产总额10000万元以下的为中小微型企业。其中，营业收入1000万元及以上，且资产总额5000万元及以上的为中型企业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营业收入100万元及以上，且资产总额2000万元及以上的为小型企业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营业收入100万元以下或资产总额2000万元以下的为微型企业。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(十四)</w:t>
      </w:r>
      <w:r>
        <w:rPr>
          <w:rFonts w:hint="eastAsia" w:ascii="宋体" w:hAnsi="宋体" w:eastAsia="宋体" w:cs="宋体"/>
          <w:b/>
          <w:bCs/>
          <w:sz w:val="24"/>
          <w:szCs w:val="24"/>
          <w:highlight w:val="none"/>
        </w:rPr>
        <w:t>物业管理</w:t>
      </w:r>
      <w:r>
        <w:rPr>
          <w:rFonts w:hint="eastAsia" w:ascii="宋体" w:hAnsi="宋体" w:eastAsia="宋体" w:cs="宋体"/>
          <w:sz w:val="24"/>
          <w:szCs w:val="24"/>
          <w:highlight w:val="none"/>
        </w:rPr>
        <w:t>。从业人员1000人以下或营业收入5000万元以下的为中小微型企业。其中，从业人员300人及以上，且营业收入1000万元及以上的为中型企业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从业人员100人及以上，且营业收入500万元及以上的为小型企业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从业人员100人以下或营业收入500万元以下的为微型企业。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(十五）</w:t>
      </w:r>
      <w:r>
        <w:rPr>
          <w:rFonts w:hint="eastAsia" w:ascii="宋体" w:hAnsi="宋体" w:eastAsia="宋体" w:cs="宋体"/>
          <w:b/>
          <w:bCs/>
          <w:sz w:val="24"/>
          <w:szCs w:val="24"/>
          <w:highlight w:val="none"/>
        </w:rPr>
        <w:t>租赁和商务服务业</w:t>
      </w:r>
      <w:r>
        <w:rPr>
          <w:rFonts w:hint="eastAsia" w:ascii="宋体" w:hAnsi="宋体" w:eastAsia="宋体" w:cs="宋体"/>
          <w:sz w:val="24"/>
          <w:szCs w:val="24"/>
          <w:highlight w:val="none"/>
        </w:rPr>
        <w:t>。从业人员300人以下或资产总额120000万元以下的为中小微型企业。其中，从业人员100人及以上，且资产总额8000万元及以上的为中型企业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从业人员10人及以上，且资产总额100万元及以上的为小型企业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从业人员10人以下或资产总额100万元以下的为微型企业。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(十六)</w:t>
      </w:r>
      <w:r>
        <w:rPr>
          <w:rFonts w:hint="eastAsia" w:ascii="宋体" w:hAnsi="宋体" w:eastAsia="宋体" w:cs="宋体"/>
          <w:b/>
          <w:bCs/>
          <w:sz w:val="24"/>
          <w:szCs w:val="24"/>
          <w:highlight w:val="none"/>
        </w:rPr>
        <w:t>其他未列明行业</w:t>
      </w:r>
      <w:r>
        <w:rPr>
          <w:rFonts w:hint="eastAsia" w:ascii="宋体" w:hAnsi="宋体" w:eastAsia="宋体" w:cs="宋体"/>
          <w:sz w:val="24"/>
          <w:szCs w:val="24"/>
          <w:highlight w:val="none"/>
        </w:rPr>
        <w:t>。从业人员300人以下的为中小微型企业。其中，从业人员100人及以上的为中型企业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从业人员10人及以上的为小型企业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从业人员10人以下的为微型企业。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五、企业类型的划分以统计部门的统计数据为依据。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六、本规定适用于在中华人民共和国境内依法设立的各类所有制和各种组织形式的企业。个体工商户和本规定以外的行业，参照本规定进行划型。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八、本规定由工业和信息化部、国家统计局会同有关部门根据《国民经济行业分类》修订情况和企业发展变化情况适时修订。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九、本规定由工业和信息化部、国家统计局会同有关部门负责解释。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十、本规定自发布之日起执行，原国家经贸委、原国家计委、财政部和国家统计局20</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年颁布的《中小企业标准暂行规定》同时废止。</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格式</w:t>
      </w:r>
      <w:r>
        <w:rPr>
          <w:rFonts w:hint="eastAsia" w:ascii="宋体" w:hAnsi="宋体" w:cs="宋体"/>
          <w:b/>
          <w:sz w:val="28"/>
          <w:szCs w:val="28"/>
          <w:highlight w:val="none"/>
          <w:lang w:val="en-US" w:eastAsia="zh-CN"/>
        </w:rPr>
        <w:t>1</w:t>
      </w:r>
      <w:r>
        <w:rPr>
          <w:rFonts w:hint="eastAsia" w:ascii="宋体" w:hAnsi="宋体" w:eastAsia="宋体" w:cs="宋体"/>
          <w:b/>
          <w:sz w:val="28"/>
          <w:szCs w:val="28"/>
          <w:highlight w:val="none"/>
        </w:rPr>
        <w:t>-</w:t>
      </w:r>
      <w:r>
        <w:rPr>
          <w:rFonts w:hint="eastAsia" w:ascii="宋体" w:hAnsi="宋体" w:cs="宋体"/>
          <w:b/>
          <w:sz w:val="28"/>
          <w:szCs w:val="28"/>
          <w:highlight w:val="none"/>
          <w:lang w:val="en-US" w:eastAsia="zh-CN"/>
        </w:rPr>
        <w:t>6</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、残疾人福利性单位声明函</w:t>
      </w:r>
    </w:p>
    <w:p>
      <w:pPr>
        <w:keepNext w:val="0"/>
        <w:keepLines w:val="0"/>
        <w:pageBreakBefore w:val="0"/>
        <w:kinsoku/>
        <w:wordWrap/>
        <w:overflowPunct/>
        <w:topLinePunct w:val="0"/>
        <w:bidi w:val="0"/>
        <w:spacing w:line="360" w:lineRule="auto"/>
        <w:ind w:firstLine="506"/>
        <w:textAlignment w:val="auto"/>
        <w:rPr>
          <w:rFonts w:hint="eastAsia" w:ascii="宋体" w:hAnsi="宋体" w:eastAsia="宋体" w:cs="宋体"/>
          <w:b/>
          <w:spacing w:val="6"/>
          <w:sz w:val="28"/>
          <w:szCs w:val="28"/>
          <w:highlight w:val="none"/>
        </w:rPr>
      </w:pP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sz w:val="24"/>
          <w:szCs w:val="24"/>
          <w:highlight w:val="none"/>
        </w:rPr>
        <w:t>〔2017〕 141</w:t>
      </w:r>
      <w:r>
        <w:rPr>
          <w:rFonts w:hint="eastAsia" w:ascii="宋体" w:hAnsi="宋体" w:eastAsia="宋体" w:cs="宋体"/>
          <w:spacing w:val="6"/>
          <w:sz w:val="24"/>
          <w:szCs w:val="24"/>
          <w:highlight w:val="none"/>
        </w:rPr>
        <w:t>号）的规定，本单位为</w:t>
      </w:r>
      <w:r>
        <w:rPr>
          <w:rFonts w:hint="eastAsia" w:ascii="宋体" w:hAnsi="宋体" w:eastAsia="宋体" w:cs="宋体"/>
          <w:sz w:val="24"/>
          <w:szCs w:val="24"/>
          <w:highlight w:val="none"/>
          <w:u w:val="single"/>
        </w:rPr>
        <w:t>XXXX（</w:t>
      </w:r>
      <w:r>
        <w:rPr>
          <w:rFonts w:hint="eastAsia" w:ascii="宋体" w:hAnsi="宋体" w:eastAsia="宋体" w:cs="宋体"/>
          <w:spacing w:val="6"/>
          <w:sz w:val="24"/>
          <w:szCs w:val="24"/>
          <w:highlight w:val="none"/>
        </w:rPr>
        <w:t>符合/不符合）条件的残疾人福利性单位，且本单位参加</w:t>
      </w:r>
      <w:r>
        <w:rPr>
          <w:rFonts w:hint="eastAsia" w:ascii="宋体" w:hAnsi="宋体" w:eastAsia="宋体" w:cs="宋体"/>
          <w:sz w:val="24"/>
          <w:szCs w:val="24"/>
          <w:highlight w:val="none"/>
          <w:u w:val="single"/>
        </w:rPr>
        <w:t>XXXX</w:t>
      </w:r>
      <w:r>
        <w:rPr>
          <w:rFonts w:hint="eastAsia" w:ascii="宋体" w:hAnsi="宋体" w:eastAsia="宋体" w:cs="宋体"/>
          <w:spacing w:val="6"/>
          <w:sz w:val="24"/>
          <w:szCs w:val="24"/>
          <w:highlight w:val="none"/>
        </w:rPr>
        <w:t>单位的</w:t>
      </w:r>
      <w:r>
        <w:rPr>
          <w:rFonts w:hint="eastAsia" w:ascii="宋体" w:hAnsi="宋体" w:eastAsia="宋体" w:cs="宋体"/>
          <w:sz w:val="24"/>
          <w:szCs w:val="24"/>
          <w:highlight w:val="none"/>
          <w:u w:val="single"/>
        </w:rPr>
        <w:t>XXXX</w:t>
      </w:r>
      <w:r>
        <w:rPr>
          <w:rFonts w:hint="eastAsia" w:ascii="宋体" w:hAnsi="宋体" w:eastAsia="宋体" w:cs="宋体"/>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本单位对上述声明的真实性负责。如有虚假，将依法承担相应责任。</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p>
    <w:p>
      <w:pPr>
        <w:keepNext w:val="0"/>
        <w:keepLines w:val="0"/>
        <w:pageBreakBefore w:val="0"/>
        <w:kinsoku/>
        <w:wordWrap/>
        <w:overflowPunct/>
        <w:topLinePunct w:val="0"/>
        <w:bidi w:val="0"/>
        <w:spacing w:line="360" w:lineRule="auto"/>
        <w:ind w:firstLine="504"/>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注：</w:t>
      </w:r>
      <w:r>
        <w:rPr>
          <w:rFonts w:hint="eastAsia" w:ascii="宋体" w:hAnsi="宋体" w:eastAsia="宋体" w:cs="宋体"/>
          <w:spacing w:val="6"/>
          <w:sz w:val="24"/>
          <w:szCs w:val="24"/>
          <w:highlight w:val="none"/>
          <w:lang w:val="en-US" w:eastAsia="zh-CN"/>
        </w:rPr>
        <w:t>1.</w:t>
      </w:r>
      <w:r>
        <w:rPr>
          <w:rFonts w:hint="eastAsia" w:ascii="宋体" w:hAnsi="宋体" w:eastAsia="宋体" w:cs="宋体"/>
          <w:spacing w:val="6"/>
          <w:sz w:val="24"/>
          <w:szCs w:val="24"/>
          <w:highlight w:val="none"/>
        </w:rPr>
        <w:t>残疾人福利性单位视同小型、微型企业。</w:t>
      </w:r>
    </w:p>
    <w:p>
      <w:pPr>
        <w:keepNext w:val="0"/>
        <w:keepLines w:val="0"/>
        <w:pageBreakBefore w:val="0"/>
        <w:kinsoku/>
        <w:wordWrap/>
        <w:overflowPunct/>
        <w:topLinePunct w:val="0"/>
        <w:bidi w:val="0"/>
        <w:spacing w:line="360" w:lineRule="auto"/>
        <w:ind w:firstLine="1008" w:firstLineChars="4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2.</w:t>
      </w:r>
      <w:r>
        <w:rPr>
          <w:rFonts w:hint="eastAsia" w:ascii="宋体" w:hAnsi="宋体" w:eastAsia="宋体" w:cs="宋体"/>
          <w:spacing w:val="6"/>
          <w:sz w:val="24"/>
          <w:szCs w:val="24"/>
          <w:highlight w:val="none"/>
        </w:rPr>
        <w:t>供应商为非残疾人福利性单位的，可不提供此声明。</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cs="宋体"/>
          <w:b/>
          <w:bCs/>
          <w:sz w:val="28"/>
          <w:szCs w:val="28"/>
          <w:highlight w:val="none"/>
          <w:lang w:val="en-US" w:eastAsia="zh-CN"/>
        </w:rPr>
      </w:pP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、其他资格、资质性及其他类似效力要求的相关证明材料</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注：供应商应按磋商文件第四章相关要求提供佐证材料，有格式要求的从其要求，无格式要求的格式自拟。</w:t>
      </w:r>
    </w:p>
    <w:p>
      <w:pPr>
        <w:keepNext w:val="0"/>
        <w:keepLines w:val="0"/>
        <w:pageBreakBefore w:val="0"/>
        <w:widowControl/>
        <w:kinsoku/>
        <w:wordWrap/>
        <w:overflowPunct/>
        <w:topLinePunct w:val="0"/>
        <w:bidi w:val="0"/>
        <w:spacing w:line="360" w:lineRule="auto"/>
        <w:ind w:firstLine="480"/>
        <w:jc w:val="lef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br w:type="page"/>
      </w:r>
    </w:p>
    <w:p>
      <w:pPr>
        <w:keepNext w:val="0"/>
        <w:keepLines w:val="0"/>
        <w:pageBreakBefore w:val="0"/>
        <w:tabs>
          <w:tab w:val="left" w:pos="900"/>
        </w:tabs>
        <w:kinsoku/>
        <w:wordWrap/>
        <w:overflowPunct/>
        <w:topLinePunct w:val="0"/>
        <w:bidi w:val="0"/>
        <w:spacing w:line="360" w:lineRule="auto"/>
        <w:ind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第二部分     “其他响应文件”格式</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格式2-1</w:t>
      </w: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封面：</w:t>
      </w:r>
    </w:p>
    <w:p>
      <w:pPr>
        <w:keepNext w:val="0"/>
        <w:keepLines w:val="0"/>
        <w:pageBreakBefore w:val="0"/>
        <w:kinsoku/>
        <w:wordWrap/>
        <w:overflowPunct/>
        <w:topLinePunct w:val="0"/>
        <w:bidi w:val="0"/>
        <w:spacing w:line="360" w:lineRule="auto"/>
        <w:ind w:firstLine="721"/>
        <w:jc w:val="right"/>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（正本/副本）</w:t>
      </w: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801"/>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XX项目</w:t>
      </w:r>
    </w:p>
    <w:p>
      <w:pPr>
        <w:keepNext w:val="0"/>
        <w:keepLines w:val="0"/>
        <w:pageBreakBefore w:val="0"/>
        <w:kinsoku/>
        <w:wordWrap/>
        <w:overflowPunct/>
        <w:topLinePunct w:val="0"/>
        <w:bidi w:val="0"/>
        <w:spacing w:line="360" w:lineRule="auto"/>
        <w:ind w:firstLine="104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1041"/>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其他响应文件</w:t>
      </w:r>
    </w:p>
    <w:p>
      <w:pPr>
        <w:keepNext w:val="0"/>
        <w:keepLines w:val="0"/>
        <w:pageBreakBefore w:val="0"/>
        <w:kinsoku/>
        <w:wordWrap/>
        <w:overflowPunct/>
        <w:topLinePunct w:val="0"/>
        <w:bidi w:val="0"/>
        <w:spacing w:line="360" w:lineRule="auto"/>
        <w:ind w:firstLine="72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721"/>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641"/>
        <w:jc w:val="left"/>
        <w:textAlignment w:val="auto"/>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供 应 商名称：</w:t>
      </w:r>
    </w:p>
    <w:p>
      <w:pPr>
        <w:keepNext w:val="0"/>
        <w:keepLines w:val="0"/>
        <w:pageBreakBefore w:val="0"/>
        <w:kinsoku/>
        <w:wordWrap/>
        <w:overflowPunct/>
        <w:topLinePunct w:val="0"/>
        <w:bidi w:val="0"/>
        <w:spacing w:line="360" w:lineRule="auto"/>
        <w:ind w:firstLine="641"/>
        <w:jc w:val="left"/>
        <w:textAlignment w:val="auto"/>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采购项目编号：</w:t>
      </w:r>
    </w:p>
    <w:p>
      <w:pPr>
        <w:keepNext w:val="0"/>
        <w:keepLines w:val="0"/>
        <w:pageBreakBefore w:val="0"/>
        <w:kinsoku/>
        <w:wordWrap/>
        <w:overflowPunct/>
        <w:topLinePunct w:val="0"/>
        <w:bidi w:val="0"/>
        <w:spacing w:line="360" w:lineRule="auto"/>
        <w:ind w:firstLine="691" w:firstLineChars="246"/>
        <w:jc w:val="center"/>
        <w:textAlignment w:val="auto"/>
        <w:rPr>
          <w:rFonts w:hint="eastAsia" w:ascii="宋体" w:hAnsi="宋体" w:eastAsia="宋体" w:cs="宋体"/>
          <w:b/>
          <w:bCs w:val="0"/>
          <w:color w:val="auto"/>
          <w:sz w:val="28"/>
          <w:szCs w:val="28"/>
          <w:highlight w:val="none"/>
        </w:rPr>
      </w:pPr>
    </w:p>
    <w:p>
      <w:pPr>
        <w:pStyle w:val="12"/>
        <w:keepNext w:val="0"/>
        <w:keepLines w:val="0"/>
        <w:pageBreakBefore w:val="0"/>
        <w:kinsoku/>
        <w:wordWrap/>
        <w:overflowPunct/>
        <w:topLinePunct w:val="0"/>
        <w:bidi w:val="0"/>
        <w:spacing w:line="360" w:lineRule="auto"/>
        <w:textAlignment w:val="auto"/>
        <w:rPr>
          <w:rFonts w:hint="eastAsia" w:ascii="宋体" w:hAnsi="宋体" w:eastAsia="宋体" w:cs="宋体"/>
          <w:highlight w:val="none"/>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highlight w:val="none"/>
        </w:rPr>
      </w:pPr>
    </w:p>
    <w:p>
      <w:pPr>
        <w:pStyle w:val="12"/>
        <w:keepNext w:val="0"/>
        <w:keepLines w:val="0"/>
        <w:pageBreakBefore w:val="0"/>
        <w:kinsoku/>
        <w:wordWrap/>
        <w:overflowPunct/>
        <w:topLinePunct w:val="0"/>
        <w:bidi w:val="0"/>
        <w:spacing w:line="360" w:lineRule="auto"/>
        <w:textAlignment w:val="auto"/>
        <w:rPr>
          <w:rFonts w:hint="eastAsia" w:ascii="宋体" w:hAnsi="宋体" w:eastAsia="宋体" w:cs="宋体"/>
          <w:highlight w:val="none"/>
        </w:rPr>
      </w:pPr>
    </w:p>
    <w:p>
      <w:pPr>
        <w:keepNext w:val="0"/>
        <w:keepLines w:val="0"/>
        <w:pageBreakBefore w:val="0"/>
        <w:kinsoku/>
        <w:wordWrap/>
        <w:overflowPunct/>
        <w:topLinePunct w:val="0"/>
        <w:bidi w:val="0"/>
        <w:spacing w:line="360" w:lineRule="auto"/>
        <w:ind w:firstLine="691" w:firstLineChars="246"/>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202</w:t>
      </w:r>
      <w:r>
        <w:rPr>
          <w:rFonts w:hint="eastAsia" w:ascii="宋体" w:hAnsi="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年XX月XX日</w:t>
      </w: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r>
        <w:rPr>
          <w:rFonts w:hint="eastAsia" w:ascii="宋体" w:hAnsi="宋体" w:eastAsia="宋体" w:cs="宋体"/>
          <w:b/>
          <w:bCs w:val="0"/>
          <w:color w:val="auto"/>
          <w:sz w:val="28"/>
          <w:szCs w:val="28"/>
          <w:highlight w:val="none"/>
        </w:rPr>
        <w:br w:type="page"/>
      </w:r>
      <w:r>
        <w:rPr>
          <w:rFonts w:hint="eastAsia" w:ascii="宋体" w:hAnsi="宋体" w:eastAsia="宋体" w:cs="宋体"/>
          <w:b/>
          <w:sz w:val="28"/>
          <w:szCs w:val="28"/>
          <w:highlight w:val="none"/>
        </w:rPr>
        <w:t>格式2-2</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bookmarkStart w:id="94" w:name="_Toc308164824"/>
      <w:r>
        <w:rPr>
          <w:rFonts w:hint="eastAsia" w:ascii="宋体" w:hAnsi="宋体" w:cs="宋体"/>
          <w:b/>
          <w:bCs/>
          <w:sz w:val="28"/>
          <w:szCs w:val="28"/>
          <w:highlight w:val="none"/>
          <w:lang w:val="en-US" w:eastAsia="zh-CN"/>
        </w:rPr>
        <w:t>一、</w:t>
      </w:r>
      <w:r>
        <w:rPr>
          <w:rFonts w:hint="eastAsia" w:ascii="宋体" w:hAnsi="宋体" w:eastAsia="宋体" w:cs="宋体"/>
          <w:b/>
          <w:bCs/>
          <w:sz w:val="28"/>
          <w:szCs w:val="28"/>
          <w:highlight w:val="none"/>
        </w:rPr>
        <w:t>报价函</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XXXXXXX</w:t>
      </w:r>
      <w:r>
        <w:rPr>
          <w:rFonts w:hint="eastAsia" w:ascii="宋体" w:hAnsi="宋体" w:eastAsia="宋体" w:cs="宋体"/>
          <w:sz w:val="24"/>
          <w:szCs w:val="24"/>
          <w:highlight w:val="none"/>
        </w:rPr>
        <w:t xml:space="preserve">（采购代理机构名称）: </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1．我方己仔细研究了</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（项目名称）磋商文件的全部内容，我方自愿按照磋商文件规定的各项要求向采购人提供所需服务，最后报价以《最后</w:t>
      </w:r>
      <w:r>
        <w:rPr>
          <w:rFonts w:hint="eastAsia" w:ascii="宋体" w:hAnsi="宋体" w:cs="宋体"/>
          <w:sz w:val="24"/>
          <w:szCs w:val="24"/>
          <w:highlight w:val="none"/>
          <w:lang w:val="en-US" w:eastAsia="zh-CN"/>
        </w:rPr>
        <w:t>一轮</w:t>
      </w:r>
      <w:r>
        <w:rPr>
          <w:rFonts w:hint="eastAsia" w:ascii="宋体" w:hAnsi="宋体" w:eastAsia="宋体" w:cs="宋体"/>
          <w:sz w:val="24"/>
          <w:szCs w:val="24"/>
          <w:highlight w:val="none"/>
        </w:rPr>
        <w:t>报价表》为准</w:t>
      </w:r>
      <w:r>
        <w:rPr>
          <w:rFonts w:hint="eastAsia" w:ascii="宋体" w:hAnsi="宋体" w:eastAsia="宋体" w:cs="宋体"/>
          <w:sz w:val="24"/>
          <w:szCs w:val="24"/>
          <w:highlight w:val="none"/>
          <w:u w:val="none"/>
        </w:rPr>
        <w:t>。</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2．我方承诺在响应文件有效期</w:t>
      </w:r>
      <w:r>
        <w:rPr>
          <w:rFonts w:hint="eastAsia" w:ascii="宋体" w:hAnsi="宋体" w:eastAsia="宋体" w:cs="宋体"/>
          <w:sz w:val="24"/>
          <w:szCs w:val="24"/>
          <w:highlight w:val="none"/>
          <w:u w:val="single"/>
        </w:rPr>
        <w:t xml:space="preserve">   90  </w:t>
      </w:r>
      <w:r>
        <w:rPr>
          <w:rFonts w:hint="eastAsia" w:ascii="宋体" w:hAnsi="宋体" w:eastAsia="宋体" w:cs="宋体"/>
          <w:sz w:val="24"/>
          <w:szCs w:val="24"/>
          <w:highlight w:val="none"/>
        </w:rPr>
        <w:t>天内不修改、撤销响应文件。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3．如我方成交：</w:t>
      </w:r>
    </w:p>
    <w:p>
      <w:pPr>
        <w:keepNext w:val="0"/>
        <w:keepLines w:val="0"/>
        <w:pageBreakBefore w:val="0"/>
        <w:kinsoku/>
        <w:wordWrap/>
        <w:overflowPunct/>
        <w:topLinePunct w:val="0"/>
        <w:bidi w:val="0"/>
        <w:spacing w:line="360"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(l）我方承诺在收到成交通知书后，在规定的期限内与采购人签订合同。</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（2）我方承诺按照磋商文件规定向采购人递交履约担保。</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（3）我方将严格履行政府采购合同规定的责任和义务。</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（4）我方愿意提供贵单位可能另外要求的，与磋商报价有关的文件资料，并保证我方已提供和将要提供的文件资料是真实、准确的。</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（其他补充说明）。</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供应商名称：XXX（盖单位公章）</w:t>
      </w:r>
    </w:p>
    <w:p>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w:t>
      </w:r>
    </w:p>
    <w:p>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通讯地址：XXX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邮政编码：XXX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联系电话：XXX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传    真：XXX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sz w:val="28"/>
          <w:szCs w:val="28"/>
          <w:highlight w:val="none"/>
        </w:rPr>
      </w:pPr>
      <w:r>
        <w:rPr>
          <w:rFonts w:hint="eastAsia" w:ascii="宋体" w:hAnsi="宋体" w:eastAsia="宋体" w:cs="宋体"/>
          <w:sz w:val="24"/>
          <w:szCs w:val="24"/>
          <w:highlight w:val="none"/>
          <w:u w:val="none"/>
        </w:rPr>
        <w:t>日    期：XXX年XXX月XXX日</w:t>
      </w:r>
      <w:r>
        <w:rPr>
          <w:rFonts w:hint="eastAsia" w:ascii="宋体" w:hAnsi="宋体" w:eastAsia="宋体" w:cs="宋体"/>
          <w:sz w:val="24"/>
          <w:szCs w:val="24"/>
          <w:highlight w:val="none"/>
          <w:u w:val="none"/>
        </w:rPr>
        <w:br w:type="page"/>
      </w:r>
      <w:r>
        <w:rPr>
          <w:rFonts w:hint="eastAsia" w:ascii="宋体" w:hAnsi="宋体" w:eastAsia="宋体" w:cs="宋体"/>
          <w:b/>
          <w:sz w:val="28"/>
          <w:szCs w:val="28"/>
          <w:highlight w:val="none"/>
        </w:rPr>
        <w:t>格式2-3</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二、</w:t>
      </w:r>
      <w:r>
        <w:rPr>
          <w:rFonts w:hint="eastAsia" w:ascii="宋体" w:hAnsi="宋体" w:eastAsia="宋体" w:cs="宋体"/>
          <w:b/>
          <w:bCs/>
          <w:sz w:val="28"/>
          <w:szCs w:val="28"/>
          <w:highlight w:val="none"/>
        </w:rPr>
        <w:t>承诺函</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XXX（采购代理机构名称）：</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我公司作为本次采购项目的供应商，根据磋商文件要求，现郑重承诺如下：</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一、具备《中华人民共和国政府采购法》第二十二条第一款和本项目规定的条件：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（一）具有独立承担民事责任的能力；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（二）具有良好的商业信誉和健全的财务会计制度；</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（三）具有履行合同所必需的设备和专业技术能力；</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（四）有依法缴纳税收和社会保障资金的良好记录；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（五）参加政府采购活动前三年内，在经营活动中没有重大违法记录；</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（七）根据采购项目提出的特殊条件。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完全接受和满足本项目磋商文件中规定的实质性要求（如采购预算、最高限价、低于成本价不正当竞争预防措施、国家规定的强制采购范围、合格供应商、充分、公平竞争保障措施、响应文件有效期、知识产权、响应文件的组成、响应文件的语言、计量单位、报价货币、合同分包、合同转包等实质性要求），如对磋商文件有异议，已经在递交响应文件截止时间届满前依法进行维权救济，不存在对磋商文件有异议的同时又参加磋商以求侥幸成交或者为实现其他非法目的的行为。</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三、在参加本次采购活动中，不存在与单位负责人为同一人或者存在直接控股、管理关系的其他供应商参与同一合同项下的政府采购活动的行为。</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五、响应文件中提供的任何资料和技术、服务、商务等响应承诺情况都是真实的、有效的、合法的。</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授权代表签字：XXXX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8"/>
          <w:szCs w:val="28"/>
          <w:highlight w:val="none"/>
        </w:rPr>
      </w:pPr>
      <w:r>
        <w:rPr>
          <w:rFonts w:hint="eastAsia" w:ascii="宋体" w:hAnsi="宋体" w:eastAsia="宋体" w:cs="宋体"/>
          <w:sz w:val="24"/>
          <w:szCs w:val="24"/>
          <w:highlight w:val="none"/>
        </w:rPr>
        <w:t>日    期：XXX年XXX月XXX日</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641"/>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bookmarkEnd w:id="94"/>
      <w:bookmarkStart w:id="95" w:name="_Toc217446087"/>
      <w:r>
        <w:rPr>
          <w:rFonts w:hint="eastAsia" w:ascii="宋体" w:hAnsi="宋体" w:eastAsia="宋体" w:cs="宋体"/>
          <w:b/>
          <w:sz w:val="28"/>
          <w:szCs w:val="28"/>
          <w:highlight w:val="none"/>
        </w:rPr>
        <w:t>格式2-4</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kern w:val="0"/>
          <w:sz w:val="28"/>
          <w:szCs w:val="28"/>
          <w:highlight w:val="none"/>
        </w:rPr>
      </w:pPr>
      <w:r>
        <w:rPr>
          <w:rFonts w:hint="eastAsia" w:ascii="宋体" w:hAnsi="宋体" w:cs="宋体"/>
          <w:b/>
          <w:bCs/>
          <w:kern w:val="0"/>
          <w:sz w:val="28"/>
          <w:szCs w:val="28"/>
          <w:highlight w:val="none"/>
          <w:lang w:val="en-US" w:eastAsia="zh-CN"/>
        </w:rPr>
        <w:t>三、</w:t>
      </w:r>
      <w:r>
        <w:rPr>
          <w:rFonts w:hint="eastAsia" w:ascii="宋体" w:hAnsi="宋体" w:eastAsia="宋体" w:cs="宋体"/>
          <w:b/>
          <w:bCs/>
          <w:kern w:val="0"/>
          <w:sz w:val="28"/>
          <w:szCs w:val="28"/>
          <w:highlight w:val="none"/>
        </w:rPr>
        <w:t>报价表</w:t>
      </w:r>
    </w:p>
    <w:p>
      <w:pPr>
        <w:pStyle w:val="19"/>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第XX包</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771"/>
        <w:gridCol w:w="2646"/>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pStyle w:val="14"/>
              <w:spacing w:before="156" w:beforeLines="50" w:line="360" w:lineRule="auto"/>
              <w:ind w:left="0" w:leftChars="0" w:firstLine="0" w:firstLineChars="0"/>
              <w:jc w:val="both"/>
              <w:rPr>
                <w:rFonts w:hint="eastAsia" w:hAnsi="宋体" w:cs="宋体"/>
                <w:szCs w:val="21"/>
                <w:highlight w:val="none"/>
              </w:rPr>
            </w:pPr>
            <w:r>
              <w:rPr>
                <w:rFonts w:hint="eastAsia" w:hAnsi="宋体" w:cs="宋体"/>
                <w:szCs w:val="21"/>
                <w:highlight w:val="none"/>
              </w:rPr>
              <w:t>序号</w:t>
            </w:r>
          </w:p>
        </w:tc>
        <w:tc>
          <w:tcPr>
            <w:tcW w:w="3771" w:type="dxa"/>
            <w:tcBorders>
              <w:top w:val="single" w:color="auto" w:sz="4" w:space="0"/>
              <w:left w:val="nil"/>
              <w:bottom w:val="single" w:color="auto" w:sz="4" w:space="0"/>
              <w:right w:val="single" w:color="auto" w:sz="4" w:space="0"/>
            </w:tcBorders>
            <w:noWrap w:val="0"/>
            <w:vAlign w:val="center"/>
          </w:tcPr>
          <w:p>
            <w:pPr>
              <w:pStyle w:val="14"/>
              <w:spacing w:before="156" w:beforeLines="50" w:line="360" w:lineRule="auto"/>
              <w:jc w:val="center"/>
              <w:rPr>
                <w:rFonts w:hint="eastAsia" w:hAnsi="宋体" w:cs="宋体"/>
                <w:szCs w:val="21"/>
                <w:highlight w:val="none"/>
              </w:rPr>
            </w:pPr>
            <w:r>
              <w:rPr>
                <w:rFonts w:hint="eastAsia" w:hAnsi="宋体" w:cs="宋体"/>
                <w:szCs w:val="21"/>
                <w:highlight w:val="none"/>
              </w:rPr>
              <w:t>响应单价</w:t>
            </w:r>
          </w:p>
        </w:tc>
        <w:tc>
          <w:tcPr>
            <w:tcW w:w="2646" w:type="dxa"/>
            <w:tcBorders>
              <w:top w:val="single" w:color="auto" w:sz="4" w:space="0"/>
              <w:left w:val="nil"/>
              <w:bottom w:val="single" w:color="auto" w:sz="4" w:space="0"/>
              <w:right w:val="single" w:color="auto" w:sz="4" w:space="0"/>
            </w:tcBorders>
            <w:noWrap w:val="0"/>
            <w:vAlign w:val="center"/>
          </w:tcPr>
          <w:p>
            <w:pPr>
              <w:pStyle w:val="14"/>
              <w:spacing w:before="156" w:beforeLines="50" w:line="360" w:lineRule="auto"/>
              <w:ind w:left="0" w:leftChars="0" w:firstLine="0" w:firstLineChars="0"/>
              <w:jc w:val="both"/>
              <w:rPr>
                <w:rFonts w:hAnsi="宋体" w:cs="宋体"/>
                <w:szCs w:val="21"/>
                <w:highlight w:val="none"/>
              </w:rPr>
            </w:pPr>
            <w:r>
              <w:rPr>
                <w:rFonts w:hint="eastAsia" w:hAnsi="宋体" w:cs="宋体"/>
                <w:szCs w:val="21"/>
                <w:highlight w:val="none"/>
              </w:rPr>
              <w:t>响应总价（元</w:t>
            </w:r>
            <w:r>
              <w:rPr>
                <w:rFonts w:hint="eastAsia" w:hAnsi="宋体" w:cs="宋体"/>
                <w:szCs w:val="21"/>
                <w:highlight w:val="none"/>
                <w:lang w:val="en-US" w:eastAsia="zh-CN"/>
              </w:rPr>
              <w:t>/年</w:t>
            </w:r>
            <w:r>
              <w:rPr>
                <w:rFonts w:hint="eastAsia" w:hAnsi="宋体" w:cs="宋体"/>
                <w:szCs w:val="21"/>
                <w:highlight w:val="none"/>
              </w:rPr>
              <w:t>）</w:t>
            </w:r>
          </w:p>
        </w:tc>
        <w:tc>
          <w:tcPr>
            <w:tcW w:w="2298" w:type="dxa"/>
            <w:tcBorders>
              <w:top w:val="single" w:color="auto" w:sz="4" w:space="0"/>
              <w:left w:val="nil"/>
              <w:bottom w:val="single" w:color="auto" w:sz="4" w:space="0"/>
              <w:right w:val="single" w:color="auto" w:sz="4" w:space="0"/>
            </w:tcBorders>
            <w:noWrap w:val="0"/>
            <w:vAlign w:val="center"/>
          </w:tcPr>
          <w:p>
            <w:pPr>
              <w:pStyle w:val="14"/>
              <w:spacing w:before="156" w:beforeLines="50" w:line="360" w:lineRule="auto"/>
              <w:jc w:val="both"/>
              <w:rPr>
                <w:rFonts w:hint="eastAsia" w:hAnsi="宋体" w:cs="宋体"/>
                <w:szCs w:val="21"/>
                <w:highlight w:val="none"/>
              </w:rPr>
            </w:pPr>
            <w:r>
              <w:rPr>
                <w:rFonts w:hint="eastAsia" w:hAnsi="宋体" w:cs="宋体"/>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0" w:leftChars="0" w:firstLine="0" w:firstLineChars="0"/>
              <w:jc w:val="center"/>
              <w:rPr>
                <w:rFonts w:hint="eastAsia" w:ascii="宋体" w:hAnsi="宋体" w:cs="宋体"/>
                <w:szCs w:val="21"/>
                <w:highlight w:val="none"/>
              </w:rPr>
            </w:pPr>
            <w:r>
              <w:rPr>
                <w:rFonts w:hint="eastAsia" w:ascii="宋体" w:hAnsi="宋体" w:cs="宋体"/>
                <w:szCs w:val="21"/>
                <w:highlight w:val="none"/>
              </w:rPr>
              <w:t>1</w:t>
            </w:r>
          </w:p>
        </w:tc>
        <w:tc>
          <w:tcPr>
            <w:tcW w:w="3771" w:type="dxa"/>
            <w:tcBorders>
              <w:top w:val="single" w:color="auto" w:sz="4" w:space="0"/>
              <w:left w:val="nil"/>
              <w:bottom w:val="single" w:color="auto" w:sz="4" w:space="0"/>
              <w:right w:val="single" w:color="auto" w:sz="4" w:space="0"/>
            </w:tcBorders>
            <w:noWrap w:val="0"/>
            <w:vAlign w:val="center"/>
          </w:tcPr>
          <w:p>
            <w:pPr>
              <w:pStyle w:val="14"/>
              <w:spacing w:line="360" w:lineRule="auto"/>
              <w:ind w:left="0" w:leftChars="0" w:firstLine="0" w:firstLineChars="0"/>
              <w:jc w:val="center"/>
              <w:rPr>
                <w:rFonts w:hAnsi="宋体" w:cs="宋体"/>
                <w:szCs w:val="21"/>
                <w:highlight w:val="none"/>
                <w:u w:val="single"/>
              </w:rPr>
            </w:pPr>
            <w:r>
              <w:rPr>
                <w:rFonts w:hint="eastAsia" w:hAnsi="宋体" w:cs="宋体"/>
                <w:szCs w:val="21"/>
                <w:highlight w:val="none"/>
                <w:u w:val="single"/>
                <w:lang w:val="en-US" w:eastAsia="zh-CN"/>
              </w:rPr>
              <w:t xml:space="preserve">       </w:t>
            </w:r>
            <w:r>
              <w:rPr>
                <w:rFonts w:hint="eastAsia" w:hAnsi="宋体" w:cs="宋体"/>
                <w:szCs w:val="21"/>
                <w:highlight w:val="none"/>
                <w:u w:val="single"/>
              </w:rPr>
              <w:t>元</w:t>
            </w:r>
            <w:r>
              <w:rPr>
                <w:rFonts w:hint="eastAsia" w:hAnsi="宋体" w:cs="宋体"/>
                <w:szCs w:val="21"/>
                <w:highlight w:val="none"/>
                <w:u w:val="none"/>
              </w:rPr>
              <w:t>/亩</w:t>
            </w:r>
            <w:r>
              <w:rPr>
                <w:rFonts w:hint="eastAsia" w:hAnsi="宋体" w:cs="宋体"/>
                <w:szCs w:val="21"/>
                <w:highlight w:val="none"/>
              </w:rPr>
              <w:t>及</w:t>
            </w:r>
            <w:r>
              <w:rPr>
                <w:rFonts w:hint="eastAsia" w:hAnsi="宋体" w:cs="宋体"/>
                <w:szCs w:val="21"/>
                <w:highlight w:val="none"/>
                <w:u w:val="single"/>
              </w:rPr>
              <w:t xml:space="preserve">      元</w:t>
            </w:r>
            <w:r>
              <w:rPr>
                <w:rFonts w:hint="eastAsia" w:hAnsi="宋体" w:cs="宋体"/>
                <w:szCs w:val="21"/>
                <w:highlight w:val="none"/>
                <w:u w:val="none"/>
              </w:rPr>
              <w:t>/户</w:t>
            </w:r>
          </w:p>
        </w:tc>
        <w:tc>
          <w:tcPr>
            <w:tcW w:w="2646" w:type="dxa"/>
            <w:tcBorders>
              <w:top w:val="single" w:color="auto" w:sz="4" w:space="0"/>
              <w:left w:val="nil"/>
              <w:bottom w:val="single" w:color="auto" w:sz="4" w:space="0"/>
              <w:right w:val="single" w:color="auto" w:sz="4" w:space="0"/>
            </w:tcBorders>
            <w:noWrap w:val="0"/>
            <w:vAlign w:val="center"/>
          </w:tcPr>
          <w:p>
            <w:pPr>
              <w:pStyle w:val="14"/>
              <w:spacing w:line="360" w:lineRule="auto"/>
              <w:ind w:left="0" w:leftChars="0" w:firstLine="0" w:firstLineChars="0"/>
              <w:jc w:val="left"/>
              <w:rPr>
                <w:rFonts w:hint="eastAsia" w:hAnsi="宋体" w:cs="宋体"/>
                <w:sz w:val="24"/>
                <w:szCs w:val="21"/>
                <w:highlight w:val="none"/>
                <w:lang w:val="en-US" w:eastAsia="zh-CN"/>
              </w:rPr>
            </w:pPr>
            <w:r>
              <w:rPr>
                <w:rFonts w:hint="eastAsia" w:hAnsi="宋体" w:cs="宋体"/>
                <w:sz w:val="24"/>
                <w:szCs w:val="21"/>
                <w:highlight w:val="none"/>
                <w:lang w:val="en-US" w:eastAsia="zh-CN"/>
              </w:rPr>
              <w:t>小写：</w:t>
            </w:r>
          </w:p>
          <w:p>
            <w:pPr>
              <w:pStyle w:val="14"/>
              <w:spacing w:line="360" w:lineRule="auto"/>
              <w:ind w:left="0" w:leftChars="0" w:firstLine="0" w:firstLineChars="0"/>
              <w:jc w:val="left"/>
              <w:rPr>
                <w:rFonts w:hint="default" w:hAnsi="宋体" w:cs="宋体"/>
                <w:szCs w:val="21"/>
                <w:highlight w:val="none"/>
                <w:lang w:val="en-US" w:eastAsia="zh-CN"/>
              </w:rPr>
            </w:pPr>
            <w:r>
              <w:rPr>
                <w:rFonts w:hint="eastAsia" w:hAnsi="宋体" w:cs="宋体"/>
                <w:sz w:val="24"/>
                <w:szCs w:val="21"/>
                <w:highlight w:val="none"/>
                <w:lang w:val="en-US" w:eastAsia="zh-CN"/>
              </w:rPr>
              <w:t>大写：</w:t>
            </w:r>
          </w:p>
        </w:tc>
        <w:tc>
          <w:tcPr>
            <w:tcW w:w="2298" w:type="dxa"/>
            <w:tcBorders>
              <w:top w:val="single" w:color="auto" w:sz="4" w:space="0"/>
              <w:left w:val="nil"/>
              <w:bottom w:val="single" w:color="auto" w:sz="4" w:space="0"/>
              <w:right w:val="single" w:color="auto" w:sz="4" w:space="0"/>
            </w:tcBorders>
            <w:noWrap w:val="0"/>
            <w:vAlign w:val="center"/>
          </w:tcPr>
          <w:p>
            <w:pPr>
              <w:pStyle w:val="14"/>
              <w:spacing w:line="360" w:lineRule="auto"/>
              <w:ind w:left="0" w:leftChars="0" w:firstLine="0" w:firstLineChars="0"/>
              <w:jc w:val="center"/>
              <w:rPr>
                <w:rFonts w:hint="eastAsia" w:hAnsi="宋体" w:cs="宋体"/>
                <w:szCs w:val="21"/>
                <w:highlight w:val="none"/>
              </w:rPr>
            </w:pPr>
            <w:r>
              <w:rPr>
                <w:rFonts w:hint="eastAsia" w:hAnsi="宋体" w:cs="宋体"/>
                <w:szCs w:val="21"/>
                <w:highlight w:val="none"/>
              </w:rPr>
              <w:t>三年（一年一签）</w:t>
            </w:r>
          </w:p>
        </w:tc>
      </w:tr>
    </w:tbl>
    <w:p>
      <w:pPr>
        <w:keepNext w:val="0"/>
        <w:keepLines w:val="0"/>
        <w:pageBreakBefore w:val="0"/>
        <w:tabs>
          <w:tab w:val="left" w:pos="8364"/>
        </w:tabs>
        <w:kinsoku/>
        <w:wordWrap/>
        <w:overflowPunct/>
        <w:topLinePunct w:val="0"/>
        <w:bidi w:val="0"/>
        <w:snapToGrid w:val="0"/>
        <w:spacing w:line="360" w:lineRule="auto"/>
        <w:ind w:left="630" w:right="-57" w:firstLine="480"/>
        <w:textAlignment w:val="auto"/>
        <w:rPr>
          <w:rFonts w:hint="eastAsia" w:ascii="宋体" w:hAnsi="宋体" w:eastAsia="宋体" w:cs="宋体"/>
          <w:sz w:val="24"/>
          <w:szCs w:val="24"/>
          <w:highlight w:val="none"/>
        </w:rPr>
      </w:pPr>
    </w:p>
    <w:p>
      <w:pPr>
        <w:keepNext w:val="0"/>
        <w:keepLines w:val="0"/>
        <w:pageBreakBefore w:val="0"/>
        <w:tabs>
          <w:tab w:val="left" w:pos="4305"/>
          <w:tab w:val="left" w:pos="8364"/>
        </w:tabs>
        <w:kinsoku/>
        <w:wordWrap/>
        <w:overflowPunct/>
        <w:topLinePunct w:val="0"/>
        <w:bidi w:val="0"/>
        <w:snapToGrid w:val="0"/>
        <w:spacing w:line="360" w:lineRule="auto"/>
        <w:ind w:right="-57"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keepNext w:val="0"/>
        <w:keepLines w:val="0"/>
        <w:pageBreakBefore w:val="0"/>
        <w:tabs>
          <w:tab w:val="left" w:pos="4305"/>
          <w:tab w:val="left" w:pos="8364"/>
        </w:tabs>
        <w:kinsoku/>
        <w:wordWrap/>
        <w:overflowPunct/>
        <w:topLinePunct w:val="0"/>
        <w:bidi w:val="0"/>
        <w:snapToGrid w:val="0"/>
        <w:spacing w:line="360" w:lineRule="auto"/>
        <w:ind w:right="-57"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供应商须按要求填写所有信息，不得随意更改本表格式。</w:t>
      </w:r>
    </w:p>
    <w:p>
      <w:pPr>
        <w:keepNext w:val="0"/>
        <w:keepLines w:val="0"/>
        <w:pageBreakBefore w:val="0"/>
        <w:tabs>
          <w:tab w:val="left" w:pos="4305"/>
          <w:tab w:val="left" w:pos="8364"/>
        </w:tabs>
        <w:kinsoku/>
        <w:wordWrap/>
        <w:overflowPunct/>
        <w:topLinePunct w:val="0"/>
        <w:bidi w:val="0"/>
        <w:snapToGrid w:val="0"/>
        <w:spacing w:line="360" w:lineRule="auto"/>
        <w:ind w:right="-57"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此表是响应文件的必要文件，是响应文件的组成部分。</w:t>
      </w:r>
    </w:p>
    <w:p>
      <w:pPr>
        <w:spacing w:line="360" w:lineRule="auto"/>
        <w:ind w:firstLine="480" w:firstLineChars="200"/>
        <w:jc w:val="left"/>
        <w:rPr>
          <w:rFonts w:hint="eastAsia" w:ascii="宋体" w:hAnsi="宋体" w:cs="宋体"/>
          <w:sz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cs="宋体"/>
          <w:sz w:val="24"/>
          <w:highlight w:val="none"/>
        </w:rPr>
        <w:t>报价包括完成本项目所涉及的人工劳务、设备投入、利润、保险、税金、验收等一切费用；</w:t>
      </w:r>
    </w:p>
    <w:p>
      <w:pPr>
        <w:pStyle w:val="12"/>
        <w:spacing w:line="360" w:lineRule="auto"/>
        <w:ind w:firstLine="480" w:firstLineChars="200"/>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响应总价（元）=响应单价（元/亩）*亩数（</w:t>
      </w:r>
      <w:r>
        <w:rPr>
          <w:rFonts w:hint="eastAsia" w:ascii="宋体" w:hAnsi="宋体" w:eastAsia="宋体" w:cs="宋体"/>
          <w:b/>
          <w:bCs/>
          <w:sz w:val="24"/>
          <w:szCs w:val="24"/>
          <w:highlight w:val="none"/>
          <w:lang w:val="en-US" w:eastAsia="zh-CN"/>
        </w:rPr>
        <w:t>3000</w:t>
      </w:r>
      <w:r>
        <w:rPr>
          <w:rFonts w:hint="eastAsia" w:ascii="宋体" w:hAnsi="宋体" w:eastAsia="宋体" w:cs="宋体"/>
          <w:b/>
          <w:bCs/>
          <w:sz w:val="24"/>
          <w:szCs w:val="24"/>
          <w:highlight w:val="none"/>
        </w:rPr>
        <w:t>亩）＋响应单价（元/户）*户数（</w:t>
      </w:r>
      <w:r>
        <w:rPr>
          <w:rFonts w:hint="eastAsia" w:ascii="宋体" w:hAnsi="宋体" w:eastAsia="宋体" w:cs="宋体"/>
          <w:b/>
          <w:bCs/>
          <w:sz w:val="24"/>
          <w:szCs w:val="24"/>
          <w:highlight w:val="none"/>
          <w:lang w:val="en-US" w:eastAsia="zh-CN"/>
        </w:rPr>
        <w:t>500</w:t>
      </w:r>
      <w:r>
        <w:rPr>
          <w:rFonts w:hint="eastAsia" w:ascii="宋体" w:hAnsi="宋体" w:eastAsia="宋体" w:cs="宋体"/>
          <w:b/>
          <w:bCs/>
          <w:sz w:val="24"/>
          <w:szCs w:val="24"/>
          <w:highlight w:val="none"/>
        </w:rPr>
        <w:t>户）。</w:t>
      </w:r>
    </w:p>
    <w:p>
      <w:pPr>
        <w:keepNext w:val="0"/>
        <w:keepLines w:val="0"/>
        <w:pageBreakBefore w:val="0"/>
        <w:tabs>
          <w:tab w:val="left" w:pos="4305"/>
          <w:tab w:val="left" w:pos="8364"/>
        </w:tabs>
        <w:kinsoku/>
        <w:wordWrap/>
        <w:overflowPunct/>
        <w:topLinePunct w:val="0"/>
        <w:bidi w:val="0"/>
        <w:snapToGrid w:val="0"/>
        <w:spacing w:line="360" w:lineRule="auto"/>
        <w:ind w:right="-57"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格式2-4（2）    </w:t>
      </w:r>
    </w:p>
    <w:p>
      <w:pPr>
        <w:keepNext w:val="0"/>
        <w:keepLines w:val="0"/>
        <w:pageBreakBefore w:val="0"/>
        <w:kinsoku/>
        <w:wordWrap/>
        <w:overflowPunct/>
        <w:topLinePunct w:val="0"/>
        <w:bidi w:val="0"/>
        <w:spacing w:line="360" w:lineRule="auto"/>
        <w:ind w:firstLine="562"/>
        <w:jc w:val="center"/>
        <w:textAlignment w:val="auto"/>
        <w:rPr>
          <w:rFonts w:hint="default" w:ascii="宋体" w:hAnsi="宋体" w:eastAsia="宋体" w:cs="宋体"/>
          <w:b/>
          <w:bCs/>
          <w:color w:val="FF0000"/>
          <w:sz w:val="28"/>
          <w:szCs w:val="28"/>
          <w:highlight w:val="none"/>
          <w:lang w:val="en-US" w:eastAsia="zh-CN"/>
        </w:rPr>
      </w:pPr>
      <w:r>
        <w:rPr>
          <w:rFonts w:hint="eastAsia" w:ascii="宋体" w:hAnsi="宋体" w:cs="宋体"/>
          <w:b/>
          <w:sz w:val="28"/>
          <w:szCs w:val="28"/>
          <w:highlight w:val="none"/>
          <w:lang w:val="en-US" w:eastAsia="zh-CN"/>
        </w:rPr>
        <w:t>四、</w:t>
      </w:r>
      <w:r>
        <w:rPr>
          <w:rFonts w:hint="eastAsia" w:ascii="宋体" w:hAnsi="宋体" w:eastAsia="宋体" w:cs="宋体"/>
          <w:b/>
          <w:bCs/>
          <w:sz w:val="28"/>
          <w:szCs w:val="28"/>
          <w:highlight w:val="none"/>
        </w:rPr>
        <w:t>分项报价明细表</w:t>
      </w:r>
      <w:r>
        <w:rPr>
          <w:rFonts w:hint="eastAsia" w:ascii="宋体" w:hAnsi="宋体" w:cs="宋体"/>
          <w:b/>
          <w:bCs/>
          <w:sz w:val="28"/>
          <w:szCs w:val="28"/>
          <w:highlight w:val="none"/>
          <w:lang w:val="en-US" w:eastAsia="zh-CN"/>
        </w:rPr>
        <w:t>(格式可自拟）</w:t>
      </w:r>
    </w:p>
    <w:p>
      <w:pPr>
        <w:pStyle w:val="19"/>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第XX包</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p>
    <w:tbl>
      <w:tblPr>
        <w:tblStyle w:val="26"/>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4584"/>
        <w:gridCol w:w="2233"/>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28" w:type="dxa"/>
            <w:vAlign w:val="center"/>
          </w:tcPr>
          <w:p>
            <w:pPr>
              <w:pStyle w:val="14"/>
              <w:keepNext w:val="0"/>
              <w:keepLines w:val="0"/>
              <w:pageBreakBefore w:val="0"/>
              <w:kinsoku/>
              <w:wordWrap/>
              <w:overflowPunct/>
              <w:topLinePunct w:val="0"/>
              <w:bidi w:val="0"/>
              <w:spacing w:beforeAutospacing="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序号</w:t>
            </w:r>
          </w:p>
        </w:tc>
        <w:tc>
          <w:tcPr>
            <w:tcW w:w="4584" w:type="dxa"/>
            <w:vAlign w:val="center"/>
          </w:tcPr>
          <w:p>
            <w:pPr>
              <w:pStyle w:val="14"/>
              <w:keepNext w:val="0"/>
              <w:keepLines w:val="0"/>
              <w:pageBreakBefore w:val="0"/>
              <w:kinsoku/>
              <w:wordWrap/>
              <w:overflowPunct/>
              <w:topLinePunct w:val="0"/>
              <w:bidi w:val="0"/>
              <w:spacing w:beforeAutospacing="0" w:line="360" w:lineRule="auto"/>
              <w:ind w:left="0" w:leftChars="0"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服务内容</w:t>
            </w:r>
          </w:p>
        </w:tc>
        <w:tc>
          <w:tcPr>
            <w:tcW w:w="2233" w:type="dxa"/>
            <w:vAlign w:val="center"/>
          </w:tcPr>
          <w:p>
            <w:pPr>
              <w:pStyle w:val="14"/>
              <w:keepNext w:val="0"/>
              <w:keepLines w:val="0"/>
              <w:pageBreakBefore w:val="0"/>
              <w:kinsoku/>
              <w:wordWrap/>
              <w:overflowPunct/>
              <w:topLinePunct w:val="0"/>
              <w:bidi w:val="0"/>
              <w:spacing w:beforeAutospacing="0" w:line="360" w:lineRule="auto"/>
              <w:ind w:left="0" w:leftChars="0" w:firstLine="0" w:firstLineChars="0"/>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单价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元</w:t>
            </w:r>
            <w:r>
              <w:rPr>
                <w:rFonts w:hint="eastAsia" w:ascii="宋体" w:hAnsi="宋体" w:eastAsia="宋体" w:cs="宋体"/>
                <w:kern w:val="0"/>
                <w:sz w:val="24"/>
                <w:szCs w:val="24"/>
                <w:highlight w:val="none"/>
                <w:lang w:eastAsia="zh-CN"/>
              </w:rPr>
              <w:t>）</w:t>
            </w:r>
          </w:p>
        </w:tc>
        <w:tc>
          <w:tcPr>
            <w:tcW w:w="1649" w:type="dxa"/>
            <w:vAlign w:val="center"/>
          </w:tcPr>
          <w:p>
            <w:pPr>
              <w:pStyle w:val="14"/>
              <w:keepNext w:val="0"/>
              <w:keepLines w:val="0"/>
              <w:pageBreakBefore w:val="0"/>
              <w:kinsoku/>
              <w:wordWrap/>
              <w:overflowPunct/>
              <w:topLinePunct w:val="0"/>
              <w:bidi w:val="0"/>
              <w:spacing w:beforeAutospacing="0" w:line="360" w:lineRule="auto"/>
              <w:ind w:left="0" w:leftChars="0" w:firstLine="0" w:firstLineChars="0"/>
              <w:jc w:val="center"/>
              <w:textAlignment w:val="auto"/>
              <w:rPr>
                <w:rFonts w:hint="eastAsia"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总价（元/年）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vAlign w:val="center"/>
          </w:tcPr>
          <w:p>
            <w:pPr>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84" w:type="dxa"/>
            <w:vAlign w:val="center"/>
          </w:tcPr>
          <w:p>
            <w:pPr>
              <w:pStyle w:val="14"/>
              <w:keepNext w:val="0"/>
              <w:keepLines w:val="0"/>
              <w:pageBreakBefore w:val="0"/>
              <w:kinsoku/>
              <w:wordWrap/>
              <w:overflowPunct/>
              <w:topLinePunct w:val="0"/>
              <w:bidi w:val="0"/>
              <w:spacing w:line="360" w:lineRule="auto"/>
              <w:ind w:left="0" w:leftChars="0" w:firstLine="0" w:firstLineChars="0"/>
              <w:jc w:val="center"/>
              <w:textAlignment w:val="auto"/>
              <w:rPr>
                <w:rFonts w:hint="default" w:ascii="宋体" w:hAnsi="宋体" w:eastAsia="宋体" w:cs="宋体"/>
                <w:kern w:val="0"/>
                <w:sz w:val="24"/>
                <w:szCs w:val="24"/>
                <w:highlight w:val="none"/>
                <w:lang w:val="en-US" w:eastAsia="zh-CN"/>
              </w:rPr>
            </w:pPr>
          </w:p>
        </w:tc>
        <w:tc>
          <w:tcPr>
            <w:tcW w:w="2233" w:type="dxa"/>
            <w:vAlign w:val="center"/>
          </w:tcPr>
          <w:p>
            <w:pPr>
              <w:pStyle w:val="14"/>
              <w:keepNext w:val="0"/>
              <w:keepLines w:val="0"/>
              <w:pageBreakBefore w:val="0"/>
              <w:kinsoku/>
              <w:wordWrap/>
              <w:overflowPunct/>
              <w:topLinePunct w:val="0"/>
              <w:bidi w:val="0"/>
              <w:spacing w:line="360" w:lineRule="auto"/>
              <w:ind w:left="0" w:leftChars="0" w:firstLine="0" w:firstLineChars="0"/>
              <w:jc w:val="center"/>
              <w:textAlignment w:val="auto"/>
              <w:rPr>
                <w:rFonts w:hint="default" w:ascii="宋体" w:hAnsi="宋体" w:eastAsia="宋体" w:cs="宋体"/>
                <w:kern w:val="0"/>
                <w:sz w:val="24"/>
                <w:szCs w:val="24"/>
                <w:highlight w:val="none"/>
                <w:lang w:val="en-US" w:eastAsia="zh-CN"/>
              </w:rPr>
            </w:pPr>
          </w:p>
        </w:tc>
        <w:tc>
          <w:tcPr>
            <w:tcW w:w="1649" w:type="dxa"/>
            <w:vAlign w:val="center"/>
          </w:tcPr>
          <w:p>
            <w:pPr>
              <w:pStyle w:val="14"/>
              <w:keepNext w:val="0"/>
              <w:keepLines w:val="0"/>
              <w:pageBreakBefore w:val="0"/>
              <w:kinsoku/>
              <w:wordWrap/>
              <w:overflowPunct/>
              <w:topLinePunct w:val="0"/>
              <w:bidi w:val="0"/>
              <w:spacing w:line="360" w:lineRule="auto"/>
              <w:ind w:left="0" w:leftChars="0" w:firstLine="0" w:firstLineChars="0"/>
              <w:jc w:val="center"/>
              <w:textAlignment w:val="auto"/>
              <w:rPr>
                <w:rFonts w:hint="default"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8" w:type="dxa"/>
            <w:vAlign w:val="center"/>
          </w:tcPr>
          <w:p>
            <w:pPr>
              <w:keepNext w:val="0"/>
              <w:keepLines w:val="0"/>
              <w:pageBreakBefore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584" w:type="dxa"/>
            <w:vAlign w:val="center"/>
          </w:tcPr>
          <w:p>
            <w:pPr>
              <w:pStyle w:val="14"/>
              <w:keepNext w:val="0"/>
              <w:keepLines w:val="0"/>
              <w:pageBreakBefore w:val="0"/>
              <w:kinsoku/>
              <w:wordWrap/>
              <w:overflowPunct/>
              <w:topLinePunct w:val="0"/>
              <w:bidi w:val="0"/>
              <w:spacing w:line="360" w:lineRule="auto"/>
              <w:ind w:left="0" w:leftChars="0" w:firstLine="0" w:firstLineChars="0"/>
              <w:jc w:val="center"/>
              <w:textAlignment w:val="auto"/>
              <w:rPr>
                <w:rFonts w:hint="default" w:ascii="宋体" w:hAnsi="宋体" w:eastAsia="宋体" w:cs="宋体"/>
                <w:kern w:val="0"/>
                <w:sz w:val="24"/>
                <w:szCs w:val="24"/>
                <w:highlight w:val="none"/>
                <w:lang w:val="en-US" w:eastAsia="zh-CN"/>
              </w:rPr>
            </w:pPr>
          </w:p>
        </w:tc>
        <w:tc>
          <w:tcPr>
            <w:tcW w:w="2233" w:type="dxa"/>
            <w:vAlign w:val="center"/>
          </w:tcPr>
          <w:p>
            <w:pPr>
              <w:pStyle w:val="14"/>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kern w:val="0"/>
                <w:sz w:val="24"/>
                <w:szCs w:val="24"/>
                <w:highlight w:val="none"/>
              </w:rPr>
            </w:pPr>
          </w:p>
        </w:tc>
        <w:tc>
          <w:tcPr>
            <w:tcW w:w="1649" w:type="dxa"/>
            <w:vAlign w:val="center"/>
          </w:tcPr>
          <w:p>
            <w:pPr>
              <w:pStyle w:val="14"/>
              <w:keepNext w:val="0"/>
              <w:keepLines w:val="0"/>
              <w:pageBreakBefore w:val="0"/>
              <w:kinsoku/>
              <w:wordWrap/>
              <w:overflowPunct/>
              <w:topLinePunct w:val="0"/>
              <w:bidi w:val="0"/>
              <w:spacing w:line="360" w:lineRule="auto"/>
              <w:ind w:firstLine="480"/>
              <w:jc w:val="center"/>
              <w:textAlignment w:val="auto"/>
              <w:rPr>
                <w:rFonts w:hint="default" w:ascii="宋体" w:hAnsi="宋体" w:eastAsia="宋体" w:cs="宋体"/>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94" w:type="dxa"/>
            <w:gridSpan w:val="4"/>
            <w:vMerge w:val="restart"/>
            <w:vAlign w:val="center"/>
          </w:tcPr>
          <w:p>
            <w:pPr>
              <w:pStyle w:val="14"/>
              <w:keepNext w:val="0"/>
              <w:keepLines w:val="0"/>
              <w:pageBreakBefore w:val="0"/>
              <w:kinsoku/>
              <w:wordWrap/>
              <w:overflowPunct/>
              <w:topLinePunct w:val="0"/>
              <w:bidi w:val="0"/>
              <w:spacing w:line="360" w:lineRule="auto"/>
              <w:ind w:left="0" w:leftChars="0" w:firstLine="0" w:firstLineChars="0"/>
              <w:jc w:val="left"/>
              <w:textAlignment w:val="auto"/>
              <w:rPr>
                <w:rFonts w:hint="eastAsia" w:ascii="宋体" w:hAnsi="宋体" w:eastAsia="宋体" w:cs="宋体"/>
                <w:kern w:val="0"/>
                <w:sz w:val="24"/>
                <w:szCs w:val="24"/>
                <w:highlight w:val="none"/>
              </w:rPr>
            </w:pPr>
            <w:r>
              <w:rPr>
                <w:rFonts w:hint="eastAsia" w:hAnsi="宋体" w:cs="宋体"/>
                <w:b/>
                <w:bCs/>
                <w:kern w:val="0"/>
                <w:sz w:val="24"/>
                <w:szCs w:val="24"/>
                <w:highlight w:val="none"/>
                <w:lang w:val="en-US" w:eastAsia="zh-CN"/>
              </w:rPr>
              <w:t>总价</w:t>
            </w:r>
            <w:r>
              <w:rPr>
                <w:rFonts w:hint="eastAsia" w:ascii="宋体" w:hAnsi="宋体" w:eastAsia="宋体" w:cs="宋体"/>
                <w:b/>
                <w:bCs/>
                <w:kern w:val="0"/>
                <w:sz w:val="24"/>
                <w:szCs w:val="24"/>
                <w:highlight w:val="none"/>
              </w:rPr>
              <w:t>(元</w:t>
            </w:r>
            <w:r>
              <w:rPr>
                <w:rFonts w:hint="eastAsia" w:hAnsi="宋体" w:cs="宋体"/>
                <w:b/>
                <w:bCs/>
                <w:kern w:val="0"/>
                <w:sz w:val="24"/>
                <w:szCs w:val="24"/>
                <w:highlight w:val="none"/>
                <w:lang w:val="en-US" w:eastAsia="zh-CN"/>
              </w:rPr>
              <w:t>/年</w:t>
            </w:r>
            <w:r>
              <w:rPr>
                <w:rFonts w:hint="eastAsia" w:ascii="宋体" w:hAnsi="宋体" w:eastAsia="宋体" w:cs="宋体"/>
                <w:b/>
                <w:bCs/>
                <w:kern w:val="0"/>
                <w:sz w:val="24"/>
                <w:szCs w:val="24"/>
                <w:highlight w:val="none"/>
              </w:rPr>
              <w:t xml:space="preserve">) </w:t>
            </w:r>
            <w:r>
              <w:rPr>
                <w:rFonts w:hint="eastAsia" w:hAnsi="宋体" w:cs="宋体"/>
                <w:b/>
                <w:bCs/>
                <w:kern w:val="0"/>
                <w:sz w:val="24"/>
                <w:szCs w:val="24"/>
                <w:highlight w:val="none"/>
                <w:lang w:eastAsia="zh-CN"/>
              </w:rPr>
              <w:t>：</w:t>
            </w:r>
            <w:r>
              <w:rPr>
                <w:rFonts w:hint="eastAsia" w:ascii="宋体" w:hAnsi="宋体" w:eastAsia="宋体" w:cs="宋体"/>
                <w:b/>
                <w:bCs/>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94" w:type="dxa"/>
            <w:gridSpan w:val="4"/>
            <w:vMerge w:val="continue"/>
            <w:vAlign w:val="center"/>
          </w:tcPr>
          <w:p>
            <w:pPr>
              <w:pStyle w:val="14"/>
              <w:keepNext w:val="0"/>
              <w:keepLines w:val="0"/>
              <w:pageBreakBefore w:val="0"/>
              <w:kinsoku/>
              <w:wordWrap/>
              <w:overflowPunct/>
              <w:topLinePunct w:val="0"/>
              <w:bidi w:val="0"/>
              <w:spacing w:line="360" w:lineRule="auto"/>
              <w:ind w:firstLine="482"/>
              <w:jc w:val="left"/>
              <w:textAlignment w:val="auto"/>
              <w:rPr>
                <w:rFonts w:hint="eastAsia" w:ascii="宋体" w:hAnsi="宋体" w:eastAsia="宋体" w:cs="宋体"/>
                <w:b/>
                <w:bCs/>
                <w:kern w:val="0"/>
                <w:sz w:val="24"/>
                <w:szCs w:val="24"/>
                <w:highlight w:val="none"/>
              </w:rPr>
            </w:pPr>
          </w:p>
        </w:tc>
      </w:tr>
    </w:tbl>
    <w:p>
      <w:pPr>
        <w:keepNext w:val="0"/>
        <w:keepLines w:val="0"/>
        <w:pageBreakBefore w:val="0"/>
        <w:kinsoku/>
        <w:wordWrap/>
        <w:overflowPunct/>
        <w:topLinePunct w:val="0"/>
        <w:bidi w:val="0"/>
        <w:spacing w:line="360" w:lineRule="auto"/>
        <w:ind w:left="843" w:hanging="843" w:hangingChars="35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sz w:val="24"/>
          <w:szCs w:val="24"/>
          <w:highlight w:val="none"/>
        </w:rPr>
        <w:t>1、供应商必须按“</w:t>
      </w:r>
      <w:r>
        <w:rPr>
          <w:rFonts w:hint="eastAsia" w:ascii="宋体" w:hAnsi="宋体" w:eastAsia="宋体" w:cs="宋体"/>
          <w:bCs/>
          <w:sz w:val="24"/>
          <w:szCs w:val="24"/>
          <w:highlight w:val="none"/>
        </w:rPr>
        <w:t>分项报价明细表”的内容</w:t>
      </w:r>
      <w:r>
        <w:rPr>
          <w:rFonts w:hint="eastAsia" w:ascii="宋体" w:hAnsi="宋体" w:eastAsia="宋体" w:cs="宋体"/>
          <w:sz w:val="24"/>
          <w:szCs w:val="24"/>
          <w:highlight w:val="none"/>
        </w:rPr>
        <w:t>详细报出总价的组成部分的报价，</w:t>
      </w:r>
      <w:r>
        <w:rPr>
          <w:rFonts w:hint="eastAsia" w:ascii="宋体" w:hAnsi="宋体" w:eastAsia="宋体" w:cs="宋体"/>
          <w:b/>
          <w:bCs/>
          <w:sz w:val="24"/>
          <w:szCs w:val="24"/>
          <w:highlight w:val="none"/>
        </w:rPr>
        <w:t>格式可自拟</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分项报价明细表”各分项报价合计应当与“报价表”报价合计相等。</w:t>
      </w:r>
    </w:p>
    <w:p>
      <w:pPr>
        <w:keepNext w:val="0"/>
        <w:keepLines w:val="0"/>
        <w:pageBreakBefore w:val="0"/>
        <w:widowControl/>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各单价不得低于成本报价，合计金额报价不得高于最高限价。</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4、此表格为参考格式，供应商可根据自身需要进行修改。</w:t>
      </w:r>
    </w:p>
    <w:p>
      <w:pPr>
        <w:rPr>
          <w:rFonts w:hint="default"/>
          <w:highlight w:val="none"/>
          <w:lang w:val="en-US" w:eastAsia="zh-CN"/>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格式2-5</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供应商基本情况表</w:t>
      </w:r>
    </w:p>
    <w:tbl>
      <w:tblPr>
        <w:tblStyle w:val="2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807"/>
        <w:gridCol w:w="264"/>
        <w:gridCol w:w="996"/>
        <w:gridCol w:w="1490"/>
        <w:gridCol w:w="190"/>
        <w:gridCol w:w="480"/>
        <w:gridCol w:w="360"/>
        <w:gridCol w:w="147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供应商名称</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注册地址</w:t>
            </w:r>
          </w:p>
        </w:tc>
        <w:tc>
          <w:tcPr>
            <w:tcW w:w="4227" w:type="dxa"/>
            <w:gridSpan w:val="6"/>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837"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邮政编码</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73" w:type="dxa"/>
            <w:vMerge w:val="restart"/>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联系方式</w:t>
            </w:r>
          </w:p>
        </w:tc>
        <w:tc>
          <w:tcPr>
            <w:tcW w:w="1071"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联系人</w:t>
            </w:r>
          </w:p>
        </w:tc>
        <w:tc>
          <w:tcPr>
            <w:tcW w:w="3156" w:type="dxa"/>
            <w:gridSpan w:val="4"/>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837"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73" w:type="dxa"/>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071" w:type="dxa"/>
            <w:gridSpan w:val="2"/>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传真</w:t>
            </w:r>
          </w:p>
        </w:tc>
        <w:tc>
          <w:tcPr>
            <w:tcW w:w="3156" w:type="dxa"/>
            <w:gridSpan w:val="4"/>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837" w:type="dxa"/>
            <w:gridSpan w:val="2"/>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网址</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组织结构</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法定代表人/单位负责人</w:t>
            </w:r>
          </w:p>
        </w:tc>
        <w:tc>
          <w:tcPr>
            <w:tcW w:w="80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w:t>
            </w:r>
          </w:p>
        </w:tc>
        <w:tc>
          <w:tcPr>
            <w:tcW w:w="1260" w:type="dxa"/>
            <w:gridSpan w:val="2"/>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90"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技术职称</w:t>
            </w:r>
          </w:p>
        </w:tc>
        <w:tc>
          <w:tcPr>
            <w:tcW w:w="1030"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7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技术负责人</w:t>
            </w:r>
          </w:p>
        </w:tc>
        <w:tc>
          <w:tcPr>
            <w:tcW w:w="80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w:t>
            </w:r>
          </w:p>
        </w:tc>
        <w:tc>
          <w:tcPr>
            <w:tcW w:w="1260" w:type="dxa"/>
            <w:gridSpan w:val="2"/>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90"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技术职称</w:t>
            </w:r>
          </w:p>
        </w:tc>
        <w:tc>
          <w:tcPr>
            <w:tcW w:w="1030"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477"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5040" w:type="dxa"/>
            <w:gridSpan w:val="6"/>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企业资质等级</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restart"/>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其中</w:t>
            </w: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项目经理</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营业执照</w:t>
            </w:r>
            <w:r>
              <w:rPr>
                <w:rFonts w:hint="eastAsia" w:ascii="宋体" w:hAnsi="宋体" w:eastAsia="宋体" w:cs="宋体"/>
                <w:sz w:val="24"/>
                <w:szCs w:val="24"/>
                <w:highlight w:val="none"/>
              </w:rPr>
              <w:t>号</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高级职称人员</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注册资金</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中级职称人员</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开户银行</w:t>
            </w:r>
          </w:p>
        </w:tc>
        <w:tc>
          <w:tcPr>
            <w:tcW w:w="2067"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1680" w:type="dxa"/>
            <w:gridSpan w:val="2"/>
            <w:vMerge w:val="continue"/>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初级职称人员</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73"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账号</w:t>
            </w:r>
          </w:p>
        </w:tc>
        <w:tc>
          <w:tcPr>
            <w:tcW w:w="1071" w:type="dxa"/>
            <w:gridSpan w:val="2"/>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676" w:type="dxa"/>
            <w:gridSpan w:val="3"/>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c>
          <w:tcPr>
            <w:tcW w:w="2317" w:type="dxa"/>
            <w:gridSpan w:val="3"/>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技工</w:t>
            </w:r>
          </w:p>
        </w:tc>
        <w:tc>
          <w:tcPr>
            <w:tcW w:w="104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2073"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经营范围</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7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c>
          <w:tcPr>
            <w:tcW w:w="7107" w:type="dxa"/>
            <w:gridSpan w:val="9"/>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bCs/>
                <w:sz w:val="24"/>
                <w:szCs w:val="24"/>
                <w:highlight w:val="none"/>
              </w:rPr>
            </w:pPr>
          </w:p>
        </w:tc>
      </w:tr>
    </w:tbl>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供应商名称：XXX（盖单位公章）</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法定代表人/单位负责人或授权代表</w:t>
      </w:r>
      <w:r>
        <w:rPr>
          <w:rFonts w:hint="eastAsia" w:ascii="宋体" w:hAnsi="宋体" w:eastAsia="宋体" w:cs="宋体"/>
          <w:sz w:val="24"/>
          <w:szCs w:val="24"/>
          <w:highlight w:val="none"/>
        </w:rPr>
        <w:t>（签字或加盖个人印章）</w:t>
      </w:r>
      <w:r>
        <w:rPr>
          <w:rFonts w:hint="eastAsia" w:ascii="宋体" w:hAnsi="宋体" w:eastAsia="宋体" w:cs="宋体"/>
          <w:bCs/>
          <w:sz w:val="24"/>
          <w:szCs w:val="24"/>
          <w:highlight w:val="none"/>
        </w:rPr>
        <w:t>：XXX</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日  期：XXX年XXX月XXX日</w:t>
      </w:r>
    </w:p>
    <w:p>
      <w:pPr>
        <w:rPr>
          <w:rFonts w:hint="eastAsia" w:ascii="宋体" w:hAnsi="宋体" w:eastAsia="宋体" w:cs="宋体"/>
          <w:b/>
          <w:bCs/>
          <w:sz w:val="28"/>
          <w:szCs w:val="28"/>
          <w:highlight w:val="none"/>
        </w:rPr>
        <w:sectPr>
          <w:footerReference r:id="rId17" w:type="first"/>
          <w:headerReference r:id="rId13" w:type="default"/>
          <w:footerReference r:id="rId15" w:type="default"/>
          <w:headerReference r:id="rId14" w:type="even"/>
          <w:footerReference r:id="rId16" w:type="even"/>
          <w:pgSz w:w="11907" w:h="16840"/>
          <w:pgMar w:top="1440" w:right="1080" w:bottom="1440" w:left="1080" w:header="851" w:footer="992" w:gutter="0"/>
          <w:pgNumType w:fmt="decimal"/>
          <w:cols w:space="720" w:num="1"/>
          <w:docGrid w:linePitch="312" w:charSpace="0"/>
        </w:sectPr>
      </w:pP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6</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color w:val="000000"/>
          <w:sz w:val="28"/>
          <w:szCs w:val="28"/>
          <w:highlight w:val="none"/>
        </w:rPr>
      </w:pPr>
      <w:r>
        <w:rPr>
          <w:rFonts w:hint="eastAsia" w:ascii="宋体" w:hAnsi="宋体" w:cs="宋体"/>
          <w:b/>
          <w:bCs/>
          <w:color w:val="000000"/>
          <w:sz w:val="28"/>
          <w:szCs w:val="28"/>
          <w:highlight w:val="none"/>
          <w:lang w:val="en-US" w:eastAsia="zh-CN"/>
        </w:rPr>
        <w:t>六、</w:t>
      </w:r>
      <w:r>
        <w:rPr>
          <w:rFonts w:hint="eastAsia" w:ascii="宋体" w:hAnsi="宋体" w:eastAsia="宋体" w:cs="宋体"/>
          <w:b/>
          <w:bCs/>
          <w:color w:val="000000"/>
          <w:sz w:val="28"/>
          <w:szCs w:val="28"/>
          <w:highlight w:val="none"/>
        </w:rPr>
        <w:t>服务要求应答表</w:t>
      </w:r>
    </w:p>
    <w:p>
      <w:pPr>
        <w:pStyle w:val="19"/>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firstLine="480"/>
        <w:jc w:val="both"/>
        <w:textAlignment w:val="auto"/>
        <w:rPr>
          <w:rFonts w:hint="eastAsia" w:ascii="宋体" w:hAnsi="宋体" w:eastAsia="宋体" w:cs="宋体"/>
          <w:color w:val="000000"/>
          <w:sz w:val="28"/>
          <w:szCs w:val="28"/>
          <w:highlight w:val="none"/>
        </w:rPr>
      </w:pPr>
    </w:p>
    <w:tbl>
      <w:tblPr>
        <w:tblStyle w:val="26"/>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26"/>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626"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采购文件要求</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响应文件响应</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362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bl>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color w:val="000000"/>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注：供应商根据磋商文件要求据实填写，不得虚假响应，虚假响应的，其响应文件无效并按规定追究其相关责任。</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供应商须把磋商项目的全部</w:t>
      </w:r>
      <w:r>
        <w:rPr>
          <w:rFonts w:hint="eastAsia" w:ascii="宋体" w:hAnsi="宋体" w:cs="宋体"/>
          <w:color w:val="000000"/>
          <w:sz w:val="24"/>
          <w:szCs w:val="24"/>
          <w:highlight w:val="none"/>
          <w:lang w:val="en-US" w:eastAsia="zh-CN"/>
        </w:rPr>
        <w:t>服务要求</w:t>
      </w:r>
      <w:r>
        <w:rPr>
          <w:rFonts w:hint="eastAsia" w:ascii="宋体" w:hAnsi="宋体" w:eastAsia="宋体" w:cs="宋体"/>
          <w:color w:val="000000"/>
          <w:sz w:val="24"/>
          <w:szCs w:val="24"/>
          <w:highlight w:val="none"/>
        </w:rPr>
        <w:t>列入此表，未列入的视为负偏离。</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color w:val="000000"/>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日期：XXXX</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6</w:t>
      </w:r>
      <w:r>
        <w:rPr>
          <w:rFonts w:hint="eastAsia" w:ascii="宋体" w:hAnsi="宋体" w:eastAsia="宋体" w:cs="宋体"/>
          <w:b/>
          <w:sz w:val="28"/>
          <w:szCs w:val="28"/>
          <w:highlight w:val="none"/>
        </w:rPr>
        <w:t>（2）</w:t>
      </w:r>
    </w:p>
    <w:p>
      <w:pPr>
        <w:pStyle w:val="16"/>
        <w:keepNext w:val="0"/>
        <w:keepLines w:val="0"/>
        <w:pageBreakBefore w:val="0"/>
        <w:tabs>
          <w:tab w:val="left" w:pos="0"/>
        </w:tabs>
        <w:kinsoku/>
        <w:wordWrap/>
        <w:overflowPunct/>
        <w:topLinePunct w:val="0"/>
        <w:bidi w:val="0"/>
        <w:spacing w:line="360" w:lineRule="auto"/>
        <w:ind w:left="0" w:leftChars="0" w:firstLine="0" w:firstLineChars="0"/>
        <w:jc w:val="center"/>
        <w:textAlignment w:val="auto"/>
        <w:rPr>
          <w:rFonts w:hint="eastAsia" w:ascii="宋体" w:hAnsi="宋体" w:eastAsia="宋体" w:cs="宋体"/>
          <w:b/>
          <w:color w:val="000000"/>
          <w:sz w:val="28"/>
          <w:szCs w:val="28"/>
          <w:highlight w:val="none"/>
        </w:rPr>
      </w:pPr>
      <w:r>
        <w:rPr>
          <w:rFonts w:hint="eastAsia" w:ascii="宋体" w:hAnsi="宋体" w:cs="宋体"/>
          <w:b/>
          <w:color w:val="000000"/>
          <w:sz w:val="28"/>
          <w:szCs w:val="28"/>
          <w:highlight w:val="none"/>
          <w:lang w:val="en-US" w:eastAsia="zh-CN"/>
        </w:rPr>
        <w:t>七、</w:t>
      </w:r>
      <w:r>
        <w:rPr>
          <w:rFonts w:hint="eastAsia" w:ascii="宋体" w:hAnsi="宋体" w:eastAsia="宋体" w:cs="宋体"/>
          <w:b/>
          <w:color w:val="000000"/>
          <w:sz w:val="28"/>
          <w:szCs w:val="28"/>
          <w:highlight w:val="none"/>
        </w:rPr>
        <w:t>商务应答表</w:t>
      </w:r>
    </w:p>
    <w:p>
      <w:pPr>
        <w:pStyle w:val="16"/>
        <w:keepNext w:val="0"/>
        <w:keepLines w:val="0"/>
        <w:pageBreakBefore w:val="0"/>
        <w:tabs>
          <w:tab w:val="left" w:pos="0"/>
        </w:tabs>
        <w:kinsoku/>
        <w:wordWrap/>
        <w:overflowPunct/>
        <w:topLinePunct w:val="0"/>
        <w:bidi w:val="0"/>
        <w:spacing w:line="360" w:lineRule="auto"/>
        <w:ind w:left="480" w:firstLine="643"/>
        <w:jc w:val="center"/>
        <w:textAlignment w:val="auto"/>
        <w:rPr>
          <w:rFonts w:hint="eastAsia" w:ascii="宋体" w:hAnsi="宋体" w:eastAsia="宋体" w:cs="宋体"/>
          <w:b/>
          <w:color w:val="000000"/>
          <w:sz w:val="28"/>
          <w:szCs w:val="28"/>
          <w:highlight w:val="none"/>
        </w:rPr>
      </w:pP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795" w:type="dxa"/>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采购文件要求</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响应文件响应</w:t>
            </w:r>
          </w:p>
        </w:tc>
        <w:tc>
          <w:tcPr>
            <w:tcW w:w="2795" w:type="dxa"/>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2795" w:type="dxa"/>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bl>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color w:val="000000"/>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注意：供应商必须据实填写，不得虚假响应，虚假响应的，其响应文件无效并按规定追究其相关责任。</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除本应答表所列的指标外，</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其他所有商务条款均完全响应“磋商文件”中要求的，</w:t>
      </w:r>
      <w:r>
        <w:rPr>
          <w:rFonts w:hint="eastAsia" w:ascii="宋体" w:hAnsi="宋体" w:eastAsia="宋体" w:cs="宋体"/>
          <w:b/>
          <w:bCs/>
          <w:color w:val="000000"/>
          <w:sz w:val="24"/>
          <w:szCs w:val="24"/>
          <w:highlight w:val="none"/>
        </w:rPr>
        <w:t>若未在上表中声明响应情况，视为完全响应不存在任何偏离。</w:t>
      </w:r>
    </w:p>
    <w:p>
      <w:pPr>
        <w:pStyle w:val="2"/>
        <w:spacing w:line="360" w:lineRule="auto"/>
        <w:rPr>
          <w:rFonts w:hint="eastAsia" w:ascii="宋体" w:hAnsi="宋体" w:eastAsia="宋体" w:cs="宋体"/>
          <w:sz w:val="24"/>
          <w:szCs w:val="24"/>
          <w:highlight w:val="none"/>
        </w:rPr>
      </w:pP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供应商人名称：XXX（盖单位公章）</w:t>
      </w:r>
    </w:p>
    <w:p>
      <w:pPr>
        <w:keepNext w:val="0"/>
        <w:keepLines w:val="0"/>
        <w:pageBreakBefore w:val="0"/>
        <w:kinsoku/>
        <w:wordWrap/>
        <w:overflowPunct/>
        <w:topLinePunct w:val="0"/>
        <w:bidi w:val="0"/>
        <w:adjustRightInd w:val="0"/>
        <w:spacing w:line="360" w:lineRule="auto"/>
        <w:ind w:firstLine="540" w:firstLineChars="225"/>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法定代表人或授权代表（签字或盖章）：XXX</w:t>
      </w:r>
    </w:p>
    <w:p>
      <w:pPr>
        <w:keepNext w:val="0"/>
        <w:keepLines w:val="0"/>
        <w:pageBreakBefore w:val="0"/>
        <w:kinsoku/>
        <w:wordWrap/>
        <w:overflowPunct/>
        <w:topLinePunct w:val="0"/>
        <w:bidi w:val="0"/>
        <w:adjustRightInd w:val="0"/>
        <w:spacing w:line="360" w:lineRule="auto"/>
        <w:ind w:firstLine="540" w:firstLineChars="225"/>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日  期：XXX年XXX月XXX日</w:t>
      </w:r>
    </w:p>
    <w:p>
      <w:pPr>
        <w:keepNext w:val="0"/>
        <w:keepLines w:val="0"/>
        <w:pageBreakBefore w:val="0"/>
        <w:widowControl/>
        <w:kinsoku/>
        <w:wordWrap/>
        <w:overflowPunct/>
        <w:topLinePunct w:val="0"/>
        <w:bidi w:val="0"/>
        <w:spacing w:line="360" w:lineRule="auto"/>
        <w:ind w:firstLine="562"/>
        <w:jc w:val="left"/>
        <w:textAlignment w:val="auto"/>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7</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商务、技术、服务应答附表</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（仅用于成交结果公告，此表不作为评审内容）</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26"/>
        <w:tblW w:w="919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1182"/>
        <w:gridCol w:w="1615"/>
        <w:gridCol w:w="1555"/>
        <w:gridCol w:w="1593"/>
        <w:gridCol w:w="196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9192" w:type="dxa"/>
            <w:gridSpan w:val="6"/>
            <w:tcBorders>
              <w:top w:val="single" w:color="auto" w:sz="18" w:space="0"/>
            </w:tcBorders>
            <w:vAlign w:val="center"/>
          </w:tcPr>
          <w:p>
            <w:pPr>
              <w:keepNext w:val="0"/>
              <w:keepLines w:val="0"/>
              <w:pageBreakBefore w:val="0"/>
              <w:kinsoku/>
              <w:wordWrap/>
              <w:overflowPunct/>
              <w:topLinePunct w:val="0"/>
              <w:bidi w:val="0"/>
              <w:spacing w:line="360" w:lineRule="auto"/>
              <w:ind w:firstLine="482"/>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732" w:type="dxa"/>
            <w:gridSpan w:val="4"/>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6732" w:type="dxa"/>
            <w:gridSpan w:val="4"/>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3170" w:type="dxa"/>
            <w:gridSpan w:val="2"/>
            <w:tcBorders>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outlineLvl w:val="1"/>
              <w:rPr>
                <w:rFonts w:hint="eastAsia" w:ascii="宋体" w:hAnsi="宋体" w:eastAsia="宋体" w:cs="宋体"/>
                <w:sz w:val="24"/>
                <w:szCs w:val="24"/>
                <w:highlight w:val="none"/>
              </w:rPr>
            </w:pPr>
          </w:p>
        </w:tc>
        <w:tc>
          <w:tcPr>
            <w:tcW w:w="1593"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*行政区域</w:t>
            </w:r>
          </w:p>
        </w:tc>
        <w:tc>
          <w:tcPr>
            <w:tcW w:w="1969" w:type="dxa"/>
            <w:tcBorders>
              <w:left w:val="single" w:color="auto" w:sz="4" w:space="0"/>
            </w:tcBorders>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gridSpan w:val="2"/>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*供应商规模</w:t>
            </w:r>
          </w:p>
        </w:tc>
        <w:tc>
          <w:tcPr>
            <w:tcW w:w="6732" w:type="dxa"/>
            <w:gridSpan w:val="4"/>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460" w:type="dxa"/>
            <w:gridSpan w:val="2"/>
            <w:vMerge w:val="restart"/>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*单位联系方式</w:t>
            </w:r>
          </w:p>
        </w:tc>
        <w:tc>
          <w:tcPr>
            <w:tcW w:w="1615" w:type="dxa"/>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*单位联系人</w:t>
            </w:r>
          </w:p>
        </w:tc>
        <w:tc>
          <w:tcPr>
            <w:tcW w:w="1555" w:type="dxa"/>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c>
          <w:tcPr>
            <w:tcW w:w="1593" w:type="dxa"/>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*单位电话</w:t>
            </w:r>
          </w:p>
        </w:tc>
        <w:tc>
          <w:tcPr>
            <w:tcW w:w="1969" w:type="dxa"/>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8" w:hRule="atLeast"/>
        </w:trPr>
        <w:tc>
          <w:tcPr>
            <w:tcW w:w="2460" w:type="dxa"/>
            <w:gridSpan w:val="2"/>
            <w:vMerge w:val="continue"/>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tc>
        <w:tc>
          <w:tcPr>
            <w:tcW w:w="1615" w:type="dxa"/>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*单位邮箱</w:t>
            </w:r>
          </w:p>
        </w:tc>
        <w:tc>
          <w:tcPr>
            <w:tcW w:w="5117" w:type="dxa"/>
            <w:gridSpan w:val="3"/>
            <w:vAlign w:val="center"/>
          </w:tcPr>
          <w:p>
            <w:pPr>
              <w:keepNext w:val="0"/>
              <w:keepLines w:val="0"/>
              <w:pageBreakBefore w:val="0"/>
              <w:kinsoku/>
              <w:wordWrap/>
              <w:overflowPunct/>
              <w:topLinePunct w:val="0"/>
              <w:bidi w:val="0"/>
              <w:spacing w:line="360" w:lineRule="auto"/>
              <w:ind w:firstLine="470" w:firstLineChars="196"/>
              <w:textAlignment w:val="auto"/>
              <w:outlineLvl w:val="1"/>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9192" w:type="dxa"/>
            <w:gridSpan w:val="6"/>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278" w:type="dxa"/>
            <w:vMerge w:val="restart"/>
            <w:tcBorders>
              <w:right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供应商应答“采购文件”的主要内容</w:t>
            </w: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主要中标或者成交标的的名称</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主要中标或者成交标的的规格型号</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主要中标或者成交标的的数量</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主要中标或者成交标的的单价</w:t>
            </w:r>
          </w:p>
        </w:tc>
        <w:tc>
          <w:tcPr>
            <w:tcW w:w="3562"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bottom w:val="single" w:color="auto" w:sz="18" w:space="0"/>
              <w:right w:val="single" w:color="auto" w:sz="4" w:space="0"/>
            </w:tcBorders>
            <w:vAlign w:val="center"/>
          </w:tcPr>
          <w:p>
            <w:pPr>
              <w:keepNext w:val="0"/>
              <w:keepLines w:val="0"/>
              <w:pageBreakBefore w:val="0"/>
              <w:kinsoku/>
              <w:wordWrap/>
              <w:overflowPunct/>
              <w:topLinePunct w:val="0"/>
              <w:bidi w:val="0"/>
              <w:spacing w:line="360" w:lineRule="auto"/>
              <w:ind w:firstLine="472" w:firstLineChars="196"/>
              <w:textAlignment w:val="auto"/>
              <w:outlineLvl w:val="1"/>
              <w:rPr>
                <w:rFonts w:hint="eastAsia" w:ascii="宋体" w:hAnsi="宋体" w:eastAsia="宋体" w:cs="宋体"/>
                <w:b/>
                <w:bCs/>
                <w:sz w:val="24"/>
                <w:szCs w:val="24"/>
                <w:highlight w:val="none"/>
              </w:rPr>
            </w:pPr>
          </w:p>
        </w:tc>
        <w:tc>
          <w:tcPr>
            <w:tcW w:w="4352" w:type="dxa"/>
            <w:gridSpan w:val="3"/>
            <w:tcBorders>
              <w:left w:val="single" w:color="auto" w:sz="4" w:space="0"/>
              <w:bottom w:val="single" w:color="auto" w:sz="18" w:space="0"/>
              <w:right w:val="single" w:color="auto" w:sz="4" w:space="0"/>
            </w:tcBorders>
            <w:vAlign w:val="center"/>
          </w:tcPr>
          <w:p>
            <w:pPr>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主要中标或者成交标的的服务要求（如：交货期、质保期、售后服务等等）</w:t>
            </w:r>
          </w:p>
        </w:tc>
        <w:tc>
          <w:tcPr>
            <w:tcW w:w="3562" w:type="dxa"/>
            <w:gridSpan w:val="2"/>
            <w:tcBorders>
              <w:left w:val="single" w:color="auto" w:sz="4" w:space="0"/>
              <w:bottom w:val="single" w:color="auto" w:sz="18" w:space="0"/>
            </w:tcBorders>
            <w:vAlign w:val="center"/>
          </w:tcPr>
          <w:p>
            <w:pPr>
              <w:keepNext w:val="0"/>
              <w:keepLines w:val="0"/>
              <w:pageBreakBefore w:val="0"/>
              <w:widowControl/>
              <w:numPr>
                <w:ilvl w:val="0"/>
                <w:numId w:val="8"/>
              </w:numPr>
              <w:kinsoku/>
              <w:wordWrap/>
              <w:overflowPunct/>
              <w:topLinePunct w:val="0"/>
              <w:bidi w:val="0"/>
              <w:spacing w:line="240" w:lineRule="auto"/>
              <w:ind w:firstLine="48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p>
            <w:pPr>
              <w:keepNext w:val="0"/>
              <w:keepLines w:val="0"/>
              <w:pageBreakBefore w:val="0"/>
              <w:widowControl/>
              <w:numPr>
                <w:ilvl w:val="0"/>
                <w:numId w:val="8"/>
              </w:numPr>
              <w:kinsoku/>
              <w:wordWrap/>
              <w:overflowPunct/>
              <w:topLinePunct w:val="0"/>
              <w:bidi w:val="0"/>
              <w:spacing w:line="240" w:lineRule="auto"/>
              <w:ind w:firstLine="48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p>
            <w:pPr>
              <w:keepNext w:val="0"/>
              <w:keepLines w:val="0"/>
              <w:pageBreakBefore w:val="0"/>
              <w:kinsoku/>
              <w:wordWrap/>
              <w:overflowPunct/>
              <w:topLinePunct w:val="0"/>
              <w:bidi w:val="0"/>
              <w:spacing w:line="240" w:lineRule="auto"/>
              <w:ind w:firstLine="480"/>
              <w:textAlignment w:val="auto"/>
              <w:rPr>
                <w:rFonts w:hint="eastAsia" w:ascii="宋体" w:hAnsi="宋体" w:eastAsia="宋体" w:cs="宋体"/>
                <w:b/>
                <w:bCs/>
                <w:sz w:val="24"/>
                <w:szCs w:val="24"/>
                <w:highlight w:val="none"/>
              </w:rPr>
            </w:pPr>
            <w:r>
              <w:rPr>
                <w:rFonts w:hint="eastAsia" w:ascii="宋体" w:hAnsi="宋体" w:eastAsia="宋体" w:cs="宋体"/>
                <w:bCs/>
                <w:sz w:val="21"/>
                <w:szCs w:val="21"/>
                <w:highlight w:val="none"/>
              </w:rPr>
              <w:t>......</w:t>
            </w:r>
          </w:p>
        </w:tc>
      </w:tr>
    </w:tbl>
    <w:p>
      <w:pPr>
        <w:keepNext w:val="0"/>
        <w:keepLines w:val="0"/>
        <w:pageBreakBefore w:val="0"/>
        <w:kinsoku/>
        <w:wordWrap/>
        <w:overflowPunct/>
        <w:topLinePunct w:val="0"/>
        <w:bidi w:val="0"/>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供应商需如实完善表格内容。</w:t>
      </w:r>
    </w:p>
    <w:p>
      <w:pPr>
        <w:keepNext w:val="0"/>
        <w:keepLines w:val="0"/>
        <w:pageBreakBefore w:val="0"/>
        <w:widowControl/>
        <w:numPr>
          <w:ilvl w:val="0"/>
          <w:numId w:val="0"/>
        </w:numPr>
        <w:kinsoku/>
        <w:wordWrap/>
        <w:overflowPunct/>
        <w:topLinePunct w:val="0"/>
        <w:bidi w:val="0"/>
        <w:spacing w:line="240" w:lineRule="auto"/>
        <w:ind w:firstLine="960" w:firstLineChars="4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供应商应答的主要内容应与响应文件一致，可以进行简要概括性表述。</w:t>
      </w:r>
    </w:p>
    <w:p>
      <w:pPr>
        <w:keepNext w:val="0"/>
        <w:keepLines w:val="0"/>
        <w:pageBreakBefore w:val="0"/>
        <w:widowControl/>
        <w:numPr>
          <w:ilvl w:val="0"/>
          <w:numId w:val="0"/>
        </w:numPr>
        <w:kinsoku/>
        <w:wordWrap/>
        <w:overflowPunct/>
        <w:topLinePunct w:val="0"/>
        <w:bidi w:val="0"/>
        <w:spacing w:line="240" w:lineRule="auto"/>
        <w:ind w:firstLine="960" w:firstLineChars="4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供应商应答的主要内容仅用于结果公告，供应商自行完善的内容视为不涉及供应商商业秘密。若供应商没有填写或没有递交此表，视为允许采购代理机构将供应商响应文件中所有相关的应答内容进行公告。</w:t>
      </w: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         （盖章）</w:t>
      </w: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法定代表人/单位负责人或授权代表（签字或加盖个人印章）</w:t>
      </w:r>
      <w:r>
        <w:rPr>
          <w:rFonts w:hint="eastAsia" w:ascii="宋体" w:hAnsi="宋体" w:eastAsia="宋体" w:cs="宋体"/>
          <w:bCs/>
          <w:sz w:val="24"/>
          <w:szCs w:val="24"/>
          <w:highlight w:val="none"/>
        </w:rPr>
        <w:t>：</w:t>
      </w:r>
    </w:p>
    <w:p>
      <w:pPr>
        <w:keepNext w:val="0"/>
        <w:keepLines w:val="0"/>
        <w:pageBreakBefore w:val="0"/>
        <w:kinsoku/>
        <w:wordWrap/>
        <w:overflowPunct/>
        <w:topLinePunct w:val="0"/>
        <w:bidi w:val="0"/>
        <w:spacing w:line="360" w:lineRule="auto"/>
        <w:ind w:firstLine="420" w:firstLineChars="175"/>
        <w:textAlignment w:val="auto"/>
        <w:rPr>
          <w:rFonts w:hint="eastAsia" w:ascii="宋体" w:hAnsi="宋体" w:eastAsia="宋体" w:cs="宋体"/>
          <w:b/>
          <w:sz w:val="24"/>
          <w:szCs w:val="24"/>
          <w:highlight w:val="none"/>
        </w:rPr>
      </w:pPr>
      <w:r>
        <w:rPr>
          <w:rFonts w:hint="eastAsia" w:ascii="宋体" w:hAnsi="宋体" w:eastAsia="宋体" w:cs="宋体"/>
          <w:bCs/>
          <w:sz w:val="24"/>
          <w:szCs w:val="24"/>
          <w:highlight w:val="none"/>
        </w:rPr>
        <w:t>报价日期:</w:t>
      </w:r>
    </w:p>
    <w:p>
      <w:pPr>
        <w:keepNext w:val="0"/>
        <w:keepLines w:val="0"/>
        <w:pageBreakBefore w:val="0"/>
        <w:widowControl/>
        <w:kinsoku/>
        <w:wordWrap/>
        <w:overflowPunct/>
        <w:topLinePunct w:val="0"/>
        <w:bidi w:val="0"/>
        <w:spacing w:line="360" w:lineRule="auto"/>
        <w:ind w:firstLine="551" w:firstLineChars="196"/>
        <w:jc w:val="left"/>
        <w:textAlignment w:val="auto"/>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8</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九、</w:t>
      </w:r>
      <w:r>
        <w:rPr>
          <w:rFonts w:hint="eastAsia" w:ascii="宋体" w:hAnsi="宋体" w:eastAsia="宋体" w:cs="宋体"/>
          <w:b/>
          <w:bCs/>
          <w:sz w:val="28"/>
          <w:szCs w:val="28"/>
          <w:highlight w:val="none"/>
        </w:rPr>
        <w:t>供应商类似项目业绩一览表</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p>
    <w:tbl>
      <w:tblPr>
        <w:tblStyle w:val="26"/>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03"/>
        <w:gridCol w:w="1254"/>
        <w:gridCol w:w="1319"/>
        <w:gridCol w:w="1383"/>
        <w:gridCol w:w="1462"/>
        <w:gridCol w:w="1969"/>
        <w:gridCol w:w="758"/>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tcBorders>
              <w:top w:val="single" w:color="auto" w:sz="4" w:space="0"/>
            </w:tcBorders>
            <w:vAlign w:val="center"/>
          </w:tcPr>
          <w:p>
            <w:pPr>
              <w:keepNext w:val="0"/>
              <w:keepLines w:val="0"/>
              <w:pageBreakBefore w:val="0"/>
              <w:kinsoku/>
              <w:wordWrap/>
              <w:overflowPunct/>
              <w:topLinePunct w:val="0"/>
              <w:bidi w:val="0"/>
              <w:spacing w:line="360" w:lineRule="auto"/>
              <w:ind w:firstLine="120" w:firstLineChars="5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年份</w:t>
            </w:r>
          </w:p>
        </w:tc>
        <w:tc>
          <w:tcPr>
            <w:tcW w:w="1254" w:type="dxa"/>
            <w:tcBorders>
              <w:top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用户名称</w:t>
            </w:r>
          </w:p>
        </w:tc>
        <w:tc>
          <w:tcPr>
            <w:tcW w:w="1319" w:type="dxa"/>
            <w:tcBorders>
              <w:top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383" w:type="dxa"/>
            <w:tcBorders>
              <w:top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完成时间</w:t>
            </w:r>
          </w:p>
        </w:tc>
        <w:tc>
          <w:tcPr>
            <w:tcW w:w="1462" w:type="dxa"/>
            <w:tcBorders>
              <w:top w:val="single" w:color="auto" w:sz="4" w:space="0"/>
            </w:tcBorders>
            <w:vAlign w:val="center"/>
          </w:tcPr>
          <w:p>
            <w:pPr>
              <w:keepNext w:val="0"/>
              <w:keepLines w:val="0"/>
              <w:pageBreakBefore w:val="0"/>
              <w:kinsoku/>
              <w:wordWrap/>
              <w:overflowPunct/>
              <w:topLinePunct w:val="0"/>
              <w:bidi w:val="0"/>
              <w:spacing w:line="360" w:lineRule="auto"/>
              <w:ind w:firstLine="120" w:firstLineChars="5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合同金额</w:t>
            </w:r>
          </w:p>
        </w:tc>
        <w:tc>
          <w:tcPr>
            <w:tcW w:w="196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是否通过验收</w:t>
            </w:r>
          </w:p>
        </w:tc>
        <w:tc>
          <w:tcPr>
            <w:tcW w:w="768" w:type="dxa"/>
            <w:gridSpan w:val="2"/>
            <w:tcBorders>
              <w:top w:val="single" w:color="auto" w:sz="4" w:space="0"/>
              <w:left w:val="single" w:color="auto" w:sz="4" w:space="0"/>
            </w:tcBorders>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903"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254"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1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83"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462"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758" w:type="dxa"/>
            <w:tcBorders>
              <w:lef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462"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903"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tcBorders>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903"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25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19"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383"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462"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c>
          <w:tcPr>
            <w:tcW w:w="768" w:type="dxa"/>
            <w:gridSpan w:val="2"/>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000000"/>
                <w:sz w:val="24"/>
                <w:szCs w:val="24"/>
                <w:highlight w:val="none"/>
              </w:rPr>
            </w:pPr>
          </w:p>
        </w:tc>
      </w:tr>
    </w:tbl>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注：以上项目业绩需提供磋商文件要求的有关书面证明材料。</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供应商名称：XXXX（盖单位公章）</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b/>
          <w:sz w:val="28"/>
          <w:szCs w:val="28"/>
          <w:highlight w:val="none"/>
        </w:rPr>
      </w:pPr>
      <w:r>
        <w:rPr>
          <w:rFonts w:hint="eastAsia" w:ascii="宋体" w:hAnsi="宋体" w:eastAsia="宋体" w:cs="宋体"/>
          <w:sz w:val="24"/>
          <w:szCs w:val="24"/>
          <w:highlight w:val="none"/>
        </w:rPr>
        <w:t>日期: XXXX</w:t>
      </w:r>
      <w:r>
        <w:rPr>
          <w:rFonts w:hint="eastAsia" w:ascii="宋体" w:hAnsi="宋体" w:eastAsia="宋体" w:cs="宋体"/>
          <w:b/>
          <w:sz w:val="28"/>
          <w:szCs w:val="28"/>
          <w:highlight w:val="none"/>
        </w:rPr>
        <w:br w:type="page"/>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格式2-</w:t>
      </w:r>
      <w:r>
        <w:rPr>
          <w:rFonts w:hint="eastAsia" w:ascii="宋体" w:hAnsi="宋体" w:cs="宋体"/>
          <w:b/>
          <w:sz w:val="28"/>
          <w:szCs w:val="28"/>
          <w:highlight w:val="none"/>
          <w:lang w:val="en-US" w:eastAsia="zh-CN"/>
        </w:rPr>
        <w:t>9</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十、</w:t>
      </w:r>
      <w:r>
        <w:rPr>
          <w:rFonts w:hint="eastAsia" w:ascii="宋体" w:hAnsi="宋体" w:eastAsia="宋体" w:cs="宋体"/>
          <w:b/>
          <w:sz w:val="28"/>
          <w:szCs w:val="28"/>
          <w:highlight w:val="none"/>
        </w:rPr>
        <w:t>供应商本项目管理、技术、服务人员情况表</w:t>
      </w:r>
    </w:p>
    <w:p>
      <w:pPr>
        <w:keepNext w:val="0"/>
        <w:keepLines w:val="0"/>
        <w:pageBreakBefore w:val="0"/>
        <w:kinsoku/>
        <w:wordWrap/>
        <w:overflowPunct/>
        <w:topLinePunct w:val="0"/>
        <w:bidi w:val="0"/>
        <w:spacing w:line="360" w:lineRule="auto"/>
        <w:ind w:firstLine="640"/>
        <w:textAlignment w:val="auto"/>
        <w:rPr>
          <w:rFonts w:hint="eastAsia" w:ascii="宋体" w:hAnsi="宋体" w:eastAsia="宋体" w:cs="宋体"/>
          <w:sz w:val="28"/>
          <w:szCs w:val="28"/>
          <w:highlight w:val="none"/>
        </w:rPr>
      </w:pP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类别</w:t>
            </w:r>
          </w:p>
        </w:tc>
        <w:tc>
          <w:tcPr>
            <w:tcW w:w="947"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947"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947"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947"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常住地</w:t>
            </w:r>
          </w:p>
        </w:tc>
        <w:tc>
          <w:tcPr>
            <w:tcW w:w="3788" w:type="dxa"/>
            <w:gridSpan w:val="4"/>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证书</w:t>
            </w: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947"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947"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证号</w:t>
            </w:r>
          </w:p>
        </w:tc>
        <w:tc>
          <w:tcPr>
            <w:tcW w:w="947" w:type="dxa"/>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管理</w:t>
            </w: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w:t>
            </w: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w:t>
            </w:r>
          </w:p>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w:t>
            </w: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售后服务人员</w:t>
            </w: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c>
          <w:tcPr>
            <w:tcW w:w="947" w:type="dxa"/>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rPr>
            </w:pPr>
          </w:p>
        </w:tc>
      </w:tr>
    </w:tbl>
    <w:p>
      <w:pPr>
        <w:keepNext w:val="0"/>
        <w:keepLines w:val="0"/>
        <w:pageBreakBefore w:val="0"/>
        <w:widowControl/>
        <w:kinsoku/>
        <w:wordWrap/>
        <w:overflowPunct/>
        <w:topLinePunct w:val="0"/>
        <w:bidi w:val="0"/>
        <w:spacing w:line="360" w:lineRule="auto"/>
        <w:ind w:left="0" w:leftChars="0" w:firstLine="0" w:firstLineChars="0"/>
        <w:jc w:val="left"/>
        <w:textAlignment w:val="auto"/>
        <w:rPr>
          <w:rFonts w:hint="eastAsia" w:ascii="宋体" w:hAnsi="宋体" w:eastAsia="宋体" w:cs="宋体"/>
          <w:kern w:val="0"/>
          <w:sz w:val="28"/>
          <w:szCs w:val="28"/>
          <w:highlight w:val="none"/>
        </w:rPr>
      </w:pPr>
    </w:p>
    <w:p>
      <w:pPr>
        <w:keepNext w:val="0"/>
        <w:keepLines w:val="0"/>
        <w:pageBreakBefore w:val="0"/>
        <w:widowControl/>
        <w:kinsoku/>
        <w:wordWrap/>
        <w:overflowPunct/>
        <w:topLinePunct w:val="0"/>
        <w:bidi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注：1、</w:t>
      </w:r>
      <w:r>
        <w:rPr>
          <w:rFonts w:hint="eastAsia" w:ascii="宋体" w:hAnsi="宋体" w:cs="宋体"/>
          <w:kern w:val="0"/>
          <w:sz w:val="24"/>
          <w:szCs w:val="24"/>
          <w:highlight w:val="none"/>
          <w:lang w:val="en-US" w:eastAsia="zh-CN"/>
        </w:rPr>
        <w:t>供应商</w:t>
      </w:r>
      <w:r>
        <w:rPr>
          <w:rFonts w:hint="eastAsia" w:ascii="宋体" w:hAnsi="宋体" w:eastAsia="宋体" w:cs="宋体"/>
          <w:kern w:val="0"/>
          <w:sz w:val="24"/>
          <w:szCs w:val="24"/>
          <w:highlight w:val="none"/>
        </w:rPr>
        <w:t>根据自身实际情况填写，若无涉及可不填写此项或“/”。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2、以上表格格式行、列可增减。 </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供应商名称：XXX（盖单位公章）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XXX</w:t>
      </w:r>
    </w:p>
    <w:p>
      <w:pPr>
        <w:keepNext w:val="0"/>
        <w:keepLines w:val="0"/>
        <w:pageBreakBefore w:val="0"/>
        <w:kinsoku/>
        <w:wordWrap/>
        <w:overflowPunct/>
        <w:topLinePunct w:val="0"/>
        <w:bidi w:val="0"/>
        <w:spacing w:line="360" w:lineRule="auto"/>
        <w:ind w:firstLine="640"/>
        <w:textAlignment w:val="auto"/>
        <w:rPr>
          <w:rFonts w:hint="eastAsia" w:ascii="宋体" w:hAnsi="宋体" w:eastAsia="宋体" w:cs="宋体"/>
          <w:sz w:val="28"/>
          <w:szCs w:val="28"/>
          <w:highlight w:val="none"/>
        </w:rPr>
      </w:pPr>
    </w:p>
    <w:bookmarkEnd w:id="95"/>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格式2-1</w:t>
      </w:r>
      <w:r>
        <w:rPr>
          <w:rFonts w:hint="eastAsia" w:ascii="宋体" w:hAnsi="宋体" w:cs="宋体"/>
          <w:b/>
          <w:sz w:val="28"/>
          <w:szCs w:val="28"/>
          <w:highlight w:val="none"/>
          <w:lang w:val="en-US" w:eastAsia="zh-CN"/>
        </w:rPr>
        <w:t>0</w:t>
      </w:r>
    </w:p>
    <w:p>
      <w:pPr>
        <w:keepNext w:val="0"/>
        <w:keepLines w:val="0"/>
        <w:pageBreakBefore w:val="0"/>
        <w:kinsoku/>
        <w:wordWrap/>
        <w:overflowPunct/>
        <w:topLinePunct w:val="0"/>
        <w:bidi w:val="0"/>
        <w:spacing w:line="360" w:lineRule="auto"/>
        <w:ind w:firstLine="643"/>
        <w:jc w:val="center"/>
        <w:textAlignment w:val="auto"/>
        <w:rPr>
          <w:rFonts w:hint="eastAsia" w:ascii="宋体" w:hAnsi="宋体" w:eastAsia="宋体" w:cs="宋体"/>
          <w:b/>
          <w:bCs/>
          <w:kern w:val="0"/>
          <w:sz w:val="28"/>
          <w:szCs w:val="28"/>
          <w:highlight w:val="none"/>
        </w:rPr>
      </w:pPr>
      <w:r>
        <w:rPr>
          <w:rFonts w:hint="eastAsia" w:ascii="宋体" w:hAnsi="宋体" w:cs="宋体"/>
          <w:b/>
          <w:bCs/>
          <w:kern w:val="0"/>
          <w:sz w:val="28"/>
          <w:szCs w:val="28"/>
          <w:highlight w:val="none"/>
          <w:lang w:val="en-US" w:eastAsia="zh-CN"/>
        </w:rPr>
        <w:t>十一、</w:t>
      </w:r>
      <w:r>
        <w:rPr>
          <w:rFonts w:hint="eastAsia" w:ascii="宋体" w:hAnsi="宋体" w:eastAsia="宋体" w:cs="宋体"/>
          <w:b/>
          <w:bCs/>
          <w:kern w:val="0"/>
          <w:sz w:val="28"/>
          <w:szCs w:val="28"/>
          <w:highlight w:val="none"/>
        </w:rPr>
        <w:t>项目方案</w:t>
      </w:r>
    </w:p>
    <w:p>
      <w:pPr>
        <w:keepNext w:val="0"/>
        <w:keepLines w:val="0"/>
        <w:pageBreakBefore w:val="0"/>
        <w:kinsoku/>
        <w:wordWrap/>
        <w:overflowPunct/>
        <w:topLinePunct w:val="0"/>
        <w:bidi w:val="0"/>
        <w:spacing w:line="360" w:lineRule="auto"/>
        <w:ind w:firstLine="482"/>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(仅作为评委评审打分时的依据，不作为响应无效处理)</w:t>
      </w:r>
    </w:p>
    <w:p>
      <w:pPr>
        <w:pStyle w:val="16"/>
        <w:keepNext w:val="0"/>
        <w:keepLines w:val="0"/>
        <w:pageBreakBefore w:val="0"/>
        <w:kinsoku/>
        <w:wordWrap/>
        <w:overflowPunct/>
        <w:topLinePunct w:val="0"/>
        <w:bidi w:val="0"/>
        <w:spacing w:line="360" w:lineRule="auto"/>
        <w:ind w:left="48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供应商应根据评分细则要求内容自行编制。</w:t>
      </w:r>
    </w:p>
    <w:p>
      <w:pPr>
        <w:keepNext w:val="0"/>
        <w:keepLines w:val="0"/>
        <w:pageBreakBefore w:val="0"/>
        <w:kinsoku/>
        <w:wordWrap/>
        <w:overflowPunct/>
        <w:topLinePunct w:val="0"/>
        <w:bidi w:val="0"/>
        <w:spacing w:line="360" w:lineRule="auto"/>
        <w:ind w:firstLine="562"/>
        <w:textAlignment w:val="auto"/>
        <w:rPr>
          <w:rFonts w:hint="eastAsia" w:ascii="宋体" w:hAnsi="宋体" w:eastAsia="宋体" w:cs="宋体"/>
          <w:b/>
          <w:sz w:val="28"/>
          <w:szCs w:val="28"/>
          <w:highlight w:val="none"/>
          <w:lang w:eastAsia="zh-CN"/>
        </w:rPr>
      </w:pPr>
      <w:r>
        <w:rPr>
          <w:rFonts w:hint="eastAsia" w:ascii="宋体" w:hAnsi="宋体" w:eastAsia="宋体" w:cs="宋体"/>
          <w:sz w:val="28"/>
          <w:szCs w:val="28"/>
          <w:highlight w:val="none"/>
        </w:rPr>
        <w:br w:type="page"/>
      </w:r>
      <w:r>
        <w:rPr>
          <w:rFonts w:hint="eastAsia" w:ascii="宋体" w:hAnsi="宋体" w:eastAsia="宋体" w:cs="宋体"/>
          <w:b/>
          <w:sz w:val="28"/>
          <w:szCs w:val="28"/>
          <w:highlight w:val="none"/>
        </w:rPr>
        <w:t>格式2-1</w:t>
      </w:r>
      <w:r>
        <w:rPr>
          <w:rFonts w:hint="eastAsia" w:ascii="宋体" w:hAnsi="宋体" w:cs="宋体"/>
          <w:b/>
          <w:sz w:val="28"/>
          <w:szCs w:val="28"/>
          <w:highlight w:val="none"/>
          <w:lang w:val="en-US" w:eastAsia="zh-CN"/>
        </w:rPr>
        <w:t>1</w:t>
      </w:r>
    </w:p>
    <w:p>
      <w:pPr>
        <w:pStyle w:val="16"/>
        <w:keepNext w:val="0"/>
        <w:keepLines w:val="0"/>
        <w:pageBreakBefore w:val="0"/>
        <w:kinsoku/>
        <w:wordWrap/>
        <w:overflowPunct/>
        <w:topLinePunct w:val="0"/>
        <w:bidi w:val="0"/>
        <w:spacing w:line="360" w:lineRule="auto"/>
        <w:ind w:left="480" w:firstLine="480"/>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 xml:space="preserve">               </w:t>
      </w:r>
      <w:r>
        <w:rPr>
          <w:rFonts w:hint="eastAsia" w:ascii="宋体" w:hAnsi="宋体" w:eastAsia="宋体" w:cs="宋体"/>
          <w:b/>
          <w:bCs/>
          <w:kern w:val="0"/>
          <w:sz w:val="28"/>
          <w:szCs w:val="28"/>
          <w:highlight w:val="none"/>
          <w:lang w:val="en-US" w:eastAsia="zh-CN"/>
        </w:rPr>
        <w:t>十</w:t>
      </w:r>
      <w:r>
        <w:rPr>
          <w:rFonts w:hint="eastAsia" w:ascii="宋体" w:hAnsi="宋体" w:cs="宋体"/>
          <w:b/>
          <w:bCs/>
          <w:kern w:val="0"/>
          <w:sz w:val="28"/>
          <w:szCs w:val="28"/>
          <w:highlight w:val="none"/>
          <w:lang w:val="en-US" w:eastAsia="zh-CN"/>
        </w:rPr>
        <w:t>二</w:t>
      </w:r>
      <w:r>
        <w:rPr>
          <w:rFonts w:hint="eastAsia" w:ascii="宋体" w:hAnsi="宋体" w:eastAsia="宋体" w:cs="宋体"/>
          <w:b/>
          <w:bCs/>
          <w:kern w:val="0"/>
          <w:sz w:val="28"/>
          <w:szCs w:val="28"/>
          <w:highlight w:val="none"/>
          <w:lang w:val="en-US" w:eastAsia="zh-CN"/>
        </w:rPr>
        <w:t>、</w:t>
      </w:r>
      <w:r>
        <w:rPr>
          <w:rFonts w:hint="eastAsia" w:ascii="宋体" w:hAnsi="宋体" w:eastAsia="宋体" w:cs="宋体"/>
          <w:b/>
          <w:bCs/>
          <w:kern w:val="0"/>
          <w:sz w:val="28"/>
          <w:szCs w:val="28"/>
          <w:highlight w:val="none"/>
        </w:rPr>
        <w:t>其他资料内容</w:t>
      </w:r>
    </w:p>
    <w:p>
      <w:pPr>
        <w:keepNext w:val="0"/>
        <w:keepLines w:val="0"/>
        <w:pageBreakBefore w:val="0"/>
        <w:kinsoku/>
        <w:wordWrap/>
        <w:overflowPunct/>
        <w:topLinePunct w:val="0"/>
        <w:bidi w:val="0"/>
        <w:spacing w:line="360" w:lineRule="auto"/>
        <w:ind w:firstLine="562"/>
        <w:textAlignment w:val="auto"/>
        <w:rPr>
          <w:rFonts w:hint="default" w:ascii="宋体" w:hAnsi="宋体" w:eastAsia="宋体" w:cs="宋体"/>
          <w:b/>
          <w:sz w:val="28"/>
          <w:szCs w:val="28"/>
          <w:highlight w:val="none"/>
          <w:lang w:val="en-US" w:eastAsia="zh-CN"/>
        </w:rPr>
      </w:pPr>
      <w:r>
        <w:rPr>
          <w:rFonts w:hint="eastAsia" w:ascii="宋体" w:hAnsi="宋体" w:eastAsia="宋体" w:cs="宋体"/>
          <w:sz w:val="28"/>
          <w:szCs w:val="28"/>
          <w:highlight w:val="none"/>
        </w:rPr>
        <w:br w:type="page"/>
      </w:r>
      <w:bookmarkStart w:id="96" w:name="_Toc509579147"/>
      <w:r>
        <w:rPr>
          <w:rFonts w:hint="eastAsia" w:ascii="宋体" w:hAnsi="宋体" w:eastAsia="宋体" w:cs="宋体"/>
          <w:b/>
          <w:sz w:val="28"/>
          <w:szCs w:val="28"/>
          <w:highlight w:val="none"/>
        </w:rPr>
        <w:t>格式2-1</w:t>
      </w:r>
      <w:r>
        <w:rPr>
          <w:rFonts w:hint="eastAsia" w:ascii="宋体" w:hAnsi="宋体" w:cs="宋体"/>
          <w:b/>
          <w:sz w:val="28"/>
          <w:szCs w:val="28"/>
          <w:highlight w:val="none"/>
          <w:lang w:val="en-US" w:eastAsia="zh-CN"/>
        </w:rPr>
        <w:t>2</w:t>
      </w:r>
    </w:p>
    <w:p>
      <w:pPr>
        <w:keepNext w:val="0"/>
        <w:keepLines w:val="0"/>
        <w:pageBreakBefore w:val="0"/>
        <w:kinsoku/>
        <w:wordWrap/>
        <w:overflowPunct/>
        <w:topLinePunct w:val="0"/>
        <w:bidi w:val="0"/>
        <w:spacing w:line="360" w:lineRule="auto"/>
        <w:ind w:firstLine="480"/>
        <w:jc w:val="center"/>
        <w:textAlignment w:val="auto"/>
        <w:outlineLvl w:val="1"/>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十三、</w:t>
      </w:r>
      <w:r>
        <w:rPr>
          <w:rFonts w:hint="eastAsia" w:ascii="宋体" w:hAnsi="宋体" w:eastAsia="宋体" w:cs="宋体"/>
          <w:b/>
          <w:sz w:val="28"/>
          <w:szCs w:val="28"/>
          <w:highlight w:val="none"/>
        </w:rPr>
        <w:t>知识产权声明函</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根据《商标法》、《专利法》、《著作权法》和《反不正当竞争法》等法律法规文件的相关规定，本公司郑重声明：</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我公司保证在本项目使用的任何产品和服务（包括部分使用）时，不会产生因第三方提出侵犯其专利权、商标权或其它知识产权而引起的法律和经济纠纷，如因专利权、商标权或其它知识产权而引起法律和经济纠纷，由我司承担所有相关责任。</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二、采购人享有本项目实施过程中产生的知识成果及知识产权。</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我司若在项目实施过程中采用自有知识成果，则会在磋商文件中特别声明，并提供相关知识产权证明文件。同时承诺，我司使用该知识成果后，将会提供开发接口和开发手册等技术文档，并承诺提供无限期技术支持，采购人享有永久使用权（含采购人委托第三方在该项目后续开发的使用权）。</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四、如我司采用了非我司的知识产权，则报价中已包括合法获取该知识产权的相关费用。</w:t>
      </w:r>
    </w:p>
    <w:p>
      <w:pPr>
        <w:keepNext w:val="0"/>
        <w:keepLines w:val="0"/>
        <w:pageBreakBefore w:val="0"/>
        <w:kinsoku/>
        <w:wordWrap/>
        <w:overflowPunct/>
        <w:topLinePunct w:val="0"/>
        <w:bidi w:val="0"/>
        <w:spacing w:line="360" w:lineRule="auto"/>
        <w:ind w:firstLine="566" w:firstLineChars="23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本公司对上述声明的真实性负责。如有虚假，将按照提供虚假材料处理。</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供应商名称：XXXX（单位盖章）。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递交响应文件截止</w:t>
      </w:r>
      <w:r>
        <w:rPr>
          <w:rFonts w:hint="eastAsia" w:ascii="宋体" w:hAnsi="宋体" w:eastAsia="宋体" w:cs="宋体"/>
          <w:sz w:val="24"/>
          <w:szCs w:val="24"/>
          <w:highlight w:val="none"/>
        </w:rPr>
        <w:t>日期: XXXX。</w:t>
      </w:r>
    </w:p>
    <w:p>
      <w:pPr>
        <w:pStyle w:val="23"/>
        <w:pageBreakBefore w:val="0"/>
        <w:kinsoku/>
        <w:wordWrap/>
        <w:overflowPunct/>
        <w:topLinePunct w:val="0"/>
        <w:bidi w:val="0"/>
        <w:spacing w:line="480" w:lineRule="auto"/>
        <w:ind w:left="0" w:leftChars="0" w:firstLine="0" w:firstLineChars="0"/>
        <w:jc w:val="both"/>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23"/>
        <w:pageBreakBefore w:val="0"/>
        <w:kinsoku/>
        <w:wordWrap/>
        <w:overflowPunct/>
        <w:topLinePunct w:val="0"/>
        <w:bidi w:val="0"/>
        <w:spacing w:line="480" w:lineRule="auto"/>
        <w:ind w:firstLine="0" w:firstLineChars="0"/>
        <w:rPr>
          <w:rFonts w:hint="eastAsia" w:ascii="宋体" w:hAnsi="宋体" w:eastAsia="宋体" w:cs="宋体"/>
          <w:sz w:val="28"/>
          <w:szCs w:val="28"/>
          <w:highlight w:val="none"/>
        </w:rPr>
      </w:pPr>
      <w:bookmarkStart w:id="97" w:name="_Toc31006"/>
      <w:r>
        <w:rPr>
          <w:rFonts w:hint="eastAsia" w:ascii="宋体" w:hAnsi="宋体" w:eastAsia="宋体" w:cs="宋体"/>
          <w:sz w:val="28"/>
          <w:szCs w:val="28"/>
          <w:highlight w:val="none"/>
        </w:rPr>
        <w:t>第八章  评审方法</w:t>
      </w:r>
      <w:bookmarkEnd w:id="96"/>
      <w:bookmarkEnd w:id="97"/>
      <w:bookmarkStart w:id="98" w:name="_Toc101174146"/>
      <w:bookmarkStart w:id="99" w:name="_Toc101338358"/>
      <w:bookmarkStart w:id="100" w:name="_Toc209847065"/>
      <w:bookmarkStart w:id="101" w:name="_Toc101250640"/>
      <w:bookmarkStart w:id="102" w:name="_Toc430773924"/>
    </w:p>
    <w:p>
      <w:pPr>
        <w:pStyle w:val="4"/>
        <w:pageBreakBefore w:val="0"/>
        <w:kinsoku/>
        <w:wordWrap/>
        <w:overflowPunct/>
        <w:topLinePunct w:val="0"/>
        <w:bidi w:val="0"/>
        <w:spacing w:after="0" w:afterAutospacing="0" w:line="480" w:lineRule="auto"/>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1.总则</w:t>
      </w:r>
    </w:p>
    <w:p>
      <w:pPr>
        <w:pageBreakBefore w:val="0"/>
        <w:kinsoku/>
        <w:wordWrap/>
        <w:overflowPunct/>
        <w:topLinePunct w:val="0"/>
        <w:bidi w:val="0"/>
        <w:spacing w:before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 根据《中华人民共和国政府采购法》、《中华人民共和国政府采购法实施条例》、《政府采购竞争性磋商采购方式管理暂行办法》等法律制度，结合本采购项目特点制定本磋商方法。</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 磋商工作由采购代理机构负责组织，具体磋商由采购代理机构依法组建的磋商小组负责。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 磋商工作应遵循公平、公正、科学及择优的原则，并以相同的磋商程序和标准对待所有的供应商。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 磋商小组按照磋商文件规定的磋商程序、评分方法和标准进行评审，并独立履行下列职责：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（一）熟悉和理解磋商文件，确定磋商文件内容是否违反国家有关强制性规定或者磋商文件存在歧义、重大缺陷，根据需要书面要求采购人、采购代理机构对磋商文件作出解释；</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（二）审查供应商响应文件是否满足磋商文件要求，并作出公正评价；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（三）根据需要要求供应商对响应文件中含义不明确、同类问题表述不一致或者有明显文字和计算错误的内容等作出必要的澄清、说明或者更正；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（四）推荐成交供应商，或者受采购人委托确定成交供应商；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（五）起草评审报告并进行签署；</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（六）向采购人/采购代理机构、财政部门或者其他监督部门报告非法干预评审工作的行为；</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（七）法律、法规和规章规定的其他职责。</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1.5磋商过程独立、保密。供应商非法干预磋商过程的，其响应文件作无效处理。</w:t>
      </w:r>
    </w:p>
    <w:p>
      <w:pPr>
        <w:pageBreakBefore w:val="0"/>
        <w:kinsoku/>
        <w:wordWrap/>
        <w:overflowPunct/>
        <w:topLinePunct w:val="0"/>
        <w:bidi w:val="0"/>
        <w:spacing w:line="480" w:lineRule="auto"/>
        <w:ind w:firstLine="480"/>
        <w:rPr>
          <w:rFonts w:hint="eastAsia" w:ascii="宋体" w:hAnsi="宋体" w:eastAsia="宋体" w:cs="宋体"/>
          <w:sz w:val="28"/>
          <w:szCs w:val="28"/>
          <w:highlight w:val="none"/>
        </w:rPr>
      </w:pPr>
    </w:p>
    <w:p>
      <w:pPr>
        <w:pStyle w:val="4"/>
        <w:keepNext w:val="0"/>
        <w:keepLines w:val="0"/>
        <w:pageBreakBefore w:val="0"/>
        <w:kinsoku/>
        <w:wordWrap/>
        <w:overflowPunct/>
        <w:topLinePunct w:val="0"/>
        <w:bidi w:val="0"/>
        <w:spacing w:before="0" w:after="0" w:line="480" w:lineRule="auto"/>
        <w:ind w:firstLine="551" w:firstLineChars="196"/>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2.磋商程序</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综合评分法</w:t>
      </w:r>
      <w:r>
        <w:rPr>
          <w:rFonts w:hint="eastAsia" w:ascii="宋体" w:hAnsi="宋体" w:eastAsia="宋体" w:cs="宋体"/>
          <w:b/>
          <w:bCs/>
          <w:sz w:val="28"/>
          <w:szCs w:val="28"/>
          <w:highlight w:val="none"/>
          <w:lang w:eastAsia="zh-CN"/>
        </w:rPr>
        <w:t>）</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2.1审查磋商文件和停止评审。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 本磋商文件有下列情形之一的，磋商小组应当停止评审：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（1）磋商文件的规定存在歧义、重大缺陷的；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（2）磋商文件明显以不合理条件对供应商实行差别待遇或者歧视待遇的；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（3）采购项目属于国家规定的优先、强制采购范围，但是磋商文件未依法体现优先、强制采购相关规定的；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（4）采购项目属于政府采购促进中小企业发展的范围，但是磋商文件未依法体现促进中小企业发展相关规定的；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（5）磋商文件将供应商的资格条件列为评分因素的；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（6）磋商文件载明的成交原则不合法的；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（7）磋商文件有违反国家其他有关强制性规定的情形。</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2.1.3 出现本条2.1.2规定应当停止评审情形的，磋商小组应当向采购组织单位书面书面说明情况。除本条规定的情形外，磋商小组不得以任何方式和理由停止评审。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2.2资格性审查。</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2.2.1本项目需要磋商小组进行资格性检查。</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2.2.2资格性审查结束后，磋商小组应当出具资格性审查报告，没有通过资格审查的供应商，磋商小组应当在资格审查报告中说明原因。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2.2.3磋商小组应依据磋商文件规定的实质性要求，对符合资格的响应文件进行有效性、完整性和响应程度审查，以确定参加磋商的供应商名单。</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2.2.4采购人或者采购代理机构宣布未通过资格性审查的供应商名单时，应当告知供应商未通过审查的原因。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通过资格性审查的供应商不足3家的（本章2.3.1的情况除外），终止本次采购活动，并发布终止采购活动公告。</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2.3.1</w:t>
      </w:r>
      <w:r>
        <w:rPr>
          <w:rFonts w:hint="eastAsia" w:ascii="宋体" w:hAnsi="宋体" w:eastAsia="宋体" w:cs="宋体"/>
          <w:sz w:val="24"/>
          <w:szCs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2.4磋商。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2.4.2每轮磋商开始前，磋商小组应根据磋商文件的规定，并结合各供应商的响应文件拟定磋商内容。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2.4.4对磋商文件作出的实质性变动是磋商文件的有效组成部分，磋商小组应当及时以书面形式同时通知所有参加磋商的供应商。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2.4.6磋商过程中，磋商的任何一方不得透露与磋商有关的其他供应商的技术资料、价格和其他信息。</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2.4.7磋商过程中，磋商小组发现或者知晓供应商存在违法、违纪行为的，磋商小组应当将该供应商响应文件作无效处理，不允许其提交最后报价。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2.4.8磋商完成后，磋商小组应出具磋商情况记录表，磋商情况记录表需包含磋商内容、磋商意见、实质性变动内容等。</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2.5最后报价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2.5.1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2.5.2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2.5.4磋商文件能够详细列明采购标的的技术、服务要求的，磋商结束后，磋商小组应当要求所有实质性响应的供应商在规定时间内提交最后报价，提交最后报价的供应商不得少于3家（本章2.3.1和2.5.5的情况除外）。或磋商文件不能详细列明采购标的的技术、服务要求，需经磋商由供应商提供最终设计方案或解决方案的，磋商结束后，磋商小组应当按照少数服从多数的原则投票推荐3家以上（本章2.3.1和2.5.5的情况除外）供应商的设计方案或者解决方案，并要求其在规定时间内提交最后报价。</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2.5.5符合</w:t>
      </w:r>
      <w:bookmarkStart w:id="103" w:name="_Toc30986"/>
      <w:r>
        <w:rPr>
          <w:rFonts w:hint="eastAsia" w:ascii="宋体" w:hAnsi="宋体" w:eastAsia="宋体" w:cs="宋体"/>
          <w:sz w:val="24"/>
          <w:szCs w:val="24"/>
          <w:highlight w:val="none"/>
        </w:rPr>
        <w:t>《政府采购竞争性磋商采购方式管理暂行办法财库》〔2014〕214号</w:t>
      </w:r>
      <w:bookmarkEnd w:id="103"/>
      <w:r>
        <w:rPr>
          <w:rFonts w:hint="eastAsia" w:ascii="宋体" w:hAnsi="宋体" w:eastAsia="宋体" w:cs="宋体"/>
          <w:sz w:val="24"/>
          <w:szCs w:val="24"/>
          <w:highlight w:val="none"/>
        </w:rPr>
        <w:t>第三条第四项情形的，提交最后报价的供应商可以为2家。</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宋体" w:hAnsi="宋体" w:eastAsia="宋体" w:cs="宋体"/>
          <w:sz w:val="24"/>
          <w:szCs w:val="24"/>
          <w:highlight w:val="none"/>
          <w:lang w:val="zh-CN"/>
        </w:rPr>
        <w:t>磋商小组认为供应商最后报价明显低于成本价，在磋商小组发出质询函后供应商未能提供合理的成本分析和价格构成的或对质函询的解释未被磋商小组采信的，应按照无效响应文件处理。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2.6比较与评价。由磋商小组采用综合评分法对提交最后报价的供应商的响应文件和最后报价进行综合评分，具体要求详见本章综合评分部分。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2.7推荐成交候选供应商。磋商小组应当根据综合评分情况，按照评审得分由高到低顺序推荐3家以上（本章2.3.1和2.5.2的情况除外）成交候选供应商，并编写磋商报告。评审得分相同的，优先选择不发达地区和少数民族地区供应商。若无不发达地区和少数民族地区供应商，按照最后报价由低到高的顺序推荐。评审得分且最后报价相同的，按照技术指标优劣顺序推荐。评审得分且最后报价且技术指标分项得分均相同的，成交候选供应商并列。</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2.9采购组织单位现场复核评审结果。</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（1）资格性审查认定错误的；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（2）分值汇总计算错误的；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（3）分项评分超出评分标准范围的；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（4）客观评分不一致的。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采购代理机构复核过程中，磋商小组成员不得离开评审现场。</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2.9.2有下列情形之一的，不得现场修改评审结果：</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（1）磋商小组已经出具磋商报告并且离开评审现场的；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（2）采购代理机构现场复核时，复核工作人员数量不足的；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（3）采购代理机构现场复核时，没有采购监督人员现场监督的；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（4）采购代理机构现场复核内容超出规定范围的；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（5）采购代理机构未提供书面建议的。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2.10编写磋商报告。磋商小组推荐成交候选供应商后，应向采购代理机构出具磋商报告。磋商报告应当包括以下主要内容：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（1）邀请供应商参加采购活动的具体方式和相关情况；</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（2）响应文件开启日期和地点；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（3）获取磋商文件的供应商名单和磋商小组成员名单；</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（4）评审情况记录和说明，包括对供应商的资格审查情况、供应商响应文件审查情况、磋商情况、报价情况等；</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（5）提出的成交候选供应商的排序名单及理由。</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2.12供应商澄清、说明</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2.13终止磋商采购活动。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出现下列情形之一的，采购人或者采购代理机构应当终止竞争性磋商采购活动，发布项目终止公告并说明原因，重新开展采购活动：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（1）因情况变化，不再符合规定的竞争性磋商采购方式适用情形的；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（3）除本章2.3.1和2.5.</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的情况外，在采购过程中符合要求的供应商或者报价未超过采购预算的供应商不足3家的。</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3.综合评分</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3.1本次综合评分的因素详3.3.3综合评分明细表。</w:t>
      </w:r>
    </w:p>
    <w:p>
      <w:pPr>
        <w:pageBreakBefore w:val="0"/>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3.2 除价格因素外，磋商小组成员应当根据自身专业情况独立对每个有效供应商的响应文件进行评价、打分。价格及其他不能明确区分的评分因素由磋商小组成员共同评分。</w:t>
      </w:r>
    </w:p>
    <w:p>
      <w:pPr>
        <w:pStyle w:val="13"/>
        <w:pageBreakBefore w:val="0"/>
        <w:tabs>
          <w:tab w:val="left" w:pos="60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3.3综合评分明细表</w:t>
      </w:r>
    </w:p>
    <w:p>
      <w:pPr>
        <w:pStyle w:val="13"/>
        <w:pageBreakBefore w:val="0"/>
        <w:tabs>
          <w:tab w:val="left" w:pos="60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3.3.1综合评分明细表的制定以科学合理、降低评委会自由裁量权为原则。</w:t>
      </w:r>
    </w:p>
    <w:p>
      <w:pPr>
        <w:pStyle w:val="13"/>
        <w:pageBreakBefore w:val="0"/>
        <w:tabs>
          <w:tab w:val="left" w:pos="600"/>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3.3.2 综合评分明细表中的报价应先按供应商须知附表中的相关要求进行价格调整，再进行报价评分。</w:t>
      </w:r>
    </w:p>
    <w:p>
      <w:pPr>
        <w:pStyle w:val="4"/>
        <w:keepNext w:val="0"/>
        <w:keepLines w:val="0"/>
        <w:pageBreakBefore w:val="0"/>
        <w:kinsoku/>
        <w:wordWrap/>
        <w:overflowPunct/>
        <w:topLinePunct w:val="0"/>
        <w:bidi w:val="0"/>
        <w:spacing w:before="0" w:after="0" w:line="360" w:lineRule="auto"/>
        <w:ind w:firstLine="480"/>
        <w:jc w:val="both"/>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3.3.3综合评分明细表</w:t>
      </w:r>
      <w:bookmarkEnd w:id="55"/>
    </w:p>
    <w:tbl>
      <w:tblPr>
        <w:tblStyle w:val="26"/>
        <w:tblpPr w:leftFromText="180" w:rightFromText="180" w:vertAnchor="text" w:horzAnchor="page" w:tblpX="1055" w:tblpY="375"/>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263"/>
        <w:gridCol w:w="817"/>
        <w:gridCol w:w="4809"/>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dxa"/>
            <w:noWrap w:val="0"/>
            <w:vAlign w:val="center"/>
          </w:tcPr>
          <w:p>
            <w:pPr>
              <w:keepNext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bookmarkStart w:id="104" w:name="PO_默认文件内容_27"/>
            <w:r>
              <w:rPr>
                <w:rFonts w:hint="eastAsia" w:ascii="宋体" w:hAnsi="宋体" w:eastAsia="宋体" w:cs="宋体"/>
                <w:sz w:val="21"/>
                <w:szCs w:val="21"/>
                <w:highlight w:val="none"/>
              </w:rPr>
              <w:t>序号</w:t>
            </w:r>
          </w:p>
        </w:tc>
        <w:tc>
          <w:tcPr>
            <w:tcW w:w="1263" w:type="dxa"/>
            <w:noWrap w:val="0"/>
            <w:vAlign w:val="center"/>
          </w:tcPr>
          <w:p>
            <w:pPr>
              <w:keepNext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p>
            <w:pPr>
              <w:keepNext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及权重</w:t>
            </w:r>
          </w:p>
        </w:tc>
        <w:tc>
          <w:tcPr>
            <w:tcW w:w="817" w:type="dxa"/>
            <w:noWrap w:val="0"/>
            <w:vAlign w:val="center"/>
          </w:tcPr>
          <w:p>
            <w:pPr>
              <w:keepNext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　值</w:t>
            </w:r>
          </w:p>
        </w:tc>
        <w:tc>
          <w:tcPr>
            <w:tcW w:w="4809" w:type="dxa"/>
            <w:noWrap w:val="0"/>
            <w:vAlign w:val="center"/>
          </w:tcPr>
          <w:p>
            <w:pPr>
              <w:keepNext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2187" w:type="dxa"/>
            <w:noWrap w:val="0"/>
            <w:vAlign w:val="center"/>
          </w:tcPr>
          <w:p>
            <w:pPr>
              <w:keepNext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63"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报价</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0%</w:t>
            </w:r>
          </w:p>
        </w:tc>
        <w:tc>
          <w:tcPr>
            <w:tcW w:w="817"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0</w:t>
            </w:r>
          </w:p>
        </w:tc>
        <w:tc>
          <w:tcPr>
            <w:tcW w:w="4809"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满足磋商文件要求且响应价格最低的响应报价为评审基准价，其价格分为满分。其他供应商的价格分统一按照下列公式计算：响应报价得分=(评审基准价／响应报价)* 10分</w:t>
            </w:r>
          </w:p>
        </w:tc>
        <w:tc>
          <w:tcPr>
            <w:tcW w:w="2187"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详见供应商须知前附表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63"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技术服务要求</w:t>
            </w:r>
            <w:r>
              <w:rPr>
                <w:rFonts w:hint="eastAsia" w:ascii="宋体" w:hAnsi="宋体" w:eastAsia="宋体" w:cs="宋体"/>
                <w:bCs/>
                <w:sz w:val="21"/>
                <w:szCs w:val="21"/>
                <w:highlight w:val="none"/>
                <w:lang w:val="en-US" w:eastAsia="zh-CN"/>
              </w:rPr>
              <w:t>22</w:t>
            </w:r>
            <w:r>
              <w:rPr>
                <w:rFonts w:hint="eastAsia" w:ascii="宋体" w:hAnsi="宋体" w:eastAsia="宋体" w:cs="宋体"/>
                <w:bCs/>
                <w:sz w:val="21"/>
                <w:szCs w:val="21"/>
                <w:highlight w:val="none"/>
              </w:rPr>
              <w:t>%</w:t>
            </w:r>
          </w:p>
        </w:tc>
        <w:tc>
          <w:tcPr>
            <w:tcW w:w="817"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22</w:t>
            </w:r>
          </w:p>
        </w:tc>
        <w:tc>
          <w:tcPr>
            <w:tcW w:w="4809"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完全满足竞争性磋商文件技术服务要求没有负偏离得2</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分：</w:t>
            </w:r>
          </w:p>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技术</w:t>
            </w:r>
            <w:r>
              <w:rPr>
                <w:rFonts w:hint="eastAsia" w:ascii="宋体" w:hAnsi="宋体" w:eastAsia="宋体" w:cs="宋体"/>
                <w:bCs/>
                <w:sz w:val="21"/>
                <w:szCs w:val="21"/>
                <w:highlight w:val="none"/>
                <w:lang w:val="en-US" w:eastAsia="zh-CN"/>
              </w:rPr>
              <w:t>服务要求</w:t>
            </w:r>
            <w:r>
              <w:rPr>
                <w:rFonts w:hint="eastAsia" w:ascii="宋体" w:hAnsi="宋体" w:eastAsia="宋体" w:cs="宋体"/>
                <w:bCs/>
                <w:sz w:val="21"/>
                <w:szCs w:val="21"/>
                <w:highlight w:val="none"/>
              </w:rPr>
              <w:t>（共</w:t>
            </w:r>
            <w:r>
              <w:rPr>
                <w:rFonts w:hint="eastAsia" w:ascii="宋体" w:hAnsi="宋体" w:eastAsia="宋体" w:cs="宋体"/>
                <w:bCs/>
                <w:sz w:val="21"/>
                <w:szCs w:val="21"/>
                <w:highlight w:val="none"/>
                <w:lang w:val="en-US" w:eastAsia="zh-CN"/>
              </w:rPr>
              <w:t>11</w:t>
            </w:r>
            <w:r>
              <w:rPr>
                <w:rFonts w:hint="eastAsia" w:ascii="宋体" w:hAnsi="宋体" w:eastAsia="宋体" w:cs="宋体"/>
                <w:bCs/>
                <w:sz w:val="21"/>
                <w:szCs w:val="21"/>
                <w:highlight w:val="none"/>
              </w:rPr>
              <w:t>条），一条不满足扣2分。扣完为止。</w:t>
            </w:r>
          </w:p>
        </w:tc>
        <w:tc>
          <w:tcPr>
            <w:tcW w:w="2187"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63"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管理机构运作方法及制度</w:t>
            </w:r>
            <w:r>
              <w:rPr>
                <w:rFonts w:hint="eastAsia" w:ascii="宋体" w:hAnsi="宋体" w:eastAsia="宋体" w:cs="宋体"/>
                <w:bCs/>
                <w:sz w:val="21"/>
                <w:szCs w:val="21"/>
                <w:highlight w:val="none"/>
                <w:lang w:val="en-US" w:eastAsia="zh-CN"/>
              </w:rPr>
              <w:t>12</w:t>
            </w:r>
            <w:r>
              <w:rPr>
                <w:rFonts w:hint="eastAsia" w:ascii="宋体" w:hAnsi="宋体" w:eastAsia="宋体" w:cs="宋体"/>
                <w:bCs/>
                <w:sz w:val="21"/>
                <w:szCs w:val="21"/>
                <w:highlight w:val="none"/>
              </w:rPr>
              <w:t>%</w:t>
            </w:r>
          </w:p>
        </w:tc>
        <w:tc>
          <w:tcPr>
            <w:tcW w:w="817"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12</w:t>
            </w:r>
          </w:p>
        </w:tc>
        <w:tc>
          <w:tcPr>
            <w:tcW w:w="4809"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对供应商管理机构运作方法及制度（包含：①管理机构日常运作、②工作职能组织运行、③内部管理的职责分工、④日常管理制度和考核办法）进行评审：</w:t>
            </w:r>
            <w:r>
              <w:rPr>
                <w:rFonts w:hint="eastAsia" w:ascii="宋体" w:hAnsi="宋体" w:eastAsia="宋体" w:cs="宋体"/>
                <w:bCs/>
                <w:sz w:val="21"/>
                <w:szCs w:val="21"/>
                <w:highlight w:val="none"/>
                <w:lang w:val="en-US" w:eastAsia="zh-CN"/>
              </w:rPr>
              <w:t>方案包含以上内容得12分；每缺少一项内容扣3分，方案中每有一处缺陷的扣1.5分；扣完为止。未提供方案的不得分。</w:t>
            </w:r>
          </w:p>
        </w:tc>
        <w:tc>
          <w:tcPr>
            <w:tcW w:w="2187" w:type="dxa"/>
            <w:vMerge w:val="restart"/>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sz w:val="21"/>
                <w:szCs w:val="21"/>
                <w:highlight w:val="none"/>
              </w:rPr>
            </w:pPr>
            <w:r>
              <w:rPr>
                <w:rFonts w:hint="eastAsia" w:ascii="宋体" w:hAnsi="宋体" w:eastAsia="宋体" w:cs="宋体"/>
                <w:b w:val="0"/>
                <w:kern w:val="2"/>
                <w:sz w:val="21"/>
                <w:szCs w:val="21"/>
                <w:highlight w:val="none"/>
                <w:lang w:val="en-US" w:eastAsia="zh-CN" w:bidi="ar-SA"/>
              </w:rPr>
              <w:t>每有一项内容存在缺陷（缺陷是指：分析内容与实际情况不符或内容前后不一致或前后逻辑错误或描述简略或不符合采购需求等）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63"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现状分析</w:t>
            </w:r>
            <w:r>
              <w:rPr>
                <w:rFonts w:hint="eastAsia" w:ascii="宋体" w:hAnsi="宋体" w:eastAsia="宋体" w:cs="宋体"/>
                <w:bCs/>
                <w:sz w:val="21"/>
                <w:szCs w:val="21"/>
                <w:highlight w:val="none"/>
                <w:lang w:val="en-US" w:eastAsia="zh-CN"/>
              </w:rPr>
              <w:t>12</w:t>
            </w:r>
            <w:r>
              <w:rPr>
                <w:rFonts w:hint="eastAsia" w:ascii="宋体" w:hAnsi="宋体" w:eastAsia="宋体" w:cs="宋体"/>
                <w:bCs/>
                <w:sz w:val="21"/>
                <w:szCs w:val="21"/>
                <w:highlight w:val="none"/>
              </w:rPr>
              <w:t>%</w:t>
            </w:r>
          </w:p>
        </w:tc>
        <w:tc>
          <w:tcPr>
            <w:tcW w:w="817"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12</w:t>
            </w:r>
          </w:p>
        </w:tc>
        <w:tc>
          <w:tcPr>
            <w:tcW w:w="4809"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对供应商提供</w:t>
            </w:r>
            <w:r>
              <w:rPr>
                <w:rFonts w:hint="eastAsia" w:ascii="宋体" w:hAnsi="宋体" w:eastAsia="宋体" w:cs="宋体"/>
                <w:bCs/>
                <w:color w:val="auto"/>
                <w:sz w:val="21"/>
                <w:szCs w:val="21"/>
                <w:highlight w:val="none"/>
              </w:rPr>
              <w:t>的现状分析（包含：①本项目涉及的法律法规、②本项目服务区域的现场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③本项目服务的难点及解决方案、④供应商自身参与本</w:t>
            </w:r>
            <w:r>
              <w:rPr>
                <w:rFonts w:hint="eastAsia" w:ascii="宋体" w:hAnsi="宋体" w:eastAsia="宋体" w:cs="宋体"/>
                <w:bCs/>
                <w:sz w:val="21"/>
                <w:szCs w:val="21"/>
                <w:highlight w:val="none"/>
              </w:rPr>
              <w:t>项目的优势）进行评审：</w:t>
            </w:r>
            <w:r>
              <w:rPr>
                <w:rFonts w:hint="eastAsia" w:ascii="宋体" w:hAnsi="宋体" w:eastAsia="宋体" w:cs="宋体"/>
                <w:bCs/>
                <w:sz w:val="21"/>
                <w:szCs w:val="21"/>
                <w:highlight w:val="none"/>
                <w:lang w:val="en-US" w:eastAsia="zh-CN"/>
              </w:rPr>
              <w:t>方案包含以上内容得12分；每缺少一项内容扣3分，方案中每有一处缺陷的扣1.5分；扣完为止。未提供方案的不得分。</w:t>
            </w:r>
          </w:p>
        </w:tc>
        <w:tc>
          <w:tcPr>
            <w:tcW w:w="2187" w:type="dxa"/>
            <w:vMerge w:val="continue"/>
            <w:noWrap w:val="0"/>
            <w:vAlign w:val="center"/>
          </w:tcPr>
          <w:p>
            <w:pPr>
              <w:keepNext w:val="0"/>
              <w:keepLines/>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263"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资源配置方案</w:t>
            </w:r>
            <w:r>
              <w:rPr>
                <w:rFonts w:hint="eastAsia" w:ascii="宋体" w:hAnsi="宋体" w:eastAsia="宋体" w:cs="宋体"/>
                <w:bCs/>
                <w:sz w:val="21"/>
                <w:szCs w:val="21"/>
                <w:highlight w:val="none"/>
                <w:lang w:val="en-US" w:eastAsia="zh-CN"/>
              </w:rPr>
              <w:t>12</w:t>
            </w:r>
            <w:r>
              <w:rPr>
                <w:rFonts w:hint="eastAsia" w:ascii="宋体" w:hAnsi="宋体" w:eastAsia="宋体" w:cs="宋体"/>
                <w:bCs/>
                <w:sz w:val="21"/>
                <w:szCs w:val="21"/>
                <w:highlight w:val="none"/>
              </w:rPr>
              <w:t>%</w:t>
            </w:r>
          </w:p>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p>
        </w:tc>
        <w:tc>
          <w:tcPr>
            <w:tcW w:w="817"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lang w:val="en-US"/>
              </w:rPr>
            </w:pPr>
            <w:r>
              <w:rPr>
                <w:rFonts w:hint="eastAsia" w:ascii="宋体" w:hAnsi="宋体" w:eastAsia="宋体" w:cs="宋体"/>
                <w:bCs/>
                <w:sz w:val="21"/>
                <w:szCs w:val="21"/>
                <w:highlight w:val="none"/>
                <w:lang w:val="en-US" w:eastAsia="zh-CN"/>
              </w:rPr>
              <w:t>12</w:t>
            </w:r>
          </w:p>
        </w:tc>
        <w:tc>
          <w:tcPr>
            <w:tcW w:w="4809"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对供应商提供的资源配置方案（包含：①人员配置方案、②岗位配置方案、③人员组织协调方案、④设备配置方案）进行评审：</w:t>
            </w:r>
            <w:r>
              <w:rPr>
                <w:rFonts w:hint="eastAsia" w:ascii="宋体" w:hAnsi="宋体" w:eastAsia="宋体" w:cs="宋体"/>
                <w:bCs/>
                <w:sz w:val="21"/>
                <w:szCs w:val="21"/>
                <w:highlight w:val="none"/>
                <w:lang w:val="en-US" w:eastAsia="zh-CN"/>
              </w:rPr>
              <w:t>方案包含以上内容得12分；每缺少一项内容扣3分，方案中每有一处缺陷的扣1.5分；扣完为止。未提供方案的不得分。</w:t>
            </w:r>
          </w:p>
        </w:tc>
        <w:tc>
          <w:tcPr>
            <w:tcW w:w="2187" w:type="dxa"/>
            <w:vMerge w:val="continue"/>
            <w:noWrap w:val="0"/>
            <w:vAlign w:val="center"/>
          </w:tcPr>
          <w:p>
            <w:pPr>
              <w:keepNext w:val="0"/>
              <w:keepLines/>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263"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项目保密制度</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rPr>
              <w:t>%</w:t>
            </w:r>
          </w:p>
        </w:tc>
        <w:tc>
          <w:tcPr>
            <w:tcW w:w="817"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w:t>
            </w:r>
          </w:p>
        </w:tc>
        <w:tc>
          <w:tcPr>
            <w:tcW w:w="4809"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对供应商提供的项目保密制度（包含：①保密内容、②保密等级划分、③泄密惩罚措施）</w:t>
            </w:r>
            <w:r>
              <w:rPr>
                <w:rFonts w:hint="eastAsia" w:ascii="宋体" w:hAnsi="宋体" w:eastAsia="宋体" w:cs="宋体"/>
                <w:bCs/>
                <w:sz w:val="21"/>
                <w:szCs w:val="21"/>
                <w:highlight w:val="none"/>
                <w:lang w:val="en-US" w:eastAsia="zh-CN"/>
              </w:rPr>
              <w:t>方案包含以上内容得9分；每缺少一项内容扣3分，方案中每有一处缺陷的扣1.5分；扣完为止。未提供方案的不得分。</w:t>
            </w:r>
          </w:p>
        </w:tc>
        <w:tc>
          <w:tcPr>
            <w:tcW w:w="2187" w:type="dxa"/>
            <w:vMerge w:val="continue"/>
            <w:noWrap w:val="0"/>
            <w:vAlign w:val="center"/>
          </w:tcPr>
          <w:p>
            <w:pPr>
              <w:keepNext w:val="0"/>
              <w:keepLines/>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263"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安全应急方案</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w:t>
            </w:r>
          </w:p>
        </w:tc>
        <w:tc>
          <w:tcPr>
            <w:tcW w:w="817"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4809"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对供应商提供的安全应急方案（包含：①人员安全培训、②遇到突发事件处理）</w:t>
            </w:r>
            <w:r>
              <w:rPr>
                <w:rFonts w:hint="eastAsia" w:ascii="宋体" w:hAnsi="宋体" w:eastAsia="宋体" w:cs="宋体"/>
                <w:bCs/>
                <w:sz w:val="21"/>
                <w:szCs w:val="21"/>
                <w:highlight w:val="none"/>
                <w:lang w:val="en-US" w:eastAsia="zh-CN"/>
              </w:rPr>
              <w:t>方案包含以上内容得7分；每缺少一项内容扣3.5分，方案中每有一处缺陷的扣1.5分；扣完为止。未提供方案的不得分。</w:t>
            </w:r>
          </w:p>
        </w:tc>
        <w:tc>
          <w:tcPr>
            <w:tcW w:w="2187" w:type="dxa"/>
            <w:vMerge w:val="continue"/>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263"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履约能力</w:t>
            </w:r>
            <w:r>
              <w:rPr>
                <w:rFonts w:hint="eastAsia" w:ascii="宋体" w:hAnsi="宋体" w:eastAsia="宋体" w:cs="宋体"/>
                <w:bCs/>
                <w:sz w:val="21"/>
                <w:szCs w:val="21"/>
                <w:highlight w:val="none"/>
                <w:lang w:val="en-US" w:eastAsia="zh-CN"/>
              </w:rPr>
              <w:t>16%</w:t>
            </w:r>
          </w:p>
        </w:tc>
        <w:tc>
          <w:tcPr>
            <w:tcW w:w="817"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16</w:t>
            </w:r>
          </w:p>
        </w:tc>
        <w:tc>
          <w:tcPr>
            <w:tcW w:w="4809"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1、供应商针对本项目所配备的具有“国有土地房屋征收与补偿条例培训结业证书”的专业人员达6人的得6分，</w:t>
            </w:r>
            <w:r>
              <w:rPr>
                <w:rFonts w:hint="eastAsia" w:ascii="宋体" w:hAnsi="宋体" w:eastAsia="宋体" w:cs="宋体"/>
                <w:bCs/>
                <w:sz w:val="21"/>
                <w:szCs w:val="21"/>
                <w:highlight w:val="none"/>
                <w:lang w:val="en-US" w:eastAsia="zh-CN"/>
              </w:rPr>
              <w:t>在此基础上</w:t>
            </w:r>
            <w:r>
              <w:rPr>
                <w:rFonts w:hint="eastAsia" w:ascii="宋体" w:hAnsi="宋体" w:eastAsia="宋体" w:cs="宋体"/>
                <w:bCs/>
                <w:sz w:val="21"/>
                <w:szCs w:val="21"/>
                <w:highlight w:val="none"/>
              </w:rPr>
              <w:t>每增加1人加1分，最多加6分，本项最多得12分。（提供专业人员身份证明材料复印件加盖公章及证书复印件加盖公章）</w:t>
            </w:r>
          </w:p>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2、供应商2017年1月1日（含）以来具有</w:t>
            </w:r>
            <w:r>
              <w:rPr>
                <w:rFonts w:hint="eastAsia" w:ascii="宋体" w:hAnsi="宋体" w:eastAsia="宋体" w:cs="宋体"/>
                <w:bCs/>
                <w:sz w:val="21"/>
                <w:szCs w:val="21"/>
                <w:highlight w:val="none"/>
                <w:lang w:val="en-US" w:eastAsia="zh-CN"/>
              </w:rPr>
              <w:t>类似</w:t>
            </w:r>
            <w:r>
              <w:rPr>
                <w:rFonts w:hint="eastAsia" w:ascii="宋体" w:hAnsi="宋体" w:eastAsia="宋体" w:cs="宋体"/>
                <w:bCs/>
                <w:sz w:val="21"/>
                <w:szCs w:val="21"/>
                <w:highlight w:val="none"/>
              </w:rPr>
              <w:t>业绩</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类似业绩指：征地补偿工作辅助性服务</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的，每提供一个得</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分，本项最多得</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分，未提供不得分。（提供合同复印件加盖公章）</w:t>
            </w:r>
          </w:p>
        </w:tc>
        <w:tc>
          <w:tcPr>
            <w:tcW w:w="2187" w:type="dxa"/>
            <w:noWrap w:val="0"/>
            <w:vAlign w:val="center"/>
          </w:tcPr>
          <w:p>
            <w:pPr>
              <w:keepNext w:val="0"/>
              <w:pageBreakBefore w:val="0"/>
              <w:widowControl w:val="0"/>
              <w:kinsoku/>
              <w:wordWrap/>
              <w:overflowPunct/>
              <w:topLinePunct w:val="0"/>
              <w:autoSpaceDE/>
              <w:autoSpaceDN/>
              <w:bidi w:val="0"/>
              <w:adjustRightInd/>
              <w:snapToGrid/>
              <w:spacing w:line="320" w:lineRule="exact"/>
              <w:ind w:left="28" w:firstLine="0" w:firstLineChars="0"/>
              <w:textAlignment w:val="auto"/>
              <w:rPr>
                <w:rFonts w:hint="eastAsia" w:ascii="宋体" w:hAnsi="宋体" w:eastAsia="宋体" w:cs="宋体"/>
                <w:sz w:val="21"/>
                <w:szCs w:val="21"/>
                <w:highlight w:val="none"/>
              </w:rPr>
            </w:pPr>
          </w:p>
        </w:tc>
      </w:tr>
    </w:tbl>
    <w:p>
      <w:pPr>
        <w:pageBreakBefore w:val="0"/>
        <w:kinsoku/>
        <w:wordWrap/>
        <w:overflowPunct/>
        <w:topLinePunct w:val="0"/>
        <w:bidi w:val="0"/>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注：评分的取值按四舍五入法，保留小数点后两位。</w:t>
      </w:r>
      <w:bookmarkEnd w:id="98"/>
      <w:bookmarkEnd w:id="99"/>
      <w:bookmarkEnd w:id="100"/>
      <w:bookmarkEnd w:id="101"/>
    </w:p>
    <w:p>
      <w:pPr>
        <w:pageBreakBefore w:val="0"/>
        <w:tabs>
          <w:tab w:val="left" w:pos="851"/>
        </w:tabs>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4.磋商纪律及注意事项</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4.1磋商小组内部讨论的情况和意见必须保密，任何人不得以任何形式透露给供应商或与供应商有关的单位或个人。</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4.2在磋商过程中，供应商不得以任何形式对磋商小组成员进行旨在影响磋商结果的私下接触，否则将取消其参与磋商的资格。</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4.3对各供应商的商业秘密，磋商小组成员应予以保密，不得泄露给其他供应商。</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4.4 磋商小组独立评判，推荐成交候选人，并写出书面报告。</w:t>
      </w:r>
    </w:p>
    <w:p>
      <w:pPr>
        <w:pageBreakBefore w:val="0"/>
        <w:tabs>
          <w:tab w:val="left" w:pos="851"/>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4.5 磋商小组可根据需要对供应商进行实地考察。</w:t>
      </w:r>
    </w:p>
    <w:p>
      <w:pPr>
        <w:pageBreakBefore w:val="0"/>
        <w:tabs>
          <w:tab w:val="left" w:pos="7665"/>
        </w:tabs>
        <w:kinsoku/>
        <w:wordWrap/>
        <w:overflowPunct/>
        <w:topLinePunct w:val="0"/>
        <w:bidi w:val="0"/>
        <w:spacing w:line="360" w:lineRule="auto"/>
        <w:ind w:firstLine="480"/>
        <w:rPr>
          <w:rFonts w:hint="eastAsia" w:ascii="宋体" w:hAnsi="宋体" w:eastAsia="宋体" w:cs="宋体"/>
          <w:b/>
          <w:sz w:val="24"/>
          <w:szCs w:val="24"/>
          <w:highlight w:val="none"/>
        </w:rPr>
      </w:pPr>
      <w:r>
        <w:rPr>
          <w:rFonts w:hint="eastAsia" w:ascii="宋体" w:hAnsi="宋体" w:eastAsia="宋体" w:cs="宋体"/>
          <w:sz w:val="24"/>
          <w:szCs w:val="24"/>
          <w:highlight w:val="none"/>
        </w:rPr>
        <w:t>5.</w:t>
      </w:r>
      <w:bookmarkEnd w:id="102"/>
      <w:r>
        <w:rPr>
          <w:rFonts w:hint="eastAsia" w:ascii="宋体" w:hAnsi="宋体" w:eastAsia="宋体" w:cs="宋体"/>
          <w:b/>
          <w:sz w:val="24"/>
          <w:szCs w:val="24"/>
          <w:highlight w:val="none"/>
        </w:rPr>
        <w:t>磋商小组在政府采购活动中承担以下义务：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（一）遵守评审工作纪律；</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（二）按照客观、公正、审慎的原则，根据磋商文件规定的评审程序、评审方法和评审标准进行独立评审；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（三）不得泄露评审文件、评审情况和在评审过程中获悉的商业秘密；</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（四）及时向财政部门报告评审过程中发现的采购人、采购代理机构向评审专家做倾向性、误导性的解释或者说明，以及供应商行贿、提供虚假材料或者串通等违法行为；</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（五）发现磋商文件内容违反国家有关强制性规定或者磋商文件存在歧义、重大缺陷导致评审工作无法进行时，停止评审并向采购人或者采购代理机构书面说明情况；</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（六）及时向财政、监察等部门举报在评审过程中受到非法干预的情况；</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（七）配合答复处理供应商的询问、质疑和投诉等事项；</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（八）法律、法规和规章规定的其他义务。</w:t>
      </w:r>
    </w:p>
    <w:p>
      <w:pPr>
        <w:pageBreakBefore w:val="0"/>
        <w:tabs>
          <w:tab w:val="left" w:pos="7665"/>
        </w:tabs>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6.评审专家在政府采购活动中应当遵守以下工作纪律：</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（一）不得参加与自己有《中华人民共和国政府采购法实施条例》第九条规定的利害关系的政府采购项目的评审活动。发现参加了与自己有利害关系的评审活动，须主动提出回避，退出评审；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（二）评审前，应当将通讯工具或者相关电子设备交由采购代理机构统一保管；</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（三）评审过程中，不得与外界联系，因发生不可预见情况，确实需要与外界联系的，应当在监督人员监督之下办理；</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（五）在评审过程中和评审结束后，不得记录、复制或带走任何评审资料，不得向外界透露评审内容；</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（六）评审现场服从采购代理机构工作人员的管理，接受现场监督人员的合法监督；</w:t>
      </w:r>
    </w:p>
    <w:p>
      <w:pPr>
        <w:pageBreakBefore w:val="0"/>
        <w:tabs>
          <w:tab w:val="left" w:pos="7665"/>
        </w:tabs>
        <w:kinsoku/>
        <w:wordWrap/>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（七）遵守有关廉洁自律规定，不得私下接触供应商，不得收受供应商及有关业务单位和个人的财物或好处，不得接受采购代理机构的请托。</w:t>
      </w:r>
    </w:p>
    <w:p>
      <w:pPr>
        <w:pStyle w:val="23"/>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8"/>
          <w:szCs w:val="28"/>
          <w:highlight w:val="none"/>
        </w:rPr>
        <w:br w:type="page"/>
      </w:r>
      <w:bookmarkStart w:id="105" w:name="_Toc509579148"/>
      <w:bookmarkStart w:id="106" w:name="_Toc27514"/>
      <w:r>
        <w:rPr>
          <w:rFonts w:hint="eastAsia" w:ascii="宋体" w:hAnsi="宋体" w:eastAsia="宋体" w:cs="宋体"/>
          <w:sz w:val="24"/>
          <w:szCs w:val="24"/>
          <w:highlight w:val="none"/>
        </w:rPr>
        <w:t>第九章</w:t>
      </w:r>
      <w:bookmarkEnd w:id="88"/>
      <w:bookmarkEnd w:id="89"/>
      <w:bookmarkEnd w:id="90"/>
      <w:bookmarkEnd w:id="104"/>
      <w:bookmarkEnd w:id="105"/>
      <w:r>
        <w:rPr>
          <w:rFonts w:hint="eastAsia" w:ascii="宋体" w:hAnsi="宋体" w:eastAsia="宋体" w:cs="宋体"/>
          <w:sz w:val="24"/>
          <w:szCs w:val="24"/>
          <w:highlight w:val="none"/>
        </w:rPr>
        <w:t xml:space="preserve">  </w:t>
      </w:r>
      <w:bookmarkEnd w:id="106"/>
      <w:r>
        <w:rPr>
          <w:rFonts w:hint="eastAsia" w:ascii="宋体" w:hAnsi="宋体" w:eastAsia="宋体" w:cs="宋体"/>
          <w:sz w:val="24"/>
          <w:szCs w:val="24"/>
          <w:highlight w:val="none"/>
        </w:rPr>
        <w:t>政府采购合同（草案）</w:t>
      </w:r>
    </w:p>
    <w:p>
      <w:pPr>
        <w:rPr>
          <w:rFonts w:hint="eastAsia"/>
          <w:highlight w:val="none"/>
        </w:rPr>
      </w:pPr>
    </w:p>
    <w:p>
      <w:pPr>
        <w:pageBreakBefore w:val="0"/>
        <w:kinsoku/>
        <w:wordWrap/>
        <w:overflowPunct/>
        <w:topLinePunct w:val="0"/>
        <w:autoSpaceDE w:val="0"/>
        <w:autoSpaceDN w:val="0"/>
        <w:bidi w:val="0"/>
        <w:adjustRightInd w:val="0"/>
        <w:snapToGrid w:val="0"/>
        <w:spacing w:beforeAutospacing="0" w:line="480" w:lineRule="auto"/>
        <w:ind w:firstLine="0" w:firstLineChars="0"/>
        <w:jc w:val="center"/>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rPr>
        <w:t>（可根据项目具体情况科学合理调整）</w:t>
      </w:r>
    </w:p>
    <w:p>
      <w:pPr>
        <w:pageBreakBefore w:val="0"/>
        <w:kinsoku/>
        <w:wordWrap/>
        <w:overflowPunct/>
        <w:topLinePunct w:val="0"/>
        <w:bidi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合同编号：XXXX。</w:t>
      </w:r>
    </w:p>
    <w:p>
      <w:pPr>
        <w:pageBreakBefore w:val="0"/>
        <w:kinsoku/>
        <w:wordWrap/>
        <w:overflowPunct/>
        <w:topLinePunct w:val="0"/>
        <w:bidi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签订地点：XXXX。</w:t>
      </w:r>
    </w:p>
    <w:p>
      <w:pPr>
        <w:pageBreakBefore w:val="0"/>
        <w:kinsoku/>
        <w:wordWrap/>
        <w:overflowPunct/>
        <w:topLinePunct w:val="0"/>
        <w:bidi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签订时间：XXXX年XX月XX日。</w:t>
      </w:r>
    </w:p>
    <w:p>
      <w:pPr>
        <w:pageBreakBefore w:val="0"/>
        <w:kinsoku/>
        <w:wordWrap/>
        <w:overflowPunct/>
        <w:topLinePunct w:val="0"/>
        <w:bidi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采购人（甲方）：</w:t>
      </w:r>
    </w:p>
    <w:p>
      <w:pPr>
        <w:pageBreakBefore w:val="0"/>
        <w:kinsoku/>
        <w:wordWrap/>
        <w:overflowPunct/>
        <w:topLinePunct w:val="0"/>
        <w:bidi w:val="0"/>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供应商（乙方）：</w:t>
      </w:r>
    </w:p>
    <w:p>
      <w:pPr>
        <w:pageBreakBefore w:val="0"/>
        <w:kinsoku/>
        <w:wordWrap/>
        <w:overflowPunct/>
        <w:topLinePunct w:val="0"/>
        <w:bidi w:val="0"/>
        <w:spacing w:line="480" w:lineRule="auto"/>
        <w:ind w:firstLine="0" w:firstLineChars="0"/>
        <w:rPr>
          <w:rFonts w:hint="eastAsia" w:ascii="宋体" w:hAnsi="宋体" w:eastAsia="宋体" w:cs="宋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根据《中华人民共和国政府采购法》、《中华人民共和国</w:t>
      </w:r>
      <w:r>
        <w:rPr>
          <w:rFonts w:hint="eastAsia" w:ascii="宋体" w:hAnsi="宋体" w:cs="宋体"/>
          <w:kern w:val="0"/>
          <w:sz w:val="24"/>
          <w:szCs w:val="24"/>
          <w:highlight w:val="none"/>
          <w:lang w:eastAsia="zh-CN"/>
        </w:rPr>
        <w:t>民法典</w:t>
      </w:r>
      <w:r>
        <w:rPr>
          <w:rFonts w:hint="eastAsia" w:ascii="宋体" w:hAnsi="宋体" w:eastAsia="宋体" w:cs="宋体"/>
          <w:kern w:val="0"/>
          <w:sz w:val="24"/>
          <w:szCs w:val="24"/>
          <w:highlight w:val="none"/>
        </w:rPr>
        <w:t>》及XXXX采购项目（项目编号：XX）的《磋商文件》、乙方的《响应文件》及《</w:t>
      </w:r>
      <w:r>
        <w:rPr>
          <w:rFonts w:hint="eastAsia" w:ascii="宋体" w:hAnsi="宋体" w:eastAsia="宋体" w:cs="宋体"/>
          <w:kern w:val="0"/>
          <w:sz w:val="24"/>
          <w:szCs w:val="24"/>
          <w:highlight w:val="none"/>
          <w:lang w:val="en-US" w:eastAsia="zh-CN"/>
        </w:rPr>
        <w:t>成交</w:t>
      </w:r>
      <w:r>
        <w:rPr>
          <w:rFonts w:hint="eastAsia" w:ascii="宋体" w:hAnsi="宋体" w:eastAsia="宋体" w:cs="宋体"/>
          <w:kern w:val="0"/>
          <w:sz w:val="24"/>
          <w:szCs w:val="24"/>
          <w:highlight w:val="none"/>
        </w:rPr>
        <w:t>通知书》，甲、乙双方同意签订本合同。详细技术说明及其他有关合同项目的特定信息由合同附件予以说明，合同附件及本项目的磋商文件、响应文件、《</w:t>
      </w:r>
      <w:r>
        <w:rPr>
          <w:rFonts w:hint="eastAsia" w:ascii="宋体" w:hAnsi="宋体" w:eastAsia="宋体" w:cs="宋体"/>
          <w:kern w:val="0"/>
          <w:sz w:val="24"/>
          <w:szCs w:val="24"/>
          <w:highlight w:val="none"/>
          <w:lang w:val="en-US" w:eastAsia="zh-CN"/>
        </w:rPr>
        <w:t>成交</w:t>
      </w:r>
      <w:r>
        <w:rPr>
          <w:rFonts w:hint="eastAsia" w:ascii="宋体" w:hAnsi="宋体" w:eastAsia="宋体" w:cs="宋体"/>
          <w:kern w:val="0"/>
          <w:sz w:val="24"/>
          <w:szCs w:val="24"/>
          <w:highlight w:val="none"/>
        </w:rPr>
        <w:t>通知书》等均为本合同不可分割的部分。双方同意共同遵守如下条款：</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bookmarkStart w:id="107" w:name="_Toc217446115"/>
      <w:r>
        <w:rPr>
          <w:rFonts w:hint="eastAsia" w:ascii="宋体" w:hAnsi="宋体" w:eastAsia="宋体" w:cs="宋体"/>
          <w:b/>
          <w:kern w:val="0"/>
          <w:sz w:val="24"/>
          <w:szCs w:val="24"/>
          <w:highlight w:val="none"/>
        </w:rPr>
        <w:t>项目基本情况</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合同期限</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bookmarkStart w:id="108" w:name="_Toc211911348"/>
      <w:bookmarkStart w:id="109" w:name="_Toc225244852"/>
      <w:bookmarkStart w:id="110" w:name="_Toc283019214"/>
      <w:bookmarkStart w:id="111" w:name="_Toc251768862"/>
      <w:bookmarkStart w:id="112" w:name="_Toc239568418"/>
      <w:bookmarkStart w:id="113" w:name="_Toc286993786"/>
      <w:bookmarkStart w:id="114" w:name="_Toc239233914"/>
      <w:bookmarkStart w:id="115" w:name="_Toc247334841"/>
      <w:bookmarkStart w:id="116" w:name="_Toc237145406"/>
      <w:bookmarkStart w:id="117" w:name="_Toc211854449"/>
      <w:bookmarkStart w:id="118" w:name="_Toc185395249"/>
      <w:bookmarkStart w:id="119" w:name="_Toc225670751"/>
      <w:bookmarkStart w:id="120" w:name="_Toc238984975"/>
      <w:bookmarkStart w:id="121" w:name="_Toc241833903"/>
      <w:bookmarkStart w:id="122" w:name="_Toc225654644"/>
      <w:bookmarkStart w:id="123" w:name="_Toc282696226"/>
      <w:bookmarkStart w:id="124" w:name="_Toc232492928"/>
      <w:bookmarkStart w:id="125" w:name="_Toc212019594"/>
      <w:r>
        <w:rPr>
          <w:rFonts w:hint="eastAsia" w:ascii="宋体" w:hAnsi="宋体" w:eastAsia="宋体" w:cs="宋体"/>
          <w:b/>
          <w:kern w:val="0"/>
          <w:sz w:val="24"/>
          <w:szCs w:val="24"/>
          <w:highlight w:val="none"/>
        </w:rPr>
        <w:t>服务内容与质量标准</w:t>
      </w:r>
    </w:p>
    <w:p>
      <w:pPr>
        <w:keepNext w:val="0"/>
        <w:keepLines w:val="0"/>
        <w:pageBreakBefore w:val="0"/>
        <w:widowControl w:val="0"/>
        <w:kinsoku/>
        <w:wordWrap/>
        <w:overflowPunct/>
        <w:topLinePunct w:val="0"/>
        <w:autoSpaceDE/>
        <w:autoSpaceDN/>
        <w:bidi w:val="0"/>
        <w:snapToGrid/>
        <w:spacing w:line="360" w:lineRule="auto"/>
        <w:ind w:firstLine="48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p>
      <w:pPr>
        <w:keepNext w:val="0"/>
        <w:keepLines w:val="0"/>
        <w:pageBreakBefore w:val="0"/>
        <w:widowControl w:val="0"/>
        <w:kinsoku/>
        <w:wordWrap/>
        <w:overflowPunct/>
        <w:topLinePunct w:val="0"/>
        <w:autoSpaceDE/>
        <w:autoSpaceDN/>
        <w:bidi w:val="0"/>
        <w:snapToGrid/>
        <w:spacing w:line="360" w:lineRule="auto"/>
        <w:ind w:firstLine="48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p>
      <w:pPr>
        <w:keepNext w:val="0"/>
        <w:keepLines w:val="0"/>
        <w:pageBreakBefore w:val="0"/>
        <w:widowControl w:val="0"/>
        <w:kinsoku/>
        <w:wordWrap/>
        <w:overflowPunct/>
        <w:topLinePunct w:val="0"/>
        <w:autoSpaceDE/>
        <w:autoSpaceDN/>
        <w:bidi w:val="0"/>
        <w:snapToGrid/>
        <w:spacing w:line="360" w:lineRule="auto"/>
        <w:ind w:firstLine="48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p>
      <w:pPr>
        <w:keepNext w:val="0"/>
        <w:keepLines w:val="0"/>
        <w:pageBreakBefore w:val="0"/>
        <w:widowControl w:val="0"/>
        <w:kinsoku/>
        <w:wordWrap/>
        <w:overflowPunct/>
        <w:topLinePunct w:val="0"/>
        <w:autoSpaceDE/>
        <w:autoSpaceDN/>
        <w:bidi w:val="0"/>
        <w:snapToGrid/>
        <w:spacing w:line="360" w:lineRule="auto"/>
        <w:ind w:firstLine="63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服务费用及支付方式</w:t>
      </w:r>
    </w:p>
    <w:p>
      <w:pPr>
        <w:keepNext w:val="0"/>
        <w:keepLines w:val="0"/>
        <w:pageBreakBefore w:val="0"/>
        <w:widowControl w:val="0"/>
        <w:numPr>
          <w:ilvl w:val="0"/>
          <w:numId w:val="10"/>
        </w:numPr>
        <w:kinsoku/>
        <w:wordWrap/>
        <w:overflowPunct/>
        <w:topLinePunct w:val="0"/>
        <w:autoSpaceDE/>
        <w:autoSpaceDN/>
        <w:bidi w:val="0"/>
        <w:snapToGrid/>
        <w:spacing w:line="360" w:lineRule="auto"/>
        <w:ind w:left="0" w:firstLine="567"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本项目服务费用由以下组成：</w:t>
      </w:r>
    </w:p>
    <w:p>
      <w:pPr>
        <w:keepNext w:val="0"/>
        <w:keepLines w:val="0"/>
        <w:pageBreakBefore w:val="0"/>
        <w:widowControl w:val="0"/>
        <w:numPr>
          <w:ilvl w:val="0"/>
          <w:numId w:val="11"/>
        </w:numPr>
        <w:kinsoku/>
        <w:wordWrap/>
        <w:overflowPunct/>
        <w:topLinePunct w:val="0"/>
        <w:autoSpaceDE/>
        <w:autoSpaceDN/>
        <w:bidi w:val="0"/>
        <w:snapToGrid/>
        <w:spacing w:line="360" w:lineRule="auto"/>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万元；</w:t>
      </w:r>
    </w:p>
    <w:p>
      <w:pPr>
        <w:keepNext w:val="0"/>
        <w:keepLines w:val="0"/>
        <w:pageBreakBefore w:val="0"/>
        <w:widowControl w:val="0"/>
        <w:numPr>
          <w:ilvl w:val="0"/>
          <w:numId w:val="11"/>
        </w:numPr>
        <w:kinsoku/>
        <w:wordWrap/>
        <w:overflowPunct/>
        <w:topLinePunct w:val="0"/>
        <w:autoSpaceDE/>
        <w:autoSpaceDN/>
        <w:bidi w:val="0"/>
        <w:snapToGrid/>
        <w:spacing w:line="360" w:lineRule="auto"/>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万元；</w:t>
      </w:r>
    </w:p>
    <w:p>
      <w:pPr>
        <w:keepNext w:val="0"/>
        <w:keepLines w:val="0"/>
        <w:pageBreakBefore w:val="0"/>
        <w:widowControl w:val="0"/>
        <w:numPr>
          <w:ilvl w:val="0"/>
          <w:numId w:val="11"/>
        </w:numPr>
        <w:kinsoku/>
        <w:wordWrap/>
        <w:overflowPunct/>
        <w:topLinePunct w:val="0"/>
        <w:autoSpaceDE/>
        <w:autoSpaceDN/>
        <w:bidi w:val="0"/>
        <w:snapToGrid/>
        <w:spacing w:line="360" w:lineRule="auto"/>
        <w:ind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万元。</w:t>
      </w:r>
    </w:p>
    <w:p>
      <w:pPr>
        <w:keepNext w:val="0"/>
        <w:keepLines w:val="0"/>
        <w:pageBreakBefore w:val="0"/>
        <w:widowControl w:val="0"/>
        <w:numPr>
          <w:ilvl w:val="0"/>
          <w:numId w:val="10"/>
        </w:numPr>
        <w:tabs>
          <w:tab w:val="left" w:pos="780"/>
        </w:tabs>
        <w:kinsoku/>
        <w:wordWrap/>
        <w:overflowPunct/>
        <w:topLinePunct w:val="0"/>
        <w:autoSpaceDE/>
        <w:autoSpaceDN/>
        <w:bidi w:val="0"/>
        <w:snapToGrid/>
        <w:spacing w:line="360" w:lineRule="auto"/>
        <w:ind w:left="0" w:firstLine="567"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服务费支付方式：</w:t>
      </w:r>
    </w:p>
    <w:p>
      <w:pPr>
        <w:keepNext w:val="0"/>
        <w:keepLines w:val="0"/>
        <w:pageBreakBefore w:val="0"/>
        <w:widowControl w:val="0"/>
        <w:tabs>
          <w:tab w:val="left" w:pos="1440"/>
        </w:tabs>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付款方式：</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Cs/>
          <w:kern w:val="0"/>
          <w:sz w:val="24"/>
          <w:szCs w:val="24"/>
          <w:highlight w:val="none"/>
        </w:rPr>
        <w:t xml:space="preserve"> </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知识产权</w:t>
      </w:r>
    </w:p>
    <w:p>
      <w:pPr>
        <w:keepNext w:val="0"/>
        <w:keepLines w:val="0"/>
        <w:pageBreakBefore w:val="0"/>
        <w:widowControl w:val="0"/>
        <w:tabs>
          <w:tab w:val="left" w:pos="1440"/>
        </w:tabs>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乙方应保证所提供的服务或其任何一部分均不会侵犯任何第三方的专利权、商标权或著作权。</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无产权瑕疵条款</w:t>
      </w:r>
    </w:p>
    <w:p>
      <w:pPr>
        <w:keepNext w:val="0"/>
        <w:keepLines w:val="0"/>
        <w:pageBreakBefore w:val="0"/>
        <w:widowControl w:val="0"/>
        <w:tabs>
          <w:tab w:val="left" w:pos="1440"/>
        </w:tabs>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履约保证金</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default"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考核制度</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甲方的权利和义务</w:t>
      </w:r>
    </w:p>
    <w:p>
      <w:pPr>
        <w:keepNext w:val="0"/>
        <w:keepLines w:val="0"/>
        <w:pageBreakBefore w:val="0"/>
        <w:widowControl w:val="0"/>
        <w:numPr>
          <w:ilvl w:val="0"/>
          <w:numId w:val="12"/>
        </w:numPr>
        <w:tabs>
          <w:tab w:val="left" w:pos="1440"/>
        </w:tabs>
        <w:kinsoku/>
        <w:wordWrap/>
        <w:overflowPunct/>
        <w:topLinePunct w:val="0"/>
        <w:autoSpaceDE/>
        <w:autoSpaceDN/>
        <w:bidi w:val="0"/>
        <w:adjustRightInd w:val="0"/>
        <w:snapToGrid/>
        <w:spacing w:line="360" w:lineRule="auto"/>
        <w:ind w:left="0" w:firstLine="420"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numPr>
          <w:ilvl w:val="0"/>
          <w:numId w:val="12"/>
        </w:numPr>
        <w:tabs>
          <w:tab w:val="left" w:pos="1440"/>
        </w:tabs>
        <w:kinsoku/>
        <w:wordWrap/>
        <w:overflowPunct/>
        <w:topLinePunct w:val="0"/>
        <w:autoSpaceDE/>
        <w:autoSpaceDN/>
        <w:bidi w:val="0"/>
        <w:adjustRightInd w:val="0"/>
        <w:snapToGrid/>
        <w:spacing w:line="360" w:lineRule="auto"/>
        <w:ind w:left="0" w:firstLine="420"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甲方有权依据双方签订的考评办法对乙方提供的服务进行定期考评。当考评结果未达到标准时，有权依据考评办法约定的数额扣除履约保证金。</w:t>
      </w:r>
    </w:p>
    <w:p>
      <w:pPr>
        <w:keepNext w:val="0"/>
        <w:keepLines w:val="0"/>
        <w:pageBreakBefore w:val="0"/>
        <w:widowControl w:val="0"/>
        <w:numPr>
          <w:ilvl w:val="0"/>
          <w:numId w:val="12"/>
        </w:numPr>
        <w:tabs>
          <w:tab w:val="left" w:pos="1440"/>
        </w:tabs>
        <w:kinsoku/>
        <w:wordWrap/>
        <w:overflowPunct/>
        <w:topLinePunct w:val="0"/>
        <w:autoSpaceDE/>
        <w:autoSpaceDN/>
        <w:bidi w:val="0"/>
        <w:adjustRightInd w:val="0"/>
        <w:snapToGrid/>
        <w:spacing w:line="360" w:lineRule="auto"/>
        <w:ind w:left="0" w:firstLine="420"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负责检查监督乙方管理工作的实施及制度的执行情况。</w:t>
      </w:r>
    </w:p>
    <w:p>
      <w:pPr>
        <w:keepNext w:val="0"/>
        <w:keepLines w:val="0"/>
        <w:pageBreakBefore w:val="0"/>
        <w:widowControl w:val="0"/>
        <w:numPr>
          <w:ilvl w:val="0"/>
          <w:numId w:val="12"/>
        </w:numPr>
        <w:tabs>
          <w:tab w:val="left" w:pos="1440"/>
        </w:tabs>
        <w:kinsoku/>
        <w:wordWrap/>
        <w:overflowPunct/>
        <w:topLinePunct w:val="0"/>
        <w:autoSpaceDE/>
        <w:autoSpaceDN/>
        <w:bidi w:val="0"/>
        <w:adjustRightInd w:val="0"/>
        <w:snapToGrid/>
        <w:spacing w:line="360" w:lineRule="auto"/>
        <w:ind w:left="0" w:firstLine="420"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根据本合同规定，按时向乙方支付应付服务费用。</w:t>
      </w:r>
    </w:p>
    <w:p>
      <w:pPr>
        <w:keepNext w:val="0"/>
        <w:keepLines w:val="0"/>
        <w:pageBreakBefore w:val="0"/>
        <w:widowControl w:val="0"/>
        <w:numPr>
          <w:ilvl w:val="0"/>
          <w:numId w:val="12"/>
        </w:numPr>
        <w:tabs>
          <w:tab w:val="left" w:pos="1440"/>
        </w:tabs>
        <w:kinsoku/>
        <w:wordWrap/>
        <w:overflowPunct/>
        <w:topLinePunct w:val="0"/>
        <w:autoSpaceDE/>
        <w:autoSpaceDN/>
        <w:bidi w:val="0"/>
        <w:adjustRightInd w:val="0"/>
        <w:snapToGrid/>
        <w:spacing w:line="360" w:lineRule="auto"/>
        <w:ind w:left="0" w:firstLine="420"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国家法律、法规所规定由甲方承担的其它责任。</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乙方的权利和义务</w:t>
      </w:r>
    </w:p>
    <w:p>
      <w:pPr>
        <w:keepNext w:val="0"/>
        <w:keepLines w:val="0"/>
        <w:pageBreakBefore w:val="0"/>
        <w:widowControl w:val="0"/>
        <w:kinsoku/>
        <w:wordWrap/>
        <w:overflowPunct/>
        <w:topLinePunct w:val="0"/>
        <w:autoSpaceDE/>
        <w:autoSpaceDN/>
        <w:bidi w:val="0"/>
        <w:adjustRightInd w:val="0"/>
        <w:snapToGrid/>
        <w:spacing w:line="360" w:lineRule="auto"/>
        <w:ind w:left="567"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napToGrid/>
        <w:spacing w:line="360" w:lineRule="auto"/>
        <w:ind w:left="567"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napToGrid/>
        <w:spacing w:line="360" w:lineRule="auto"/>
        <w:ind w:left="567"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val="0"/>
        <w:snapToGrid/>
        <w:spacing w:line="360" w:lineRule="auto"/>
        <w:ind w:left="567"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4.接受项目行业管理部门及政府有关部门的指导，接受甲方的监督。国家法律、法规所规定由乙方承担的其它责任。</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违约责任</w:t>
      </w:r>
    </w:p>
    <w:p>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firstLine="567"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甲乙双方必须遵守本合同并执行合同中的各项规定，保证本合同的正常履行。</w:t>
      </w:r>
    </w:p>
    <w:p>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firstLine="567" w:firstLineChars="0"/>
        <w:jc w:val="left"/>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不可抗力事件处理</w:t>
      </w:r>
    </w:p>
    <w:p>
      <w:pPr>
        <w:keepNext w:val="0"/>
        <w:keepLines w:val="0"/>
        <w:pageBreakBefore w:val="0"/>
        <w:widowControl w:val="0"/>
        <w:numPr>
          <w:ilvl w:val="0"/>
          <w:numId w:val="0"/>
        </w:numPr>
        <w:tabs>
          <w:tab w:val="left" w:pos="0"/>
        </w:tabs>
        <w:kinsoku/>
        <w:wordWrap/>
        <w:overflowPunct/>
        <w:topLinePunct w:val="0"/>
        <w:autoSpaceDE/>
        <w:autoSpaceDN/>
        <w:bidi w:val="0"/>
        <w:snapToGrid/>
        <w:spacing w:line="360" w:lineRule="auto"/>
        <w:ind w:left="0" w:leftChars="0" w:firstLine="566" w:firstLineChars="23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在合同有效期内，任何一方因不可抗力事件导致不能履行合同，则合同履行期可延长，其延长期与不可抗力影响期相同。</w:t>
      </w:r>
    </w:p>
    <w:p>
      <w:pPr>
        <w:keepNext w:val="0"/>
        <w:keepLines w:val="0"/>
        <w:pageBreakBefore w:val="0"/>
        <w:widowControl w:val="0"/>
        <w:numPr>
          <w:ilvl w:val="0"/>
          <w:numId w:val="0"/>
        </w:numPr>
        <w:tabs>
          <w:tab w:val="left" w:pos="0"/>
        </w:tabs>
        <w:kinsoku/>
        <w:wordWrap/>
        <w:overflowPunct/>
        <w:topLinePunct w:val="0"/>
        <w:autoSpaceDE/>
        <w:autoSpaceDN/>
        <w:bidi w:val="0"/>
        <w:snapToGrid/>
        <w:spacing w:line="360" w:lineRule="auto"/>
        <w:ind w:left="567" w:left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不可抗力事件发生后，应立即通知对方，并寄送有关权威机构出具的证明。</w:t>
      </w:r>
    </w:p>
    <w:p>
      <w:pPr>
        <w:keepNext w:val="0"/>
        <w:keepLines w:val="0"/>
        <w:pageBreakBefore w:val="0"/>
        <w:widowControl w:val="0"/>
        <w:numPr>
          <w:ilvl w:val="0"/>
          <w:numId w:val="0"/>
        </w:numPr>
        <w:tabs>
          <w:tab w:val="left" w:pos="0"/>
        </w:tabs>
        <w:kinsoku/>
        <w:wordWrap/>
        <w:overflowPunct/>
        <w:topLinePunct w:val="0"/>
        <w:autoSpaceDE/>
        <w:autoSpaceDN/>
        <w:bidi w:val="0"/>
        <w:snapToGrid/>
        <w:spacing w:line="360" w:lineRule="auto"/>
        <w:ind w:left="567" w:left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不可抗力事件延续120天以上，双方应通过友好协商，确定是否继续履行合同。</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bookmarkStart w:id="126" w:name="_Toc238984980"/>
      <w:bookmarkStart w:id="127" w:name="_Toc247334846"/>
      <w:bookmarkStart w:id="128" w:name="_Toc237145411"/>
      <w:bookmarkStart w:id="129" w:name="_Toc225244857"/>
      <w:bookmarkStart w:id="130" w:name="_Toc212019599"/>
      <w:bookmarkStart w:id="131" w:name="_Toc251768867"/>
      <w:bookmarkStart w:id="132" w:name="_Toc241833908"/>
      <w:bookmarkStart w:id="133" w:name="_Toc185395254"/>
      <w:bookmarkStart w:id="134" w:name="_Toc286993792"/>
      <w:bookmarkStart w:id="135" w:name="_Toc211854454"/>
      <w:bookmarkStart w:id="136" w:name="_Toc211911353"/>
      <w:bookmarkStart w:id="137" w:name="_Toc239568423"/>
      <w:bookmarkStart w:id="138" w:name="_Toc225670756"/>
      <w:bookmarkStart w:id="139" w:name="_Toc232492933"/>
      <w:bookmarkStart w:id="140" w:name="_Toc225654649"/>
      <w:bookmarkStart w:id="141" w:name="_Toc239233919"/>
      <w:r>
        <w:rPr>
          <w:rFonts w:hint="eastAsia" w:ascii="宋体" w:hAnsi="宋体" w:eastAsia="宋体" w:cs="宋体"/>
          <w:b/>
          <w:kern w:val="0"/>
          <w:sz w:val="24"/>
          <w:szCs w:val="24"/>
          <w:highlight w:val="none"/>
        </w:rPr>
        <w:t>解决合同纠纷的方式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keepNext w:val="0"/>
        <w:keepLines w:val="0"/>
        <w:pageBreakBefore w:val="0"/>
        <w:widowControl w:val="0"/>
        <w:numPr>
          <w:ilvl w:val="0"/>
          <w:numId w:val="8"/>
        </w:numPr>
        <w:tabs>
          <w:tab w:val="left" w:pos="0"/>
        </w:tabs>
        <w:kinsoku/>
        <w:wordWrap/>
        <w:overflowPunct/>
        <w:topLinePunct w:val="0"/>
        <w:autoSpaceDE/>
        <w:autoSpaceDN/>
        <w:bidi w:val="0"/>
        <w:snapToGrid/>
        <w:spacing w:line="360" w:lineRule="auto"/>
        <w:ind w:firstLine="56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在执行本合同中发生的或与本合同有关的争端，双方应通过友好协商解决，经协商在60天内不能达成协议时，应提交</w:t>
      </w:r>
      <w:r>
        <w:rPr>
          <w:rFonts w:hint="eastAsia" w:ascii="宋体" w:hAnsi="宋体" w:eastAsia="宋体" w:cs="宋体"/>
          <w:kern w:val="0"/>
          <w:sz w:val="24"/>
          <w:szCs w:val="24"/>
          <w:highlight w:val="none"/>
          <w:lang w:val="en-US" w:eastAsia="zh-CN"/>
        </w:rPr>
        <w:t>甲</w:t>
      </w:r>
      <w:r>
        <w:rPr>
          <w:rFonts w:hint="eastAsia" w:ascii="宋体" w:hAnsi="宋体" w:eastAsia="宋体" w:cs="宋体"/>
          <w:kern w:val="0"/>
          <w:sz w:val="24"/>
          <w:szCs w:val="24"/>
          <w:highlight w:val="none"/>
          <w:u w:val="none"/>
          <w:lang w:val="en-US" w:eastAsia="zh-CN"/>
        </w:rPr>
        <w:t>方所在地</w:t>
      </w:r>
      <w:r>
        <w:rPr>
          <w:rFonts w:hint="eastAsia" w:ascii="宋体" w:hAnsi="宋体" w:eastAsia="宋体" w:cs="宋体"/>
          <w:kern w:val="0"/>
          <w:sz w:val="24"/>
          <w:szCs w:val="24"/>
          <w:highlight w:val="none"/>
        </w:rPr>
        <w:t>仲裁委员会仲裁。</w:t>
      </w:r>
    </w:p>
    <w:p>
      <w:pPr>
        <w:keepNext w:val="0"/>
        <w:keepLines w:val="0"/>
        <w:pageBreakBefore w:val="0"/>
        <w:widowControl w:val="0"/>
        <w:numPr>
          <w:ilvl w:val="0"/>
          <w:numId w:val="8"/>
        </w:numPr>
        <w:tabs>
          <w:tab w:val="left" w:pos="0"/>
        </w:tabs>
        <w:kinsoku/>
        <w:wordWrap/>
        <w:overflowPunct/>
        <w:topLinePunct w:val="0"/>
        <w:autoSpaceDE/>
        <w:autoSpaceDN/>
        <w:bidi w:val="0"/>
        <w:snapToGrid/>
        <w:spacing w:line="360" w:lineRule="auto"/>
        <w:ind w:firstLine="56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仲裁裁决应为最终决定，并对双方具有约束力。</w:t>
      </w:r>
    </w:p>
    <w:p>
      <w:pPr>
        <w:keepNext w:val="0"/>
        <w:keepLines w:val="0"/>
        <w:pageBreakBefore w:val="0"/>
        <w:widowControl w:val="0"/>
        <w:numPr>
          <w:ilvl w:val="0"/>
          <w:numId w:val="8"/>
        </w:numPr>
        <w:tabs>
          <w:tab w:val="left" w:pos="0"/>
        </w:tabs>
        <w:kinsoku/>
        <w:wordWrap/>
        <w:overflowPunct/>
        <w:topLinePunct w:val="0"/>
        <w:autoSpaceDE/>
        <w:autoSpaceDN/>
        <w:bidi w:val="0"/>
        <w:snapToGrid/>
        <w:spacing w:line="360" w:lineRule="auto"/>
        <w:ind w:firstLine="56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除另有裁决外，仲裁费应由败诉方负担。 </w:t>
      </w:r>
    </w:p>
    <w:p>
      <w:pPr>
        <w:keepNext w:val="0"/>
        <w:keepLines w:val="0"/>
        <w:pageBreakBefore w:val="0"/>
        <w:widowControl w:val="0"/>
        <w:numPr>
          <w:ilvl w:val="0"/>
          <w:numId w:val="8"/>
        </w:numPr>
        <w:tabs>
          <w:tab w:val="left" w:pos="0"/>
        </w:tabs>
        <w:kinsoku/>
        <w:wordWrap/>
        <w:overflowPunct/>
        <w:topLinePunct w:val="0"/>
        <w:autoSpaceDE/>
        <w:autoSpaceDN/>
        <w:bidi w:val="0"/>
        <w:snapToGrid/>
        <w:spacing w:line="360" w:lineRule="auto"/>
        <w:ind w:firstLine="56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在仲裁期间，除正在进行仲裁部分外，合同其他部分继续执行。    </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bookmarkStart w:id="142" w:name="_Toc225244858"/>
      <w:bookmarkStart w:id="143" w:name="_Toc241833909"/>
      <w:bookmarkStart w:id="144" w:name="_Toc225670757"/>
      <w:bookmarkStart w:id="145" w:name="_Toc283019219"/>
      <w:bookmarkStart w:id="146" w:name="_Toc238984981"/>
      <w:bookmarkStart w:id="147" w:name="_Toc232492934"/>
      <w:bookmarkStart w:id="148" w:name="_Toc211911354"/>
      <w:bookmarkStart w:id="149" w:name="_Toc251768868"/>
      <w:bookmarkStart w:id="150" w:name="_Toc225654650"/>
      <w:bookmarkStart w:id="151" w:name="_Toc282696231"/>
      <w:bookmarkStart w:id="152" w:name="_Toc212019600"/>
      <w:bookmarkStart w:id="153" w:name="_Toc286993793"/>
      <w:bookmarkStart w:id="154" w:name="_Toc247334847"/>
      <w:bookmarkStart w:id="155" w:name="_Toc237145412"/>
      <w:bookmarkStart w:id="156" w:name="_Toc239568424"/>
      <w:bookmarkStart w:id="157" w:name="_Toc239233920"/>
      <w:bookmarkStart w:id="158" w:name="_Toc211854455"/>
      <w:bookmarkStart w:id="159" w:name="_Toc185395255"/>
      <w:r>
        <w:rPr>
          <w:rFonts w:hint="eastAsia" w:ascii="宋体" w:hAnsi="宋体" w:eastAsia="宋体" w:cs="宋体"/>
          <w:b/>
          <w:kern w:val="0"/>
          <w:sz w:val="24"/>
          <w:szCs w:val="24"/>
          <w:highlight w:val="none"/>
        </w:rPr>
        <w:t>合同</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hint="eastAsia" w:ascii="宋体" w:hAnsi="宋体" w:eastAsia="宋体" w:cs="宋体"/>
          <w:b/>
          <w:kern w:val="0"/>
          <w:sz w:val="24"/>
          <w:szCs w:val="24"/>
          <w:highlight w:val="none"/>
        </w:rPr>
        <w:t>生效</w:t>
      </w:r>
    </w:p>
    <w:p>
      <w:pPr>
        <w:keepNext w:val="0"/>
        <w:keepLines w:val="0"/>
        <w:pageBreakBefore w:val="0"/>
        <w:widowControl w:val="0"/>
        <w:numPr>
          <w:ilvl w:val="0"/>
          <w:numId w:val="14"/>
        </w:numPr>
        <w:kinsoku/>
        <w:wordWrap/>
        <w:overflowPunct/>
        <w:topLinePunct w:val="0"/>
        <w:autoSpaceDE/>
        <w:autoSpaceDN/>
        <w:bidi w:val="0"/>
        <w:snapToGrid/>
        <w:spacing w:line="360" w:lineRule="auto"/>
        <w:ind w:firstLine="63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合同经双方法定代表人/单位负责人或授权委托代理人签字并加盖单位公章后生效。</w:t>
      </w:r>
    </w:p>
    <w:p>
      <w:pPr>
        <w:keepNext w:val="0"/>
        <w:keepLines w:val="0"/>
        <w:pageBreakBefore w:val="0"/>
        <w:widowControl w:val="0"/>
        <w:numPr>
          <w:ilvl w:val="0"/>
          <w:numId w:val="14"/>
        </w:numPr>
        <w:kinsoku/>
        <w:wordWrap/>
        <w:overflowPunct/>
        <w:topLinePunct w:val="0"/>
        <w:autoSpaceDE/>
        <w:autoSpaceDN/>
        <w:bidi w:val="0"/>
        <w:snapToGrid/>
        <w:spacing w:line="360" w:lineRule="auto"/>
        <w:ind w:firstLine="63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附件</w:t>
      </w:r>
    </w:p>
    <w:p>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项目磋商文件</w:t>
      </w:r>
    </w:p>
    <w:p>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项目修改澄清文件</w:t>
      </w:r>
    </w:p>
    <w:p>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项目响应文件</w:t>
      </w:r>
    </w:p>
    <w:p>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4.成交</w:t>
      </w:r>
      <w:r>
        <w:rPr>
          <w:rFonts w:hint="eastAsia" w:ascii="宋体" w:hAnsi="宋体" w:eastAsia="宋体" w:cs="宋体"/>
          <w:sz w:val="24"/>
          <w:szCs w:val="24"/>
          <w:highlight w:val="none"/>
        </w:rPr>
        <w:t>通知书</w:t>
      </w:r>
    </w:p>
    <w:p>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其他</w:t>
      </w:r>
    </w:p>
    <w:bookmarkEnd w:id="107"/>
    <w:p>
      <w:pPr>
        <w:keepNext w:val="0"/>
        <w:keepLines w:val="0"/>
        <w:pageBreakBefore w:val="0"/>
        <w:widowControl w:val="0"/>
        <w:numPr>
          <w:ilvl w:val="0"/>
          <w:numId w:val="9"/>
        </w:numPr>
        <w:kinsoku/>
        <w:wordWrap/>
        <w:overflowPunct/>
        <w:topLinePunct w:val="0"/>
        <w:autoSpaceDE/>
        <w:autoSpaceDN/>
        <w:bidi w:val="0"/>
        <w:snapToGrid/>
        <w:spacing w:line="360" w:lineRule="auto"/>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其他</w:t>
      </w:r>
    </w:p>
    <w:p>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1、如有未尽事宜，由双方依法订立补充合同。</w:t>
      </w:r>
    </w:p>
    <w:p>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2、本合同一式六份，自双方签章之日起生效。甲方三份，乙方二份、采购代理机构各一份。</w:t>
      </w:r>
    </w:p>
    <w:p>
      <w:pPr>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kern w:val="0"/>
          <w:sz w:val="24"/>
          <w:szCs w:val="24"/>
          <w:highlight w:val="none"/>
        </w:rPr>
      </w:pP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甲方：   （盖章）   </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 xml:space="preserve">        乙方：   （盖章）</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法定代表人/单位负责人（授权代表）： 法定代表人/单位负责人（授权代表）：</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址：                         地    址：</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                         开户银行：</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账号：                             账号：</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    话：                         电    话：</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传    真：                         传    真：</w:t>
      </w:r>
    </w:p>
    <w:p>
      <w:pPr>
        <w:spacing w:line="360" w:lineRule="auto"/>
        <w:ind w:firstLine="480"/>
        <w:rPr>
          <w:rFonts w:hint="eastAsia"/>
          <w:highlight w:val="none"/>
        </w:rPr>
      </w:pPr>
      <w:r>
        <w:rPr>
          <w:rFonts w:hint="eastAsia" w:ascii="宋体" w:hAnsi="宋体" w:eastAsia="宋体" w:cs="宋体"/>
          <w:kern w:val="0"/>
          <w:sz w:val="24"/>
          <w:szCs w:val="24"/>
          <w:highlight w:val="none"/>
        </w:rPr>
        <w:t xml:space="preserve">签约日期：XX年XX月XX日 </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签约日期：XX年XX月XX日</w:t>
      </w:r>
    </w:p>
    <w:sectPr>
      <w:footerReference r:id="rId18" w:type="default"/>
      <w:pgSz w:w="11907" w:h="16840"/>
      <w:pgMar w:top="1134" w:right="1418" w:bottom="1134" w:left="141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MingLiU">
    <w:altName w:val="Microsoft JhengHei UI"/>
    <w:panose1 w:val="02010609000101010101"/>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fldChar w:fldCharType="begin"/>
    </w:r>
    <w:r>
      <w:instrText xml:space="preserve">PAGE   \* MERGEFORMAT</w:instrText>
    </w:r>
    <w:r>
      <w:fldChar w:fldCharType="separate"/>
    </w:r>
    <w:r>
      <w:rPr>
        <w:lang w:val="zh-CN"/>
      </w:rPr>
      <w:t>24</w:t>
    </w:r>
    <w:r>
      <w:rPr>
        <w:lang w:val="zh-CN"/>
      </w:rPr>
      <w:fldChar w:fldCharType="end"/>
    </w:r>
  </w:p>
  <w:p>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firstLine="360"/>
                            <w:jc w:val="center"/>
                          </w:pPr>
                          <w:r>
                            <w:fldChar w:fldCharType="begin"/>
                          </w:r>
                          <w:r>
                            <w:instrText xml:space="preserve">PAGE   \* MERGEFORMAT</w:instrText>
                          </w:r>
                          <w:r>
                            <w:fldChar w:fldCharType="separate"/>
                          </w:r>
                          <w:r>
                            <w:rPr>
                              <w:lang w:val="zh-CN"/>
                            </w:rPr>
                            <w:t>24</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U/jfjzAEAAJ0DAAAOAAAAAAAAAAEAIAAAAB4BAABkcnMvZTJv&#10;RG9jLnhtbFBLBQYAAAAABgAGAFkBAABcBQAAAAA=&#10;">
              <v:fill on="f" focussize="0,0"/>
              <v:stroke on="f"/>
              <v:imagedata o:title=""/>
              <o:lock v:ext="edit" aspectratio="f"/>
              <v:textbox inset="0mm,0mm,0mm,0mm" style="mso-fit-shape-to-text:t;">
                <w:txbxContent>
                  <w:p>
                    <w:pPr>
                      <w:pStyle w:val="18"/>
                      <w:ind w:firstLine="360"/>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mc:Fallback>
      </mc:AlternateContent>
    </w:r>
  </w:p>
  <w:p>
    <w:pPr>
      <w:pStyle w:val="18"/>
      <w:ind w:left="0" w:leftChars="0" w:firstLine="0" w:firstLineChars="0"/>
    </w:pPr>
    <w:r>
      <w:rPr>
        <w:rFonts w:hint="eastAsia"/>
        <w:b/>
        <w:bCs/>
      </w:rPr>
      <w:t>学法于心  尊法于行  守法于念  用法于理</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firstLine="360"/>
                            <w:jc w:val="center"/>
                          </w:pPr>
                          <w:r>
                            <w:fldChar w:fldCharType="begin"/>
                          </w:r>
                          <w:r>
                            <w:instrText xml:space="preserve"> PAGE   \* MERGEFORMAT </w:instrText>
                          </w:r>
                          <w:r>
                            <w:fldChar w:fldCharType="separate"/>
                          </w:r>
                          <w:r>
                            <w:rPr>
                              <w:lang w:val="zh-CN"/>
                            </w:rPr>
                            <w:t>51</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JMV8sBAACd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1w7pYZnPj5+7fzj1/nn1/J&#10;sqxukkS9hxoznz3mxuHeDbg4sx/QmZgPMpj0RU4E4yjw6SKwGCLh6dGqWq1KDHGMzRfEL16e+wDx&#10;vXCGJKOhASeYhWXHR4hj6pySqln3oLTOU9T2LwdiJk+Reh97TFYcdsNEaOfaE/LpcfgNtbjrlOgP&#10;FrVNezIbYTZ2s3HwQe27vEipHvi7Q8Qmcm+pwgg7FcapZXbThqW1+POes1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uSTFfLAQAAnQMAAA4AAAAAAAAAAQAgAAAAHgEAAGRycy9lMm9E&#10;b2MueG1sUEsFBgAAAAAGAAYAWQEAAFsFAAAAAA==&#10;">
              <v:fill on="f" focussize="0,0"/>
              <v:stroke on="f"/>
              <v:imagedata o:title=""/>
              <o:lock v:ext="edit" aspectratio="f"/>
              <v:textbox inset="0mm,0mm,0mm,0mm" style="mso-fit-shape-to-text:t;">
                <w:txbxContent>
                  <w:p>
                    <w:pPr>
                      <w:pStyle w:val="18"/>
                      <w:ind w:firstLine="360"/>
                      <w:jc w:val="center"/>
                    </w:pPr>
                    <w:r>
                      <w:fldChar w:fldCharType="begin"/>
                    </w:r>
                    <w:r>
                      <w:instrText xml:space="preserve"> PAGE   \* MERGEFORMAT </w:instrText>
                    </w:r>
                    <w:r>
                      <w:fldChar w:fldCharType="separate"/>
                    </w:r>
                    <w:r>
                      <w:rPr>
                        <w:lang w:val="zh-CN"/>
                      </w:rPr>
                      <w:t>51</w:t>
                    </w:r>
                    <w:r>
                      <w:rPr>
                        <w:lang w:val="zh-CN"/>
                      </w:rPr>
                      <w:fldChar w:fldCharType="end"/>
                    </w:r>
                  </w:p>
                </w:txbxContent>
              </v:textbox>
            </v:shape>
          </w:pict>
        </mc:Fallback>
      </mc:AlternateContent>
    </w:r>
  </w:p>
  <w:p>
    <w:pPr>
      <w:pStyle w:val="18"/>
      <w:ind w:left="0" w:leftChars="0" w:firstLine="0" w:firstLineChars="0"/>
      <w:rPr>
        <w:rFonts w:ascii="宋体"/>
        <w:sz w:val="28"/>
        <w:szCs w:val="28"/>
      </w:rPr>
    </w:pPr>
    <w:r>
      <w:rPr>
        <w:rFonts w:hint="eastAsia"/>
        <w:b/>
        <w:bCs/>
      </w:rPr>
      <w:t>学法于心  尊法于行  守法于念  用法于理</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ind w:firstLine="360"/>
      <w:rPr>
        <w:rStyle w:val="29"/>
      </w:rPr>
    </w:pPr>
    <w:r>
      <w:rPr>
        <w:rStyle w:val="29"/>
      </w:rPr>
      <w:fldChar w:fldCharType="begin"/>
    </w:r>
    <w:r>
      <w:rPr>
        <w:rStyle w:val="29"/>
      </w:rPr>
      <w:instrText xml:space="preserve">PAGE  </w:instrText>
    </w:r>
    <w:r>
      <w:rPr>
        <w:rStyle w:val="29"/>
      </w:rPr>
      <w:fldChar w:fldCharType="end"/>
    </w:r>
  </w:p>
  <w:p>
    <w:pPr>
      <w:pStyle w:val="18"/>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firstLine="360"/>
                            <w:jc w:val="center"/>
                          </w:pPr>
                          <w:r>
                            <w:fldChar w:fldCharType="begin"/>
                          </w:r>
                          <w:r>
                            <w:instrText xml:space="preserve"> PAGE   \* MERGEFORMAT </w:instrText>
                          </w:r>
                          <w:r>
                            <w:fldChar w:fldCharType="separate"/>
                          </w:r>
                          <w:r>
                            <w:rPr>
                              <w:lang w:val="zh-CN"/>
                            </w:rPr>
                            <w:t>-</w:t>
                          </w:r>
                          <w:r>
                            <w:t xml:space="preserve"> 68 -</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n9fhzAEAAJ0DAAAOAAAAAAAAAAEAIAAAAB4BAABkcnMvZTJv&#10;RG9jLnhtbFBLBQYAAAAABgAGAFkBAABcBQAAAAA=&#10;">
              <v:fill on="f" focussize="0,0"/>
              <v:stroke on="f"/>
              <v:imagedata o:title=""/>
              <o:lock v:ext="edit" aspectratio="f"/>
              <v:textbox inset="0mm,0mm,0mm,0mm" style="mso-fit-shape-to-text:t;">
                <w:txbxContent>
                  <w:p>
                    <w:pPr>
                      <w:pStyle w:val="18"/>
                      <w:ind w:firstLine="360"/>
                      <w:jc w:val="center"/>
                    </w:pPr>
                    <w:r>
                      <w:fldChar w:fldCharType="begin"/>
                    </w:r>
                    <w:r>
                      <w:instrText xml:space="preserve"> PAGE   \* MERGEFORMAT </w:instrText>
                    </w:r>
                    <w:r>
                      <w:fldChar w:fldCharType="separate"/>
                    </w:r>
                    <w:r>
                      <w:rPr>
                        <w:lang w:val="zh-CN"/>
                      </w:rPr>
                      <w:t>-</w:t>
                    </w:r>
                    <w:r>
                      <w:t xml:space="preserve"> 68 -</w:t>
                    </w:r>
                    <w:r>
                      <w:fldChar w:fldCharType="end"/>
                    </w:r>
                  </w:p>
                </w:txbxContent>
              </v:textbox>
            </v:shape>
          </w:pict>
        </mc:Fallback>
      </mc:AlternateContent>
    </w:r>
  </w:p>
  <w:p>
    <w:pPr>
      <w:pStyle w:val="18"/>
      <w:ind w:left="0" w:leftChars="0" w:firstLine="0" w:firstLineChars="0"/>
      <w:rPr>
        <w:rFonts w:ascii="宋体"/>
        <w:sz w:val="28"/>
        <w:szCs w:val="28"/>
      </w:rPr>
    </w:pPr>
    <w:r>
      <w:rPr>
        <w:rFonts w:hint="eastAsia"/>
        <w:b/>
        <w:bCs/>
      </w:rPr>
      <w:t>学法于心  尊法于行  守法于念  用法于理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0" w:firstLineChars="0"/>
      <w:jc w:val="right"/>
      <w:rPr>
        <w:rFonts w:hint="eastAsia" w:eastAsia="宋体"/>
        <w:lang w:eastAsia="zh-CN"/>
      </w:rPr>
    </w:pPr>
    <w:r>
      <w:rPr>
        <w:rFonts w:hint="eastAsia"/>
        <w:szCs w:val="18"/>
      </w:rPr>
      <w:drawing>
        <wp:inline distT="0" distB="0" distL="114300" distR="114300">
          <wp:extent cx="1823085" cy="218440"/>
          <wp:effectExtent l="0" t="0" r="5715" b="10160"/>
          <wp:docPr id="31"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三盈页眉2"/>
                  <pic:cNvPicPr>
                    <a:picLocks noChangeAspect="1"/>
                  </pic:cNvPicPr>
                </pic:nvPicPr>
                <pic:blipFill>
                  <a:blip r:embed="rId1"/>
                  <a:stretch>
                    <a:fillRect/>
                  </a:stretch>
                </pic:blipFill>
                <pic:spPr>
                  <a:xfrm>
                    <a:off x="0" y="0"/>
                    <a:ext cx="1823085" cy="218440"/>
                  </a:xfrm>
                  <a:prstGeom prst="rect">
                    <a:avLst/>
                  </a:prstGeom>
                  <a:noFill/>
                  <a:ln>
                    <a:noFill/>
                  </a:ln>
                </pic:spPr>
              </pic:pic>
            </a:graphicData>
          </a:graphic>
        </wp:inline>
      </w:drawing>
    </w:r>
    <w:r>
      <w:rPr>
        <w:rFonts w:hint="eastAsia"/>
        <w:szCs w:val="18"/>
        <w:lang w:val="en-US" w:eastAsia="zh-CN"/>
      </w:rPr>
      <w:t xml:space="preserve">   成都东部新区玉成街道办事处征地补偿工作辅助性服务采购项目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left="0" w:leftChars="0" w:firstLine="0" w:firstLineChars="0"/>
      <w:jc w:val="right"/>
      <w:rPr>
        <w:rFonts w:hint="eastAsia" w:eastAsia="宋体"/>
        <w:lang w:eastAsia="zh-CN"/>
      </w:rPr>
    </w:pPr>
    <w:r>
      <w:rPr>
        <w:rFonts w:hint="eastAsia"/>
        <w:szCs w:val="18"/>
      </w:rPr>
      <w:drawing>
        <wp:inline distT="0" distB="0" distL="114300" distR="114300">
          <wp:extent cx="1823085" cy="218440"/>
          <wp:effectExtent l="0" t="0" r="5715" b="10160"/>
          <wp:docPr id="32" name="图片 1" descr="三盈页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三盈页眉2"/>
                  <pic:cNvPicPr>
                    <a:picLocks noChangeAspect="1"/>
                  </pic:cNvPicPr>
                </pic:nvPicPr>
                <pic:blipFill>
                  <a:blip r:embed="rId1"/>
                  <a:stretch>
                    <a:fillRect/>
                  </a:stretch>
                </pic:blipFill>
                <pic:spPr>
                  <a:xfrm>
                    <a:off x="0" y="0"/>
                    <a:ext cx="1823085" cy="218440"/>
                  </a:xfrm>
                  <a:prstGeom prst="rect">
                    <a:avLst/>
                  </a:prstGeom>
                  <a:noFill/>
                  <a:ln>
                    <a:noFill/>
                  </a:ln>
                </pic:spPr>
              </pic:pic>
            </a:graphicData>
          </a:graphic>
        </wp:inline>
      </w:drawing>
    </w:r>
    <w:r>
      <w:rPr>
        <w:rFonts w:hint="eastAsia"/>
        <w:szCs w:val="18"/>
        <w:lang w:val="en-US" w:eastAsia="zh-CN"/>
      </w:rPr>
      <w:t xml:space="preserve">    成都东部新区玉成街道办事处征地补偿工作辅助性服务采购项目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ACE57"/>
    <w:multiLevelType w:val="singleLevel"/>
    <w:tmpl w:val="831ACE57"/>
    <w:lvl w:ilvl="0" w:tentative="0">
      <w:start w:val="1"/>
      <w:numFmt w:val="decimal"/>
      <w:suff w:val="space"/>
      <w:lvlText w:val="%1."/>
      <w:lvlJc w:val="left"/>
    </w:lvl>
  </w:abstractNum>
  <w:abstractNum w:abstractNumId="1">
    <w:nsid w:val="BF50B0D6"/>
    <w:multiLevelType w:val="singleLevel"/>
    <w:tmpl w:val="BF50B0D6"/>
    <w:lvl w:ilvl="0" w:tentative="0">
      <w:start w:val="4"/>
      <w:numFmt w:val="chineseCounting"/>
      <w:suff w:val="space"/>
      <w:lvlText w:val="第%1章"/>
      <w:lvlJc w:val="left"/>
      <w:rPr>
        <w:rFonts w:hint="eastAsia"/>
      </w:rPr>
    </w:lvl>
  </w:abstractNum>
  <w:abstractNum w:abstractNumId="2">
    <w:nsid w:val="D1BD8F23"/>
    <w:multiLevelType w:val="singleLevel"/>
    <w:tmpl w:val="D1BD8F23"/>
    <w:lvl w:ilvl="0" w:tentative="0">
      <w:start w:val="4"/>
      <w:numFmt w:val="decimal"/>
      <w:lvlText w:val="%1."/>
      <w:lvlJc w:val="left"/>
      <w:pPr>
        <w:tabs>
          <w:tab w:val="left" w:pos="312"/>
        </w:tabs>
      </w:pPr>
    </w:lvl>
  </w:abstractNum>
  <w:abstractNum w:abstractNumId="3">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2"/>
    <w:multiLevelType w:val="multilevel"/>
    <w:tmpl w:val="00000002"/>
    <w:lvl w:ilvl="0" w:tentative="0">
      <w:start w:val="1"/>
      <w:numFmt w:val="decimal"/>
      <w:suff w:val="nothing"/>
      <w:lvlText w:val="%1、"/>
      <w:lvlJc w:val="left"/>
      <w:rPr>
        <w:rFonts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07"/>
    <w:multiLevelType w:val="multilevel"/>
    <w:tmpl w:val="00000007"/>
    <w:lvl w:ilvl="0" w:tentative="0">
      <w:start w:val="7"/>
      <w:numFmt w:val="chineseCounting"/>
      <w:suff w:val="nothing"/>
      <w:lvlText w:val="%1、"/>
      <w:lvlJc w:val="left"/>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12"/>
    <w:multiLevelType w:val="multilevel"/>
    <w:tmpl w:val="00000012"/>
    <w:lvl w:ilvl="0" w:tentative="0">
      <w:start w:val="1"/>
      <w:numFmt w:val="japaneseCounting"/>
      <w:lvlText w:val="第%1条"/>
      <w:lvlJc w:val="left"/>
      <w:pPr>
        <w:tabs>
          <w:tab w:val="left" w:pos="1521"/>
        </w:tabs>
        <w:ind w:left="1521" w:hanging="109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8">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355D08D"/>
    <w:multiLevelType w:val="singleLevel"/>
    <w:tmpl w:val="0355D08D"/>
    <w:lvl w:ilvl="0" w:tentative="0">
      <w:start w:val="1"/>
      <w:numFmt w:val="decimal"/>
      <w:suff w:val="nothing"/>
      <w:lvlText w:val="%1、"/>
      <w:lvlJc w:val="left"/>
    </w:lvl>
  </w:abstractNum>
  <w:abstractNum w:abstractNumId="10">
    <w:nsid w:val="15BA1F1C"/>
    <w:multiLevelType w:val="singleLevel"/>
    <w:tmpl w:val="15BA1F1C"/>
    <w:lvl w:ilvl="0" w:tentative="0">
      <w:start w:val="1"/>
      <w:numFmt w:val="decimal"/>
      <w:suff w:val="nothing"/>
      <w:lvlText w:val="%1、"/>
      <w:lvlJc w:val="left"/>
    </w:lvl>
  </w:abstractNum>
  <w:abstractNum w:abstractNumId="11">
    <w:nsid w:val="15C552ED"/>
    <w:multiLevelType w:val="multilevel"/>
    <w:tmpl w:val="15C552ED"/>
    <w:lvl w:ilvl="0" w:tentative="0">
      <w:start w:val="1"/>
      <w:numFmt w:val="decimal"/>
      <w:suff w:val="nothing"/>
      <w:lvlText w:val="%1、"/>
      <w:lvlJc w:val="left"/>
      <w:rPr>
        <w:rFonts w:cs="Times New Roman"/>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2">
    <w:nsid w:val="47BDA60A"/>
    <w:multiLevelType w:val="singleLevel"/>
    <w:tmpl w:val="47BDA60A"/>
    <w:lvl w:ilvl="0" w:tentative="0">
      <w:start w:val="5"/>
      <w:numFmt w:val="chineseCounting"/>
      <w:suff w:val="space"/>
      <w:lvlText w:val="第%1章"/>
      <w:lvlJc w:val="left"/>
      <w:rPr>
        <w:rFonts w:hint="eastAsia"/>
      </w:rPr>
    </w:lvl>
  </w:abstractNum>
  <w:abstractNum w:abstractNumId="13">
    <w:nsid w:val="57E67832"/>
    <w:multiLevelType w:val="singleLevel"/>
    <w:tmpl w:val="57E67832"/>
    <w:lvl w:ilvl="0" w:tentative="0">
      <w:start w:val="2"/>
      <w:numFmt w:val="chineseCounting"/>
      <w:suff w:val="nothing"/>
      <w:lvlText w:val="%1、"/>
      <w:lvlJc w:val="left"/>
      <w:rPr>
        <w:rFonts w:hint="eastAsia"/>
      </w:rPr>
    </w:lvl>
  </w:abstractNum>
  <w:num w:numId="1">
    <w:abstractNumId w:val="10"/>
  </w:num>
  <w:num w:numId="2">
    <w:abstractNumId w:val="9"/>
  </w:num>
  <w:num w:numId="3">
    <w:abstractNumId w:val="1"/>
  </w:num>
  <w:num w:numId="4">
    <w:abstractNumId w:val="12"/>
  </w:num>
  <w:num w:numId="5">
    <w:abstractNumId w:val="13"/>
  </w:num>
  <w:num w:numId="6">
    <w:abstractNumId w:val="2"/>
  </w:num>
  <w:num w:numId="7">
    <w:abstractNumId w:val="0"/>
  </w:num>
  <w:num w:numId="8">
    <w:abstractNumId w:val="4"/>
  </w:num>
  <w:num w:numId="9">
    <w:abstractNumId w:val="6"/>
  </w:num>
  <w:num w:numId="10">
    <w:abstractNumId w:val="8"/>
  </w:num>
  <w:num w:numId="11">
    <w:abstractNumId w:val="7"/>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26"/>
    <w:rsid w:val="00002692"/>
    <w:rsid w:val="0001022A"/>
    <w:rsid w:val="00076939"/>
    <w:rsid w:val="0007782E"/>
    <w:rsid w:val="000A5A56"/>
    <w:rsid w:val="000C4198"/>
    <w:rsid w:val="00115BC4"/>
    <w:rsid w:val="00164FE2"/>
    <w:rsid w:val="002456AD"/>
    <w:rsid w:val="0026175D"/>
    <w:rsid w:val="002D2C8D"/>
    <w:rsid w:val="00312BD5"/>
    <w:rsid w:val="00345804"/>
    <w:rsid w:val="00362AF3"/>
    <w:rsid w:val="00376961"/>
    <w:rsid w:val="00393ED1"/>
    <w:rsid w:val="003C6278"/>
    <w:rsid w:val="00405F5C"/>
    <w:rsid w:val="00454BDB"/>
    <w:rsid w:val="004B53F5"/>
    <w:rsid w:val="004F5B4D"/>
    <w:rsid w:val="00524E9F"/>
    <w:rsid w:val="005465E8"/>
    <w:rsid w:val="0061109B"/>
    <w:rsid w:val="006B6379"/>
    <w:rsid w:val="006C6EB5"/>
    <w:rsid w:val="006E084E"/>
    <w:rsid w:val="00753F52"/>
    <w:rsid w:val="00794C8F"/>
    <w:rsid w:val="00845EC8"/>
    <w:rsid w:val="008F6A96"/>
    <w:rsid w:val="00900EC7"/>
    <w:rsid w:val="009C2B93"/>
    <w:rsid w:val="009D3843"/>
    <w:rsid w:val="00A977DA"/>
    <w:rsid w:val="00AE6FAB"/>
    <w:rsid w:val="00B245D9"/>
    <w:rsid w:val="00B514B7"/>
    <w:rsid w:val="00B5185A"/>
    <w:rsid w:val="00BD2E0E"/>
    <w:rsid w:val="00BE2385"/>
    <w:rsid w:val="00BE4A8B"/>
    <w:rsid w:val="00C55F7C"/>
    <w:rsid w:val="00C65676"/>
    <w:rsid w:val="00CA63CC"/>
    <w:rsid w:val="00CF5E26"/>
    <w:rsid w:val="00D300E8"/>
    <w:rsid w:val="00D30A06"/>
    <w:rsid w:val="00D530E8"/>
    <w:rsid w:val="00D57511"/>
    <w:rsid w:val="00D651BD"/>
    <w:rsid w:val="00D93362"/>
    <w:rsid w:val="00DB12BC"/>
    <w:rsid w:val="00DB2C3B"/>
    <w:rsid w:val="00DD79B3"/>
    <w:rsid w:val="00E04547"/>
    <w:rsid w:val="00E570B7"/>
    <w:rsid w:val="00E70B92"/>
    <w:rsid w:val="00E95C05"/>
    <w:rsid w:val="00EE3D50"/>
    <w:rsid w:val="00F00E2A"/>
    <w:rsid w:val="00F013CE"/>
    <w:rsid w:val="00F54337"/>
    <w:rsid w:val="00F81B61"/>
    <w:rsid w:val="00F849E8"/>
    <w:rsid w:val="00F93816"/>
    <w:rsid w:val="00FF405D"/>
    <w:rsid w:val="0105622B"/>
    <w:rsid w:val="01303C2B"/>
    <w:rsid w:val="01464577"/>
    <w:rsid w:val="014D1CBC"/>
    <w:rsid w:val="018A7CC3"/>
    <w:rsid w:val="01C7609C"/>
    <w:rsid w:val="025F15A8"/>
    <w:rsid w:val="02887B86"/>
    <w:rsid w:val="02BE3D22"/>
    <w:rsid w:val="03332D0D"/>
    <w:rsid w:val="03560BDA"/>
    <w:rsid w:val="03826C90"/>
    <w:rsid w:val="03DB0ADE"/>
    <w:rsid w:val="041F21E9"/>
    <w:rsid w:val="04BD2298"/>
    <w:rsid w:val="04F93AC6"/>
    <w:rsid w:val="05300E7D"/>
    <w:rsid w:val="064B4AF0"/>
    <w:rsid w:val="064D5433"/>
    <w:rsid w:val="068112B3"/>
    <w:rsid w:val="06AC663B"/>
    <w:rsid w:val="06D3532F"/>
    <w:rsid w:val="06EB1F7A"/>
    <w:rsid w:val="07332EA5"/>
    <w:rsid w:val="07797317"/>
    <w:rsid w:val="078B3727"/>
    <w:rsid w:val="078C7176"/>
    <w:rsid w:val="07A433CE"/>
    <w:rsid w:val="07C4590D"/>
    <w:rsid w:val="07CE0B6A"/>
    <w:rsid w:val="07EA2BD1"/>
    <w:rsid w:val="07FB358A"/>
    <w:rsid w:val="08036B8A"/>
    <w:rsid w:val="080E035C"/>
    <w:rsid w:val="082936B6"/>
    <w:rsid w:val="084D7CFC"/>
    <w:rsid w:val="087A78C6"/>
    <w:rsid w:val="0889189C"/>
    <w:rsid w:val="0918700E"/>
    <w:rsid w:val="09644348"/>
    <w:rsid w:val="098F08DE"/>
    <w:rsid w:val="09925D95"/>
    <w:rsid w:val="099A71D0"/>
    <w:rsid w:val="0A0416DF"/>
    <w:rsid w:val="0A4C6EFB"/>
    <w:rsid w:val="0A4F55BD"/>
    <w:rsid w:val="0ACE4020"/>
    <w:rsid w:val="0B35483A"/>
    <w:rsid w:val="0B44659B"/>
    <w:rsid w:val="0B6D3A04"/>
    <w:rsid w:val="0B7B747C"/>
    <w:rsid w:val="0B8E31B2"/>
    <w:rsid w:val="0BF7118F"/>
    <w:rsid w:val="0C7B45CA"/>
    <w:rsid w:val="0CA062A6"/>
    <w:rsid w:val="0CC103B4"/>
    <w:rsid w:val="0D1339F1"/>
    <w:rsid w:val="0D152DFB"/>
    <w:rsid w:val="0D6E771D"/>
    <w:rsid w:val="0E5547CD"/>
    <w:rsid w:val="0E7066F8"/>
    <w:rsid w:val="0EEE4DF1"/>
    <w:rsid w:val="0EEF364B"/>
    <w:rsid w:val="0F762790"/>
    <w:rsid w:val="0F8A5917"/>
    <w:rsid w:val="0F9B15F3"/>
    <w:rsid w:val="0FC07631"/>
    <w:rsid w:val="10A4335A"/>
    <w:rsid w:val="10EB1C74"/>
    <w:rsid w:val="11687802"/>
    <w:rsid w:val="11E90012"/>
    <w:rsid w:val="124B4407"/>
    <w:rsid w:val="12531331"/>
    <w:rsid w:val="129313B8"/>
    <w:rsid w:val="12A32A92"/>
    <w:rsid w:val="12ED5165"/>
    <w:rsid w:val="13232C50"/>
    <w:rsid w:val="133B6A16"/>
    <w:rsid w:val="137D5F20"/>
    <w:rsid w:val="137E4004"/>
    <w:rsid w:val="139830CE"/>
    <w:rsid w:val="139831EF"/>
    <w:rsid w:val="139971E8"/>
    <w:rsid w:val="141C6BF1"/>
    <w:rsid w:val="143F3794"/>
    <w:rsid w:val="14A54EDD"/>
    <w:rsid w:val="14AA0675"/>
    <w:rsid w:val="14DD6514"/>
    <w:rsid w:val="14FD4348"/>
    <w:rsid w:val="15645863"/>
    <w:rsid w:val="15C92BC4"/>
    <w:rsid w:val="15D00E84"/>
    <w:rsid w:val="1601054C"/>
    <w:rsid w:val="160458E3"/>
    <w:rsid w:val="162114B4"/>
    <w:rsid w:val="167753BA"/>
    <w:rsid w:val="16A22CB3"/>
    <w:rsid w:val="16BF3DD0"/>
    <w:rsid w:val="17D07DB9"/>
    <w:rsid w:val="17DF07F8"/>
    <w:rsid w:val="18103590"/>
    <w:rsid w:val="190502AB"/>
    <w:rsid w:val="190B51B1"/>
    <w:rsid w:val="19304DCF"/>
    <w:rsid w:val="194E5C68"/>
    <w:rsid w:val="19876734"/>
    <w:rsid w:val="19B15D1F"/>
    <w:rsid w:val="1A054E8B"/>
    <w:rsid w:val="1A2C534B"/>
    <w:rsid w:val="1A4E4F3D"/>
    <w:rsid w:val="1B1E66F2"/>
    <w:rsid w:val="1C716A37"/>
    <w:rsid w:val="1C7A6CC9"/>
    <w:rsid w:val="1CF6196B"/>
    <w:rsid w:val="1D1B3E72"/>
    <w:rsid w:val="1D620D3B"/>
    <w:rsid w:val="1D644667"/>
    <w:rsid w:val="1D84065D"/>
    <w:rsid w:val="1DA72308"/>
    <w:rsid w:val="1E2A016F"/>
    <w:rsid w:val="1E6E0693"/>
    <w:rsid w:val="1E7249AD"/>
    <w:rsid w:val="1EB45E9E"/>
    <w:rsid w:val="1EFC4EFB"/>
    <w:rsid w:val="1F0755A2"/>
    <w:rsid w:val="1FAA6EBD"/>
    <w:rsid w:val="203F098D"/>
    <w:rsid w:val="20646596"/>
    <w:rsid w:val="21063138"/>
    <w:rsid w:val="214F6C47"/>
    <w:rsid w:val="21661FE5"/>
    <w:rsid w:val="21D606E3"/>
    <w:rsid w:val="221F6B83"/>
    <w:rsid w:val="22D558F8"/>
    <w:rsid w:val="231F3A4D"/>
    <w:rsid w:val="235563E5"/>
    <w:rsid w:val="23873FA6"/>
    <w:rsid w:val="23917CD3"/>
    <w:rsid w:val="239C2E69"/>
    <w:rsid w:val="23A87A6D"/>
    <w:rsid w:val="23BE2F15"/>
    <w:rsid w:val="23D561C8"/>
    <w:rsid w:val="23DE3273"/>
    <w:rsid w:val="23E44950"/>
    <w:rsid w:val="23EF686D"/>
    <w:rsid w:val="243067AE"/>
    <w:rsid w:val="24672516"/>
    <w:rsid w:val="24EF1B58"/>
    <w:rsid w:val="24F81D2B"/>
    <w:rsid w:val="250514C6"/>
    <w:rsid w:val="250F19F6"/>
    <w:rsid w:val="251425AE"/>
    <w:rsid w:val="260C526E"/>
    <w:rsid w:val="26582A02"/>
    <w:rsid w:val="265D11A6"/>
    <w:rsid w:val="26ED4EA7"/>
    <w:rsid w:val="2701393C"/>
    <w:rsid w:val="27075C82"/>
    <w:rsid w:val="272F79F6"/>
    <w:rsid w:val="27647A08"/>
    <w:rsid w:val="2784078C"/>
    <w:rsid w:val="27C101C6"/>
    <w:rsid w:val="27C85260"/>
    <w:rsid w:val="27DF37BE"/>
    <w:rsid w:val="2804464A"/>
    <w:rsid w:val="2842726D"/>
    <w:rsid w:val="284B322C"/>
    <w:rsid w:val="28681BF3"/>
    <w:rsid w:val="28C72564"/>
    <w:rsid w:val="28E2691A"/>
    <w:rsid w:val="28E43A3C"/>
    <w:rsid w:val="291335B5"/>
    <w:rsid w:val="29252057"/>
    <w:rsid w:val="292B2B72"/>
    <w:rsid w:val="294F2F0E"/>
    <w:rsid w:val="29583C5C"/>
    <w:rsid w:val="2978690C"/>
    <w:rsid w:val="297F6801"/>
    <w:rsid w:val="299E273C"/>
    <w:rsid w:val="29C87269"/>
    <w:rsid w:val="29DF4DC0"/>
    <w:rsid w:val="2A1A42D6"/>
    <w:rsid w:val="2A4203FD"/>
    <w:rsid w:val="2A5B67D0"/>
    <w:rsid w:val="2A6F2FA0"/>
    <w:rsid w:val="2A6F6418"/>
    <w:rsid w:val="2AD64EE8"/>
    <w:rsid w:val="2B02258E"/>
    <w:rsid w:val="2B4E2C55"/>
    <w:rsid w:val="2B566BD2"/>
    <w:rsid w:val="2BEA2B33"/>
    <w:rsid w:val="2C0A106E"/>
    <w:rsid w:val="2CFB3257"/>
    <w:rsid w:val="2D031171"/>
    <w:rsid w:val="2D5E33E7"/>
    <w:rsid w:val="2E2F090B"/>
    <w:rsid w:val="2E5F7B19"/>
    <w:rsid w:val="2EED2843"/>
    <w:rsid w:val="2F9B177D"/>
    <w:rsid w:val="2FC270B6"/>
    <w:rsid w:val="2FCE107E"/>
    <w:rsid w:val="2FD85DA6"/>
    <w:rsid w:val="30883E3B"/>
    <w:rsid w:val="30AF5679"/>
    <w:rsid w:val="30B51498"/>
    <w:rsid w:val="31237CDE"/>
    <w:rsid w:val="31272CAD"/>
    <w:rsid w:val="31A065FB"/>
    <w:rsid w:val="327816AA"/>
    <w:rsid w:val="329450DD"/>
    <w:rsid w:val="32E24C2F"/>
    <w:rsid w:val="332E5C67"/>
    <w:rsid w:val="336D2750"/>
    <w:rsid w:val="338E3ABE"/>
    <w:rsid w:val="33951B70"/>
    <w:rsid w:val="339C05CC"/>
    <w:rsid w:val="33AA79D7"/>
    <w:rsid w:val="33AE2AAF"/>
    <w:rsid w:val="340B3D78"/>
    <w:rsid w:val="340B4FBD"/>
    <w:rsid w:val="34264029"/>
    <w:rsid w:val="34482A02"/>
    <w:rsid w:val="345D0612"/>
    <w:rsid w:val="34952D0E"/>
    <w:rsid w:val="35690B56"/>
    <w:rsid w:val="3586430C"/>
    <w:rsid w:val="36137036"/>
    <w:rsid w:val="36351E98"/>
    <w:rsid w:val="363A29ED"/>
    <w:rsid w:val="364D4748"/>
    <w:rsid w:val="3675348B"/>
    <w:rsid w:val="36B54D59"/>
    <w:rsid w:val="36ED07F9"/>
    <w:rsid w:val="37953C9D"/>
    <w:rsid w:val="37954547"/>
    <w:rsid w:val="37F605AE"/>
    <w:rsid w:val="38EE6562"/>
    <w:rsid w:val="39024F61"/>
    <w:rsid w:val="3A2F30ED"/>
    <w:rsid w:val="3AAD5F4F"/>
    <w:rsid w:val="3AC651BD"/>
    <w:rsid w:val="3BC3617F"/>
    <w:rsid w:val="3D9948C5"/>
    <w:rsid w:val="3DD570B7"/>
    <w:rsid w:val="3E1F5A67"/>
    <w:rsid w:val="3EB71003"/>
    <w:rsid w:val="3EB96AD0"/>
    <w:rsid w:val="3ED35D17"/>
    <w:rsid w:val="3F144651"/>
    <w:rsid w:val="3F196749"/>
    <w:rsid w:val="3F412297"/>
    <w:rsid w:val="3FA75DCA"/>
    <w:rsid w:val="3FB94FF5"/>
    <w:rsid w:val="3FCB6AE9"/>
    <w:rsid w:val="40986D62"/>
    <w:rsid w:val="409D5E07"/>
    <w:rsid w:val="40C03CC4"/>
    <w:rsid w:val="40C4249E"/>
    <w:rsid w:val="40DC6FDC"/>
    <w:rsid w:val="40F40DDD"/>
    <w:rsid w:val="410418E0"/>
    <w:rsid w:val="415A24F1"/>
    <w:rsid w:val="416A69ED"/>
    <w:rsid w:val="41F312EE"/>
    <w:rsid w:val="423955C3"/>
    <w:rsid w:val="429407A6"/>
    <w:rsid w:val="42EA489B"/>
    <w:rsid w:val="430A15E9"/>
    <w:rsid w:val="434C6252"/>
    <w:rsid w:val="435368E1"/>
    <w:rsid w:val="43602BE1"/>
    <w:rsid w:val="4394635D"/>
    <w:rsid w:val="43956B88"/>
    <w:rsid w:val="43AE68B6"/>
    <w:rsid w:val="440B5395"/>
    <w:rsid w:val="445B14B8"/>
    <w:rsid w:val="447B27BE"/>
    <w:rsid w:val="44934EB2"/>
    <w:rsid w:val="457C2791"/>
    <w:rsid w:val="45DC5E27"/>
    <w:rsid w:val="45DF373F"/>
    <w:rsid w:val="45E51699"/>
    <w:rsid w:val="46707D07"/>
    <w:rsid w:val="467C053B"/>
    <w:rsid w:val="46912AB8"/>
    <w:rsid w:val="4694601C"/>
    <w:rsid w:val="46AA1AF1"/>
    <w:rsid w:val="46CC56FA"/>
    <w:rsid w:val="474E2977"/>
    <w:rsid w:val="47621EE7"/>
    <w:rsid w:val="48193693"/>
    <w:rsid w:val="48320CAE"/>
    <w:rsid w:val="48835432"/>
    <w:rsid w:val="48922344"/>
    <w:rsid w:val="48B33583"/>
    <w:rsid w:val="48BC02A6"/>
    <w:rsid w:val="48FC222F"/>
    <w:rsid w:val="490779FB"/>
    <w:rsid w:val="496441F1"/>
    <w:rsid w:val="49D4159A"/>
    <w:rsid w:val="4A383733"/>
    <w:rsid w:val="4A9F46E1"/>
    <w:rsid w:val="4AE84896"/>
    <w:rsid w:val="4B095502"/>
    <w:rsid w:val="4B2C7DAC"/>
    <w:rsid w:val="4B3A50DC"/>
    <w:rsid w:val="4BA74F80"/>
    <w:rsid w:val="4BB7319A"/>
    <w:rsid w:val="4BF43E13"/>
    <w:rsid w:val="4C3D2511"/>
    <w:rsid w:val="4C7B3E5B"/>
    <w:rsid w:val="4CFC7DFB"/>
    <w:rsid w:val="4D4B7872"/>
    <w:rsid w:val="4E531E0C"/>
    <w:rsid w:val="4EDA10DA"/>
    <w:rsid w:val="4F0D1396"/>
    <w:rsid w:val="4F196AD4"/>
    <w:rsid w:val="4F7A3684"/>
    <w:rsid w:val="4FEA5E7D"/>
    <w:rsid w:val="500131BE"/>
    <w:rsid w:val="505E2FDF"/>
    <w:rsid w:val="50676DCC"/>
    <w:rsid w:val="506A3A4E"/>
    <w:rsid w:val="5118709E"/>
    <w:rsid w:val="51382B1B"/>
    <w:rsid w:val="51666D4B"/>
    <w:rsid w:val="51F75486"/>
    <w:rsid w:val="521A426C"/>
    <w:rsid w:val="526854A3"/>
    <w:rsid w:val="52AE3000"/>
    <w:rsid w:val="53621A16"/>
    <w:rsid w:val="536E1052"/>
    <w:rsid w:val="53F37253"/>
    <w:rsid w:val="54E4230C"/>
    <w:rsid w:val="555B7D0C"/>
    <w:rsid w:val="55DA61B7"/>
    <w:rsid w:val="55DF63BE"/>
    <w:rsid w:val="571638CC"/>
    <w:rsid w:val="5758505C"/>
    <w:rsid w:val="575C787E"/>
    <w:rsid w:val="57A7591E"/>
    <w:rsid w:val="58046EFB"/>
    <w:rsid w:val="5861295D"/>
    <w:rsid w:val="5870387B"/>
    <w:rsid w:val="58B639F0"/>
    <w:rsid w:val="58D63169"/>
    <w:rsid w:val="59256273"/>
    <w:rsid w:val="595F0622"/>
    <w:rsid w:val="5A0D02F2"/>
    <w:rsid w:val="5A1444A7"/>
    <w:rsid w:val="5A3C52D8"/>
    <w:rsid w:val="5A42563B"/>
    <w:rsid w:val="5A9D74B5"/>
    <w:rsid w:val="5A9E48B9"/>
    <w:rsid w:val="5ABE1308"/>
    <w:rsid w:val="5AC72983"/>
    <w:rsid w:val="5B283142"/>
    <w:rsid w:val="5BB84864"/>
    <w:rsid w:val="5BED2CBB"/>
    <w:rsid w:val="5C6146B5"/>
    <w:rsid w:val="5C7C7639"/>
    <w:rsid w:val="5C9D5E10"/>
    <w:rsid w:val="5D1872E5"/>
    <w:rsid w:val="5D1A375A"/>
    <w:rsid w:val="5D2B7EA7"/>
    <w:rsid w:val="5D6B040C"/>
    <w:rsid w:val="5D863DC6"/>
    <w:rsid w:val="5E013554"/>
    <w:rsid w:val="5E6A723B"/>
    <w:rsid w:val="5E8D7696"/>
    <w:rsid w:val="5EBB3815"/>
    <w:rsid w:val="5ED25578"/>
    <w:rsid w:val="5F03003D"/>
    <w:rsid w:val="5F040066"/>
    <w:rsid w:val="5F0B5741"/>
    <w:rsid w:val="5F435850"/>
    <w:rsid w:val="5F4F7246"/>
    <w:rsid w:val="5F816CAF"/>
    <w:rsid w:val="5FB16B7C"/>
    <w:rsid w:val="5FE467F4"/>
    <w:rsid w:val="607A1DCF"/>
    <w:rsid w:val="60E04EA7"/>
    <w:rsid w:val="613F66B6"/>
    <w:rsid w:val="61537E89"/>
    <w:rsid w:val="61CF4624"/>
    <w:rsid w:val="61E4425E"/>
    <w:rsid w:val="61F96ADD"/>
    <w:rsid w:val="62046D5B"/>
    <w:rsid w:val="62361610"/>
    <w:rsid w:val="62DD1540"/>
    <w:rsid w:val="62EA1D22"/>
    <w:rsid w:val="634F074F"/>
    <w:rsid w:val="635F4124"/>
    <w:rsid w:val="63864B54"/>
    <w:rsid w:val="63AC1717"/>
    <w:rsid w:val="63B71945"/>
    <w:rsid w:val="63C8235E"/>
    <w:rsid w:val="63E12E32"/>
    <w:rsid w:val="64430D2E"/>
    <w:rsid w:val="64873345"/>
    <w:rsid w:val="649A4C0F"/>
    <w:rsid w:val="652023CE"/>
    <w:rsid w:val="65BC5790"/>
    <w:rsid w:val="66D970FC"/>
    <w:rsid w:val="66EF2CD3"/>
    <w:rsid w:val="67781B69"/>
    <w:rsid w:val="682A2494"/>
    <w:rsid w:val="685760FE"/>
    <w:rsid w:val="69483CA4"/>
    <w:rsid w:val="695845ED"/>
    <w:rsid w:val="69E7193D"/>
    <w:rsid w:val="6A205E59"/>
    <w:rsid w:val="6A263343"/>
    <w:rsid w:val="6A664188"/>
    <w:rsid w:val="6A727285"/>
    <w:rsid w:val="6B8C3BC7"/>
    <w:rsid w:val="6C747EFC"/>
    <w:rsid w:val="6CFC0CE4"/>
    <w:rsid w:val="6D360900"/>
    <w:rsid w:val="6DC16554"/>
    <w:rsid w:val="6E687EA8"/>
    <w:rsid w:val="6E71428B"/>
    <w:rsid w:val="6EC87756"/>
    <w:rsid w:val="6FD87F2B"/>
    <w:rsid w:val="6FEF0873"/>
    <w:rsid w:val="70316367"/>
    <w:rsid w:val="70563428"/>
    <w:rsid w:val="70881E1A"/>
    <w:rsid w:val="70916B9B"/>
    <w:rsid w:val="70DF0B91"/>
    <w:rsid w:val="70FC2813"/>
    <w:rsid w:val="7131017D"/>
    <w:rsid w:val="7137148F"/>
    <w:rsid w:val="71655043"/>
    <w:rsid w:val="716C56C9"/>
    <w:rsid w:val="71AB226A"/>
    <w:rsid w:val="71E824A7"/>
    <w:rsid w:val="720C2531"/>
    <w:rsid w:val="724B18C4"/>
    <w:rsid w:val="72556E9C"/>
    <w:rsid w:val="72C77EEC"/>
    <w:rsid w:val="72EF150A"/>
    <w:rsid w:val="72FB00FF"/>
    <w:rsid w:val="73493C3E"/>
    <w:rsid w:val="73BE2CBA"/>
    <w:rsid w:val="73C136EC"/>
    <w:rsid w:val="743367E3"/>
    <w:rsid w:val="74682561"/>
    <w:rsid w:val="7478646C"/>
    <w:rsid w:val="752425DC"/>
    <w:rsid w:val="755F2BAC"/>
    <w:rsid w:val="75971A41"/>
    <w:rsid w:val="75DF6B71"/>
    <w:rsid w:val="76004586"/>
    <w:rsid w:val="761D2A49"/>
    <w:rsid w:val="763A4B47"/>
    <w:rsid w:val="769C3F6D"/>
    <w:rsid w:val="76DD562A"/>
    <w:rsid w:val="76E9335E"/>
    <w:rsid w:val="76F1260A"/>
    <w:rsid w:val="770D7148"/>
    <w:rsid w:val="77A67145"/>
    <w:rsid w:val="77B41971"/>
    <w:rsid w:val="797710B0"/>
    <w:rsid w:val="79973705"/>
    <w:rsid w:val="79BD4EFE"/>
    <w:rsid w:val="79F67A13"/>
    <w:rsid w:val="7A31620D"/>
    <w:rsid w:val="7A8D27FF"/>
    <w:rsid w:val="7AB12A95"/>
    <w:rsid w:val="7B121671"/>
    <w:rsid w:val="7B145465"/>
    <w:rsid w:val="7BD648B0"/>
    <w:rsid w:val="7C0421A6"/>
    <w:rsid w:val="7C47085D"/>
    <w:rsid w:val="7C7A3730"/>
    <w:rsid w:val="7C8B6B88"/>
    <w:rsid w:val="7CD7714F"/>
    <w:rsid w:val="7D2F5F82"/>
    <w:rsid w:val="7D3F7E1E"/>
    <w:rsid w:val="7D996A4D"/>
    <w:rsid w:val="7E135267"/>
    <w:rsid w:val="7ED04C63"/>
    <w:rsid w:val="7EE9017E"/>
    <w:rsid w:val="7F5E39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4" w:semiHidden="0" w:name="Subtitle"/>
    <w:lsdException w:qFormat="1" w:uiPriority="99"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2"/>
    <w:qFormat/>
    <w:uiPriority w:val="0"/>
    <w:pPr>
      <w:keepNext/>
      <w:keepLines/>
      <w:spacing w:before="340" w:after="330"/>
      <w:jc w:val="center"/>
      <w:outlineLvl w:val="0"/>
    </w:pPr>
    <w:rPr>
      <w:b/>
      <w:bCs/>
      <w:kern w:val="44"/>
      <w:sz w:val="36"/>
      <w:szCs w:val="44"/>
    </w:rPr>
  </w:style>
  <w:style w:type="paragraph" w:styleId="4">
    <w:name w:val="heading 2"/>
    <w:basedOn w:val="1"/>
    <w:next w:val="1"/>
    <w:link w:val="40"/>
    <w:qFormat/>
    <w:uiPriority w:val="99"/>
    <w:pPr>
      <w:keepNext/>
      <w:keepLines/>
      <w:spacing w:before="260" w:after="260" w:line="416" w:lineRule="auto"/>
      <w:jc w:val="center"/>
      <w:outlineLvl w:val="1"/>
    </w:pPr>
    <w:rPr>
      <w:rFonts w:ascii="Arial" w:hAnsi="Arial" w:eastAsia="黑体"/>
      <w:b/>
      <w:bCs/>
      <w:sz w:val="32"/>
      <w:szCs w:val="32"/>
    </w:rPr>
  </w:style>
  <w:style w:type="paragraph" w:styleId="5">
    <w:name w:val="heading 3"/>
    <w:basedOn w:val="1"/>
    <w:next w:val="1"/>
    <w:link w:val="41"/>
    <w:qFormat/>
    <w:uiPriority w:val="99"/>
    <w:pPr>
      <w:keepNext/>
      <w:keepLines/>
      <w:spacing w:before="260" w:after="260" w:line="416" w:lineRule="auto"/>
      <w:jc w:val="left"/>
      <w:outlineLvl w:val="2"/>
    </w:pPr>
    <w:rPr>
      <w:b/>
      <w:bCs/>
      <w:szCs w:val="32"/>
    </w:rPr>
  </w:style>
  <w:style w:type="paragraph" w:styleId="6">
    <w:name w:val="heading 4"/>
    <w:basedOn w:val="1"/>
    <w:next w:val="1"/>
    <w:link w:val="42"/>
    <w:qFormat/>
    <w:uiPriority w:val="99"/>
    <w:pPr>
      <w:keepNext/>
      <w:keepLines/>
      <w:outlineLvl w:val="3"/>
    </w:pPr>
    <w:rPr>
      <w:rFonts w:ascii="Arial" w:hAnsi="Arial"/>
    </w:rPr>
  </w:style>
  <w:style w:type="paragraph" w:styleId="7">
    <w:name w:val="heading 5"/>
    <w:basedOn w:val="1"/>
    <w:next w:val="1"/>
    <w:link w:val="43"/>
    <w:qFormat/>
    <w:uiPriority w:val="0"/>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8">
    <w:name w:val="index 8"/>
    <w:basedOn w:val="1"/>
    <w:next w:val="1"/>
    <w:qFormat/>
    <w:uiPriority w:val="0"/>
    <w:pPr>
      <w:spacing w:line="276" w:lineRule="auto"/>
      <w:jc w:val="left"/>
    </w:pPr>
    <w:rPr>
      <w:rFonts w:ascii="宋体" w:hAnsi="宋体"/>
      <w:color w:val="FF0000"/>
      <w:szCs w:val="21"/>
    </w:rPr>
  </w:style>
  <w:style w:type="paragraph" w:styleId="9">
    <w:name w:val="Normal Indent"/>
    <w:basedOn w:val="1"/>
    <w:qFormat/>
    <w:uiPriority w:val="99"/>
    <w:pPr>
      <w:ind w:firstLine="420"/>
    </w:pPr>
  </w:style>
  <w:style w:type="paragraph" w:styleId="10">
    <w:name w:val="annotation text"/>
    <w:basedOn w:val="1"/>
    <w:unhideWhenUsed/>
    <w:qFormat/>
    <w:uiPriority w:val="0"/>
    <w:pPr>
      <w:jc w:val="left"/>
    </w:pPr>
  </w:style>
  <w:style w:type="paragraph" w:styleId="11">
    <w:name w:val="Salutation"/>
    <w:basedOn w:val="1"/>
    <w:next w:val="1"/>
    <w:unhideWhenUsed/>
    <w:qFormat/>
    <w:uiPriority w:val="99"/>
  </w:style>
  <w:style w:type="paragraph" w:styleId="12">
    <w:name w:val="Body Text"/>
    <w:basedOn w:val="1"/>
    <w:next w:val="1"/>
    <w:link w:val="38"/>
    <w:qFormat/>
    <w:uiPriority w:val="99"/>
    <w:pPr>
      <w:spacing w:after="120"/>
    </w:pPr>
  </w:style>
  <w:style w:type="paragraph" w:styleId="13">
    <w:name w:val="Body Text Indent"/>
    <w:basedOn w:val="1"/>
    <w:next w:val="1"/>
    <w:link w:val="44"/>
    <w:qFormat/>
    <w:uiPriority w:val="99"/>
    <w:pPr>
      <w:ind w:firstLine="630"/>
    </w:pPr>
    <w:rPr>
      <w:sz w:val="32"/>
      <w:szCs w:val="20"/>
    </w:rPr>
  </w:style>
  <w:style w:type="paragraph" w:styleId="14">
    <w:name w:val="Plain Text"/>
    <w:basedOn w:val="1"/>
    <w:link w:val="45"/>
    <w:qFormat/>
    <w:uiPriority w:val="99"/>
    <w:pPr>
      <w:autoSpaceDE w:val="0"/>
      <w:autoSpaceDN w:val="0"/>
      <w:adjustRightInd w:val="0"/>
    </w:pPr>
    <w:rPr>
      <w:rFonts w:ascii="宋体" w:hAnsi="Tms Rmn"/>
      <w:szCs w:val="22"/>
    </w:rPr>
  </w:style>
  <w:style w:type="paragraph" w:styleId="15">
    <w:name w:val="Date"/>
    <w:basedOn w:val="1"/>
    <w:next w:val="1"/>
    <w:link w:val="58"/>
    <w:qFormat/>
    <w:uiPriority w:val="99"/>
    <w:pPr>
      <w:ind w:left="100" w:leftChars="2500"/>
    </w:pPr>
  </w:style>
  <w:style w:type="paragraph" w:styleId="16">
    <w:name w:val="Body Text Indent 2"/>
    <w:basedOn w:val="1"/>
    <w:link w:val="46"/>
    <w:qFormat/>
    <w:uiPriority w:val="99"/>
    <w:pPr>
      <w:spacing w:after="120" w:line="480" w:lineRule="auto"/>
      <w:ind w:left="420" w:leftChars="200"/>
    </w:pPr>
  </w:style>
  <w:style w:type="paragraph" w:styleId="17">
    <w:name w:val="Balloon Text"/>
    <w:basedOn w:val="1"/>
    <w:link w:val="47"/>
    <w:qFormat/>
    <w:uiPriority w:val="99"/>
    <w:rPr>
      <w:sz w:val="18"/>
      <w:szCs w:val="18"/>
    </w:rPr>
  </w:style>
  <w:style w:type="paragraph" w:styleId="18">
    <w:name w:val="footer"/>
    <w:basedOn w:val="1"/>
    <w:link w:val="48"/>
    <w:qFormat/>
    <w:uiPriority w:val="99"/>
    <w:pPr>
      <w:tabs>
        <w:tab w:val="center" w:pos="4153"/>
        <w:tab w:val="right" w:pos="8306"/>
      </w:tabs>
      <w:snapToGrid w:val="0"/>
      <w:jc w:val="left"/>
    </w:pPr>
    <w:rPr>
      <w:sz w:val="18"/>
      <w:szCs w:val="18"/>
    </w:rPr>
  </w:style>
  <w:style w:type="paragraph" w:styleId="19">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line="480" w:lineRule="auto"/>
    </w:pPr>
    <w:rPr>
      <w:szCs w:val="20"/>
    </w:rPr>
  </w:style>
  <w:style w:type="paragraph" w:styleId="21">
    <w:name w:val="Subtitle"/>
    <w:basedOn w:val="1"/>
    <w:next w:val="1"/>
    <w:qFormat/>
    <w:uiPriority w:val="4"/>
    <w:pPr>
      <w:widowControl/>
      <w:spacing w:beforeLines="50" w:afterLines="50"/>
      <w:jc w:val="center"/>
    </w:pPr>
    <w:rPr>
      <w:rFonts w:ascii="Cambria" w:hAnsi="Cambria" w:eastAsia="黑体"/>
      <w:b/>
      <w:kern w:val="0"/>
      <w:sz w:val="44"/>
    </w:rPr>
  </w:style>
  <w:style w:type="paragraph" w:styleId="22">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3">
    <w:name w:val="Title"/>
    <w:basedOn w:val="1"/>
    <w:next w:val="1"/>
    <w:link w:val="50"/>
    <w:qFormat/>
    <w:uiPriority w:val="99"/>
    <w:pPr>
      <w:spacing w:before="240" w:after="60"/>
      <w:jc w:val="center"/>
      <w:outlineLvl w:val="0"/>
    </w:pPr>
    <w:rPr>
      <w:rFonts w:ascii="Cambria" w:hAnsi="Cambria"/>
      <w:b/>
      <w:bCs/>
      <w:sz w:val="32"/>
      <w:szCs w:val="32"/>
    </w:rPr>
  </w:style>
  <w:style w:type="paragraph" w:styleId="24">
    <w:name w:val="Body Text First Indent"/>
    <w:basedOn w:val="12"/>
    <w:unhideWhenUsed/>
    <w:qFormat/>
    <w:uiPriority w:val="99"/>
    <w:pPr>
      <w:spacing w:line="240" w:lineRule="auto"/>
      <w:ind w:firstLine="420" w:firstLineChars="100"/>
    </w:pPr>
    <w:rPr>
      <w:szCs w:val="22"/>
    </w:rPr>
  </w:style>
  <w:style w:type="paragraph" w:styleId="25">
    <w:name w:val="Body Text First Indent 2"/>
    <w:basedOn w:val="13"/>
    <w:qFormat/>
    <w:uiPriority w:val="0"/>
    <w:pPr>
      <w:ind w:firstLine="420" w:firstLineChars="200"/>
    </w:p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page number"/>
    <w:basedOn w:val="28"/>
    <w:qFormat/>
    <w:uiPriority w:val="99"/>
    <w:rPr>
      <w:rFonts w:cs="Times New Roman"/>
    </w:rPr>
  </w:style>
  <w:style w:type="character" w:styleId="30">
    <w:name w:val="FollowedHyperlink"/>
    <w:basedOn w:val="28"/>
    <w:qFormat/>
    <w:uiPriority w:val="0"/>
    <w:rPr>
      <w:color w:val="3D3D3D"/>
      <w:u w:val="none"/>
    </w:rPr>
  </w:style>
  <w:style w:type="character" w:styleId="31">
    <w:name w:val="Emphasis"/>
    <w:basedOn w:val="28"/>
    <w:qFormat/>
    <w:uiPriority w:val="20"/>
    <w:rPr>
      <w:i/>
      <w:iCs/>
    </w:rPr>
  </w:style>
  <w:style w:type="character" w:styleId="32">
    <w:name w:val="HTML Definition"/>
    <w:basedOn w:val="28"/>
    <w:qFormat/>
    <w:uiPriority w:val="0"/>
  </w:style>
  <w:style w:type="character" w:styleId="33">
    <w:name w:val="HTML Variable"/>
    <w:basedOn w:val="28"/>
    <w:qFormat/>
    <w:uiPriority w:val="0"/>
  </w:style>
  <w:style w:type="character" w:styleId="34">
    <w:name w:val="Hyperlink"/>
    <w:basedOn w:val="28"/>
    <w:qFormat/>
    <w:uiPriority w:val="99"/>
    <w:rPr>
      <w:rFonts w:cs="Times New Roman"/>
      <w:color w:val="0000FF"/>
      <w:u w:val="single"/>
    </w:rPr>
  </w:style>
  <w:style w:type="character" w:styleId="35">
    <w:name w:val="HTML Code"/>
    <w:basedOn w:val="28"/>
    <w:qFormat/>
    <w:uiPriority w:val="0"/>
    <w:rPr>
      <w:rFonts w:ascii="Courier New" w:hAnsi="Courier New"/>
      <w:sz w:val="20"/>
    </w:rPr>
  </w:style>
  <w:style w:type="character" w:styleId="36">
    <w:name w:val="HTML Cite"/>
    <w:basedOn w:val="28"/>
    <w:qFormat/>
    <w:uiPriority w:val="0"/>
  </w:style>
  <w:style w:type="paragraph" w:customStyle="1" w:styleId="37">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character" w:customStyle="1" w:styleId="38">
    <w:name w:val="正文文本 字符"/>
    <w:basedOn w:val="28"/>
    <w:link w:val="12"/>
    <w:qFormat/>
    <w:uiPriority w:val="99"/>
    <w:rPr>
      <w:szCs w:val="24"/>
    </w:rPr>
  </w:style>
  <w:style w:type="character" w:customStyle="1" w:styleId="39">
    <w:name w:val="标题 1 Char"/>
    <w:basedOn w:val="28"/>
    <w:qFormat/>
    <w:uiPriority w:val="0"/>
    <w:rPr>
      <w:rFonts w:ascii="Times New Roman" w:hAnsi="Times New Roman"/>
      <w:b/>
      <w:bCs/>
      <w:kern w:val="44"/>
      <w:sz w:val="36"/>
      <w:szCs w:val="44"/>
    </w:rPr>
  </w:style>
  <w:style w:type="character" w:customStyle="1" w:styleId="40">
    <w:name w:val="标题 2 字符"/>
    <w:basedOn w:val="28"/>
    <w:link w:val="4"/>
    <w:qFormat/>
    <w:uiPriority w:val="99"/>
    <w:rPr>
      <w:rFonts w:ascii="Arial" w:hAnsi="Arial" w:eastAsia="黑体"/>
      <w:b/>
      <w:bCs/>
      <w:kern w:val="2"/>
      <w:sz w:val="32"/>
      <w:szCs w:val="32"/>
    </w:rPr>
  </w:style>
  <w:style w:type="character" w:customStyle="1" w:styleId="41">
    <w:name w:val="标题 3 字符"/>
    <w:basedOn w:val="28"/>
    <w:link w:val="5"/>
    <w:qFormat/>
    <w:uiPriority w:val="99"/>
    <w:rPr>
      <w:rFonts w:ascii="Times New Roman" w:hAnsi="Times New Roman"/>
      <w:b/>
      <w:bCs/>
      <w:kern w:val="2"/>
      <w:sz w:val="24"/>
      <w:szCs w:val="32"/>
    </w:rPr>
  </w:style>
  <w:style w:type="character" w:customStyle="1" w:styleId="42">
    <w:name w:val="标题 4 字符"/>
    <w:basedOn w:val="28"/>
    <w:link w:val="6"/>
    <w:qFormat/>
    <w:uiPriority w:val="99"/>
    <w:rPr>
      <w:rFonts w:ascii="Arial" w:hAnsi="Arial" w:eastAsia="宋体"/>
      <w:kern w:val="2"/>
      <w:sz w:val="24"/>
      <w:szCs w:val="24"/>
    </w:rPr>
  </w:style>
  <w:style w:type="character" w:customStyle="1" w:styleId="43">
    <w:name w:val="标题 5 字符"/>
    <w:basedOn w:val="28"/>
    <w:link w:val="7"/>
    <w:qFormat/>
    <w:uiPriority w:val="0"/>
    <w:rPr>
      <w:rFonts w:ascii="Times New Roman" w:hAnsi="Times New Roman"/>
      <w:b/>
      <w:bCs/>
      <w:kern w:val="2"/>
      <w:sz w:val="28"/>
      <w:szCs w:val="28"/>
    </w:rPr>
  </w:style>
  <w:style w:type="character" w:customStyle="1" w:styleId="44">
    <w:name w:val="正文文本缩进 字符"/>
    <w:basedOn w:val="28"/>
    <w:link w:val="13"/>
    <w:qFormat/>
    <w:uiPriority w:val="99"/>
    <w:rPr>
      <w:szCs w:val="24"/>
    </w:rPr>
  </w:style>
  <w:style w:type="character" w:customStyle="1" w:styleId="45">
    <w:name w:val="纯文本 字符"/>
    <w:basedOn w:val="28"/>
    <w:link w:val="14"/>
    <w:qFormat/>
    <w:uiPriority w:val="99"/>
    <w:rPr>
      <w:rFonts w:ascii="宋体" w:hAnsi="Tms Rmn"/>
      <w:kern w:val="2"/>
      <w:sz w:val="21"/>
      <w:szCs w:val="22"/>
    </w:rPr>
  </w:style>
  <w:style w:type="character" w:customStyle="1" w:styleId="46">
    <w:name w:val="正文文本缩进 2 字符"/>
    <w:basedOn w:val="28"/>
    <w:link w:val="16"/>
    <w:qFormat/>
    <w:uiPriority w:val="99"/>
    <w:rPr>
      <w:szCs w:val="24"/>
    </w:rPr>
  </w:style>
  <w:style w:type="character" w:customStyle="1" w:styleId="47">
    <w:name w:val="批注框文本 字符"/>
    <w:basedOn w:val="28"/>
    <w:link w:val="17"/>
    <w:qFormat/>
    <w:uiPriority w:val="99"/>
    <w:rPr>
      <w:rFonts w:ascii="Times New Roman" w:hAnsi="Times New Roman"/>
      <w:kern w:val="2"/>
      <w:sz w:val="18"/>
      <w:szCs w:val="18"/>
    </w:rPr>
  </w:style>
  <w:style w:type="character" w:customStyle="1" w:styleId="48">
    <w:name w:val="页脚 字符"/>
    <w:basedOn w:val="28"/>
    <w:link w:val="18"/>
    <w:qFormat/>
    <w:uiPriority w:val="99"/>
    <w:rPr>
      <w:sz w:val="18"/>
      <w:szCs w:val="18"/>
    </w:rPr>
  </w:style>
  <w:style w:type="character" w:customStyle="1" w:styleId="49">
    <w:name w:val="页眉 字符"/>
    <w:basedOn w:val="28"/>
    <w:link w:val="19"/>
    <w:qFormat/>
    <w:uiPriority w:val="99"/>
    <w:rPr>
      <w:sz w:val="18"/>
      <w:szCs w:val="18"/>
    </w:rPr>
  </w:style>
  <w:style w:type="character" w:customStyle="1" w:styleId="50">
    <w:name w:val="标题 字符"/>
    <w:basedOn w:val="28"/>
    <w:link w:val="23"/>
    <w:qFormat/>
    <w:uiPriority w:val="10"/>
    <w:rPr>
      <w:rFonts w:ascii="Cambria" w:hAnsi="Cambria" w:cs="宋体"/>
      <w:b/>
      <w:bCs/>
      <w:sz w:val="32"/>
      <w:szCs w:val="32"/>
    </w:rPr>
  </w:style>
  <w:style w:type="paragraph" w:customStyle="1" w:styleId="51">
    <w:name w:val="正文首行缩进两字符"/>
    <w:basedOn w:val="1"/>
    <w:qFormat/>
    <w:uiPriority w:val="0"/>
  </w:style>
  <w:style w:type="paragraph" w:customStyle="1" w:styleId="5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53">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4">
    <w:name w:val="样式 首行缩进:  2 字符"/>
    <w:basedOn w:val="1"/>
    <w:qFormat/>
    <w:uiPriority w:val="99"/>
    <w:pPr>
      <w:spacing w:line="400" w:lineRule="exact"/>
    </w:pPr>
    <w:rPr>
      <w:rFonts w:cs="宋体"/>
    </w:rPr>
  </w:style>
  <w:style w:type="paragraph" w:customStyle="1" w:styleId="55">
    <w:name w:val="_Style 2"/>
    <w:basedOn w:val="1"/>
    <w:qFormat/>
    <w:uiPriority w:val="99"/>
    <w:pPr>
      <w:ind w:firstLine="420"/>
    </w:pPr>
    <w:rPr>
      <w:sz w:val="18"/>
      <w:szCs w:val="18"/>
    </w:rPr>
  </w:style>
  <w:style w:type="paragraph" w:customStyle="1" w:styleId="56">
    <w:name w:val="列出段落1"/>
    <w:basedOn w:val="1"/>
    <w:qFormat/>
    <w:uiPriority w:val="99"/>
    <w:pPr>
      <w:widowControl/>
      <w:spacing w:before="39" w:after="158" w:line="351" w:lineRule="atLeast"/>
      <w:ind w:firstLine="419"/>
      <w:textAlignment w:val="baseline"/>
    </w:pPr>
    <w:rPr>
      <w:color w:val="000000"/>
      <w:kern w:val="0"/>
      <w:szCs w:val="20"/>
      <w:u w:color="000000"/>
    </w:rPr>
  </w:style>
  <w:style w:type="paragraph" w:customStyle="1" w:styleId="57">
    <w:name w:val="List Paragraph1"/>
    <w:basedOn w:val="1"/>
    <w:qFormat/>
    <w:uiPriority w:val="99"/>
    <w:pPr>
      <w:ind w:firstLine="420"/>
    </w:pPr>
    <w:rPr>
      <w:rFonts w:ascii="Calibri" w:hAnsi="Calibri"/>
    </w:rPr>
  </w:style>
  <w:style w:type="character" w:customStyle="1" w:styleId="58">
    <w:name w:val="日期 字符"/>
    <w:basedOn w:val="28"/>
    <w:link w:val="15"/>
    <w:qFormat/>
    <w:uiPriority w:val="99"/>
    <w:rPr>
      <w:kern w:val="2"/>
      <w:sz w:val="24"/>
      <w:szCs w:val="24"/>
    </w:rPr>
  </w:style>
  <w:style w:type="paragraph" w:styleId="59">
    <w:name w:val="List Paragraph"/>
    <w:basedOn w:val="1"/>
    <w:qFormat/>
    <w:uiPriority w:val="34"/>
    <w:pPr>
      <w:ind w:firstLine="420"/>
    </w:pPr>
  </w:style>
  <w:style w:type="character" w:customStyle="1" w:styleId="60">
    <w:name w:val="img"/>
    <w:basedOn w:val="28"/>
    <w:qFormat/>
    <w:uiPriority w:val="0"/>
  </w:style>
  <w:style w:type="character" w:customStyle="1" w:styleId="61">
    <w:name w:val="img1"/>
    <w:basedOn w:val="28"/>
    <w:qFormat/>
    <w:uiPriority w:val="0"/>
  </w:style>
  <w:style w:type="character" w:customStyle="1" w:styleId="62">
    <w:name w:val="标题 1 字符"/>
    <w:link w:val="3"/>
    <w:qFormat/>
    <w:uiPriority w:val="1"/>
    <w:rPr>
      <w:b/>
      <w:bCs/>
      <w:kern w:val="44"/>
      <w:sz w:val="44"/>
      <w:szCs w:val="44"/>
    </w:rPr>
  </w:style>
  <w:style w:type="paragraph" w:customStyle="1" w:styleId="63">
    <w:name w:val="Body text|1"/>
    <w:basedOn w:val="1"/>
    <w:link w:val="64"/>
    <w:unhideWhenUsed/>
    <w:qFormat/>
    <w:uiPriority w:val="0"/>
    <w:pPr>
      <w:spacing w:line="480" w:lineRule="auto"/>
      <w:jc w:val="left"/>
    </w:pPr>
    <w:rPr>
      <w:rFonts w:ascii="MingLiU" w:hAnsi="MingLiU" w:eastAsia="MingLiU"/>
      <w:color w:val="000000"/>
      <w:sz w:val="20"/>
      <w:lang w:val="zh-TW" w:eastAsia="zh-TW"/>
    </w:rPr>
  </w:style>
  <w:style w:type="character" w:customStyle="1" w:styleId="64">
    <w:name w:val="Body text|1_"/>
    <w:link w:val="63"/>
    <w:unhideWhenUsed/>
    <w:qFormat/>
    <w:uiPriority w:val="0"/>
    <w:rPr>
      <w:rFonts w:ascii="MingLiU" w:hAnsi="MingLiU" w:eastAsia="MingLiU"/>
      <w:color w:val="000000"/>
      <w:kern w:val="2"/>
      <w:szCs w:val="24"/>
      <w:lang w:val="zh-TW" w:eastAsia="zh-TW"/>
    </w:rPr>
  </w:style>
  <w:style w:type="paragraph" w:customStyle="1" w:styleId="65">
    <w:name w:val="Table Paragraph"/>
    <w:basedOn w:val="1"/>
    <w:qFormat/>
    <w:uiPriority w:val="1"/>
    <w:pPr>
      <w:spacing w:before="92"/>
      <w:ind w:left="111"/>
      <w:jc w:val="center"/>
    </w:pPr>
    <w:rPr>
      <w:rFonts w:ascii="楷体" w:hAnsi="楷体" w:eastAsia="楷体" w:cs="楷体"/>
      <w:lang w:val="zh-CN" w:eastAsia="zh-CN" w:bidi="zh-CN"/>
    </w:rPr>
  </w:style>
  <w:style w:type="character" w:customStyle="1" w:styleId="66">
    <w:name w:val="font51"/>
    <w:basedOn w:val="28"/>
    <w:qFormat/>
    <w:uiPriority w:val="0"/>
    <w:rPr>
      <w:rFonts w:hint="eastAsia" w:ascii="宋体" w:hAnsi="宋体" w:eastAsia="宋体" w:cs="宋体"/>
      <w:color w:val="000000"/>
      <w:sz w:val="24"/>
      <w:szCs w:val="24"/>
      <w:u w:val="none"/>
    </w:rPr>
  </w:style>
  <w:style w:type="character" w:customStyle="1" w:styleId="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237F3-0A0A-42BE-92AD-3FAC1283082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33637</Words>
  <Characters>35382</Characters>
  <Lines>266</Lines>
  <Paragraphs>75</Paragraphs>
  <TotalTime>1</TotalTime>
  <ScaleCrop>false</ScaleCrop>
  <LinksUpToDate>false</LinksUpToDate>
  <CharactersWithSpaces>36262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2018-11-16T06:11:00Z</dcterms:created>
  <dc:creator>freda+</dc:creator>
  <cp:lastModifiedBy>Powerful</cp:lastModifiedBy>
  <cp:lastPrinted>2021-03-17T06:33:00Z</cp:lastPrinted>
  <dcterms:modified xsi:type="dcterms:W3CDTF">2021-10-08T03:14:35Z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6F3F68BA5CD2464D94B107AC81E20508</vt:lpwstr>
  </property>
</Properties>
</file>