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Cs/>
          <w:sz w:val="30"/>
          <w:szCs w:val="30"/>
          <w:highlight w:val="none"/>
        </w:rPr>
      </w:pPr>
      <w:r>
        <w:rPr>
          <w:rFonts w:hint="eastAsia" w:hAnsi="宋体" w:cs="宋体"/>
          <w:b/>
          <w:sz w:val="36"/>
          <w:szCs w:val="36"/>
          <w:lang w:eastAsia="zh-CN"/>
        </w:rPr>
        <w:t>成都市妇女儿童中心医院机房升级维保服务及软件维保服务</w:t>
      </w:r>
      <w:r>
        <w:rPr>
          <w:rFonts w:hint="eastAsia" w:hAnsi="宋体" w:cs="宋体"/>
          <w:b/>
          <w:sz w:val="36"/>
          <w:szCs w:val="36"/>
          <w:highlight w:val="none"/>
          <w:lang w:eastAsia="zh-CN"/>
        </w:rPr>
        <w:t>采购项目</w:t>
      </w:r>
    </w:p>
    <w:p>
      <w:pPr>
        <w:spacing w:line="360" w:lineRule="auto"/>
        <w:jc w:val="center"/>
        <w:rPr>
          <w:rFonts w:hint="default"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项目编号：</w:t>
      </w:r>
      <w:r>
        <w:rPr>
          <w:rFonts w:hint="eastAsia" w:hAnsi="宋体" w:cs="宋体"/>
          <w:b/>
          <w:bCs w:val="0"/>
          <w:color w:val="auto"/>
          <w:sz w:val="32"/>
          <w:szCs w:val="32"/>
          <w:highlight w:val="none"/>
          <w:lang w:val="en-US" w:eastAsia="zh-CN"/>
        </w:rPr>
        <w:t xml:space="preserve">510101202101969 </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竞</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争</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性</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磋</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商</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文</w:t>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52"/>
          <w:szCs w:val="52"/>
          <w:highlight w:val="none"/>
        </w:rPr>
        <w:t>件</w:t>
      </w:r>
    </w:p>
    <w:p>
      <w:pPr>
        <w:pStyle w:val="2"/>
        <w:rPr>
          <w:rFonts w:hint="eastAsia" w:ascii="宋体" w:hAnsi="宋体" w:eastAsia="宋体" w:cs="宋体"/>
          <w:highlight w:val="none"/>
        </w:rPr>
      </w:pPr>
    </w:p>
    <w:p>
      <w:pPr>
        <w:spacing w:line="360" w:lineRule="auto"/>
        <w:jc w:val="center"/>
        <w:rPr>
          <w:rFonts w:hint="eastAsia" w:ascii="宋体" w:hAnsi="宋体" w:eastAsia="宋体" w:cs="宋体"/>
          <w:b/>
          <w:sz w:val="32"/>
          <w:szCs w:val="32"/>
          <w:highlight w:val="none"/>
          <w:lang w:eastAsia="zh-CN"/>
        </w:rPr>
      </w:pPr>
      <w:r>
        <w:rPr>
          <w:rFonts w:hint="eastAsia" w:hAnsi="宋体" w:cs="宋体"/>
          <w:b/>
          <w:sz w:val="32"/>
          <w:szCs w:val="32"/>
          <w:highlight w:val="none"/>
          <w:lang w:eastAsia="zh-CN"/>
        </w:rPr>
        <w:t>成都市妇女儿童中心医院</w:t>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四川三盈招标代理有限公司</w:t>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共同编制</w:t>
      </w:r>
    </w:p>
    <w:p>
      <w:pPr>
        <w:pStyle w:val="5"/>
        <w:keepNext w:val="0"/>
        <w:keepLines w:val="0"/>
        <w:spacing w:line="360" w:lineRule="auto"/>
        <w:jc w:val="center"/>
        <w:rPr>
          <w:rFonts w:hint="eastAsia" w:ascii="宋体" w:hAnsi="宋体" w:eastAsia="宋体" w:cs="宋体"/>
          <w:b/>
          <w:bCs/>
          <w:sz w:val="32"/>
          <w:szCs w:val="32"/>
          <w:highlight w:val="none"/>
        </w:rPr>
        <w:sectPr>
          <w:headerReference r:id="rId3" w:type="default"/>
          <w:footerReference r:id="rId4" w:type="default"/>
          <w:pgSz w:w="11906" w:h="16838"/>
          <w:pgMar w:top="1440" w:right="1080" w:bottom="1440" w:left="1080" w:header="1247" w:footer="992" w:gutter="0"/>
          <w:pgNumType w:fmt="decimal" w:start="1"/>
          <w:cols w:space="720" w:num="1"/>
          <w:docGrid w:linePitch="326" w:charSpace="0"/>
        </w:sectPr>
      </w:pPr>
      <w:r>
        <w:rPr>
          <w:rFonts w:hint="eastAsia" w:ascii="宋体" w:hAnsi="宋体" w:eastAsia="宋体" w:cs="宋体"/>
          <w:b/>
          <w:bCs/>
          <w:sz w:val="32"/>
          <w:szCs w:val="32"/>
          <w:highlight w:val="none"/>
          <w:lang w:val="zh-CN"/>
        </w:rPr>
        <w:t>20</w:t>
      </w:r>
      <w:r>
        <w:rPr>
          <w:rFonts w:hint="eastAsia" w:ascii="宋体" w:hAnsi="宋体" w:eastAsia="宋体" w:cs="宋体"/>
          <w:b/>
          <w:bCs/>
          <w:sz w:val="32"/>
          <w:szCs w:val="32"/>
          <w:highlight w:val="none"/>
        </w:rPr>
        <w:t>2</w:t>
      </w:r>
      <w:r>
        <w:rPr>
          <w:rFonts w:hint="eastAsia" w:ascii="宋体" w:hAnsi="宋体" w:eastAsia="宋体" w:cs="宋体"/>
          <w:b/>
          <w:bCs/>
          <w:sz w:val="32"/>
          <w:szCs w:val="32"/>
          <w:highlight w:val="none"/>
          <w:lang w:val="en-US" w:eastAsia="zh-CN"/>
        </w:rPr>
        <w:t>1</w:t>
      </w:r>
      <w:r>
        <w:rPr>
          <w:rFonts w:hint="eastAsia" w:ascii="宋体" w:hAnsi="宋体" w:eastAsia="宋体" w:cs="宋体"/>
          <w:b/>
          <w:bCs/>
          <w:sz w:val="32"/>
          <w:szCs w:val="32"/>
          <w:highlight w:val="none"/>
          <w:lang w:val="zh-CN"/>
        </w:rPr>
        <w:t>年</w:t>
      </w:r>
      <w:r>
        <w:rPr>
          <w:rFonts w:hint="eastAsia" w:ascii="宋体" w:hAnsi="宋体" w:eastAsia="宋体" w:cs="宋体"/>
          <w:b/>
          <w:bCs/>
          <w:sz w:val="32"/>
          <w:szCs w:val="32"/>
          <w:highlight w:val="none"/>
          <w:lang w:val="en-US" w:eastAsia="zh-CN"/>
        </w:rPr>
        <w:t>11</w:t>
      </w:r>
      <w:r>
        <w:rPr>
          <w:rFonts w:hint="eastAsia" w:ascii="宋体" w:hAnsi="宋体" w:eastAsia="宋体" w:cs="宋体"/>
          <w:b/>
          <w:bCs/>
          <w:sz w:val="32"/>
          <w:szCs w:val="32"/>
          <w:highlight w:val="none"/>
          <w:lang w:val="zh-CN"/>
        </w:rPr>
        <w:t xml:space="preserve">月 </w:t>
      </w:r>
      <w:r>
        <w:rPr>
          <w:rFonts w:hint="eastAsia" w:ascii="宋体" w:hAnsi="宋体" w:eastAsia="宋体" w:cs="宋体"/>
          <w:b/>
          <w:bCs/>
          <w:sz w:val="32"/>
          <w:szCs w:val="32"/>
          <w:highlight w:val="none"/>
        </w:rPr>
        <w:t xml:space="preserve"> </w:t>
      </w:r>
    </w:p>
    <w:p>
      <w:pPr>
        <w:rPr>
          <w:rFonts w:hint="eastAsia"/>
          <w:highlight w:val="none"/>
        </w:rPr>
      </w:pPr>
    </w:p>
    <w:p>
      <w:pPr>
        <w:pStyle w:val="5"/>
        <w:keepNext w:val="0"/>
        <w:keepLines w:val="0"/>
        <w:spacing w:line="360" w:lineRule="auto"/>
        <w:jc w:val="center"/>
        <w:rPr>
          <w:rFonts w:hint="eastAsia" w:ascii="宋体" w:hAnsi="宋体" w:eastAsia="宋体" w:cs="宋体"/>
          <w:highlight w:val="none"/>
        </w:rPr>
      </w:pPr>
      <w:r>
        <w:rPr>
          <w:rFonts w:hint="eastAsia" w:ascii="宋体" w:hAnsi="宋体" w:eastAsia="宋体" w:cs="宋体"/>
          <w:bCs w:val="0"/>
          <w:sz w:val="36"/>
          <w:highlight w:val="none"/>
        </w:rPr>
        <w:t>目    录</w:t>
      </w:r>
    </w:p>
    <w:p>
      <w:pPr>
        <w:pStyle w:val="17"/>
        <w:tabs>
          <w:tab w:val="right" w:leader="dot" w:pos="8302"/>
        </w:tabs>
        <w:rPr>
          <w:rFonts w:hint="eastAsia" w:ascii="宋体" w:hAnsi="宋体" w:eastAsia="宋体" w:cs="宋体"/>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\h \z \t "标题,1"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"_Toc511289480" </w:instrText>
      </w:r>
      <w:r>
        <w:rPr>
          <w:rFonts w:hint="eastAsia" w:ascii="宋体" w:hAnsi="宋体" w:eastAsia="宋体" w:cs="宋体"/>
          <w:highlight w:val="none"/>
        </w:rPr>
        <w:fldChar w:fldCharType="separate"/>
      </w:r>
      <w:r>
        <w:rPr>
          <w:rStyle w:val="35"/>
          <w:rFonts w:hint="eastAsia" w:ascii="宋体" w:hAnsi="宋体" w:eastAsia="宋体" w:cs="宋体"/>
          <w:color w:val="auto"/>
          <w:highlight w:val="none"/>
        </w:rPr>
        <w:t>第一章  磋商邀请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_Toc511289480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17"/>
        <w:tabs>
          <w:tab w:val="right" w:leader="dot" w:pos="8302"/>
        </w:tabs>
        <w:rPr>
          <w:rFonts w:hint="eastAsia" w:ascii="宋体" w:hAnsi="宋体" w:eastAsia="宋体" w:cs="宋体"/>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"_Toc511289481" </w:instrText>
      </w:r>
      <w:r>
        <w:rPr>
          <w:rFonts w:hint="eastAsia" w:ascii="宋体" w:hAnsi="宋体" w:eastAsia="宋体" w:cs="宋体"/>
          <w:highlight w:val="none"/>
        </w:rPr>
        <w:fldChar w:fldCharType="separate"/>
      </w:r>
      <w:r>
        <w:rPr>
          <w:rStyle w:val="35"/>
          <w:rFonts w:hint="eastAsia" w:ascii="宋体" w:hAnsi="宋体" w:eastAsia="宋体" w:cs="宋体"/>
          <w:color w:val="auto"/>
          <w:highlight w:val="none"/>
        </w:rPr>
        <w:t>第二章  磋商须知</w:t>
      </w:r>
      <w:r>
        <w:rPr>
          <w:rFonts w:hint="eastAsia" w:ascii="宋体" w:hAnsi="宋体" w:eastAsia="宋体" w:cs="宋体"/>
          <w:highlight w:val="none"/>
        </w:rPr>
        <w:tab/>
      </w:r>
      <w:r>
        <w:rPr>
          <w:rFonts w:hint="eastAsia" w:ascii="宋体" w:hAnsi="宋体" w:eastAsia="宋体" w:cs="宋体"/>
          <w:highlight w:val="none"/>
        </w:rPr>
        <w:t>6</w:t>
      </w:r>
      <w:r>
        <w:rPr>
          <w:rFonts w:hint="eastAsia" w:ascii="宋体" w:hAnsi="宋体" w:eastAsia="宋体" w:cs="宋体"/>
          <w:highlight w:val="none"/>
        </w:rPr>
        <w:fldChar w:fldCharType="end"/>
      </w:r>
    </w:p>
    <w:p>
      <w:pPr>
        <w:pStyle w:val="17"/>
        <w:tabs>
          <w:tab w:val="right" w:leader="dot" w:pos="8302"/>
        </w:tabs>
        <w:rPr>
          <w:rFonts w:hint="eastAsia" w:ascii="宋体" w:hAnsi="宋体" w:eastAsia="宋体" w:cs="宋体"/>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"_Toc511289482" </w:instrText>
      </w:r>
      <w:r>
        <w:rPr>
          <w:rFonts w:hint="eastAsia" w:ascii="宋体" w:hAnsi="宋体" w:eastAsia="宋体" w:cs="宋体"/>
          <w:highlight w:val="none"/>
        </w:rPr>
        <w:fldChar w:fldCharType="separate"/>
      </w:r>
      <w:r>
        <w:rPr>
          <w:rStyle w:val="35"/>
          <w:rFonts w:hint="eastAsia" w:ascii="宋体" w:hAnsi="宋体" w:eastAsia="宋体" w:cs="宋体"/>
          <w:color w:val="auto"/>
          <w:highlight w:val="none"/>
        </w:rPr>
        <w:t>第三章  供应商和报价产品的资格、资质性及其他类似效力要求</w:t>
      </w:r>
      <w:r>
        <w:rPr>
          <w:rFonts w:hint="eastAsia" w:ascii="宋体" w:hAnsi="宋体" w:eastAsia="宋体" w:cs="宋体"/>
          <w:highlight w:val="none"/>
        </w:rPr>
        <w:tab/>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t>5</w:t>
      </w:r>
    </w:p>
    <w:p>
      <w:pPr>
        <w:pStyle w:val="17"/>
        <w:tabs>
          <w:tab w:val="right" w:leader="dot" w:pos="8302"/>
        </w:tabs>
        <w:rPr>
          <w:rFonts w:hint="eastAsia" w:ascii="宋体" w:hAnsi="宋体" w:eastAsia="宋体" w:cs="宋体"/>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"_Toc511289483" </w:instrText>
      </w:r>
      <w:r>
        <w:rPr>
          <w:rFonts w:hint="eastAsia" w:ascii="宋体" w:hAnsi="宋体" w:eastAsia="宋体" w:cs="宋体"/>
          <w:highlight w:val="none"/>
        </w:rPr>
        <w:fldChar w:fldCharType="separate"/>
      </w:r>
      <w:r>
        <w:rPr>
          <w:rStyle w:val="35"/>
          <w:rFonts w:hint="eastAsia" w:ascii="宋体" w:hAnsi="宋体" w:eastAsia="宋体" w:cs="宋体"/>
          <w:color w:val="auto"/>
          <w:highlight w:val="none"/>
        </w:rPr>
        <w:t>第四章  供应商应当提供的资格资质性及其他类似效力要求的相关证明材料</w:t>
      </w:r>
      <w:r>
        <w:rPr>
          <w:rFonts w:hint="eastAsia" w:ascii="宋体" w:hAnsi="宋体" w:eastAsia="宋体" w:cs="宋体"/>
          <w:highlight w:val="none"/>
        </w:rPr>
        <w:tab/>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t>6</w:t>
      </w:r>
    </w:p>
    <w:p>
      <w:pPr>
        <w:pStyle w:val="17"/>
        <w:tabs>
          <w:tab w:val="right" w:leader="dot" w:pos="8302"/>
        </w:tabs>
        <w:rPr>
          <w:rFonts w:hint="eastAsia" w:ascii="宋体" w:hAnsi="宋体" w:eastAsia="宋体" w:cs="宋体"/>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"_Toc511289484" </w:instrText>
      </w:r>
      <w:r>
        <w:rPr>
          <w:rFonts w:hint="eastAsia" w:ascii="宋体" w:hAnsi="宋体" w:eastAsia="宋体" w:cs="宋体"/>
          <w:highlight w:val="none"/>
        </w:rPr>
        <w:fldChar w:fldCharType="separate"/>
      </w:r>
      <w:r>
        <w:rPr>
          <w:rStyle w:val="35"/>
          <w:rFonts w:hint="eastAsia" w:ascii="宋体" w:hAnsi="宋体" w:eastAsia="宋体" w:cs="宋体"/>
          <w:color w:val="auto"/>
          <w:highlight w:val="none"/>
        </w:rPr>
        <w:t>第五章  采购项目技术服务要求及其他商务要求</w:t>
      </w:r>
      <w:r>
        <w:rPr>
          <w:rFonts w:hint="eastAsia" w:ascii="宋体" w:hAnsi="宋体" w:eastAsia="宋体" w:cs="宋体"/>
          <w:highlight w:val="none"/>
        </w:rPr>
        <w:tab/>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t>8</w:t>
      </w:r>
    </w:p>
    <w:p>
      <w:pPr>
        <w:pStyle w:val="17"/>
        <w:tabs>
          <w:tab w:val="right" w:leader="dot" w:pos="8302"/>
        </w:tabs>
        <w:rPr>
          <w:rFonts w:hint="eastAsia" w:ascii="宋体" w:hAnsi="宋体" w:eastAsia="宋体" w:cs="宋体"/>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"_Toc511289485" </w:instrText>
      </w:r>
      <w:r>
        <w:rPr>
          <w:rFonts w:hint="eastAsia" w:ascii="宋体" w:hAnsi="宋体" w:eastAsia="宋体" w:cs="宋体"/>
          <w:highlight w:val="none"/>
        </w:rPr>
        <w:fldChar w:fldCharType="separate"/>
      </w:r>
      <w:r>
        <w:rPr>
          <w:rStyle w:val="35"/>
          <w:rFonts w:hint="eastAsia" w:ascii="宋体" w:hAnsi="宋体" w:eastAsia="宋体" w:cs="宋体"/>
          <w:color w:val="auto"/>
          <w:highlight w:val="none"/>
        </w:rPr>
        <w:t>第六章  磋商内容、磋商过程中可实质性变动的内容</w:t>
      </w:r>
      <w:r>
        <w:rPr>
          <w:rFonts w:hint="eastAsia" w:ascii="宋体" w:hAnsi="宋体" w:eastAsia="宋体" w:cs="宋体"/>
          <w:highlight w:val="none"/>
        </w:rPr>
        <w:tab/>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t>7</w:t>
      </w:r>
    </w:p>
    <w:p>
      <w:pPr>
        <w:pStyle w:val="17"/>
        <w:tabs>
          <w:tab w:val="right" w:leader="dot" w:pos="8302"/>
        </w:tabs>
        <w:rPr>
          <w:rFonts w:hint="eastAsia" w:ascii="宋体" w:hAnsi="宋体" w:eastAsia="宋体" w:cs="宋体"/>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"_Toc511289486" </w:instrText>
      </w:r>
      <w:r>
        <w:rPr>
          <w:rFonts w:hint="eastAsia" w:ascii="宋体" w:hAnsi="宋体" w:eastAsia="宋体" w:cs="宋体"/>
          <w:highlight w:val="none"/>
        </w:rPr>
        <w:fldChar w:fldCharType="separate"/>
      </w:r>
      <w:r>
        <w:rPr>
          <w:rStyle w:val="35"/>
          <w:rFonts w:hint="eastAsia" w:ascii="宋体" w:hAnsi="宋体" w:eastAsia="宋体" w:cs="宋体"/>
          <w:color w:val="auto"/>
          <w:highlight w:val="none"/>
        </w:rPr>
        <w:t>第七章  响应文件格式</w:t>
      </w:r>
      <w:r>
        <w:rPr>
          <w:rFonts w:hint="eastAsia" w:ascii="宋体" w:hAnsi="宋体" w:eastAsia="宋体" w:cs="宋体"/>
          <w:highlight w:val="none"/>
        </w:rPr>
        <w:tab/>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t>8</w:t>
      </w:r>
    </w:p>
    <w:p>
      <w:pPr>
        <w:pStyle w:val="17"/>
        <w:tabs>
          <w:tab w:val="right" w:leader="dot" w:pos="8302"/>
        </w:tabs>
        <w:rPr>
          <w:rFonts w:hint="eastAsia" w:ascii="宋体" w:hAnsi="宋体" w:eastAsia="宋体" w:cs="宋体"/>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"_Toc511289487" </w:instrText>
      </w:r>
      <w:r>
        <w:rPr>
          <w:rFonts w:hint="eastAsia" w:ascii="宋体" w:hAnsi="宋体" w:eastAsia="宋体" w:cs="宋体"/>
          <w:highlight w:val="none"/>
        </w:rPr>
        <w:fldChar w:fldCharType="separate"/>
      </w:r>
      <w:r>
        <w:rPr>
          <w:rStyle w:val="35"/>
          <w:rFonts w:hint="eastAsia" w:ascii="宋体" w:hAnsi="宋体" w:eastAsia="宋体" w:cs="宋体"/>
          <w:color w:val="auto"/>
          <w:highlight w:val="none"/>
        </w:rPr>
        <w:t>第八章  评审方法</w:t>
      </w:r>
      <w:r>
        <w:rPr>
          <w:rFonts w:hint="eastAsia" w:ascii="宋体" w:hAnsi="宋体" w:eastAsia="宋体" w:cs="宋体"/>
          <w:highlight w:val="none"/>
        </w:rPr>
        <w:tab/>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rPr>
        <w:t>3</w:t>
      </w:r>
    </w:p>
    <w:p>
      <w:pPr>
        <w:pStyle w:val="17"/>
        <w:tabs>
          <w:tab w:val="right" w:leader="dot" w:pos="8302"/>
        </w:tabs>
        <w:rPr>
          <w:rFonts w:hint="eastAsia" w:ascii="宋体" w:hAnsi="宋体" w:eastAsia="宋体" w:cs="宋体"/>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"_Toc511289488" </w:instrText>
      </w:r>
      <w:r>
        <w:rPr>
          <w:rFonts w:hint="eastAsia" w:ascii="宋体" w:hAnsi="宋体" w:eastAsia="宋体" w:cs="宋体"/>
          <w:highlight w:val="none"/>
        </w:rPr>
        <w:fldChar w:fldCharType="separate"/>
      </w:r>
      <w:r>
        <w:rPr>
          <w:rStyle w:val="35"/>
          <w:rFonts w:hint="eastAsia" w:ascii="宋体" w:hAnsi="宋体" w:eastAsia="宋体" w:cs="宋体"/>
          <w:color w:val="auto"/>
          <w:highlight w:val="none"/>
        </w:rPr>
        <w:t>第九章  政府采购合同（草案）</w:t>
      </w:r>
      <w:r>
        <w:rPr>
          <w:rFonts w:hint="eastAsia" w:ascii="宋体" w:hAnsi="宋体" w:eastAsia="宋体" w:cs="宋体"/>
          <w:highlight w:val="none"/>
        </w:rPr>
        <w:tab/>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t>3</w:t>
      </w:r>
    </w:p>
    <w:p>
      <w:pPr>
        <w:rPr>
          <w:rFonts w:hint="eastAsia" w:ascii="宋体" w:hAnsi="宋体" w:eastAsia="宋体" w:cs="宋体"/>
        </w:rPr>
      </w:pPr>
      <w:r>
        <w:rPr>
          <w:rFonts w:hint="eastAsia" w:ascii="宋体" w:hAnsi="宋体" w:eastAsia="宋体" w:cs="宋体"/>
          <w:highlight w:val="none"/>
        </w:rPr>
        <w:fldChar w:fldCharType="end"/>
      </w:r>
    </w:p>
    <w:p>
      <w:pPr>
        <w:widowControl/>
        <w:spacing w:line="360" w:lineRule="auto"/>
        <w:jc w:val="left"/>
        <w:rPr>
          <w:rFonts w:hint="eastAsia" w:ascii="宋体" w:hAnsi="宋体" w:eastAsia="宋体" w:cs="宋体"/>
        </w:rPr>
      </w:pPr>
      <w:r>
        <w:rPr>
          <w:rFonts w:hint="eastAsia" w:ascii="宋体" w:hAnsi="宋体" w:eastAsia="宋体" w:cs="宋体"/>
          <w:b/>
          <w:sz w:val="24"/>
        </w:rPr>
        <w:br w:type="page"/>
      </w:r>
      <w:bookmarkStart w:id="0" w:name="_Toc509579140"/>
    </w:p>
    <w:p>
      <w:pPr>
        <w:pStyle w:val="4"/>
        <w:spacing w:before="0" w:after="0" w:line="240" w:lineRule="auto"/>
        <w:jc w:val="center"/>
        <w:rPr>
          <w:rFonts w:hint="eastAsia" w:ascii="宋体" w:hAnsi="宋体" w:eastAsia="宋体" w:cs="宋体"/>
        </w:rPr>
      </w:pPr>
      <w:bookmarkStart w:id="1" w:name="_Toc511289480"/>
      <w:r>
        <w:rPr>
          <w:rFonts w:hint="eastAsia" w:ascii="宋体" w:hAnsi="宋体" w:eastAsia="宋体" w:cs="宋体"/>
        </w:rPr>
        <w:t>第一章  磋商邀请</w:t>
      </w:r>
      <w:bookmarkEnd w:id="0"/>
      <w:bookmarkEnd w:id="1"/>
    </w:p>
    <w:p>
      <w:pPr>
        <w:spacing w:line="360" w:lineRule="auto"/>
        <w:ind w:firstLine="720" w:firstLineChars="300"/>
        <w:jc w:val="left"/>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四川三盈招标代理有限公司受</w:t>
      </w:r>
      <w:r>
        <w:rPr>
          <w:rFonts w:hint="eastAsia" w:hAnsi="宋体" w:cs="宋体"/>
          <w:bCs/>
          <w:sz w:val="24"/>
          <w:szCs w:val="24"/>
          <w:u w:val="single"/>
          <w:lang w:eastAsia="zh-CN"/>
        </w:rPr>
        <w:t>成都市妇女儿童中心医院</w:t>
      </w:r>
      <w:r>
        <w:rPr>
          <w:rFonts w:hint="eastAsia" w:ascii="宋体" w:hAnsi="宋体" w:eastAsia="宋体" w:cs="宋体"/>
          <w:sz w:val="24"/>
          <w:szCs w:val="24"/>
        </w:rPr>
        <w:t>委托，拟对</w:t>
      </w:r>
      <w:bookmarkStart w:id="2" w:name="PO_默认文件内容_1"/>
      <w:r>
        <w:rPr>
          <w:rFonts w:hint="eastAsia" w:hAnsi="宋体" w:cs="宋体"/>
          <w:sz w:val="24"/>
          <w:szCs w:val="24"/>
          <w:u w:val="single"/>
          <w:lang w:eastAsia="zh-CN"/>
        </w:rPr>
        <w:t>成都市妇女儿童中心医院机房升级维保服务及软件维保服务采购项目</w:t>
      </w:r>
      <w:r>
        <w:rPr>
          <w:rFonts w:hint="eastAsia" w:ascii="宋体" w:hAnsi="宋体" w:eastAsia="宋体" w:cs="宋体"/>
          <w:sz w:val="24"/>
          <w:szCs w:val="24"/>
        </w:rPr>
        <w:t>采用竞争性磋商方式进行采购，特邀请符合本次采购要求的供应商参加本项目的竞争性磋商。</w:t>
      </w:r>
      <w:bookmarkEnd w:id="2"/>
    </w:p>
    <w:p>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一、采购项目基本情况</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1.项目编号：</w:t>
      </w:r>
      <w:r>
        <w:rPr>
          <w:rFonts w:hint="eastAsia" w:hAnsi="宋体" w:cs="宋体"/>
          <w:sz w:val="24"/>
          <w:szCs w:val="24"/>
          <w:highlight w:val="none"/>
          <w:lang w:val="en-US" w:eastAsia="zh-CN"/>
        </w:rPr>
        <w:t xml:space="preserve"> 510101202101969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2.采购项目名称：</w:t>
      </w:r>
      <w:r>
        <w:rPr>
          <w:rFonts w:hint="eastAsia" w:hAnsi="宋体" w:cs="宋体"/>
          <w:sz w:val="24"/>
          <w:szCs w:val="24"/>
          <w:highlight w:val="none"/>
          <w:lang w:eastAsia="zh-CN"/>
        </w:rPr>
        <w:t>成都市妇女儿童中心医院机房升级维保服务及软件维保服务采购项目</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二、资金情况</w:t>
      </w:r>
    </w:p>
    <w:p>
      <w:pPr>
        <w:keepNext w:val="0"/>
        <w:keepLines w:val="0"/>
        <w:pageBreakBefore w:val="0"/>
        <w:kinsoku/>
        <w:wordWrap/>
        <w:overflowPunct/>
        <w:topLinePunct w:val="0"/>
        <w:autoSpaceDE/>
        <w:autoSpaceDN/>
        <w:bidi w:val="0"/>
        <w:adjustRightInd/>
        <w:snapToGrid/>
        <w:spacing w:line="360" w:lineRule="auto"/>
        <w:ind w:right="51" w:rightChars="15"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资金来源及金额：财政资金</w:t>
      </w:r>
      <w:r>
        <w:rPr>
          <w:rFonts w:hint="eastAsia" w:hAnsi="宋体" w:cs="宋体"/>
          <w:sz w:val="24"/>
          <w:szCs w:val="24"/>
          <w:highlight w:val="none"/>
          <w:lang w:val="en-US" w:eastAsia="zh-CN"/>
        </w:rPr>
        <w:t xml:space="preserve"> 预算金额：</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800000</w:t>
      </w:r>
      <w:r>
        <w:rPr>
          <w:rFonts w:hint="eastAsia" w:ascii="宋体" w:hAnsi="宋体" w:eastAsia="宋体" w:cs="宋体"/>
          <w:sz w:val="24"/>
          <w:szCs w:val="24"/>
          <w:highlight w:val="none"/>
        </w:rPr>
        <w:t xml:space="preserve"> 元</w:t>
      </w:r>
      <w:r>
        <w:rPr>
          <w:rFonts w:hint="eastAsia" w:ascii="宋体" w:hAnsi="宋体" w:eastAsia="宋体" w:cs="宋体"/>
          <w:sz w:val="24"/>
          <w:szCs w:val="24"/>
          <w:highlight w:val="none"/>
          <w:lang w:val="en-US" w:eastAsia="zh-CN"/>
        </w:rPr>
        <w:t>。最高限价：750000元。</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w:t>
      </w:r>
      <w:r>
        <w:rPr>
          <w:rFonts w:hint="eastAsia" w:ascii="宋体" w:hAnsi="宋体" w:eastAsia="宋体" w:cs="宋体"/>
          <w:b/>
          <w:sz w:val="24"/>
          <w:szCs w:val="24"/>
        </w:rPr>
        <w:t>采购项目简介：</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lang w:eastAsia="zh-CN"/>
        </w:rPr>
      </w:pPr>
      <w:r>
        <w:rPr>
          <w:rFonts w:hint="eastAsia" w:hAnsi="宋体" w:cs="宋体"/>
          <w:sz w:val="24"/>
          <w:szCs w:val="24"/>
          <w:lang w:eastAsia="zh-CN"/>
        </w:rPr>
        <w:t>成都市妇女儿童中心医院机房升级维保服务及软件维保服务采购项目</w:t>
      </w:r>
      <w:r>
        <w:rPr>
          <w:rFonts w:hint="eastAsia" w:ascii="宋体" w:hAnsi="宋体" w:eastAsia="宋体" w:cs="宋体"/>
          <w:sz w:val="24"/>
          <w:szCs w:val="24"/>
        </w:rPr>
        <w:t>。（详见磋商文件第五章</w:t>
      </w:r>
      <w:r>
        <w:rPr>
          <w:rFonts w:hint="eastAsia" w:ascii="宋体" w:hAnsi="宋体" w:eastAsia="宋体" w:cs="宋体"/>
          <w:sz w:val="24"/>
          <w:szCs w:val="24"/>
          <w:lang w:eastAsia="zh-CN"/>
        </w:rPr>
        <w:t>）</w:t>
      </w:r>
    </w:p>
    <w:p>
      <w:pPr>
        <w:spacing w:after="120" w:line="360" w:lineRule="auto"/>
        <w:ind w:firstLine="420" w:firstLineChars="175"/>
        <w:rPr>
          <w:rFonts w:hint="eastAsia" w:ascii="宋体" w:hAnsi="宋体" w:eastAsia="宋体" w:cs="宋体"/>
          <w:color w:val="auto"/>
          <w:sz w:val="24"/>
          <w:szCs w:val="22"/>
          <w:lang w:val="en-US" w:eastAsia="zh-CN" w:bidi="ar-SA"/>
        </w:rPr>
      </w:pPr>
      <w:r>
        <w:rPr>
          <w:rFonts w:hint="eastAsia" w:ascii="宋体" w:hAnsi="宋体" w:eastAsia="宋体" w:cs="宋体"/>
          <w:sz w:val="24"/>
          <w:szCs w:val="22"/>
          <w:lang w:val="en-US" w:eastAsia="zh-CN" w:bidi="ar-SA"/>
        </w:rPr>
        <w:t>本项目非专门面向中小企业；所属行业</w:t>
      </w:r>
      <w:r>
        <w:rPr>
          <w:rFonts w:hint="eastAsia" w:ascii="宋体" w:hAnsi="宋体" w:eastAsia="宋体" w:cs="宋体"/>
          <w:color w:val="auto"/>
          <w:sz w:val="24"/>
          <w:szCs w:val="22"/>
          <w:lang w:val="en-US" w:eastAsia="zh-CN" w:bidi="ar-SA"/>
        </w:rPr>
        <w:t>：</w:t>
      </w:r>
      <w:r>
        <w:rPr>
          <w:rFonts w:hint="eastAsia" w:ascii="宋体" w:hAnsi="宋体" w:eastAsia="宋体" w:cs="宋体"/>
          <w:color w:val="auto"/>
          <w:sz w:val="24"/>
          <w:szCs w:val="24"/>
          <w:lang w:val="en-US" w:eastAsia="zh-CN" w:bidi="ar-SA"/>
        </w:rPr>
        <w:t>软件和信息技术服务业</w:t>
      </w:r>
      <w:r>
        <w:rPr>
          <w:rFonts w:hint="eastAsia" w:ascii="宋体" w:hAnsi="宋体" w:eastAsia="宋体" w:cs="宋体"/>
          <w:color w:val="auto"/>
          <w:sz w:val="24"/>
          <w:szCs w:val="22"/>
          <w:lang w:val="en-US" w:eastAsia="zh-CN" w:bidi="ar-SA"/>
        </w:rPr>
        <w:t>。</w:t>
      </w:r>
    </w:p>
    <w:p>
      <w:pPr>
        <w:pStyle w:val="58"/>
        <w:ind w:firstLine="422"/>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注：1. “所属行业”即标的所属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以上行业分类详见《国民经济行业分类》（GB/T 4754—2017）。</w:t>
      </w:r>
    </w:p>
    <w:p>
      <w:pPr>
        <w:keepNext w:val="0"/>
        <w:keepLines w:val="0"/>
        <w:pageBreakBefore w:val="0"/>
        <w:kinsoku/>
        <w:wordWrap/>
        <w:overflowPunct/>
        <w:topLinePunct w:val="0"/>
        <w:autoSpaceDE/>
        <w:autoSpaceDN/>
        <w:bidi w:val="0"/>
        <w:adjustRightInd/>
        <w:snapToGrid/>
        <w:spacing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四、供应商邀请方式</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bCs/>
          <w:sz w:val="24"/>
          <w:szCs w:val="24"/>
        </w:rPr>
      </w:pPr>
      <w:bookmarkStart w:id="3" w:name="PO_默认文件内容_3"/>
      <w:r>
        <w:rPr>
          <w:rFonts w:hint="eastAsia" w:ascii="宋体" w:hAnsi="宋体" w:eastAsia="宋体" w:cs="宋体"/>
          <w:bCs/>
          <w:sz w:val="24"/>
          <w:szCs w:val="24"/>
        </w:rPr>
        <w:t>本次竞争性磋商邀请在四川政府采购网（www.ccgp-sichuan.gov.cn）上以公告形式发布</w:t>
      </w:r>
      <w:bookmarkEnd w:id="3"/>
    </w:p>
    <w:p>
      <w:pPr>
        <w:keepNext w:val="0"/>
        <w:keepLines w:val="0"/>
        <w:pageBreakBefore w:val="0"/>
        <w:kinsoku/>
        <w:wordWrap/>
        <w:overflowPunct/>
        <w:topLinePunct w:val="0"/>
        <w:autoSpaceDE/>
        <w:autoSpaceDN/>
        <w:bidi w:val="0"/>
        <w:adjustRightInd/>
        <w:snapToGrid/>
        <w:spacing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五、供应商参加本次政府采购活动应具备下列条件</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7.本项目不接受联合体投标；</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投标供应商单位及其现任法定代表人、主要负责人不得具有行贿犯罪记录；</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hAnsi="宋体" w:cs="宋体"/>
          <w:sz w:val="24"/>
          <w:szCs w:val="24"/>
          <w:lang w:val="en-US" w:eastAsia="zh-CN"/>
        </w:rPr>
        <w:t>9</w:t>
      </w:r>
      <w:r>
        <w:rPr>
          <w:rFonts w:hint="eastAsia" w:ascii="宋体" w:hAnsi="宋体" w:eastAsia="宋体" w:cs="宋体"/>
          <w:sz w:val="24"/>
          <w:szCs w:val="24"/>
        </w:rPr>
        <w:t>.按照本项目竞争性磋商文件要求购买了竞争性磋商文件；</w:t>
      </w:r>
    </w:p>
    <w:p>
      <w:pPr>
        <w:keepNext w:val="0"/>
        <w:keepLines w:val="0"/>
        <w:pageBreakBefore w:val="0"/>
        <w:kinsoku/>
        <w:wordWrap/>
        <w:overflowPunct/>
        <w:topLinePunct w:val="0"/>
        <w:autoSpaceDE/>
        <w:autoSpaceDN/>
        <w:bidi w:val="0"/>
        <w:adjustRightInd/>
        <w:snapToGrid/>
        <w:spacing w:after="12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六、禁止参加本次采购活动的供应商</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bookmarkStart w:id="4" w:name="PO_默认文件内容_4"/>
      <w:r>
        <w:rPr>
          <w:rFonts w:hint="eastAsia" w:ascii="宋体" w:hAnsi="宋体" w:eastAsia="宋体" w:cs="宋体"/>
          <w:sz w:val="24"/>
          <w:szCs w:val="24"/>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w:t>
      </w:r>
      <w:r>
        <w:rPr>
          <w:rFonts w:hint="eastAsia" w:ascii="宋体" w:hAnsi="宋体" w:eastAsia="宋体" w:cs="宋体"/>
          <w:sz w:val="24"/>
          <w:szCs w:val="24"/>
          <w:highlight w:val="none"/>
        </w:rPr>
        <w:t>、政府采购合同等实质性内容条款的，视同为采购项目提供规范编制。</w:t>
      </w:r>
    </w:p>
    <w:bookmarkEnd w:id="4"/>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七、磋商文件获取方式、时间、地点：</w:t>
      </w:r>
    </w:p>
    <w:p>
      <w:pPr>
        <w:spacing w:line="360" w:lineRule="auto"/>
        <w:ind w:firstLine="480" w:firstLineChars="200"/>
        <w:rPr>
          <w:rFonts w:hint="eastAsia" w:ascii="宋体" w:hAnsi="宋体" w:eastAsia="宋体" w:cs="宋体"/>
          <w:sz w:val="24"/>
        </w:rPr>
      </w:pPr>
      <w:bookmarkStart w:id="5" w:name="_Toc213397009"/>
      <w:bookmarkStart w:id="6" w:name="_Toc213396945"/>
      <w:bookmarkStart w:id="7" w:name="_Toc509579141"/>
      <w:bookmarkStart w:id="8" w:name="_Toc217446031"/>
      <w:bookmarkStart w:id="9" w:name="_Toc213396759"/>
      <w:bookmarkStart w:id="10" w:name="_Toc213496267"/>
      <w:bookmarkStart w:id="11" w:name="_Toc511289481"/>
      <w:r>
        <w:rPr>
          <w:rFonts w:hint="eastAsia" w:ascii="宋体" w:hAnsi="宋体" w:eastAsia="宋体" w:cs="宋体"/>
          <w:sz w:val="24"/>
          <w:szCs w:val="24"/>
          <w:highlight w:val="none"/>
        </w:rPr>
        <w:t>磋商文件自</w:t>
      </w:r>
      <w:r>
        <w:rPr>
          <w:rFonts w:hint="eastAsia" w:ascii="宋体" w:hAnsi="宋体"/>
          <w:b/>
          <w:bCs/>
          <w:sz w:val="24"/>
          <w:highlight w:val="yellow"/>
        </w:rPr>
        <w:t>202</w:t>
      </w:r>
      <w:r>
        <w:rPr>
          <w:rFonts w:hint="eastAsia" w:ascii="宋体" w:hAnsi="宋体"/>
          <w:b/>
          <w:bCs/>
          <w:sz w:val="24"/>
          <w:highlight w:val="yellow"/>
          <w:lang w:val="en-US" w:eastAsia="zh-CN"/>
        </w:rPr>
        <w:t>1</w:t>
      </w:r>
      <w:r>
        <w:rPr>
          <w:rFonts w:hint="eastAsia" w:ascii="宋体" w:hAnsi="宋体"/>
          <w:b/>
          <w:bCs/>
          <w:sz w:val="24"/>
          <w:highlight w:val="yellow"/>
        </w:rPr>
        <w:t>年</w:t>
      </w:r>
      <w:r>
        <w:rPr>
          <w:rFonts w:hint="eastAsia" w:ascii="宋体" w:hAnsi="宋体"/>
          <w:b/>
          <w:bCs/>
          <w:sz w:val="24"/>
          <w:highlight w:val="yellow"/>
          <w:lang w:val="en-US" w:eastAsia="zh-CN"/>
        </w:rPr>
        <w:t>11</w:t>
      </w:r>
      <w:r>
        <w:rPr>
          <w:rFonts w:hint="eastAsia" w:ascii="宋体" w:hAnsi="宋体"/>
          <w:b/>
          <w:bCs/>
          <w:sz w:val="24"/>
          <w:highlight w:val="yellow"/>
        </w:rPr>
        <w:t>月</w:t>
      </w:r>
      <w:r>
        <w:rPr>
          <w:rFonts w:hint="eastAsia" w:hAnsi="宋体"/>
          <w:b/>
          <w:bCs/>
          <w:sz w:val="24"/>
          <w:highlight w:val="yellow"/>
          <w:lang w:val="en-US" w:eastAsia="zh-CN"/>
        </w:rPr>
        <w:t>30</w:t>
      </w:r>
      <w:r>
        <w:rPr>
          <w:rFonts w:hint="eastAsia" w:ascii="宋体" w:hAnsi="宋体"/>
          <w:b/>
          <w:bCs/>
          <w:sz w:val="24"/>
          <w:highlight w:val="yellow"/>
        </w:rPr>
        <w:t>日至202</w:t>
      </w:r>
      <w:r>
        <w:rPr>
          <w:rFonts w:hint="eastAsia" w:ascii="宋体" w:hAnsi="宋体"/>
          <w:b/>
          <w:bCs/>
          <w:sz w:val="24"/>
          <w:highlight w:val="yellow"/>
          <w:lang w:val="en-US" w:eastAsia="zh-CN"/>
        </w:rPr>
        <w:t>1</w:t>
      </w:r>
      <w:r>
        <w:rPr>
          <w:rFonts w:hint="eastAsia" w:ascii="宋体" w:hAnsi="宋体"/>
          <w:b/>
          <w:bCs/>
          <w:sz w:val="24"/>
          <w:highlight w:val="yellow"/>
        </w:rPr>
        <w:t>年</w:t>
      </w:r>
      <w:r>
        <w:rPr>
          <w:rFonts w:hint="eastAsia" w:ascii="宋体" w:hAnsi="宋体"/>
          <w:b/>
          <w:bCs/>
          <w:sz w:val="24"/>
          <w:highlight w:val="yellow"/>
          <w:lang w:val="en-US" w:eastAsia="zh-CN"/>
        </w:rPr>
        <w:t>1</w:t>
      </w:r>
      <w:r>
        <w:rPr>
          <w:rFonts w:hint="eastAsia" w:hAnsi="宋体"/>
          <w:b/>
          <w:bCs/>
          <w:sz w:val="24"/>
          <w:highlight w:val="yellow"/>
          <w:lang w:val="en-US" w:eastAsia="zh-CN"/>
        </w:rPr>
        <w:t>2</w:t>
      </w:r>
      <w:r>
        <w:rPr>
          <w:rFonts w:hint="eastAsia" w:ascii="宋体" w:hAnsi="宋体"/>
          <w:b/>
          <w:bCs/>
          <w:sz w:val="24"/>
          <w:highlight w:val="yellow"/>
          <w:lang w:val="en-US" w:eastAsia="zh-CN"/>
        </w:rPr>
        <w:t xml:space="preserve"> </w:t>
      </w:r>
      <w:r>
        <w:rPr>
          <w:rFonts w:hint="eastAsia" w:ascii="宋体" w:hAnsi="宋体"/>
          <w:b/>
          <w:bCs/>
          <w:sz w:val="24"/>
          <w:highlight w:val="yellow"/>
        </w:rPr>
        <w:t>月</w:t>
      </w:r>
      <w:r>
        <w:rPr>
          <w:rFonts w:hint="eastAsia" w:hAnsi="宋体"/>
          <w:b/>
          <w:bCs/>
          <w:sz w:val="24"/>
          <w:highlight w:val="yellow"/>
          <w:lang w:val="en-US" w:eastAsia="zh-CN"/>
        </w:rPr>
        <w:t>6</w:t>
      </w:r>
      <w:r>
        <w:rPr>
          <w:rFonts w:hint="eastAsia" w:ascii="宋体" w:hAnsi="宋体"/>
          <w:b/>
          <w:bCs/>
          <w:sz w:val="24"/>
          <w:highlight w:val="yellow"/>
        </w:rPr>
        <w:t>日</w:t>
      </w:r>
      <w:r>
        <w:rPr>
          <w:rFonts w:hint="eastAsia" w:ascii="宋体" w:hAnsi="宋体" w:eastAsia="宋体" w:cs="宋体"/>
          <w:sz w:val="24"/>
          <w:szCs w:val="24"/>
          <w:highlight w:val="none"/>
        </w:rPr>
        <w:t>09:</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0,1</w:t>
      </w:r>
      <w:r>
        <w:rPr>
          <w:rFonts w:hint="eastAsia" w:hAnsi="宋体" w:cs="宋体"/>
          <w:sz w:val="24"/>
          <w:szCs w:val="24"/>
          <w:highlight w:val="none"/>
          <w:lang w:val="en-US" w:eastAsia="zh-CN"/>
        </w:rPr>
        <w:t>4</w:t>
      </w:r>
      <w:r>
        <w:rPr>
          <w:rFonts w:hint="eastAsia" w:ascii="宋体" w:hAnsi="宋体" w:eastAsia="宋体" w:cs="宋体"/>
          <w:sz w:val="24"/>
          <w:szCs w:val="24"/>
          <w:highlight w:val="none"/>
        </w:rPr>
        <w:t>:00-1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0（北京时间，法定节假日除外）</w:t>
      </w:r>
      <w:r>
        <w:rPr>
          <w:rFonts w:hint="eastAsia" w:ascii="宋体" w:hAnsi="宋体" w:eastAsia="宋体" w:cs="宋体"/>
          <w:sz w:val="24"/>
          <w:szCs w:val="24"/>
          <w:highlight w:val="none"/>
          <w:lang w:eastAsia="zh-CN"/>
        </w:rPr>
        <w:t>。</w:t>
      </w:r>
      <w:r>
        <w:rPr>
          <w:rFonts w:hint="eastAsia" w:ascii="宋体" w:hAnsi="宋体"/>
          <w:sz w:val="24"/>
          <w:highlight w:val="none"/>
          <w:lang w:val="en-US" w:eastAsia="zh-CN"/>
        </w:rPr>
        <w:t>获取招标文件地点:https://www.zcygov.cn。</w:t>
      </w:r>
    </w:p>
    <w:p>
      <w:pPr>
        <w:pStyle w:val="69"/>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获取方式：投标人从“政府采购云平台”获取采购文件（网址：https://www.zcygov.cn）。登录政府采购云平台—项目采购—获取采购文件—申请获取采购文件。</w:t>
      </w:r>
    </w:p>
    <w:p>
      <w:pPr>
        <w:pStyle w:val="69"/>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提示： </w:t>
      </w:r>
    </w:p>
    <w:p>
      <w:pPr>
        <w:pageBreakBefore w:val="0"/>
        <w:kinsoku/>
        <w:wordWrap/>
        <w:overflowPunct/>
        <w:topLinePunct w:val="0"/>
        <w:bidi w:val="0"/>
        <w:spacing w:after="120"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（1）本项目磋商文件免费获取（报名后资格不能转让）。 </w:t>
      </w:r>
    </w:p>
    <w:p>
      <w:pPr>
        <w:pageBreakBefore w:val="0"/>
        <w:kinsoku/>
        <w:wordWrap/>
        <w:overflowPunct/>
        <w:topLinePunct w:val="0"/>
        <w:bidi w:val="0"/>
        <w:spacing w:after="120"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（2）供应商只有在“政府采购云平台”完成获取磋商文件申请并下载磋商文件后才视作依法参与本项目。如未在“政府采购云平台”内完成相关流程，引起的响应无效责任自负。 </w:t>
      </w:r>
    </w:p>
    <w:p>
      <w:pPr>
        <w:pageBreakBefore w:val="0"/>
        <w:kinsoku/>
        <w:wordWrap/>
        <w:overflowPunct/>
        <w:topLinePunct w:val="0"/>
        <w:bidi w:val="0"/>
        <w:spacing w:after="120"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（3）首次登录政府采购云平台的新用户应先点击“供应商入驻”，入驻成功后再登录。</w:t>
      </w:r>
    </w:p>
    <w:p>
      <w:pPr>
        <w:pageBreakBefore w:val="0"/>
        <w:kinsoku/>
        <w:wordWrap/>
        <w:overflowPunct/>
        <w:topLinePunct w:val="0"/>
        <w:bidi w:val="0"/>
        <w:spacing w:after="120"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（4）政府采购云平台供应商注册地址：</w:t>
      </w:r>
    </w:p>
    <w:p>
      <w:pPr>
        <w:pageBreakBefore w:val="0"/>
        <w:kinsoku/>
        <w:wordWrap/>
        <w:overflowPunct/>
        <w:topLinePunct w:val="0"/>
        <w:bidi w:val="0"/>
        <w:spacing w:after="120"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HYPERLINK "https://middle.zcygov.cn/v-settle-front/registry?settleCategory=1&amp;entranceType=119&amp;utm=a0017.b1347.cl50.3.c0de9400b91b11eb870ad7da87d69c97。" </w:instrText>
      </w:r>
      <w:r>
        <w:rPr>
          <w:rFonts w:hint="eastAsia" w:ascii="宋体" w:hAnsi="宋体" w:eastAsia="宋体" w:cs="Times New Roman"/>
          <w:color w:val="auto"/>
          <w:kern w:val="2"/>
          <w:sz w:val="24"/>
          <w:szCs w:val="24"/>
          <w:highlight w:val="none"/>
          <w:lang w:val="en-US" w:eastAsia="zh-CN" w:bidi="ar-SA"/>
        </w:rPr>
        <w:fldChar w:fldCharType="separate"/>
      </w:r>
      <w:r>
        <w:rPr>
          <w:rStyle w:val="35"/>
          <w:rFonts w:hint="eastAsia" w:ascii="宋体" w:hAnsi="宋体" w:eastAsia="宋体" w:cs="Times New Roman"/>
          <w:kern w:val="2"/>
          <w:sz w:val="24"/>
          <w:szCs w:val="24"/>
          <w:highlight w:val="none"/>
          <w:lang w:val="en-US" w:eastAsia="zh-CN" w:bidi="ar-SA"/>
        </w:rPr>
        <w:t>https://middle.zcygov.cn/v-settle-front/registry?settleCategory=1&amp;entranceType=119&amp;utm=a0017.b1347.cl50.3.c0de9400b91b11eb870ad7da87d69c97。</w:t>
      </w:r>
      <w:r>
        <w:rPr>
          <w:rFonts w:hint="eastAsia" w:ascii="宋体" w:hAnsi="宋体" w:eastAsia="宋体" w:cs="Times New Roman"/>
          <w:color w:val="auto"/>
          <w:kern w:val="2"/>
          <w:sz w:val="24"/>
          <w:szCs w:val="24"/>
          <w:highlight w:val="none"/>
          <w:lang w:val="en-US" w:eastAsia="zh-CN" w:bidi="ar-SA"/>
        </w:rPr>
        <w:fldChar w:fldCharType="end"/>
      </w:r>
    </w:p>
    <w:p>
      <w:pPr>
        <w:pageBreakBefore w:val="0"/>
        <w:kinsoku/>
        <w:wordWrap/>
        <w:overflowPunct/>
        <w:topLinePunct w:val="0"/>
        <w:bidi w:val="0"/>
        <w:spacing w:after="120" w:line="360" w:lineRule="auto"/>
        <w:ind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八、递交响应文件截止时间：</w:t>
      </w:r>
      <w:r>
        <w:rPr>
          <w:rFonts w:hint="eastAsia" w:ascii="宋体" w:hAnsi="宋体"/>
          <w:b/>
          <w:bCs/>
          <w:sz w:val="24"/>
          <w:highlight w:val="yellow"/>
        </w:rPr>
        <w:t>202</w:t>
      </w:r>
      <w:r>
        <w:rPr>
          <w:rFonts w:hint="eastAsia" w:ascii="宋体" w:hAnsi="宋体"/>
          <w:b/>
          <w:bCs/>
          <w:sz w:val="24"/>
          <w:highlight w:val="yellow"/>
          <w:lang w:val="en-US" w:eastAsia="zh-CN"/>
        </w:rPr>
        <w:t>1</w:t>
      </w:r>
      <w:r>
        <w:rPr>
          <w:rFonts w:hint="eastAsia" w:ascii="宋体" w:hAnsi="宋体"/>
          <w:b/>
          <w:bCs/>
          <w:sz w:val="24"/>
          <w:highlight w:val="yellow"/>
        </w:rPr>
        <w:t>年</w:t>
      </w:r>
      <w:r>
        <w:rPr>
          <w:rFonts w:hint="eastAsia" w:ascii="宋体" w:hAnsi="宋体"/>
          <w:b/>
          <w:bCs/>
          <w:sz w:val="24"/>
          <w:highlight w:val="yellow"/>
          <w:lang w:val="en-US" w:eastAsia="zh-CN"/>
        </w:rPr>
        <w:t>1</w:t>
      </w:r>
      <w:r>
        <w:rPr>
          <w:rFonts w:hint="eastAsia" w:hAnsi="宋体"/>
          <w:b/>
          <w:bCs/>
          <w:sz w:val="24"/>
          <w:highlight w:val="yellow"/>
          <w:lang w:val="en-US" w:eastAsia="zh-CN"/>
        </w:rPr>
        <w:t>2</w:t>
      </w:r>
      <w:r>
        <w:rPr>
          <w:rFonts w:hint="eastAsia" w:ascii="宋体" w:hAnsi="宋体"/>
          <w:b/>
          <w:bCs/>
          <w:sz w:val="24"/>
          <w:highlight w:val="yellow"/>
        </w:rPr>
        <w:t>月</w:t>
      </w:r>
      <w:r>
        <w:rPr>
          <w:rFonts w:hint="eastAsia" w:hAnsi="宋体"/>
          <w:b/>
          <w:bCs/>
          <w:sz w:val="24"/>
          <w:highlight w:val="yellow"/>
          <w:lang w:val="en-US" w:eastAsia="zh-CN"/>
        </w:rPr>
        <w:t>13</w:t>
      </w:r>
      <w:r>
        <w:rPr>
          <w:rFonts w:hint="eastAsia" w:ascii="宋体" w:hAnsi="宋体"/>
          <w:b/>
          <w:bCs/>
          <w:sz w:val="24"/>
          <w:highlight w:val="yellow"/>
        </w:rPr>
        <w:t xml:space="preserve">日 </w:t>
      </w:r>
      <w:r>
        <w:rPr>
          <w:rFonts w:hint="eastAsia" w:ascii="宋体" w:hAnsi="宋体"/>
          <w:b/>
          <w:bCs/>
          <w:sz w:val="24"/>
          <w:highlight w:val="yellow"/>
          <w:lang w:val="en-US" w:eastAsia="zh-CN"/>
        </w:rPr>
        <w:t>1</w:t>
      </w:r>
      <w:r>
        <w:rPr>
          <w:rFonts w:hint="eastAsia" w:hAnsi="宋体"/>
          <w:b/>
          <w:bCs/>
          <w:sz w:val="24"/>
          <w:highlight w:val="yellow"/>
          <w:lang w:val="en-US" w:eastAsia="zh-CN"/>
        </w:rPr>
        <w:t>1</w:t>
      </w:r>
      <w:r>
        <w:rPr>
          <w:rFonts w:hint="eastAsia" w:ascii="宋体" w:hAnsi="宋体"/>
          <w:b/>
          <w:bCs/>
          <w:sz w:val="24"/>
          <w:highlight w:val="yellow"/>
        </w:rPr>
        <w:t>：</w:t>
      </w:r>
      <w:r>
        <w:rPr>
          <w:rFonts w:hint="eastAsia" w:hAnsi="宋体"/>
          <w:b/>
          <w:bCs/>
          <w:sz w:val="24"/>
          <w:highlight w:val="yellow"/>
          <w:lang w:val="en-US" w:eastAsia="zh-CN"/>
        </w:rPr>
        <w:t>0</w:t>
      </w:r>
      <w:r>
        <w:rPr>
          <w:rFonts w:hint="eastAsia" w:ascii="宋体" w:hAnsi="宋体"/>
          <w:b/>
          <w:bCs/>
          <w:sz w:val="24"/>
          <w:highlight w:val="yellow"/>
        </w:rPr>
        <w:t>0</w:t>
      </w:r>
      <w:r>
        <w:rPr>
          <w:rFonts w:hint="eastAsia" w:ascii="宋体" w:hAnsi="宋体" w:eastAsia="宋体" w:cs="宋体"/>
          <w:sz w:val="24"/>
          <w:szCs w:val="24"/>
          <w:highlight w:val="none"/>
        </w:rPr>
        <w:t xml:space="preserve">（北京时间）。 </w:t>
      </w:r>
    </w:p>
    <w:p>
      <w:pPr>
        <w:pageBreakBefore w:val="0"/>
        <w:kinsoku/>
        <w:wordWrap/>
        <w:overflowPunct/>
        <w:topLinePunct w:val="0"/>
        <w:bidi w:val="0"/>
        <w:spacing w:after="120"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九、递交响应文件地点：</w:t>
      </w:r>
      <w:bookmarkStart w:id="12" w:name="PO_默认文件内容_7"/>
      <w:r>
        <w:rPr>
          <w:rFonts w:hint="eastAsia" w:ascii="宋体" w:hAnsi="宋体" w:eastAsia="宋体" w:cs="宋体"/>
          <w:sz w:val="24"/>
          <w:szCs w:val="24"/>
          <w:highlight w:val="none"/>
        </w:rPr>
        <w:t>响应文件必须在递交响应文件截止时间前送达磋商地点。逾期送达或没有密封的响应文件恕不接收。本次采购不接收邮寄的响应文件。</w:t>
      </w:r>
      <w:bookmarkEnd w:id="12"/>
      <w:r>
        <w:rPr>
          <w:rFonts w:hint="eastAsia" w:ascii="宋体" w:hAnsi="宋体" w:eastAsia="宋体" w:cs="宋体"/>
          <w:b/>
          <w:bCs/>
          <w:sz w:val="24"/>
          <w:szCs w:val="24"/>
          <w:highlight w:val="none"/>
        </w:rPr>
        <w:t>（文件接收时间：</w:t>
      </w:r>
      <w:r>
        <w:rPr>
          <w:rFonts w:hint="eastAsia" w:ascii="宋体" w:hAnsi="宋体" w:eastAsia="宋体" w:cs="宋体"/>
          <w:b/>
          <w:bCs/>
          <w:sz w:val="24"/>
          <w:szCs w:val="24"/>
          <w:highlight w:val="yellow"/>
          <w:lang w:eastAsia="zh-CN"/>
        </w:rPr>
        <w:t>202</w:t>
      </w:r>
      <w:r>
        <w:rPr>
          <w:rFonts w:hint="eastAsia" w:ascii="宋体" w:hAnsi="宋体" w:cs="宋体"/>
          <w:b/>
          <w:bCs/>
          <w:sz w:val="24"/>
          <w:szCs w:val="24"/>
          <w:highlight w:val="yellow"/>
          <w:lang w:val="en-US" w:eastAsia="zh-CN"/>
        </w:rPr>
        <w:t>1</w:t>
      </w:r>
      <w:r>
        <w:rPr>
          <w:rFonts w:hint="eastAsia" w:ascii="宋体" w:hAnsi="宋体" w:eastAsia="宋体" w:cs="宋体"/>
          <w:b/>
          <w:bCs/>
          <w:sz w:val="24"/>
          <w:szCs w:val="24"/>
          <w:highlight w:val="yellow"/>
          <w:lang w:eastAsia="zh-CN"/>
        </w:rPr>
        <w:t>年</w:t>
      </w:r>
      <w:r>
        <w:rPr>
          <w:rFonts w:hint="eastAsia" w:ascii="宋体" w:hAnsi="宋体" w:cs="宋体"/>
          <w:b/>
          <w:bCs/>
          <w:sz w:val="24"/>
          <w:szCs w:val="24"/>
          <w:highlight w:val="yellow"/>
          <w:lang w:val="en-US" w:eastAsia="zh-CN"/>
        </w:rPr>
        <w:t xml:space="preserve"> 1</w:t>
      </w:r>
      <w:r>
        <w:rPr>
          <w:rFonts w:hint="eastAsia" w:hAnsi="宋体" w:cs="宋体"/>
          <w:b/>
          <w:bCs/>
          <w:sz w:val="24"/>
          <w:szCs w:val="24"/>
          <w:highlight w:val="yellow"/>
          <w:lang w:val="en-US" w:eastAsia="zh-CN"/>
        </w:rPr>
        <w:t>2</w:t>
      </w:r>
      <w:r>
        <w:rPr>
          <w:rFonts w:hint="eastAsia" w:ascii="宋体" w:hAnsi="宋体" w:eastAsia="宋体" w:cs="宋体"/>
          <w:b/>
          <w:bCs/>
          <w:sz w:val="24"/>
          <w:szCs w:val="24"/>
          <w:highlight w:val="yellow"/>
          <w:lang w:eastAsia="zh-CN"/>
        </w:rPr>
        <w:t>月</w:t>
      </w:r>
      <w:r>
        <w:rPr>
          <w:rFonts w:hint="eastAsia" w:hAnsi="宋体" w:cs="宋体"/>
          <w:b/>
          <w:bCs/>
          <w:sz w:val="24"/>
          <w:szCs w:val="24"/>
          <w:highlight w:val="yellow"/>
          <w:lang w:val="en-US" w:eastAsia="zh-CN"/>
        </w:rPr>
        <w:t>13</w:t>
      </w:r>
      <w:r>
        <w:rPr>
          <w:rFonts w:hint="eastAsia" w:ascii="宋体" w:hAnsi="宋体" w:eastAsia="宋体" w:cs="宋体"/>
          <w:b/>
          <w:bCs/>
          <w:sz w:val="24"/>
          <w:szCs w:val="24"/>
          <w:highlight w:val="yellow"/>
        </w:rPr>
        <w:t>日</w:t>
      </w:r>
      <w:r>
        <w:rPr>
          <w:rFonts w:hint="eastAsia" w:ascii="宋体" w:hAnsi="宋体" w:cs="宋体"/>
          <w:b/>
          <w:bCs/>
          <w:sz w:val="24"/>
          <w:szCs w:val="24"/>
          <w:highlight w:val="yellow"/>
          <w:lang w:val="en-US" w:eastAsia="zh-CN"/>
        </w:rPr>
        <w:t>10</w:t>
      </w:r>
      <w:r>
        <w:rPr>
          <w:rFonts w:hint="eastAsia" w:ascii="宋体" w:hAnsi="宋体" w:cs="宋体"/>
          <w:b/>
          <w:bCs/>
          <w:sz w:val="24"/>
          <w:szCs w:val="24"/>
          <w:highlight w:val="yellow"/>
          <w:lang w:eastAsia="zh-CN"/>
        </w:rPr>
        <w:t>：</w:t>
      </w:r>
      <w:r>
        <w:rPr>
          <w:rFonts w:hint="eastAsia" w:hAnsi="宋体" w:cs="宋体"/>
          <w:b/>
          <w:bCs/>
          <w:sz w:val="24"/>
          <w:szCs w:val="24"/>
          <w:highlight w:val="yellow"/>
          <w:lang w:val="en-US" w:eastAsia="zh-CN"/>
        </w:rPr>
        <w:t>3</w:t>
      </w:r>
      <w:r>
        <w:rPr>
          <w:rFonts w:hint="eastAsia" w:ascii="宋体" w:hAnsi="宋体" w:eastAsia="宋体" w:cs="宋体"/>
          <w:b/>
          <w:bCs/>
          <w:sz w:val="24"/>
          <w:szCs w:val="24"/>
          <w:highlight w:val="yellow"/>
        </w:rPr>
        <w:t>0-202</w:t>
      </w:r>
      <w:r>
        <w:rPr>
          <w:rFonts w:hint="eastAsia" w:ascii="宋体" w:hAnsi="宋体" w:cs="宋体"/>
          <w:b/>
          <w:bCs/>
          <w:sz w:val="24"/>
          <w:szCs w:val="24"/>
          <w:highlight w:val="yellow"/>
          <w:lang w:val="en-US" w:eastAsia="zh-CN"/>
        </w:rPr>
        <w:t>1</w:t>
      </w:r>
      <w:r>
        <w:rPr>
          <w:rFonts w:hint="eastAsia" w:ascii="宋体" w:hAnsi="宋体" w:eastAsia="宋体" w:cs="宋体"/>
          <w:b/>
          <w:bCs/>
          <w:sz w:val="24"/>
          <w:szCs w:val="24"/>
          <w:highlight w:val="yellow"/>
        </w:rPr>
        <w:t>年</w:t>
      </w:r>
      <w:r>
        <w:rPr>
          <w:rFonts w:hint="eastAsia" w:ascii="宋体" w:hAnsi="宋体" w:cs="宋体"/>
          <w:b/>
          <w:bCs/>
          <w:sz w:val="24"/>
          <w:szCs w:val="24"/>
          <w:highlight w:val="yellow"/>
          <w:lang w:val="en-US" w:eastAsia="zh-CN"/>
        </w:rPr>
        <w:t>1</w:t>
      </w:r>
      <w:r>
        <w:rPr>
          <w:rFonts w:hint="eastAsia" w:hAnsi="宋体" w:cs="宋体"/>
          <w:b/>
          <w:bCs/>
          <w:sz w:val="24"/>
          <w:szCs w:val="24"/>
          <w:highlight w:val="yellow"/>
          <w:lang w:val="en-US" w:eastAsia="zh-CN"/>
        </w:rPr>
        <w:t>2</w:t>
      </w:r>
      <w:r>
        <w:rPr>
          <w:rFonts w:hint="eastAsia" w:ascii="宋体" w:hAnsi="宋体" w:eastAsia="宋体" w:cs="宋体"/>
          <w:b/>
          <w:bCs/>
          <w:sz w:val="24"/>
          <w:szCs w:val="24"/>
          <w:highlight w:val="yellow"/>
          <w:lang w:eastAsia="zh-CN"/>
        </w:rPr>
        <w:t>月</w:t>
      </w:r>
      <w:r>
        <w:rPr>
          <w:rFonts w:hint="eastAsia" w:hAnsi="宋体" w:cs="宋体"/>
          <w:b/>
          <w:bCs/>
          <w:sz w:val="24"/>
          <w:szCs w:val="24"/>
          <w:highlight w:val="yellow"/>
          <w:lang w:val="en-US" w:eastAsia="zh-CN"/>
        </w:rPr>
        <w:t>13</w:t>
      </w:r>
      <w:r>
        <w:rPr>
          <w:rFonts w:hint="eastAsia" w:ascii="宋体" w:hAnsi="宋体" w:eastAsia="宋体" w:cs="宋体"/>
          <w:b/>
          <w:bCs/>
          <w:sz w:val="24"/>
          <w:szCs w:val="24"/>
          <w:highlight w:val="yellow"/>
        </w:rPr>
        <w:t>日1</w:t>
      </w:r>
      <w:r>
        <w:rPr>
          <w:rFonts w:hint="eastAsia" w:hAnsi="宋体" w:cs="宋体"/>
          <w:b/>
          <w:bCs/>
          <w:sz w:val="24"/>
          <w:szCs w:val="24"/>
          <w:highlight w:val="yellow"/>
          <w:lang w:val="en-US" w:eastAsia="zh-CN"/>
        </w:rPr>
        <w:t>1</w:t>
      </w:r>
      <w:r>
        <w:rPr>
          <w:rFonts w:hint="eastAsia" w:ascii="宋体" w:hAnsi="宋体" w:eastAsia="宋体" w:cs="宋体"/>
          <w:b/>
          <w:bCs/>
          <w:sz w:val="24"/>
          <w:szCs w:val="24"/>
          <w:highlight w:val="yellow"/>
        </w:rPr>
        <w:t>：</w:t>
      </w:r>
      <w:r>
        <w:rPr>
          <w:rFonts w:hint="eastAsia" w:hAnsi="宋体" w:cs="宋体"/>
          <w:b/>
          <w:bCs/>
          <w:sz w:val="24"/>
          <w:szCs w:val="24"/>
          <w:highlight w:val="yellow"/>
          <w:lang w:val="en-US" w:eastAsia="zh-CN"/>
        </w:rPr>
        <w:t>0</w:t>
      </w:r>
      <w:r>
        <w:rPr>
          <w:rFonts w:hint="eastAsia" w:ascii="宋体" w:hAnsi="宋体" w:cs="宋体"/>
          <w:b/>
          <w:bCs/>
          <w:sz w:val="24"/>
          <w:szCs w:val="24"/>
          <w:highlight w:val="yellow"/>
          <w:lang w:val="en-US" w:eastAsia="zh-CN"/>
        </w:rPr>
        <w:t>0</w:t>
      </w:r>
      <w:r>
        <w:rPr>
          <w:rFonts w:hint="eastAsia" w:ascii="宋体" w:hAnsi="宋体" w:eastAsia="宋体" w:cs="宋体"/>
          <w:b/>
          <w:bCs/>
          <w:sz w:val="24"/>
          <w:szCs w:val="24"/>
          <w:highlight w:val="none"/>
        </w:rPr>
        <w:t>）</w:t>
      </w:r>
    </w:p>
    <w:p>
      <w:pPr>
        <w:pageBreakBefore w:val="0"/>
        <w:kinsoku/>
        <w:wordWrap/>
        <w:overflowPunct/>
        <w:topLinePunct w:val="0"/>
        <w:bidi w:val="0"/>
        <w:spacing w:after="120"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十、响应文件开启时间：</w:t>
      </w:r>
      <w:r>
        <w:rPr>
          <w:rFonts w:hint="eastAsia" w:ascii="宋体" w:hAnsi="宋体"/>
          <w:b/>
          <w:bCs/>
          <w:sz w:val="24"/>
          <w:highlight w:val="yellow"/>
        </w:rPr>
        <w:t>202</w:t>
      </w:r>
      <w:r>
        <w:rPr>
          <w:rFonts w:hint="eastAsia" w:ascii="宋体" w:hAnsi="宋体"/>
          <w:b/>
          <w:bCs/>
          <w:sz w:val="24"/>
          <w:highlight w:val="yellow"/>
          <w:lang w:val="en-US" w:eastAsia="zh-CN"/>
        </w:rPr>
        <w:t>1</w:t>
      </w:r>
      <w:r>
        <w:rPr>
          <w:rFonts w:hint="eastAsia" w:ascii="宋体" w:hAnsi="宋体"/>
          <w:b/>
          <w:bCs/>
          <w:sz w:val="24"/>
          <w:highlight w:val="yellow"/>
        </w:rPr>
        <w:t>年</w:t>
      </w:r>
      <w:r>
        <w:rPr>
          <w:rFonts w:hint="eastAsia" w:ascii="宋体" w:hAnsi="宋体"/>
          <w:b/>
          <w:bCs/>
          <w:sz w:val="24"/>
          <w:highlight w:val="yellow"/>
          <w:lang w:val="en-US" w:eastAsia="zh-CN"/>
        </w:rPr>
        <w:t>1</w:t>
      </w:r>
      <w:r>
        <w:rPr>
          <w:rFonts w:hint="eastAsia" w:hAnsi="宋体"/>
          <w:b/>
          <w:bCs/>
          <w:sz w:val="24"/>
          <w:highlight w:val="yellow"/>
          <w:lang w:val="en-US" w:eastAsia="zh-CN"/>
        </w:rPr>
        <w:t>2</w:t>
      </w:r>
      <w:r>
        <w:rPr>
          <w:rFonts w:hint="eastAsia" w:ascii="宋体" w:hAnsi="宋体"/>
          <w:b/>
          <w:bCs/>
          <w:sz w:val="24"/>
          <w:highlight w:val="yellow"/>
        </w:rPr>
        <w:t>月</w:t>
      </w:r>
      <w:r>
        <w:rPr>
          <w:rFonts w:hint="eastAsia" w:hAnsi="宋体"/>
          <w:b/>
          <w:bCs/>
          <w:sz w:val="24"/>
          <w:highlight w:val="yellow"/>
          <w:lang w:val="en-US" w:eastAsia="zh-CN"/>
        </w:rPr>
        <w:t>13</w:t>
      </w:r>
      <w:r>
        <w:rPr>
          <w:rFonts w:hint="eastAsia" w:ascii="宋体" w:hAnsi="宋体"/>
          <w:b/>
          <w:bCs/>
          <w:sz w:val="24"/>
          <w:highlight w:val="yellow"/>
        </w:rPr>
        <w:t>日</w:t>
      </w:r>
      <w:r>
        <w:rPr>
          <w:rFonts w:hint="eastAsia" w:hAnsi="宋体"/>
          <w:b/>
          <w:bCs/>
          <w:sz w:val="24"/>
          <w:highlight w:val="yellow"/>
          <w:lang w:val="en-US" w:eastAsia="zh-CN"/>
        </w:rPr>
        <w:t>11</w:t>
      </w:r>
      <w:r>
        <w:rPr>
          <w:rFonts w:hint="eastAsia" w:ascii="宋体" w:hAnsi="宋体"/>
          <w:b/>
          <w:bCs/>
          <w:sz w:val="24"/>
          <w:highlight w:val="yellow"/>
        </w:rPr>
        <w:t>：</w:t>
      </w:r>
      <w:r>
        <w:rPr>
          <w:rFonts w:hint="eastAsia" w:hAnsi="宋体"/>
          <w:b/>
          <w:bCs/>
          <w:sz w:val="24"/>
          <w:highlight w:val="yellow"/>
          <w:lang w:val="en-US" w:eastAsia="zh-CN"/>
        </w:rPr>
        <w:t>00</w:t>
      </w:r>
      <w:r>
        <w:rPr>
          <w:rFonts w:hint="eastAsia" w:ascii="宋体" w:hAnsi="宋体" w:eastAsia="宋体" w:cs="宋体"/>
          <w:sz w:val="24"/>
          <w:szCs w:val="24"/>
          <w:highlight w:val="yellow"/>
        </w:rPr>
        <w:t>（</w:t>
      </w:r>
      <w:r>
        <w:rPr>
          <w:rFonts w:hint="eastAsia" w:ascii="宋体" w:hAnsi="宋体" w:eastAsia="宋体" w:cs="宋体"/>
          <w:sz w:val="24"/>
          <w:szCs w:val="24"/>
          <w:highlight w:val="none"/>
        </w:rPr>
        <w:t>北京时间）在磋商地点开启。</w:t>
      </w:r>
    </w:p>
    <w:p>
      <w:pPr>
        <w:pageBreakBefore w:val="0"/>
        <w:kinsoku/>
        <w:wordWrap/>
        <w:overflowPunct/>
        <w:topLinePunct w:val="0"/>
        <w:bidi w:val="0"/>
        <w:spacing w:line="360" w:lineRule="auto"/>
        <w:ind w:firstLine="489" w:firstLineChars="203"/>
        <w:rPr>
          <w:rFonts w:hint="eastAsia" w:ascii="宋体" w:hAnsi="宋体" w:eastAsia="宋体" w:cs="宋体"/>
          <w:sz w:val="24"/>
          <w:szCs w:val="24"/>
          <w:highlight w:val="none"/>
        </w:rPr>
      </w:pPr>
      <w:r>
        <w:rPr>
          <w:rFonts w:hint="eastAsia" w:ascii="宋体" w:hAnsi="宋体" w:eastAsia="宋体" w:cs="宋体"/>
          <w:b/>
          <w:sz w:val="24"/>
          <w:szCs w:val="24"/>
          <w:highlight w:val="none"/>
        </w:rPr>
        <w:t>十一、磋商地点：四川三盈招标代理有限公司开标室（地址：</w:t>
      </w:r>
      <w:r>
        <w:rPr>
          <w:rFonts w:hint="eastAsia" w:ascii="宋体" w:hAnsi="宋体" w:eastAsia="宋体" w:cs="宋体"/>
          <w:sz w:val="24"/>
          <w:szCs w:val="24"/>
          <w:highlight w:val="none"/>
        </w:rPr>
        <w:t>成都市高新区盛和一路88号康普雷斯1栋1单元701号</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w:t>
      </w:r>
    </w:p>
    <w:p>
      <w:pPr>
        <w:pStyle w:val="53"/>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十二、联系方式</w:t>
      </w:r>
    </w:p>
    <w:p>
      <w:pPr>
        <w:pStyle w:val="53"/>
        <w:pageBreakBefore w:val="0"/>
        <w:kinsoku/>
        <w:wordWrap/>
        <w:overflowPunct/>
        <w:topLinePunct w:val="0"/>
        <w:bidi w:val="0"/>
        <w:spacing w:line="360" w:lineRule="auto"/>
        <w:ind w:firstLine="954" w:firstLineChars="396"/>
        <w:rPr>
          <w:rFonts w:hint="eastAsia" w:ascii="宋体" w:hAnsi="宋体" w:eastAsia="宋体" w:cs="宋体"/>
          <w:b/>
          <w:bCs/>
          <w:sz w:val="24"/>
          <w:szCs w:val="24"/>
          <w:highlight w:val="none"/>
        </w:rPr>
      </w:pPr>
      <w:r>
        <w:rPr>
          <w:rFonts w:hint="eastAsia" w:ascii="宋体" w:hAnsi="宋体" w:eastAsia="宋体" w:cs="宋体"/>
          <w:b/>
          <w:sz w:val="24"/>
          <w:szCs w:val="24"/>
          <w:highlight w:val="none"/>
        </w:rPr>
        <w:t xml:space="preserve">  采购人：</w:t>
      </w:r>
      <w:r>
        <w:rPr>
          <w:rFonts w:hint="eastAsia" w:hAnsi="宋体" w:cs="宋体"/>
          <w:b/>
          <w:sz w:val="24"/>
          <w:szCs w:val="24"/>
          <w:highlight w:val="none"/>
          <w:lang w:eastAsia="zh-CN"/>
        </w:rPr>
        <w:t>成都市妇女儿童中心医院</w:t>
      </w:r>
      <w:r>
        <w:rPr>
          <w:rFonts w:hint="eastAsia" w:ascii="宋体" w:hAnsi="宋体" w:eastAsia="宋体" w:cs="宋体"/>
          <w:b/>
          <w:sz w:val="24"/>
          <w:szCs w:val="24"/>
          <w:highlight w:val="none"/>
        </w:rPr>
        <w:t xml:space="preserve"> </w:t>
      </w:r>
    </w:p>
    <w:p>
      <w:pPr>
        <w:pStyle w:val="53"/>
        <w:pageBreakBefore w:val="0"/>
        <w:kinsoku/>
        <w:wordWrap/>
        <w:overflowPunct/>
        <w:topLinePunct w:val="0"/>
        <w:bidi w:val="0"/>
        <w:spacing w:line="360" w:lineRule="auto"/>
        <w:ind w:firstLine="1200" w:firstLineChars="5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通讯地址：</w:t>
      </w:r>
      <w:r>
        <w:rPr>
          <w:rFonts w:hint="eastAsia" w:ascii="宋体" w:hAnsi="宋体" w:cs="宋体"/>
          <w:bCs/>
          <w:sz w:val="24"/>
        </w:rPr>
        <w:t>成都市西三环外日月大道1617号</w:t>
      </w:r>
      <w:r>
        <w:rPr>
          <w:rFonts w:hint="eastAsia" w:ascii="宋体" w:hAnsi="宋体" w:cs="宋体"/>
          <w:bCs/>
          <w:sz w:val="24"/>
          <w:szCs w:val="24"/>
          <w:highlight w:val="none"/>
          <w:lang w:val="en-US" w:eastAsia="zh-CN"/>
        </w:rPr>
        <w:t xml:space="preserve"> </w:t>
      </w:r>
      <w:r>
        <w:rPr>
          <w:rFonts w:hint="eastAsia" w:hAnsi="宋体" w:cs="宋体"/>
          <w:bCs/>
          <w:sz w:val="24"/>
          <w:szCs w:val="24"/>
          <w:highlight w:val="none"/>
          <w:lang w:val="en-US" w:eastAsia="zh-CN"/>
        </w:rPr>
        <w:t xml:space="preserve"> </w:t>
      </w:r>
      <w:r>
        <w:rPr>
          <w:rFonts w:hint="eastAsia" w:ascii="宋体" w:hAnsi="宋体" w:cs="宋体"/>
          <w:bCs/>
          <w:sz w:val="24"/>
          <w:szCs w:val="24"/>
          <w:highlight w:val="none"/>
          <w:lang w:val="en-US" w:eastAsia="zh-CN"/>
        </w:rPr>
        <w:t xml:space="preserve"> </w:t>
      </w:r>
    </w:p>
    <w:p>
      <w:pPr>
        <w:pStyle w:val="53"/>
        <w:pageBreakBefore w:val="0"/>
        <w:kinsoku/>
        <w:wordWrap/>
        <w:overflowPunct/>
        <w:topLinePunct w:val="0"/>
        <w:bidi w:val="0"/>
        <w:spacing w:line="360" w:lineRule="auto"/>
        <w:ind w:firstLine="1200" w:firstLineChars="5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hAnsi="宋体" w:cs="宋体"/>
          <w:sz w:val="24"/>
          <w:szCs w:val="24"/>
          <w:highlight w:val="none"/>
          <w:lang w:val="en-US" w:eastAsia="zh-CN"/>
        </w:rPr>
        <w:t>夏老师</w:t>
      </w:r>
    </w:p>
    <w:p>
      <w:pPr>
        <w:pStyle w:val="53"/>
        <w:pageBreakBefore w:val="0"/>
        <w:kinsoku/>
        <w:wordWrap/>
        <w:overflowPunct/>
        <w:topLinePunct w:val="0"/>
        <w:bidi w:val="0"/>
        <w:spacing w:line="360" w:lineRule="auto"/>
        <w:ind w:firstLine="1200" w:firstLineChars="5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hAnsi="宋体" w:cs="宋体"/>
          <w:sz w:val="24"/>
          <w:szCs w:val="24"/>
          <w:highlight w:val="none"/>
          <w:lang w:val="en-US" w:eastAsia="zh-CN"/>
        </w:rPr>
        <w:t>028-61866108</w:t>
      </w:r>
    </w:p>
    <w:p>
      <w:pPr>
        <w:pStyle w:val="53"/>
        <w:pageBreakBefore w:val="0"/>
        <w:kinsoku/>
        <w:wordWrap/>
        <w:overflowPunct/>
        <w:topLinePunct w:val="0"/>
        <w:bidi w:val="0"/>
        <w:spacing w:line="360" w:lineRule="auto"/>
        <w:ind w:firstLine="1195" w:firstLineChars="496"/>
        <w:rPr>
          <w:rFonts w:hint="eastAsia" w:ascii="宋体" w:hAnsi="宋体" w:eastAsia="宋体" w:cs="宋体"/>
          <w:b/>
          <w:sz w:val="24"/>
          <w:szCs w:val="24"/>
          <w:highlight w:val="none"/>
        </w:rPr>
      </w:pPr>
    </w:p>
    <w:p>
      <w:pPr>
        <w:pStyle w:val="53"/>
        <w:pageBreakBefore w:val="0"/>
        <w:kinsoku/>
        <w:wordWrap/>
        <w:overflowPunct/>
        <w:topLinePunct w:val="0"/>
        <w:bidi w:val="0"/>
        <w:spacing w:line="360" w:lineRule="auto"/>
        <w:ind w:firstLine="1195" w:firstLineChars="496"/>
        <w:rPr>
          <w:rFonts w:hint="eastAsia" w:ascii="宋体" w:hAnsi="宋体" w:eastAsia="宋体" w:cs="宋体"/>
          <w:b/>
          <w:sz w:val="24"/>
          <w:szCs w:val="24"/>
          <w:highlight w:val="none"/>
        </w:rPr>
      </w:pPr>
      <w:r>
        <w:rPr>
          <w:rFonts w:hint="eastAsia" w:ascii="宋体" w:hAnsi="宋体" w:eastAsia="宋体" w:cs="宋体"/>
          <w:b/>
          <w:sz w:val="24"/>
          <w:szCs w:val="24"/>
          <w:highlight w:val="none"/>
        </w:rPr>
        <w:t>采购代理机构：四川三盈招标代理有限公司</w:t>
      </w:r>
    </w:p>
    <w:p>
      <w:pPr>
        <w:pStyle w:val="53"/>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地址：成都市高新区盛和一路88号康普雷斯1栋1单元701号</w:t>
      </w:r>
    </w:p>
    <w:p>
      <w:pPr>
        <w:pStyle w:val="53"/>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sz w:val="24"/>
          <w:highlight w:val="none"/>
          <w:lang w:val="en-US" w:eastAsia="zh-CN"/>
        </w:rPr>
        <w:t>刘女士</w:t>
      </w:r>
    </w:p>
    <w:p>
      <w:pPr>
        <w:pStyle w:val="53"/>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联系电话：028-</w:t>
      </w:r>
      <w:r>
        <w:rPr>
          <w:rFonts w:hint="eastAsia" w:ascii="宋体" w:hAnsi="宋体" w:eastAsia="宋体" w:cs="宋体"/>
          <w:sz w:val="24"/>
          <w:szCs w:val="24"/>
          <w:highlight w:val="none"/>
          <w:lang w:val="en-US" w:eastAsia="zh-CN"/>
        </w:rPr>
        <w:t>87456828</w:t>
      </w:r>
      <w:r>
        <w:rPr>
          <w:rFonts w:hint="eastAsia" w:ascii="宋体" w:hAnsi="宋体" w:eastAsia="宋体" w:cs="宋体"/>
          <w:sz w:val="24"/>
          <w:szCs w:val="24"/>
          <w:highlight w:val="none"/>
        </w:rPr>
        <w:t xml:space="preserve"> </w:t>
      </w:r>
    </w:p>
    <w:p>
      <w:pPr>
        <w:pStyle w:val="53"/>
        <w:pageBreakBefore w:val="0"/>
        <w:kinsoku/>
        <w:wordWrap/>
        <w:overflowPunct/>
        <w:topLinePunct w:val="0"/>
        <w:bidi w:val="0"/>
        <w:spacing w:line="360" w:lineRule="auto"/>
        <w:ind w:firstLine="1200" w:firstLineChars="500"/>
        <w:rPr>
          <w:rFonts w:hint="eastAsia" w:ascii="宋体" w:hAnsi="宋体" w:eastAsia="宋体" w:cs="宋体"/>
          <w:sz w:val="28"/>
          <w:szCs w:val="28"/>
          <w:highlight w:val="none"/>
        </w:rPr>
      </w:pPr>
      <w:r>
        <w:rPr>
          <w:rFonts w:hint="eastAsia" w:ascii="宋体" w:hAnsi="宋体" w:eastAsia="宋体" w:cs="宋体"/>
          <w:sz w:val="24"/>
          <w:szCs w:val="24"/>
          <w:highlight w:val="none"/>
        </w:rPr>
        <w:t>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真：028-</w:t>
      </w:r>
      <w:r>
        <w:rPr>
          <w:rFonts w:hint="eastAsia" w:ascii="宋体" w:hAnsi="宋体" w:eastAsia="宋体" w:cs="宋体"/>
          <w:sz w:val="24"/>
          <w:szCs w:val="24"/>
          <w:highlight w:val="none"/>
          <w:lang w:val="en-US" w:eastAsia="zh-CN"/>
        </w:rPr>
        <w:t>87456828</w:t>
      </w:r>
      <w:r>
        <w:rPr>
          <w:rFonts w:hint="eastAsia" w:ascii="宋体" w:hAnsi="宋体" w:eastAsia="宋体" w:cs="宋体"/>
          <w:sz w:val="28"/>
          <w:szCs w:val="28"/>
          <w:highlight w:val="none"/>
        </w:rPr>
        <w:t xml:space="preserve"> </w:t>
      </w:r>
    </w:p>
    <w:p>
      <w:pPr>
        <w:pStyle w:val="53"/>
        <w:ind w:left="0" w:leftChars="0" w:firstLine="0" w:firstLineChars="0"/>
        <w:rPr>
          <w:rFonts w:hint="eastAsia" w:ascii="宋体" w:hAnsi="宋体" w:eastAsia="宋体" w:cs="宋体"/>
          <w:sz w:val="24"/>
          <w:szCs w:val="22"/>
        </w:rPr>
      </w:pPr>
    </w:p>
    <w:p>
      <w:pPr>
        <w:rPr>
          <w:rFonts w:hint="eastAsia" w:ascii="宋体" w:hAnsi="宋体" w:eastAsia="宋体" w:cs="宋体"/>
          <w:b/>
          <w:kern w:val="44"/>
          <w:sz w:val="44"/>
          <w:lang w:val="en-US" w:eastAsia="zh-CN" w:bidi="ar-SA"/>
        </w:rPr>
      </w:pPr>
      <w:r>
        <w:rPr>
          <w:rFonts w:hint="eastAsia" w:ascii="宋体" w:hAnsi="宋体" w:eastAsia="宋体" w:cs="宋体"/>
          <w:b/>
          <w:kern w:val="44"/>
          <w:sz w:val="44"/>
          <w:lang w:val="en-US" w:eastAsia="zh-CN" w:bidi="ar-SA"/>
        </w:rPr>
        <w:br w:type="page"/>
      </w:r>
    </w:p>
    <w:p>
      <w:pPr>
        <w:pStyle w:val="53"/>
        <w:ind w:left="0" w:leftChars="0" w:firstLine="0" w:firstLineChars="0"/>
        <w:jc w:val="center"/>
        <w:rPr>
          <w:rFonts w:hint="eastAsia" w:ascii="宋体" w:hAnsi="宋体" w:eastAsia="宋体" w:cs="宋体"/>
          <w:b/>
          <w:kern w:val="44"/>
          <w:sz w:val="44"/>
          <w:lang w:val="en-US" w:eastAsia="zh-CN" w:bidi="ar-SA"/>
        </w:rPr>
      </w:pPr>
      <w:r>
        <w:rPr>
          <w:rFonts w:hint="eastAsia" w:ascii="宋体" w:hAnsi="宋体" w:eastAsia="宋体" w:cs="宋体"/>
          <w:b/>
          <w:kern w:val="44"/>
          <w:sz w:val="44"/>
          <w:lang w:val="en-US" w:eastAsia="zh-CN" w:bidi="ar-SA"/>
        </w:rPr>
        <w:t>第二章  磋商须知</w:t>
      </w:r>
      <w:bookmarkEnd w:id="5"/>
      <w:bookmarkEnd w:id="6"/>
      <w:bookmarkEnd w:id="7"/>
      <w:bookmarkEnd w:id="8"/>
      <w:bookmarkEnd w:id="9"/>
      <w:bookmarkEnd w:id="10"/>
      <w:bookmarkEnd w:id="11"/>
    </w:p>
    <w:p>
      <w:pPr>
        <w:pStyle w:val="5"/>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一、供应商须知附表</w:t>
      </w:r>
    </w:p>
    <w:tbl>
      <w:tblPr>
        <w:tblStyle w:val="24"/>
        <w:tblW w:w="9506"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9"/>
        <w:gridCol w:w="1667"/>
        <w:gridCol w:w="725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trPr>
        <w:tc>
          <w:tcPr>
            <w:tcW w:w="589" w:type="dxa"/>
            <w:tcBorders>
              <w:top w:val="single" w:color="auto" w:sz="18" w:space="0"/>
            </w:tcBorders>
            <w:vAlign w:val="center"/>
          </w:tcPr>
          <w:p>
            <w:pPr>
              <w:pStyle w:val="54"/>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667" w:type="dxa"/>
            <w:tcBorders>
              <w:top w:val="single" w:color="auto" w:sz="18" w:space="0"/>
            </w:tcBorders>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7250" w:type="dxa"/>
            <w:tcBorders>
              <w:top w:val="single" w:color="auto" w:sz="18" w:space="0"/>
            </w:tcBorders>
            <w:vAlign w:val="center"/>
          </w:tcPr>
          <w:p>
            <w:pPr>
              <w:pStyle w:val="54"/>
              <w:keepNext w:val="0"/>
              <w:keepLines w:val="0"/>
              <w:pageBreakBefore w:val="0"/>
              <w:kinsoku/>
              <w:wordWrap/>
              <w:overflowPunct/>
              <w:topLinePunct w:val="0"/>
              <w:bidi w:val="0"/>
              <w:snapToGrid/>
              <w:spacing w:line="360" w:lineRule="auto"/>
              <w:ind w:firstLine="480" w:firstLineChars="200"/>
              <w:jc w:val="center"/>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采购预算</w:t>
            </w:r>
            <w:r>
              <w:rPr>
                <w:rFonts w:hint="eastAsia" w:cs="宋体"/>
                <w:sz w:val="24"/>
                <w:szCs w:val="24"/>
                <w:lang w:val="en-US" w:eastAsia="zh-CN"/>
              </w:rPr>
              <w:t>及最高限价</w:t>
            </w:r>
          </w:p>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7250" w:type="dxa"/>
            <w:vAlign w:val="center"/>
          </w:tcPr>
          <w:p>
            <w:pPr>
              <w:pStyle w:val="54"/>
              <w:pageBreakBefore w:val="0"/>
              <w:kinsoku/>
              <w:wordWrap/>
              <w:overflowPunct/>
              <w:topLinePunct w:val="0"/>
              <w:bidi w:val="0"/>
              <w:spacing w:line="360" w:lineRule="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采购预算：</w:t>
            </w:r>
            <w:r>
              <w:rPr>
                <w:rFonts w:hint="eastAsia" w:ascii="宋体" w:hAnsi="宋体" w:eastAsia="宋体" w:cs="宋体"/>
                <w:sz w:val="24"/>
                <w:szCs w:val="24"/>
                <w:highlight w:val="none"/>
                <w:lang w:val="en-US" w:eastAsia="zh-CN"/>
              </w:rPr>
              <w:t>800000</w:t>
            </w:r>
            <w:r>
              <w:rPr>
                <w:rFonts w:hint="eastAsia" w:ascii="宋体" w:hAnsi="宋体" w:eastAsia="宋体" w:cs="宋体"/>
                <w:sz w:val="24"/>
                <w:szCs w:val="24"/>
                <w:highlight w:val="none"/>
              </w:rPr>
              <w:t xml:space="preserve"> 元</w:t>
            </w:r>
            <w:r>
              <w:rPr>
                <w:rFonts w:hint="eastAsia" w:ascii="宋体" w:hAnsi="宋体" w:eastAsia="宋体" w:cs="宋体"/>
                <w:sz w:val="24"/>
                <w:szCs w:val="24"/>
                <w:highlight w:val="none"/>
                <w:lang w:val="en-US" w:eastAsia="zh-CN"/>
              </w:rPr>
              <w:t>。</w:t>
            </w:r>
          </w:p>
          <w:p>
            <w:pPr>
              <w:pStyle w:val="54"/>
              <w:pageBreakBefore w:val="0"/>
              <w:kinsoku/>
              <w:wordWrap/>
              <w:overflowPunct/>
              <w:topLinePunct w:val="0"/>
              <w:bidi w:val="0"/>
              <w:spacing w:line="360" w:lineRule="auto"/>
              <w:rPr>
                <w:rFonts w:hint="eastAsia" w:cs="宋体"/>
                <w:sz w:val="24"/>
                <w:szCs w:val="24"/>
                <w:highlight w:val="none"/>
                <w:lang w:val="en-US" w:eastAsia="zh-CN"/>
              </w:rPr>
            </w:pPr>
            <w:r>
              <w:rPr>
                <w:rFonts w:hint="eastAsia" w:ascii="宋体" w:hAnsi="宋体" w:eastAsia="宋体" w:cs="宋体"/>
                <w:sz w:val="24"/>
                <w:szCs w:val="24"/>
                <w:highlight w:val="none"/>
                <w:lang w:val="en-US" w:eastAsia="zh-CN"/>
              </w:rPr>
              <w:t>最高限价：750000元。</w:t>
            </w:r>
          </w:p>
          <w:p>
            <w:pPr>
              <w:pStyle w:val="54"/>
              <w:keepNext w:val="0"/>
              <w:keepLines w:val="0"/>
              <w:pageBreakBefore w:val="0"/>
              <w:kinsoku/>
              <w:wordWrap/>
              <w:overflowPunct/>
              <w:topLinePunct w:val="0"/>
              <w:bidi w:val="0"/>
              <w:snapToGrid/>
              <w:spacing w:line="360" w:lineRule="auto"/>
              <w:rPr>
                <w:rFonts w:hint="eastAsia" w:ascii="宋体" w:hAnsi="宋体" w:eastAsia="宋体" w:cs="宋体"/>
                <w:sz w:val="24"/>
                <w:szCs w:val="24"/>
                <w:lang w:val="zh-CN"/>
              </w:rPr>
            </w:pPr>
            <w:r>
              <w:rPr>
                <w:rFonts w:hint="eastAsia" w:ascii="宋体" w:hAnsi="宋体" w:eastAsia="宋体" w:cs="宋体"/>
                <w:sz w:val="24"/>
                <w:szCs w:val="24"/>
                <w:highlight w:val="none"/>
                <w:lang w:val="zh-CN"/>
              </w:rPr>
              <w:t>报价超过最高限价,其响应文件按无效处理。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rPr>
            </w:pPr>
            <w:r>
              <w:rPr>
                <w:rFonts w:hint="eastAsia" w:ascii="宋体" w:hAnsi="宋体" w:eastAsia="宋体" w:cs="宋体"/>
                <w:sz w:val="24"/>
                <w:szCs w:val="24"/>
                <w:lang w:val="zh-CN"/>
              </w:rPr>
              <w:t>进口产品</w:t>
            </w:r>
          </w:p>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w:t>
            </w:r>
            <w:r>
              <w:rPr>
                <w:rFonts w:hint="eastAsia" w:ascii="宋体" w:hAnsi="宋体" w:eastAsia="宋体" w:cs="宋体"/>
                <w:sz w:val="24"/>
                <w:szCs w:val="24"/>
              </w:rPr>
              <w:t>不涉及</w:t>
            </w:r>
            <w:r>
              <w:rPr>
                <w:rFonts w:hint="eastAsia" w:ascii="宋体" w:hAnsi="宋体" w:eastAsia="宋体" w:cs="宋体"/>
                <w:sz w:val="24"/>
                <w:szCs w:val="24"/>
                <w:lang w:val="zh-CN"/>
              </w:rPr>
              <w:t>）</w:t>
            </w:r>
          </w:p>
        </w:tc>
        <w:tc>
          <w:tcPr>
            <w:tcW w:w="7250" w:type="dxa"/>
            <w:vAlign w:val="center"/>
          </w:tcPr>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lang w:val="zh-CN" w:eastAsia="zh-CN" w:bidi="ar-SA"/>
              </w:rPr>
            </w:pPr>
            <w:r>
              <w:rPr>
                <w:rFonts w:hint="eastAsia" w:ascii="宋体" w:hAnsi="宋体" w:eastAsia="宋体" w:cs="宋体"/>
                <w:sz w:val="24"/>
                <w:szCs w:val="24"/>
              </w:rPr>
              <w:t>本项目竞争性磋商文件中未载明“允许采购进口产品”的产品，拒绝进口产品参与竞争。载明“允许采购进口产品”的产品，不限制国产产品参与竞争。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rPr>
            </w:pPr>
            <w:r>
              <w:rPr>
                <w:rFonts w:hint="eastAsia" w:ascii="宋体" w:hAnsi="宋体" w:eastAsia="宋体" w:cs="宋体"/>
                <w:sz w:val="24"/>
                <w:szCs w:val="24"/>
                <w:lang w:val="zh-CN"/>
              </w:rPr>
              <w:t>联合体</w:t>
            </w:r>
          </w:p>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（实质性要求）</w:t>
            </w:r>
          </w:p>
        </w:tc>
        <w:tc>
          <w:tcPr>
            <w:tcW w:w="7250" w:type="dxa"/>
            <w:vAlign w:val="center"/>
          </w:tcPr>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低于成本价不正当竞争预防措施</w:t>
            </w:r>
          </w:p>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rPr>
              <w:t>（实质性要求）</w:t>
            </w:r>
          </w:p>
        </w:tc>
        <w:tc>
          <w:tcPr>
            <w:tcW w:w="7250" w:type="dxa"/>
            <w:vAlign w:val="center"/>
          </w:tcPr>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供应商书面说明应当签字确认并加盖公章，否则无效。书面说明的签字确认，供应商为法人的，由其法定代表人或者代理人签字确认（附授权委托书）并加盖法人公章；供应商为其他组织的，由其主要负责人或者代理人签字确认（附授权委托书）并加盖公章；供应商为自然人的，由其本人或者代理人签字确认（附授权委托书）。</w:t>
            </w:r>
          </w:p>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lang w:val="zh-CN" w:eastAsia="zh-CN" w:bidi="ar-SA"/>
              </w:rPr>
            </w:pPr>
            <w:r>
              <w:rPr>
                <w:rFonts w:hint="eastAsia" w:ascii="宋体" w:hAnsi="宋体" w:eastAsia="宋体" w:cs="宋体"/>
                <w:sz w:val="24"/>
                <w:szCs w:val="24"/>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w:t>
            </w:r>
            <w:r>
              <w:rPr>
                <w:rFonts w:hint="eastAsia" w:ascii="宋体" w:hAnsi="宋体" w:eastAsia="宋体" w:cs="宋体"/>
                <w:sz w:val="24"/>
                <w:szCs w:val="24"/>
                <w:lang w:eastAsia="zh-CN"/>
              </w:rPr>
              <w:t>响应文件</w:t>
            </w:r>
            <w:r>
              <w:rPr>
                <w:rFonts w:hint="eastAsia" w:ascii="宋体" w:hAnsi="宋体" w:eastAsia="宋体" w:cs="宋体"/>
                <w:sz w:val="24"/>
                <w:szCs w:val="24"/>
              </w:rPr>
              <w:t>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rPr>
            </w:pPr>
            <w:r>
              <w:rPr>
                <w:rFonts w:hint="eastAsia" w:ascii="宋体" w:hAnsi="宋体" w:eastAsia="宋体" w:cs="宋体"/>
                <w:sz w:val="24"/>
                <w:szCs w:val="24"/>
                <w:lang w:val="zh-CN"/>
              </w:rPr>
              <w:t>小微企业（监狱企业、残疾人福利性单位视同小微企业）</w:t>
            </w:r>
          </w:p>
          <w:p>
            <w:pPr>
              <w:pStyle w:val="54"/>
              <w:keepNext w:val="0"/>
              <w:keepLines w:val="0"/>
              <w:pageBreakBefore w:val="0"/>
              <w:kinsoku/>
              <w:wordWrap/>
              <w:overflowPunct/>
              <w:topLinePunct w:val="0"/>
              <w:bidi w:val="0"/>
              <w:snapToGrid/>
              <w:spacing w:line="360" w:lineRule="auto"/>
              <w:ind w:left="38" w:leftChars="0" w:firstLine="480" w:firstLineChars="200"/>
              <w:jc w:val="center"/>
              <w:rPr>
                <w:rFonts w:hint="eastAsia" w:ascii="宋体" w:hAnsi="宋体" w:eastAsia="宋体" w:cs="宋体"/>
                <w:sz w:val="24"/>
                <w:szCs w:val="24"/>
                <w:lang w:val="zh-CN" w:eastAsia="zh-CN" w:bidi="ar-SA"/>
              </w:rPr>
            </w:pPr>
          </w:p>
        </w:tc>
        <w:tc>
          <w:tcPr>
            <w:tcW w:w="7250" w:type="dxa"/>
            <w:vAlign w:val="top"/>
          </w:tcPr>
          <w:p>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一、小微企业（监狱企业、残疾人福利性单位视同小微企业）价格扣除</w:t>
            </w:r>
          </w:p>
          <w:p>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1.参</w:t>
            </w:r>
            <w:r>
              <w:rPr>
                <w:rFonts w:hint="eastAsia" w:ascii="宋体" w:hAnsi="宋体" w:eastAsia="宋体" w:cs="宋体"/>
                <w:kern w:val="2"/>
                <w:sz w:val="24"/>
                <w:szCs w:val="24"/>
                <w:lang w:val="en-US" w:eastAsia="zh-CN"/>
              </w:rPr>
              <w:t>照</w:t>
            </w:r>
            <w:r>
              <w:rPr>
                <w:rFonts w:hint="eastAsia" w:ascii="宋体" w:hAnsi="宋体" w:eastAsia="宋体" w:cs="宋体"/>
                <w:kern w:val="2"/>
                <w:sz w:val="24"/>
                <w:szCs w:val="24"/>
              </w:rPr>
              <w:t>《政府采购促进中小企业发展管理办法》（财库﹝2020﹞46 号）的规定，对小型和微型企业的价格给予10%的价格扣除，用扣除后的价格参与评审。</w:t>
            </w:r>
          </w:p>
          <w:p>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2.参加采购活动的中小企业应当提供《中小企业声明函》原件。监狱企业应当提供《监狱企业证明》原件。</w:t>
            </w:r>
          </w:p>
          <w:p>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kern w:val="2"/>
                <w:sz w:val="24"/>
                <w:szCs w:val="24"/>
              </w:rPr>
              <w:t>3.参加采购活动的残疾人福利性单位应当提供《残疾人福利性单位声明函》原件。未提供的，视为放弃享受小微企业价格扣除优惠政策。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6</w:t>
            </w:r>
          </w:p>
          <w:p>
            <w:pPr>
              <w:pStyle w:val="54"/>
              <w:keepNext w:val="0"/>
              <w:keepLines w:val="0"/>
              <w:pageBreakBefore w:val="0"/>
              <w:kinsoku/>
              <w:wordWrap/>
              <w:overflowPunct/>
              <w:topLinePunct w:val="0"/>
              <w:bidi w:val="0"/>
              <w:snapToGrid/>
              <w:spacing w:line="360" w:lineRule="auto"/>
              <w:ind w:right="230" w:firstLine="480" w:firstLineChars="200"/>
              <w:jc w:val="center"/>
              <w:rPr>
                <w:rFonts w:hint="eastAsia" w:ascii="宋体" w:hAnsi="宋体" w:eastAsia="宋体" w:cs="宋体"/>
                <w:sz w:val="24"/>
                <w:szCs w:val="24"/>
                <w:lang w:val="zh-CN"/>
              </w:rPr>
            </w:pP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rPr>
              <w:t xml:space="preserve">国家规定的强制采购范围 </w:t>
            </w:r>
          </w:p>
        </w:tc>
        <w:tc>
          <w:tcPr>
            <w:tcW w:w="7250" w:type="dxa"/>
            <w:vAlign w:val="top"/>
          </w:tcPr>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节能、环保、无线局域网产品</w:t>
            </w:r>
          </w:p>
          <w:p>
            <w:pPr>
              <w:keepNext w:val="0"/>
              <w:keepLines w:val="0"/>
              <w:pageBreakBefore w:val="0"/>
              <w:numPr>
                <w:ilvl w:val="0"/>
                <w:numId w:val="2"/>
              </w:numPr>
              <w:kinsoku/>
              <w:wordWrap/>
              <w:overflowPunct/>
              <w:topLinePunct w:val="0"/>
              <w:bidi w:val="0"/>
              <w:snapToGrid/>
              <w:spacing w:line="360" w:lineRule="auto"/>
              <w:ind w:firstLine="480" w:firstLineChars="200"/>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numPr>
                <w:ilvl w:val="0"/>
                <w:numId w:val="2"/>
              </w:numPr>
              <w:kinsoku/>
              <w:wordWrap/>
              <w:overflowPunct/>
              <w:topLinePunct w:val="0"/>
              <w:bidi w:val="0"/>
              <w:snapToGrid/>
              <w:spacing w:line="360" w:lineRule="auto"/>
              <w:ind w:firstLine="480" w:firstLineChars="200"/>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本项目采购的产品属于品目清单范围内强制采购的，供应商应按上述要求提供产品认证证书复印件并加盖供应商单位公章（鲜章），否则</w:t>
            </w:r>
            <w:r>
              <w:rPr>
                <w:rFonts w:hint="eastAsia" w:ascii="宋体" w:hAnsi="宋体" w:eastAsia="宋体" w:cs="宋体"/>
                <w:kern w:val="2"/>
                <w:sz w:val="24"/>
                <w:szCs w:val="24"/>
              </w:rPr>
              <w:t>响应</w:t>
            </w:r>
            <w:r>
              <w:rPr>
                <w:rFonts w:hint="eastAsia" w:ascii="宋体" w:hAnsi="宋体" w:eastAsia="宋体" w:cs="宋体"/>
                <w:kern w:val="2"/>
                <w:sz w:val="24"/>
                <w:szCs w:val="24"/>
                <w:lang w:val="zh-CN"/>
              </w:rPr>
              <w:t>无效。（实质性要求）</w:t>
            </w:r>
          </w:p>
          <w:p>
            <w:pPr>
              <w:keepNext w:val="0"/>
              <w:keepLines w:val="0"/>
              <w:pageBreakBefore w:val="0"/>
              <w:numPr>
                <w:ilvl w:val="0"/>
                <w:numId w:val="2"/>
              </w:numPr>
              <w:kinsoku/>
              <w:wordWrap/>
              <w:overflowPunct/>
              <w:topLinePunct w:val="0"/>
              <w:bidi w:val="0"/>
              <w:snapToGrid/>
              <w:spacing w:line="360" w:lineRule="auto"/>
              <w:ind w:firstLine="480" w:firstLineChars="200"/>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本项目采购的产品属于品目清单范围内优先采购的，按照第八章《综合评分明细表》的规则进行加分。</w:t>
            </w:r>
          </w:p>
          <w:p>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4.无线局域网产品政府采购政策：</w:t>
            </w:r>
          </w:p>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本项目采购的产品属于中国政府采购网公布的《无线局域网认证产品政府采购清单》的，将按照第八章《综合评分明细表》的规则进行加分。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rPr>
            </w:pPr>
            <w:r>
              <w:rPr>
                <w:rFonts w:hint="eastAsia" w:ascii="宋体" w:hAnsi="宋体" w:eastAsia="宋体" w:cs="宋体"/>
                <w:sz w:val="24"/>
                <w:szCs w:val="24"/>
              </w:rPr>
              <w:t>7</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磋商情况公告</w:t>
            </w:r>
          </w:p>
        </w:tc>
        <w:tc>
          <w:tcPr>
            <w:tcW w:w="7250" w:type="dxa"/>
            <w:vAlign w:val="center"/>
          </w:tcPr>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rPr>
              <w:t>8</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磋商保证金</w:t>
            </w:r>
          </w:p>
        </w:tc>
        <w:tc>
          <w:tcPr>
            <w:tcW w:w="7250" w:type="dxa"/>
            <w:vAlign w:val="center"/>
          </w:tcPr>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rPr>
              <w:t>9</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履约保证金</w:t>
            </w:r>
          </w:p>
        </w:tc>
        <w:tc>
          <w:tcPr>
            <w:tcW w:w="7250" w:type="dxa"/>
            <w:vAlign w:val="center"/>
          </w:tcPr>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lang w:val="en-US" w:eastAsia="zh-CN" w:bidi="ar-SA"/>
              </w:rPr>
            </w:pPr>
            <w:r>
              <w:rPr>
                <w:rFonts w:hint="eastAsia" w:cs="宋体"/>
                <w:sz w:val="24"/>
                <w:szCs w:val="24"/>
                <w:lang w:val="en-US"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8"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rPr>
            </w:pPr>
            <w:r>
              <w:rPr>
                <w:rFonts w:hint="eastAsia" w:ascii="宋体" w:hAnsi="宋体" w:eastAsia="宋体" w:cs="宋体"/>
                <w:sz w:val="24"/>
                <w:szCs w:val="24"/>
              </w:rPr>
              <w:t>10</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bCs/>
                <w:sz w:val="24"/>
                <w:szCs w:val="24"/>
              </w:rPr>
              <w:t>磋商</w:t>
            </w:r>
            <w:r>
              <w:rPr>
                <w:rFonts w:hint="eastAsia" w:ascii="宋体" w:hAnsi="宋体" w:eastAsia="宋体" w:cs="宋体"/>
                <w:sz w:val="24"/>
                <w:szCs w:val="24"/>
                <w:lang w:val="zh-CN"/>
              </w:rPr>
              <w:t>文件咨询</w:t>
            </w:r>
          </w:p>
        </w:tc>
        <w:tc>
          <w:tcPr>
            <w:tcW w:w="7250" w:type="dxa"/>
            <w:vAlign w:val="center"/>
          </w:tcPr>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eastAsia="宋体" w:cs="宋体"/>
                <w:sz w:val="24"/>
                <w:szCs w:val="24"/>
                <w:lang w:eastAsia="zh-CN"/>
              </w:rPr>
              <w:t>刘女士、费女士</w:t>
            </w:r>
            <w:r>
              <w:rPr>
                <w:rFonts w:hint="eastAsia" w:ascii="宋体" w:hAnsi="宋体" w:eastAsia="宋体" w:cs="宋体"/>
                <w:sz w:val="24"/>
                <w:szCs w:val="24"/>
                <w:lang w:val="zh-CN"/>
              </w:rPr>
              <w:t xml:space="preserve">      </w:t>
            </w:r>
          </w:p>
          <w:p>
            <w:pPr>
              <w:pStyle w:val="54"/>
              <w:keepNext w:val="0"/>
              <w:keepLines w:val="0"/>
              <w:pageBreakBefore w:val="0"/>
              <w:kinsoku/>
              <w:wordWrap/>
              <w:overflowPunct/>
              <w:topLinePunct w:val="0"/>
              <w:bidi w:val="0"/>
              <w:snapToGrid/>
              <w:spacing w:line="360" w:lineRule="auto"/>
              <w:ind w:firstLine="480" w:firstLineChars="20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zh-CN"/>
              </w:rPr>
              <w:t>联系电话：028-87</w:t>
            </w:r>
            <w:r>
              <w:rPr>
                <w:rFonts w:hint="eastAsia" w:ascii="宋体" w:hAnsi="宋体" w:eastAsia="宋体" w:cs="宋体"/>
                <w:sz w:val="24"/>
                <w:szCs w:val="24"/>
              </w:rPr>
              <w:t>456828</w:t>
            </w:r>
            <w:r>
              <w:rPr>
                <w:rFonts w:hint="eastAsia" w:ascii="宋体" w:hAnsi="宋体" w:eastAsia="宋体" w:cs="宋体"/>
                <w:sz w:val="24"/>
                <w:szCs w:val="24"/>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rPr>
            </w:pPr>
            <w:r>
              <w:rPr>
                <w:rFonts w:hint="eastAsia" w:ascii="宋体" w:hAnsi="宋体" w:eastAsia="宋体" w:cs="宋体"/>
                <w:sz w:val="24"/>
                <w:szCs w:val="24"/>
              </w:rPr>
              <w:t>11</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磋商过程、结果工作咨询</w:t>
            </w:r>
          </w:p>
        </w:tc>
        <w:tc>
          <w:tcPr>
            <w:tcW w:w="7250" w:type="dxa"/>
            <w:vAlign w:val="center"/>
          </w:tcPr>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eastAsia="宋体" w:cs="宋体"/>
                <w:sz w:val="24"/>
                <w:szCs w:val="24"/>
                <w:lang w:eastAsia="zh-CN"/>
              </w:rPr>
              <w:t>刘女士、费女士</w:t>
            </w:r>
            <w:r>
              <w:rPr>
                <w:rFonts w:hint="eastAsia" w:ascii="宋体" w:hAnsi="宋体" w:eastAsia="宋体" w:cs="宋体"/>
                <w:sz w:val="24"/>
                <w:szCs w:val="24"/>
                <w:lang w:val="zh-CN"/>
              </w:rPr>
              <w:t xml:space="preserve">      </w:t>
            </w:r>
          </w:p>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联系电话：028-87</w:t>
            </w:r>
            <w:r>
              <w:rPr>
                <w:rFonts w:hint="eastAsia" w:ascii="宋体" w:hAnsi="宋体" w:eastAsia="宋体" w:cs="宋体"/>
                <w:sz w:val="24"/>
                <w:szCs w:val="24"/>
              </w:rPr>
              <w:t>456828</w:t>
            </w:r>
            <w:r>
              <w:rPr>
                <w:rFonts w:hint="eastAsia" w:ascii="宋体" w:hAnsi="宋体" w:eastAsia="宋体" w:cs="宋体"/>
                <w:sz w:val="24"/>
                <w:szCs w:val="24"/>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rPr>
            </w:pPr>
            <w:r>
              <w:rPr>
                <w:rFonts w:hint="eastAsia" w:ascii="宋体" w:hAnsi="宋体" w:eastAsia="宋体" w:cs="宋体"/>
                <w:sz w:val="24"/>
                <w:szCs w:val="24"/>
              </w:rPr>
              <w:t>12</w:t>
            </w:r>
          </w:p>
        </w:tc>
        <w:tc>
          <w:tcPr>
            <w:tcW w:w="1667" w:type="dxa"/>
            <w:vAlign w:val="center"/>
          </w:tcPr>
          <w:p>
            <w:pPr>
              <w:pStyle w:val="54"/>
              <w:pageBreakBefore w:val="0"/>
              <w:kinsoku/>
              <w:wordWrap/>
              <w:overflowPunct/>
              <w:topLinePunct w:val="0"/>
              <w:bidi w:val="0"/>
              <w:spacing w:line="360" w:lineRule="auto"/>
              <w:ind w:left="38" w:leftChars="0"/>
              <w:jc w:val="center"/>
              <w:rPr>
                <w:rFonts w:hint="eastAsia" w:ascii="宋体" w:hAnsi="宋体" w:eastAsia="宋体" w:cs="宋体"/>
                <w:sz w:val="24"/>
                <w:szCs w:val="24"/>
                <w:lang w:val="zh-CN" w:eastAsia="zh-CN" w:bidi="ar-SA"/>
              </w:rPr>
            </w:pPr>
            <w:r>
              <w:rPr>
                <w:rFonts w:hint="eastAsia" w:ascii="宋体" w:hAnsi="宋体" w:eastAsia="宋体" w:cs="宋体"/>
                <w:sz w:val="24"/>
                <w:szCs w:val="24"/>
                <w:highlight w:val="none"/>
                <w:lang w:val="zh-CN"/>
              </w:rPr>
              <w:t>成交通知书领取</w:t>
            </w:r>
          </w:p>
        </w:tc>
        <w:tc>
          <w:tcPr>
            <w:tcW w:w="7250" w:type="dxa"/>
            <w:vAlign w:val="center"/>
          </w:tcPr>
          <w:p>
            <w:pPr>
              <w:pStyle w:val="54"/>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采购结果公告在四川政府采购网上发布后，请成交供应商凭有效身份证明证件到采购代理机构领取成交通知书。</w:t>
            </w:r>
          </w:p>
          <w:p>
            <w:pPr>
              <w:pStyle w:val="54"/>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 系 人：粟女士。</w:t>
            </w:r>
          </w:p>
          <w:p>
            <w:pPr>
              <w:pStyle w:val="54"/>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联系电话：028-87654015  </w:t>
            </w:r>
          </w:p>
          <w:p>
            <w:pPr>
              <w:pStyle w:val="54"/>
              <w:pageBreakBefore w:val="0"/>
              <w:kinsoku/>
              <w:wordWrap/>
              <w:overflowPunct/>
              <w:topLinePunct w:val="0"/>
              <w:bidi w:val="0"/>
              <w:spacing w:line="360" w:lineRule="auto"/>
              <w:ind w:firstLine="240" w:firstLineChars="100"/>
              <w:jc w:val="both"/>
              <w:rPr>
                <w:rFonts w:hint="eastAsia" w:ascii="宋体" w:hAnsi="宋体" w:eastAsia="宋体" w:cs="宋体"/>
                <w:sz w:val="24"/>
                <w:szCs w:val="24"/>
                <w:lang w:val="zh-CN" w:eastAsia="zh-CN" w:bidi="ar-SA"/>
              </w:rPr>
            </w:pPr>
            <w:r>
              <w:rPr>
                <w:rFonts w:hint="eastAsia" w:ascii="宋体" w:hAnsi="宋体" w:eastAsia="宋体" w:cs="宋体"/>
                <w:sz w:val="24"/>
                <w:szCs w:val="24"/>
                <w:highlight w:val="none"/>
                <w:lang w:val="zh-CN"/>
              </w:rPr>
              <w:t>地    址：成都市高新区盛和一路88号康普雷斯1栋1单元701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rPr>
            </w:pPr>
            <w:r>
              <w:rPr>
                <w:rFonts w:hint="eastAsia" w:ascii="宋体" w:hAnsi="宋体" w:eastAsia="宋体" w:cs="宋体"/>
                <w:sz w:val="24"/>
                <w:szCs w:val="24"/>
              </w:rPr>
              <w:t>13</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供应商咨询、询问、质疑供应商质疑</w:t>
            </w:r>
          </w:p>
        </w:tc>
        <w:tc>
          <w:tcPr>
            <w:tcW w:w="7250" w:type="dxa"/>
            <w:vAlign w:val="top"/>
          </w:tcPr>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lang w:val="zh-CN"/>
              </w:rPr>
              <w:t>对于采购文件中资格要求、技术/服务要求、商务要求、评分细则的质疑由采购人负责答复；对于采购过程、采购结果由四川三盈</w:t>
            </w:r>
            <w:r>
              <w:rPr>
                <w:rFonts w:hint="eastAsia" w:ascii="宋体" w:hAnsi="宋体" w:eastAsia="宋体" w:cs="宋体"/>
                <w:sz w:val="24"/>
                <w:szCs w:val="24"/>
                <w:highlight w:val="none"/>
                <w:lang w:val="zh-CN"/>
              </w:rPr>
              <w:t>招标代理有限公司负责答复。</w:t>
            </w:r>
          </w:p>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采购人：</w:t>
            </w:r>
            <w:r>
              <w:rPr>
                <w:rFonts w:hint="eastAsia" w:cs="宋体"/>
                <w:color w:val="000000" w:themeColor="text1"/>
                <w:sz w:val="24"/>
                <w:szCs w:val="24"/>
                <w:highlight w:val="none"/>
                <w:lang w:val="zh-CN" w:eastAsia="zh-CN"/>
                <w14:textFill>
                  <w14:solidFill>
                    <w14:schemeClr w14:val="tx1"/>
                  </w14:solidFill>
                </w14:textFill>
              </w:rPr>
              <w:t>成都市妇女儿童中心医院</w:t>
            </w:r>
          </w:p>
          <w:p>
            <w:pPr>
              <w:pStyle w:val="53"/>
              <w:pageBreakBefore w:val="0"/>
              <w:kinsoku/>
              <w:wordWrap/>
              <w:overflowPunct/>
              <w:topLinePunct w:val="0"/>
              <w:bidi w:val="0"/>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hAnsi="宋体" w:cs="宋体"/>
                <w:sz w:val="24"/>
                <w:szCs w:val="24"/>
                <w:highlight w:val="none"/>
                <w:lang w:val="en-US" w:eastAsia="zh-CN"/>
              </w:rPr>
              <w:t>夏老师</w:t>
            </w:r>
          </w:p>
          <w:p>
            <w:pPr>
              <w:pStyle w:val="53"/>
              <w:pageBreakBefore w:val="0"/>
              <w:kinsoku/>
              <w:wordWrap/>
              <w:overflowPunct/>
              <w:topLinePunct w:val="0"/>
              <w:bidi w:val="0"/>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hAnsi="宋体" w:cs="宋体"/>
                <w:sz w:val="24"/>
                <w:szCs w:val="24"/>
                <w:highlight w:val="none"/>
                <w:lang w:val="en-US" w:eastAsia="zh-CN"/>
              </w:rPr>
              <w:t>028-61866108</w:t>
            </w:r>
          </w:p>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r>
              <w:rPr>
                <w:rFonts w:hint="eastAsia"/>
                <w:sz w:val="24"/>
                <w:highlight w:val="none"/>
              </w:rPr>
              <w:t>成都市西三环外日月大道1617号</w:t>
            </w:r>
          </w:p>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四川三盈招标代理有限公司</w:t>
            </w:r>
          </w:p>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eastAsia="宋体" w:cs="宋体"/>
                <w:sz w:val="24"/>
                <w:szCs w:val="24"/>
                <w:lang w:eastAsia="zh-CN"/>
              </w:rPr>
              <w:t>刘女士、费女士</w:t>
            </w:r>
            <w:r>
              <w:rPr>
                <w:rFonts w:hint="eastAsia" w:ascii="宋体" w:hAnsi="宋体" w:eastAsia="宋体" w:cs="宋体"/>
                <w:sz w:val="24"/>
                <w:szCs w:val="24"/>
                <w:lang w:val="zh-CN"/>
              </w:rPr>
              <w:t>。</w:t>
            </w:r>
          </w:p>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联系电话：028-87</w:t>
            </w:r>
            <w:r>
              <w:rPr>
                <w:rFonts w:hint="eastAsia" w:ascii="宋体" w:hAnsi="宋体" w:eastAsia="宋体" w:cs="宋体"/>
                <w:sz w:val="24"/>
                <w:szCs w:val="24"/>
              </w:rPr>
              <w:t>456828</w:t>
            </w:r>
            <w:r>
              <w:rPr>
                <w:rFonts w:hint="eastAsia" w:ascii="宋体" w:hAnsi="宋体" w:eastAsia="宋体" w:cs="宋体"/>
                <w:sz w:val="24"/>
                <w:szCs w:val="24"/>
                <w:lang w:val="zh-CN"/>
              </w:rPr>
              <w:t>。</w:t>
            </w:r>
          </w:p>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地址：成都市高新区盛和一路88号康普雷斯1栋1单元701号。</w:t>
            </w:r>
          </w:p>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邮编：610000</w:t>
            </w:r>
          </w:p>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注：1、根据《中华人民共和国政府采购法》的规定，供应商质疑不得超出磋商文件、磋商过程、磋商结果的范围。</w:t>
            </w:r>
          </w:p>
          <w:p>
            <w:pPr>
              <w:pStyle w:val="54"/>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2、供应商须在法定质疑期内一次性提出针对同一磋商程序环节的质疑。不得超出磋商文件、磋商过程、磋商结果的范围。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049"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rPr>
            </w:pPr>
            <w:r>
              <w:rPr>
                <w:rFonts w:hint="eastAsia" w:ascii="宋体" w:hAnsi="宋体" w:eastAsia="宋体" w:cs="宋体"/>
                <w:sz w:val="24"/>
                <w:szCs w:val="24"/>
              </w:rPr>
              <w:t>14</w:t>
            </w:r>
          </w:p>
        </w:tc>
        <w:tc>
          <w:tcPr>
            <w:tcW w:w="1667" w:type="dxa"/>
            <w:vAlign w:val="center"/>
          </w:tcPr>
          <w:p>
            <w:pPr>
              <w:pStyle w:val="54"/>
              <w:keepNext w:val="0"/>
              <w:keepLines w:val="0"/>
              <w:pageBreakBefore w:val="0"/>
              <w:kinsoku/>
              <w:wordWrap/>
              <w:overflowPunct/>
              <w:topLinePunct w:val="0"/>
              <w:bidi w:val="0"/>
              <w:snapToGrid/>
              <w:spacing w:line="360" w:lineRule="auto"/>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供应商投诉</w:t>
            </w:r>
          </w:p>
        </w:tc>
        <w:tc>
          <w:tcPr>
            <w:tcW w:w="7250" w:type="dxa"/>
            <w:vAlign w:val="center"/>
          </w:tcPr>
          <w:p>
            <w:pPr>
              <w:spacing w:line="360" w:lineRule="auto"/>
              <w:ind w:left="0" w:leftChars="0" w:right="170" w:rightChars="50" w:firstLine="0" w:firstLineChars="0"/>
              <w:jc w:val="left"/>
              <w:rPr>
                <w:rFonts w:hint="eastAsia" w:ascii="宋体" w:hAnsi="宋体" w:eastAsia="宋体"/>
                <w:sz w:val="24"/>
                <w:highlight w:val="none"/>
              </w:rPr>
            </w:pPr>
            <w:r>
              <w:rPr>
                <w:rFonts w:hint="eastAsia" w:ascii="宋体" w:hAnsi="宋体"/>
                <w:sz w:val="24"/>
                <w:highlight w:val="none"/>
              </w:rPr>
              <w:t>投诉受理单位：本采购项目同级财政部门，即省级为四川省财</w:t>
            </w:r>
            <w:r>
              <w:rPr>
                <w:rFonts w:hint="eastAsia" w:ascii="宋体" w:hAnsi="宋体" w:eastAsia="宋体"/>
                <w:sz w:val="24"/>
                <w:highlight w:val="none"/>
              </w:rPr>
              <w:t>政厅，市州级为各市州财政局，区县为各区县财政局</w:t>
            </w:r>
            <w:r>
              <w:rPr>
                <w:rFonts w:hint="eastAsia" w:ascii="宋体" w:hAnsi="宋体" w:eastAsia="宋体"/>
                <w:sz w:val="24"/>
                <w:highlight w:val="none"/>
                <w:lang w:val="zh-CN"/>
              </w:rPr>
              <w:t>。</w:t>
            </w:r>
            <w:r>
              <w:rPr>
                <w:rFonts w:hint="eastAsia" w:ascii="宋体" w:hAnsi="宋体" w:eastAsia="宋体"/>
                <w:sz w:val="24"/>
                <w:highlight w:val="none"/>
              </w:rPr>
              <w:t xml:space="preserve"> </w:t>
            </w:r>
          </w:p>
          <w:p>
            <w:pPr>
              <w:spacing w:line="360" w:lineRule="auto"/>
              <w:ind w:left="0" w:leftChars="0" w:right="170" w:rightChars="50" w:firstLine="0" w:firstLineChars="0"/>
              <w:jc w:val="left"/>
              <w:rPr>
                <w:rFonts w:hint="eastAsia" w:ascii="宋体" w:hAnsi="宋体" w:eastAsia="宋体"/>
                <w:sz w:val="24"/>
                <w:highlight w:val="none"/>
                <w:lang w:val="zh-CN"/>
              </w:rPr>
            </w:pPr>
            <w:r>
              <w:rPr>
                <w:rFonts w:hint="eastAsia" w:ascii="宋体" w:hAnsi="宋体" w:eastAsia="宋体"/>
                <w:sz w:val="24"/>
                <w:highlight w:val="none"/>
                <w:lang w:val="zh-CN"/>
              </w:rPr>
              <w:t>投诉受理单位:成都市财政局</w:t>
            </w:r>
          </w:p>
          <w:p>
            <w:pPr>
              <w:spacing w:line="360" w:lineRule="auto"/>
              <w:ind w:left="0" w:leftChars="0" w:right="170" w:rightChars="50" w:firstLine="0" w:firstLineChars="0"/>
              <w:jc w:val="left"/>
              <w:rPr>
                <w:rFonts w:hint="eastAsia" w:ascii="宋体" w:hAnsi="宋体" w:eastAsia="宋体"/>
                <w:sz w:val="24"/>
                <w:highlight w:val="none"/>
                <w:lang w:val="zh-CN"/>
              </w:rPr>
            </w:pPr>
            <w:r>
              <w:rPr>
                <w:rFonts w:hint="eastAsia" w:ascii="宋体" w:hAnsi="宋体" w:eastAsia="宋体"/>
                <w:sz w:val="24"/>
                <w:highlight w:val="none"/>
                <w:lang w:val="zh-CN"/>
              </w:rPr>
              <w:t xml:space="preserve">电话：028-61882648 </w:t>
            </w:r>
          </w:p>
          <w:p>
            <w:pPr>
              <w:spacing w:line="360" w:lineRule="auto"/>
              <w:ind w:left="0" w:leftChars="0" w:right="170" w:rightChars="50" w:firstLine="0" w:firstLineChars="0"/>
              <w:jc w:val="left"/>
              <w:rPr>
                <w:rFonts w:hint="eastAsia" w:ascii="宋体" w:hAnsi="宋体" w:eastAsia="宋体" w:cs="宋体"/>
                <w:sz w:val="24"/>
                <w:szCs w:val="24"/>
                <w:lang w:val="zh-CN" w:eastAsia="zh-CN" w:bidi="ar-SA"/>
              </w:rPr>
            </w:pPr>
            <w:r>
              <w:rPr>
                <w:rFonts w:hint="eastAsia" w:ascii="宋体" w:hAnsi="宋体" w:eastAsia="宋体"/>
                <w:sz w:val="24"/>
                <w:highlight w:val="none"/>
                <w:lang w:val="zh-CN"/>
              </w:rPr>
              <w:t>地址：成都市锦城大道366号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rPr>
            </w:pPr>
            <w:r>
              <w:rPr>
                <w:rFonts w:hint="eastAsia" w:ascii="宋体" w:hAnsi="宋体" w:eastAsia="宋体" w:cs="宋体"/>
                <w:sz w:val="24"/>
                <w:szCs w:val="24"/>
              </w:rPr>
              <w:t>15</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政府采购合同公告备案</w:t>
            </w:r>
          </w:p>
        </w:tc>
        <w:tc>
          <w:tcPr>
            <w:tcW w:w="7250" w:type="dxa"/>
            <w:vAlign w:val="center"/>
          </w:tcPr>
          <w:p>
            <w:pPr>
              <w:pStyle w:val="54"/>
              <w:keepNext w:val="0"/>
              <w:keepLines w:val="0"/>
              <w:pageBreakBefore w:val="0"/>
              <w:kinsoku/>
              <w:wordWrap/>
              <w:overflowPunct/>
              <w:topLinePunct w:val="0"/>
              <w:bidi w:val="0"/>
              <w:snapToGrid/>
              <w:spacing w:line="360" w:lineRule="auto"/>
              <w:ind w:firstLine="480" w:firstLineChars="20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8"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rPr>
            </w:pPr>
            <w:r>
              <w:rPr>
                <w:rFonts w:hint="eastAsia" w:ascii="宋体" w:hAnsi="宋体" w:eastAsia="宋体" w:cs="宋体"/>
                <w:sz w:val="24"/>
                <w:szCs w:val="24"/>
              </w:rPr>
              <w:t>16</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成交服务费</w:t>
            </w:r>
          </w:p>
        </w:tc>
        <w:tc>
          <w:tcPr>
            <w:tcW w:w="7250" w:type="dxa"/>
            <w:vAlign w:val="center"/>
          </w:tcPr>
          <w:p>
            <w:pPr>
              <w:pStyle w:val="54"/>
              <w:pageBreakBefore w:val="0"/>
              <w:kinsoku/>
              <w:wordWrap/>
              <w:overflowPunct/>
              <w:topLinePunct w:val="0"/>
              <w:bidi w:val="0"/>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根据《四川省政府采购营商环境指标提升专项行动工作方案》中“成本+合理利润”原则，</w:t>
            </w:r>
            <w:r>
              <w:rPr>
                <w:rFonts w:hint="eastAsia" w:ascii="宋体" w:hAnsi="宋体" w:eastAsia="宋体" w:cs="宋体"/>
                <w:sz w:val="24"/>
                <w:szCs w:val="24"/>
                <w:highlight w:val="none"/>
                <w:lang w:val="en-US" w:eastAsia="zh-CN"/>
              </w:rPr>
              <w:t>定额向成交</w:t>
            </w:r>
            <w:r>
              <w:rPr>
                <w:rFonts w:hint="eastAsia" w:ascii="宋体" w:hAnsi="宋体" w:eastAsia="宋体" w:cs="宋体"/>
                <w:sz w:val="24"/>
                <w:szCs w:val="24"/>
                <w:highlight w:val="none"/>
                <w:lang w:val="zh-CN"/>
              </w:rPr>
              <w:t>供应商</w:t>
            </w:r>
            <w:r>
              <w:rPr>
                <w:rFonts w:hint="eastAsia" w:ascii="宋体" w:hAnsi="宋体" w:eastAsia="宋体" w:cs="宋体"/>
                <w:sz w:val="24"/>
                <w:szCs w:val="24"/>
                <w:highlight w:val="none"/>
                <w:lang w:val="en-US" w:eastAsia="zh-CN"/>
              </w:rPr>
              <w:t>收取</w:t>
            </w:r>
            <w:r>
              <w:rPr>
                <w:rFonts w:hint="eastAsia" w:cs="宋体"/>
                <w:sz w:val="24"/>
                <w:szCs w:val="24"/>
                <w:highlight w:val="none"/>
                <w:lang w:val="en-US" w:eastAsia="zh-CN"/>
              </w:rPr>
              <w:t>12</w:t>
            </w:r>
            <w:r>
              <w:rPr>
                <w:rFonts w:hint="eastAsia" w:ascii="宋体" w:hAnsi="宋体" w:eastAsia="宋体" w:cs="宋体"/>
                <w:sz w:val="24"/>
                <w:szCs w:val="24"/>
                <w:highlight w:val="none"/>
                <w:lang w:val="en-US" w:eastAsia="zh-CN"/>
              </w:rPr>
              <w:t>000元</w:t>
            </w:r>
            <w:r>
              <w:rPr>
                <w:rFonts w:hint="eastAsia" w:ascii="宋体" w:hAnsi="宋体" w:eastAsia="宋体" w:cs="宋体"/>
                <w:sz w:val="24"/>
                <w:szCs w:val="24"/>
                <w:highlight w:val="none"/>
                <w:lang w:val="zh-CN"/>
              </w:rPr>
              <w:t>。（付款时注明项目编号、包号，以便登记、查询。）</w:t>
            </w:r>
          </w:p>
          <w:p>
            <w:pPr>
              <w:pStyle w:val="75"/>
              <w:spacing w:before="0" w:beforeAutospacing="0" w:afterAutospacing="0" w:line="360" w:lineRule="auto"/>
              <w:ind w:left="0" w:leftChars="0" w:right="57" w:firstLine="0" w:firstLineChars="0"/>
              <w:jc w:val="left"/>
              <w:rPr>
                <w:rFonts w:hint="eastAsia" w:ascii="宋体" w:hAnsi="宋体" w:eastAsia="宋体" w:cs="宋体"/>
                <w:sz w:val="24"/>
                <w:highlight w:val="none"/>
                <w:lang w:val="zh-CN" w:eastAsia="zh-CN" w:bidi="ar-SA"/>
              </w:rPr>
            </w:pPr>
            <w:r>
              <w:rPr>
                <w:rFonts w:hint="eastAsia" w:ascii="宋体" w:hAnsi="宋体" w:eastAsia="宋体" w:cs="宋体"/>
                <w:sz w:val="24"/>
                <w:highlight w:val="none"/>
                <w:lang w:val="zh-CN" w:eastAsia="zh-CN" w:bidi="ar-SA"/>
              </w:rPr>
              <w:t>收款单位：四川三盈招标代理有限公司</w:t>
            </w:r>
          </w:p>
          <w:p>
            <w:pPr>
              <w:pStyle w:val="75"/>
              <w:spacing w:before="0" w:beforeAutospacing="0" w:line="360" w:lineRule="auto"/>
              <w:ind w:left="0" w:leftChars="0" w:right="57" w:firstLine="0" w:firstLineChars="0"/>
              <w:jc w:val="left"/>
              <w:rPr>
                <w:rFonts w:hint="eastAsia" w:ascii="宋体" w:hAnsi="宋体" w:eastAsia="宋体" w:cs="宋体"/>
                <w:sz w:val="24"/>
                <w:highlight w:val="none"/>
                <w:lang w:val="zh-CN" w:eastAsia="zh-CN" w:bidi="ar-SA"/>
              </w:rPr>
            </w:pPr>
            <w:r>
              <w:rPr>
                <w:rFonts w:hint="eastAsia" w:ascii="宋体" w:hAnsi="宋体" w:eastAsia="宋体" w:cs="宋体"/>
                <w:sz w:val="24"/>
                <w:highlight w:val="none"/>
                <w:lang w:val="zh-CN" w:eastAsia="zh-CN" w:bidi="ar-SA"/>
              </w:rPr>
              <w:t>开 户 行：工行成都高新天仁路支行</w:t>
            </w:r>
          </w:p>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highlight w:val="none"/>
                <w:lang w:val="zh-CN" w:eastAsia="zh-CN" w:bidi="ar-SA"/>
              </w:rPr>
              <w:t>银行账号：4402 2394 1910 0022 932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5"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rPr>
            </w:pPr>
            <w:r>
              <w:rPr>
                <w:rFonts w:hint="eastAsia" w:ascii="宋体" w:hAnsi="宋体" w:eastAsia="宋体" w:cs="宋体"/>
                <w:sz w:val="24"/>
                <w:szCs w:val="24"/>
              </w:rPr>
              <w:t>17</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分包</w:t>
            </w:r>
          </w:p>
        </w:tc>
        <w:tc>
          <w:tcPr>
            <w:tcW w:w="7250" w:type="dxa"/>
            <w:vAlign w:val="center"/>
          </w:tcPr>
          <w:p>
            <w:pPr>
              <w:pStyle w:val="54"/>
              <w:keepNext w:val="0"/>
              <w:keepLines w:val="0"/>
              <w:pageBreakBefore w:val="0"/>
              <w:kinsoku/>
              <w:wordWrap/>
              <w:overflowPunct/>
              <w:topLinePunct w:val="0"/>
              <w:bidi w:val="0"/>
              <w:snapToGrid/>
              <w:spacing w:line="360" w:lineRule="auto"/>
              <w:ind w:left="252" w:leftChars="74" w:firstLine="480" w:firstLineChars="20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不允许分包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589" w:type="dxa"/>
            <w:vAlign w:val="center"/>
          </w:tcPr>
          <w:p>
            <w:pPr>
              <w:pStyle w:val="54"/>
              <w:keepNext w:val="0"/>
              <w:keepLines w:val="0"/>
              <w:pageBreakBefore w:val="0"/>
              <w:kinsoku/>
              <w:wordWrap/>
              <w:overflowPunct/>
              <w:topLinePunct w:val="0"/>
              <w:bidi w:val="0"/>
              <w:snapToGrid/>
              <w:spacing w:line="360" w:lineRule="auto"/>
              <w:ind w:right="230"/>
              <w:jc w:val="center"/>
              <w:rPr>
                <w:rFonts w:hint="eastAsia" w:ascii="宋体" w:hAnsi="宋体" w:eastAsia="宋体" w:cs="宋体"/>
                <w:sz w:val="24"/>
                <w:szCs w:val="24"/>
              </w:rPr>
            </w:pPr>
            <w:r>
              <w:rPr>
                <w:rFonts w:hint="eastAsia" w:ascii="宋体" w:hAnsi="宋体" w:eastAsia="宋体" w:cs="宋体"/>
                <w:sz w:val="24"/>
                <w:szCs w:val="24"/>
              </w:rPr>
              <w:t>18</w:t>
            </w:r>
          </w:p>
        </w:tc>
        <w:tc>
          <w:tcPr>
            <w:tcW w:w="1667" w:type="dxa"/>
            <w:vAlign w:val="center"/>
          </w:tcPr>
          <w:p>
            <w:pPr>
              <w:pStyle w:val="54"/>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zh-CN" w:eastAsia="zh-CN" w:bidi="ar-SA"/>
              </w:rPr>
            </w:pPr>
            <w:r>
              <w:rPr>
                <w:rFonts w:hint="eastAsia" w:ascii="宋体" w:hAnsi="宋体" w:eastAsia="宋体" w:cs="宋体"/>
                <w:sz w:val="24"/>
                <w:szCs w:val="24"/>
                <w:highlight w:val="none"/>
              </w:rPr>
              <w:t>信用融资</w:t>
            </w:r>
          </w:p>
        </w:tc>
        <w:tc>
          <w:tcPr>
            <w:tcW w:w="7250" w:type="dxa"/>
            <w:vAlign w:val="center"/>
          </w:tcPr>
          <w:p>
            <w:pPr>
              <w:pStyle w:val="75"/>
              <w:pageBreakBefore w:val="0"/>
              <w:kinsoku/>
              <w:wordWrap/>
              <w:overflowPunct/>
              <w:topLinePunct w:val="0"/>
              <w:bidi w:val="0"/>
              <w:spacing w:before="0" w:beforeAutospacing="0" w:afterAutospacing="0" w:line="360" w:lineRule="auto"/>
              <w:ind w:left="107" w:right="57"/>
              <w:jc w:val="left"/>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rPr>
              <w:t> </w:t>
            </w:r>
            <w:r>
              <w:rPr>
                <w:rFonts w:hint="eastAsia" w:ascii="宋体" w:hAnsi="宋体" w:eastAsia="宋体" w:cs="宋体"/>
                <w:sz w:val="24"/>
                <w:szCs w:val="24"/>
                <w:highlight w:val="none"/>
                <w:lang w:val="zh-CN" w:eastAsia="zh-CN" w:bidi="ar-SA"/>
              </w:rPr>
              <w:t>供应商信用融资： 本项目可开展信用贷款融资：</w:t>
            </w:r>
          </w:p>
          <w:p>
            <w:pPr>
              <w:pStyle w:val="75"/>
              <w:pageBreakBefore w:val="0"/>
              <w:numPr>
                <w:ilvl w:val="0"/>
                <w:numId w:val="3"/>
              </w:numPr>
              <w:kinsoku/>
              <w:wordWrap/>
              <w:overflowPunct/>
              <w:topLinePunct w:val="0"/>
              <w:bidi w:val="0"/>
              <w:spacing w:before="0" w:beforeAutospacing="0" w:line="360" w:lineRule="auto"/>
              <w:ind w:left="107" w:right="57"/>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zh-CN" w:eastAsia="zh-CN" w:bidi="ar-S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w:t>
            </w:r>
            <w:r>
              <w:rPr>
                <w:rFonts w:hint="eastAsia" w:ascii="宋体" w:hAnsi="宋体" w:eastAsia="宋体" w:cs="宋体"/>
                <w:sz w:val="24"/>
                <w:szCs w:val="24"/>
                <w:highlight w:val="none"/>
                <w:lang w:val="en-US" w:eastAsia="zh-CN" w:bidi="ar-SA"/>
              </w:rPr>
              <w:t>政府采购网相关政策</w:t>
            </w:r>
            <w:r>
              <w:rPr>
                <w:rFonts w:hint="eastAsia" w:ascii="宋体" w:hAnsi="宋体" w:eastAsia="宋体" w:cs="宋体"/>
                <w:sz w:val="24"/>
                <w:szCs w:val="24"/>
                <w:highlight w:val="none"/>
                <w:lang w:val="zh-CN" w:eastAsia="zh-CN" w:bidi="ar-SA"/>
              </w:rPr>
              <w:t>）</w:t>
            </w:r>
          </w:p>
          <w:p>
            <w:pPr>
              <w:pStyle w:val="75"/>
              <w:pageBreakBefore w:val="0"/>
              <w:numPr>
                <w:ilvl w:val="0"/>
                <w:numId w:val="3"/>
              </w:numPr>
              <w:kinsoku/>
              <w:wordWrap/>
              <w:overflowPunct/>
              <w:topLinePunct w:val="0"/>
              <w:bidi w:val="0"/>
              <w:spacing w:before="0" w:beforeAutospacing="0" w:line="360" w:lineRule="auto"/>
              <w:ind w:left="107" w:right="57"/>
              <w:jc w:val="left"/>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w:t>
            </w:r>
            <w:r>
              <w:rPr>
                <w:rFonts w:hint="eastAsia" w:ascii="宋体" w:hAnsi="宋体" w:eastAsia="宋体" w:cs="宋体"/>
                <w:sz w:val="24"/>
                <w:szCs w:val="24"/>
                <w:highlight w:val="none"/>
                <w:lang w:val="en-US" w:eastAsia="zh-CN" w:bidi="ar-SA"/>
              </w:rPr>
              <w:t>政府采购网相关政策</w:t>
            </w:r>
            <w:r>
              <w:rPr>
                <w:rFonts w:hint="eastAsia" w:ascii="宋体" w:hAnsi="宋体" w:eastAsia="宋体" w:cs="宋体"/>
                <w:sz w:val="24"/>
                <w:szCs w:val="24"/>
                <w:highlight w:val="none"/>
                <w:lang w:val="zh-CN" w:eastAsia="zh-CN" w:bidi="ar-SA"/>
              </w:rPr>
              <w:t xml:space="preserve">）。 </w:t>
            </w:r>
          </w:p>
          <w:p>
            <w:pPr>
              <w:pStyle w:val="54"/>
              <w:keepNext w:val="0"/>
              <w:keepLines w:val="0"/>
              <w:pageBreakBefore w:val="0"/>
              <w:kinsoku/>
              <w:wordWrap/>
              <w:overflowPunct/>
              <w:topLinePunct w:val="0"/>
              <w:bidi w:val="0"/>
              <w:snapToGrid/>
              <w:spacing w:line="360" w:lineRule="auto"/>
              <w:ind w:left="252" w:leftChars="74" w:firstLine="480" w:firstLineChars="200"/>
              <w:jc w:val="both"/>
              <w:rPr>
                <w:rFonts w:hint="eastAsia" w:ascii="宋体" w:hAnsi="宋体" w:eastAsia="宋体" w:cs="宋体"/>
                <w:sz w:val="24"/>
                <w:szCs w:val="24"/>
                <w:lang w:val="zh-CN" w:eastAsia="zh-CN" w:bidi="ar-SA"/>
              </w:rPr>
            </w:pPr>
            <w:r>
              <w:rPr>
                <w:rFonts w:hint="eastAsia" w:ascii="宋体" w:hAnsi="宋体" w:eastAsia="宋体" w:cs="宋体"/>
                <w:sz w:val="24"/>
                <w:szCs w:val="24"/>
                <w:highlight w:val="none"/>
                <w:lang w:val="zh-CN" w:eastAsia="zh-CN" w:bidi="ar-SA"/>
              </w:rPr>
              <w:t>为有效缓解中小企业融资难、融资贵问题，成都市财政局、中国人民银行成都分行营业管理部制定了《成都市中小企业政府采购信用融资暂行办法》（成财采〔2019〕17 号）。 </w:t>
            </w:r>
          </w:p>
        </w:tc>
      </w:tr>
    </w:tbl>
    <w:p>
      <w:pPr>
        <w:pStyle w:val="5"/>
        <w:keepNext w:val="0"/>
        <w:keepLines w:val="0"/>
        <w:pageBreakBefore w:val="0"/>
        <w:kinsoku/>
        <w:wordWrap/>
        <w:overflowPunct/>
        <w:topLinePunct w:val="0"/>
        <w:bidi w:val="0"/>
        <w:snapToGrid/>
        <w:spacing w:before="0" w:after="0" w:line="360" w:lineRule="auto"/>
        <w:ind w:firstLine="482" w:firstLineChars="200"/>
        <w:jc w:val="center"/>
        <w:rPr>
          <w:rFonts w:hint="eastAsia" w:ascii="宋体" w:hAnsi="宋体" w:eastAsia="宋体" w:cs="宋体"/>
          <w:bCs w:val="0"/>
          <w:sz w:val="24"/>
          <w:szCs w:val="24"/>
        </w:rPr>
      </w:pPr>
    </w:p>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bCs/>
          <w:sz w:val="24"/>
          <w:szCs w:val="24"/>
        </w:rPr>
        <w:br w:type="page"/>
      </w:r>
    </w:p>
    <w:p>
      <w:pPr>
        <w:pStyle w:val="5"/>
        <w:keepNext w:val="0"/>
        <w:keepLines w:val="0"/>
        <w:pageBreakBefore w:val="0"/>
        <w:kinsoku/>
        <w:wordWrap/>
        <w:overflowPunct/>
        <w:topLinePunct w:val="0"/>
        <w:bidi w:val="0"/>
        <w:snapToGrid/>
        <w:spacing w:before="0" w:after="0" w:line="360" w:lineRule="auto"/>
        <w:ind w:firstLine="482" w:firstLineChars="200"/>
        <w:jc w:val="center"/>
        <w:rPr>
          <w:rFonts w:hint="eastAsia" w:ascii="宋体" w:hAnsi="宋体" w:eastAsia="宋体" w:cs="宋体"/>
          <w:bCs w:val="0"/>
          <w:sz w:val="24"/>
          <w:szCs w:val="24"/>
        </w:rPr>
      </w:pPr>
      <w:r>
        <w:rPr>
          <w:rFonts w:hint="eastAsia" w:ascii="宋体" w:hAnsi="宋体" w:eastAsia="宋体" w:cs="宋体"/>
          <w:bCs w:val="0"/>
          <w:sz w:val="24"/>
          <w:szCs w:val="24"/>
        </w:rPr>
        <w:t>二、总  则</w:t>
      </w:r>
    </w:p>
    <w:p>
      <w:pPr>
        <w:pStyle w:val="6"/>
        <w:keepNext w:val="0"/>
        <w:keepLines w:val="0"/>
        <w:pageBreakBefore w:val="0"/>
        <w:kinsoku/>
        <w:wordWrap/>
        <w:overflowPunct/>
        <w:topLinePunct w:val="0"/>
        <w:bidi w:val="0"/>
        <w:snapToGrid/>
        <w:spacing w:before="0" w:after="0" w:line="360" w:lineRule="auto"/>
        <w:ind w:firstLine="482" w:firstLineChars="200"/>
        <w:rPr>
          <w:rFonts w:hint="eastAsia" w:ascii="宋体" w:hAnsi="宋体" w:eastAsia="宋体" w:cs="宋体"/>
          <w:sz w:val="24"/>
          <w:szCs w:val="24"/>
        </w:rPr>
      </w:pPr>
      <w:bookmarkStart w:id="13" w:name="_Toc183682342"/>
      <w:bookmarkStart w:id="14" w:name="_Toc183582205"/>
      <w:bookmarkStart w:id="15" w:name="_Toc217446034"/>
    </w:p>
    <w:p>
      <w:pPr>
        <w:pStyle w:val="6"/>
        <w:keepNext w:val="0"/>
        <w:keepLines w:val="0"/>
        <w:pageBreakBefore w:val="0"/>
        <w:kinsoku/>
        <w:wordWrap/>
        <w:overflowPunct/>
        <w:topLinePunct w:val="0"/>
        <w:bidi w:val="0"/>
        <w:snapToGrid/>
        <w:spacing w:before="0" w:after="0" w:line="360" w:lineRule="auto"/>
        <w:ind w:firstLine="482" w:firstLineChars="200"/>
        <w:rPr>
          <w:rFonts w:hint="eastAsia" w:ascii="宋体" w:hAnsi="宋体" w:eastAsia="宋体" w:cs="宋体"/>
          <w:b/>
          <w:bCs/>
          <w:sz w:val="24"/>
          <w:szCs w:val="24"/>
          <w:lang w:val="en-US" w:eastAsia="zh-CN" w:bidi="ar-SA"/>
        </w:rPr>
      </w:pPr>
      <w:bookmarkStart w:id="16" w:name="PO_默认文件内容_23"/>
      <w:r>
        <w:rPr>
          <w:rFonts w:hint="eastAsia" w:ascii="宋体" w:hAnsi="宋体" w:eastAsia="宋体" w:cs="宋体"/>
          <w:b/>
          <w:bCs/>
          <w:sz w:val="24"/>
          <w:szCs w:val="24"/>
          <w:lang w:val="en-US" w:eastAsia="zh-CN" w:bidi="ar-SA"/>
        </w:rPr>
        <w:t>1.</w:t>
      </w:r>
      <w:bookmarkEnd w:id="13"/>
      <w:bookmarkEnd w:id="14"/>
      <w:r>
        <w:rPr>
          <w:rFonts w:hint="eastAsia" w:ascii="宋体" w:hAnsi="宋体" w:eastAsia="宋体" w:cs="宋体"/>
          <w:b/>
          <w:bCs/>
          <w:sz w:val="24"/>
          <w:szCs w:val="24"/>
          <w:lang w:val="en-US" w:eastAsia="zh-CN" w:bidi="ar-SA"/>
        </w:rPr>
        <w:t>适用范围</w:t>
      </w:r>
      <w:bookmarkEnd w:id="15"/>
    </w:p>
    <w:p>
      <w:pPr>
        <w:keepNext w:val="0"/>
        <w:keepLines w:val="0"/>
        <w:pageBreakBefore w:val="0"/>
        <w:tabs>
          <w:tab w:val="left" w:pos="7665"/>
        </w:tabs>
        <w:kinsoku/>
        <w:wordWrap/>
        <w:overflowPunct/>
        <w:topLinePunct w:val="0"/>
        <w:bidi w:val="0"/>
        <w:snapToGrid/>
        <w:spacing w:line="360" w:lineRule="auto"/>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1.1 本磋商文件仅适用于本次磋商采购项目。</w:t>
      </w:r>
    </w:p>
    <w:p>
      <w:pPr>
        <w:keepNext w:val="0"/>
        <w:keepLines w:val="0"/>
        <w:pageBreakBefore w:val="0"/>
        <w:tabs>
          <w:tab w:val="left" w:pos="7665"/>
        </w:tabs>
        <w:kinsoku/>
        <w:wordWrap/>
        <w:overflowPunct/>
        <w:topLinePunct w:val="0"/>
        <w:bidi w:val="0"/>
        <w:snapToGrid/>
        <w:spacing w:line="360" w:lineRule="auto"/>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1.2 本磋商文件的解释权归采购人和采购代理机构所有。</w:t>
      </w:r>
      <w:bookmarkEnd w:id="16"/>
    </w:p>
    <w:p>
      <w:pPr>
        <w:keepNext w:val="0"/>
        <w:keepLines w:val="0"/>
        <w:pageBreakBefore w:val="0"/>
        <w:tabs>
          <w:tab w:val="left" w:pos="7665"/>
        </w:tabs>
        <w:kinsoku/>
        <w:wordWrap/>
        <w:overflowPunct/>
        <w:topLinePunct w:val="0"/>
        <w:bidi w:val="0"/>
        <w:snapToGrid/>
        <w:spacing w:line="360" w:lineRule="auto"/>
        <w:ind w:firstLine="480" w:firstLineChars="200"/>
        <w:rPr>
          <w:rFonts w:hint="eastAsia" w:ascii="宋体" w:hAnsi="宋体" w:eastAsia="宋体" w:cs="宋体"/>
          <w:b w:val="0"/>
          <w:bCs w:val="0"/>
          <w:sz w:val="24"/>
          <w:szCs w:val="24"/>
          <w:lang w:val="en-US" w:eastAsia="zh-CN" w:bidi="ar-SA"/>
        </w:rPr>
      </w:pPr>
    </w:p>
    <w:p>
      <w:pPr>
        <w:pStyle w:val="6"/>
        <w:keepNext w:val="0"/>
        <w:keepLines w:val="0"/>
        <w:pageBreakBefore w:val="0"/>
        <w:kinsoku/>
        <w:wordWrap/>
        <w:overflowPunct/>
        <w:topLinePunct w:val="0"/>
        <w:bidi w:val="0"/>
        <w:snapToGrid/>
        <w:spacing w:before="0" w:after="0" w:line="360" w:lineRule="auto"/>
        <w:ind w:firstLine="482" w:firstLineChars="200"/>
        <w:rPr>
          <w:rFonts w:hint="eastAsia" w:ascii="宋体" w:hAnsi="宋体" w:eastAsia="宋体" w:cs="宋体"/>
          <w:b/>
          <w:bCs/>
          <w:sz w:val="24"/>
          <w:szCs w:val="24"/>
          <w:lang w:val="en-US" w:eastAsia="zh-CN" w:bidi="ar-SA"/>
        </w:rPr>
      </w:pPr>
      <w:bookmarkStart w:id="17" w:name="_Toc183582206"/>
      <w:bookmarkStart w:id="18" w:name="_Toc183682343"/>
      <w:bookmarkStart w:id="19" w:name="_Toc217446035"/>
      <w:r>
        <w:rPr>
          <w:rFonts w:hint="eastAsia" w:ascii="宋体" w:hAnsi="宋体" w:eastAsia="宋体" w:cs="宋体"/>
          <w:b/>
          <w:bCs/>
          <w:sz w:val="24"/>
          <w:szCs w:val="24"/>
          <w:lang w:val="en-US" w:eastAsia="zh-CN" w:bidi="ar-SA"/>
        </w:rPr>
        <w:t>2.</w:t>
      </w:r>
      <w:bookmarkEnd w:id="17"/>
      <w:bookmarkEnd w:id="18"/>
      <w:bookmarkEnd w:id="19"/>
      <w:r>
        <w:rPr>
          <w:rFonts w:hint="eastAsia" w:ascii="宋体" w:hAnsi="宋体" w:eastAsia="宋体" w:cs="宋体"/>
          <w:b/>
          <w:bCs/>
          <w:sz w:val="24"/>
          <w:szCs w:val="24"/>
          <w:lang w:val="en-US" w:eastAsia="zh-CN" w:bidi="ar-SA"/>
        </w:rPr>
        <w:t>采购主体</w:t>
      </w:r>
    </w:p>
    <w:p>
      <w:pPr>
        <w:keepNext w:val="0"/>
        <w:keepLines w:val="0"/>
        <w:pageBreakBefore w:val="0"/>
        <w:tabs>
          <w:tab w:val="left" w:pos="7665"/>
        </w:tabs>
        <w:kinsoku/>
        <w:wordWrap/>
        <w:overflowPunct/>
        <w:topLinePunct w:val="0"/>
        <w:bidi w:val="0"/>
        <w:snapToGrid/>
        <w:spacing w:line="360" w:lineRule="auto"/>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2.1本次磋商的采购人是</w:t>
      </w:r>
      <w:r>
        <w:rPr>
          <w:rFonts w:hint="eastAsia" w:hAnsi="宋体" w:cs="宋体"/>
          <w:b w:val="0"/>
          <w:bCs w:val="0"/>
          <w:sz w:val="24"/>
          <w:szCs w:val="24"/>
          <w:u w:val="single"/>
          <w:lang w:val="en-US" w:eastAsia="zh-CN" w:bidi="ar-SA"/>
        </w:rPr>
        <w:t>成都市妇女儿童中心医院</w:t>
      </w:r>
      <w:r>
        <w:rPr>
          <w:rFonts w:hint="eastAsia" w:ascii="宋体" w:hAnsi="宋体" w:eastAsia="宋体" w:cs="宋体"/>
          <w:b w:val="0"/>
          <w:bCs w:val="0"/>
          <w:sz w:val="24"/>
          <w:szCs w:val="24"/>
          <w:lang w:val="en-US" w:eastAsia="zh-CN" w:bidi="ar-SA"/>
        </w:rPr>
        <w:t>。</w:t>
      </w:r>
    </w:p>
    <w:p>
      <w:pPr>
        <w:keepNext w:val="0"/>
        <w:keepLines w:val="0"/>
        <w:pageBreakBefore w:val="0"/>
        <w:tabs>
          <w:tab w:val="left" w:pos="7665"/>
        </w:tabs>
        <w:kinsoku/>
        <w:wordWrap/>
        <w:overflowPunct/>
        <w:topLinePunct w:val="0"/>
        <w:bidi w:val="0"/>
        <w:snapToGrid/>
        <w:spacing w:line="360" w:lineRule="auto"/>
        <w:ind w:firstLine="480" w:firstLineChars="200"/>
        <w:rPr>
          <w:rFonts w:hint="eastAsia" w:ascii="宋体" w:hAnsi="宋体" w:eastAsia="宋体" w:cs="宋体"/>
          <w:b w:val="0"/>
          <w:bCs w:val="0"/>
          <w:sz w:val="24"/>
          <w:szCs w:val="24"/>
          <w:lang w:val="en-US" w:eastAsia="zh-CN" w:bidi="ar-SA"/>
        </w:rPr>
      </w:pPr>
      <w:bookmarkStart w:id="20" w:name="PO_默认文件内容_24"/>
      <w:r>
        <w:rPr>
          <w:rFonts w:hint="eastAsia" w:ascii="宋体" w:hAnsi="宋体" w:eastAsia="宋体" w:cs="宋体"/>
          <w:b w:val="0"/>
          <w:bCs w:val="0"/>
          <w:sz w:val="24"/>
          <w:szCs w:val="24"/>
          <w:lang w:val="en-US" w:eastAsia="zh-CN" w:bidi="ar-SA"/>
        </w:rPr>
        <w:t>2.2本次磋商的采购代理机构是</w:t>
      </w:r>
      <w:r>
        <w:rPr>
          <w:rFonts w:hint="eastAsia" w:ascii="宋体" w:hAnsi="宋体" w:eastAsia="宋体" w:cs="宋体"/>
          <w:b w:val="0"/>
          <w:bCs w:val="0"/>
          <w:sz w:val="24"/>
          <w:szCs w:val="24"/>
          <w:u w:val="single"/>
          <w:lang w:val="en-US" w:eastAsia="zh-CN" w:bidi="ar-SA"/>
        </w:rPr>
        <w:t>四川三盈招标代理有限公司</w:t>
      </w:r>
      <w:r>
        <w:rPr>
          <w:rFonts w:hint="eastAsia" w:ascii="宋体" w:hAnsi="宋体" w:eastAsia="宋体" w:cs="宋体"/>
          <w:b w:val="0"/>
          <w:bCs w:val="0"/>
          <w:sz w:val="24"/>
          <w:szCs w:val="24"/>
          <w:lang w:val="en-US" w:eastAsia="zh-CN" w:bidi="ar-SA"/>
        </w:rPr>
        <w:t>。</w:t>
      </w:r>
    </w:p>
    <w:bookmarkEnd w:id="20"/>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21" w:name="_Toc511289482"/>
      <w:bookmarkStart w:id="22" w:name="_Toc509579142"/>
      <w:bookmarkStart w:id="23" w:name="_Toc183682368"/>
      <w:bookmarkStart w:id="24" w:name="_Toc217446056"/>
      <w:bookmarkStart w:id="25" w:name="_Toc89075878"/>
      <w:bookmarkStart w:id="26" w:name="_Toc77400782"/>
      <w:bookmarkStart w:id="27" w:name="_Toc183582231"/>
      <w:bookmarkStart w:id="28" w:name="PO_默认文件内容_26"/>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3. 合格供应商（实质性要求）</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合格供应商应具备以下条件：</w:t>
      </w:r>
    </w:p>
    <w:p>
      <w:pPr>
        <w:pageBreakBefore w:val="0"/>
        <w:tabs>
          <w:tab w:val="left" w:pos="7665"/>
        </w:tabs>
        <w:kinsoku/>
        <w:wordWrap/>
        <w:overflowPunct/>
        <w:topLinePunct w:val="0"/>
        <w:bidi w:val="0"/>
        <w:spacing w:line="360" w:lineRule="auto"/>
        <w:ind w:firstLine="480"/>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3.1 具备法律法规和本采购文件规定的资格条件</w:t>
      </w:r>
      <w:r>
        <w:rPr>
          <w:rFonts w:hint="eastAsia" w:ascii="宋体" w:hAnsi="宋体" w:eastAsia="宋体" w:cs="宋体"/>
          <w:spacing w:val="-4"/>
          <w:sz w:val="24"/>
          <w:szCs w:val="24"/>
          <w:highlight w:val="none"/>
        </w:rPr>
        <w:t>；</w:t>
      </w:r>
    </w:p>
    <w:p>
      <w:pPr>
        <w:pageBreakBefore w:val="0"/>
        <w:tabs>
          <w:tab w:val="left" w:pos="7665"/>
        </w:tabs>
        <w:kinsoku/>
        <w:wordWrap/>
        <w:overflowPunct/>
        <w:topLinePunct w:val="0"/>
        <w:bidi w:val="0"/>
        <w:spacing w:line="360" w:lineRule="auto"/>
        <w:ind w:firstLine="464"/>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3.2 不属于禁止参加本项目采购活动的供应商；</w:t>
      </w:r>
    </w:p>
    <w:p>
      <w:pPr>
        <w:pageBreakBefore w:val="0"/>
        <w:tabs>
          <w:tab w:val="left" w:pos="7665"/>
        </w:tabs>
        <w:kinsoku/>
        <w:wordWrap/>
        <w:overflowPunct/>
        <w:topLinePunct w:val="0"/>
        <w:bidi w:val="0"/>
        <w:spacing w:line="360" w:lineRule="auto"/>
        <w:ind w:firstLine="46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3.3 按照规定</w:t>
      </w:r>
      <w:r>
        <w:rPr>
          <w:rFonts w:hint="eastAsia" w:ascii="宋体" w:hAnsi="宋体" w:eastAsia="宋体" w:cs="宋体"/>
          <w:sz w:val="24"/>
          <w:szCs w:val="24"/>
          <w:highlight w:val="none"/>
        </w:rPr>
        <w:t>获取了磋商文件，属于实质性参加政府采购活动的供应商。</w:t>
      </w:r>
      <w:bookmarkStart w:id="29" w:name="_Toc183682345"/>
      <w:bookmarkStart w:id="30" w:name="_Toc183582208"/>
      <w:bookmarkStart w:id="31" w:name="_Toc217446037"/>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4. 磋商费用</w:t>
      </w:r>
      <w:bookmarkEnd w:id="29"/>
      <w:bookmarkEnd w:id="30"/>
      <w:bookmarkEnd w:id="31"/>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供应商应自行承担参加磋商活动的全部费用。</w:t>
      </w:r>
    </w:p>
    <w:p>
      <w:pPr>
        <w:pStyle w:val="55"/>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p>
    <w:p>
      <w:pPr>
        <w:pStyle w:val="55"/>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5.充分、公平竞争保障措施（实质性要求）</w:t>
      </w:r>
    </w:p>
    <w:p>
      <w:pPr>
        <w:pStyle w:val="55"/>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5.1利害关系供应商处理。</w:t>
      </w:r>
      <w:r>
        <w:rPr>
          <w:rFonts w:hint="eastAsia" w:ascii="宋体" w:hAnsi="宋体" w:eastAsia="宋体" w:cs="宋体"/>
          <w:sz w:val="24"/>
          <w:szCs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5"/>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5.2利害关系授权代表处理。</w:t>
      </w:r>
      <w:r>
        <w:rPr>
          <w:rFonts w:hint="eastAsia" w:ascii="宋体" w:hAnsi="宋体" w:eastAsia="宋体" w:cs="宋体"/>
          <w:sz w:val="24"/>
          <w:szCs w:val="24"/>
          <w:highlight w:val="none"/>
        </w:rPr>
        <w:t>两家以上的供应商不得在同一合同项下的采购项目中，委托同一个自然人、同一家庭的人员、同一单位的人员作为其授权代表，否则，其响应文件作为无效处理。</w:t>
      </w:r>
    </w:p>
    <w:p>
      <w:pPr>
        <w:pStyle w:val="55"/>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5.3前期参与供应商处理。</w:t>
      </w:r>
      <w:r>
        <w:rPr>
          <w:rFonts w:hint="eastAsia" w:ascii="宋体" w:hAnsi="宋体" w:eastAsia="宋体" w:cs="宋体"/>
          <w:sz w:val="24"/>
          <w:szCs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55"/>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不适用）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5"/>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5.5供应商实际控制人或者中高级管理人员，同时是采购代理机构工作人员，不得参与本项目政府采购活动。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5.6同一母公司的两家以上的子公司只能组成联合体参加本项目同一合同项下的采购活动，不得以不同供应商身份同时参加本项目同一合同项下的采购活动。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5.7供应商与采购代理机构存在关联关系，或者是采购代理机构的母公司或子公司，不得参加本项目政府采购活动。</w:t>
      </w:r>
    </w:p>
    <w:p>
      <w:pPr>
        <w:pStyle w:val="55"/>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5.8回避。政府采购活动中，采购人员及相关人员与供应商有下列利害关系之一的，应当回避：</w:t>
      </w:r>
    </w:p>
    <w:p>
      <w:pPr>
        <w:pStyle w:val="55"/>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（1）参加采购活动前3年内与供应商存在劳动关系；</w:t>
      </w:r>
    </w:p>
    <w:p>
      <w:pPr>
        <w:pStyle w:val="55"/>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（2）参加采购活动前3年内担任供应商的董事、监事；</w:t>
      </w:r>
    </w:p>
    <w:p>
      <w:pPr>
        <w:pStyle w:val="55"/>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（3）参加采购活动前3年内是供应商的控股股东或者实际控制人；</w:t>
      </w:r>
    </w:p>
    <w:p>
      <w:pPr>
        <w:pStyle w:val="55"/>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pPr>
        <w:pStyle w:val="55"/>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（5）与供应商有其他可能影响政府采购活动公平、公正进行的关系。</w:t>
      </w:r>
    </w:p>
    <w:p>
      <w:pPr>
        <w:pStyle w:val="55"/>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55"/>
        <w:pageBreakBefore w:val="0"/>
        <w:kinsoku/>
        <w:wordWrap/>
        <w:overflowPunct/>
        <w:topLinePunct w:val="0"/>
        <w:bidi w:val="0"/>
        <w:spacing w:line="360" w:lineRule="auto"/>
        <w:ind w:left="1"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5"/>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p>
    <w:p>
      <w:pPr>
        <w:pStyle w:val="55"/>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6.联合体竞争性磋商（</w:t>
      </w:r>
      <w:r>
        <w:rPr>
          <w:rFonts w:hint="eastAsia" w:ascii="宋体" w:hAnsi="宋体" w:eastAsia="宋体" w:cs="宋体"/>
          <w:b/>
          <w:sz w:val="24"/>
          <w:szCs w:val="24"/>
          <w:highlight w:val="none"/>
          <w:lang w:val="en-US" w:eastAsia="zh-CN"/>
        </w:rPr>
        <w:t>本项目不接受联合体</w:t>
      </w:r>
      <w:r>
        <w:rPr>
          <w:rFonts w:hint="eastAsia" w:ascii="宋体" w:hAnsi="宋体" w:eastAsia="宋体" w:cs="宋体"/>
          <w:b/>
          <w:sz w:val="24"/>
          <w:szCs w:val="24"/>
          <w:highlight w:val="none"/>
        </w:rPr>
        <w:t>）</w:t>
      </w:r>
    </w:p>
    <w:p>
      <w:pPr>
        <w:pStyle w:val="55"/>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7.磋商保证金（</w:t>
      </w:r>
      <w:r>
        <w:rPr>
          <w:rFonts w:hint="eastAsia" w:ascii="宋体" w:hAnsi="宋体" w:eastAsia="宋体" w:cs="宋体"/>
          <w:b/>
          <w:sz w:val="24"/>
          <w:szCs w:val="24"/>
          <w:highlight w:val="none"/>
          <w:lang w:val="en-US" w:eastAsia="zh-CN"/>
        </w:rPr>
        <w:t>本项目无需缴纳磋商保证金</w:t>
      </w:r>
      <w:r>
        <w:rPr>
          <w:rFonts w:hint="eastAsia" w:ascii="宋体" w:hAnsi="宋体" w:eastAsia="宋体" w:cs="宋体"/>
          <w:b/>
          <w:sz w:val="24"/>
          <w:szCs w:val="24"/>
          <w:highlight w:val="none"/>
        </w:rPr>
        <w:t>）</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7.1 供应商必须以人民币按磋商文件要求足额缴纳磋商保证金。联合体磋商的，可以由联合体的一方或者共同提交磋商保证金，以一方名义提交磋商保证金的，对联合体各方均具有约束力。</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7.2 未按磋商文件要求在规定时间前交纳规定数额磋商保证金的响应文件无效。</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7.3 供应商所交纳的磋商保证金不计利息。</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7.5发生下列情形之一的，采购代理机构/采购人将不予退还磋商保证金：</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（一）在磋商文件规定的递交响应文件截止时间后撤销响应文件的；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（二）在采购人确定成交供应商之前放弃成交候选资格的；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（三）成交后放弃、不领取或者不接收成交通知书的；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（四）由于成交供应商的原因未能按照磋商文件的规定与采购人签订合同的；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（五）由于成交供应商的原因未能按照磋商文件的规定交纳履约保证金的；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（六）供应商在政府采购活动中提供虚假材料的；</w:t>
      </w:r>
    </w:p>
    <w:p>
      <w:pPr>
        <w:pageBreakBefore w:val="0"/>
        <w:kinsoku/>
        <w:wordWrap/>
        <w:overflowPunct/>
        <w:topLinePunct w:val="0"/>
        <w:bidi w:val="0"/>
        <w:spacing w:line="360" w:lineRule="auto"/>
        <w:ind w:firstLine="470" w:firstLineChars="196"/>
        <w:rPr>
          <w:rFonts w:hint="eastAsia" w:ascii="宋体" w:hAnsi="宋体" w:eastAsia="宋体" w:cs="宋体"/>
          <w:b/>
          <w:sz w:val="24"/>
          <w:szCs w:val="24"/>
          <w:highlight w:val="none"/>
        </w:rPr>
      </w:pPr>
      <w:r>
        <w:rPr>
          <w:rFonts w:hint="eastAsia" w:ascii="宋体" w:hAnsi="宋体" w:eastAsia="宋体" w:cs="宋体"/>
          <w:sz w:val="24"/>
          <w:szCs w:val="24"/>
          <w:highlight w:val="none"/>
        </w:rPr>
        <w:t>（七）响应文件有效期内，供应商在政府采购活动中有违法、违规、违纪行为。</w:t>
      </w:r>
    </w:p>
    <w:p>
      <w:pPr>
        <w:pageBreakBefore w:val="0"/>
        <w:kinsoku/>
        <w:wordWrap/>
        <w:overflowPunct/>
        <w:topLinePunct w:val="0"/>
        <w:bidi w:val="0"/>
        <w:spacing w:line="360" w:lineRule="auto"/>
        <w:ind w:firstLine="472" w:firstLineChars="196"/>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8.响应文件有效期（实质性要求）</w:t>
      </w:r>
    </w:p>
    <w:p>
      <w:pPr>
        <w:pageBreakBefore w:val="0"/>
        <w:kinsoku/>
        <w:wordWrap/>
        <w:overflowPunct/>
        <w:topLinePunct w:val="0"/>
        <w:bidi w:val="0"/>
        <w:spacing w:afterAutospacing="0"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6"/>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p>
    <w:p>
      <w:pPr>
        <w:pStyle w:val="6"/>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9.知识产权（实质性要求）</w:t>
      </w:r>
    </w:p>
    <w:p>
      <w:pPr>
        <w:pStyle w:val="10"/>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0"/>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9.2 除非磋商文件特别规定，采购人享有本项目实施过程中产生的知识成果及知识产权。</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ageBreakBefore w:val="0"/>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9.4 如采用供应商所不拥有的知识产权，则在报价中必须包括合法获取该知识产权的相关费用。 </w:t>
      </w:r>
      <w:bookmarkStart w:id="32" w:name="_Toc89075875"/>
      <w:bookmarkStart w:id="33" w:name="_Toc217446038"/>
      <w:bookmarkStart w:id="34" w:name="_Toc183682346"/>
      <w:bookmarkStart w:id="35" w:name="_Toc77400779"/>
      <w:bookmarkStart w:id="36" w:name="_Toc183582209"/>
    </w:p>
    <w:p>
      <w:pPr>
        <w:pStyle w:val="5"/>
        <w:keepNext w:val="0"/>
        <w:keepLines w:val="0"/>
        <w:pageBreakBefore w:val="0"/>
        <w:kinsoku/>
        <w:wordWrap/>
        <w:overflowPunct/>
        <w:topLinePunct w:val="0"/>
        <w:bidi w:val="0"/>
        <w:spacing w:before="0" w:after="0" w:line="360" w:lineRule="auto"/>
        <w:ind w:firstLine="643"/>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三、磋商文件</w:t>
      </w:r>
      <w:bookmarkEnd w:id="32"/>
      <w:bookmarkEnd w:id="33"/>
      <w:bookmarkEnd w:id="34"/>
      <w:bookmarkEnd w:id="35"/>
      <w:bookmarkEnd w:id="36"/>
    </w:p>
    <w:p>
      <w:pPr>
        <w:pStyle w:val="6"/>
        <w:pageBreakBefore w:val="0"/>
        <w:kinsoku/>
        <w:wordWrap/>
        <w:overflowPunct/>
        <w:topLinePunct w:val="0"/>
        <w:bidi w:val="0"/>
        <w:spacing w:after="0" w:afterAutospacing="0" w:line="360" w:lineRule="auto"/>
        <w:rPr>
          <w:rFonts w:hint="eastAsia" w:ascii="宋体" w:hAnsi="宋体" w:eastAsia="宋体" w:cs="宋体"/>
          <w:sz w:val="24"/>
          <w:szCs w:val="24"/>
          <w:highlight w:val="none"/>
        </w:rPr>
      </w:pPr>
      <w:bookmarkStart w:id="37" w:name="_Toc183682347"/>
      <w:bookmarkStart w:id="38" w:name="_Toc183582210"/>
      <w:bookmarkStart w:id="39" w:name="_Toc217446039"/>
      <w:bookmarkStart w:id="40" w:name="PO_默认文件内容_25"/>
      <w:r>
        <w:rPr>
          <w:rFonts w:hint="eastAsia" w:ascii="宋体" w:hAnsi="宋体" w:eastAsia="宋体" w:cs="宋体"/>
          <w:sz w:val="24"/>
          <w:szCs w:val="24"/>
          <w:highlight w:val="none"/>
        </w:rPr>
        <w:t>10．磋商文件的构成</w:t>
      </w:r>
      <w:bookmarkEnd w:id="37"/>
      <w:bookmarkEnd w:id="38"/>
      <w:bookmarkEnd w:id="39"/>
    </w:p>
    <w:p>
      <w:pPr>
        <w:pageBreakBefore w:val="0"/>
        <w:tabs>
          <w:tab w:val="left" w:pos="720"/>
        </w:tabs>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41" w:name="_Toc183682348"/>
      <w:bookmarkStart w:id="42" w:name="_Toc183582211"/>
      <w:bookmarkStart w:id="43" w:name="_Toc217446040"/>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11. 磋商文件的澄清</w:t>
      </w:r>
      <w:bookmarkEnd w:id="41"/>
      <w:bookmarkEnd w:id="42"/>
      <w:r>
        <w:rPr>
          <w:rFonts w:hint="eastAsia" w:ascii="宋体" w:hAnsi="宋体" w:eastAsia="宋体" w:cs="宋体"/>
          <w:sz w:val="24"/>
          <w:szCs w:val="24"/>
          <w:highlight w:val="none"/>
        </w:rPr>
        <w:t>和修改</w:t>
      </w:r>
      <w:bookmarkEnd w:id="43"/>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11.1 在递交响应文件截止时间前，采购人、采购代理机构可以对磋商文件进行澄清或者修改。</w:t>
      </w:r>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11.2 采购代理机构对已发出的磋商文件进行澄清或者修改，应当在四川政府采购网上发布更正公告。该澄清或者修改的内容为磋商文件的组成部分，澄清或者修改的内容可能影响响应文件编制的，采购人或者采购代理机构发布公告的时间，应当在提交首次响应文件截止之日起5日前；不足上述时间的，应当顺延递交响应文件的截止时间。</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11.4供应商认为需要对磋商文件进行澄清或者修改的，可以以书面形式向采购人或采购代理机构提出申请，由采购人或采购代理机构决定是否采纳供应商的申请事项。</w:t>
      </w:r>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44" w:name="_Toc217446041"/>
      <w:bookmarkStart w:id="45" w:name="_Toc208848971"/>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12. 答疑会和现场考察</w:t>
      </w:r>
      <w:bookmarkEnd w:id="44"/>
      <w:bookmarkEnd w:id="45"/>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12.1 根据采购项目和具体情况，采购人、采购代理机构认为有必要，可以在磋商文件提供期限截止后响应文件提交截止前，组织已获取磋商文件的潜在供应商现场考察或者召开答疑会。</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ageBreakBefore w:val="0"/>
        <w:kinsoku/>
        <w:wordWrap/>
        <w:overflowPunct/>
        <w:topLinePunct w:val="0"/>
        <w:bidi w:val="0"/>
        <w:adjustRightInd w:val="0"/>
        <w:snapToGrid w:val="0"/>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12.3 供应商考察现场或者参加答疑会所发生的一切费用由供应商自己承担。</w:t>
      </w:r>
      <w:bookmarkEnd w:id="40"/>
      <w:bookmarkStart w:id="46" w:name="_Toc183682351"/>
      <w:bookmarkStart w:id="47" w:name="_Toc183582214"/>
      <w:bookmarkStart w:id="48" w:name="_Toc89075876"/>
      <w:bookmarkStart w:id="49" w:name="_Toc77400780"/>
      <w:bookmarkStart w:id="50" w:name="_Toc217446042"/>
    </w:p>
    <w:p>
      <w:pPr>
        <w:pStyle w:val="5"/>
        <w:keepNext w:val="0"/>
        <w:keepLines w:val="0"/>
        <w:pageBreakBefore w:val="0"/>
        <w:kinsoku/>
        <w:wordWrap/>
        <w:overflowPunct/>
        <w:topLinePunct w:val="0"/>
        <w:bidi w:val="0"/>
        <w:spacing w:before="0" w:after="0" w:line="360" w:lineRule="auto"/>
        <w:ind w:firstLine="643"/>
        <w:rPr>
          <w:rFonts w:hint="eastAsia" w:ascii="宋体" w:hAnsi="宋体" w:eastAsia="宋体" w:cs="宋体"/>
          <w:bCs w:val="0"/>
          <w:sz w:val="24"/>
          <w:szCs w:val="24"/>
          <w:highlight w:val="none"/>
        </w:rPr>
      </w:pPr>
    </w:p>
    <w:p>
      <w:pPr>
        <w:pStyle w:val="5"/>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r>
        <w:rPr>
          <w:rFonts w:hint="eastAsia" w:ascii="宋体" w:hAnsi="宋体" w:eastAsia="宋体" w:cs="宋体"/>
          <w:bCs w:val="0"/>
          <w:sz w:val="24"/>
          <w:szCs w:val="24"/>
          <w:highlight w:val="none"/>
        </w:rPr>
        <w:t>四、响应文件</w:t>
      </w:r>
      <w:bookmarkEnd w:id="46"/>
      <w:bookmarkEnd w:id="47"/>
      <w:bookmarkEnd w:id="48"/>
      <w:bookmarkEnd w:id="49"/>
      <w:bookmarkEnd w:id="50"/>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51" w:name="_Toc217446043"/>
      <w:bookmarkStart w:id="52" w:name="_Toc183582215"/>
      <w:bookmarkStart w:id="53" w:name="_Toc183682352"/>
      <w:r>
        <w:rPr>
          <w:rFonts w:hint="eastAsia" w:ascii="宋体" w:hAnsi="宋体" w:eastAsia="宋体" w:cs="宋体"/>
          <w:sz w:val="24"/>
          <w:szCs w:val="24"/>
          <w:highlight w:val="none"/>
        </w:rPr>
        <w:t>13.响应文件的组成（实质性要求）</w:t>
      </w:r>
    </w:p>
    <w:p>
      <w:pPr>
        <w:pageBreakBefore w:val="0"/>
        <w:kinsoku/>
        <w:wordWrap/>
        <w:overflowPunct/>
        <w:topLinePunct w:val="0"/>
        <w:bidi w:val="0"/>
        <w:spacing w:line="360" w:lineRule="auto"/>
        <w:ind w:left="3" w:leftChars="1"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w:t>
      </w:r>
      <w:r>
        <w:rPr>
          <w:rFonts w:hint="eastAsia" w:ascii="宋体" w:hAnsi="宋体" w:eastAsia="宋体" w:cs="宋体"/>
          <w:sz w:val="24"/>
          <w:szCs w:val="24"/>
          <w:highlight w:val="none"/>
          <w:lang w:eastAsia="zh-CN"/>
        </w:rPr>
        <w:t>。</w:t>
      </w:r>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bCs w:val="0"/>
          <w:sz w:val="24"/>
          <w:szCs w:val="24"/>
          <w:highlight w:val="none"/>
        </w:rPr>
      </w:pPr>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14.响应文件的语言</w:t>
      </w:r>
      <w:bookmarkEnd w:id="51"/>
      <w:bookmarkEnd w:id="52"/>
      <w:bookmarkEnd w:id="53"/>
      <w:r>
        <w:rPr>
          <w:rFonts w:hint="eastAsia" w:ascii="宋体" w:hAnsi="宋体" w:eastAsia="宋体" w:cs="宋体"/>
          <w:bCs w:val="0"/>
          <w:sz w:val="24"/>
          <w:szCs w:val="24"/>
          <w:highlight w:val="none"/>
        </w:rPr>
        <w:t>（实质性要求）</w:t>
      </w:r>
    </w:p>
    <w:p>
      <w:pPr>
        <w:pageBreakBefore w:val="0"/>
        <w:tabs>
          <w:tab w:val="left" w:pos="1134"/>
        </w:tabs>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pageBreakBefore w:val="0"/>
        <w:tabs>
          <w:tab w:val="left" w:pos="1134"/>
        </w:tabs>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14.2 翻译的中文资料与外文资料如果出现差异和矛盾时，以中文为准。涉嫌虚假响应的按照相关法律法规处理。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14.3 如因未翻译而造成的响应文件无效风险，由供应商承担。</w:t>
      </w:r>
      <w:bookmarkStart w:id="54" w:name="_Toc217446044"/>
      <w:bookmarkStart w:id="55" w:name="_Toc183582216"/>
      <w:bookmarkStart w:id="56" w:name="_Toc183682353"/>
    </w:p>
    <w:p>
      <w:pPr>
        <w:pStyle w:val="6"/>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15．计量单位</w:t>
      </w:r>
      <w:bookmarkEnd w:id="54"/>
      <w:bookmarkEnd w:id="55"/>
      <w:bookmarkEnd w:id="56"/>
      <w:r>
        <w:rPr>
          <w:rFonts w:hint="eastAsia" w:ascii="宋体" w:hAnsi="宋体" w:eastAsia="宋体" w:cs="宋体"/>
          <w:sz w:val="24"/>
          <w:szCs w:val="24"/>
          <w:highlight w:val="none"/>
        </w:rPr>
        <w:t>（实质性要求）</w:t>
      </w:r>
    </w:p>
    <w:p>
      <w:pPr>
        <w:pageBreakBefore w:val="0"/>
        <w:kinsoku/>
        <w:wordWrap/>
        <w:overflowPunct/>
        <w:topLinePunct w:val="0"/>
        <w:bidi w:val="0"/>
        <w:spacing w:line="360" w:lineRule="auto"/>
        <w:ind w:firstLine="470" w:firstLineChars="196"/>
        <w:rPr>
          <w:rFonts w:hint="eastAsia" w:ascii="宋体" w:hAnsi="宋体" w:eastAsia="宋体" w:cs="宋体"/>
          <w:b/>
          <w:bCs/>
          <w:sz w:val="24"/>
          <w:szCs w:val="24"/>
          <w:highlight w:val="none"/>
        </w:rPr>
      </w:pPr>
      <w:r>
        <w:rPr>
          <w:rFonts w:hint="eastAsia" w:ascii="宋体" w:hAnsi="宋体" w:eastAsia="宋体" w:cs="宋体"/>
          <w:sz w:val="24"/>
          <w:szCs w:val="24"/>
          <w:highlight w:val="none"/>
        </w:rPr>
        <w:t>除磋商文件中另有规定外，本次采购项目所有合同项下的报价均采用国家法定的计量单位。</w:t>
      </w:r>
      <w:bookmarkStart w:id="57" w:name="_Toc217446045"/>
    </w:p>
    <w:p>
      <w:pPr>
        <w:pageBreakBefore w:val="0"/>
        <w:kinsoku/>
        <w:wordWrap/>
        <w:overflowPunct/>
        <w:topLinePunct w:val="0"/>
        <w:bidi w:val="0"/>
        <w:spacing w:line="360" w:lineRule="auto"/>
        <w:ind w:firstLine="470" w:firstLineChars="195"/>
        <w:rPr>
          <w:rFonts w:hint="eastAsia" w:ascii="宋体" w:hAnsi="宋体" w:eastAsia="宋体" w:cs="宋体"/>
          <w:b/>
          <w:bCs/>
          <w:sz w:val="24"/>
          <w:szCs w:val="24"/>
          <w:highlight w:val="none"/>
        </w:rPr>
      </w:pPr>
    </w:p>
    <w:p>
      <w:pPr>
        <w:pageBreakBefore w:val="0"/>
        <w:kinsoku/>
        <w:wordWrap/>
        <w:overflowPunct/>
        <w:topLinePunct w:val="0"/>
        <w:bidi w:val="0"/>
        <w:spacing w:line="360" w:lineRule="auto"/>
        <w:ind w:firstLine="470" w:firstLineChars="195"/>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16.</w:t>
      </w:r>
      <w:r>
        <w:rPr>
          <w:rFonts w:hint="eastAsia" w:ascii="宋体" w:hAnsi="宋体" w:eastAsia="宋体" w:cs="宋体"/>
          <w:b/>
          <w:color w:val="000000"/>
          <w:sz w:val="24"/>
          <w:szCs w:val="24"/>
          <w:highlight w:val="none"/>
        </w:rPr>
        <w:t>报价</w:t>
      </w:r>
      <w:r>
        <w:rPr>
          <w:rFonts w:hint="eastAsia" w:ascii="宋体" w:hAnsi="宋体" w:eastAsia="宋体" w:cs="宋体"/>
          <w:b/>
          <w:bCs/>
          <w:color w:val="000000"/>
          <w:sz w:val="24"/>
          <w:szCs w:val="24"/>
          <w:highlight w:val="none"/>
        </w:rPr>
        <w:t>货币（实质性要求）</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color w:val="000000"/>
          <w:sz w:val="24"/>
          <w:szCs w:val="24"/>
          <w:highlight w:val="none"/>
        </w:rPr>
        <w:t>本次磋商项目的</w:t>
      </w:r>
      <w:r>
        <w:rPr>
          <w:rFonts w:hint="eastAsia" w:ascii="宋体" w:hAnsi="宋体" w:eastAsia="宋体" w:cs="宋体"/>
          <w:color w:val="000000"/>
          <w:sz w:val="24"/>
          <w:szCs w:val="24"/>
          <w:highlight w:val="none"/>
        </w:rPr>
        <w:t>报价货币为</w:t>
      </w:r>
      <w:r>
        <w:rPr>
          <w:rFonts w:hint="eastAsia" w:ascii="宋体" w:hAnsi="宋体" w:eastAsia="宋体" w:cs="宋体"/>
          <w:bCs/>
          <w:color w:val="000000"/>
          <w:sz w:val="24"/>
          <w:szCs w:val="24"/>
          <w:highlight w:val="none"/>
        </w:rPr>
        <w:t>人民币，报价以磋商文件规定为准。</w:t>
      </w:r>
    </w:p>
    <w:bookmarkEnd w:id="57"/>
    <w:p>
      <w:pPr>
        <w:pageBreakBefore w:val="0"/>
        <w:kinsoku/>
        <w:wordWrap/>
        <w:overflowPunct/>
        <w:topLinePunct w:val="0"/>
        <w:bidi w:val="0"/>
        <w:spacing w:line="360" w:lineRule="auto"/>
        <w:ind w:left="3" w:leftChars="1" w:firstLine="482"/>
        <w:rPr>
          <w:rFonts w:hint="eastAsia" w:ascii="宋体" w:hAnsi="宋体" w:eastAsia="宋体" w:cs="宋体"/>
          <w:b/>
          <w:bCs/>
          <w:sz w:val="24"/>
          <w:szCs w:val="24"/>
          <w:highlight w:val="none"/>
        </w:rPr>
      </w:pPr>
    </w:p>
    <w:p>
      <w:pPr>
        <w:pageBreakBefore w:val="0"/>
        <w:kinsoku/>
        <w:wordWrap/>
        <w:overflowPunct/>
        <w:topLinePunct w:val="0"/>
        <w:bidi w:val="0"/>
        <w:spacing w:line="360" w:lineRule="auto"/>
        <w:ind w:left="3" w:leftChars="1"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17.响应文件格式</w:t>
      </w:r>
    </w:p>
    <w:p>
      <w:pPr>
        <w:pageBreakBefore w:val="0"/>
        <w:kinsoku/>
        <w:wordWrap/>
        <w:overflowPunct/>
        <w:topLinePunct w:val="0"/>
        <w:bidi w:val="0"/>
        <w:spacing w:line="360" w:lineRule="auto"/>
        <w:ind w:left="3" w:leftChars="1"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17.1 供应商应执行磋商文件第七章的规定要求。</w:t>
      </w:r>
    </w:p>
    <w:p>
      <w:pPr>
        <w:pageBreakBefore w:val="0"/>
        <w:kinsoku/>
        <w:wordWrap/>
        <w:overflowPunct/>
        <w:topLinePunct w:val="0"/>
        <w:bidi w:val="0"/>
        <w:spacing w:line="360" w:lineRule="auto"/>
        <w:ind w:left="3" w:leftChars="1"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17.2 对于没有格式要求的磋商文件由供应商自行编写。</w:t>
      </w:r>
    </w:p>
    <w:p>
      <w:pPr>
        <w:pageBreakBefore w:val="0"/>
        <w:kinsoku/>
        <w:wordWrap/>
        <w:overflowPunct/>
        <w:topLinePunct w:val="0"/>
        <w:bidi w:val="0"/>
        <w:spacing w:line="360" w:lineRule="auto"/>
        <w:rPr>
          <w:rFonts w:hint="eastAsia" w:ascii="宋体" w:hAnsi="宋体" w:eastAsia="宋体" w:cs="宋体"/>
          <w:b/>
          <w:sz w:val="24"/>
          <w:szCs w:val="24"/>
          <w:highlight w:val="none"/>
        </w:rPr>
      </w:pPr>
      <w:bookmarkStart w:id="58" w:name="_Toc183582224"/>
      <w:bookmarkStart w:id="59" w:name="_Toc217446051"/>
      <w:bookmarkStart w:id="60" w:name="_Toc183682361"/>
    </w:p>
    <w:p>
      <w:pPr>
        <w:pageBreakBefore w:val="0"/>
        <w:kinsoku/>
        <w:wordWrap/>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18.响应文件的编制和签署</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18.1 </w:t>
      </w:r>
      <w:r>
        <w:rPr>
          <w:rFonts w:hint="eastAsia" w:ascii="宋体" w:hAnsi="宋体" w:eastAsia="宋体" w:cs="宋体"/>
          <w:b/>
          <w:bCs/>
          <w:sz w:val="24"/>
          <w:szCs w:val="24"/>
          <w:highlight w:val="none"/>
        </w:rPr>
        <w:t>资格性响应文件正本1份副本2份（实质性要求）</w:t>
      </w:r>
      <w:r>
        <w:rPr>
          <w:rFonts w:hint="eastAsia" w:ascii="宋体" w:hAnsi="宋体" w:eastAsia="宋体" w:cs="宋体"/>
          <w:bCs/>
          <w:sz w:val="24"/>
          <w:szCs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18.2 </w:t>
      </w:r>
      <w:r>
        <w:rPr>
          <w:rFonts w:hint="eastAsia" w:ascii="宋体" w:hAnsi="宋体" w:eastAsia="宋体" w:cs="宋体"/>
          <w:b/>
          <w:sz w:val="24"/>
          <w:szCs w:val="24"/>
          <w:highlight w:val="none"/>
        </w:rPr>
        <w:t>其他响应文件正本1份副本2份（实质性要求）</w:t>
      </w:r>
      <w:r>
        <w:rPr>
          <w:rFonts w:hint="eastAsia" w:ascii="宋体" w:hAnsi="宋体" w:eastAsia="宋体" w:cs="宋体"/>
          <w:bCs/>
          <w:sz w:val="24"/>
          <w:szCs w:val="24"/>
          <w:highlight w:val="none"/>
        </w:rPr>
        <w:t>，并在其封面上清楚地标明其他响应文件、采购项目名称、采购项目编号、包件号及名称（若有）、供应商名称以及“正本”或“副本”字样。若正本和副本有不一致的内容，以正本书面响应文件为准。</w:t>
      </w:r>
    </w:p>
    <w:bookmarkEnd w:id="58"/>
    <w:bookmarkEnd w:id="59"/>
    <w:bookmarkEnd w:id="60"/>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18.3 响应文件正本和副本均需在规定签章处签字和盖章。响应文件副本可采用正本的复印件。</w:t>
      </w:r>
      <w:r>
        <w:rPr>
          <w:rFonts w:hint="eastAsia" w:ascii="宋体" w:hAnsi="宋体" w:eastAsia="宋体" w:cs="宋体"/>
          <w:b/>
          <w:bCs w:val="0"/>
          <w:sz w:val="24"/>
          <w:szCs w:val="24"/>
          <w:highlight w:val="none"/>
        </w:rPr>
        <w:t>电子文档1份</w:t>
      </w:r>
      <w:r>
        <w:rPr>
          <w:rFonts w:hint="eastAsia" w:ascii="宋体" w:hAnsi="宋体" w:eastAsia="宋体" w:cs="宋体"/>
          <w:bCs/>
          <w:sz w:val="24"/>
          <w:szCs w:val="24"/>
          <w:highlight w:val="none"/>
        </w:rPr>
        <w:t>采用U盘或光盘制作。</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18.4响应文件的打印和书写应清楚工整，任何行间插字、涂改或增删，必须由供应商的法定代表人/</w:t>
      </w:r>
      <w:r>
        <w:rPr>
          <w:rFonts w:hint="eastAsia" w:ascii="宋体" w:hAnsi="宋体" w:cs="宋体"/>
          <w:bCs/>
          <w:sz w:val="24"/>
          <w:szCs w:val="24"/>
          <w:highlight w:val="none"/>
          <w:lang w:eastAsia="zh-CN"/>
        </w:rPr>
        <w:t>主要负责人</w:t>
      </w:r>
      <w:r>
        <w:rPr>
          <w:rFonts w:hint="eastAsia" w:ascii="宋体" w:hAnsi="宋体" w:eastAsia="宋体" w:cs="宋体"/>
          <w:bCs/>
          <w:sz w:val="24"/>
          <w:szCs w:val="24"/>
          <w:highlight w:val="none"/>
        </w:rPr>
        <w:t>或其授权代表签字并盖供应商公章。</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18.5响应文件应由供应商法定代表人/主要负责人/本人或其授权代表在响应文件要求的地方签字（注：</w:t>
      </w:r>
      <w:r>
        <w:rPr>
          <w:rFonts w:hint="eastAsia" w:ascii="宋体" w:hAnsi="宋体" w:eastAsia="宋体" w:cs="宋体"/>
          <w:sz w:val="24"/>
          <w:szCs w:val="24"/>
          <w:highlight w:val="none"/>
        </w:rPr>
        <w:t>供应商为法人的，应当由其法定代表人或者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签字确认；供应商为其他组织的，应当由其主要负责人或者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签字确认；供应商为自然人的，应当由其本人或者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w:t>
      </w:r>
      <w:r>
        <w:rPr>
          <w:rFonts w:hint="eastAsia" w:ascii="宋体" w:hAnsi="宋体" w:eastAsia="宋体" w:cs="宋体"/>
          <w:bCs/>
          <w:sz w:val="24"/>
          <w:szCs w:val="24"/>
          <w:highlight w:val="none"/>
        </w:rPr>
        <w:t>）或加盖私人印章，要求加盖公章的地方加盖单位公章，不得使用专用章（如经济合同章、投标专用章等）或下属单位印章代替。</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18.6响应文件正本和副本需要逐页编目编码。</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18.7响应文件正本和副本应当采用胶装方式装订成册，不得散装或者合页装订。</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18.8响应文件应根据磋商文件的要求制作，签署、盖章。</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b/>
          <w:sz w:val="24"/>
          <w:szCs w:val="24"/>
          <w:highlight w:val="none"/>
        </w:rPr>
      </w:pPr>
      <w:r>
        <w:rPr>
          <w:rFonts w:hint="eastAsia" w:ascii="宋体" w:hAnsi="宋体" w:eastAsia="宋体" w:cs="宋体"/>
          <w:sz w:val="24"/>
          <w:szCs w:val="24"/>
          <w:highlight w:val="none"/>
        </w:rPr>
        <w:t>18.9响应文件统一用A4幅面纸印制，除另有规定外。</w:t>
      </w:r>
      <w:bookmarkStart w:id="61" w:name="_Toc183582226"/>
      <w:bookmarkStart w:id="62" w:name="_Toc183682363"/>
      <w:bookmarkStart w:id="63" w:name="_Toc77400781"/>
      <w:bookmarkStart w:id="64" w:name="_Toc89075877"/>
      <w:bookmarkStart w:id="65" w:name="_Toc217446053"/>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19.响应文件的密封和标注（不属于本项目磋商小组评审范畴，由采购人、采购代理机构在接收响应文件时及时处理）</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19.1 响应文件可以单独密封包装，也可以所有响应文件密封包装在一个密封袋内。</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19.2 响应文件密封袋的最外层应清楚地标明采购项目名称、采购项目编号、包件号及名称（若有）、供应商名称。</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19.3 所有外层密封袋的封口处应粘贴牢固，并加盖投标人公章。</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19.4 未按要求进行密封的磋商文件将被拒收。</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20.响应文件的递交</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20.1 响应文件可以单独密封包装，也可以所有响应文件密封包装在一个密封袋内。</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 响应文件密封袋的最外层应清楚地标明采购项目名称、采购项目编号、包件号及名称（若有）、供应商名称。</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所有外层密封袋的封口处应粘贴牢固。</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20.4 未按以上要求进行密封和标注的响应文件，采购人、采购代理机构将拒收或者在时间允许的范围内，要求修改完善后接收。</w:t>
      </w:r>
    </w:p>
    <w:bookmarkEnd w:id="61"/>
    <w:bookmarkEnd w:id="62"/>
    <w:bookmarkEnd w:id="63"/>
    <w:bookmarkEnd w:id="64"/>
    <w:bookmarkEnd w:id="65"/>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bookmarkStart w:id="66" w:name="_Toc183582228"/>
      <w:bookmarkStart w:id="67" w:name="_Toc217446055"/>
      <w:bookmarkStart w:id="68" w:name="_Toc183682365"/>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21.响应文件的修改和撤回（补充、修改响应文件的密封和标注按照本章“19.响应文件的密封和标注”规定处理）</w:t>
      </w:r>
    </w:p>
    <w:p>
      <w:pPr>
        <w:pStyle w:val="8"/>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ageBreakBefore w:val="0"/>
        <w:kinsoku/>
        <w:wordWrap/>
        <w:overflowPunct/>
        <w:topLinePunct w:val="0"/>
        <w:bidi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21.2供应商对响应文件修改的书面材料或撤回的通知应该按规定进行编写、密封、标注和递送，并注明“修改响应文件”字样。</w:t>
      </w:r>
    </w:p>
    <w:p>
      <w:pPr>
        <w:pageBreakBefore w:val="0"/>
        <w:kinsoku/>
        <w:wordWrap/>
        <w:overflowPunct/>
        <w:topLinePunct w:val="0"/>
        <w:bidi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21.3供应商不得在递交截止时间起至响应文件有效期期满前撤销其响应文件。否则其磋商保证金将按相关规定不予退还。</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21.4 响应文件中报价如果出现下列不一致的，可按以下原则进行修改：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kern w:val="0"/>
          <w:sz w:val="24"/>
          <w:szCs w:val="24"/>
          <w:highlight w:val="none"/>
        </w:rPr>
        <w:t>大写金额和小写金额不一致的，以大写金额为准</w:t>
      </w:r>
      <w:r>
        <w:rPr>
          <w:rFonts w:hint="eastAsia" w:ascii="宋体" w:hAnsi="宋体" w:eastAsia="宋体" w:cs="宋体"/>
          <w:sz w:val="24"/>
          <w:szCs w:val="24"/>
          <w:highlight w:val="none"/>
        </w:rPr>
        <w:t>，但大写金额文字存在错误的，应当先对大写金额的文字错误进行澄清、说明或者更正，再行修正。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kern w:val="0"/>
          <w:sz w:val="24"/>
          <w:szCs w:val="24"/>
          <w:highlight w:val="none"/>
        </w:rPr>
        <w:t>总价金额与按单价汇总金额不一致的，以单价金额计算结果为准，</w:t>
      </w:r>
      <w:r>
        <w:rPr>
          <w:rFonts w:hint="eastAsia" w:ascii="宋体" w:hAnsi="宋体" w:eastAsia="宋体" w:cs="宋体"/>
          <w:sz w:val="24"/>
          <w:szCs w:val="24"/>
          <w:highlight w:val="none"/>
        </w:rPr>
        <w:t>但</w:t>
      </w:r>
      <w:r>
        <w:rPr>
          <w:rFonts w:hint="eastAsia" w:ascii="宋体" w:hAnsi="宋体" w:eastAsia="宋体" w:cs="宋体"/>
          <w:kern w:val="0"/>
          <w:sz w:val="24"/>
          <w:szCs w:val="24"/>
          <w:highlight w:val="none"/>
        </w:rPr>
        <w:t>单价或者单价汇总金额存在数字或者</w:t>
      </w:r>
      <w:r>
        <w:rPr>
          <w:rFonts w:hint="eastAsia" w:ascii="宋体" w:hAnsi="宋体" w:eastAsia="宋体" w:cs="宋体"/>
          <w:sz w:val="24"/>
          <w:szCs w:val="24"/>
          <w:highlight w:val="none"/>
        </w:rPr>
        <w:t>文字错误的，应当先对</w:t>
      </w:r>
      <w:r>
        <w:rPr>
          <w:rFonts w:hint="eastAsia" w:ascii="宋体" w:hAnsi="宋体" w:eastAsia="宋体" w:cs="宋体"/>
          <w:kern w:val="0"/>
          <w:sz w:val="24"/>
          <w:szCs w:val="24"/>
          <w:highlight w:val="none"/>
        </w:rPr>
        <w:t>数字或者</w:t>
      </w:r>
      <w:r>
        <w:rPr>
          <w:rFonts w:hint="eastAsia" w:ascii="宋体" w:hAnsi="宋体" w:eastAsia="宋体" w:cs="宋体"/>
          <w:sz w:val="24"/>
          <w:szCs w:val="24"/>
          <w:highlight w:val="none"/>
        </w:rPr>
        <w:t>文字错误进行澄清、说明或者更正，再行修正。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（三）单价金额小数点</w:t>
      </w:r>
      <w:r>
        <w:rPr>
          <w:rFonts w:hint="eastAsia" w:ascii="宋体" w:hAnsi="宋体" w:eastAsia="宋体" w:cs="宋体"/>
          <w:kern w:val="0"/>
          <w:sz w:val="24"/>
          <w:szCs w:val="24"/>
          <w:highlight w:val="none"/>
        </w:rPr>
        <w:t>或者百分比有明显错位的</w:t>
      </w:r>
      <w:r>
        <w:rPr>
          <w:rFonts w:hint="eastAsia" w:ascii="宋体" w:hAnsi="宋体" w:eastAsia="宋体" w:cs="宋体"/>
          <w:sz w:val="24"/>
          <w:szCs w:val="24"/>
          <w:highlight w:val="none"/>
        </w:rPr>
        <w:t>，以总价为准，修正单价。</w:t>
      </w:r>
    </w:p>
    <w:p>
      <w:pPr>
        <w:pageBreakBefore w:val="0"/>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21.5供应商对其提交的响应文件的真实性、合法性承担法律责任。</w:t>
      </w:r>
      <w:bookmarkEnd w:id="66"/>
      <w:bookmarkEnd w:id="67"/>
      <w:bookmarkEnd w:id="68"/>
    </w:p>
    <w:p>
      <w:pPr>
        <w:pageBreakBefore w:val="0"/>
        <w:widowControl/>
        <w:kinsoku/>
        <w:wordWrap/>
        <w:overflowPunct/>
        <w:topLinePunct w:val="0"/>
        <w:bidi w:val="0"/>
        <w:spacing w:line="360" w:lineRule="auto"/>
        <w:ind w:firstLine="482"/>
        <w:jc w:val="center"/>
        <w:rPr>
          <w:rFonts w:hint="eastAsia" w:ascii="宋体" w:hAnsi="宋体" w:eastAsia="宋体" w:cs="宋体"/>
          <w:b/>
          <w:bCs/>
          <w:kern w:val="2"/>
          <w:sz w:val="24"/>
          <w:szCs w:val="24"/>
          <w:highlight w:val="none"/>
          <w:lang w:val="en-US" w:eastAsia="zh-CN" w:bidi="ar-SA"/>
        </w:rPr>
      </w:pPr>
    </w:p>
    <w:p>
      <w:pPr>
        <w:pageBreakBefore w:val="0"/>
        <w:widowControl/>
        <w:kinsoku/>
        <w:wordWrap/>
        <w:overflowPunct/>
        <w:topLinePunct w:val="0"/>
        <w:bidi w:val="0"/>
        <w:spacing w:afterAutospacing="0" w:line="360" w:lineRule="auto"/>
        <w:ind w:firstLine="482"/>
        <w:jc w:val="center"/>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eastAsia="zh-CN" w:bidi="ar-SA"/>
        </w:rPr>
        <w:t>五、评审</w:t>
      </w:r>
    </w:p>
    <w:p>
      <w:pPr>
        <w:pStyle w:val="6"/>
        <w:pageBreakBefore w:val="0"/>
        <w:kinsoku/>
        <w:wordWrap/>
        <w:overflowPunct/>
        <w:topLinePunct w:val="0"/>
        <w:bidi w:val="0"/>
        <w:spacing w:before="0" w:beforeAutospacing="0" w:after="0" w:afterAutospacing="0" w:line="360" w:lineRule="auto"/>
        <w:ind w:firstLine="48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22.磋商小组的组建及其评审工作按照有关法律制度和本文件第八章的规定进行。</w:t>
      </w:r>
    </w:p>
    <w:p>
      <w:pPr>
        <w:pStyle w:val="5"/>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p>
    <w:p>
      <w:pPr>
        <w:pStyle w:val="5"/>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六、成交事项</w:t>
      </w:r>
    </w:p>
    <w:p>
      <w:pPr>
        <w:pStyle w:val="6"/>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23.确定成交供应商</w:t>
      </w:r>
    </w:p>
    <w:p>
      <w:pPr>
        <w:pStyle w:val="12"/>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本项目采用方式一确定成交供应商。</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方式一：采购人将按磋商小组推荐的成交候选供应商顺序确定成交供应商。</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方式二：采购人授权磋商小组根据综合评分排名直接确定成交供应商。</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23.1采购代理机构自评审结束后2个工作日内将磋商报告及有关资料送交采购人确定成交供应商。</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23.2采购人收到磋商报告及有关资料后，将在</w:t>
      </w:r>
      <w:r>
        <w:rPr>
          <w:rFonts w:hint="eastAsia" w:hAnsi="宋体" w:cs="宋体"/>
          <w:sz w:val="24"/>
          <w:szCs w:val="24"/>
          <w:highlight w:val="none"/>
          <w:lang w:val="en-US" w:eastAsia="zh-CN"/>
        </w:rPr>
        <w:t>3</w:t>
      </w:r>
      <w:r>
        <w:rPr>
          <w:rFonts w:hint="eastAsia" w:ascii="宋体" w:hAnsi="宋体" w:eastAsia="宋体" w:cs="宋体"/>
          <w:sz w:val="24"/>
          <w:szCs w:val="24"/>
          <w:highlight w:val="none"/>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23.3采购人确定成交供应商过程中，发现成交候选供应商有下列情形之一的，应当不予确定其为成交供应商：</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（1）发现成交候选供应商存在禁止参加本项目采购活动的违法行为的；</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（2）成交候选供应商因不可抗力，不能继续参加政府采购活动；</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（3）成交候选供应商无偿赠与或者低于成本价竞争；</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（4）成交候选供应商提供虚假材料；</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（5）成交候选供应商恶意串通。</w:t>
      </w:r>
    </w:p>
    <w:p>
      <w:pPr>
        <w:pStyle w:val="12"/>
        <w:pageBreakBefore w:val="0"/>
        <w:kinsoku/>
        <w:wordWrap/>
        <w:overflowPunct/>
        <w:topLinePunct w:val="0"/>
        <w:bidi w:val="0"/>
        <w:spacing w:line="360" w:lineRule="auto"/>
        <w:ind w:firstLine="480"/>
        <w:rPr>
          <w:rFonts w:hint="eastAsia" w:ascii="宋体" w:hAnsi="宋体" w:eastAsia="宋体" w:cs="宋体"/>
          <w:b/>
          <w:bCs/>
          <w:sz w:val="24"/>
          <w:szCs w:val="24"/>
          <w:highlight w:val="none"/>
        </w:rPr>
      </w:pPr>
      <w:r>
        <w:rPr>
          <w:rFonts w:hint="eastAsia" w:ascii="宋体" w:hAnsi="宋体" w:eastAsia="宋体" w:cs="宋体"/>
          <w:sz w:val="24"/>
          <w:szCs w:val="24"/>
          <w:highlight w:val="none"/>
        </w:rPr>
        <w:t>成交候选供应商有本条情形之一的，采购人可以确定后一位成交候选供应商为成交供应商，依次类推。无法确定成交供应商的，应当重新组织采购。</w:t>
      </w:r>
    </w:p>
    <w:p>
      <w:pPr>
        <w:pStyle w:val="12"/>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p>
    <w:p>
      <w:pPr>
        <w:pStyle w:val="12"/>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24.行贿犯罪档案查询</w:t>
      </w:r>
    </w:p>
    <w:p>
      <w:pPr>
        <w:pStyle w:val="12"/>
        <w:pageBreakBefore w:val="0"/>
        <w:kinsoku/>
        <w:wordWrap/>
        <w:overflowPunct/>
        <w:topLinePunct w:val="0"/>
        <w:bidi w:val="0"/>
        <w:spacing w:line="360" w:lineRule="auto"/>
        <w:ind w:firstLine="480"/>
        <w:rPr>
          <w:rFonts w:hint="eastAsia" w:ascii="宋体" w:hAnsi="宋体" w:eastAsia="宋体" w:cs="宋体"/>
          <w:b/>
          <w:bCs/>
          <w:sz w:val="24"/>
          <w:szCs w:val="24"/>
          <w:highlight w:val="none"/>
        </w:rPr>
      </w:pPr>
      <w:r>
        <w:rPr>
          <w:rFonts w:hint="eastAsia" w:ascii="宋体" w:hAnsi="宋体" w:eastAsia="宋体" w:cs="宋体"/>
          <w:sz w:val="24"/>
          <w:szCs w:val="24"/>
          <w:highlight w:val="none"/>
        </w:rPr>
        <w:t>24.1成交候选供应商单位及其现任法定代表人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12"/>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p>
    <w:p>
      <w:pPr>
        <w:pStyle w:val="12"/>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25.成交结果</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25.1采购人确定成交供应商后，将及时书面通知采购代理机构，发出成交通知书并发布成交结果公告。</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25.2成交供应商应当及时领取成交通知书。本项目需要交纳履约保证金的，成交供应商应当及时向采购人交纳。</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25.3成交供应商不能及时领取成交通知书，采购人或者采购代理机应当通过邮寄、快递等方式将项目成交通知书送达成交供应商。</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p>
    <w:p>
      <w:pPr>
        <w:pStyle w:val="12"/>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26.成交通知书</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26.1成交通知书为签订政府采购合同的依据之一，是合同的有效组成部分。</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26.2成交通知书对采购人和成交供应商均具有法律效力。成交通知书发出后，采购人无正当理由改变成交结果，或者成交供应商无正当理由放弃成交的，将承担相应的法律责任。</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七、合同事项</w:t>
      </w:r>
    </w:p>
    <w:p>
      <w:pPr>
        <w:pStyle w:val="6"/>
        <w:pageBreakBefore w:val="0"/>
        <w:kinsoku/>
        <w:wordWrap/>
        <w:overflowPunct/>
        <w:topLinePunct w:val="0"/>
        <w:bidi w:val="0"/>
        <w:spacing w:after="0" w:afterAutospacing="0" w:line="360" w:lineRule="auto"/>
        <w:ind w:firstLine="482"/>
        <w:rPr>
          <w:rFonts w:hint="eastAsia" w:ascii="宋体" w:hAnsi="宋体" w:eastAsia="宋体" w:cs="宋体"/>
          <w:sz w:val="24"/>
          <w:szCs w:val="24"/>
          <w:highlight w:val="none"/>
        </w:rPr>
      </w:pPr>
      <w:bookmarkStart w:id="69" w:name="_Toc430773927"/>
      <w:bookmarkStart w:id="70" w:name="_Toc101250646"/>
      <w:bookmarkStart w:id="71" w:name="_Toc209847069"/>
      <w:bookmarkStart w:id="72" w:name="_Toc101338364"/>
      <w:bookmarkStart w:id="73" w:name="_Toc101174151"/>
      <w:r>
        <w:rPr>
          <w:rFonts w:hint="eastAsia" w:ascii="宋体" w:hAnsi="宋体" w:eastAsia="宋体" w:cs="宋体"/>
          <w:sz w:val="24"/>
          <w:szCs w:val="24"/>
          <w:highlight w:val="none"/>
        </w:rPr>
        <w:t>27.签订合同</w:t>
      </w:r>
      <w:bookmarkEnd w:id="69"/>
      <w:bookmarkEnd w:id="70"/>
      <w:bookmarkEnd w:id="71"/>
      <w:bookmarkEnd w:id="72"/>
      <w:bookmarkEnd w:id="73"/>
    </w:p>
    <w:p>
      <w:pPr>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27.2 磋商文件、成交供应商的响应文件及双方确认的澄清文件等，均为有法律约束力的合同组成部分。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27.4 成交供应商因不可抗力原因不能履行采购合同或放弃成交的，采购人可以与排在成交供应商之后第一位的成交候选人签订采购合同，以此类推。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27.5竞争性磋商文件、成交供应商提交的响应文件、磋商中的最后报价、成交供应商承诺书、成交通知书等均称为有法律约束力的合同组成内容。</w:t>
      </w:r>
    </w:p>
    <w:p>
      <w:pPr>
        <w:pageBreakBefore w:val="0"/>
        <w:numPr>
          <w:ilvl w:val="0"/>
          <w:numId w:val="0"/>
        </w:numPr>
        <w:kinsoku/>
        <w:wordWrap/>
        <w:overflowPunct/>
        <w:topLinePunct w:val="0"/>
        <w:bidi w:val="0"/>
        <w:spacing w:line="360" w:lineRule="auto"/>
        <w:ind w:firstLine="482" w:firstLineChars="200"/>
        <w:rPr>
          <w:rFonts w:hint="eastAsia" w:ascii="宋体" w:hAnsi="宋体" w:cs="宋体"/>
          <w:b/>
          <w:sz w:val="24"/>
          <w:szCs w:val="24"/>
          <w:highlight w:val="none"/>
          <w:lang w:val="en-US" w:eastAsia="zh-CN"/>
        </w:rPr>
      </w:pPr>
    </w:p>
    <w:p>
      <w:pPr>
        <w:pageBreakBefore w:val="0"/>
        <w:numPr>
          <w:ilvl w:val="0"/>
          <w:numId w:val="0"/>
        </w:numPr>
        <w:kinsoku/>
        <w:wordWrap/>
        <w:overflowPunct/>
        <w:topLinePunct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28.</w:t>
      </w:r>
      <w:r>
        <w:rPr>
          <w:rFonts w:hint="eastAsia" w:ascii="宋体" w:hAnsi="宋体" w:eastAsia="宋体" w:cs="宋体"/>
          <w:b/>
          <w:sz w:val="24"/>
          <w:szCs w:val="24"/>
          <w:highlight w:val="none"/>
        </w:rPr>
        <w:t>合同分包（实质性要求）</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允许分包。</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获取政府采购合同后，小型、微型企业不得分包或转包给大型、中型企业，中型企业不得分包或转包给大型企业。</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29.合同转包（实质性要求）</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成交供应商转包的，视同拒绝履行政府采购合同义务，将依法追究法律责任。</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30.补充合同</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31.履约保证金</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本项目无需缴纳履约保证金</w:t>
      </w:r>
      <w:r>
        <w:rPr>
          <w:rFonts w:hint="eastAsia" w:ascii="宋体" w:hAnsi="宋体" w:cs="宋体"/>
          <w:b/>
          <w:sz w:val="24"/>
          <w:szCs w:val="24"/>
          <w:highlight w:val="none"/>
          <w:lang w:eastAsia="zh-CN"/>
        </w:rPr>
        <w:t>）</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32.合同公告</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采购人应当自政府采购合同签订（双方当事人均已签字盖章）之日起2个工作日内，将政府采购合同在四川政府采购网上公告，但政府采购合同中涉及国家秘密、商业秘密的内容除外。</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33.合同备案</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采购人应当将政府采购合同副本自签订（双方当事人均已签字盖章）之日起七个工作日内通过四川政府采购网报同级财政部门备案。</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34.履行合同</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34.1 成交供应商与采购人签订合同后，合同双方应严格执行合同条款，履行合同规定的义务，保证合同的顺利完成。</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34.2 在合同履行过程中，如发生合同纠纷，合同双方应按照合同约定及《中华人民共和国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》的有关规定进行处理。</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35.验收</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35.1本项目采购人将严格按照政府采购相关法律法规以及</w:t>
      </w:r>
      <w:r>
        <w:rPr>
          <w:rFonts w:hint="eastAsia" w:ascii="宋体" w:hAnsi="宋体" w:eastAsia="宋体" w:cs="宋体"/>
          <w:sz w:val="24"/>
          <w:szCs w:val="24"/>
          <w:highlight w:val="none"/>
          <w:lang w:val="en-US" w:eastAsia="zh-CN"/>
        </w:rPr>
        <w:t>《财政部关于进一步加强政府采购需求和履约验收管理的指导意见》(财库〔2016〕205 号)</w:t>
      </w:r>
      <w:r>
        <w:rPr>
          <w:rFonts w:hint="eastAsia" w:ascii="宋体" w:hAnsi="宋体" w:eastAsia="宋体" w:cs="宋体"/>
          <w:sz w:val="24"/>
          <w:szCs w:val="24"/>
          <w:highlight w:val="none"/>
        </w:rPr>
        <w:t>的要求进行验收。</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35.2 验收结果合格的，成交供应商凭验收报告办理相关手续；验收结果不合格的，将不予支付采购资金。</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36.资金支付</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采购人将按照政府采购合同规定，及时向成交供应商支付采购资金。本项目采购资金付款详见第五章规定的付款方式。</w:t>
      </w:r>
    </w:p>
    <w:p>
      <w:pPr>
        <w:pStyle w:val="5"/>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p>
    <w:p>
      <w:pPr>
        <w:pStyle w:val="5"/>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八、磋商纪律要求</w:t>
      </w:r>
    </w:p>
    <w:p>
      <w:pPr>
        <w:pageBreakBefore w:val="0"/>
        <w:tabs>
          <w:tab w:val="left" w:pos="851"/>
        </w:tabs>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37.供应商不得具有的情形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供应商参加本项目磋商不得有下列情形：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（1）提供虚假材料谋取成交；</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（2）采取不正当手段诋毁、排挤其他供应商；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（3）与采购人、采购代理机构、或其他供应商恶意串通；</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（4）向采购人、采购代理机构、磋商小组成员行贿或者提供其他不正当利益；</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（5）在磋商过程中与采购人、采购代理机构进行协商；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（6）成交后无正当理由拒不与采购人签订政府采购合同；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（7）未按照磋商文件确定的事项签订政府采购合同；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（8）将政府采购合同转包或者违规分包；</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（9）提供假冒伪劣产品；</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（10）擅自变更、中止或者终止政府采购合同；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（11）拒绝有关部门的监督检查或者向监督检查部门提供虚假情况；</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（12）法律法规规定的其他情形。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供应商有上述情形的，按照规定追究法律责任，具备（1）-（10）条情形之一的，同时将取消被确认为成交供应商的资格或者认定成交无效。</w:t>
      </w: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b/>
          <w:sz w:val="24"/>
          <w:szCs w:val="24"/>
          <w:highlight w:val="none"/>
        </w:rPr>
      </w:pP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九、询问、质疑和投诉</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38.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和《四川省政府采购投标人投诉处理工作规程》的规定办理（详细规定请在四川政府采购网政策法规模块查询）。</w:t>
      </w: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b/>
          <w:sz w:val="24"/>
          <w:szCs w:val="24"/>
          <w:highlight w:val="none"/>
        </w:rPr>
      </w:pP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十、其  他</w:t>
      </w:r>
    </w:p>
    <w:p>
      <w:pPr>
        <w:pageBreakBefore w:val="0"/>
        <w:tabs>
          <w:tab w:val="left" w:pos="851"/>
        </w:tabs>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ageBreakBefore w:val="0"/>
        <w:kinsoku/>
        <w:wordWrap/>
        <w:overflowPunct/>
        <w:topLinePunct w:val="0"/>
        <w:bidi w:val="0"/>
        <w:spacing w:line="360" w:lineRule="auto"/>
        <w:ind w:firstLine="480"/>
        <w:rPr>
          <w:rFonts w:hint="eastAsia" w:ascii="宋体" w:hAnsi="宋体" w:eastAsia="宋体" w:cs="宋体"/>
          <w:sz w:val="28"/>
          <w:szCs w:val="28"/>
          <w:highlight w:val="none"/>
        </w:rPr>
      </w:pPr>
      <w:r>
        <w:rPr>
          <w:rFonts w:hint="eastAsia" w:ascii="宋体" w:hAnsi="宋体" w:eastAsia="宋体" w:cs="宋体"/>
          <w:sz w:val="24"/>
          <w:szCs w:val="24"/>
          <w:highlight w:val="none"/>
        </w:rPr>
        <w:t>40.</w:t>
      </w:r>
      <w:r>
        <w:rPr>
          <w:rFonts w:hint="eastAsia" w:ascii="宋体" w:hAnsi="宋体" w:eastAsia="宋体" w:cs="宋体"/>
          <w:b/>
          <w:sz w:val="24"/>
          <w:szCs w:val="24"/>
          <w:highlight w:val="none"/>
        </w:rPr>
        <w:t>（实质性要求）</w:t>
      </w:r>
      <w:r>
        <w:rPr>
          <w:rFonts w:hint="eastAsia" w:ascii="宋体" w:hAnsi="宋体" w:eastAsia="宋体" w:cs="宋体"/>
          <w:sz w:val="24"/>
          <w:szCs w:val="24"/>
          <w:highlight w:val="none"/>
        </w:rPr>
        <w:t>国家或行业主管部门对供应商和采购产品的技术标准、质量标准和资格资质条件等有强制性规定的，必须符合其要求。</w:t>
      </w:r>
    </w:p>
    <w:p>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footerReference r:id="rId5" w:type="default"/>
          <w:pgSz w:w="11906" w:h="16838"/>
          <w:pgMar w:top="1440" w:right="1080" w:bottom="1440" w:left="1080" w:header="1247" w:footer="992" w:gutter="0"/>
          <w:pgNumType w:fmt="decimal" w:start="1"/>
          <w:cols w:space="720" w:num="1"/>
          <w:docGrid w:linePitch="326" w:charSpace="0"/>
        </w:sectPr>
      </w:pPr>
    </w:p>
    <w:p>
      <w:pPr>
        <w:pStyle w:val="4"/>
        <w:spacing w:before="0" w:after="0" w:line="240" w:lineRule="auto"/>
        <w:jc w:val="center"/>
        <w:rPr>
          <w:rFonts w:hint="eastAsia" w:ascii="宋体" w:hAnsi="宋体" w:eastAsia="宋体" w:cs="宋体"/>
          <w:color w:val="auto"/>
        </w:rPr>
      </w:pPr>
      <w:r>
        <w:rPr>
          <w:rFonts w:hint="eastAsia" w:ascii="宋体" w:hAnsi="宋体" w:eastAsia="宋体" w:cs="宋体"/>
          <w:color w:val="auto"/>
        </w:rPr>
        <w:t>第三章  供应商和报价产品的资格、资质性及其他类似效力要求</w:t>
      </w:r>
      <w:bookmarkEnd w:id="21"/>
      <w:bookmarkEnd w:id="22"/>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color w:val="auto"/>
          <w:sz w:val="24"/>
          <w:szCs w:val="24"/>
          <w:lang w:val="en-US" w:eastAsia="zh-CN"/>
        </w:rPr>
      </w:pPr>
      <w:bookmarkStart w:id="74" w:name="_Toc509579143"/>
      <w:bookmarkStart w:id="75" w:name="_Toc511289483"/>
      <w:r>
        <w:rPr>
          <w:rFonts w:hint="eastAsia" w:ascii="宋体" w:hAnsi="宋体" w:eastAsia="宋体" w:cs="宋体"/>
          <w:color w:val="auto"/>
          <w:sz w:val="24"/>
          <w:szCs w:val="24"/>
          <w:lang w:val="en-US" w:eastAsia="zh-CN"/>
        </w:rPr>
        <w:t>一、参加磋商的供应商应具备下列资格条件：</w:t>
      </w:r>
    </w:p>
    <w:p>
      <w:pPr>
        <w:pageBreakBefore w:val="0"/>
        <w:kinsoku/>
        <w:wordWrap/>
        <w:overflowPunct/>
        <w:topLinePunct w:val="0"/>
        <w:bidi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（一）《中华人民共和国政府采购法》第二十二条第一款第1项至第6项规定的条件：</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7.本项目不接受联合体投标；</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8.投标供应商单位及其现任法定代表人、主要负责人不得具有行贿犯罪记录；</w:t>
      </w:r>
    </w:p>
    <w:p>
      <w:pPr>
        <w:keepNext w:val="0"/>
        <w:keepLines w:val="0"/>
        <w:pageBreakBefore w:val="0"/>
        <w:kinsoku/>
        <w:wordWrap/>
        <w:overflowPunct/>
        <w:topLinePunct w:val="0"/>
        <w:autoSpaceDE/>
        <w:autoSpaceDN/>
        <w:bidi w:val="0"/>
        <w:adjustRightInd/>
        <w:snapToGrid/>
        <w:spacing w:after="120" w:line="360" w:lineRule="auto"/>
        <w:ind w:firstLine="480" w:firstLineChars="200"/>
        <w:rPr>
          <w:rFonts w:hint="eastAsia" w:ascii="宋体" w:hAnsi="宋体" w:eastAsia="宋体" w:cs="宋体"/>
          <w:sz w:val="24"/>
          <w:szCs w:val="24"/>
        </w:rPr>
      </w:pPr>
      <w:r>
        <w:rPr>
          <w:rFonts w:hint="eastAsia" w:hAnsi="宋体" w:cs="宋体"/>
          <w:sz w:val="24"/>
          <w:szCs w:val="24"/>
          <w:lang w:val="en-US" w:eastAsia="zh-CN"/>
        </w:rPr>
        <w:t>9</w:t>
      </w:r>
      <w:r>
        <w:rPr>
          <w:rFonts w:hint="eastAsia" w:ascii="宋体" w:hAnsi="宋体" w:eastAsia="宋体" w:cs="宋体"/>
          <w:sz w:val="24"/>
          <w:szCs w:val="24"/>
        </w:rPr>
        <w:t>.按照本项目竞争性磋商文件要求购买了竞争性磋商文件；</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（二）其他类似效力要求：</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授权参加本次采购活动的供应商代表证明材料。</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二、报价产品的资格、资质性及其他类似效力要求：无。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420" w:lineRule="exact"/>
        <w:ind w:firstLine="540" w:firstLineChars="225"/>
        <w:jc w:val="center"/>
        <w:rPr>
          <w:rFonts w:hint="eastAsia" w:ascii="宋体" w:hAnsi="宋体" w:eastAsia="宋体" w:cs="宋体"/>
        </w:rPr>
      </w:pPr>
      <w:r>
        <w:rPr>
          <w:rFonts w:hint="eastAsia" w:ascii="宋体" w:hAnsi="宋体" w:eastAsia="宋体" w:cs="宋体"/>
          <w:kern w:val="2"/>
          <w:sz w:val="24"/>
          <w:szCs w:val="24"/>
        </w:rPr>
        <w:br w:type="page"/>
      </w:r>
      <w:r>
        <w:rPr>
          <w:rFonts w:hint="eastAsia" w:ascii="宋体" w:hAnsi="宋体" w:eastAsia="宋体" w:cs="宋体"/>
          <w:sz w:val="24"/>
          <w:szCs w:val="22"/>
        </w:rPr>
        <w:t xml:space="preserve"> </w:t>
      </w:r>
      <w:r>
        <w:rPr>
          <w:rFonts w:hint="eastAsia" w:ascii="宋体" w:hAnsi="宋体" w:eastAsia="宋体" w:cs="宋体"/>
          <w:b/>
          <w:bCs/>
          <w:sz w:val="24"/>
          <w:szCs w:val="22"/>
        </w:rPr>
        <w:t xml:space="preserve"> </w:t>
      </w:r>
      <w:r>
        <w:rPr>
          <w:rFonts w:hint="eastAsia" w:ascii="宋体" w:hAnsi="宋体" w:eastAsia="宋体" w:cs="宋体"/>
          <w:b/>
          <w:bCs/>
        </w:rPr>
        <w:t>第四章  供应商应当提供的资格、资质性及其他类似效力要求的相关证明材料</w:t>
      </w:r>
      <w:bookmarkEnd w:id="74"/>
      <w:bookmarkEnd w:id="7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一、应当提供的供应商资格、资质性及其他类似效力要求的相关证明材料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（一）资格要求相关证明材料：</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2、具备良好商业信誉的证明材料（可提供承诺函，详见第七章：格式1-3）；</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健全的财务会计制度的证明材料。｛注：①可提供2019或2020年度经审计的财务报告复印件（包含审计报告和审计报告中所涉及的财务报表和报表附注），②也可提供2019或2020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4、具有</w:t>
      </w:r>
      <w:r>
        <w:rPr>
          <w:rFonts w:hint="eastAsia" w:ascii="宋体" w:hAnsi="宋体" w:eastAsia="宋体" w:cs="宋体"/>
          <w:sz w:val="24"/>
          <w:szCs w:val="24"/>
          <w:highlight w:val="none"/>
          <w:lang w:val="en-US" w:eastAsia="zh-CN"/>
        </w:rPr>
        <w:t>依法缴纳税收和社会保障资金的良好记录的证明材料</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（1）①可提供2021年至</w:t>
      </w:r>
      <w:r>
        <w:rPr>
          <w:rFonts w:hint="eastAsia" w:ascii="宋体" w:hAnsi="宋体" w:eastAsia="宋体" w:cs="宋体"/>
          <w:sz w:val="24"/>
          <w:szCs w:val="24"/>
          <w:lang w:val="en-US" w:eastAsia="zh-CN"/>
        </w:rPr>
        <w:t>今任意一个月的纳税证明材料和社保缴纳证明材料②也可提供承诺函，详见第七章：格式1-3。</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（2）依法免税和不需要缴纳社会保障资金的供应商，应提供相应文件证明。</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5、具备履行合同所必需的设备和专业技术能力的证明材料（可提供承诺函，详见第七章：格式1-3）</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6、参加政府采购活动前3年内在经营活动中没有重大违法记录的承诺函（（可提供承诺函，详见第七章：格式1-3）</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7、具备法律、行政法规规定的其他条件的证明材料（可提供承诺函，详见第七章：格式1-3）；</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8、根据采购项目提出的特殊条件：</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8.1投标人单位及其现任法定代表人、主要负责人不得具有行贿犯罪记录承诺函（原件）。</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hAnsi="宋体" w:cs="宋体"/>
          <w:sz w:val="24"/>
          <w:szCs w:val="24"/>
          <w:lang w:val="en-US" w:eastAsia="zh-CN"/>
        </w:rPr>
        <w:t>2</w:t>
      </w:r>
      <w:r>
        <w:rPr>
          <w:rFonts w:hint="eastAsia" w:ascii="宋体" w:hAnsi="宋体" w:eastAsia="宋体" w:cs="宋体"/>
          <w:sz w:val="24"/>
          <w:szCs w:val="24"/>
          <w:lang w:val="en-US" w:eastAsia="zh-CN"/>
        </w:rPr>
        <w:t>按照本项目竞争性磋商文件要求购买了竞争性磋商文件。（供应商不需要对本条提供证明材料，由采购代理机构提供供应商购买竞争性磋商文件情况的材料）</w:t>
      </w:r>
    </w:p>
    <w:p>
      <w:pPr>
        <w:keepNext w:val="0"/>
        <w:keepLines w:val="0"/>
        <w:pageBreakBefore w:val="0"/>
        <w:widowControl w:val="0"/>
        <w:kinsoku/>
        <w:wordWrap/>
        <w:overflowPunct/>
        <w:topLinePunct w:val="0"/>
        <w:autoSpaceDE/>
        <w:autoSpaceDN/>
        <w:bidi w:val="0"/>
        <w:adjustRightInd/>
        <w:snapToGrid/>
        <w:spacing w:after="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（二）其他类似效力要求相关证明材料：</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b/>
          <w:bCs/>
        </w:rPr>
      </w:pPr>
      <w:bookmarkStart w:id="76" w:name="_Toc509579144"/>
      <w:bookmarkStart w:id="77" w:name="_Toc511289484"/>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）法定代表人/单位负责人授权代理书原件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法定代表人/单位负责人</w:t>
      </w:r>
      <w:r>
        <w:rPr>
          <w:rFonts w:hint="eastAsia" w:ascii="宋体" w:hAnsi="宋体" w:eastAsia="宋体" w:cs="宋体"/>
          <w:sz w:val="24"/>
          <w:szCs w:val="24"/>
          <w:highlight w:val="none"/>
        </w:rPr>
        <w:t>身份证明材料复印件</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代理人身份证明材料复印件</w:t>
      </w:r>
      <w:r>
        <w:rPr>
          <w:rFonts w:hint="eastAsia" w:ascii="宋体" w:hAnsi="宋体" w:eastAsia="宋体" w:cs="宋体"/>
          <w:b/>
          <w:bCs/>
        </w:rPr>
        <w:t>（</w:t>
      </w:r>
      <w:r>
        <w:rPr>
          <w:rFonts w:hint="eastAsia" w:ascii="宋体" w:hAnsi="宋体" w:eastAsia="宋体" w:cs="宋体"/>
          <w:b/>
          <w:bCs/>
          <w:sz w:val="24"/>
          <w:szCs w:val="24"/>
          <w:highlight w:val="none"/>
          <w:lang w:val="en-US" w:eastAsia="zh-CN"/>
        </w:rPr>
        <w:t>如为法定代表人/单位负责人或自然人直接参与磋商时提供身份证明材料复印件即可</w:t>
      </w:r>
      <w:r>
        <w:rPr>
          <w:rFonts w:hint="eastAsia" w:ascii="宋体" w:hAnsi="宋体" w:eastAsia="宋体" w:cs="宋体"/>
          <w:b/>
          <w:bCs/>
        </w:rPr>
        <w:t>）。</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二、供应商应提供的报价产品的资格、资质性及其他类似效力要求的相关证明材料：无。</w:t>
      </w:r>
    </w:p>
    <w:p>
      <w:pPr>
        <w:keepNext w:val="0"/>
        <w:keepLines w:val="0"/>
        <w:pageBreakBefore w:val="0"/>
        <w:widowControl w:val="0"/>
        <w:kinsoku/>
        <w:wordWrap/>
        <w:overflowPunct/>
        <w:topLinePunct w:val="0"/>
        <w:autoSpaceDE/>
        <w:autoSpaceDN/>
        <w:bidi w:val="0"/>
        <w:adjustRightInd/>
        <w:snapToGrid/>
        <w:spacing w:after="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本章要求提供的相关证明材料应当与第三章的规定要求对应，除投标人自愿以外，不能要求投标人提供额外的证明材料。如果要求提供额外的证明材料，投标人有权不予提供，且不影响磋商文件的有效性和完整性。</w:t>
      </w:r>
    </w:p>
    <w:p>
      <w:pPr>
        <w:keepNext w:val="0"/>
        <w:keepLines w:val="0"/>
        <w:pageBreakBefore w:val="0"/>
        <w:widowControl w:val="0"/>
        <w:kinsoku/>
        <w:wordWrap/>
        <w:overflowPunct/>
        <w:topLinePunct w:val="0"/>
        <w:autoSpaceDE/>
        <w:autoSpaceDN/>
        <w:bidi w:val="0"/>
        <w:adjustRightInd/>
        <w:snapToGrid/>
        <w:spacing w:after="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2.本章要求提供的相关证明材料应当结合采购项目具体情况和投标人的组织机构性质确定，不得一概而论。</w:t>
      </w:r>
    </w:p>
    <w:p>
      <w:pPr>
        <w:keepNext w:val="0"/>
        <w:keepLines w:val="0"/>
        <w:pageBreakBefore w:val="0"/>
        <w:widowControl w:val="0"/>
        <w:kinsoku/>
        <w:wordWrap/>
        <w:overflowPunct/>
        <w:topLinePunct w:val="0"/>
        <w:autoSpaceDE/>
        <w:autoSpaceDN/>
        <w:bidi w:val="0"/>
        <w:adjustRightInd/>
        <w:snapToGrid/>
        <w:spacing w:after="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3.本章要求可提供承诺函（详见第七章：格式1-3）的，可只提供一份涵盖所有内容的书面承诺函原件，不需多份提供。</w:t>
      </w:r>
    </w:p>
    <w:p>
      <w:pPr>
        <w:keepNext w:val="0"/>
        <w:keepLines w:val="0"/>
        <w:pageBreakBefore w:val="0"/>
        <w:widowControl w:val="0"/>
        <w:kinsoku/>
        <w:wordWrap/>
        <w:overflowPunct/>
        <w:topLinePunct w:val="0"/>
        <w:autoSpaceDE/>
        <w:autoSpaceDN/>
        <w:bidi w:val="0"/>
        <w:adjustRightInd/>
        <w:snapToGrid/>
        <w:spacing w:after="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4.以上要求的资料复印件均须加盖供应商单位的公章（鲜章）。</w:t>
      </w:r>
    </w:p>
    <w:p>
      <w:pPr>
        <w:pStyle w:val="4"/>
        <w:spacing w:before="0" w:after="0" w:line="240" w:lineRule="auto"/>
        <w:jc w:val="cente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jc w:val="cente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sz w:val="24"/>
          <w:szCs w:val="24"/>
        </w:rPr>
      </w:pPr>
      <w:r>
        <w:rPr>
          <w:rFonts w:hint="eastAsia" w:ascii="宋体" w:hAnsi="宋体" w:eastAsia="宋体" w:cs="宋体"/>
        </w:rPr>
        <w:t>第五章  采购项目技术服务、及其他商务要求</w:t>
      </w:r>
      <w:bookmarkEnd w:id="76"/>
      <w:bookmarkEnd w:id="77"/>
    </w:p>
    <w:bookmarkEnd w:id="23"/>
    <w:bookmarkEnd w:id="24"/>
    <w:bookmarkEnd w:id="25"/>
    <w:bookmarkEnd w:id="26"/>
    <w:bookmarkEnd w:id="27"/>
    <w:p>
      <w:pPr>
        <w:keepNext w:val="0"/>
        <w:keepLines w:val="0"/>
        <w:pageBreakBefore w:val="0"/>
        <w:kinsoku/>
        <w:wordWrap/>
        <w:overflowPunct/>
        <w:topLinePunct w:val="0"/>
        <w:autoSpaceDE/>
        <w:autoSpaceDN w:val="0"/>
        <w:bidi w:val="0"/>
        <w:adjustRightInd/>
        <w:snapToGrid/>
        <w:spacing w:after="75" w:line="460" w:lineRule="exact"/>
        <w:ind w:firstLine="482" w:firstLineChars="200"/>
        <w:jc w:val="left"/>
        <w:textAlignment w:val="auto"/>
        <w:rPr>
          <w:rFonts w:hint="eastAsia" w:ascii="宋体" w:hAnsi="宋体" w:eastAsia="宋体" w:cs="宋体"/>
          <w:b/>
          <w:bCs w:val="0"/>
          <w:sz w:val="24"/>
          <w:highlight w:val="none"/>
          <w:lang w:val="en-US" w:eastAsia="zh-CN"/>
        </w:rPr>
      </w:pPr>
      <w:bookmarkStart w:id="78" w:name="_Toc509579145"/>
      <w:bookmarkStart w:id="79" w:name="_Toc511289485"/>
      <w:bookmarkStart w:id="80" w:name="_Toc217446057"/>
      <w:bookmarkStart w:id="81" w:name="_Toc183582232"/>
      <w:bookmarkStart w:id="82" w:name="_Toc183682369"/>
      <w:r>
        <w:rPr>
          <w:rFonts w:hint="eastAsia" w:ascii="宋体" w:hAnsi="宋体" w:eastAsia="宋体" w:cs="宋体"/>
          <w:b/>
          <w:bCs w:val="0"/>
          <w:sz w:val="24"/>
          <w:highlight w:val="none"/>
          <w:lang w:val="en-US" w:eastAsia="zh-CN"/>
        </w:rPr>
        <w:t>一、项目概述</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lang w:val="en-US" w:eastAsia="zh-CN"/>
        </w:rPr>
      </w:pPr>
      <w:bookmarkStart w:id="83" w:name="_Hlk45808099"/>
      <w:bookmarkStart w:id="84" w:name="_Hlk45803487"/>
      <w:r>
        <w:rPr>
          <w:rFonts w:hint="eastAsia" w:ascii="宋体" w:hAnsi="宋体" w:eastAsia="宋体" w:cs="宋体"/>
          <w:color w:val="auto"/>
          <w:sz w:val="24"/>
          <w:lang w:val="en-US" w:eastAsia="zh-CN"/>
        </w:rPr>
        <w:t>成都市妇女儿童中心医院机房升级维保服务及软件维保服务采购项目</w:t>
      </w:r>
    </w:p>
    <w:p>
      <w:pPr>
        <w:rPr>
          <w:rFonts w:hint="eastAsia" w:ascii="宋体" w:hAnsi="宋体" w:eastAsia="宋体" w:cs="宋体"/>
          <w:color w:val="000000"/>
          <w:sz w:val="24"/>
          <w:szCs w:val="24"/>
        </w:rPr>
      </w:pPr>
    </w:p>
    <w:bookmarkEnd w:id="28"/>
    <w:bookmarkEnd w:id="78"/>
    <w:bookmarkEnd w:id="79"/>
    <w:bookmarkEnd w:id="83"/>
    <w:bookmarkEnd w:id="84"/>
    <w:p>
      <w:pPr>
        <w:spacing w:line="360" w:lineRule="auto"/>
        <w:rPr>
          <w:rFonts w:hint="eastAsia" w:ascii="宋体" w:hAnsi="宋体" w:eastAsia="宋体" w:cs="宋体"/>
          <w:sz w:val="24"/>
          <w:szCs w:val="24"/>
          <w:lang w:val="en-US" w:eastAsia="zh-CN"/>
        </w:rPr>
      </w:pPr>
      <w:bookmarkStart w:id="85" w:name="_Toc101338358"/>
      <w:bookmarkStart w:id="86" w:name="_Toc101174146"/>
      <w:bookmarkStart w:id="87" w:name="_Toc209847065"/>
      <w:bookmarkStart w:id="88" w:name="_Toc101250640"/>
      <w:bookmarkStart w:id="89" w:name="_Toc430773924"/>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技术</w:t>
      </w:r>
      <w:r>
        <w:rPr>
          <w:rFonts w:hint="eastAsia" w:hAnsi="宋体" w:cs="宋体"/>
          <w:b/>
          <w:bCs/>
          <w:sz w:val="24"/>
          <w:szCs w:val="24"/>
          <w:lang w:val="en-US" w:eastAsia="zh-CN"/>
        </w:rPr>
        <w:t>服务</w:t>
      </w:r>
      <w:r>
        <w:rPr>
          <w:rFonts w:hint="eastAsia" w:ascii="宋体" w:hAnsi="宋体" w:eastAsia="宋体" w:cs="宋体"/>
          <w:b/>
          <w:bCs/>
          <w:sz w:val="24"/>
          <w:szCs w:val="24"/>
          <w:lang w:val="en-US" w:eastAsia="zh-CN"/>
        </w:rPr>
        <w:t>要求</w:t>
      </w:r>
    </w:p>
    <w:p>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sz w:val="24"/>
          <w:szCs w:val="24"/>
          <w:highlight w:val="none"/>
        </w:rPr>
        <w:t xml:space="preserve">1.1 </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eastAsia="zh-CN"/>
        </w:rPr>
        <w:t>设备</w:t>
      </w:r>
      <w:r>
        <w:rPr>
          <w:rFonts w:hint="eastAsia" w:ascii="宋体" w:hAnsi="宋体" w:eastAsia="宋体" w:cs="宋体"/>
          <w:b/>
          <w:bCs/>
          <w:sz w:val="24"/>
          <w:szCs w:val="24"/>
          <w:highlight w:val="none"/>
        </w:rPr>
        <w:t>维护工作的范围、内容：</w:t>
      </w:r>
    </w:p>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本次维保</w:t>
      </w:r>
      <w:r>
        <w:rPr>
          <w:rFonts w:hint="eastAsia" w:ascii="宋体" w:hAnsi="宋体" w:eastAsia="宋体" w:cs="宋体"/>
          <w:sz w:val="24"/>
          <w:szCs w:val="24"/>
          <w:highlight w:val="none"/>
          <w:lang w:eastAsia="zh-CN"/>
        </w:rPr>
        <w:t>项目包括</w:t>
      </w:r>
      <w:r>
        <w:rPr>
          <w:rFonts w:hint="eastAsia" w:ascii="宋体" w:hAnsi="宋体" w:eastAsia="宋体" w:cs="宋体"/>
          <w:sz w:val="24"/>
          <w:szCs w:val="24"/>
          <w:highlight w:val="none"/>
        </w:rPr>
        <w:t>成都市妇女儿童中心医院</w:t>
      </w:r>
      <w:r>
        <w:rPr>
          <w:rFonts w:hint="eastAsia" w:ascii="宋体" w:hAnsi="宋体" w:eastAsia="宋体" w:cs="宋体"/>
          <w:sz w:val="24"/>
          <w:szCs w:val="24"/>
          <w:highlight w:val="none"/>
          <w:lang w:eastAsia="zh-CN"/>
        </w:rPr>
        <w:t>（所有院区）所有系统的正常运行使用所需的设备及服务。</w:t>
      </w:r>
      <w:r>
        <w:rPr>
          <w:rFonts w:hint="eastAsia" w:ascii="宋体" w:hAnsi="宋体" w:eastAsia="宋体" w:cs="宋体"/>
          <w:sz w:val="24"/>
          <w:szCs w:val="24"/>
          <w:highlight w:val="none"/>
        </w:rPr>
        <w:t>设备包含使用的服务器、存储和网络设备以及机房UPS供电和精密空调设备</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。设备品牌主要设备是华为的</w:t>
      </w:r>
      <w:r>
        <w:rPr>
          <w:rFonts w:hint="eastAsia" w:ascii="宋体" w:hAnsi="宋体" w:eastAsia="宋体" w:cs="宋体"/>
          <w:sz w:val="24"/>
          <w:szCs w:val="24"/>
          <w:highlight w:val="none"/>
          <w:lang w:eastAsia="zh-CN"/>
        </w:rPr>
        <w:t>交换、</w:t>
      </w:r>
      <w:r>
        <w:rPr>
          <w:rFonts w:hint="eastAsia" w:ascii="宋体" w:hAnsi="宋体" w:eastAsia="宋体" w:cs="宋体"/>
          <w:sz w:val="24"/>
          <w:szCs w:val="24"/>
          <w:highlight w:val="none"/>
        </w:rPr>
        <w:t>路由、SAN交换机和语音设备；其他品牌包括部分华为、锐捷、IBM、HP、NetAPP、EMC、APC及联软准入管理</w:t>
      </w:r>
      <w:r>
        <w:rPr>
          <w:rFonts w:hint="eastAsia" w:ascii="宋体" w:hAnsi="宋体" w:eastAsia="宋体" w:cs="宋体"/>
          <w:sz w:val="24"/>
          <w:szCs w:val="24"/>
          <w:highlight w:val="none"/>
          <w:lang w:eastAsia="zh-CN"/>
        </w:rPr>
        <w:t>、数据及网络安全等系统。</w:t>
      </w:r>
      <w:r>
        <w:rPr>
          <w:rFonts w:hint="eastAsia" w:ascii="宋体" w:hAnsi="宋体" w:eastAsia="宋体" w:cs="宋体"/>
          <w:sz w:val="24"/>
          <w:szCs w:val="24"/>
          <w:highlight w:val="none"/>
        </w:rPr>
        <w:t>为降低运行风险，继续得到原有厂商的硬件、软件服务，需要提供</w:t>
      </w:r>
      <w:r>
        <w:rPr>
          <w:rFonts w:hint="eastAsia" w:ascii="宋体" w:hAnsi="宋体" w:eastAsia="宋体" w:cs="宋体"/>
          <w:sz w:val="24"/>
          <w:szCs w:val="24"/>
          <w:highlight w:val="none"/>
          <w:lang w:eastAsia="zh-CN"/>
        </w:rPr>
        <w:t>原厂</w:t>
      </w:r>
      <w:r>
        <w:rPr>
          <w:rFonts w:hint="eastAsia" w:ascii="宋体" w:hAnsi="宋体" w:eastAsia="宋体" w:cs="宋体"/>
          <w:sz w:val="24"/>
          <w:szCs w:val="24"/>
          <w:highlight w:val="none"/>
        </w:rPr>
        <w:t>服务，所有维保设备均包含配套及附件、服务器及存储硬盘，主要设备清单如下（未列入设备以机房现有设备为准）：</w:t>
      </w:r>
    </w:p>
    <w:p>
      <w:pPr>
        <w:spacing w:line="360" w:lineRule="auto"/>
        <w:ind w:firstLine="555"/>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维保主要设备清单及服务范围</w:t>
      </w:r>
    </w:p>
    <w:tbl>
      <w:tblPr>
        <w:tblStyle w:val="24"/>
        <w:tblW w:w="0" w:type="auto"/>
        <w:tblInd w:w="113" w:type="dxa"/>
        <w:tblLayout w:type="fixed"/>
        <w:tblCellMar>
          <w:top w:w="0" w:type="dxa"/>
          <w:left w:w="108" w:type="dxa"/>
          <w:bottom w:w="0" w:type="dxa"/>
          <w:right w:w="108" w:type="dxa"/>
        </w:tblCellMar>
      </w:tblPr>
      <w:tblGrid>
        <w:gridCol w:w="1924"/>
        <w:gridCol w:w="1312"/>
        <w:gridCol w:w="1491"/>
        <w:gridCol w:w="151"/>
        <w:gridCol w:w="1057"/>
        <w:gridCol w:w="1218"/>
        <w:gridCol w:w="1907"/>
      </w:tblGrid>
      <w:tr>
        <w:tblPrEx>
          <w:tblCellMar>
            <w:top w:w="0" w:type="dxa"/>
            <w:left w:w="108" w:type="dxa"/>
            <w:bottom w:w="0" w:type="dxa"/>
            <w:right w:w="108" w:type="dxa"/>
          </w:tblCellMar>
        </w:tblPrEx>
        <w:trPr>
          <w:trHeight w:val="567" w:hRule="atLeast"/>
        </w:trPr>
        <w:tc>
          <w:tcPr>
            <w:tcW w:w="19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设备类型</w:t>
            </w:r>
          </w:p>
        </w:tc>
        <w:tc>
          <w:tcPr>
            <w:tcW w:w="1312"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品牌</w:t>
            </w:r>
          </w:p>
        </w:tc>
        <w:tc>
          <w:tcPr>
            <w:tcW w:w="1491"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型号</w:t>
            </w:r>
          </w:p>
        </w:tc>
        <w:tc>
          <w:tcPr>
            <w:tcW w:w="1208"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设备数量</w:t>
            </w:r>
          </w:p>
        </w:tc>
        <w:tc>
          <w:tcPr>
            <w:tcW w:w="12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建设时间</w:t>
            </w:r>
          </w:p>
        </w:tc>
        <w:tc>
          <w:tcPr>
            <w:tcW w:w="1907"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维保范围</w:t>
            </w:r>
          </w:p>
        </w:tc>
      </w:tr>
      <w:tr>
        <w:tblPrEx>
          <w:tblCellMar>
            <w:top w:w="0" w:type="dxa"/>
            <w:left w:w="108" w:type="dxa"/>
            <w:bottom w:w="0" w:type="dxa"/>
            <w:right w:w="108" w:type="dxa"/>
          </w:tblCellMar>
        </w:tblPrEx>
        <w:trPr>
          <w:trHeight w:val="567" w:hRule="atLeast"/>
        </w:trPr>
        <w:tc>
          <w:tcPr>
            <w:tcW w:w="5935" w:type="dxa"/>
            <w:gridSpan w:val="5"/>
            <w:tcBorders>
              <w:top w:val="single" w:color="auto" w:sz="4" w:space="0"/>
              <w:left w:val="single" w:color="auto" w:sz="4" w:space="0"/>
              <w:bottom w:val="single" w:color="auto" w:sz="4" w:space="0"/>
              <w:right w:val="single" w:color="000000"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一、存储及服务器</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190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存储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EMC</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unity400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restart"/>
            <w:tcBorders>
              <w:top w:val="nil"/>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日常运维，巡检；在保设备由</w:t>
            </w:r>
            <w:r>
              <w:rPr>
                <w:rFonts w:hint="eastAsia" w:hAnsi="宋体" w:cs="宋体"/>
                <w:kern w:val="0"/>
                <w:sz w:val="24"/>
                <w:szCs w:val="24"/>
                <w:highlight w:val="none"/>
                <w:lang w:val="en-US" w:eastAsia="zh-CN"/>
              </w:rPr>
              <w:t>成交供应商</w:t>
            </w:r>
            <w:r>
              <w:rPr>
                <w:rFonts w:hint="eastAsia" w:ascii="宋体" w:hAnsi="宋体" w:eastAsia="宋体" w:cs="宋体"/>
                <w:kern w:val="0"/>
                <w:sz w:val="24"/>
                <w:szCs w:val="24"/>
                <w:highlight w:val="none"/>
              </w:rPr>
              <w:t>公司联系厂商维保，过保设备提供整机NBD维保（含硬盘及电源更换）</w:t>
            </w: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存储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EMC</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VNX5600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2018</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盘柜</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IBM</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V7000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2017</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盘柜</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IBM</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V7000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2017</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存储控制器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IBM</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V7000 Unified</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2017</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存储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Net APP</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FAS2040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2010</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盘柜</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Net APP</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DS4243</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2010</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HP</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DL 388 G9</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联想</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3850X6</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DELL</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R930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2017</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HP</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DL380 G6</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DELL</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R430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LENOVO</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RS260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IBM</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3650 M5</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2010</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HP</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DL160 G6</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2010</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HP</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DL 580 G9</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DELL</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R420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DELL</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R730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DELL</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R310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DELL</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R430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CISCO</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MCS 7800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2010</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HP</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DL388 G8</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HP</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DL388 G9</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IBM</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X3850 X5</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2013</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DELL</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R730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2019</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联想</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X3650 M5</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联想</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SR550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2017</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Huawei</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RH2288 V3</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2017</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DELL</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Dell 刀片服务器</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2015</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DELL</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R940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2019</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光交</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CISCO</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DS-C9148S-K9</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2018</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存储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Net APP</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8200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2019</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光交</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博科</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6510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2019</w:t>
            </w:r>
          </w:p>
        </w:tc>
        <w:tc>
          <w:tcPr>
            <w:tcW w:w="1907" w:type="dxa"/>
            <w:vMerge w:val="continue"/>
            <w:tcBorders>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7153" w:type="dxa"/>
            <w:gridSpan w:val="6"/>
            <w:tcBorders>
              <w:top w:val="single" w:color="auto" w:sz="4" w:space="0"/>
              <w:left w:val="single" w:color="auto" w:sz="4" w:space="0"/>
              <w:bottom w:val="single" w:color="auto" w:sz="4" w:space="0"/>
              <w:right w:val="nil"/>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二、网络设备及语音系统维保设备清单</w:t>
            </w:r>
          </w:p>
        </w:tc>
        <w:tc>
          <w:tcPr>
            <w:tcW w:w="190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上网行为管理</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SANGFOR</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AC-3300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restart"/>
            <w:tcBorders>
              <w:top w:val="nil"/>
              <w:left w:val="nil"/>
              <w:right w:val="single" w:color="auto" w:sz="4" w:space="0"/>
            </w:tcBorders>
            <w:noWrap w:val="0"/>
            <w:vAlign w:val="center"/>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日常运维，巡检；在保设备由</w:t>
            </w:r>
            <w:r>
              <w:rPr>
                <w:rFonts w:hint="eastAsia" w:hAnsi="宋体" w:cs="宋体"/>
                <w:kern w:val="0"/>
                <w:sz w:val="24"/>
                <w:szCs w:val="24"/>
                <w:highlight w:val="none"/>
                <w:lang w:val="en-US" w:eastAsia="zh-CN"/>
              </w:rPr>
              <w:t>成交供应商</w:t>
            </w:r>
            <w:r>
              <w:rPr>
                <w:rFonts w:hint="eastAsia" w:ascii="宋体" w:hAnsi="宋体" w:eastAsia="宋体" w:cs="宋体"/>
                <w:kern w:val="0"/>
                <w:sz w:val="24"/>
                <w:szCs w:val="24"/>
                <w:highlight w:val="none"/>
              </w:rPr>
              <w:t>公司联系厂商维保，过保设备提供整机NBD维保（含硬盘及电源更换）</w:t>
            </w: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防火墙</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SANGFOR</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AF-1000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2019</w:t>
            </w:r>
          </w:p>
        </w:tc>
        <w:tc>
          <w:tcPr>
            <w:tcW w:w="1907" w:type="dxa"/>
            <w:vMerge w:val="continue"/>
            <w:tcBorders>
              <w:left w:val="nil"/>
              <w:right w:val="single" w:color="auto" w:sz="4" w:space="0"/>
            </w:tcBorders>
            <w:noWrap w:val="0"/>
            <w:vAlign w:val="center"/>
          </w:tcPr>
          <w:p>
            <w:pPr>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防火墙</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H3C</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F1020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网络准入</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联软</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LV-7500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核心交换机</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HUAWEI</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S7712（含板卡）</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2018</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数据中心交换机</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HUAWEI</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CE6810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2019</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数据中心交换机</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HUAWEI</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CE6720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2019</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语音网关路由器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CISCO</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3800 Series</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2010</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IP电话语音网关</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CISCO</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MCS 7800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2010</w:t>
            </w:r>
          </w:p>
        </w:tc>
        <w:tc>
          <w:tcPr>
            <w:tcW w:w="1907" w:type="dxa"/>
            <w:vMerge w:val="continue"/>
            <w:tcBorders>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IP</w:t>
            </w:r>
            <w:r>
              <w:rPr>
                <w:rFonts w:hint="eastAsia" w:ascii="宋体" w:hAnsi="宋体" w:eastAsia="宋体" w:cs="宋体"/>
                <w:color w:val="000000"/>
                <w:kern w:val="0"/>
                <w:sz w:val="24"/>
                <w:szCs w:val="24"/>
                <w:highlight w:val="none"/>
                <w:lang w:eastAsia="zh-CN"/>
              </w:rPr>
              <w:t>语音系统</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星纵</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Yeastar S1000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2021</w:t>
            </w:r>
          </w:p>
        </w:tc>
        <w:tc>
          <w:tcPr>
            <w:tcW w:w="1907" w:type="dxa"/>
            <w:tcBorders>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接入</w:t>
            </w:r>
            <w:r>
              <w:rPr>
                <w:rFonts w:hint="eastAsia" w:ascii="宋体" w:hAnsi="宋体" w:eastAsia="宋体" w:cs="宋体"/>
                <w:color w:val="000000"/>
                <w:kern w:val="0"/>
                <w:sz w:val="24"/>
                <w:szCs w:val="24"/>
                <w:highlight w:val="none"/>
              </w:rPr>
              <w:t>交换机</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HUAWEI</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5720-28X</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restart"/>
            <w:tcBorders>
              <w:top w:val="nil"/>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日常运维，巡检、除尘、故障维修</w:t>
            </w: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楼层</w:t>
            </w:r>
            <w:r>
              <w:rPr>
                <w:rFonts w:hint="eastAsia" w:ascii="宋体" w:hAnsi="宋体" w:eastAsia="宋体" w:cs="宋体"/>
                <w:color w:val="000000"/>
                <w:kern w:val="0"/>
                <w:sz w:val="24"/>
                <w:szCs w:val="24"/>
                <w:highlight w:val="none"/>
                <w:lang w:eastAsia="zh-CN"/>
              </w:rPr>
              <w:t>接</w:t>
            </w:r>
            <w:r>
              <w:rPr>
                <w:rFonts w:hint="eastAsia" w:ascii="宋体" w:hAnsi="宋体" w:eastAsia="宋体" w:cs="宋体"/>
                <w:color w:val="000000"/>
                <w:kern w:val="0"/>
                <w:sz w:val="24"/>
                <w:szCs w:val="24"/>
                <w:highlight w:val="none"/>
              </w:rPr>
              <w:t>入交换机</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HUAWEI</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S5720-52P</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2018</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出口网关</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RUIJIE</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EG2000XE</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无线控制器</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RUIJIE</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WS6812</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无线核心交换机</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RUIJIE</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S7805E</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无线接入交换机</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RUIJIE</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S1920-24P</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楼层接入交换机</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RUIJIE</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NBS5710</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12</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2021</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楼层接入交换机</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CISCO</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2960-48</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128</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2010</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楼层接入交换机</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CISCO</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WS-C2960-24PC-L</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2010</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IP电话</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CISCO</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CP-7941（42）G</w:t>
            </w: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350</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2010</w:t>
            </w:r>
          </w:p>
        </w:tc>
        <w:tc>
          <w:tcPr>
            <w:tcW w:w="1907" w:type="dxa"/>
            <w:vMerge w:val="continue"/>
            <w:tcBorders>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IP电话</w:t>
            </w:r>
          </w:p>
        </w:tc>
        <w:tc>
          <w:tcPr>
            <w:tcW w:w="131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Yealink</w:t>
            </w:r>
          </w:p>
        </w:tc>
        <w:tc>
          <w:tcPr>
            <w:tcW w:w="1642" w:type="dxa"/>
            <w:gridSpan w:val="2"/>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105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15</w:t>
            </w:r>
            <w:r>
              <w:rPr>
                <w:rFonts w:hint="eastAsia" w:ascii="宋体" w:hAnsi="宋体" w:eastAsia="宋体" w:cs="宋体"/>
                <w:color w:val="000000"/>
                <w:kern w:val="0"/>
                <w:sz w:val="24"/>
                <w:szCs w:val="24"/>
                <w:highlight w:val="none"/>
              </w:rPr>
              <w:t>0</w:t>
            </w:r>
          </w:p>
        </w:tc>
        <w:tc>
          <w:tcPr>
            <w:tcW w:w="12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20</w:t>
            </w:r>
            <w:r>
              <w:rPr>
                <w:rFonts w:hint="eastAsia" w:ascii="宋体" w:hAnsi="宋体" w:eastAsia="宋体" w:cs="宋体"/>
                <w:color w:val="000000"/>
                <w:kern w:val="0"/>
                <w:sz w:val="24"/>
                <w:szCs w:val="24"/>
                <w:highlight w:val="none"/>
                <w:lang w:val="en-US" w:eastAsia="zh-CN"/>
              </w:rPr>
              <w:t>21</w:t>
            </w:r>
          </w:p>
        </w:tc>
        <w:tc>
          <w:tcPr>
            <w:tcW w:w="1907" w:type="dxa"/>
            <w:tcBorders>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7153" w:type="dxa"/>
            <w:gridSpan w:val="6"/>
            <w:tcBorders>
              <w:top w:val="single" w:color="auto" w:sz="4" w:space="0"/>
              <w:left w:val="single" w:color="auto" w:sz="4" w:space="0"/>
              <w:bottom w:val="single" w:color="auto" w:sz="4" w:space="0"/>
              <w:right w:val="nil"/>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三、机房设备清单</w:t>
            </w:r>
          </w:p>
        </w:tc>
        <w:tc>
          <w:tcPr>
            <w:tcW w:w="190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精密空调</w:t>
            </w:r>
          </w:p>
        </w:tc>
        <w:tc>
          <w:tcPr>
            <w:tcW w:w="13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APC</w:t>
            </w:r>
          </w:p>
        </w:tc>
        <w:tc>
          <w:tcPr>
            <w:tcW w:w="1642" w:type="dxa"/>
            <w:gridSpan w:val="2"/>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InRow RD 10KW</w:t>
            </w:r>
          </w:p>
        </w:tc>
        <w:tc>
          <w:tcPr>
            <w:tcW w:w="1057"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21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2010</w:t>
            </w:r>
          </w:p>
        </w:tc>
        <w:tc>
          <w:tcPr>
            <w:tcW w:w="1907" w:type="dxa"/>
            <w:vMerge w:val="restart"/>
            <w:tcBorders>
              <w:top w:val="nil"/>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日常运维，巡检；在保设备由</w:t>
            </w:r>
            <w:r>
              <w:rPr>
                <w:rFonts w:hint="eastAsia" w:hAnsi="宋体" w:cs="宋体"/>
                <w:kern w:val="0"/>
                <w:sz w:val="24"/>
                <w:szCs w:val="24"/>
                <w:highlight w:val="none"/>
                <w:lang w:val="en-US" w:eastAsia="zh-CN"/>
              </w:rPr>
              <w:t>成交</w:t>
            </w:r>
            <w:r>
              <w:rPr>
                <w:rFonts w:hint="eastAsia" w:hAnsi="宋体" w:cs="宋体"/>
                <w:bCs/>
                <w:sz w:val="24"/>
                <w:szCs w:val="24"/>
                <w:highlight w:val="none"/>
                <w:lang w:val="en-US" w:eastAsia="zh-CN"/>
              </w:rPr>
              <w:t>供应商</w:t>
            </w:r>
            <w:r>
              <w:rPr>
                <w:rFonts w:hint="eastAsia" w:ascii="宋体" w:hAnsi="宋体" w:eastAsia="宋体" w:cs="宋体"/>
                <w:kern w:val="0"/>
                <w:sz w:val="24"/>
                <w:szCs w:val="24"/>
                <w:highlight w:val="none"/>
              </w:rPr>
              <w:t>公司联系厂商维保，过保设备提供整机NBD维保（含硬盘及电源更换）</w:t>
            </w:r>
          </w:p>
        </w:tc>
      </w:tr>
      <w:tr>
        <w:tblPrEx>
          <w:tblCellMar>
            <w:top w:w="0" w:type="dxa"/>
            <w:left w:w="108" w:type="dxa"/>
            <w:bottom w:w="0" w:type="dxa"/>
            <w:right w:w="108" w:type="dxa"/>
          </w:tblCellMar>
        </w:tblPrEx>
        <w:trPr>
          <w:trHeight w:val="567" w:hRule="atLeast"/>
        </w:trPr>
        <w:tc>
          <w:tcPr>
            <w:tcW w:w="19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 w:val="24"/>
                <w:szCs w:val="24"/>
                <w:highlight w:val="none"/>
              </w:rPr>
            </w:pPr>
          </w:p>
        </w:tc>
        <w:tc>
          <w:tcPr>
            <w:tcW w:w="13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艾默生</w:t>
            </w:r>
          </w:p>
        </w:tc>
        <w:tc>
          <w:tcPr>
            <w:tcW w:w="1642" w:type="dxa"/>
            <w:gridSpan w:val="2"/>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25KW</w:t>
            </w:r>
          </w:p>
        </w:tc>
        <w:tc>
          <w:tcPr>
            <w:tcW w:w="1057"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121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2019</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UPS</w:t>
            </w:r>
          </w:p>
        </w:tc>
        <w:tc>
          <w:tcPr>
            <w:tcW w:w="13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华为</w:t>
            </w:r>
          </w:p>
        </w:tc>
        <w:tc>
          <w:tcPr>
            <w:tcW w:w="1642" w:type="dxa"/>
            <w:gridSpan w:val="2"/>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30KVA</w:t>
            </w:r>
          </w:p>
        </w:tc>
        <w:tc>
          <w:tcPr>
            <w:tcW w:w="1057"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21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2016</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 w:val="24"/>
                <w:szCs w:val="24"/>
                <w:highlight w:val="none"/>
              </w:rPr>
            </w:pPr>
          </w:p>
        </w:tc>
        <w:tc>
          <w:tcPr>
            <w:tcW w:w="13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APC</w:t>
            </w:r>
          </w:p>
        </w:tc>
        <w:tc>
          <w:tcPr>
            <w:tcW w:w="1642" w:type="dxa"/>
            <w:gridSpan w:val="2"/>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Sym48(48KVA)</w:t>
            </w:r>
          </w:p>
        </w:tc>
        <w:tc>
          <w:tcPr>
            <w:tcW w:w="1057"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21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2010</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 w:val="24"/>
                <w:szCs w:val="24"/>
                <w:highlight w:val="none"/>
              </w:rPr>
            </w:pPr>
          </w:p>
        </w:tc>
        <w:tc>
          <w:tcPr>
            <w:tcW w:w="13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APC</w:t>
            </w:r>
          </w:p>
        </w:tc>
        <w:tc>
          <w:tcPr>
            <w:tcW w:w="1642" w:type="dxa"/>
            <w:gridSpan w:val="2"/>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SYMM_PX2(30KVA)</w:t>
            </w:r>
          </w:p>
        </w:tc>
        <w:tc>
          <w:tcPr>
            <w:tcW w:w="1057"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21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2010</w:t>
            </w:r>
          </w:p>
        </w:tc>
        <w:tc>
          <w:tcPr>
            <w:tcW w:w="1907" w:type="dxa"/>
            <w:vMerge w:val="continue"/>
            <w:tcBorders>
              <w:left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567" w:hRule="atLeast"/>
        </w:trPr>
        <w:tc>
          <w:tcPr>
            <w:tcW w:w="19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 w:val="24"/>
                <w:szCs w:val="24"/>
                <w:highlight w:val="none"/>
              </w:rPr>
            </w:pPr>
          </w:p>
        </w:tc>
        <w:tc>
          <w:tcPr>
            <w:tcW w:w="13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艾默生</w:t>
            </w:r>
          </w:p>
        </w:tc>
        <w:tc>
          <w:tcPr>
            <w:tcW w:w="1642" w:type="dxa"/>
            <w:gridSpan w:val="2"/>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120KVA</w:t>
            </w:r>
          </w:p>
        </w:tc>
        <w:tc>
          <w:tcPr>
            <w:tcW w:w="1057"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218"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2019</w:t>
            </w:r>
          </w:p>
        </w:tc>
        <w:tc>
          <w:tcPr>
            <w:tcW w:w="1907" w:type="dxa"/>
            <w:vMerge w:val="continue"/>
            <w:tcBorders>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rPr>
            </w:pPr>
          </w:p>
        </w:tc>
      </w:tr>
    </w:tbl>
    <w:p>
      <w:pPr>
        <w:spacing w:line="360" w:lineRule="auto"/>
        <w:rPr>
          <w:rFonts w:hint="eastAsia" w:ascii="宋体" w:hAnsi="宋体" w:eastAsia="宋体" w:cs="宋体"/>
          <w:b/>
          <w:bCs w:val="0"/>
          <w:sz w:val="24"/>
          <w:szCs w:val="24"/>
          <w:highlight w:val="none"/>
          <w:lang w:val="en-US" w:eastAsia="zh-CN"/>
        </w:rPr>
      </w:pPr>
      <w:r>
        <w:rPr>
          <w:rFonts w:hint="eastAsia" w:ascii="宋体" w:hAnsi="宋体" w:eastAsia="宋体" w:cs="宋体"/>
          <w:b/>
          <w:sz w:val="24"/>
          <w:szCs w:val="24"/>
          <w:highlight w:val="none"/>
        </w:rPr>
        <w:t>▲</w:t>
      </w:r>
      <w:r>
        <w:rPr>
          <w:rFonts w:hint="eastAsia" w:ascii="宋体" w:hAnsi="宋体" w:eastAsia="宋体" w:cs="宋体"/>
          <w:b/>
          <w:bCs w:val="0"/>
          <w:sz w:val="24"/>
          <w:szCs w:val="24"/>
          <w:highlight w:val="none"/>
          <w:lang w:val="en-US" w:eastAsia="zh-CN"/>
        </w:rPr>
        <w:t xml:space="preserve"> 1.2 信息系统安全运营</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为了切实保障医院整体</w:t>
      </w:r>
      <w:r>
        <w:rPr>
          <w:rFonts w:hint="eastAsia" w:ascii="宋体" w:hAnsi="宋体" w:eastAsia="宋体" w:cs="宋体"/>
          <w:sz w:val="24"/>
          <w:szCs w:val="24"/>
          <w:highlight w:val="none"/>
          <w:lang w:eastAsia="zh-CN"/>
        </w:rPr>
        <w:t>信息</w:t>
      </w:r>
      <w:r>
        <w:rPr>
          <w:rFonts w:hint="eastAsia" w:ascii="宋体" w:hAnsi="宋体" w:eastAsia="宋体" w:cs="宋体"/>
          <w:sz w:val="24"/>
          <w:szCs w:val="24"/>
          <w:highlight w:val="none"/>
        </w:rPr>
        <w:t>安全，提升单位网络安全保障能力</w:t>
      </w:r>
      <w:r>
        <w:rPr>
          <w:rFonts w:hint="eastAsia" w:ascii="宋体" w:hAnsi="宋体" w:eastAsia="宋体" w:cs="宋体"/>
          <w:sz w:val="24"/>
          <w:szCs w:val="24"/>
          <w:highlight w:val="none"/>
          <w:lang w:eastAsia="zh-CN"/>
        </w:rPr>
        <w:t>、确保数据安全</w:t>
      </w:r>
      <w:r>
        <w:rPr>
          <w:rFonts w:hint="eastAsia" w:ascii="宋体" w:hAnsi="宋体" w:eastAsia="宋体" w:cs="宋体"/>
          <w:sz w:val="24"/>
          <w:szCs w:val="24"/>
          <w:highlight w:val="none"/>
        </w:rPr>
        <w:t>，实现对</w:t>
      </w:r>
      <w:r>
        <w:rPr>
          <w:rFonts w:hint="eastAsia" w:ascii="宋体" w:hAnsi="宋体" w:eastAsia="宋体" w:cs="宋体"/>
          <w:sz w:val="24"/>
          <w:szCs w:val="24"/>
          <w:highlight w:val="none"/>
          <w:lang w:eastAsia="zh-CN"/>
        </w:rPr>
        <w:t>信息系统</w:t>
      </w:r>
      <w:r>
        <w:rPr>
          <w:rFonts w:hint="eastAsia" w:ascii="宋体" w:hAnsi="宋体" w:eastAsia="宋体" w:cs="宋体"/>
          <w:sz w:val="24"/>
          <w:szCs w:val="24"/>
          <w:highlight w:val="none"/>
        </w:rPr>
        <w:t>7*24小时监管，对出现的安全问题及时处置闭环，</w:t>
      </w:r>
      <w:r>
        <w:rPr>
          <w:rFonts w:hint="eastAsia" w:ascii="宋体" w:hAnsi="宋体" w:eastAsia="宋体" w:cs="宋体"/>
          <w:sz w:val="24"/>
          <w:szCs w:val="24"/>
          <w:highlight w:val="none"/>
          <w:lang w:eastAsia="zh-CN"/>
        </w:rPr>
        <w:t>保证系统安全运行，需对信息系统进行维保</w:t>
      </w:r>
      <w:bookmarkStart w:id="90" w:name="_Toc48307826"/>
      <w:r>
        <w:rPr>
          <w:rFonts w:hint="eastAsia" w:ascii="宋体" w:hAnsi="宋体" w:eastAsia="宋体" w:cs="宋体"/>
          <w:sz w:val="24"/>
          <w:szCs w:val="24"/>
          <w:highlight w:val="none"/>
          <w:lang w:eastAsia="zh-CN"/>
        </w:rPr>
        <w:t>。</w:t>
      </w:r>
    </w:p>
    <w:bookmarkEnd w:id="90"/>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设备安全</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eastAsia="zh-CN"/>
        </w:rPr>
        <w:t>通过技术手段及各种安全工具、软件等实现</w:t>
      </w:r>
      <w:r>
        <w:rPr>
          <w:rFonts w:hint="eastAsia" w:ascii="宋体" w:hAnsi="宋体" w:eastAsia="宋体" w:cs="宋体"/>
          <w:sz w:val="24"/>
          <w:szCs w:val="24"/>
          <w:highlight w:val="none"/>
        </w:rPr>
        <w:t>服务器及用户终端的安全、</w:t>
      </w:r>
      <w:r>
        <w:rPr>
          <w:rFonts w:hint="eastAsia" w:ascii="宋体" w:hAnsi="宋体" w:eastAsia="宋体" w:cs="宋体"/>
          <w:sz w:val="24"/>
          <w:szCs w:val="24"/>
          <w:highlight w:val="none"/>
          <w:lang w:val="en-US" w:eastAsia="zh-CN"/>
        </w:rPr>
        <w:t>杜绝</w:t>
      </w:r>
      <w:r>
        <w:rPr>
          <w:rFonts w:hint="eastAsia" w:ascii="宋体" w:hAnsi="宋体" w:eastAsia="宋体" w:cs="宋体"/>
          <w:sz w:val="24"/>
          <w:szCs w:val="24"/>
          <w:highlight w:val="none"/>
          <w:lang w:eastAsia="zh-CN"/>
        </w:rPr>
        <w:t>因</w:t>
      </w:r>
      <w:r>
        <w:rPr>
          <w:rFonts w:hint="eastAsia" w:ascii="宋体" w:hAnsi="宋体" w:eastAsia="宋体" w:cs="宋体"/>
          <w:sz w:val="24"/>
          <w:szCs w:val="24"/>
          <w:highlight w:val="none"/>
        </w:rPr>
        <w:t>病毒</w:t>
      </w:r>
      <w:r>
        <w:rPr>
          <w:rFonts w:hint="eastAsia" w:ascii="宋体" w:hAnsi="宋体" w:eastAsia="宋体" w:cs="宋体"/>
          <w:sz w:val="24"/>
          <w:szCs w:val="24"/>
          <w:highlight w:val="none"/>
          <w:lang w:eastAsia="zh-CN"/>
        </w:rPr>
        <w:t>感染、网络攻击等造成</w:t>
      </w:r>
      <w:r>
        <w:rPr>
          <w:rFonts w:hint="eastAsia" w:ascii="宋体" w:hAnsi="宋体" w:eastAsia="宋体" w:cs="宋体"/>
          <w:sz w:val="24"/>
          <w:szCs w:val="24"/>
          <w:highlight w:val="none"/>
        </w:rPr>
        <w:t>数据泄漏、</w:t>
      </w:r>
      <w:r>
        <w:rPr>
          <w:rFonts w:hint="eastAsia" w:ascii="宋体" w:hAnsi="宋体" w:eastAsia="宋体" w:cs="宋体"/>
          <w:sz w:val="24"/>
          <w:szCs w:val="24"/>
          <w:highlight w:val="none"/>
          <w:lang w:eastAsia="zh-CN"/>
        </w:rPr>
        <w:t>设备损坏及服务器宕机等。</w:t>
      </w:r>
    </w:p>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网络安全</w:t>
      </w:r>
    </w:p>
    <w:p>
      <w:pPr>
        <w:spacing w:line="360" w:lineRule="auto"/>
        <w:ind w:firstLine="55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进行</w:t>
      </w:r>
      <w:r>
        <w:rPr>
          <w:rFonts w:hint="eastAsia" w:ascii="宋体" w:hAnsi="宋体" w:eastAsia="宋体" w:cs="宋体"/>
          <w:sz w:val="24"/>
          <w:szCs w:val="24"/>
          <w:highlight w:val="none"/>
        </w:rPr>
        <w:t>网络</w:t>
      </w:r>
      <w:r>
        <w:rPr>
          <w:rFonts w:hint="eastAsia" w:ascii="宋体" w:hAnsi="宋体" w:eastAsia="宋体" w:cs="宋体"/>
          <w:sz w:val="24"/>
          <w:szCs w:val="24"/>
          <w:highlight w:val="none"/>
          <w:lang w:eastAsia="zh-CN"/>
        </w:rPr>
        <w:t>维护及管理，对网络中存在的风险及漏洞进行有效的防护，</w:t>
      </w:r>
      <w:r>
        <w:rPr>
          <w:rFonts w:hint="eastAsia" w:ascii="宋体" w:hAnsi="宋体" w:eastAsia="宋体" w:cs="宋体"/>
          <w:sz w:val="24"/>
          <w:szCs w:val="24"/>
          <w:highlight w:val="none"/>
          <w:lang w:val="en-US" w:eastAsia="zh-CN"/>
        </w:rPr>
        <w:t>杜绝出现</w:t>
      </w:r>
      <w:r>
        <w:rPr>
          <w:rFonts w:hint="eastAsia" w:ascii="宋体" w:hAnsi="宋体" w:eastAsia="宋体" w:cs="宋体"/>
          <w:sz w:val="24"/>
          <w:szCs w:val="24"/>
          <w:highlight w:val="none"/>
          <w:lang w:eastAsia="zh-CN"/>
        </w:rPr>
        <w:t>网络</w:t>
      </w:r>
      <w:r>
        <w:rPr>
          <w:rFonts w:hint="eastAsia" w:ascii="宋体" w:hAnsi="宋体" w:eastAsia="宋体" w:cs="宋体"/>
          <w:sz w:val="24"/>
          <w:szCs w:val="24"/>
          <w:highlight w:val="none"/>
        </w:rPr>
        <w:t>系统</w:t>
      </w:r>
      <w:r>
        <w:rPr>
          <w:rFonts w:hint="eastAsia" w:ascii="宋体" w:hAnsi="宋体" w:eastAsia="宋体" w:cs="宋体"/>
          <w:sz w:val="24"/>
          <w:szCs w:val="24"/>
          <w:highlight w:val="none"/>
          <w:lang w:eastAsia="zh-CN"/>
        </w:rPr>
        <w:t>瘫痪、网络设备损坏及各种</w:t>
      </w:r>
      <w:r>
        <w:rPr>
          <w:rFonts w:hint="eastAsia" w:ascii="宋体" w:hAnsi="宋体" w:eastAsia="宋体" w:cs="宋体"/>
          <w:sz w:val="24"/>
          <w:szCs w:val="24"/>
          <w:highlight w:val="none"/>
        </w:rPr>
        <w:t>网络攻击</w:t>
      </w:r>
      <w:r>
        <w:rPr>
          <w:rFonts w:hint="eastAsia" w:ascii="宋体" w:hAnsi="宋体" w:eastAsia="宋体" w:cs="宋体"/>
          <w:sz w:val="24"/>
          <w:szCs w:val="24"/>
          <w:highlight w:val="none"/>
          <w:lang w:eastAsia="zh-CN"/>
        </w:rPr>
        <w:t>而导致效率降低</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eastAsia="zh-CN"/>
        </w:rPr>
        <w:t>。</w:t>
      </w:r>
    </w:p>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数据安全</w:t>
      </w:r>
    </w:p>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eastAsia="zh-CN"/>
        </w:rPr>
        <w:t>对信息系统进行防护，不</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lang w:eastAsia="zh-CN"/>
        </w:rPr>
        <w:t>出现因应用系统遭受攻击导致业务效率降低；对</w:t>
      </w:r>
      <w:r>
        <w:rPr>
          <w:rFonts w:hint="eastAsia" w:ascii="宋体" w:hAnsi="宋体" w:eastAsia="宋体" w:cs="宋体"/>
          <w:sz w:val="24"/>
          <w:szCs w:val="24"/>
          <w:highlight w:val="none"/>
        </w:rPr>
        <w:t>数据</w:t>
      </w:r>
      <w:r>
        <w:rPr>
          <w:rFonts w:hint="eastAsia" w:ascii="宋体" w:hAnsi="宋体" w:eastAsia="宋体" w:cs="宋体"/>
          <w:sz w:val="24"/>
          <w:szCs w:val="24"/>
          <w:highlight w:val="none"/>
          <w:lang w:eastAsia="zh-CN"/>
        </w:rPr>
        <w:t>库进行有效的加固，对数据进行必要的安全防护，不出现因各种原因导致的</w:t>
      </w:r>
      <w:r>
        <w:rPr>
          <w:rFonts w:hint="eastAsia" w:ascii="宋体" w:hAnsi="宋体" w:eastAsia="宋体" w:cs="宋体"/>
          <w:sz w:val="24"/>
          <w:szCs w:val="24"/>
          <w:highlight w:val="none"/>
        </w:rPr>
        <w:t>数据</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非法</w:t>
      </w:r>
      <w:r>
        <w:rPr>
          <w:rFonts w:hint="eastAsia" w:ascii="宋体" w:hAnsi="宋体" w:eastAsia="宋体" w:cs="宋体"/>
          <w:sz w:val="24"/>
          <w:szCs w:val="24"/>
          <w:highlight w:val="none"/>
          <w:lang w:val="en-US" w:eastAsia="zh-CN"/>
        </w:rPr>
        <w:t>篡改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删除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泄漏、盗取、</w:t>
      </w:r>
      <w:r>
        <w:rPr>
          <w:rFonts w:hint="eastAsia" w:ascii="宋体" w:hAnsi="宋体" w:eastAsia="宋体" w:cs="宋体"/>
          <w:sz w:val="24"/>
          <w:szCs w:val="24"/>
          <w:highlight w:val="none"/>
          <w:lang w:eastAsia="zh-CN"/>
        </w:rPr>
        <w:t>加密</w:t>
      </w:r>
      <w:r>
        <w:rPr>
          <w:rFonts w:hint="eastAsia" w:ascii="宋体" w:hAnsi="宋体" w:eastAsia="宋体" w:cs="宋体"/>
          <w:sz w:val="24"/>
          <w:szCs w:val="24"/>
          <w:highlight w:val="none"/>
          <w:lang w:val="en-US" w:eastAsia="zh-CN"/>
        </w:rPr>
        <w:t>破</w:t>
      </w:r>
      <w:r>
        <w:rPr>
          <w:rFonts w:hint="eastAsia" w:ascii="宋体" w:hAnsi="宋体" w:eastAsia="宋体" w:cs="宋体"/>
          <w:sz w:val="24"/>
          <w:szCs w:val="24"/>
          <w:highlight w:val="none"/>
          <w:lang w:eastAsia="zh-CN"/>
        </w:rPr>
        <w:t>坏等，确保数据有效、完整、安全、可用。</w:t>
      </w:r>
    </w:p>
    <w:p>
      <w:pPr>
        <w:spacing w:line="360" w:lineRule="auto"/>
        <w:ind w:firstLine="55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）事件应急响应</w:t>
      </w:r>
    </w:p>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对所有安全问题的平均响应时间达到5分钟以内；</w:t>
      </w:r>
    </w:p>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对漏洞、威胁、事件的监测预警准确率达到99%；</w:t>
      </w:r>
    </w:p>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对高危可利用漏洞、高级威胁和安全事件，闭环率可以做到100%；</w:t>
      </w:r>
    </w:p>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对重要事件和威胁，闭环时长可以控制在1小时以内；</w:t>
      </w:r>
    </w:p>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对一般的事件和威胁，闭环时长可以控制在2小时以内；</w:t>
      </w:r>
    </w:p>
    <w:p>
      <w:pPr>
        <w:spacing w:line="360" w:lineRule="auto"/>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对0day和新型威胁，闭环时长能做到24小时以内。</w:t>
      </w:r>
    </w:p>
    <w:p>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提供7 *24小时持续专家服务，发现威胁及时处理。</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1.3  服务要求</w:t>
      </w:r>
    </w:p>
    <w:p>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sz w:val="24"/>
          <w:szCs w:val="24"/>
          <w:highlight w:val="none"/>
        </w:rPr>
        <w:t>1.3</w:t>
      </w:r>
      <w:r>
        <w:rPr>
          <w:rFonts w:hint="eastAsia" w:ascii="宋体" w:hAnsi="宋体" w:eastAsia="宋体" w:cs="宋体"/>
          <w:b/>
          <w:sz w:val="24"/>
          <w:szCs w:val="24"/>
          <w:highlight w:val="none"/>
          <w:lang w:val="en-US" w:eastAsia="zh-CN"/>
        </w:rPr>
        <w:t>.1</w:t>
      </w:r>
      <w:r>
        <w:rPr>
          <w:rFonts w:hint="eastAsia" w:ascii="宋体" w:hAnsi="宋体" w:eastAsia="宋体" w:cs="宋体"/>
          <w:sz w:val="24"/>
          <w:szCs w:val="24"/>
          <w:highlight w:val="none"/>
        </w:rPr>
        <w:t>本次维保所有产品为包含备件服务，所有服务及备件均由</w:t>
      </w:r>
      <w:r>
        <w:rPr>
          <w:rFonts w:hint="eastAsia" w:hAnsi="宋体" w:cs="宋体"/>
          <w:bCs/>
          <w:sz w:val="24"/>
          <w:szCs w:val="24"/>
          <w:highlight w:val="none"/>
          <w:lang w:val="en-US" w:eastAsia="zh-CN"/>
        </w:rPr>
        <w:t>供应商</w:t>
      </w:r>
      <w:r>
        <w:rPr>
          <w:rFonts w:hint="eastAsia" w:ascii="宋体" w:hAnsi="宋体" w:eastAsia="宋体" w:cs="宋体"/>
          <w:sz w:val="24"/>
          <w:szCs w:val="24"/>
          <w:highlight w:val="none"/>
        </w:rPr>
        <w:t>提供，费用自理，医院不另提供备件及费用；为保证信息系统安全运行，接入交换机、核心交换机及服务器硬盘更换备件及产品均须为原厂</w:t>
      </w:r>
      <w:r>
        <w:rPr>
          <w:rFonts w:hint="eastAsia" w:ascii="宋体" w:hAnsi="宋体" w:eastAsia="宋体" w:cs="宋体"/>
          <w:sz w:val="24"/>
          <w:szCs w:val="24"/>
          <w:highlight w:val="none"/>
          <w:lang w:eastAsia="zh-CN"/>
        </w:rPr>
        <w:t>产品及备件</w:t>
      </w:r>
      <w:r>
        <w:rPr>
          <w:rFonts w:hint="eastAsia" w:ascii="宋体" w:hAnsi="宋体" w:eastAsia="宋体" w:cs="宋体"/>
          <w:sz w:val="24"/>
          <w:szCs w:val="24"/>
          <w:highlight w:val="none"/>
        </w:rPr>
        <w:t>，更换后原有旧件为医院所有，</w:t>
      </w:r>
      <w:r>
        <w:rPr>
          <w:rFonts w:hint="eastAsia" w:hAnsi="宋体" w:cs="宋体"/>
          <w:bCs/>
          <w:sz w:val="24"/>
          <w:szCs w:val="24"/>
          <w:highlight w:val="none"/>
          <w:lang w:val="en-US" w:eastAsia="zh-CN"/>
        </w:rPr>
        <w:t>供应商</w:t>
      </w:r>
      <w:r>
        <w:rPr>
          <w:rFonts w:hint="eastAsia" w:ascii="宋体" w:hAnsi="宋体" w:eastAsia="宋体" w:cs="宋体"/>
          <w:sz w:val="24"/>
          <w:szCs w:val="24"/>
          <w:highlight w:val="none"/>
        </w:rPr>
        <w:t>无权带走或私自处理。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按照备件清单中的技术规格要求提供完整备件，设备出现故障后须2小时内完成坏件更换</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服务器应按原厂标准提供备件或维修服务，其中服务器、存储设备的硬盘等旧件不返还由院方自行处理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机房供电(含电源分配系统)、制冷设备（含室内机、空调外机、蒸发器等）均需提供专业的维保服务，更换件须为设备原厂配件</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网络设备维护包括设备的安装、调试及网络系统的优化；服务器维护包括服务器硬件故障更换、操作系统安装及优化。</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网络核心交换机（华为S7712及所有板卡、附件）需采用不低于现有设备性能的原厂新件备件，只换不修并提供更换服务。</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2</w:t>
      </w:r>
      <w:r>
        <w:rPr>
          <w:rFonts w:hint="eastAsia" w:ascii="宋体" w:hAnsi="宋体" w:eastAsia="宋体" w:cs="宋体"/>
          <w:b/>
          <w:sz w:val="24"/>
          <w:szCs w:val="24"/>
          <w:highlight w:val="none"/>
        </w:rPr>
        <w:t>在设备的维保期内，</w:t>
      </w:r>
      <w:r>
        <w:rPr>
          <w:rFonts w:hint="eastAsia" w:ascii="宋体" w:hAnsi="宋体" w:eastAsia="宋体" w:cs="宋体"/>
          <w:b/>
          <w:sz w:val="24"/>
          <w:szCs w:val="24"/>
          <w:highlight w:val="none"/>
          <w:lang w:val="en-US" w:eastAsia="zh-CN"/>
        </w:rPr>
        <w:t>供应商</w:t>
      </w:r>
      <w:r>
        <w:rPr>
          <w:rFonts w:hint="eastAsia" w:ascii="宋体" w:hAnsi="宋体" w:eastAsia="宋体" w:cs="宋体"/>
          <w:b/>
          <w:sz w:val="24"/>
          <w:szCs w:val="24"/>
          <w:highlight w:val="none"/>
        </w:rPr>
        <w:t>必须提供巡检服务：</w:t>
      </w:r>
    </w:p>
    <w:p>
      <w:pPr>
        <w:tabs>
          <w:tab w:val="right" w:pos="8306"/>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核心机房设备必须每天巡检1-2次，各分院区机房每周巡检1次，其它设备至少每季度一次巡检；在重要活动前进行深度巡检，所有巡检须有书面报告</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须按照行内要求提供至少每年一次弱电间清洁、除尘服务</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巡检前要拟订巡检计划，巡检后要提交巡检总结报告</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巡检中对出现较大问题，进行现场维护的须让院方认可后方可实施；巡检报告需要包含：服务器（核心服务器）；存储；交换机；服务器；准入系统；安全设备；精密空调；UPS等各类设备巡检报告；巡检中发现问题属于维保范围内容的，应该及时制定问题/故障处理方案；不属于维保范围内容的应该及时告知医院相关负责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 每半年提交全网的网络容量分析、网络安全运行状态检查报告。</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 xml:space="preserve"> 备件要求：</w:t>
      </w:r>
    </w:p>
    <w:p>
      <w:pPr>
        <w:spacing w:line="360" w:lineRule="auto"/>
        <w:ind w:firstLine="600" w:firstLineChars="250"/>
        <w:rPr>
          <w:rFonts w:hint="eastAsia" w:ascii="宋体" w:hAnsi="宋体" w:eastAsia="宋体" w:cs="宋体"/>
          <w:sz w:val="24"/>
          <w:szCs w:val="24"/>
          <w:highlight w:val="none"/>
        </w:rPr>
      </w:pPr>
      <w:r>
        <w:rPr>
          <w:rFonts w:hint="eastAsia" w:hAnsi="宋体" w:cs="宋体"/>
          <w:bCs/>
          <w:sz w:val="24"/>
          <w:szCs w:val="24"/>
          <w:highlight w:val="none"/>
          <w:lang w:val="en-US" w:eastAsia="zh-CN"/>
        </w:rPr>
        <w:t>供应商</w:t>
      </w:r>
      <w:r>
        <w:rPr>
          <w:rFonts w:hint="eastAsia" w:ascii="宋体" w:hAnsi="宋体" w:eastAsia="宋体" w:cs="宋体"/>
          <w:sz w:val="24"/>
          <w:szCs w:val="24"/>
          <w:highlight w:val="none"/>
        </w:rPr>
        <w:t>需要在医院建立如下基本设备备件库（场地由采购人提供），所有备件需为原厂新品，在维保期内，若损坏设备数量多于该数量的由</w:t>
      </w:r>
      <w:r>
        <w:rPr>
          <w:rFonts w:hint="eastAsia" w:hAnsi="宋体" w:cs="宋体"/>
          <w:bCs/>
          <w:sz w:val="24"/>
          <w:szCs w:val="24"/>
          <w:highlight w:val="none"/>
          <w:lang w:val="en-US" w:eastAsia="zh-CN"/>
        </w:rPr>
        <w:t>供应商</w:t>
      </w:r>
      <w:r>
        <w:rPr>
          <w:rFonts w:hint="eastAsia" w:ascii="宋体" w:hAnsi="宋体" w:eastAsia="宋体" w:cs="宋体"/>
          <w:sz w:val="24"/>
          <w:szCs w:val="24"/>
          <w:highlight w:val="none"/>
        </w:rPr>
        <w:t>按标书要求提供备件先行的维修服务；若损坏数量少于该数量，剩余设备归医院方所有，不再退还</w:t>
      </w:r>
      <w:r>
        <w:rPr>
          <w:rFonts w:hint="eastAsia" w:hAnsi="宋体" w:cs="宋体"/>
          <w:bCs/>
          <w:sz w:val="24"/>
          <w:szCs w:val="24"/>
          <w:highlight w:val="none"/>
          <w:lang w:val="en-US" w:eastAsia="zh-CN"/>
        </w:rPr>
        <w:t>供应商</w:t>
      </w:r>
      <w:r>
        <w:rPr>
          <w:rFonts w:hint="eastAsia" w:ascii="宋体" w:hAnsi="宋体" w:eastAsia="宋体" w:cs="宋体"/>
          <w:sz w:val="24"/>
          <w:szCs w:val="24"/>
          <w:highlight w:val="none"/>
        </w:rPr>
        <w:t>，为保证网络系统安全稳定，备件须提供同品牌、同型号产品。备件库的备件如下：</w:t>
      </w: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备件清单</w:t>
      </w:r>
    </w:p>
    <w:tbl>
      <w:tblPr>
        <w:tblStyle w:val="24"/>
        <w:tblW w:w="0" w:type="auto"/>
        <w:tblInd w:w="-106" w:type="dxa"/>
        <w:tblLayout w:type="fixed"/>
        <w:tblCellMar>
          <w:top w:w="0" w:type="dxa"/>
          <w:left w:w="108" w:type="dxa"/>
          <w:bottom w:w="0" w:type="dxa"/>
          <w:right w:w="108" w:type="dxa"/>
        </w:tblCellMar>
      </w:tblPr>
      <w:tblGrid>
        <w:gridCol w:w="1974"/>
        <w:gridCol w:w="1232"/>
        <w:gridCol w:w="5049"/>
        <w:gridCol w:w="749"/>
      </w:tblGrid>
      <w:tr>
        <w:tblPrEx>
          <w:tblCellMar>
            <w:top w:w="0" w:type="dxa"/>
            <w:left w:w="108" w:type="dxa"/>
            <w:bottom w:w="0" w:type="dxa"/>
            <w:right w:w="108" w:type="dxa"/>
          </w:tblCellMar>
        </w:tblPrEx>
        <w:trPr>
          <w:trHeight w:val="270" w:hRule="atLeast"/>
        </w:trPr>
        <w:tc>
          <w:tcPr>
            <w:tcW w:w="19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设备型号</w:t>
            </w:r>
          </w:p>
        </w:tc>
        <w:tc>
          <w:tcPr>
            <w:tcW w:w="1232" w:type="dxa"/>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设备品牌</w:t>
            </w:r>
          </w:p>
        </w:tc>
        <w:tc>
          <w:tcPr>
            <w:tcW w:w="5049" w:type="dxa"/>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详细技术要求</w:t>
            </w:r>
          </w:p>
        </w:tc>
        <w:tc>
          <w:tcPr>
            <w:tcW w:w="749" w:type="dxa"/>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r>
      <w:tr>
        <w:tblPrEx>
          <w:tblCellMar>
            <w:top w:w="0" w:type="dxa"/>
            <w:left w:w="108" w:type="dxa"/>
            <w:bottom w:w="0" w:type="dxa"/>
            <w:right w:w="108" w:type="dxa"/>
          </w:tblCellMar>
        </w:tblPrEx>
        <w:trPr>
          <w:trHeight w:val="270" w:hRule="atLeast"/>
        </w:trPr>
        <w:tc>
          <w:tcPr>
            <w:tcW w:w="19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亿联</w:t>
            </w:r>
            <w:r>
              <w:rPr>
                <w:rFonts w:hint="eastAsia" w:ascii="宋体" w:hAnsi="宋体" w:eastAsia="宋体" w:cs="宋体"/>
                <w:sz w:val="24"/>
                <w:szCs w:val="24"/>
                <w:highlight w:val="none"/>
                <w:lang w:val="en-US" w:eastAsia="zh-CN"/>
              </w:rPr>
              <w:t>T43U</w:t>
            </w:r>
          </w:p>
        </w:tc>
        <w:tc>
          <w:tcPr>
            <w:tcW w:w="1232"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亿联</w:t>
            </w:r>
          </w:p>
        </w:tc>
        <w:tc>
          <w:tcPr>
            <w:tcW w:w="5049"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网络电话；网络接口：一个RJ-45接口</w:t>
            </w:r>
          </w:p>
        </w:tc>
        <w:tc>
          <w:tcPr>
            <w:tcW w:w="749"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0</w:t>
            </w:r>
          </w:p>
        </w:tc>
      </w:tr>
      <w:tr>
        <w:tblPrEx>
          <w:tblCellMar>
            <w:top w:w="0" w:type="dxa"/>
            <w:left w:w="108" w:type="dxa"/>
            <w:bottom w:w="0" w:type="dxa"/>
            <w:right w:w="108" w:type="dxa"/>
          </w:tblCellMar>
        </w:tblPrEx>
        <w:trPr>
          <w:trHeight w:val="270" w:hRule="atLeast"/>
        </w:trPr>
        <w:tc>
          <w:tcPr>
            <w:tcW w:w="1974" w:type="dxa"/>
            <w:tcBorders>
              <w:top w:val="nil"/>
              <w:left w:val="single" w:color="auto" w:sz="4" w:space="0"/>
              <w:bottom w:val="nil"/>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S5735-L48P4S-A1</w:t>
            </w:r>
          </w:p>
        </w:tc>
        <w:tc>
          <w:tcPr>
            <w:tcW w:w="1232" w:type="dxa"/>
            <w:tcBorders>
              <w:top w:val="nil"/>
              <w:left w:val="nil"/>
              <w:bottom w:val="nil"/>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华为</w:t>
            </w:r>
          </w:p>
        </w:tc>
        <w:tc>
          <w:tcPr>
            <w:tcW w:w="5049" w:type="dxa"/>
            <w:tcBorders>
              <w:top w:val="nil"/>
              <w:left w:val="nil"/>
              <w:bottom w:val="nil"/>
              <w:right w:val="single" w:color="auto" w:sz="4" w:space="0"/>
            </w:tcBorders>
            <w:noWrap/>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1、交换容量≥432Gbps,包转发率≥166Mpps,48个千兆电口，4个千兆SFP，支持802.3at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支持快速POE</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POE+功能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整机POE输出功率380W；</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支持RIP、RIPng、OSPF、OSPFv3路由协议；支持DHCPv6 Snooping，DAI，SAVI等安全特性；</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支持Telemetry技术，配合网络分析组件通过智能故障识别算法对网络数据进行分析；</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支持交流供电，业务口防雷：共模±10kV，电源口防雷：差模±6kV，共模±6kV；</w:t>
            </w:r>
          </w:p>
        </w:tc>
        <w:tc>
          <w:tcPr>
            <w:tcW w:w="749" w:type="dxa"/>
            <w:tcBorders>
              <w:top w:val="nil"/>
              <w:left w:val="nil"/>
              <w:bottom w:val="nil"/>
              <w:right w:val="single" w:color="auto" w:sz="4" w:space="0"/>
            </w:tcBorders>
            <w:noWrap/>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r>
      <w:tr>
        <w:tblPrEx>
          <w:tblCellMar>
            <w:top w:w="0" w:type="dxa"/>
            <w:left w:w="108" w:type="dxa"/>
            <w:bottom w:w="0" w:type="dxa"/>
            <w:right w:w="108" w:type="dxa"/>
          </w:tblCellMar>
        </w:tblPrEx>
        <w:trPr>
          <w:trHeight w:val="270" w:hRule="atLeast"/>
        </w:trPr>
        <w:tc>
          <w:tcPr>
            <w:tcW w:w="19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光纤模块</w:t>
            </w:r>
          </w:p>
        </w:tc>
        <w:tc>
          <w:tcPr>
            <w:tcW w:w="1232"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ESFP-GE-SX-MM850</w:t>
            </w:r>
          </w:p>
        </w:tc>
        <w:tc>
          <w:tcPr>
            <w:tcW w:w="5049" w:type="dxa"/>
            <w:tcBorders>
              <w:top w:val="single" w:color="auto" w:sz="4" w:space="0"/>
              <w:left w:val="nil"/>
              <w:bottom w:val="single" w:color="auto" w:sz="4" w:space="0"/>
              <w:right w:val="single" w:color="auto" w:sz="4" w:space="0"/>
            </w:tcBorders>
            <w:noWrap/>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多模千兆光模块</w:t>
            </w:r>
          </w:p>
        </w:tc>
        <w:tc>
          <w:tcPr>
            <w:tcW w:w="749"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tc>
      </w:tr>
      <w:tr>
        <w:tblPrEx>
          <w:tblCellMar>
            <w:top w:w="0" w:type="dxa"/>
            <w:left w:w="108" w:type="dxa"/>
            <w:bottom w:w="0" w:type="dxa"/>
            <w:right w:w="108" w:type="dxa"/>
          </w:tblCellMar>
        </w:tblPrEx>
        <w:trPr>
          <w:trHeight w:val="270" w:hRule="atLeast"/>
        </w:trPr>
        <w:tc>
          <w:tcPr>
            <w:tcW w:w="19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光纤模块</w:t>
            </w:r>
          </w:p>
        </w:tc>
        <w:tc>
          <w:tcPr>
            <w:tcW w:w="1232"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p>
        </w:tc>
        <w:tc>
          <w:tcPr>
            <w:tcW w:w="5049" w:type="dxa"/>
            <w:tcBorders>
              <w:top w:val="single" w:color="auto" w:sz="4" w:space="0"/>
              <w:left w:val="nil"/>
              <w:bottom w:val="single" w:color="auto" w:sz="4" w:space="0"/>
              <w:right w:val="single" w:color="auto" w:sz="4" w:space="0"/>
            </w:tcBorders>
            <w:noWrap/>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多模</w:t>
            </w:r>
            <w:r>
              <w:rPr>
                <w:rFonts w:hint="eastAsia" w:ascii="宋体" w:hAnsi="宋体" w:eastAsia="宋体" w:cs="宋体"/>
                <w:sz w:val="24"/>
                <w:szCs w:val="24"/>
                <w:highlight w:val="none"/>
                <w:lang w:eastAsia="zh-CN"/>
              </w:rPr>
              <w:t>万</w:t>
            </w:r>
            <w:r>
              <w:rPr>
                <w:rFonts w:hint="eastAsia" w:ascii="宋体" w:hAnsi="宋体" w:eastAsia="宋体" w:cs="宋体"/>
                <w:sz w:val="24"/>
                <w:szCs w:val="24"/>
                <w:highlight w:val="none"/>
              </w:rPr>
              <w:t>兆光模块</w:t>
            </w:r>
          </w:p>
        </w:tc>
        <w:tc>
          <w:tcPr>
            <w:tcW w:w="749"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r>
      <w:tr>
        <w:tblPrEx>
          <w:tblCellMar>
            <w:top w:w="0" w:type="dxa"/>
            <w:left w:w="108" w:type="dxa"/>
            <w:bottom w:w="0" w:type="dxa"/>
            <w:right w:w="108" w:type="dxa"/>
          </w:tblCellMar>
        </w:tblPrEx>
        <w:trPr>
          <w:trHeight w:val="270" w:hRule="atLeast"/>
        </w:trPr>
        <w:tc>
          <w:tcPr>
            <w:tcW w:w="19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光纤模块</w:t>
            </w:r>
          </w:p>
        </w:tc>
        <w:tc>
          <w:tcPr>
            <w:tcW w:w="1232"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p>
        </w:tc>
        <w:tc>
          <w:tcPr>
            <w:tcW w:w="5049" w:type="dxa"/>
            <w:tcBorders>
              <w:top w:val="single" w:color="auto" w:sz="4" w:space="0"/>
              <w:left w:val="nil"/>
              <w:bottom w:val="single" w:color="auto" w:sz="4" w:space="0"/>
              <w:right w:val="single" w:color="auto" w:sz="4" w:space="0"/>
            </w:tcBorders>
            <w:noWrap/>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单</w:t>
            </w:r>
            <w:r>
              <w:rPr>
                <w:rFonts w:hint="eastAsia" w:ascii="宋体" w:hAnsi="宋体" w:eastAsia="宋体" w:cs="宋体"/>
                <w:sz w:val="24"/>
                <w:szCs w:val="24"/>
                <w:highlight w:val="none"/>
              </w:rPr>
              <w:t>模</w:t>
            </w:r>
            <w:r>
              <w:rPr>
                <w:rFonts w:hint="eastAsia" w:ascii="宋体" w:hAnsi="宋体" w:eastAsia="宋体" w:cs="宋体"/>
                <w:sz w:val="24"/>
                <w:szCs w:val="24"/>
                <w:highlight w:val="none"/>
                <w:lang w:eastAsia="zh-CN"/>
              </w:rPr>
              <w:t>万</w:t>
            </w:r>
            <w:r>
              <w:rPr>
                <w:rFonts w:hint="eastAsia" w:ascii="宋体" w:hAnsi="宋体" w:eastAsia="宋体" w:cs="宋体"/>
                <w:sz w:val="24"/>
                <w:szCs w:val="24"/>
                <w:highlight w:val="none"/>
              </w:rPr>
              <w:t>兆光模块</w:t>
            </w:r>
          </w:p>
        </w:tc>
        <w:tc>
          <w:tcPr>
            <w:tcW w:w="749"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r>
    </w:tbl>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r>
        <w:rPr>
          <w:rFonts w:hint="eastAsia" w:hAnsi="宋体" w:cs="宋体"/>
          <w:bCs/>
          <w:sz w:val="24"/>
          <w:szCs w:val="24"/>
          <w:highlight w:val="none"/>
          <w:lang w:val="en-US" w:eastAsia="zh-CN"/>
        </w:rPr>
        <w:t>供应商</w:t>
      </w:r>
      <w:r>
        <w:rPr>
          <w:rFonts w:hint="eastAsia" w:ascii="宋体" w:hAnsi="宋体" w:eastAsia="宋体" w:cs="宋体"/>
          <w:bCs/>
          <w:sz w:val="24"/>
          <w:szCs w:val="24"/>
          <w:highlight w:val="none"/>
        </w:rPr>
        <w:t>提供承诺函所提供的备件为原厂正品，设备到后验货。</w:t>
      </w:r>
    </w:p>
    <w:p>
      <w:pPr>
        <w:tabs>
          <w:tab w:val="left" w:pos="0"/>
          <w:tab w:val="left" w:pos="3480"/>
        </w:tabs>
        <w:snapToGrid w:val="0"/>
        <w:spacing w:line="360" w:lineRule="auto"/>
        <w:rPr>
          <w:rFonts w:hint="eastAsia" w:ascii="宋体" w:hAnsi="宋体" w:eastAsia="宋体" w:cs="宋体"/>
          <w:bCs/>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eastAsia="zh-CN"/>
        </w:rPr>
        <w:t>语音系统</w:t>
      </w:r>
      <w:r>
        <w:rPr>
          <w:rFonts w:hint="eastAsia" w:ascii="宋体" w:hAnsi="宋体" w:eastAsia="宋体" w:cs="宋体"/>
          <w:bCs/>
          <w:sz w:val="24"/>
          <w:szCs w:val="24"/>
          <w:highlight w:val="none"/>
        </w:rPr>
        <w:t>：</w:t>
      </w:r>
    </w:p>
    <w:p>
      <w:pPr>
        <w:tabs>
          <w:tab w:val="left" w:pos="0"/>
          <w:tab w:val="left" w:pos="3480"/>
        </w:tabs>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eastAsia="zh-CN"/>
        </w:rPr>
        <w:t>根据</w:t>
      </w:r>
      <w:r>
        <w:rPr>
          <w:rFonts w:hint="eastAsia" w:ascii="宋体" w:hAnsi="宋体" w:eastAsia="宋体" w:cs="宋体"/>
          <w:bCs/>
          <w:sz w:val="24"/>
          <w:szCs w:val="24"/>
          <w:highlight w:val="none"/>
        </w:rPr>
        <w:t>需要进行系统升级的</w:t>
      </w:r>
      <w:r>
        <w:rPr>
          <w:rFonts w:hint="eastAsia" w:ascii="宋体" w:hAnsi="宋体" w:eastAsia="宋体" w:cs="宋体"/>
          <w:bCs/>
          <w:sz w:val="24"/>
          <w:szCs w:val="24"/>
          <w:highlight w:val="none"/>
          <w:lang w:eastAsia="zh-CN"/>
        </w:rPr>
        <w:t>应</w:t>
      </w:r>
      <w:r>
        <w:rPr>
          <w:rFonts w:hint="eastAsia" w:ascii="宋体" w:hAnsi="宋体" w:eastAsia="宋体" w:cs="宋体"/>
          <w:bCs/>
          <w:sz w:val="24"/>
          <w:szCs w:val="24"/>
          <w:highlight w:val="none"/>
        </w:rPr>
        <w:t>及时升级，产生费用由</w:t>
      </w:r>
      <w:r>
        <w:rPr>
          <w:rFonts w:hint="eastAsia" w:hAnsi="宋体" w:cs="宋体"/>
          <w:bCs/>
          <w:sz w:val="24"/>
          <w:szCs w:val="24"/>
          <w:highlight w:val="none"/>
          <w:lang w:val="en-US" w:eastAsia="zh-CN"/>
        </w:rPr>
        <w:t>供应商</w:t>
      </w:r>
      <w:r>
        <w:rPr>
          <w:rFonts w:hint="eastAsia" w:ascii="宋体" w:hAnsi="宋体" w:eastAsia="宋体" w:cs="宋体"/>
          <w:bCs/>
          <w:sz w:val="24"/>
          <w:szCs w:val="24"/>
          <w:highlight w:val="none"/>
        </w:rPr>
        <w:t>自行承担</w:t>
      </w:r>
      <w:r>
        <w:rPr>
          <w:rFonts w:hint="eastAsia" w:ascii="宋体" w:hAnsi="宋体" w:eastAsia="宋体" w:cs="宋体"/>
          <w:bCs/>
          <w:sz w:val="24"/>
          <w:szCs w:val="24"/>
          <w:highlight w:val="none"/>
          <w:lang w:val="en-US" w:eastAsia="zh-CN"/>
        </w:rPr>
        <w:t>;</w:t>
      </w:r>
      <w:r>
        <w:rPr>
          <w:rFonts w:hint="eastAsia" w:ascii="宋体" w:hAnsi="宋体" w:eastAsia="宋体" w:cs="宋体"/>
          <w:color w:val="000000"/>
          <w:sz w:val="24"/>
          <w:szCs w:val="24"/>
          <w:highlight w:val="none"/>
          <w:lang w:eastAsia="zh-CN"/>
        </w:rPr>
        <w:t>对</w:t>
      </w:r>
      <w:r>
        <w:rPr>
          <w:rFonts w:hint="eastAsia" w:ascii="宋体" w:hAnsi="宋体" w:eastAsia="宋体" w:cs="宋体"/>
          <w:color w:val="000000"/>
          <w:sz w:val="24"/>
          <w:szCs w:val="24"/>
          <w:highlight w:val="none"/>
        </w:rPr>
        <w:t>现有语音系统Cisco Unified Communication</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Yeastar S1000-PS</w:t>
      </w:r>
      <w:r>
        <w:rPr>
          <w:rFonts w:hint="eastAsia" w:ascii="宋体" w:hAnsi="宋体" w:eastAsia="宋体" w:cs="宋体"/>
          <w:color w:val="000000"/>
          <w:sz w:val="24"/>
          <w:szCs w:val="24"/>
          <w:highlight w:val="none"/>
          <w:lang w:eastAsia="zh-CN"/>
        </w:rPr>
        <w:t>提供专业维保服务（硬件及软件系统）</w:t>
      </w:r>
      <w:r>
        <w:rPr>
          <w:rFonts w:hint="eastAsia" w:ascii="宋体" w:hAnsi="宋体" w:eastAsia="宋体" w:cs="宋体"/>
          <w:color w:val="000000"/>
          <w:sz w:val="24"/>
          <w:szCs w:val="24"/>
          <w:highlight w:val="none"/>
          <w:lang w:val="en-US" w:eastAsia="zh-CN"/>
        </w:rPr>
        <w:t>，完成两套语音系统无缝互通工作</w:t>
      </w:r>
      <w:r>
        <w:rPr>
          <w:rFonts w:hint="eastAsia" w:ascii="宋体" w:hAnsi="宋体" w:eastAsia="宋体" w:cs="宋体"/>
          <w:sz w:val="24"/>
          <w:szCs w:val="24"/>
          <w:highlight w:val="none"/>
          <w:lang w:val="en-US" w:eastAsia="zh-CN"/>
        </w:rPr>
        <w:t>。</w:t>
      </w:r>
    </w:p>
    <w:p>
      <w:pPr>
        <w:tabs>
          <w:tab w:val="left" w:pos="0"/>
          <w:tab w:val="left" w:pos="3480"/>
        </w:tabs>
        <w:snapToGrid w:val="0"/>
        <w:spacing w:line="360" w:lineRule="auto"/>
        <w:rPr>
          <w:rFonts w:hint="eastAsia" w:ascii="宋体" w:hAnsi="宋体" w:eastAsia="宋体" w:cs="宋体"/>
          <w:bCs/>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lang w:eastAsia="zh-CN"/>
        </w:rPr>
        <w:t>安全准入系统</w:t>
      </w:r>
      <w:r>
        <w:rPr>
          <w:rFonts w:hint="eastAsia" w:ascii="宋体" w:hAnsi="宋体" w:eastAsia="宋体" w:cs="宋体"/>
          <w:bCs/>
          <w:sz w:val="24"/>
          <w:szCs w:val="24"/>
          <w:highlight w:val="none"/>
        </w:rPr>
        <w:t>：</w:t>
      </w:r>
    </w:p>
    <w:p>
      <w:pPr>
        <w:tabs>
          <w:tab w:val="left" w:pos="0"/>
          <w:tab w:val="left" w:pos="3480"/>
        </w:tabs>
        <w:snapToGrid w:val="0"/>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对现在准入系统增加以下功能授权，主要包括但不限于:</w:t>
      </w:r>
    </w:p>
    <w:p>
      <w:pPr>
        <w:tabs>
          <w:tab w:val="left" w:pos="0"/>
          <w:tab w:val="left" w:pos="3480"/>
        </w:tabs>
        <w:snapToGrid w:val="0"/>
        <w:spacing w:line="360" w:lineRule="auto"/>
        <w:ind w:left="1210" w:leftChars="214" w:hanging="482" w:hangingChars="200"/>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（1）移动存储设备注册；</w:t>
      </w:r>
    </w:p>
    <w:p>
      <w:pPr>
        <w:tabs>
          <w:tab w:val="left" w:pos="0"/>
          <w:tab w:val="left" w:pos="3480"/>
        </w:tabs>
        <w:snapToGrid w:val="0"/>
        <w:spacing w:line="360" w:lineRule="auto"/>
        <w:ind w:left="1355" w:leftChars="328" w:hanging="240" w:hanging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（2）动存储文件操作审计与控制</w:t>
      </w:r>
    </w:p>
    <w:p>
      <w:pPr>
        <w:tabs>
          <w:tab w:val="left" w:pos="0"/>
          <w:tab w:val="left" w:pos="3480"/>
        </w:tabs>
        <w:snapToGrid w:val="0"/>
        <w:spacing w:line="360" w:lineRule="auto"/>
        <w:ind w:left="1355" w:leftChars="328" w:hanging="240" w:hanging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（3）终端授权数量不少于500个</w:t>
      </w:r>
    </w:p>
    <w:p>
      <w:pPr>
        <w:tabs>
          <w:tab w:val="left" w:pos="0"/>
          <w:tab w:val="left" w:pos="3480"/>
        </w:tabs>
        <w:snapToGrid w:val="0"/>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6设备除尘</w:t>
      </w:r>
    </w:p>
    <w:p>
      <w:pPr>
        <w:tabs>
          <w:tab w:val="left" w:pos="0"/>
          <w:tab w:val="left" w:pos="3480"/>
        </w:tabs>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在不影响正常工作的情况下对现在二层网络交换机进行除尘，对机房及弱电井线路进行整理、规范并形成完整的资料。</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 xml:space="preserve">  人员配置要求：</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4.1</w:t>
      </w:r>
      <w:r>
        <w:rPr>
          <w:rFonts w:hint="eastAsia" w:hAnsi="宋体" w:cs="宋体"/>
          <w:kern w:val="0"/>
          <w:sz w:val="24"/>
          <w:szCs w:val="24"/>
          <w:highlight w:val="none"/>
          <w:lang w:val="en-US" w:eastAsia="zh-CN"/>
        </w:rPr>
        <w:t>供应商</w:t>
      </w:r>
      <w:r>
        <w:rPr>
          <w:rFonts w:hint="eastAsia" w:ascii="宋体" w:hAnsi="宋体" w:eastAsia="宋体" w:cs="宋体"/>
          <w:kern w:val="0"/>
          <w:sz w:val="24"/>
          <w:szCs w:val="24"/>
          <w:highlight w:val="none"/>
        </w:rPr>
        <w:t>必须安排至少1名获得HCNP或同级别（CCNP、H3CSE、RCNP）专业技术认证工程师驻场</w:t>
      </w:r>
      <w:r>
        <w:rPr>
          <w:rFonts w:hint="eastAsia" w:ascii="宋体" w:hAnsi="宋体" w:eastAsia="宋体" w:cs="宋体"/>
          <w:kern w:val="0"/>
          <w:sz w:val="24"/>
          <w:szCs w:val="24"/>
          <w:highlight w:val="none"/>
          <w:lang w:eastAsia="zh-CN"/>
        </w:rPr>
        <w:t>服务</w:t>
      </w:r>
      <w:r>
        <w:rPr>
          <w:rFonts w:hint="eastAsia" w:ascii="宋体" w:hAnsi="宋体" w:eastAsia="宋体" w:cs="宋体"/>
          <w:kern w:val="0"/>
          <w:sz w:val="24"/>
          <w:szCs w:val="24"/>
          <w:highlight w:val="none"/>
        </w:rPr>
        <w:t>。（提供证书复印件）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在维保期内，</w:t>
      </w:r>
      <w:r>
        <w:rPr>
          <w:rFonts w:hint="eastAsia" w:ascii="宋体" w:hAnsi="宋体" w:eastAsia="宋体" w:cs="宋体"/>
          <w:kern w:val="0"/>
          <w:sz w:val="24"/>
          <w:szCs w:val="24"/>
          <w:highlight w:val="none"/>
        </w:rPr>
        <w:t>驻场</w:t>
      </w:r>
      <w:r>
        <w:rPr>
          <w:rFonts w:hint="eastAsia" w:ascii="宋体" w:hAnsi="宋体" w:eastAsia="宋体" w:cs="宋体"/>
          <w:sz w:val="24"/>
          <w:szCs w:val="24"/>
          <w:highlight w:val="none"/>
        </w:rPr>
        <w:t>工程师在5*8工作日内常驻，为医院提供现场技术支持、进行网络系统故障维护；</w:t>
      </w:r>
      <w:r>
        <w:rPr>
          <w:rFonts w:hint="eastAsia" w:ascii="宋体" w:hAnsi="宋体" w:eastAsia="宋体" w:cs="宋体"/>
          <w:sz w:val="24"/>
          <w:szCs w:val="24"/>
        </w:rPr>
        <w:t>处理医院各个终端系统的网络故障；非工作时间与院方技术人员共同进行远程维护，在出现网络及系统故障时维护人员须在1小时内到达现场；节假日与院方技术人员共同进行现场维护，遇重大活动的或医院信息化项目实施，</w:t>
      </w:r>
      <w:r>
        <w:rPr>
          <w:rFonts w:hint="eastAsia" w:hAnsi="宋体" w:cs="宋体"/>
          <w:bCs/>
          <w:sz w:val="24"/>
          <w:szCs w:val="24"/>
          <w:highlight w:val="none"/>
          <w:lang w:val="en-US" w:eastAsia="zh-CN"/>
        </w:rPr>
        <w:t>供应商</w:t>
      </w:r>
      <w:r>
        <w:rPr>
          <w:rFonts w:hint="eastAsia" w:ascii="宋体" w:hAnsi="宋体" w:eastAsia="宋体" w:cs="宋体"/>
          <w:sz w:val="24"/>
          <w:szCs w:val="24"/>
        </w:rPr>
        <w:t>应根据医院方需要加派工程师参与现场维护或配合工作。</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4.2</w:t>
      </w:r>
      <w:r>
        <w:rPr>
          <w:rFonts w:hint="eastAsia" w:ascii="宋体" w:hAnsi="宋体" w:eastAsia="宋体" w:cs="宋体"/>
          <w:sz w:val="24"/>
          <w:szCs w:val="24"/>
        </w:rPr>
        <w:t>在厂家的工程师未到现场前，须准确分析、定位故障，并提供解决方案，原则上对医院的服务都由指定工程师完成。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现场常驻服务中包括每日对核心设备及网络的健康巡检。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强IT资产的巡检和普查，收集业务系统、硬件、软件、文档、线路、系统环境等信息，建立了各种配置项间的关联关系。通过该配置管理数据库，获得目前IT基础设施状态的准确信息。规范配置信息的识别、管理，使得关键的配置信息准确地记录在管理数据库中，确保配置信息记录与实际环境的一致性。按日、周、月、年对设备基本信息、性能数据、故障信息、安全信息、服务信息进行统计分析，为决策提供支持。</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4.3</w:t>
      </w:r>
      <w:r>
        <w:rPr>
          <w:rFonts w:hint="eastAsia" w:ascii="宋体" w:hAnsi="宋体" w:eastAsia="宋体" w:cs="宋体"/>
          <w:sz w:val="24"/>
          <w:szCs w:val="24"/>
        </w:rPr>
        <w:t>核心设备（核心交换含防火墙板卡；出口防火墙设备等）配置保存并备份，一月一次，在每月初提交设备配置备份数据（电子版）给医院指定人员。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驻场人员应具有较高的信息系统及网络维护能力，能独立完成系统及网络的维护工作，对入场1个月仍不能胜任工作的，须及时更换；维保期内应保持驻场人员的稳定，驻地人员。如确需替换的，需经医院同意且替换人员资质应不低于被替换人员的资质要求，且能足够胜任相关的维护工作。</w:t>
      </w:r>
    </w:p>
    <w:p>
      <w:pPr>
        <w:spacing w:line="360" w:lineRule="auto"/>
        <w:ind w:left="1136" w:leftChars="142" w:hanging="653" w:hangingChars="271"/>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5</w:t>
      </w:r>
      <w:r>
        <w:rPr>
          <w:rFonts w:hint="eastAsia" w:ascii="宋体" w:hAnsi="宋体" w:eastAsia="宋体" w:cs="宋体"/>
          <w:b/>
          <w:sz w:val="24"/>
          <w:szCs w:val="24"/>
        </w:rPr>
        <w:t xml:space="preserve">  设施设备配置要求：</w:t>
      </w:r>
    </w:p>
    <w:p>
      <w:pPr>
        <w:tabs>
          <w:tab w:val="left" w:pos="0"/>
          <w:tab w:val="left" w:pos="3480"/>
        </w:tabs>
        <w:snapToGrid w:val="0"/>
        <w:spacing w:line="360" w:lineRule="auto"/>
        <w:ind w:firstLine="480" w:firstLineChars="200"/>
        <w:rPr>
          <w:rFonts w:hint="eastAsia" w:ascii="宋体" w:hAnsi="宋体" w:eastAsia="宋体" w:cs="宋体"/>
          <w:sz w:val="24"/>
          <w:szCs w:val="24"/>
        </w:rPr>
      </w:pPr>
      <w:r>
        <w:rPr>
          <w:rFonts w:hint="eastAsia" w:hAnsi="宋体" w:cs="宋体"/>
          <w:bCs/>
          <w:sz w:val="24"/>
          <w:szCs w:val="24"/>
          <w:highlight w:val="none"/>
          <w:lang w:val="en-US" w:eastAsia="zh-CN"/>
        </w:rPr>
        <w:t>供应商</w:t>
      </w:r>
      <w:r>
        <w:rPr>
          <w:rFonts w:hint="eastAsia" w:ascii="宋体" w:hAnsi="宋体" w:eastAsia="宋体" w:cs="宋体"/>
          <w:sz w:val="24"/>
          <w:szCs w:val="24"/>
        </w:rPr>
        <w:t>为医院提供厂家的DEBUG工具、现场故障提示等并提供维保设备同型号设备的实验环境，便于重现网络问题</w:t>
      </w:r>
      <w:r>
        <w:rPr>
          <w:rFonts w:hint="eastAsia" w:ascii="宋体" w:hAnsi="宋体" w:eastAsia="宋体" w:cs="宋体"/>
          <w:sz w:val="24"/>
          <w:szCs w:val="24"/>
          <w:lang w:eastAsia="zh-CN"/>
        </w:rPr>
        <w:t>。</w:t>
      </w:r>
      <w:r>
        <w:rPr>
          <w:rFonts w:hint="eastAsia" w:ascii="宋体" w:hAnsi="宋体" w:eastAsia="宋体" w:cs="宋体"/>
          <w:sz w:val="24"/>
          <w:szCs w:val="24"/>
        </w:rPr>
        <w:t>出现故障时，由</w:t>
      </w:r>
      <w:r>
        <w:rPr>
          <w:rFonts w:hint="eastAsia" w:hAnsi="宋体" w:cs="宋体"/>
          <w:bCs/>
          <w:sz w:val="24"/>
          <w:szCs w:val="24"/>
          <w:highlight w:val="none"/>
          <w:lang w:val="en-US" w:eastAsia="zh-CN"/>
        </w:rPr>
        <w:t>供应商</w:t>
      </w:r>
      <w:r>
        <w:rPr>
          <w:rFonts w:hint="eastAsia" w:ascii="宋体" w:hAnsi="宋体" w:eastAsia="宋体" w:cs="宋体"/>
          <w:sz w:val="24"/>
          <w:szCs w:val="24"/>
        </w:rPr>
        <w:t>负责联系原厂，建立故障CASE，分析、定位排除故障，恢复系统使用，了解故障解决进程；更换备件后于保障的下个工作日NBD服务。</w:t>
      </w:r>
    </w:p>
    <w:p>
      <w:pPr>
        <w:tabs>
          <w:tab w:val="left" w:pos="0"/>
          <w:tab w:val="left" w:pos="3480"/>
        </w:tabs>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配合完成医院</w:t>
      </w:r>
      <w:r>
        <w:rPr>
          <w:rFonts w:hint="eastAsia" w:ascii="宋体" w:hAnsi="宋体" w:eastAsia="宋体" w:cs="宋体"/>
          <w:sz w:val="24"/>
          <w:szCs w:val="24"/>
          <w:lang w:eastAsia="zh-CN"/>
        </w:rPr>
        <w:t>机房改造及搬迁工作</w:t>
      </w:r>
      <w:r>
        <w:rPr>
          <w:rFonts w:hint="eastAsia" w:ascii="宋体" w:hAnsi="宋体" w:eastAsia="宋体" w:cs="宋体"/>
          <w:sz w:val="24"/>
          <w:szCs w:val="24"/>
        </w:rPr>
        <w:t>，</w:t>
      </w:r>
      <w:r>
        <w:rPr>
          <w:rFonts w:hint="eastAsia" w:hAnsi="宋体" w:cs="宋体"/>
          <w:bCs/>
          <w:sz w:val="24"/>
          <w:szCs w:val="24"/>
          <w:highlight w:val="none"/>
          <w:lang w:val="en-US" w:eastAsia="zh-CN"/>
        </w:rPr>
        <w:t>供应商</w:t>
      </w:r>
      <w:r>
        <w:rPr>
          <w:rFonts w:hint="eastAsia" w:ascii="宋体" w:hAnsi="宋体" w:eastAsia="宋体" w:cs="宋体"/>
          <w:sz w:val="24"/>
          <w:szCs w:val="24"/>
        </w:rPr>
        <w:t>须安排不少于3人，协助医院进行服务器设备、存储等设备的</w:t>
      </w:r>
      <w:r>
        <w:rPr>
          <w:rFonts w:hint="eastAsia" w:ascii="宋体" w:hAnsi="宋体" w:eastAsia="宋体" w:cs="宋体"/>
          <w:sz w:val="24"/>
          <w:szCs w:val="24"/>
          <w:lang w:eastAsia="zh-CN"/>
        </w:rPr>
        <w:t>调整</w:t>
      </w:r>
      <w:r>
        <w:rPr>
          <w:rFonts w:hint="eastAsia" w:ascii="宋体" w:hAnsi="宋体" w:eastAsia="宋体" w:cs="宋体"/>
          <w:sz w:val="24"/>
          <w:szCs w:val="24"/>
        </w:rPr>
        <w:t>。并安排专职工程师配合医院完成整体数据中心的构架</w:t>
      </w:r>
      <w:r>
        <w:rPr>
          <w:rFonts w:hint="eastAsia" w:ascii="宋体" w:hAnsi="宋体" w:eastAsia="宋体" w:cs="宋体"/>
          <w:sz w:val="24"/>
          <w:szCs w:val="24"/>
          <w:lang w:val="en-US" w:eastAsia="zh-CN"/>
        </w:rPr>
        <w:t>。</w:t>
      </w:r>
    </w:p>
    <w:p>
      <w:pPr>
        <w:tabs>
          <w:tab w:val="left" w:pos="0"/>
          <w:tab w:val="left" w:pos="3480"/>
        </w:tabs>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提供网络维护所需的常用软件系统及网络线路测试设备，提供至少</w:t>
      </w:r>
      <w:r>
        <w:rPr>
          <w:rFonts w:hint="eastAsia" w:ascii="宋体" w:hAnsi="宋体" w:eastAsia="宋体" w:cs="宋体"/>
          <w:sz w:val="24"/>
          <w:szCs w:val="24"/>
          <w:lang w:val="en-US" w:eastAsia="zh-CN"/>
        </w:rPr>
        <w:t>5套常用的维护工具及日常耗材。</w:t>
      </w:r>
    </w:p>
    <w:p>
      <w:pPr>
        <w:spacing w:line="360" w:lineRule="auto"/>
        <w:ind w:left="713" w:leftChars="141" w:hanging="234" w:hangingChars="97"/>
        <w:rPr>
          <w:rFonts w:hint="eastAsia" w:ascii="宋体" w:hAnsi="宋体" w:eastAsia="宋体" w:cs="宋体"/>
          <w:sz w:val="24"/>
          <w:szCs w:val="24"/>
        </w:rPr>
      </w:pPr>
      <w:r>
        <w:rPr>
          <w:rFonts w:hint="eastAsia" w:ascii="宋体" w:hAnsi="宋体" w:eastAsia="宋体" w:cs="宋体"/>
          <w:b/>
          <w:color w:val="000000"/>
          <w:sz w:val="24"/>
          <w:szCs w:val="24"/>
        </w:rPr>
        <w:t>★</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技术力量</w:t>
      </w:r>
    </w:p>
    <w:p>
      <w:pPr>
        <w:spacing w:line="360" w:lineRule="auto"/>
        <w:ind w:firstLine="480" w:firstLineChars="200"/>
        <w:rPr>
          <w:rFonts w:hint="eastAsia" w:ascii="宋体" w:hAnsi="宋体" w:eastAsia="宋体" w:cs="宋体"/>
          <w:sz w:val="24"/>
          <w:szCs w:val="24"/>
        </w:rPr>
      </w:pPr>
      <w:r>
        <w:rPr>
          <w:rFonts w:hint="eastAsia" w:hAnsi="宋体" w:cs="宋体"/>
          <w:bCs/>
          <w:sz w:val="24"/>
          <w:szCs w:val="24"/>
          <w:highlight w:val="none"/>
          <w:lang w:val="en-US" w:eastAsia="zh-CN"/>
        </w:rPr>
        <w:t>供应商</w:t>
      </w:r>
      <w:r>
        <w:rPr>
          <w:rFonts w:hint="eastAsia" w:ascii="宋体" w:hAnsi="宋体" w:eastAsia="宋体" w:cs="宋体"/>
          <w:sz w:val="24"/>
          <w:szCs w:val="24"/>
        </w:rPr>
        <w:t>承诺</w:t>
      </w:r>
      <w:r>
        <w:rPr>
          <w:rFonts w:hint="eastAsia" w:hAnsi="宋体" w:cs="宋体"/>
          <w:sz w:val="24"/>
          <w:szCs w:val="24"/>
          <w:lang w:val="en-US" w:eastAsia="zh-CN"/>
        </w:rPr>
        <w:t>成交</w:t>
      </w:r>
      <w:r>
        <w:rPr>
          <w:rFonts w:hint="eastAsia" w:ascii="宋体" w:hAnsi="宋体" w:eastAsia="宋体" w:cs="宋体"/>
          <w:sz w:val="24"/>
          <w:szCs w:val="24"/>
        </w:rPr>
        <w:t>后设常驻机构，常驻10名以上、且具有</w:t>
      </w:r>
      <w:r>
        <w:rPr>
          <w:rFonts w:hint="eastAsia" w:ascii="宋体" w:hAnsi="宋体" w:eastAsia="宋体" w:cs="宋体"/>
          <w:sz w:val="24"/>
          <w:szCs w:val="24"/>
          <w:lang w:val="en-US" w:eastAsia="zh-CN"/>
        </w:rPr>
        <w:t>≥</w:t>
      </w:r>
      <w:r>
        <w:rPr>
          <w:rFonts w:hint="eastAsia" w:ascii="宋体" w:hAnsi="宋体" w:eastAsia="宋体" w:cs="宋体"/>
          <w:sz w:val="24"/>
          <w:szCs w:val="24"/>
        </w:rPr>
        <w:t>5年IT维保/项目实施的工作经验网络/数据中心工程师，其中1名必须</w:t>
      </w:r>
      <w:r>
        <w:rPr>
          <w:rFonts w:hint="eastAsia" w:hAnsi="宋体" w:cs="宋体"/>
          <w:sz w:val="24"/>
          <w:szCs w:val="24"/>
          <w:lang w:val="en-US" w:eastAsia="zh-CN"/>
        </w:rPr>
        <w:t>≥</w:t>
      </w:r>
      <w:r>
        <w:rPr>
          <w:rFonts w:hint="eastAsia" w:ascii="宋体" w:hAnsi="宋体" w:eastAsia="宋体" w:cs="宋体"/>
          <w:sz w:val="24"/>
          <w:szCs w:val="24"/>
        </w:rPr>
        <w:t>10年是相关专业技术专家的资深专家级，在系统故障时能及时响应并迅速排除。（提供承诺书）</w:t>
      </w:r>
    </w:p>
    <w:p>
      <w:pPr>
        <w:spacing w:line="360" w:lineRule="auto"/>
        <w:ind w:left="716" w:hanging="716" w:hangingChars="297"/>
        <w:jc w:val="left"/>
        <w:rPr>
          <w:rFonts w:hint="eastAsia" w:ascii="宋体" w:hAnsi="宋体" w:eastAsia="宋体" w:cs="宋体"/>
          <w:b/>
          <w:sz w:val="24"/>
          <w:szCs w:val="24"/>
        </w:rPr>
      </w:pPr>
      <w:r>
        <w:rPr>
          <w:rFonts w:hint="eastAsia" w:ascii="宋体" w:hAnsi="宋体" w:eastAsia="宋体" w:cs="宋体"/>
          <w:b/>
          <w:bCs w:val="0"/>
          <w:sz w:val="24"/>
          <w:szCs w:val="24"/>
        </w:rPr>
        <w:t>1.</w:t>
      </w: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 xml:space="preserve"> </w:t>
      </w:r>
      <w:r>
        <w:rPr>
          <w:rFonts w:hint="eastAsia" w:ascii="宋体" w:hAnsi="宋体" w:eastAsia="宋体" w:cs="宋体"/>
          <w:b/>
          <w:sz w:val="24"/>
          <w:szCs w:val="24"/>
        </w:rPr>
        <w:t xml:space="preserve"> 其它需要说明的事项：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lang w:val="en-US" w:eastAsia="zh-CN"/>
        </w:rPr>
        <w:t>1.7.1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熟悉网络安全监管制度、技术规范，协助医院完善相关的风险管理要求，加强自身科技风险管理能力。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驻场技术人员在非上班时间出现故障应在30钟内到达现场处理，无法解决的由高级技术人员1小时内通过远程指导的方式排除故障，如远程无法解决故障需立即转为现场服务模式。</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lang w:val="en-US" w:eastAsia="zh-CN"/>
        </w:rPr>
        <w:t xml:space="preserve">1.7.2 </w:t>
      </w:r>
      <w:r>
        <w:rPr>
          <w:rFonts w:hint="eastAsia" w:ascii="宋体" w:hAnsi="宋体" w:eastAsia="宋体" w:cs="宋体"/>
          <w:sz w:val="24"/>
          <w:szCs w:val="24"/>
        </w:rPr>
        <w:t>设备更换或维修要求：如判断设备硬件故障或无法判明是否为硬件故障的，</w:t>
      </w:r>
      <w:r>
        <w:rPr>
          <w:rFonts w:hint="eastAsia" w:hAnsi="宋体" w:cs="宋体"/>
          <w:bCs/>
          <w:sz w:val="24"/>
          <w:szCs w:val="24"/>
          <w:highlight w:val="none"/>
          <w:lang w:val="en-US" w:eastAsia="zh-CN"/>
        </w:rPr>
        <w:t>供应商</w:t>
      </w:r>
      <w:r>
        <w:rPr>
          <w:rFonts w:hint="eastAsia" w:ascii="宋体" w:hAnsi="宋体" w:eastAsia="宋体" w:cs="宋体"/>
          <w:sz w:val="24"/>
          <w:szCs w:val="24"/>
        </w:rPr>
        <w:t>应立即按服务条款准备备用设备，实行备件先行策略。由于本次续保设备多数为核心设备，</w:t>
      </w:r>
      <w:r>
        <w:rPr>
          <w:rFonts w:hint="eastAsia" w:hAnsi="宋体" w:cs="宋体"/>
          <w:bCs/>
          <w:sz w:val="24"/>
          <w:szCs w:val="24"/>
          <w:highlight w:val="none"/>
          <w:lang w:val="en-US" w:eastAsia="zh-CN"/>
        </w:rPr>
        <w:t>供应商</w:t>
      </w:r>
      <w:r>
        <w:rPr>
          <w:rFonts w:hint="eastAsia" w:ascii="宋体" w:hAnsi="宋体" w:eastAsia="宋体" w:cs="宋体"/>
          <w:sz w:val="24"/>
          <w:szCs w:val="24"/>
        </w:rPr>
        <w:t>应该阐述备品及CASE的服务相应流程、措施及时间。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维保入场时，向医院提供详实、周密的维保实施计划，并签署保密协议</w:t>
      </w:r>
      <w:r>
        <w:rPr>
          <w:rFonts w:hint="eastAsia" w:ascii="宋体" w:hAnsi="宋体" w:eastAsia="宋体" w:cs="宋体"/>
          <w:sz w:val="24"/>
          <w:szCs w:val="24"/>
          <w:lang w:eastAsia="zh-CN"/>
        </w:rPr>
        <w:t>，</w:t>
      </w:r>
      <w:r>
        <w:rPr>
          <w:rFonts w:hint="eastAsia" w:ascii="宋体" w:hAnsi="宋体" w:eastAsia="宋体" w:cs="宋体"/>
          <w:sz w:val="24"/>
          <w:szCs w:val="24"/>
        </w:rPr>
        <w:t>对每一次维护必须保存完整的维护记录，并在医院留档</w:t>
      </w:r>
      <w:r>
        <w:rPr>
          <w:rFonts w:hint="eastAsia" w:ascii="宋体" w:hAnsi="宋体" w:eastAsia="宋体" w:cs="宋体"/>
          <w:sz w:val="24"/>
          <w:szCs w:val="24"/>
          <w:lang w:eastAsia="zh-CN"/>
        </w:rPr>
        <w:t>，</w:t>
      </w:r>
      <w:r>
        <w:rPr>
          <w:rFonts w:hint="eastAsia" w:ascii="宋体" w:hAnsi="宋体" w:eastAsia="宋体" w:cs="宋体"/>
          <w:sz w:val="24"/>
          <w:szCs w:val="24"/>
        </w:rPr>
        <w:t>在维保期结束时，向医院提供年度维保总结报告，并参加项目验收工作。</w:t>
      </w:r>
    </w:p>
    <w:p>
      <w:pPr>
        <w:pStyle w:val="82"/>
        <w:spacing w:line="400" w:lineRule="exact"/>
        <w:ind w:left="340" w:leftChars="100"/>
        <w:jc w:val="left"/>
        <w:rPr>
          <w:rFonts w:hint="eastAsia" w:ascii="宋体" w:hAnsi="宋体" w:eastAsia="宋体" w:cs="宋体"/>
          <w:b/>
          <w:color w:val="000000"/>
          <w:sz w:val="24"/>
          <w:szCs w:val="24"/>
          <w:lang w:val="en-US" w:eastAsia="zh-CN"/>
        </w:rPr>
      </w:pPr>
      <w:r>
        <w:rPr>
          <w:rFonts w:hint="eastAsia" w:ascii="宋体" w:hAnsi="宋体" w:eastAsia="宋体" w:cs="宋体"/>
          <w:b/>
          <w:kern w:val="2"/>
          <w:sz w:val="24"/>
          <w:szCs w:val="24"/>
          <w:lang w:val="en-US" w:eastAsia="zh-CN" w:bidi="ar-SA"/>
        </w:rPr>
        <w:t xml:space="preserve">1.8 </w:t>
      </w:r>
      <w:r>
        <w:rPr>
          <w:rFonts w:hint="eastAsia" w:ascii="宋体" w:hAnsi="宋体" w:eastAsia="宋体" w:cs="宋体"/>
          <w:b/>
          <w:color w:val="000000"/>
          <w:sz w:val="24"/>
          <w:szCs w:val="24"/>
          <w:lang w:val="en-US" w:eastAsia="zh-CN"/>
        </w:rPr>
        <w:t>信息系统</w:t>
      </w:r>
      <w:r>
        <w:rPr>
          <w:rFonts w:hint="eastAsia" w:ascii="宋体" w:hAnsi="宋体" w:eastAsia="宋体" w:cs="宋体"/>
          <w:b/>
          <w:kern w:val="2"/>
          <w:sz w:val="24"/>
          <w:szCs w:val="24"/>
          <w:lang w:val="en-US" w:eastAsia="zh-CN" w:bidi="ar-SA"/>
        </w:rPr>
        <w:t>安全运营服务</w:t>
      </w:r>
    </w:p>
    <w:p>
      <w:pPr>
        <w:spacing w:line="360" w:lineRule="auto"/>
        <w:ind w:left="1056" w:leftChars="100" w:hanging="716" w:hangingChars="297"/>
        <w:rPr>
          <w:rFonts w:hint="eastAsia" w:ascii="宋体" w:hAnsi="宋体" w:eastAsia="宋体" w:cs="宋体"/>
          <w:b/>
          <w:sz w:val="24"/>
          <w:szCs w:val="24"/>
        </w:rPr>
      </w:pPr>
      <w:r>
        <w:rPr>
          <w:rFonts w:hint="eastAsia" w:ascii="宋体" w:hAnsi="宋体" w:eastAsia="宋体" w:cs="宋体"/>
          <w:b/>
          <w:sz w:val="24"/>
          <w:szCs w:val="24"/>
          <w:lang w:val="en-US" w:eastAsia="zh-CN"/>
        </w:rPr>
        <w:t>1.8.1</w:t>
      </w:r>
      <w:r>
        <w:rPr>
          <w:rFonts w:hint="eastAsia" w:ascii="宋体" w:hAnsi="宋体" w:eastAsia="宋体" w:cs="宋体"/>
          <w:b/>
          <w:sz w:val="24"/>
          <w:szCs w:val="24"/>
        </w:rPr>
        <w:t>资产识别与梳理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资产发现与识别：借助安全工具对资产进行全面发现和深度识别，并在后续服务过程中触发资产变更等相关服务流程，确保安全运营中心中资产信息的准确性和全面性。</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资产信息梳理与管理：结合安全工具发现的资产信息，进行资产的全面梳理，并将信息录入到安全运营平台中进行管理；</w:t>
      </w:r>
    </w:p>
    <w:p>
      <w:pPr>
        <w:spacing w:line="360" w:lineRule="auto"/>
        <w:ind w:left="1056" w:leftChars="100" w:hanging="716" w:hangingChars="297"/>
        <w:rPr>
          <w:rFonts w:hint="eastAsia" w:ascii="宋体" w:hAnsi="宋体" w:eastAsia="宋体" w:cs="宋体"/>
          <w:b/>
          <w:sz w:val="24"/>
          <w:szCs w:val="24"/>
        </w:rPr>
      </w:pPr>
      <w:r>
        <w:rPr>
          <w:rFonts w:hint="eastAsia" w:ascii="宋体" w:hAnsi="宋体" w:eastAsia="宋体" w:cs="宋体"/>
          <w:b/>
          <w:color w:val="000000"/>
          <w:sz w:val="24"/>
          <w:szCs w:val="24"/>
        </w:rPr>
        <w:t>★</w:t>
      </w:r>
      <w:r>
        <w:rPr>
          <w:rFonts w:hint="eastAsia" w:ascii="宋体" w:hAnsi="宋体" w:eastAsia="宋体" w:cs="宋体"/>
          <w:b/>
          <w:sz w:val="24"/>
          <w:szCs w:val="24"/>
          <w:lang w:val="en-US" w:eastAsia="zh-CN"/>
        </w:rPr>
        <w:t>1.8.2</w:t>
      </w:r>
      <w:r>
        <w:rPr>
          <w:rFonts w:hint="eastAsia" w:ascii="宋体" w:hAnsi="宋体" w:eastAsia="宋体" w:cs="宋体"/>
          <w:b/>
          <w:sz w:val="24"/>
          <w:szCs w:val="24"/>
        </w:rPr>
        <w:t>安全现状评估</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安全现状评估：包含脆弱性、病毒类事件、攻击行为、失陷类事件等安全现状的评估。</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系统与Web漏洞扫描：对操作系统、数据库、常见应用/协议、Web通用漏洞与常规漏洞进行漏洞扫描。</w:t>
      </w:r>
    </w:p>
    <w:p>
      <w:pPr>
        <w:pStyle w:val="84"/>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弱口令分析与管理：实现信息化资产不同应用弱口令猜解检测，如：SMB、Mssql、Mysql、Oracle、smtp、VNC、ftp、telnet、ssh、mysql、tomcat等。针对不同行业提供行业密码字典，有针对性的进行弱口令检测并修护，并将检测发现的问题通过工单系统跟踪修复状态。</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线配置核查：检查支撑信息化业务的主机操作系统、数据库、中间件的基线配置情况，确保达到相应的安全防护要求。检查项包含但不限于帐号和口令管理、认证、授权策略、网络与服务、进程和启动、文件系统权限、访问控制等配置情况。</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勒索病毒事件分析：分析判断主机是否感染了勒索病毒；是否已感染勒索病毒文件；根据已发生的漏洞攻击行为分析判断否存在勒索病毒攻击等。</w:t>
      </w:r>
    </w:p>
    <w:p>
      <w:pPr>
        <w:pStyle w:val="83"/>
        <w:numPr>
          <w:ilvl w:val="0"/>
          <w:numId w:val="0"/>
        </w:numPr>
        <w:ind w:left="37" w:leftChars="11" w:firstLine="568"/>
        <w:rPr>
          <w:rFonts w:hint="eastAsia" w:ascii="宋体" w:hAnsi="宋体" w:eastAsia="宋体" w:cs="宋体"/>
          <w:sz w:val="24"/>
          <w:szCs w:val="24"/>
        </w:rPr>
      </w:pPr>
      <w:r>
        <w:rPr>
          <w:rFonts w:hint="eastAsia" w:ascii="宋体" w:hAnsi="宋体" w:eastAsia="宋体" w:cs="宋体"/>
          <w:kern w:val="2"/>
          <w:sz w:val="24"/>
          <w:szCs w:val="24"/>
          <w:lang w:val="en-US" w:eastAsia="zh-CN" w:bidi="ar-SA"/>
        </w:rPr>
        <w:t>挖矿病毒事件分析：分析是否感染了挖矿病毒/木马；是否处于挖矿状态；根据已发生的漏洞攻击行为分析判</w:t>
      </w:r>
      <w:r>
        <w:rPr>
          <w:rFonts w:hint="eastAsia" w:ascii="宋体" w:hAnsi="宋体" w:eastAsia="宋体" w:cs="宋体"/>
          <w:sz w:val="24"/>
          <w:szCs w:val="24"/>
        </w:rPr>
        <w:t>断是否存在以植入挖矿木马为目的的漏洞攻击等。</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蠕虫病毒事件：确认文件是否被感染，定位失陷的代码并进行修复。</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针对漏洞利用攻击行为、Webshell上传行为、Web系统目录遍历攻击行为、SQL注入攻击行为、信息泄露攻击行为、口令暴力破解攻击行为、僵尸网络攻击行为、系统命令注入攻击行为及僵尸网络攻击行为进行分析评估，判断攻击行为是否成功以及业务风险点。</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失陷主机分析：对失陷主机进行分析研判（如后门脚本类事件），与管理人员进行主机修复。</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潜伏威胁分析：分析内网主机的非法外联威胁行为，判断是否存在潜伏威胁，对威胁主机进行断网处理，与电脑维修人员对主机进行安全处置。含：对外攻击、APT C&amp;C通道、隐藏外联通道等外联威胁行为。</w:t>
      </w:r>
    </w:p>
    <w:p>
      <w:pPr>
        <w:pStyle w:val="84"/>
        <w:numPr>
          <w:ilvl w:val="0"/>
          <w:numId w:val="0"/>
        </w:numPr>
        <w:spacing w:line="360" w:lineRule="auto"/>
        <w:rPr>
          <w:rFonts w:hint="eastAsia" w:ascii="宋体" w:hAnsi="宋体" w:eastAsia="宋体" w:cs="宋体"/>
          <w:b/>
          <w:kern w:val="2"/>
          <w:sz w:val="24"/>
          <w:szCs w:val="24"/>
          <w:lang w:val="en-US" w:eastAsia="zh-CN" w:bidi="ar-SA"/>
        </w:rPr>
      </w:pPr>
      <w:bookmarkStart w:id="91" w:name="_Hlk46785148"/>
      <w:r>
        <w:rPr>
          <w:rFonts w:hint="eastAsia" w:ascii="宋体" w:hAnsi="宋体" w:eastAsia="宋体" w:cs="宋体"/>
          <w:b/>
          <w:color w:val="000000"/>
          <w:sz w:val="24"/>
          <w:szCs w:val="24"/>
        </w:rPr>
        <w:t>★</w:t>
      </w:r>
      <w:r>
        <w:rPr>
          <w:rFonts w:hint="eastAsia" w:ascii="宋体" w:hAnsi="宋体" w:eastAsia="宋体" w:cs="宋体"/>
          <w:b/>
          <w:kern w:val="2"/>
          <w:sz w:val="24"/>
          <w:szCs w:val="24"/>
          <w:lang w:val="en-US" w:eastAsia="zh-CN" w:bidi="ar-SA"/>
        </w:rPr>
        <w:t>1.8.3、安全隐患处置</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对发现的问题进行处置，包含内网脆弱性问题，病毒类事件，入侵行为，勒索、挖矿类事件等</w:t>
      </w:r>
      <w:bookmarkEnd w:id="91"/>
      <w:r>
        <w:rPr>
          <w:rFonts w:hint="eastAsia" w:ascii="宋体" w:hAnsi="宋体" w:eastAsia="宋体" w:cs="宋体"/>
          <w:kern w:val="2"/>
          <w:sz w:val="24"/>
          <w:szCs w:val="24"/>
          <w:lang w:val="en-US" w:eastAsia="zh-CN" w:bidi="ar-SA"/>
        </w:rPr>
        <w:t>。</w:t>
      </w:r>
    </w:p>
    <w:p>
      <w:pPr>
        <w:pStyle w:val="84"/>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24"/>
          <w:lang w:val="en-US" w:eastAsia="zh-CN" w:bidi="ar-SA"/>
        </w:rPr>
        <w:t>1.8.4、漏洞管理</w:t>
      </w:r>
    </w:p>
    <w:p>
      <w:pPr>
        <w:pStyle w:val="84"/>
        <w:numPr>
          <w:ilvl w:val="0"/>
          <w:numId w:val="0"/>
        </w:numPr>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24"/>
          <w:lang w:val="en-US" w:eastAsia="zh-CN" w:bidi="ar-SA"/>
        </w:rPr>
        <w:t>1.8.4.1</w:t>
      </w:r>
      <w:r>
        <w:rPr>
          <w:rFonts w:hint="eastAsia" w:ascii="宋体" w:hAnsi="宋体" w:eastAsia="宋体" w:cs="宋体"/>
          <w:kern w:val="2"/>
          <w:sz w:val="24"/>
          <w:szCs w:val="24"/>
          <w:lang w:val="en-US" w:eastAsia="zh-CN" w:bidi="ar-SA"/>
        </w:rPr>
        <w:t>漏洞扫描与验证：需提供不少于每月一次的系统漏洞和Web漏洞进行全量扫描，并针对发现的漏洞进行验证，验证漏洞在已有的安全体系发生的风险及分析发生后可造成的危害</w:t>
      </w:r>
    </w:p>
    <w:p>
      <w:pPr>
        <w:pStyle w:val="84"/>
        <w:numPr>
          <w:ilvl w:val="0"/>
          <w:numId w:val="0"/>
        </w:num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color w:val="000000"/>
          <w:sz w:val="24"/>
          <w:szCs w:val="24"/>
        </w:rPr>
        <w:t>★</w:t>
      </w:r>
      <w:r>
        <w:rPr>
          <w:rFonts w:hint="eastAsia" w:ascii="宋体" w:hAnsi="宋体" w:eastAsia="宋体" w:cs="宋体"/>
          <w:b/>
          <w:kern w:val="2"/>
          <w:sz w:val="24"/>
          <w:szCs w:val="24"/>
          <w:lang w:val="en-US" w:eastAsia="zh-CN" w:bidi="ar-SA"/>
        </w:rPr>
        <w:t>1.8.4.2</w:t>
      </w:r>
      <w:r>
        <w:rPr>
          <w:rFonts w:hint="eastAsia" w:ascii="宋体" w:hAnsi="宋体" w:eastAsia="宋体" w:cs="宋体"/>
          <w:kern w:val="2"/>
          <w:sz w:val="24"/>
          <w:szCs w:val="24"/>
          <w:lang w:val="en-US" w:eastAsia="zh-CN" w:bidi="ar-SA"/>
        </w:rPr>
        <w:t>漏洞优先级排序：通过漏洞扫描工具识别系统安全漏洞，结合多种信息对识别的洞提供修复优先级排序、提供客观的漏洞修复优先级指导。排序依据不以漏洞危害等级作为唯一的修复依据，应包含但不限于资产重要性、漏洞等级以及威胁情报（漏洞被利用的可能性）三个维度，并提出切实可行的漏洞修复方案并进行及时修复。</w:t>
      </w:r>
      <w:r>
        <w:rPr>
          <w:rFonts w:hint="eastAsia" w:ascii="宋体" w:hAnsi="宋体" w:eastAsia="宋体" w:cs="宋体"/>
          <w:b/>
          <w:bCs/>
          <w:kern w:val="2"/>
          <w:sz w:val="24"/>
          <w:szCs w:val="24"/>
          <w:lang w:val="en-US" w:eastAsia="zh-CN" w:bidi="ar-SA"/>
        </w:rPr>
        <w:t>（提供漏洞优先级排序截图，展示优先级排序情况）</w:t>
      </w:r>
    </w:p>
    <w:p>
      <w:pPr>
        <w:pStyle w:val="84"/>
        <w:numPr>
          <w:ilvl w:val="0"/>
          <w:numId w:val="0"/>
        </w:numPr>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color w:val="000000"/>
          <w:sz w:val="24"/>
          <w:szCs w:val="24"/>
        </w:rPr>
        <w:t>★</w:t>
      </w:r>
      <w:r>
        <w:rPr>
          <w:rFonts w:hint="eastAsia" w:ascii="宋体" w:hAnsi="宋体" w:eastAsia="宋体" w:cs="宋体"/>
          <w:b/>
          <w:kern w:val="2"/>
          <w:sz w:val="24"/>
          <w:szCs w:val="24"/>
          <w:lang w:val="en-US" w:eastAsia="zh-CN" w:bidi="ar-SA"/>
        </w:rPr>
        <w:t>1.8.4.3</w:t>
      </w:r>
      <w:r>
        <w:rPr>
          <w:rFonts w:hint="eastAsia" w:ascii="宋体" w:hAnsi="宋体" w:eastAsia="宋体" w:cs="宋体"/>
          <w:kern w:val="2"/>
          <w:sz w:val="24"/>
          <w:szCs w:val="24"/>
          <w:lang w:val="en-US" w:eastAsia="zh-CN" w:bidi="ar-SA"/>
        </w:rPr>
        <w:t>漏洞验证：提供漏洞验证服务，针对发现的漏洞进行验证，验证漏洞在已有的安全体系发生的风险及分析发生后可造成的危害。针对已经验证的漏洞，自动生成漏洞工单，安全专家跟进漏洞状态，各个处理进度透明，方便清晰了解当前漏洞的处置状态，实现漏洞处理工作可视化（提供服务工具漏洞工单截图，需展示当前漏洞的处置状态）</w:t>
      </w:r>
    </w:p>
    <w:p>
      <w:pPr>
        <w:pStyle w:val="84"/>
        <w:numPr>
          <w:ilvl w:val="0"/>
          <w:numId w:val="0"/>
        </w:numPr>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color w:val="000000"/>
          <w:sz w:val="24"/>
          <w:szCs w:val="24"/>
        </w:rPr>
        <w:t>★</w:t>
      </w:r>
      <w:r>
        <w:rPr>
          <w:rFonts w:hint="eastAsia" w:ascii="宋体" w:hAnsi="宋体" w:eastAsia="宋体" w:cs="宋体"/>
          <w:b/>
          <w:kern w:val="2"/>
          <w:sz w:val="24"/>
          <w:szCs w:val="24"/>
          <w:lang w:val="en-US" w:eastAsia="zh-CN" w:bidi="ar-SA"/>
        </w:rPr>
        <w:t>1.8.4.4</w:t>
      </w:r>
      <w:r>
        <w:rPr>
          <w:rFonts w:hint="eastAsia" w:ascii="宋体" w:hAnsi="宋体" w:eastAsia="宋体" w:cs="宋体"/>
          <w:kern w:val="2"/>
          <w:sz w:val="24"/>
          <w:szCs w:val="24"/>
          <w:lang w:val="en-US" w:eastAsia="zh-CN" w:bidi="ar-SA"/>
        </w:rPr>
        <w:t>漏洞修复：针对存在的漏洞提供修复建议，能够提供精准、易懂、可落地的漏洞修复方案</w:t>
      </w:r>
      <w:r>
        <w:rPr>
          <w:rFonts w:hint="eastAsia" w:ascii="宋体" w:hAnsi="宋体" w:eastAsia="宋体" w:cs="宋体"/>
          <w:b/>
          <w:bCs/>
          <w:kern w:val="2"/>
          <w:sz w:val="24"/>
          <w:szCs w:val="24"/>
          <w:lang w:val="en-US" w:eastAsia="zh-CN" w:bidi="ar-SA"/>
        </w:rPr>
        <w:t>（提供漏洞修复方案样本，需包含多种修复方案以及修复过程中可能引发的其他问题的解决方案）</w:t>
      </w:r>
      <w:r>
        <w:rPr>
          <w:rFonts w:hint="eastAsia" w:ascii="宋体" w:hAnsi="宋体" w:eastAsia="宋体" w:cs="宋体"/>
          <w:kern w:val="2"/>
          <w:sz w:val="24"/>
          <w:szCs w:val="24"/>
          <w:lang w:val="en-US" w:eastAsia="zh-CN" w:bidi="ar-SA"/>
        </w:rPr>
        <w:t>，重要业务或服务器需经院方同意后方可完成漏洞修复。</w:t>
      </w:r>
    </w:p>
    <w:p>
      <w:pPr>
        <w:pStyle w:val="84"/>
        <w:numPr>
          <w:ilvl w:val="0"/>
          <w:numId w:val="0"/>
        </w:numPr>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color w:val="000000"/>
          <w:sz w:val="24"/>
          <w:szCs w:val="24"/>
        </w:rPr>
        <w:t>★</w:t>
      </w:r>
      <w:r>
        <w:rPr>
          <w:rFonts w:hint="eastAsia" w:ascii="宋体" w:hAnsi="宋体" w:eastAsia="宋体" w:cs="宋体"/>
          <w:b/>
          <w:kern w:val="2"/>
          <w:sz w:val="24"/>
          <w:szCs w:val="24"/>
          <w:lang w:val="en-US" w:eastAsia="zh-CN" w:bidi="ar-SA"/>
        </w:rPr>
        <w:t>1.8.4.5</w:t>
      </w:r>
      <w:r>
        <w:rPr>
          <w:rFonts w:hint="eastAsia" w:ascii="宋体" w:hAnsi="宋体" w:eastAsia="宋体" w:cs="宋体"/>
          <w:kern w:val="2"/>
          <w:sz w:val="24"/>
          <w:szCs w:val="24"/>
          <w:lang w:val="en-US" w:eastAsia="zh-CN" w:bidi="ar-SA"/>
        </w:rPr>
        <w:t>漏洞复测：需提供漏洞复测措施，及时检验漏洞真实修复情况。支持我院可按需针对指定漏洞，指定资产等小范围进行，降低漏洞复测时的潜在影响范围。</w:t>
      </w:r>
    </w:p>
    <w:p>
      <w:pPr>
        <w:pStyle w:val="84"/>
        <w:numPr>
          <w:ilvl w:val="0"/>
          <w:numId w:val="0"/>
        </w:num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（提供服务平台支持指定批量漏洞复测与单个漏洞复测的功能截图）</w:t>
      </w:r>
    </w:p>
    <w:p>
      <w:pPr>
        <w:pStyle w:val="84"/>
        <w:numPr>
          <w:ilvl w:val="0"/>
          <w:numId w:val="0"/>
        </w:num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color w:val="000000"/>
          <w:sz w:val="24"/>
          <w:szCs w:val="24"/>
        </w:rPr>
        <w:t>★</w:t>
      </w:r>
      <w:r>
        <w:rPr>
          <w:rFonts w:hint="eastAsia" w:ascii="宋体" w:hAnsi="宋体" w:eastAsia="宋体" w:cs="宋体"/>
          <w:b/>
          <w:kern w:val="2"/>
          <w:sz w:val="24"/>
          <w:szCs w:val="24"/>
          <w:lang w:val="en-US" w:eastAsia="zh-CN" w:bidi="ar-SA"/>
        </w:rPr>
        <w:t>1.8.4.6</w:t>
      </w:r>
      <w:r>
        <w:rPr>
          <w:rFonts w:hint="eastAsia" w:ascii="宋体" w:hAnsi="宋体" w:eastAsia="宋体" w:cs="宋体"/>
          <w:kern w:val="2"/>
          <w:sz w:val="24"/>
          <w:szCs w:val="24"/>
          <w:lang w:val="en-US" w:eastAsia="zh-CN" w:bidi="ar-SA"/>
        </w:rPr>
        <w:t>漏洞状态追踪：对发现的漏洞建立状态总览机制，自动化持续跟踪漏洞情况，清晰直观地展示漏洞的修复情况，遗留情况以及漏洞对比情况，借助漏洞跟踪管理平台，可以有效地追踪资产漏洞生命周期，清楚地掌握资产的脆弱性状况，实现漏洞全生命周期的可视、可控和可管。</w:t>
      </w:r>
      <w:r>
        <w:rPr>
          <w:rFonts w:hint="eastAsia" w:ascii="宋体" w:hAnsi="宋体" w:eastAsia="宋体" w:cs="宋体"/>
          <w:b/>
          <w:bCs/>
          <w:kern w:val="2"/>
          <w:sz w:val="24"/>
          <w:szCs w:val="24"/>
          <w:lang w:val="en-US" w:eastAsia="zh-CN" w:bidi="ar-SA"/>
        </w:rPr>
        <w:t>（提供漏洞管理功能平台截图，直观展示漏洞管理情况）</w:t>
      </w:r>
    </w:p>
    <w:p>
      <w:pPr>
        <w:pStyle w:val="84"/>
        <w:numPr>
          <w:ilvl w:val="0"/>
          <w:numId w:val="0"/>
        </w:numPr>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color w:val="000000"/>
          <w:sz w:val="24"/>
          <w:szCs w:val="24"/>
        </w:rPr>
        <w:t>★</w:t>
      </w:r>
      <w:r>
        <w:rPr>
          <w:rFonts w:hint="eastAsia" w:ascii="宋体" w:hAnsi="宋体" w:eastAsia="宋体" w:cs="宋体"/>
          <w:b/>
          <w:kern w:val="2"/>
          <w:sz w:val="24"/>
          <w:szCs w:val="24"/>
          <w:lang w:val="en-US" w:eastAsia="zh-CN" w:bidi="ar-SA"/>
        </w:rPr>
        <w:t>1.8.4.6</w:t>
      </w:r>
      <w:r>
        <w:rPr>
          <w:rFonts w:hint="eastAsia" w:ascii="宋体" w:hAnsi="宋体" w:eastAsia="宋体" w:cs="宋体"/>
          <w:kern w:val="2"/>
          <w:sz w:val="24"/>
          <w:szCs w:val="24"/>
          <w:lang w:val="en-US" w:eastAsia="zh-CN" w:bidi="ar-SA"/>
        </w:rPr>
        <w:t>最新漏洞处理</w:t>
      </w:r>
    </w:p>
    <w:p>
      <w:pPr>
        <w:pStyle w:val="84"/>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预警与排查：需实时抓取互联网最新漏洞与详细资产信息进行匹配，对 最新漏洞进行预警与排查。预警信息中包含最新漏洞信息、影响资产范围。</w:t>
      </w:r>
    </w:p>
    <w:p>
      <w:pPr>
        <w:pStyle w:val="84"/>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最新漏洞处置：一旦确认漏洞影响范围后，提供专业的处置方案并进行处置</w:t>
      </w:r>
    </w:p>
    <w:p>
      <w:pPr>
        <w:pStyle w:val="84"/>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最新漏洞复测与状态跟踪：由对该最新漏洞建立状态追踪机制；跟踪修复状态，遗留情况,并根据情况进行及时修复。</w:t>
      </w:r>
    </w:p>
    <w:p>
      <w:pPr>
        <w:pStyle w:val="84"/>
        <w:numPr>
          <w:ilvl w:val="0"/>
          <w:numId w:val="0"/>
        </w:numPr>
        <w:spacing w:line="360" w:lineRule="auto"/>
        <w:ind w:firstLine="482"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b/>
          <w:color w:val="000000"/>
          <w:sz w:val="24"/>
          <w:szCs w:val="24"/>
        </w:rPr>
        <w:t>★</w:t>
      </w:r>
      <w:r>
        <w:rPr>
          <w:rFonts w:hint="eastAsia" w:ascii="宋体" w:hAnsi="宋体" w:eastAsia="宋体" w:cs="宋体"/>
          <w:b/>
          <w:kern w:val="2"/>
          <w:sz w:val="24"/>
          <w:szCs w:val="24"/>
          <w:lang w:val="en-US" w:eastAsia="zh-CN" w:bidi="ar-SA"/>
        </w:rPr>
        <w:t>1.8.5 威胁管理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FF0000"/>
          <w:kern w:val="2"/>
          <w:sz w:val="24"/>
          <w:szCs w:val="24"/>
          <w:lang w:val="en-US" w:eastAsia="zh-CN" w:bidi="ar-SA"/>
        </w:rPr>
        <w:t xml:space="preserve">     </w:t>
      </w:r>
      <w:r>
        <w:rPr>
          <w:rFonts w:hint="eastAsia" w:ascii="宋体" w:hAnsi="宋体" w:eastAsia="宋体" w:cs="宋体"/>
          <w:kern w:val="2"/>
          <w:sz w:val="24"/>
          <w:szCs w:val="24"/>
          <w:lang w:val="en-US" w:eastAsia="zh-CN" w:bidi="ar-SA"/>
        </w:rPr>
        <w:t>结合大数据分析、人工智能、云端专家提供安全事件发现服务：依托于安全防护组件、检测响应组件和安全平台，将海量安全数据脱敏，包括漏洞信息、共享威胁情报、异常流量、攻击日志、病毒日志等数据，经由大数据处理平台结合人工智能和云端安全专家使用多种数据分析算法模型进行数据归因关联分析，实时监测网络安全状态,发现各类安全事件，并自动生成工单</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（1）威胁分析与通告</w:t>
      </w:r>
    </w:p>
    <w:p>
      <w:pPr>
        <w:pStyle w:val="83"/>
        <w:numPr>
          <w:ilvl w:val="0"/>
          <w:numId w:val="0"/>
        </w:numPr>
        <w:ind w:left="37" w:leftChars="11" w:firstLine="56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实时监测网络安全状态，对攻击事件自动化生成工单,及时进行分析与预警，攻击事件包含境外黑客攻击事件、高级黑客攻击事件、暴力破解攻击事件、持续攻击事件（提供安全事件（如暴力破解）的工单</w:t>
      </w:r>
      <w:r>
        <w:rPr>
          <w:rFonts w:hint="eastAsia" w:ascii="宋体" w:hAnsi="宋体" w:eastAsia="宋体" w:cs="宋体"/>
          <w:kern w:val="2"/>
          <w:sz w:val="24"/>
          <w:szCs w:val="24"/>
          <w:lang w:val="en-US" w:eastAsia="zh-Hans" w:bidi="ar-SA"/>
        </w:rPr>
        <w:t>举证</w:t>
      </w:r>
      <w:r>
        <w:rPr>
          <w:rFonts w:hint="eastAsia" w:ascii="宋体" w:hAnsi="宋体" w:eastAsia="宋体" w:cs="宋体"/>
          <w:kern w:val="2"/>
          <w:sz w:val="24"/>
          <w:szCs w:val="24"/>
          <w:lang w:val="en-US" w:eastAsia="zh-CN" w:bidi="ar-SA"/>
        </w:rPr>
        <w:t>截图，需展示当前安全事件的处置状态）；对病毒事件自动化生成工单,及时进行分析与预警。病毒类型包含勒索型、流行病毒、挖矿型、蠕虫型、外发DOS型、C&amp;C访问型、文件感染型、木马型。</w:t>
      </w:r>
    </w:p>
    <w:p>
      <w:pPr>
        <w:pStyle w:val="83"/>
        <w:numPr>
          <w:ilvl w:val="0"/>
          <w:numId w:val="0"/>
        </w:numPr>
        <w:ind w:firstLine="480" w:firstLineChars="200"/>
        <w:rPr>
          <w:rFonts w:hint="eastAsia" w:ascii="宋体" w:hAnsi="宋体" w:eastAsia="宋体" w:cs="宋体"/>
          <w:kern w:val="2"/>
          <w:sz w:val="24"/>
          <w:szCs w:val="24"/>
          <w:lang w:val="en-US" w:eastAsia="zh-CN" w:bidi="ar-SA"/>
        </w:rPr>
      </w:pPr>
      <w:bookmarkStart w:id="92" w:name="_Hlk46785644"/>
      <w:r>
        <w:rPr>
          <w:rFonts w:hint="eastAsia" w:ascii="宋体" w:hAnsi="宋体" w:eastAsia="宋体" w:cs="宋体"/>
          <w:kern w:val="2"/>
          <w:sz w:val="24"/>
          <w:szCs w:val="24"/>
          <w:lang w:val="en-US" w:eastAsia="zh-CN" w:bidi="ar-SA"/>
        </w:rPr>
        <w:t>针对每一类威胁，进行深度分析验证，分析判断是否存在其他可疑主机，将深度关联分析的结果通过邮件、微信等方式告知用户并进行及时处置。</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结合威胁情报，排查是否对资产造成威胁并通知用户，并及时进行安全加固。</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（2）主动分析病毒类的安全事件：提供病毒处置工具，使用病毒处置工具进行病毒查杀。</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（3）主动分析攻击类的安全事件：通过攻击日志分析，发现持续性攻击，立即采取行动实时对抗，对无防御措施的设备，通过断网等手段并进行安全处理。</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主动分析漏洞利用类的安全事件并验证该漏洞是否利用成功，提供工具协助处置</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主动分析失陷类的安全事件并协助用户处置，并提供溯源服务。</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通过全网大数据分析，发现有境外黑客或高级黑客正在攻击，立即采取行动封锁黑客行为。</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（4）策略管理：对安全组件上的安全策略进行统一管理工作，确保安全组件上的安全策略始终处于最优水平，针对威胁能起到最好的防护效果。</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策略调配：新增资产、业务变更策略调优服务，业务变更时策略随业务变化而同步更新。</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策略调整：根据安全事件分析的结果以及处置方式，按需对安全组件上的安全策略进行调整工作。</w:t>
      </w:r>
    </w:p>
    <w:bookmarkEnd w:id="92"/>
    <w:p>
      <w:pPr>
        <w:pStyle w:val="84"/>
        <w:numPr>
          <w:ilvl w:val="0"/>
          <w:numId w:val="0"/>
        </w:numPr>
        <w:spacing w:line="360" w:lineRule="auto"/>
        <w:ind w:firstLine="482" w:firstLineChars="200"/>
        <w:jc w:val="left"/>
        <w:rPr>
          <w:rFonts w:hint="eastAsia" w:ascii="宋体" w:hAnsi="宋体" w:eastAsia="宋体" w:cs="宋体"/>
          <w:b/>
          <w:kern w:val="2"/>
          <w:sz w:val="24"/>
          <w:szCs w:val="24"/>
          <w:lang w:val="en-US" w:eastAsia="zh-CN" w:bidi="ar-SA"/>
        </w:rPr>
      </w:pPr>
      <w:r>
        <w:rPr>
          <w:rFonts w:hint="eastAsia" w:ascii="宋体" w:hAnsi="宋体" w:eastAsia="宋体" w:cs="宋体"/>
          <w:b/>
          <w:color w:val="000000"/>
          <w:sz w:val="24"/>
          <w:szCs w:val="24"/>
        </w:rPr>
        <w:t>★</w:t>
      </w:r>
      <w:r>
        <w:rPr>
          <w:rFonts w:hint="eastAsia" w:ascii="宋体" w:hAnsi="宋体" w:eastAsia="宋体" w:cs="宋体"/>
          <w:b/>
          <w:kern w:val="2"/>
          <w:sz w:val="24"/>
          <w:szCs w:val="24"/>
          <w:lang w:val="en-US" w:eastAsia="zh-CN" w:bidi="ar-SA"/>
        </w:rPr>
        <w:t>1.8.6 事件管理</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根据医院当前网络安全现状和业务情况，建立常见高发性安全事件类型的应急响应处置预案，提升医院网络安全事件的响应处置效率，有效止损。</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（1）基于主动响应和被动响应流程，对页面篡改、通报、断网、webshell、黑链等各类严重安全事件进行紧急响应和处置的解决方案。</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实时针对异常流量分析、攻击日志和病毒日志分析，经过海量数据脱敏、聚合发现安全事件。</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针对分析得到的勒索病毒、挖矿病毒、篡改事件、webshell、僵尸网络等安全事件，通过工具和方法对恶意文件、代码进行根除，快速恢复业务，消除或减轻影响。通过排查攻击路径，恶意文件清除进行入侵威胁清除并及时分析入侵原因，通过事件检测分析，提供抑制手段，降低入侵影响，协助快速恢复业务，同时还原攻击路径，分析入侵事件原因进行安全加固防止再次入侵。</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（3）系统加固：结合现有安全防御体系，进行安全加固防止再次入侵。</w:t>
      </w:r>
    </w:p>
    <w:p>
      <w:pPr>
        <w:pStyle w:val="84"/>
        <w:numPr>
          <w:ilvl w:val="0"/>
          <w:numId w:val="0"/>
        </w:numPr>
        <w:spacing w:line="360" w:lineRule="auto"/>
        <w:jc w:val="left"/>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1.8.7 提供文档</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《安全服务运营报告》，报告频率：每周一次</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《首次威胁分析与处置报告》，报告频率：一次</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《事件分析与处置报告》，报告频率：按需触发，不限次数</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《安全通告》，报告频率：按需触发，不限次数</w:t>
      </w:r>
    </w:p>
    <w:p>
      <w:pPr>
        <w:spacing w:after="120" w:afterLines="50" w:line="360" w:lineRule="auto"/>
        <w:ind w:right="1870" w:rightChars="550" w:firstLine="480" w:firstLineChars="200"/>
        <w:rPr>
          <w:rFonts w:hint="eastAsia" w:ascii="宋体" w:hAnsi="宋体" w:eastAsia="宋体" w:cs="宋体"/>
          <w:b/>
          <w:bCs/>
          <w:sz w:val="24"/>
          <w:szCs w:val="24"/>
        </w:rPr>
      </w:pPr>
      <w:r>
        <w:rPr>
          <w:rFonts w:hint="eastAsia" w:ascii="宋体" w:hAnsi="宋体" w:eastAsia="宋体" w:cs="宋体"/>
          <w:kern w:val="2"/>
          <w:sz w:val="24"/>
          <w:szCs w:val="24"/>
          <w:lang w:val="en-US" w:eastAsia="zh-CN" w:bidi="ar-SA"/>
        </w:rPr>
        <w:t>《综合分析报告/运营月报》，报告频率：每月一次</w:t>
      </w:r>
    </w:p>
    <w:p>
      <w:pPr>
        <w:spacing w:after="120" w:afterLines="50" w:line="360" w:lineRule="auto"/>
        <w:ind w:right="1870" w:rightChars="550"/>
        <w:rPr>
          <w:rFonts w:hint="eastAsia" w:ascii="宋体" w:hAnsi="宋体" w:eastAsia="宋体" w:cs="宋体"/>
          <w:b/>
          <w:bCs/>
          <w:sz w:val="24"/>
          <w:szCs w:val="24"/>
        </w:rPr>
      </w:pPr>
    </w:p>
    <w:p>
      <w:pPr>
        <w:spacing w:after="120" w:afterLines="50" w:line="360" w:lineRule="auto"/>
        <w:ind w:right="1870" w:rightChars="550"/>
        <w:rPr>
          <w:rFonts w:hint="eastAsia" w:ascii="宋体" w:hAnsi="宋体" w:eastAsia="宋体" w:cs="宋体"/>
          <w:b/>
          <w:bCs/>
          <w:sz w:val="24"/>
          <w:szCs w:val="24"/>
          <w:highlight w:val="green"/>
        </w:rPr>
      </w:pPr>
      <w:r>
        <w:rPr>
          <w:rFonts w:hint="eastAsia" w:ascii="宋体" w:hAnsi="宋体" w:eastAsia="宋体" w:cs="宋体"/>
          <w:b/>
          <w:bCs/>
          <w:sz w:val="24"/>
          <w:szCs w:val="24"/>
        </w:rPr>
        <w:t>▲</w:t>
      </w: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商务要求</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1.服务期：自合同签定之日起15个月。</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2.服务地点：成都市妇女儿童中心医院（中心及各分院区）。</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3.付款方法和条件：合同生效后，采购人收到</w:t>
      </w:r>
      <w:r>
        <w:rPr>
          <w:rFonts w:hint="eastAsia" w:hAnsi="宋体" w:cs="宋体"/>
          <w:bCs/>
          <w:sz w:val="24"/>
          <w:szCs w:val="24"/>
          <w:highlight w:val="none"/>
          <w:lang w:val="en-US" w:eastAsia="zh-CN"/>
        </w:rPr>
        <w:t>供应商</w:t>
      </w:r>
      <w:r>
        <w:rPr>
          <w:rFonts w:hint="eastAsia" w:ascii="宋体" w:hAnsi="宋体" w:eastAsia="宋体" w:cs="宋体"/>
          <w:kern w:val="2"/>
          <w:sz w:val="24"/>
          <w:szCs w:val="24"/>
          <w:lang w:val="en-US" w:eastAsia="zh-CN" w:bidi="ar-SA"/>
        </w:rPr>
        <w:t>开具相应金额服务发票、驻场人员及备品备件到位，5个工作日支付维保部分金额的60%，剩余金额40%的款在全部服务期满经采购人确认后</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日内支付。</w:t>
      </w:r>
    </w:p>
    <w:p>
      <w:pPr>
        <w:pStyle w:val="83"/>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4.验收：按照《财政部关于进一步加强政府采购需求和履约验收管理的指导意见》（财库〔2016〕205号）及招标文件技术要求、投标文件响应情况和国家、行业标准进行验收。</w:t>
      </w:r>
    </w:p>
    <w:p>
      <w:pPr>
        <w:pStyle w:val="2"/>
        <w:rPr>
          <w:rFonts w:hint="eastAsia"/>
          <w:lang w:val="en-US" w:eastAsia="zh-CN"/>
        </w:rPr>
      </w:pPr>
    </w:p>
    <w:p>
      <w:pPr>
        <w:rPr>
          <w:rFonts w:hint="eastAsia" w:ascii="宋体" w:hAnsi="宋体" w:eastAsia="宋体" w:cs="宋体"/>
          <w:b/>
          <w:sz w:val="24"/>
          <w:szCs w:val="24"/>
        </w:rPr>
      </w:pPr>
      <w:r>
        <w:rPr>
          <w:rFonts w:hint="eastAsia" w:ascii="宋体" w:hAnsi="宋体" w:eastAsia="宋体" w:cs="宋体"/>
          <w:b/>
          <w:sz w:val="24"/>
          <w:szCs w:val="24"/>
        </w:rPr>
        <w:t>注：</w:t>
      </w:r>
      <w:r>
        <w:rPr>
          <w:rFonts w:hint="eastAsia" w:ascii="宋体" w:hAnsi="宋体" w:cs="宋体"/>
          <w:b/>
          <w:sz w:val="24"/>
          <w:szCs w:val="24"/>
          <w:lang w:val="en-US" w:eastAsia="zh-CN"/>
        </w:rPr>
        <w:t>1.</w:t>
      </w:r>
      <w:r>
        <w:rPr>
          <w:rFonts w:hint="eastAsia" w:ascii="宋体" w:hAnsi="宋体" w:eastAsia="宋体" w:cs="宋体"/>
          <w:b/>
          <w:sz w:val="24"/>
          <w:szCs w:val="24"/>
        </w:rPr>
        <w:t>标注“</w:t>
      </w:r>
      <w:r>
        <w:rPr>
          <w:rFonts w:hint="eastAsia" w:ascii="宋体" w:hAnsi="宋体" w:eastAsia="宋体" w:cs="宋体"/>
          <w:sz w:val="24"/>
          <w:szCs w:val="24"/>
        </w:rPr>
        <w:t>▲</w:t>
      </w:r>
      <w:r>
        <w:rPr>
          <w:rFonts w:hint="eastAsia" w:ascii="宋体" w:hAnsi="宋体" w:eastAsia="宋体" w:cs="宋体"/>
          <w:b/>
          <w:sz w:val="24"/>
          <w:szCs w:val="24"/>
        </w:rPr>
        <w:t>号”的为本次采购项目的实质性要求，不允许有负偏离，否则作无效投标处理。</w:t>
      </w:r>
    </w:p>
    <w:p>
      <w:pPr>
        <w:ind w:firstLine="482" w:firstLineChars="200"/>
        <w:rPr>
          <w:rFonts w:hint="eastAsia" w:ascii="宋体" w:hAnsi="宋体" w:eastAsia="宋体" w:cs="宋体"/>
          <w:lang w:val="en-US" w:eastAsia="zh-CN"/>
        </w:rPr>
      </w:pPr>
      <w:r>
        <w:rPr>
          <w:rFonts w:hint="eastAsia" w:ascii="宋体" w:hAnsi="宋体" w:eastAsia="宋体" w:cs="宋体"/>
          <w:b/>
          <w:sz w:val="24"/>
          <w:szCs w:val="24"/>
        </w:rPr>
        <w:t>2.标注“★”为重要参数，不满足作扣分处理。</w:t>
      </w:r>
    </w:p>
    <w:p>
      <w:pPr>
        <w:rPr>
          <w:rFonts w:hint="eastAsia" w:ascii="宋体" w:hAnsi="宋体" w:eastAsia="宋体" w:cs="宋体"/>
          <w:sz w:val="36"/>
          <w:szCs w:val="16"/>
        </w:rPr>
      </w:pPr>
      <w:r>
        <w:rPr>
          <w:rFonts w:hint="eastAsia" w:ascii="宋体" w:hAnsi="宋体" w:eastAsia="宋体" w:cs="宋体"/>
          <w:sz w:val="36"/>
          <w:szCs w:val="16"/>
        </w:rPr>
        <w:br w:type="page"/>
      </w:r>
    </w:p>
    <w:p>
      <w:pPr>
        <w:pStyle w:val="4"/>
        <w:bidi w:val="0"/>
        <w:ind w:left="0" w:leftChars="0" w:firstLine="0" w:firstLineChars="0"/>
        <w:jc w:val="center"/>
        <w:rPr>
          <w:rFonts w:hint="eastAsia" w:ascii="宋体" w:hAnsi="宋体" w:eastAsia="宋体" w:cs="宋体"/>
          <w:sz w:val="36"/>
          <w:szCs w:val="16"/>
        </w:rPr>
      </w:pPr>
      <w:r>
        <w:rPr>
          <w:rFonts w:hint="eastAsia" w:ascii="宋体" w:hAnsi="宋体" w:eastAsia="宋体" w:cs="宋体"/>
          <w:sz w:val="36"/>
          <w:szCs w:val="16"/>
        </w:rPr>
        <w:t xml:space="preserve">第六章 </w:t>
      </w:r>
      <w:r>
        <w:rPr>
          <w:rFonts w:hint="eastAsia" w:ascii="宋体" w:hAnsi="宋体" w:eastAsia="宋体" w:cs="宋体"/>
          <w:sz w:val="36"/>
          <w:szCs w:val="16"/>
          <w:lang w:val="en-US" w:eastAsia="zh-CN"/>
        </w:rPr>
        <w:t xml:space="preserve">  </w:t>
      </w:r>
      <w:r>
        <w:rPr>
          <w:rFonts w:hint="eastAsia" w:ascii="宋体" w:hAnsi="宋体" w:eastAsia="宋体" w:cs="宋体"/>
          <w:sz w:val="36"/>
          <w:szCs w:val="16"/>
        </w:rPr>
        <w:t>磋商内容、磋商过程中可实质性变动的内容</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spacing w:line="360" w:lineRule="auto"/>
        <w:ind w:firstLine="480" w:firstLineChars="200"/>
        <w:rPr>
          <w:rFonts w:hint="eastAsia" w:ascii="宋体" w:hAnsi="宋体" w:eastAsia="宋体" w:cs="宋体"/>
          <w:kern w:val="2"/>
          <w:sz w:val="24"/>
          <w:szCs w:val="24"/>
        </w:rPr>
      </w:pPr>
    </w:p>
    <w:p>
      <w:pPr>
        <w:tabs>
          <w:tab w:val="left" w:pos="7665"/>
        </w:tabs>
        <w:ind w:firstLine="643"/>
        <w:jc w:val="center"/>
        <w:rPr>
          <w:rFonts w:hint="eastAsia" w:ascii="宋体" w:hAnsi="宋体" w:eastAsia="宋体" w:cs="宋体"/>
          <w:b/>
          <w:bCs/>
          <w:sz w:val="32"/>
          <w:szCs w:val="32"/>
        </w:rPr>
      </w:pPr>
    </w:p>
    <w:p>
      <w:pPr>
        <w:tabs>
          <w:tab w:val="left" w:pos="7665"/>
        </w:tabs>
        <w:ind w:firstLine="643"/>
        <w:jc w:val="center"/>
        <w:rPr>
          <w:rFonts w:hint="eastAsia" w:ascii="宋体" w:hAnsi="宋体" w:eastAsia="宋体" w:cs="宋体"/>
          <w:b/>
          <w:bCs/>
          <w:sz w:val="32"/>
          <w:szCs w:val="32"/>
        </w:rPr>
      </w:pPr>
    </w:p>
    <w:p>
      <w:pPr>
        <w:tabs>
          <w:tab w:val="left" w:pos="7665"/>
        </w:tabs>
        <w:ind w:firstLine="643"/>
        <w:jc w:val="center"/>
        <w:rPr>
          <w:rFonts w:hint="eastAsia" w:ascii="宋体" w:hAnsi="宋体" w:eastAsia="宋体" w:cs="宋体"/>
          <w:b/>
          <w:bCs/>
          <w:sz w:val="32"/>
          <w:szCs w:val="32"/>
        </w:rPr>
      </w:pPr>
    </w:p>
    <w:p>
      <w:pPr>
        <w:tabs>
          <w:tab w:val="left" w:pos="7665"/>
        </w:tabs>
        <w:ind w:firstLine="480"/>
        <w:rPr>
          <w:rFonts w:hint="eastAsia" w:ascii="宋体" w:hAnsi="宋体" w:eastAsia="宋体" w:cs="宋体"/>
          <w:bCs/>
        </w:rPr>
      </w:pPr>
    </w:p>
    <w:p>
      <w:pPr>
        <w:tabs>
          <w:tab w:val="left" w:pos="7665"/>
        </w:tabs>
        <w:ind w:firstLine="643"/>
        <w:rPr>
          <w:rFonts w:hint="eastAsia" w:ascii="宋体" w:hAnsi="宋体" w:eastAsia="宋体" w:cs="宋体"/>
          <w:b/>
          <w:bCs/>
          <w:sz w:val="32"/>
          <w:szCs w:val="32"/>
        </w:rPr>
      </w:pPr>
    </w:p>
    <w:p>
      <w:pPr>
        <w:tabs>
          <w:tab w:val="left" w:pos="7665"/>
        </w:tabs>
        <w:ind w:firstLine="643"/>
        <w:rPr>
          <w:rFonts w:hint="eastAsia" w:ascii="宋体" w:hAnsi="宋体" w:eastAsia="宋体" w:cs="宋体"/>
          <w:b/>
          <w:bCs/>
          <w:sz w:val="32"/>
          <w:szCs w:val="32"/>
        </w:rPr>
      </w:pPr>
    </w:p>
    <w:p>
      <w:pPr>
        <w:pStyle w:val="20"/>
        <w:ind w:firstLine="643"/>
        <w:rPr>
          <w:rFonts w:hint="eastAsia" w:ascii="宋体" w:hAnsi="宋体" w:eastAsia="宋体" w:cs="宋体"/>
          <w:bCs w:val="0"/>
          <w:kern w:val="44"/>
          <w:sz w:val="44"/>
          <w:szCs w:val="22"/>
        </w:rPr>
      </w:pPr>
      <w:r>
        <w:rPr>
          <w:rFonts w:hint="eastAsia" w:ascii="宋体" w:hAnsi="宋体" w:eastAsia="宋体" w:cs="宋体"/>
        </w:rPr>
        <w:br w:type="page"/>
      </w:r>
      <w:bookmarkStart w:id="93" w:name="_Toc511289486"/>
      <w:bookmarkStart w:id="94" w:name="_Toc509579146"/>
      <w:r>
        <w:rPr>
          <w:rFonts w:hint="eastAsia" w:ascii="宋体" w:hAnsi="宋体" w:eastAsia="宋体" w:cs="宋体"/>
          <w:bCs w:val="0"/>
          <w:kern w:val="44"/>
          <w:sz w:val="44"/>
          <w:szCs w:val="22"/>
        </w:rPr>
        <w:t>第七章  响应文件格式</w:t>
      </w:r>
      <w:bookmarkEnd w:id="93"/>
      <w:bookmarkEnd w:id="94"/>
    </w:p>
    <w:p>
      <w:pPr>
        <w:tabs>
          <w:tab w:val="left" w:pos="7665"/>
        </w:tabs>
        <w:ind w:firstLine="480"/>
        <w:rPr>
          <w:rFonts w:hint="eastAsia" w:ascii="宋体" w:hAnsi="宋体" w:eastAsia="宋体" w:cs="宋体"/>
          <w:bCs/>
        </w:rPr>
      </w:pPr>
    </w:p>
    <w:p>
      <w:pPr>
        <w:ind w:firstLine="643"/>
        <w:jc w:val="left"/>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after="50" w:line="360" w:lineRule="auto"/>
        <w:ind w:firstLine="482"/>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一、本章所制响应文件格式，除格式中明确将该格式作为实质性要求的，一律不具有强制性，但是，供应商响应文件相关资料和本章所制格式不一致的，磋商小组将在评分时以响应文件不规范予以扣分处理。</w:t>
      </w:r>
    </w:p>
    <w:p>
      <w:pPr>
        <w:keepNext w:val="0"/>
        <w:keepLines w:val="0"/>
        <w:pageBreakBefore w:val="0"/>
        <w:widowControl w:val="0"/>
        <w:kinsoku/>
        <w:wordWrap/>
        <w:overflowPunct/>
        <w:topLinePunct w:val="0"/>
        <w:autoSpaceDE/>
        <w:autoSpaceDN/>
        <w:bidi w:val="0"/>
        <w:adjustRightInd/>
        <w:snapToGrid/>
        <w:spacing w:after="50" w:line="360" w:lineRule="auto"/>
        <w:ind w:firstLine="482"/>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二、本章所制响应文件格式有关表格中的备注栏，由供应商根据自身响应情况作解释性说明，不作为必填项。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after="50" w:line="360" w:lineRule="auto"/>
        <w:ind w:firstLine="482"/>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三、本章所制响应文件格式中需要填写的相关内容事项，可能会与本采购项目无关，在不改变响应文件原义、不影响本项目采购需求的情况下，供应商可以不予填写，但应当注明。</w:t>
      </w:r>
    </w:p>
    <w:p>
      <w:pPr>
        <w:ind w:firstLine="643"/>
        <w:jc w:val="center"/>
        <w:rPr>
          <w:rFonts w:hint="eastAsia" w:ascii="宋体" w:hAnsi="宋体" w:eastAsia="宋体" w:cs="宋体"/>
          <w:b/>
          <w:sz w:val="32"/>
          <w:szCs w:val="32"/>
        </w:rPr>
      </w:pPr>
    </w:p>
    <w:p>
      <w:pPr>
        <w:ind w:firstLine="643"/>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rPr>
        <w:t>第一部分     “资格性响应文件”格式</w:t>
      </w:r>
    </w:p>
    <w:p>
      <w:pPr>
        <w:ind w:firstLine="562"/>
        <w:rPr>
          <w:rFonts w:hint="eastAsia" w:ascii="宋体" w:hAnsi="宋体" w:eastAsia="宋体" w:cs="宋体"/>
          <w:b/>
          <w:sz w:val="28"/>
          <w:szCs w:val="28"/>
        </w:rPr>
      </w:pPr>
      <w:r>
        <w:rPr>
          <w:rFonts w:hint="eastAsia" w:ascii="宋体" w:hAnsi="宋体" w:eastAsia="宋体" w:cs="宋体"/>
          <w:b/>
          <w:sz w:val="28"/>
          <w:szCs w:val="28"/>
        </w:rPr>
        <w:t>格式1-1</w:t>
      </w:r>
    </w:p>
    <w:p>
      <w:pPr>
        <w:ind w:firstLine="643"/>
        <w:jc w:val="center"/>
        <w:rPr>
          <w:rFonts w:hint="eastAsia" w:ascii="宋体" w:hAnsi="宋体" w:eastAsia="宋体" w:cs="宋体"/>
          <w:b/>
          <w:sz w:val="32"/>
          <w:szCs w:val="32"/>
        </w:rPr>
      </w:pPr>
    </w:p>
    <w:p>
      <w:pPr>
        <w:ind w:firstLine="723"/>
        <w:jc w:val="right"/>
        <w:rPr>
          <w:rFonts w:hint="eastAsia" w:ascii="宋体" w:hAnsi="宋体" w:eastAsia="宋体" w:cs="宋体"/>
          <w:b/>
          <w:sz w:val="36"/>
        </w:rPr>
      </w:pPr>
      <w:r>
        <w:rPr>
          <w:rFonts w:hint="eastAsia" w:ascii="宋体" w:hAnsi="宋体" w:eastAsia="宋体" w:cs="宋体"/>
          <w:b/>
          <w:sz w:val="36"/>
        </w:rPr>
        <w:t>（正本/副本）</w:t>
      </w:r>
    </w:p>
    <w:p>
      <w:pPr>
        <w:ind w:firstLine="803"/>
        <w:jc w:val="center"/>
        <w:rPr>
          <w:rFonts w:hint="eastAsia" w:ascii="宋体" w:hAnsi="宋体" w:eastAsia="宋体" w:cs="宋体"/>
          <w:b/>
          <w:sz w:val="40"/>
          <w:szCs w:val="48"/>
          <w:u w:val="single"/>
        </w:rPr>
      </w:pPr>
    </w:p>
    <w:p>
      <w:pPr>
        <w:ind w:firstLine="803"/>
        <w:jc w:val="center"/>
        <w:rPr>
          <w:rFonts w:hint="eastAsia" w:ascii="宋体" w:hAnsi="宋体" w:eastAsia="宋体" w:cs="宋体"/>
          <w:b/>
          <w:sz w:val="72"/>
        </w:rPr>
      </w:pPr>
      <w:r>
        <w:rPr>
          <w:rFonts w:hint="eastAsia" w:ascii="宋体" w:hAnsi="宋体" w:eastAsia="宋体" w:cs="宋体"/>
          <w:b/>
          <w:sz w:val="40"/>
          <w:szCs w:val="48"/>
          <w:u w:val="single"/>
        </w:rPr>
        <w:t>XX</w:t>
      </w:r>
      <w:r>
        <w:rPr>
          <w:rFonts w:hint="eastAsia" w:ascii="宋体" w:hAnsi="宋体" w:eastAsia="宋体" w:cs="宋体"/>
          <w:b/>
          <w:sz w:val="40"/>
          <w:szCs w:val="48"/>
        </w:rPr>
        <w:t>项目</w:t>
      </w:r>
    </w:p>
    <w:p>
      <w:pPr>
        <w:ind w:firstLine="1044"/>
        <w:rPr>
          <w:rFonts w:hint="eastAsia" w:ascii="宋体" w:hAnsi="宋体" w:eastAsia="宋体" w:cs="宋体"/>
          <w:b/>
          <w:sz w:val="52"/>
          <w:szCs w:val="52"/>
        </w:rPr>
      </w:pPr>
    </w:p>
    <w:p>
      <w:pPr>
        <w:pStyle w:val="2"/>
        <w:rPr>
          <w:rFonts w:hint="eastAsia" w:ascii="宋体" w:hAnsi="宋体" w:eastAsia="宋体" w:cs="宋体"/>
        </w:rPr>
      </w:pPr>
    </w:p>
    <w:p>
      <w:pPr>
        <w:pStyle w:val="22"/>
        <w:ind w:firstLine="340"/>
        <w:rPr>
          <w:rFonts w:hint="eastAsia" w:ascii="宋体" w:hAnsi="宋体" w:eastAsia="宋体" w:cs="宋体"/>
        </w:rPr>
      </w:pPr>
    </w:p>
    <w:p>
      <w:pPr>
        <w:ind w:firstLine="1044"/>
        <w:jc w:val="center"/>
        <w:rPr>
          <w:rFonts w:hint="eastAsia" w:ascii="宋体" w:hAnsi="宋体" w:eastAsia="宋体" w:cs="宋体"/>
          <w:b/>
          <w:sz w:val="32"/>
          <w:szCs w:val="32"/>
        </w:rPr>
      </w:pPr>
      <w:r>
        <w:rPr>
          <w:rFonts w:hint="eastAsia" w:ascii="宋体" w:hAnsi="宋体" w:eastAsia="宋体" w:cs="宋体"/>
          <w:b/>
          <w:sz w:val="52"/>
          <w:szCs w:val="52"/>
        </w:rPr>
        <w:t>资格性响应文件</w:t>
      </w:r>
    </w:p>
    <w:p>
      <w:pPr>
        <w:ind w:firstLine="723"/>
        <w:rPr>
          <w:rFonts w:hint="eastAsia" w:ascii="宋体" w:hAnsi="宋体" w:eastAsia="宋体" w:cs="宋体"/>
          <w:b/>
          <w:sz w:val="36"/>
        </w:rPr>
      </w:pPr>
    </w:p>
    <w:p>
      <w:pPr>
        <w:pStyle w:val="2"/>
        <w:rPr>
          <w:rFonts w:hint="eastAsia" w:ascii="宋体" w:hAnsi="宋体" w:eastAsia="宋体" w:cs="宋体"/>
          <w:b/>
          <w:sz w:val="36"/>
        </w:rPr>
      </w:pPr>
    </w:p>
    <w:p>
      <w:pPr>
        <w:pStyle w:val="22"/>
        <w:ind w:firstLine="340"/>
        <w:rPr>
          <w:rFonts w:hint="eastAsia" w:ascii="宋体" w:hAnsi="宋体" w:eastAsia="宋体" w:cs="宋体"/>
        </w:rPr>
      </w:pPr>
    </w:p>
    <w:p>
      <w:pPr>
        <w:ind w:firstLine="723"/>
        <w:rPr>
          <w:rFonts w:hint="eastAsia" w:ascii="宋体" w:hAnsi="宋体" w:eastAsia="宋体" w:cs="宋体"/>
          <w:b/>
          <w:sz w:val="36"/>
        </w:rPr>
      </w:pPr>
    </w:p>
    <w:p>
      <w:pPr>
        <w:pStyle w:val="2"/>
        <w:rPr>
          <w:rFonts w:hint="eastAsia" w:ascii="宋体" w:hAnsi="宋体" w:eastAsia="宋体" w:cs="宋体"/>
        </w:rPr>
      </w:pPr>
    </w:p>
    <w:p>
      <w:pPr>
        <w:spacing w:line="360" w:lineRule="auto"/>
        <w:ind w:firstLine="643" w:firstLineChars="200"/>
        <w:jc w:val="left"/>
        <w:rPr>
          <w:rFonts w:hint="eastAsia" w:ascii="宋体" w:hAnsi="宋体" w:eastAsia="宋体" w:cs="宋体"/>
          <w:b/>
          <w:kern w:val="2"/>
          <w:sz w:val="32"/>
          <w:szCs w:val="24"/>
        </w:rPr>
      </w:pPr>
      <w:r>
        <w:rPr>
          <w:rFonts w:hint="eastAsia" w:ascii="宋体" w:hAnsi="宋体" w:eastAsia="宋体" w:cs="宋体"/>
          <w:b/>
          <w:kern w:val="2"/>
          <w:sz w:val="32"/>
          <w:szCs w:val="24"/>
        </w:rPr>
        <w:t>供 应 商名称：</w:t>
      </w:r>
    </w:p>
    <w:p>
      <w:pPr>
        <w:spacing w:line="360" w:lineRule="auto"/>
        <w:ind w:firstLine="643" w:firstLineChars="200"/>
        <w:jc w:val="left"/>
        <w:rPr>
          <w:rFonts w:hint="eastAsia" w:ascii="宋体" w:hAnsi="宋体" w:eastAsia="宋体" w:cs="宋体"/>
          <w:b/>
          <w:kern w:val="2"/>
          <w:sz w:val="32"/>
          <w:szCs w:val="24"/>
        </w:rPr>
      </w:pPr>
      <w:r>
        <w:rPr>
          <w:rFonts w:hint="eastAsia" w:ascii="宋体" w:hAnsi="宋体" w:eastAsia="宋体" w:cs="宋体"/>
          <w:b/>
          <w:kern w:val="2"/>
          <w:sz w:val="32"/>
          <w:szCs w:val="24"/>
        </w:rPr>
        <w:t>采购项目编号：</w:t>
      </w:r>
    </w:p>
    <w:p>
      <w:pPr>
        <w:spacing w:line="360" w:lineRule="auto"/>
        <w:ind w:firstLine="643" w:firstLineChars="200"/>
        <w:jc w:val="left"/>
        <w:rPr>
          <w:rFonts w:hint="eastAsia" w:ascii="宋体" w:hAnsi="宋体" w:eastAsia="宋体" w:cs="宋体"/>
          <w:b/>
          <w:kern w:val="2"/>
          <w:sz w:val="32"/>
          <w:szCs w:val="24"/>
        </w:rPr>
      </w:pPr>
      <w:r>
        <w:rPr>
          <w:rFonts w:hint="eastAsia" w:ascii="宋体" w:hAnsi="宋体" w:eastAsia="宋体" w:cs="宋体"/>
          <w:b/>
          <w:kern w:val="2"/>
          <w:sz w:val="32"/>
          <w:szCs w:val="24"/>
        </w:rPr>
        <w:t>包        号：</w:t>
      </w:r>
    </w:p>
    <w:p>
      <w:pPr>
        <w:ind w:firstLine="723"/>
        <w:jc w:val="center"/>
        <w:rPr>
          <w:rFonts w:hint="eastAsia" w:ascii="宋体" w:hAnsi="宋体" w:eastAsia="宋体" w:cs="宋体"/>
          <w:b/>
          <w:sz w:val="36"/>
        </w:rPr>
      </w:pPr>
    </w:p>
    <w:p>
      <w:pPr>
        <w:ind w:firstLine="723"/>
        <w:jc w:val="center"/>
        <w:rPr>
          <w:rFonts w:hint="eastAsia" w:ascii="宋体" w:hAnsi="宋体" w:eastAsia="宋体" w:cs="宋体"/>
          <w:b/>
          <w:sz w:val="36"/>
        </w:rPr>
      </w:pPr>
    </w:p>
    <w:p>
      <w:pPr>
        <w:ind w:firstLine="643"/>
        <w:jc w:val="center"/>
        <w:rPr>
          <w:rFonts w:hint="eastAsia" w:ascii="宋体" w:hAnsi="宋体" w:eastAsia="宋体" w:cs="宋体"/>
          <w:b/>
          <w:bCs/>
          <w:sz w:val="32"/>
          <w:szCs w:val="32"/>
        </w:rPr>
      </w:pPr>
      <w:r>
        <w:rPr>
          <w:rFonts w:hint="eastAsia" w:ascii="宋体" w:hAnsi="宋体" w:eastAsia="宋体" w:cs="宋体"/>
          <w:b/>
          <w:sz w:val="32"/>
        </w:rPr>
        <w:t>202</w:t>
      </w:r>
      <w:r>
        <w:rPr>
          <w:rFonts w:hint="eastAsia" w:ascii="宋体" w:hAnsi="宋体" w:eastAsia="宋体" w:cs="宋体"/>
          <w:b/>
          <w:sz w:val="32"/>
          <w:lang w:val="en-US" w:eastAsia="zh-CN"/>
        </w:rPr>
        <w:t>1</w:t>
      </w:r>
      <w:r>
        <w:rPr>
          <w:rFonts w:hint="eastAsia" w:ascii="宋体" w:hAnsi="宋体" w:eastAsia="宋体" w:cs="宋体"/>
          <w:b/>
          <w:sz w:val="32"/>
        </w:rPr>
        <w:t>年XX月XX日</w:t>
      </w:r>
    </w:p>
    <w:p>
      <w:pPr>
        <w:widowControl/>
        <w:ind w:firstLine="643"/>
        <w:jc w:val="left"/>
        <w:rPr>
          <w:rFonts w:hint="eastAsia" w:ascii="宋体" w:hAnsi="宋体" w:eastAsia="宋体" w:cs="宋体"/>
          <w:b/>
          <w:sz w:val="32"/>
          <w:szCs w:val="32"/>
        </w:rPr>
      </w:pPr>
      <w:r>
        <w:rPr>
          <w:rFonts w:hint="eastAsia" w:ascii="宋体" w:hAnsi="宋体" w:eastAsia="宋体" w:cs="宋体"/>
          <w:b/>
          <w:sz w:val="32"/>
          <w:szCs w:val="32"/>
        </w:rPr>
        <w:br w:type="page"/>
      </w:r>
    </w:p>
    <w:p>
      <w:pPr>
        <w:ind w:firstLine="562"/>
        <w:rPr>
          <w:rFonts w:hint="eastAsia" w:ascii="宋体" w:hAnsi="宋体" w:eastAsia="宋体" w:cs="宋体"/>
          <w:b/>
          <w:sz w:val="28"/>
          <w:szCs w:val="28"/>
        </w:rPr>
      </w:pPr>
      <w:r>
        <w:rPr>
          <w:rFonts w:hint="eastAsia" w:ascii="宋体" w:hAnsi="宋体" w:eastAsia="宋体" w:cs="宋体"/>
          <w:b/>
          <w:sz w:val="28"/>
          <w:szCs w:val="28"/>
        </w:rPr>
        <w:t>格式1-2</w:t>
      </w: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一、法定代表人/单位负责人授权书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XXXXXXXX（采购代理机构名称）：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法定代表人/单位负责人（委托人）签字或加盖个人印章：XXXX。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授权代表（被授权人）签字：XXXX。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供应商名称：XXXX（单位盖章）。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日    期：XXXX。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rPr>
      </w:pPr>
      <w:bookmarkStart w:id="95" w:name="_Toc21744608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1、供应商为法人单位时提供“法定代表人授权书”，供应商为其他组织时提供“单位负责人授权书”，供应商为自然人时提供“自然人身份证明材料”。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2、应附法定代表人/单位负责人身份证明材料复印件和授权代表身份证明材料复印件。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3、身份证明材料包括居民身份证或户口本或军官证或护照等。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4、身份证明材料应同时提供其在有效期的材料，如居民身份证正、反面复印件。</w:t>
      </w:r>
    </w:p>
    <w:bookmarkEnd w:id="95"/>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32"/>
          <w:szCs w:val="32"/>
        </w:rPr>
      </w:pPr>
      <w:r>
        <w:rPr>
          <w:rFonts w:hint="eastAsia" w:ascii="宋体" w:hAnsi="宋体" w:eastAsia="宋体" w:cs="宋体"/>
          <w:b/>
          <w:sz w:val="24"/>
          <w:szCs w:val="24"/>
        </w:rPr>
        <w:br w:type="page"/>
      </w:r>
      <w:r>
        <w:rPr>
          <w:rFonts w:hint="eastAsia" w:ascii="宋体" w:hAnsi="宋体" w:eastAsia="宋体" w:cs="宋体"/>
          <w:b/>
          <w:sz w:val="28"/>
          <w:szCs w:val="28"/>
        </w:rPr>
        <w:t>格式1-3</w:t>
      </w:r>
    </w:p>
    <w:p>
      <w:pPr>
        <w:ind w:firstLine="643"/>
        <w:jc w:val="center"/>
        <w:rPr>
          <w:rFonts w:hint="eastAsia" w:ascii="宋体" w:hAnsi="宋体" w:eastAsia="宋体" w:cs="宋体"/>
          <w:b/>
          <w:bCs/>
          <w:sz w:val="32"/>
          <w:szCs w:val="32"/>
        </w:rPr>
      </w:pPr>
      <w:r>
        <w:rPr>
          <w:rFonts w:hint="eastAsia" w:ascii="宋体" w:hAnsi="宋体" w:eastAsia="宋体" w:cs="宋体"/>
          <w:b/>
          <w:bCs/>
          <w:sz w:val="32"/>
          <w:szCs w:val="32"/>
        </w:rPr>
        <w:t>二、承诺函</w:t>
      </w:r>
    </w:p>
    <w:p>
      <w:pPr>
        <w:ind w:firstLine="48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XXXX（采购代理机构名称）：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我单位作为本次采购项目的供应商，根据磋商文件要求，现郑重承诺如下：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二、截至响应文件递交截止日未被列入失信被执行人、重大税收违法案件当事人名单、政府采购严重违法失信行为记录名单。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三、我单位及其现任法定代表人、主要负责人不具有行贿犯罪记录。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本单位对上述承诺的内容事项真实性负责。如经查实上述承诺的内容事项存在虚假，我单位愿意接受以提供虚假材料谋取成交追究法律责任。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供应商名称：XXXX（单位公章）。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法定代表人/单位负责人或授权代表（签字或加盖个人印章）：XXXX。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日    期：XXXX。</w:t>
      </w:r>
    </w:p>
    <w:p>
      <w:pPr>
        <w:spacing w:line="360" w:lineRule="auto"/>
        <w:ind w:firstLine="480" w:firstLineChars="200"/>
        <w:rPr>
          <w:rFonts w:hint="eastAsia" w:ascii="宋体" w:hAnsi="宋体" w:eastAsia="宋体" w:cs="宋体"/>
          <w:b/>
          <w:sz w:val="32"/>
          <w:szCs w:val="32"/>
        </w:rPr>
      </w:pPr>
      <w:r>
        <w:rPr>
          <w:rFonts w:hint="eastAsia" w:ascii="宋体" w:hAnsi="宋体" w:eastAsia="宋体" w:cs="宋体"/>
          <w:kern w:val="2"/>
          <w:sz w:val="24"/>
          <w:szCs w:val="24"/>
        </w:rPr>
        <w:br w:type="page"/>
      </w:r>
      <w:r>
        <w:rPr>
          <w:rFonts w:hint="eastAsia" w:ascii="宋体" w:hAnsi="宋体" w:eastAsia="宋体" w:cs="宋体"/>
          <w:b/>
          <w:sz w:val="28"/>
          <w:szCs w:val="28"/>
        </w:rPr>
        <w:t>格式1-4</w:t>
      </w: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sz w:val="32"/>
          <w:szCs w:val="32"/>
        </w:rPr>
        <w:t>三、</w:t>
      </w:r>
      <w:r>
        <w:rPr>
          <w:rFonts w:hint="eastAsia" w:ascii="宋体" w:hAnsi="宋体" w:eastAsia="宋体" w:cs="宋体"/>
          <w:b/>
          <w:bCs/>
          <w:kern w:val="2"/>
          <w:sz w:val="32"/>
          <w:szCs w:val="32"/>
        </w:rPr>
        <w:t>投标人单位及其现任法定代表人、主要负责人不得具有行贿犯罪记录的承诺函</w:t>
      </w:r>
    </w:p>
    <w:p>
      <w:pPr>
        <w:pStyle w:val="2"/>
        <w:rPr>
          <w:rFonts w:hint="eastAsia" w:ascii="宋体" w:hAnsi="宋体" w:eastAsia="宋体" w:cs="宋体"/>
        </w:rPr>
      </w:pPr>
    </w:p>
    <w:p>
      <w:pPr>
        <w:ind w:firstLine="480"/>
        <w:jc w:val="left"/>
        <w:rPr>
          <w:rFonts w:hint="eastAsia" w:ascii="宋体" w:hAnsi="宋体" w:eastAsia="宋体" w:cs="宋体"/>
        </w:rPr>
      </w:pPr>
    </w:p>
    <w:p>
      <w:pPr>
        <w:spacing w:line="360" w:lineRule="auto"/>
        <w:ind w:firstLine="480" w:firstLineChars="200"/>
        <w:jc w:val="left"/>
        <w:rPr>
          <w:rFonts w:hint="eastAsia" w:ascii="宋体" w:hAnsi="宋体" w:eastAsia="宋体" w:cs="宋体"/>
          <w:kern w:val="2"/>
          <w:sz w:val="24"/>
          <w:szCs w:val="32"/>
        </w:rPr>
      </w:pPr>
      <w:r>
        <w:rPr>
          <w:rFonts w:hint="eastAsia" w:ascii="宋体" w:hAnsi="宋体" w:eastAsia="宋体" w:cs="宋体"/>
          <w:kern w:val="2"/>
          <w:sz w:val="24"/>
          <w:szCs w:val="32"/>
        </w:rPr>
        <w:t>XXXX（采购代理机构名称）：</w:t>
      </w:r>
    </w:p>
    <w:p>
      <w:pPr>
        <w:spacing w:line="360" w:lineRule="auto"/>
        <w:ind w:firstLine="480" w:firstLineChars="200"/>
        <w:jc w:val="left"/>
        <w:rPr>
          <w:rFonts w:hint="eastAsia" w:ascii="宋体" w:hAnsi="宋体" w:eastAsia="宋体" w:cs="宋体"/>
          <w:kern w:val="2"/>
          <w:sz w:val="24"/>
          <w:szCs w:val="32"/>
        </w:rPr>
      </w:pPr>
      <w:r>
        <w:rPr>
          <w:rFonts w:hint="eastAsia" w:ascii="宋体" w:hAnsi="宋体" w:eastAsia="宋体" w:cs="宋体"/>
          <w:kern w:val="2"/>
          <w:sz w:val="24"/>
          <w:szCs w:val="32"/>
        </w:rPr>
        <w:t xml:space="preserve">    本单位 </w:t>
      </w:r>
      <w:r>
        <w:rPr>
          <w:rFonts w:hint="eastAsia" w:ascii="宋体" w:hAnsi="宋体" w:eastAsia="宋体" w:cs="宋体"/>
          <w:kern w:val="2"/>
          <w:sz w:val="24"/>
          <w:szCs w:val="32"/>
          <w:u w:val="single"/>
        </w:rPr>
        <w:t xml:space="preserve">                  （供应商名称）</w:t>
      </w:r>
      <w:r>
        <w:rPr>
          <w:rFonts w:hint="eastAsia" w:ascii="宋体" w:hAnsi="宋体" w:eastAsia="宋体" w:cs="宋体"/>
          <w:kern w:val="2"/>
          <w:sz w:val="24"/>
          <w:szCs w:val="32"/>
        </w:rPr>
        <w:t>参加</w:t>
      </w:r>
      <w:r>
        <w:rPr>
          <w:rFonts w:hint="eastAsia" w:ascii="宋体" w:hAnsi="宋体" w:eastAsia="宋体" w:cs="宋体"/>
          <w:kern w:val="2"/>
          <w:sz w:val="24"/>
          <w:szCs w:val="32"/>
          <w:u w:val="single"/>
        </w:rPr>
        <w:t xml:space="preserve">                 （项目名称）</w:t>
      </w:r>
      <w:r>
        <w:rPr>
          <w:rFonts w:hint="eastAsia" w:ascii="宋体" w:hAnsi="宋体" w:eastAsia="宋体" w:cs="宋体"/>
          <w:kern w:val="2"/>
          <w:sz w:val="24"/>
          <w:szCs w:val="32"/>
        </w:rPr>
        <w:t>的磋商活动，现进行如下承诺：</w:t>
      </w:r>
    </w:p>
    <w:p>
      <w:pPr>
        <w:spacing w:line="360" w:lineRule="auto"/>
        <w:ind w:firstLine="480" w:firstLineChars="200"/>
        <w:jc w:val="left"/>
        <w:rPr>
          <w:rFonts w:hint="eastAsia" w:ascii="宋体" w:hAnsi="宋体" w:eastAsia="宋体" w:cs="宋体"/>
          <w:kern w:val="2"/>
          <w:sz w:val="24"/>
          <w:szCs w:val="32"/>
        </w:rPr>
      </w:pPr>
    </w:p>
    <w:p>
      <w:pPr>
        <w:spacing w:line="360" w:lineRule="auto"/>
        <w:ind w:firstLine="480" w:firstLineChars="200"/>
        <w:jc w:val="left"/>
        <w:rPr>
          <w:rFonts w:hint="eastAsia" w:ascii="宋体" w:hAnsi="宋体" w:eastAsia="宋体" w:cs="宋体"/>
          <w:kern w:val="2"/>
          <w:sz w:val="24"/>
          <w:szCs w:val="32"/>
        </w:rPr>
      </w:pPr>
      <w:r>
        <w:rPr>
          <w:rFonts w:hint="eastAsia" w:ascii="宋体" w:hAnsi="宋体" w:eastAsia="宋体" w:cs="宋体"/>
          <w:kern w:val="2"/>
          <w:sz w:val="24"/>
          <w:szCs w:val="32"/>
        </w:rPr>
        <w:t>我单位及其现任法定代表人、主要负责人不具有行贿犯罪记录。</w:t>
      </w:r>
    </w:p>
    <w:p>
      <w:pPr>
        <w:spacing w:line="360" w:lineRule="auto"/>
        <w:ind w:firstLine="480" w:firstLineChars="200"/>
        <w:jc w:val="left"/>
        <w:rPr>
          <w:rFonts w:hint="eastAsia" w:ascii="宋体" w:hAnsi="宋体" w:eastAsia="宋体" w:cs="宋体"/>
          <w:kern w:val="2"/>
          <w:sz w:val="24"/>
          <w:szCs w:val="32"/>
        </w:rPr>
      </w:pPr>
    </w:p>
    <w:p>
      <w:pPr>
        <w:spacing w:line="360" w:lineRule="auto"/>
        <w:ind w:firstLine="480" w:firstLineChars="200"/>
        <w:jc w:val="left"/>
        <w:rPr>
          <w:rFonts w:hint="eastAsia" w:ascii="宋体" w:hAnsi="宋体" w:eastAsia="宋体" w:cs="宋体"/>
          <w:kern w:val="2"/>
          <w:sz w:val="24"/>
          <w:szCs w:val="32"/>
        </w:rPr>
      </w:pPr>
    </w:p>
    <w:p>
      <w:pPr>
        <w:spacing w:line="360" w:lineRule="auto"/>
        <w:ind w:firstLine="480" w:firstLineChars="200"/>
        <w:jc w:val="left"/>
        <w:rPr>
          <w:rFonts w:hint="eastAsia" w:ascii="宋体" w:hAnsi="宋体" w:eastAsia="宋体" w:cs="宋体"/>
          <w:kern w:val="2"/>
          <w:sz w:val="24"/>
          <w:szCs w:val="32"/>
        </w:rPr>
      </w:pPr>
      <w:r>
        <w:rPr>
          <w:rFonts w:hint="eastAsia" w:ascii="宋体" w:hAnsi="宋体" w:eastAsia="宋体" w:cs="宋体"/>
          <w:kern w:val="2"/>
          <w:sz w:val="24"/>
          <w:szCs w:val="32"/>
        </w:rPr>
        <w:t>供应商名称：XXXX（单位公章）。</w:t>
      </w:r>
    </w:p>
    <w:p>
      <w:pPr>
        <w:spacing w:line="360" w:lineRule="auto"/>
        <w:ind w:firstLine="480" w:firstLineChars="200"/>
        <w:jc w:val="left"/>
        <w:rPr>
          <w:rFonts w:hint="eastAsia" w:ascii="宋体" w:hAnsi="宋体" w:eastAsia="宋体" w:cs="宋体"/>
          <w:kern w:val="2"/>
          <w:sz w:val="24"/>
          <w:szCs w:val="32"/>
        </w:rPr>
      </w:pPr>
      <w:r>
        <w:rPr>
          <w:rFonts w:hint="eastAsia" w:ascii="宋体" w:hAnsi="宋体" w:eastAsia="宋体" w:cs="宋体"/>
          <w:kern w:val="2"/>
          <w:sz w:val="24"/>
          <w:szCs w:val="32"/>
        </w:rPr>
        <w:t>法定代表人/单位负责人或授权代表（签字或加盖个人印章）：XXXX。</w:t>
      </w:r>
    </w:p>
    <w:p>
      <w:pPr>
        <w:spacing w:line="360" w:lineRule="auto"/>
        <w:ind w:firstLine="480" w:firstLineChars="200"/>
        <w:jc w:val="left"/>
        <w:rPr>
          <w:rFonts w:hint="eastAsia" w:ascii="宋体" w:hAnsi="宋体" w:eastAsia="宋体" w:cs="宋体"/>
          <w:kern w:val="2"/>
          <w:sz w:val="24"/>
          <w:szCs w:val="32"/>
        </w:rPr>
      </w:pPr>
      <w:r>
        <w:rPr>
          <w:rFonts w:hint="eastAsia" w:ascii="宋体" w:hAnsi="宋体" w:eastAsia="宋体" w:cs="宋体"/>
          <w:kern w:val="2"/>
          <w:sz w:val="24"/>
          <w:szCs w:val="32"/>
        </w:rPr>
        <w:t>日    期：XXXX。</w:t>
      </w:r>
    </w:p>
    <w:p>
      <w:pPr>
        <w:spacing w:line="360" w:lineRule="auto"/>
        <w:ind w:firstLine="480" w:firstLineChars="200"/>
        <w:jc w:val="left"/>
        <w:rPr>
          <w:rFonts w:hint="eastAsia" w:ascii="宋体" w:hAnsi="宋体" w:eastAsia="宋体" w:cs="宋体"/>
          <w:b/>
          <w:sz w:val="28"/>
          <w:szCs w:val="28"/>
        </w:rPr>
      </w:pPr>
      <w:r>
        <w:rPr>
          <w:rFonts w:hint="eastAsia" w:ascii="宋体" w:hAnsi="宋体" w:eastAsia="宋体" w:cs="宋体"/>
          <w:kern w:val="2"/>
          <w:sz w:val="24"/>
          <w:szCs w:val="32"/>
        </w:rPr>
        <w:br w:type="page"/>
      </w:r>
      <w:r>
        <w:rPr>
          <w:rFonts w:hint="eastAsia" w:ascii="宋体" w:hAnsi="宋体" w:eastAsia="宋体" w:cs="宋体"/>
          <w:b/>
          <w:sz w:val="28"/>
          <w:szCs w:val="28"/>
        </w:rPr>
        <w:t>格式1-5</w:t>
      </w: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四、其他资格、资质性及其他类似效力要求的相关证明材料</w:t>
      </w:r>
    </w:p>
    <w:p>
      <w:pPr>
        <w:spacing w:line="360" w:lineRule="auto"/>
        <w:ind w:firstLine="480" w:firstLineChars="200"/>
        <w:rPr>
          <w:rFonts w:hint="eastAsia" w:ascii="宋体" w:hAnsi="宋体" w:eastAsia="宋体" w:cs="宋体"/>
          <w:bCs/>
          <w:kern w:val="2"/>
          <w:sz w:val="24"/>
          <w:szCs w:val="24"/>
        </w:rPr>
      </w:pPr>
      <w:r>
        <w:rPr>
          <w:rFonts w:hint="eastAsia" w:ascii="宋体" w:hAnsi="宋体" w:eastAsia="宋体" w:cs="宋体"/>
          <w:bCs/>
          <w:kern w:val="2"/>
          <w:sz w:val="24"/>
          <w:szCs w:val="24"/>
        </w:rPr>
        <w:t>注：供应商应按磋商文件第四章相关要求提供佐证材料，有格式要求的从其要求，无格式要求的格式自拟。</w:t>
      </w:r>
    </w:p>
    <w:p>
      <w:pPr>
        <w:widowControl/>
        <w:ind w:firstLine="480"/>
        <w:jc w:val="left"/>
        <w:rPr>
          <w:rFonts w:hint="eastAsia" w:ascii="宋体" w:hAnsi="宋体" w:eastAsia="宋体" w:cs="宋体"/>
          <w:bCs/>
        </w:rPr>
      </w:pPr>
      <w:r>
        <w:rPr>
          <w:rFonts w:hint="eastAsia" w:ascii="宋体" w:hAnsi="宋体" w:eastAsia="宋体" w:cs="宋体"/>
          <w:bCs/>
        </w:rPr>
        <w:br w:type="page"/>
      </w:r>
    </w:p>
    <w:p>
      <w:pPr>
        <w:tabs>
          <w:tab w:val="left" w:pos="900"/>
        </w:tabs>
        <w:jc w:val="center"/>
        <w:rPr>
          <w:rFonts w:hint="eastAsia" w:ascii="宋体" w:hAnsi="宋体" w:eastAsia="宋体" w:cs="宋体"/>
          <w:b/>
          <w:sz w:val="32"/>
        </w:rPr>
      </w:pPr>
      <w:r>
        <w:rPr>
          <w:rFonts w:hint="eastAsia" w:ascii="宋体" w:hAnsi="宋体" w:eastAsia="宋体" w:cs="宋体"/>
          <w:b/>
          <w:sz w:val="32"/>
        </w:rPr>
        <w:t>第二部分     “其他响应文件”格式</w:t>
      </w:r>
    </w:p>
    <w:p>
      <w:pPr>
        <w:ind w:firstLine="562"/>
        <w:rPr>
          <w:rFonts w:hint="eastAsia" w:ascii="宋体" w:hAnsi="宋体" w:eastAsia="宋体" w:cs="宋体"/>
          <w:b/>
          <w:sz w:val="28"/>
          <w:szCs w:val="28"/>
        </w:rPr>
      </w:pPr>
      <w:r>
        <w:rPr>
          <w:rFonts w:hint="eastAsia" w:ascii="宋体" w:hAnsi="宋体" w:eastAsia="宋体" w:cs="宋体"/>
          <w:b/>
          <w:sz w:val="28"/>
          <w:szCs w:val="28"/>
        </w:rPr>
        <w:t>格式2-1</w:t>
      </w:r>
    </w:p>
    <w:p>
      <w:pPr>
        <w:ind w:firstLine="643"/>
        <w:rPr>
          <w:rFonts w:hint="eastAsia" w:ascii="宋体" w:hAnsi="宋体" w:eastAsia="宋体" w:cs="宋体"/>
          <w:b/>
          <w:sz w:val="32"/>
          <w:szCs w:val="32"/>
        </w:rPr>
      </w:pPr>
    </w:p>
    <w:p>
      <w:pPr>
        <w:ind w:firstLine="643"/>
        <w:rPr>
          <w:rFonts w:hint="eastAsia" w:ascii="宋体" w:hAnsi="宋体" w:eastAsia="宋体" w:cs="宋体"/>
          <w:b/>
          <w:sz w:val="32"/>
          <w:szCs w:val="32"/>
        </w:rPr>
      </w:pPr>
    </w:p>
    <w:p>
      <w:pPr>
        <w:ind w:firstLine="643"/>
        <w:rPr>
          <w:rFonts w:hint="eastAsia" w:ascii="宋体" w:hAnsi="宋体" w:eastAsia="宋体" w:cs="宋体"/>
          <w:b/>
          <w:sz w:val="32"/>
          <w:szCs w:val="32"/>
        </w:rPr>
      </w:pPr>
    </w:p>
    <w:p>
      <w:pPr>
        <w:ind w:firstLine="643"/>
        <w:rPr>
          <w:rFonts w:hint="eastAsia" w:ascii="宋体" w:hAnsi="宋体" w:eastAsia="宋体" w:cs="宋体"/>
          <w:b/>
          <w:sz w:val="32"/>
          <w:szCs w:val="32"/>
        </w:rPr>
      </w:pPr>
      <w:r>
        <w:rPr>
          <w:rFonts w:hint="eastAsia" w:ascii="宋体" w:hAnsi="宋体" w:eastAsia="宋体" w:cs="宋体"/>
          <w:b/>
          <w:sz w:val="32"/>
          <w:szCs w:val="32"/>
        </w:rPr>
        <w:t>封面：</w:t>
      </w:r>
    </w:p>
    <w:p>
      <w:pPr>
        <w:ind w:firstLine="723"/>
        <w:jc w:val="right"/>
        <w:rPr>
          <w:rFonts w:hint="eastAsia" w:ascii="宋体" w:hAnsi="宋体" w:eastAsia="宋体" w:cs="宋体"/>
          <w:b/>
          <w:sz w:val="36"/>
        </w:rPr>
      </w:pPr>
    </w:p>
    <w:p>
      <w:pPr>
        <w:ind w:firstLine="723"/>
        <w:jc w:val="right"/>
        <w:rPr>
          <w:rFonts w:hint="eastAsia" w:ascii="宋体" w:hAnsi="宋体" w:eastAsia="宋体" w:cs="宋体"/>
          <w:b/>
          <w:sz w:val="36"/>
        </w:rPr>
      </w:pPr>
      <w:r>
        <w:rPr>
          <w:rFonts w:hint="eastAsia" w:ascii="宋体" w:hAnsi="宋体" w:eastAsia="宋体" w:cs="宋体"/>
          <w:b/>
          <w:sz w:val="36"/>
        </w:rPr>
        <w:t>（正本/副本）</w:t>
      </w:r>
    </w:p>
    <w:p>
      <w:pPr>
        <w:ind w:firstLine="643"/>
        <w:rPr>
          <w:rFonts w:hint="eastAsia" w:ascii="宋体" w:hAnsi="宋体" w:eastAsia="宋体" w:cs="宋体"/>
          <w:b/>
          <w:sz w:val="32"/>
          <w:szCs w:val="32"/>
        </w:rPr>
      </w:pPr>
    </w:p>
    <w:p>
      <w:pPr>
        <w:ind w:firstLine="803"/>
        <w:jc w:val="center"/>
        <w:rPr>
          <w:rFonts w:hint="eastAsia" w:ascii="宋体" w:hAnsi="宋体" w:eastAsia="宋体" w:cs="宋体"/>
          <w:b/>
          <w:sz w:val="40"/>
          <w:szCs w:val="48"/>
        </w:rPr>
      </w:pPr>
    </w:p>
    <w:p>
      <w:pPr>
        <w:ind w:firstLine="803"/>
        <w:jc w:val="center"/>
        <w:rPr>
          <w:rFonts w:hint="eastAsia" w:ascii="宋体" w:hAnsi="宋体" w:eastAsia="宋体" w:cs="宋体"/>
          <w:b/>
          <w:sz w:val="40"/>
          <w:szCs w:val="48"/>
        </w:rPr>
      </w:pPr>
    </w:p>
    <w:p>
      <w:pPr>
        <w:ind w:firstLine="803"/>
        <w:jc w:val="center"/>
        <w:rPr>
          <w:rFonts w:hint="eastAsia" w:ascii="宋体" w:hAnsi="宋体" w:eastAsia="宋体" w:cs="宋体"/>
          <w:b/>
          <w:sz w:val="72"/>
        </w:rPr>
      </w:pPr>
      <w:r>
        <w:rPr>
          <w:rFonts w:hint="eastAsia" w:ascii="宋体" w:hAnsi="宋体" w:eastAsia="宋体" w:cs="宋体"/>
          <w:b/>
          <w:sz w:val="40"/>
          <w:szCs w:val="48"/>
        </w:rPr>
        <w:t>XX项目</w:t>
      </w:r>
    </w:p>
    <w:p>
      <w:pPr>
        <w:ind w:firstLine="1044"/>
        <w:rPr>
          <w:rFonts w:hint="eastAsia" w:ascii="宋体" w:hAnsi="宋体" w:eastAsia="宋体" w:cs="宋体"/>
          <w:b/>
          <w:sz w:val="52"/>
          <w:szCs w:val="52"/>
        </w:rPr>
      </w:pPr>
    </w:p>
    <w:p>
      <w:pPr>
        <w:pStyle w:val="2"/>
        <w:rPr>
          <w:rFonts w:hint="eastAsia" w:ascii="宋体" w:hAnsi="宋体" w:eastAsia="宋体" w:cs="宋体"/>
          <w:b/>
          <w:sz w:val="52"/>
          <w:szCs w:val="52"/>
        </w:rPr>
      </w:pPr>
    </w:p>
    <w:p>
      <w:pPr>
        <w:pStyle w:val="22"/>
        <w:ind w:firstLine="340"/>
        <w:rPr>
          <w:rFonts w:hint="eastAsia" w:ascii="宋体" w:hAnsi="宋体" w:eastAsia="宋体" w:cs="宋体"/>
        </w:rPr>
      </w:pPr>
    </w:p>
    <w:p>
      <w:pPr>
        <w:ind w:firstLine="1044"/>
        <w:jc w:val="center"/>
        <w:rPr>
          <w:rFonts w:hint="eastAsia" w:ascii="宋体" w:hAnsi="宋体" w:eastAsia="宋体" w:cs="宋体"/>
          <w:b/>
          <w:sz w:val="32"/>
          <w:szCs w:val="32"/>
        </w:rPr>
      </w:pPr>
      <w:r>
        <w:rPr>
          <w:rFonts w:hint="eastAsia" w:ascii="宋体" w:hAnsi="宋体" w:eastAsia="宋体" w:cs="宋体"/>
          <w:b/>
          <w:sz w:val="52"/>
          <w:szCs w:val="52"/>
        </w:rPr>
        <w:t>其他响应文件</w:t>
      </w:r>
    </w:p>
    <w:p>
      <w:pPr>
        <w:ind w:firstLine="723"/>
        <w:rPr>
          <w:rFonts w:hint="eastAsia" w:ascii="宋体" w:hAnsi="宋体" w:eastAsia="宋体" w:cs="宋体"/>
          <w:b/>
          <w:sz w:val="36"/>
        </w:rPr>
      </w:pPr>
    </w:p>
    <w:p>
      <w:pPr>
        <w:pStyle w:val="2"/>
        <w:rPr>
          <w:rFonts w:hint="eastAsia" w:ascii="宋体" w:hAnsi="宋体" w:eastAsia="宋体" w:cs="宋体"/>
        </w:rPr>
      </w:pPr>
    </w:p>
    <w:p>
      <w:pPr>
        <w:ind w:firstLine="723"/>
        <w:rPr>
          <w:rFonts w:hint="eastAsia" w:ascii="宋体" w:hAnsi="宋体" w:eastAsia="宋体" w:cs="宋体"/>
          <w:b/>
          <w:sz w:val="36"/>
        </w:rPr>
      </w:pPr>
    </w:p>
    <w:p>
      <w:pPr>
        <w:spacing w:line="360" w:lineRule="auto"/>
        <w:ind w:firstLine="643" w:firstLineChars="200"/>
        <w:jc w:val="left"/>
        <w:rPr>
          <w:rFonts w:hint="eastAsia" w:ascii="宋体" w:hAnsi="宋体" w:eastAsia="宋体" w:cs="宋体"/>
          <w:b/>
          <w:kern w:val="2"/>
          <w:sz w:val="32"/>
          <w:szCs w:val="24"/>
        </w:rPr>
      </w:pPr>
      <w:r>
        <w:rPr>
          <w:rFonts w:hint="eastAsia" w:ascii="宋体" w:hAnsi="宋体" w:eastAsia="宋体" w:cs="宋体"/>
          <w:b/>
          <w:kern w:val="2"/>
          <w:sz w:val="32"/>
          <w:szCs w:val="24"/>
        </w:rPr>
        <w:t>供 应 商名称：</w:t>
      </w:r>
    </w:p>
    <w:p>
      <w:pPr>
        <w:spacing w:line="360" w:lineRule="auto"/>
        <w:ind w:firstLine="643" w:firstLineChars="200"/>
        <w:jc w:val="left"/>
        <w:rPr>
          <w:rFonts w:hint="eastAsia" w:ascii="宋体" w:hAnsi="宋体" w:eastAsia="宋体" w:cs="宋体"/>
          <w:b/>
          <w:kern w:val="2"/>
          <w:sz w:val="32"/>
          <w:szCs w:val="24"/>
        </w:rPr>
      </w:pPr>
      <w:r>
        <w:rPr>
          <w:rFonts w:hint="eastAsia" w:ascii="宋体" w:hAnsi="宋体" w:eastAsia="宋体" w:cs="宋体"/>
          <w:b/>
          <w:kern w:val="2"/>
          <w:sz w:val="32"/>
          <w:szCs w:val="24"/>
        </w:rPr>
        <w:t>采购项目编号：</w:t>
      </w:r>
    </w:p>
    <w:p>
      <w:pPr>
        <w:spacing w:line="360" w:lineRule="auto"/>
        <w:ind w:firstLine="643" w:firstLineChars="200"/>
        <w:jc w:val="left"/>
        <w:rPr>
          <w:rFonts w:hint="eastAsia" w:ascii="宋体" w:hAnsi="宋体" w:eastAsia="宋体" w:cs="宋体"/>
          <w:b/>
          <w:kern w:val="2"/>
          <w:sz w:val="32"/>
          <w:szCs w:val="24"/>
        </w:rPr>
      </w:pPr>
      <w:r>
        <w:rPr>
          <w:rFonts w:hint="eastAsia" w:ascii="宋体" w:hAnsi="宋体" w:eastAsia="宋体" w:cs="宋体"/>
          <w:b/>
          <w:kern w:val="2"/>
          <w:sz w:val="32"/>
          <w:szCs w:val="24"/>
        </w:rPr>
        <w:t>包        号：</w:t>
      </w:r>
    </w:p>
    <w:p>
      <w:pPr>
        <w:ind w:firstLine="790" w:firstLineChars="246"/>
        <w:jc w:val="center"/>
        <w:rPr>
          <w:rFonts w:hint="eastAsia" w:ascii="宋体" w:hAnsi="宋体" w:eastAsia="宋体" w:cs="宋体"/>
          <w:b/>
          <w:sz w:val="32"/>
        </w:rPr>
      </w:pPr>
    </w:p>
    <w:p>
      <w:pPr>
        <w:ind w:firstLine="790" w:firstLineChars="246"/>
        <w:jc w:val="center"/>
        <w:rPr>
          <w:rFonts w:hint="eastAsia" w:ascii="宋体" w:hAnsi="宋体" w:eastAsia="宋体" w:cs="宋体"/>
          <w:b/>
          <w:sz w:val="32"/>
        </w:rPr>
      </w:pPr>
      <w:r>
        <w:rPr>
          <w:rFonts w:hint="eastAsia" w:ascii="宋体" w:hAnsi="宋体" w:eastAsia="宋体" w:cs="宋体"/>
          <w:b/>
          <w:sz w:val="32"/>
        </w:rPr>
        <w:t>202</w:t>
      </w:r>
      <w:r>
        <w:rPr>
          <w:rFonts w:hint="eastAsia" w:ascii="宋体" w:hAnsi="宋体" w:eastAsia="宋体" w:cs="宋体"/>
          <w:b/>
          <w:sz w:val="32"/>
          <w:lang w:val="en-US" w:eastAsia="zh-CN"/>
        </w:rPr>
        <w:t>1</w:t>
      </w:r>
      <w:r>
        <w:rPr>
          <w:rFonts w:hint="eastAsia" w:ascii="宋体" w:hAnsi="宋体" w:eastAsia="宋体" w:cs="宋体"/>
          <w:b/>
          <w:sz w:val="32"/>
        </w:rPr>
        <w:t>年XX月XX日</w:t>
      </w:r>
    </w:p>
    <w:p>
      <w:pPr>
        <w:ind w:firstLine="643"/>
        <w:rPr>
          <w:rFonts w:hint="eastAsia" w:ascii="宋体" w:hAnsi="宋体" w:eastAsia="宋体" w:cs="宋体"/>
          <w:b/>
          <w:sz w:val="32"/>
          <w:szCs w:val="32"/>
        </w:rPr>
      </w:pPr>
      <w:r>
        <w:rPr>
          <w:rFonts w:hint="eastAsia" w:ascii="宋体" w:hAnsi="宋体" w:eastAsia="宋体" w:cs="宋体"/>
          <w:b/>
          <w:sz w:val="32"/>
        </w:rPr>
        <w:br w:type="page"/>
      </w:r>
      <w:r>
        <w:rPr>
          <w:rFonts w:hint="eastAsia" w:ascii="宋体" w:hAnsi="宋体" w:eastAsia="宋体" w:cs="宋体"/>
          <w:b/>
          <w:sz w:val="28"/>
          <w:szCs w:val="28"/>
        </w:rPr>
        <w:t>格式2-2</w:t>
      </w:r>
    </w:p>
    <w:p>
      <w:pPr>
        <w:spacing w:line="360" w:lineRule="auto"/>
        <w:ind w:firstLine="643" w:firstLineChars="200"/>
        <w:jc w:val="center"/>
        <w:rPr>
          <w:rFonts w:hint="eastAsia" w:ascii="宋体" w:hAnsi="宋体" w:eastAsia="宋体" w:cs="宋体"/>
          <w:b/>
          <w:bCs/>
          <w:kern w:val="2"/>
          <w:sz w:val="32"/>
          <w:szCs w:val="32"/>
        </w:rPr>
      </w:pPr>
      <w:bookmarkStart w:id="96" w:name="_Toc308164824"/>
      <w:r>
        <w:rPr>
          <w:rFonts w:hint="eastAsia" w:ascii="宋体" w:hAnsi="宋体" w:eastAsia="宋体" w:cs="宋体"/>
          <w:b/>
          <w:bCs/>
          <w:kern w:val="2"/>
          <w:sz w:val="32"/>
          <w:szCs w:val="32"/>
        </w:rPr>
        <w:t>一、报价函</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XXXXXXX（采购代理机构名称）: </w:t>
      </w:r>
    </w:p>
    <w:p>
      <w:pPr>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1．我方己仔细研究了</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（项目名称）磋商文件的全部内容，总报价为人民币（大写）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 ）。</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2．我方承诺在响应文件有效期   90  天内不修改、撤销响应文件。</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3．如我方成交：</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(l）我方承诺在收到成交通知书后，在规定的期限内与采购人签订合同。</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（2）我方承诺按照磋商文件规定向采购人递交履约担保。</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（3）我方将严格履行政府采购合同规定的责任和义务。</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（4）我方愿意提供贵单位可能另外要求的，与磋商报价有关的文件资料，并保证我方已提供和将要提供的文件资料是真实、准确的。</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 xml:space="preserve">） </w:t>
      </w:r>
      <w:r>
        <w:rPr>
          <w:rFonts w:hint="eastAsia" w:ascii="宋体" w:hAnsi="宋体" w:eastAsia="宋体" w:cs="宋体"/>
          <w:kern w:val="2"/>
          <w:sz w:val="24"/>
          <w:szCs w:val="24"/>
          <w:u w:val="single"/>
        </w:rPr>
        <w:t xml:space="preserve">                          （其他补充说明）</w:t>
      </w:r>
      <w:r>
        <w:rPr>
          <w:rFonts w:hint="eastAsia" w:ascii="宋体" w:hAnsi="宋体" w:eastAsia="宋体" w:cs="宋体"/>
          <w:kern w:val="2"/>
          <w:sz w:val="24"/>
          <w:szCs w:val="24"/>
        </w:rPr>
        <w:t>。</w:t>
      </w:r>
    </w:p>
    <w:p>
      <w:pPr>
        <w:spacing w:line="360" w:lineRule="auto"/>
        <w:ind w:firstLine="480" w:firstLineChars="200"/>
        <w:rPr>
          <w:rFonts w:hint="eastAsia" w:ascii="宋体" w:hAnsi="宋体" w:eastAsia="宋体" w:cs="宋体"/>
          <w:kern w:val="2"/>
          <w:sz w:val="24"/>
          <w:szCs w:val="24"/>
        </w:rPr>
      </w:pP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供应商名称：XXX（盖单位公章）</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法定代表人/单位负责人或授权代表（签字或加盖个人印章）：XXX</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通讯地址：XXX</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邮政编码：XXX</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联系电话：XXX</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传    真：XXX</w:t>
      </w:r>
    </w:p>
    <w:p>
      <w:pPr>
        <w:spacing w:line="360" w:lineRule="auto"/>
        <w:ind w:firstLine="480" w:firstLineChars="200"/>
        <w:rPr>
          <w:rFonts w:hint="eastAsia" w:ascii="宋体" w:hAnsi="宋体" w:eastAsia="宋体" w:cs="宋体"/>
          <w:b/>
          <w:sz w:val="32"/>
          <w:szCs w:val="32"/>
        </w:rPr>
      </w:pPr>
      <w:r>
        <w:rPr>
          <w:rFonts w:hint="eastAsia" w:ascii="宋体" w:hAnsi="宋体" w:eastAsia="宋体" w:cs="宋体"/>
          <w:kern w:val="2"/>
          <w:sz w:val="24"/>
          <w:szCs w:val="24"/>
        </w:rPr>
        <w:t>日    期：XXX年XXX月XXX日</w:t>
      </w:r>
      <w:r>
        <w:rPr>
          <w:rFonts w:hint="eastAsia" w:ascii="宋体" w:hAnsi="宋体" w:eastAsia="宋体" w:cs="宋体"/>
          <w:kern w:val="2"/>
          <w:sz w:val="24"/>
          <w:szCs w:val="24"/>
        </w:rPr>
        <w:br w:type="page"/>
      </w:r>
      <w:r>
        <w:rPr>
          <w:rFonts w:hint="eastAsia" w:ascii="宋体" w:hAnsi="宋体" w:eastAsia="宋体" w:cs="宋体"/>
          <w:b/>
          <w:sz w:val="28"/>
          <w:szCs w:val="28"/>
        </w:rPr>
        <w:t>格式2-3</w:t>
      </w: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二、承诺函</w:t>
      </w:r>
    </w:p>
    <w:p>
      <w:pPr>
        <w:ind w:firstLine="48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XXX（采购代理机构名称）：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我公司作为本次采购项目的供应商，根据磋商文件要求，现郑重承诺如下：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二、完全接受和满足本项目磋商文件中规定的实质性要求（如采购预算、最高限价、低于成本价不正当竞争预防措施、国家规定的强制采购范围、合格供应商、充分、公平竞争保障措施、磋商保证金、响应文件有效期、知识产权、响应文件的组成、响应文件的语言、计量单位、报价货币、合同分包、合同转包等实质性要求），如对磋商文件有异议，已经在递交响应文件截止时间届满前依法进行维权救济，不存在对磋商文件有异议的同时又参加磋商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三、在参加本次采购活动中，不存在与单位负责人为同一人或者存在直接控股、管理关系的其他供应商参与同一合同项下的政府采购活动的行为。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rPr>
        <w:t>四、在参加本次采购活动中，不存在和其他供应商在同一合同项下的采购项</w:t>
      </w:r>
      <w:r>
        <w:rPr>
          <w:rFonts w:hint="eastAsia" w:ascii="宋体" w:hAnsi="宋体" w:eastAsia="宋体" w:cs="宋体"/>
          <w:kern w:val="2"/>
          <w:sz w:val="24"/>
          <w:szCs w:val="24"/>
          <w:highlight w:val="none"/>
        </w:rPr>
        <w:t>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五、响应文件中提供的任何资料和技术、服务、商务等响应承诺情况都是真实的、有效的、合法的。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六</w:t>
      </w:r>
      <w:r>
        <w:rPr>
          <w:rFonts w:hint="eastAsia" w:ascii="宋体" w:hAnsi="宋体" w:eastAsia="宋体" w:cs="宋体"/>
          <w:kern w:val="2"/>
          <w:sz w:val="24"/>
          <w:szCs w:val="24"/>
          <w:highlight w:val="none"/>
        </w:rPr>
        <w:t>、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六</w:t>
      </w:r>
      <w:r>
        <w:rPr>
          <w:rFonts w:hint="eastAsia" w:ascii="宋体" w:hAnsi="宋体" w:eastAsia="宋体" w:cs="宋体"/>
          <w:kern w:val="2"/>
          <w:sz w:val="24"/>
          <w:szCs w:val="24"/>
          <w:highlight w:val="none"/>
        </w:rPr>
        <w:t>、我们已详细阅读全部</w:t>
      </w:r>
      <w:r>
        <w:rPr>
          <w:rFonts w:hint="eastAsia" w:ascii="宋体" w:hAnsi="宋体" w:eastAsia="宋体" w:cs="宋体"/>
          <w:kern w:val="2"/>
          <w:sz w:val="24"/>
          <w:szCs w:val="24"/>
          <w:highlight w:val="none"/>
          <w:lang w:val="en-US" w:eastAsia="zh-CN"/>
        </w:rPr>
        <w:t>采购</w:t>
      </w:r>
      <w:r>
        <w:rPr>
          <w:rFonts w:hint="eastAsia" w:ascii="宋体" w:hAnsi="宋体" w:eastAsia="宋体" w:cs="宋体"/>
          <w:kern w:val="2"/>
          <w:sz w:val="24"/>
          <w:szCs w:val="24"/>
          <w:highlight w:val="none"/>
        </w:rPr>
        <w:t>文件，包括文件修改书(如有)，参考资料及有关附件，我们完全理解并放弃提出含糊不清或误解的问题的权利。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法定代表人/单位负责人签字或加盖个人印章：XXXX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授权代表签字：XXXX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供应商名称：XXXX（盖章）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日    期：XXX年XXX月XXX日</w:t>
      </w:r>
    </w:p>
    <w:p>
      <w:pPr>
        <w:spacing w:line="360" w:lineRule="auto"/>
        <w:ind w:firstLine="480" w:firstLineChars="200"/>
        <w:rPr>
          <w:rFonts w:hint="eastAsia" w:ascii="宋体" w:hAnsi="宋体" w:eastAsia="宋体" w:cs="宋体"/>
          <w:kern w:val="2"/>
          <w:sz w:val="24"/>
          <w:szCs w:val="24"/>
        </w:rPr>
      </w:pPr>
    </w:p>
    <w:p>
      <w:pPr>
        <w:spacing w:line="360" w:lineRule="auto"/>
        <w:ind w:firstLine="480" w:firstLineChars="200"/>
        <w:rPr>
          <w:rFonts w:hint="eastAsia" w:ascii="宋体" w:hAnsi="宋体" w:eastAsia="宋体" w:cs="宋体"/>
          <w:b/>
          <w:sz w:val="32"/>
          <w:szCs w:val="32"/>
        </w:rPr>
      </w:pPr>
      <w:r>
        <w:rPr>
          <w:rFonts w:hint="eastAsia" w:ascii="宋体" w:hAnsi="宋体" w:eastAsia="宋体" w:cs="宋体"/>
          <w:kern w:val="2"/>
          <w:sz w:val="24"/>
          <w:szCs w:val="24"/>
        </w:rPr>
        <w:br w:type="page"/>
      </w:r>
      <w:bookmarkEnd w:id="96"/>
      <w:bookmarkStart w:id="97" w:name="_Toc217446087"/>
      <w:r>
        <w:rPr>
          <w:rFonts w:hint="eastAsia" w:ascii="宋体" w:hAnsi="宋体" w:eastAsia="宋体" w:cs="宋体"/>
          <w:b/>
          <w:sz w:val="28"/>
          <w:szCs w:val="28"/>
        </w:rPr>
        <w:t>格式2-4</w:t>
      </w:r>
    </w:p>
    <w:p>
      <w:pPr>
        <w:spacing w:line="4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报价表</w:t>
      </w:r>
    </w:p>
    <w:p>
      <w:pPr>
        <w:pStyle w:val="16"/>
        <w:pBdr>
          <w:bottom w:val="none" w:color="auto" w:sz="0" w:space="0"/>
        </w:pBdr>
        <w:tabs>
          <w:tab w:val="clear" w:pos="4153"/>
          <w:tab w:val="clear" w:pos="8306"/>
        </w:tabs>
        <w:snapToGrid/>
        <w:ind w:firstLine="480"/>
        <w:jc w:val="both"/>
        <w:rPr>
          <w:rFonts w:hint="eastAsia" w:ascii="宋体" w:hAnsi="宋体" w:eastAsia="宋体" w:cs="宋体"/>
          <w:sz w:val="28"/>
          <w:szCs w:val="28"/>
        </w:rPr>
      </w:pPr>
      <w:r>
        <w:rPr>
          <w:rFonts w:hint="eastAsia" w:ascii="宋体" w:hAnsi="宋体" w:eastAsia="宋体" w:cs="宋体"/>
          <w:sz w:val="24"/>
          <w:szCs w:val="24"/>
        </w:rPr>
        <w:t>第XX包</w:t>
      </w:r>
    </w:p>
    <w:tbl>
      <w:tblPr>
        <w:tblStyle w:val="24"/>
        <w:tblW w:w="9422"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169"/>
        <w:gridCol w:w="72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81" w:hRule="atLeast"/>
        </w:trPr>
        <w:tc>
          <w:tcPr>
            <w:tcW w:w="2169" w:type="dxa"/>
            <w:tcBorders>
              <w:top w:val="single" w:color="auto" w:sz="4" w:space="0"/>
            </w:tcBorders>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采购项目名称</w:t>
            </w:r>
          </w:p>
        </w:tc>
        <w:tc>
          <w:tcPr>
            <w:tcW w:w="7253" w:type="dxa"/>
            <w:tcBorders>
              <w:top w:val="single" w:color="auto" w:sz="4" w:space="0"/>
            </w:tcBorders>
            <w:vAlign w:val="center"/>
          </w:tcPr>
          <w:p>
            <w:pPr>
              <w:keepNext w:val="0"/>
              <w:keepLines w:val="0"/>
              <w:pageBreakBefore w:val="0"/>
              <w:tabs>
                <w:tab w:val="left" w:pos="8364"/>
              </w:tabs>
              <w:kinsoku/>
              <w:wordWrap/>
              <w:overflowPunct/>
              <w:topLinePunct w:val="0"/>
              <w:bidi w:val="0"/>
              <w:snapToGrid w:val="0"/>
              <w:spacing w:line="360" w:lineRule="auto"/>
              <w:ind w:right="-58" w:firstLine="482"/>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38" w:hRule="atLeast"/>
        </w:trPr>
        <w:tc>
          <w:tcPr>
            <w:tcW w:w="2169" w:type="dxa"/>
            <w:vMerge w:val="restart"/>
            <w:vAlign w:val="center"/>
          </w:tcPr>
          <w:p>
            <w:pPr>
              <w:keepNext w:val="0"/>
              <w:keepLines w:val="0"/>
              <w:pageBreakBefore w:val="0"/>
              <w:widowControl/>
              <w:kinsoku/>
              <w:wordWrap/>
              <w:overflowPunct/>
              <w:topLinePunct w:val="0"/>
              <w:bidi w:val="0"/>
              <w:spacing w:line="360" w:lineRule="auto"/>
              <w:ind w:firstLine="0" w:firstLineChars="0"/>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总</w:t>
            </w:r>
            <w:r>
              <w:rPr>
                <w:rFonts w:hint="eastAsia" w:ascii="宋体" w:hAnsi="宋体" w:cs="宋体"/>
                <w:b/>
                <w:bCs/>
                <w:sz w:val="24"/>
                <w:szCs w:val="24"/>
                <w:highlight w:val="none"/>
                <w:lang w:val="en-US" w:eastAsia="zh-CN"/>
              </w:rPr>
              <w:t>报价（单位：元）</w:t>
            </w:r>
          </w:p>
        </w:tc>
        <w:tc>
          <w:tcPr>
            <w:tcW w:w="7253" w:type="dxa"/>
            <w:tcBorders>
              <w:bottom w:val="single" w:color="auto" w:sz="4" w:space="0"/>
            </w:tcBorders>
            <w:vAlign w:val="center"/>
          </w:tcPr>
          <w:p>
            <w:pPr>
              <w:keepNext w:val="0"/>
              <w:keepLines w:val="0"/>
              <w:pageBreakBefore w:val="0"/>
              <w:widowControl/>
              <w:kinsoku/>
              <w:wordWrap/>
              <w:overflowPunct/>
              <w:topLinePunct w:val="0"/>
              <w:bidi w:val="0"/>
              <w:spacing w:line="360" w:lineRule="auto"/>
              <w:ind w:firstLine="0" w:firstLineChars="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rPr>
              <w:t>小写：</w:t>
            </w:r>
            <w:r>
              <w:rPr>
                <w:rFonts w:hint="eastAsia" w:ascii="宋体" w:hAnsi="宋体" w:cs="宋体"/>
                <w:b/>
                <w:bCs/>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71" w:hRule="atLeast"/>
        </w:trPr>
        <w:tc>
          <w:tcPr>
            <w:tcW w:w="2169" w:type="dxa"/>
            <w:vMerge w:val="continue"/>
            <w:tcBorders>
              <w:bottom w:val="single" w:color="auto" w:sz="4" w:space="0"/>
            </w:tcBorders>
            <w:vAlign w:val="center"/>
          </w:tcPr>
          <w:p>
            <w:pPr>
              <w:keepNext w:val="0"/>
              <w:keepLines w:val="0"/>
              <w:pageBreakBefore w:val="0"/>
              <w:widowControl/>
              <w:kinsoku/>
              <w:wordWrap/>
              <w:overflowPunct/>
              <w:topLinePunct w:val="0"/>
              <w:bidi w:val="0"/>
              <w:spacing w:line="360" w:lineRule="auto"/>
              <w:ind w:firstLine="0" w:firstLineChars="0"/>
              <w:textAlignment w:val="auto"/>
              <w:rPr>
                <w:rFonts w:hint="eastAsia" w:ascii="宋体" w:hAnsi="宋体" w:cs="宋体"/>
                <w:b/>
                <w:bCs/>
                <w:sz w:val="24"/>
                <w:szCs w:val="24"/>
                <w:highlight w:val="none"/>
                <w:lang w:val="en-US" w:eastAsia="zh-CN"/>
              </w:rPr>
            </w:pPr>
          </w:p>
        </w:tc>
        <w:tc>
          <w:tcPr>
            <w:tcW w:w="7253" w:type="dxa"/>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u w:val="none"/>
                <w:lang w:val="en-US" w:eastAsia="zh-CN"/>
              </w:rPr>
              <w:t>大写</w:t>
            </w:r>
            <w:r>
              <w:rPr>
                <w:rFonts w:hint="eastAsia" w:ascii="宋体" w:hAnsi="宋体" w:cs="宋体"/>
                <w:sz w:val="24"/>
                <w:szCs w:val="24"/>
                <w:highlight w:val="none"/>
                <w:u w:val="none"/>
                <w:lang w:val="en-US" w:eastAsia="zh-CN"/>
              </w:rPr>
              <w:t xml:space="preserve">：              </w:t>
            </w:r>
          </w:p>
        </w:tc>
      </w:tr>
    </w:tbl>
    <w:p>
      <w:pPr>
        <w:tabs>
          <w:tab w:val="left" w:pos="4305"/>
          <w:tab w:val="left" w:pos="8364"/>
        </w:tabs>
        <w:snapToGrid w:val="0"/>
        <w:spacing w:line="360" w:lineRule="auto"/>
        <w:ind w:right="-57" w:firstLine="480" w:firstLineChars="200"/>
        <w:rPr>
          <w:rFonts w:hint="eastAsia" w:ascii="宋体" w:hAnsi="宋体" w:eastAsia="宋体" w:cs="宋体"/>
          <w:kern w:val="2"/>
          <w:sz w:val="24"/>
          <w:szCs w:val="24"/>
        </w:rPr>
      </w:pPr>
    </w:p>
    <w:p>
      <w:pPr>
        <w:tabs>
          <w:tab w:val="left" w:pos="4305"/>
          <w:tab w:val="left" w:pos="8364"/>
        </w:tabs>
        <w:snapToGrid w:val="0"/>
        <w:spacing w:line="360" w:lineRule="auto"/>
        <w:ind w:right="-57"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注：1.供应商须按要求填写所有信息，不得随意更改本表格式。</w:t>
      </w:r>
    </w:p>
    <w:p>
      <w:pPr>
        <w:tabs>
          <w:tab w:val="left" w:pos="4305"/>
          <w:tab w:val="left" w:pos="8364"/>
        </w:tabs>
        <w:snapToGrid w:val="0"/>
        <w:spacing w:line="360" w:lineRule="auto"/>
        <w:ind w:right="-57"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2.此表是响应文件的必要文件，是响应文件的组成部分。</w:t>
      </w:r>
    </w:p>
    <w:p>
      <w:pPr>
        <w:tabs>
          <w:tab w:val="left" w:pos="4305"/>
          <w:tab w:val="left" w:pos="8364"/>
        </w:tabs>
        <w:snapToGrid w:val="0"/>
        <w:spacing w:line="360" w:lineRule="auto"/>
        <w:ind w:right="-57"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3.报价应是最终用户验收合格后的该项目或者该包总价，包括运输、保险、代理、安装调试、培训、税费、系统集成费用和磋商文件规定的其他费用。所有价格均应予人民币报价，金额单位为元。</w:t>
      </w:r>
    </w:p>
    <w:p>
      <w:pPr>
        <w:tabs>
          <w:tab w:val="left" w:pos="4305"/>
          <w:tab w:val="left" w:pos="8364"/>
        </w:tabs>
        <w:snapToGrid w:val="0"/>
        <w:spacing w:line="360" w:lineRule="auto"/>
        <w:ind w:right="-57" w:firstLine="480" w:firstLineChars="200"/>
        <w:rPr>
          <w:rFonts w:hint="eastAsia" w:ascii="宋体" w:hAnsi="宋体" w:eastAsia="宋体" w:cs="宋体"/>
          <w:kern w:val="2"/>
          <w:sz w:val="24"/>
          <w:szCs w:val="24"/>
        </w:rPr>
      </w:pPr>
    </w:p>
    <w:p>
      <w:pPr>
        <w:tabs>
          <w:tab w:val="left" w:pos="4305"/>
          <w:tab w:val="left" w:pos="8364"/>
        </w:tabs>
        <w:snapToGrid w:val="0"/>
        <w:spacing w:line="360" w:lineRule="auto"/>
        <w:ind w:right="-57"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供应商名称：XXXX（盖单位公章）</w:t>
      </w:r>
    </w:p>
    <w:p>
      <w:pPr>
        <w:tabs>
          <w:tab w:val="left" w:pos="4305"/>
          <w:tab w:val="left" w:pos="8364"/>
        </w:tabs>
        <w:snapToGrid w:val="0"/>
        <w:spacing w:line="360" w:lineRule="auto"/>
        <w:ind w:right="-57"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法定代表人/单位负责人或授权代表（签字或加盖个人印章）：XXXX</w:t>
      </w:r>
    </w:p>
    <w:p>
      <w:pPr>
        <w:tabs>
          <w:tab w:val="left" w:pos="4305"/>
          <w:tab w:val="left" w:pos="8364"/>
        </w:tabs>
        <w:snapToGrid w:val="0"/>
        <w:spacing w:line="360" w:lineRule="auto"/>
        <w:ind w:right="-57"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日期：XXXX</w:t>
      </w:r>
    </w:p>
    <w:p>
      <w:pPr>
        <w:tabs>
          <w:tab w:val="left" w:pos="4305"/>
          <w:tab w:val="left" w:pos="8364"/>
        </w:tabs>
        <w:snapToGrid w:val="0"/>
        <w:spacing w:line="360" w:lineRule="auto"/>
        <w:ind w:right="-57"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br w:type="page"/>
      </w:r>
    </w:p>
    <w:p>
      <w:pPr>
        <w:spacing w:line="360" w:lineRule="auto"/>
        <w:ind w:firstLine="562" w:firstLineChars="200"/>
        <w:rPr>
          <w:rFonts w:hint="eastAsia" w:ascii="宋体" w:hAnsi="宋体" w:eastAsia="宋体" w:cs="宋体"/>
          <w:b/>
          <w:sz w:val="32"/>
          <w:szCs w:val="32"/>
          <w:lang w:eastAsia="zh-CN"/>
        </w:rPr>
      </w:pPr>
      <w:r>
        <w:rPr>
          <w:rFonts w:hint="eastAsia" w:ascii="宋体" w:hAnsi="宋体" w:eastAsia="宋体" w:cs="宋体"/>
          <w:b/>
          <w:sz w:val="28"/>
          <w:szCs w:val="28"/>
        </w:rPr>
        <w:t>格式2-4</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eastAsia="zh-CN"/>
        </w:rPr>
        <w:t>）</w:t>
      </w:r>
    </w:p>
    <w:p>
      <w:pPr>
        <w:spacing w:line="360" w:lineRule="auto"/>
        <w:rPr>
          <w:rFonts w:hint="eastAsia" w:ascii="宋体" w:hAnsi="宋体" w:eastAsia="宋体" w:cs="宋体"/>
          <w:kern w:val="2"/>
          <w:sz w:val="24"/>
          <w:szCs w:val="24"/>
        </w:rPr>
      </w:pPr>
    </w:p>
    <w:p>
      <w:pPr>
        <w:keepNext w:val="0"/>
        <w:keepLines w:val="0"/>
        <w:pageBreakBefore w:val="0"/>
        <w:kinsoku/>
        <w:wordWrap/>
        <w:overflowPunct/>
        <w:topLinePunct w:val="0"/>
        <w:bidi w:val="0"/>
        <w:spacing w:line="360" w:lineRule="auto"/>
        <w:ind w:firstLine="562"/>
        <w:jc w:val="center"/>
        <w:textAlignment w:val="auto"/>
        <w:rPr>
          <w:rFonts w:hint="eastAsia" w:ascii="宋体" w:hAnsi="宋体" w:eastAsia="宋体" w:cs="宋体"/>
          <w:b/>
          <w:bCs/>
          <w:color w:val="FF0000"/>
          <w:sz w:val="28"/>
          <w:szCs w:val="28"/>
          <w:highlight w:val="none"/>
          <w:lang w:eastAsia="zh-CN"/>
        </w:rPr>
      </w:pPr>
      <w:r>
        <w:rPr>
          <w:rFonts w:hint="eastAsia" w:ascii="宋体" w:hAnsi="宋体" w:eastAsia="宋体" w:cs="宋体"/>
          <w:b/>
          <w:bCs/>
          <w:sz w:val="28"/>
          <w:szCs w:val="28"/>
          <w:highlight w:val="none"/>
        </w:rPr>
        <w:t>分项报价明细表</w:t>
      </w:r>
    </w:p>
    <w:p>
      <w:pPr>
        <w:pStyle w:val="16"/>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第XX包</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p>
    <w:tbl>
      <w:tblPr>
        <w:tblStyle w:val="24"/>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190"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tc>
        <w:tc>
          <w:tcPr>
            <w:tcW w:w="3556"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总</w:t>
            </w:r>
            <w:r>
              <w:rPr>
                <w:rFonts w:hint="eastAsia" w:ascii="宋体" w:hAnsi="宋体" w:eastAsia="宋体" w:cs="宋体"/>
                <w:b/>
                <w:bCs/>
                <w:sz w:val="24"/>
                <w:szCs w:val="24"/>
                <w:highlight w:val="none"/>
              </w:rPr>
              <w:t>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4190"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p>
        </w:tc>
        <w:tc>
          <w:tcPr>
            <w:tcW w:w="3556"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4190"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p>
        </w:tc>
        <w:tc>
          <w:tcPr>
            <w:tcW w:w="3556"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p>
        </w:tc>
        <w:tc>
          <w:tcPr>
            <w:tcW w:w="4190"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p>
        </w:tc>
        <w:tc>
          <w:tcPr>
            <w:tcW w:w="3556" w:type="dxa"/>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4" w:type="dxa"/>
            <w:gridSpan w:val="3"/>
            <w:noWrap w:val="0"/>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本项目总报价(元)： 大写：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       小写：</w:t>
            </w:r>
          </w:p>
        </w:tc>
      </w:tr>
    </w:tbl>
    <w:p>
      <w:pPr>
        <w:keepNext w:val="0"/>
        <w:keepLines w:val="0"/>
        <w:pageBreakBefore w:val="0"/>
        <w:kinsoku/>
        <w:wordWrap/>
        <w:overflowPunct/>
        <w:topLinePunct w:val="0"/>
        <w:bidi w:val="0"/>
        <w:spacing w:line="360" w:lineRule="auto"/>
        <w:ind w:left="843" w:hanging="843" w:hangingChars="35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sz w:val="24"/>
          <w:szCs w:val="24"/>
          <w:highlight w:val="none"/>
        </w:rPr>
        <w:t>1、供应商必须按“</w:t>
      </w:r>
      <w:r>
        <w:rPr>
          <w:rFonts w:hint="eastAsia" w:ascii="宋体" w:hAnsi="宋体" w:eastAsia="宋体" w:cs="宋体"/>
          <w:bCs/>
          <w:sz w:val="24"/>
          <w:szCs w:val="24"/>
          <w:highlight w:val="none"/>
        </w:rPr>
        <w:t>分项报价明细表”的内容</w:t>
      </w:r>
      <w:r>
        <w:rPr>
          <w:rFonts w:hint="eastAsia" w:ascii="宋体" w:hAnsi="宋体" w:eastAsia="宋体" w:cs="宋体"/>
          <w:sz w:val="24"/>
          <w:szCs w:val="24"/>
          <w:highlight w:val="none"/>
        </w:rPr>
        <w:t>详细报出总价的组成部分的报价，</w:t>
      </w:r>
      <w:r>
        <w:rPr>
          <w:rFonts w:hint="eastAsia" w:ascii="宋体" w:hAnsi="宋体" w:eastAsia="宋体" w:cs="宋体"/>
          <w:b/>
          <w:bCs/>
          <w:sz w:val="24"/>
          <w:szCs w:val="24"/>
          <w:highlight w:val="none"/>
        </w:rPr>
        <w:t>格式可自拟</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分项报价明细表”各分项报价合计应当与“报价表”报价合计相等。</w:t>
      </w:r>
    </w:p>
    <w:p>
      <w:pPr>
        <w:keepNext w:val="0"/>
        <w:keepLines w:val="0"/>
        <w:pageBreakBefore w:val="0"/>
        <w:widowControl/>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各单价不得低于成本报价，合计金额报价不得高于最高限价。</w:t>
      </w:r>
    </w:p>
    <w:p>
      <w:pPr>
        <w:rPr>
          <w:rFonts w:hint="default"/>
          <w:highlight w:val="none"/>
          <w:lang w:val="en-US" w:eastAsia="zh-CN"/>
        </w:rPr>
      </w:pPr>
    </w:p>
    <w:p>
      <w:pPr>
        <w:pStyle w:val="2"/>
        <w:rPr>
          <w:rFonts w:hint="default"/>
          <w:lang w:val="en-US" w:eastAsia="zh-CN"/>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pStyle w:val="2"/>
        <w:rPr>
          <w:rFonts w:hint="eastAsia"/>
        </w:rPr>
      </w:pPr>
    </w:p>
    <w:p>
      <w:pPr>
        <w:rPr>
          <w:rFonts w:hint="eastAsia" w:ascii="宋体" w:hAnsi="宋体" w:eastAsia="宋体" w:cs="宋体"/>
          <w:kern w:val="2"/>
          <w:sz w:val="24"/>
          <w:szCs w:val="24"/>
        </w:rPr>
      </w:pPr>
      <w:r>
        <w:rPr>
          <w:rFonts w:hint="eastAsia" w:ascii="宋体" w:hAnsi="宋体" w:eastAsia="宋体" w:cs="宋体"/>
          <w:kern w:val="2"/>
          <w:sz w:val="24"/>
          <w:szCs w:val="24"/>
        </w:rPr>
        <w:br w:type="page"/>
      </w:r>
    </w:p>
    <w:p>
      <w:pPr>
        <w:spacing w:line="360" w:lineRule="auto"/>
        <w:rPr>
          <w:rFonts w:hint="eastAsia" w:ascii="宋体" w:hAnsi="宋体" w:eastAsia="宋体" w:cs="宋体"/>
          <w:b/>
          <w:bCs/>
          <w:kern w:val="2"/>
          <w:sz w:val="32"/>
          <w:szCs w:val="32"/>
        </w:rPr>
      </w:pPr>
      <w:r>
        <w:rPr>
          <w:rFonts w:hint="eastAsia" w:ascii="宋体" w:hAnsi="宋体" w:eastAsia="宋体" w:cs="宋体"/>
          <w:kern w:val="2"/>
          <w:sz w:val="24"/>
          <w:szCs w:val="24"/>
        </w:rPr>
        <w:t>格式2-5</w:t>
      </w: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四、供应商基本情况表</w:t>
      </w: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供应商名称</w:t>
            </w:r>
          </w:p>
        </w:tc>
        <w:tc>
          <w:tcPr>
            <w:tcW w:w="7560" w:type="dxa"/>
            <w:gridSpan w:val="11"/>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注册地址</w:t>
            </w:r>
          </w:p>
        </w:tc>
        <w:tc>
          <w:tcPr>
            <w:tcW w:w="4680" w:type="dxa"/>
            <w:gridSpan w:val="6"/>
            <w:vAlign w:val="center"/>
          </w:tcPr>
          <w:p>
            <w:pPr>
              <w:spacing w:line="360" w:lineRule="auto"/>
              <w:rPr>
                <w:rFonts w:hint="eastAsia" w:ascii="宋体" w:hAnsi="宋体" w:eastAsia="宋体" w:cs="宋体"/>
                <w:bCs/>
                <w:kern w:val="2"/>
                <w:sz w:val="24"/>
                <w:szCs w:val="21"/>
              </w:rPr>
            </w:pPr>
          </w:p>
        </w:tc>
        <w:tc>
          <w:tcPr>
            <w:tcW w:w="1260" w:type="dxa"/>
            <w:gridSpan w:val="3"/>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邮政编码</w:t>
            </w:r>
          </w:p>
        </w:tc>
        <w:tc>
          <w:tcPr>
            <w:tcW w:w="1620" w:type="dxa"/>
            <w:gridSpan w:val="2"/>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联系方式</w:t>
            </w:r>
          </w:p>
        </w:tc>
        <w:tc>
          <w:tcPr>
            <w:tcW w:w="108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联系人</w:t>
            </w:r>
          </w:p>
        </w:tc>
        <w:tc>
          <w:tcPr>
            <w:tcW w:w="3600" w:type="dxa"/>
            <w:gridSpan w:val="5"/>
            <w:vAlign w:val="center"/>
          </w:tcPr>
          <w:p>
            <w:pPr>
              <w:spacing w:line="360" w:lineRule="auto"/>
              <w:rPr>
                <w:rFonts w:hint="eastAsia" w:ascii="宋体" w:hAnsi="宋体" w:eastAsia="宋体" w:cs="宋体"/>
                <w:bCs/>
                <w:kern w:val="2"/>
                <w:sz w:val="24"/>
                <w:szCs w:val="21"/>
              </w:rPr>
            </w:pPr>
          </w:p>
        </w:tc>
        <w:tc>
          <w:tcPr>
            <w:tcW w:w="1260" w:type="dxa"/>
            <w:gridSpan w:val="3"/>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联系电话</w:t>
            </w:r>
          </w:p>
        </w:tc>
        <w:tc>
          <w:tcPr>
            <w:tcW w:w="1620" w:type="dxa"/>
            <w:gridSpan w:val="2"/>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rPr>
                <w:rFonts w:hint="eastAsia" w:ascii="宋体" w:hAnsi="宋体" w:eastAsia="宋体" w:cs="宋体"/>
                <w:bCs/>
                <w:kern w:val="2"/>
                <w:sz w:val="24"/>
                <w:szCs w:val="21"/>
              </w:rPr>
            </w:pPr>
          </w:p>
        </w:tc>
        <w:tc>
          <w:tcPr>
            <w:tcW w:w="108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传真</w:t>
            </w:r>
          </w:p>
        </w:tc>
        <w:tc>
          <w:tcPr>
            <w:tcW w:w="3600" w:type="dxa"/>
            <w:gridSpan w:val="5"/>
            <w:vAlign w:val="center"/>
          </w:tcPr>
          <w:p>
            <w:pPr>
              <w:spacing w:line="360" w:lineRule="auto"/>
              <w:rPr>
                <w:rFonts w:hint="eastAsia" w:ascii="宋体" w:hAnsi="宋体" w:eastAsia="宋体" w:cs="宋体"/>
                <w:bCs/>
                <w:kern w:val="2"/>
                <w:sz w:val="24"/>
                <w:szCs w:val="21"/>
              </w:rPr>
            </w:pPr>
          </w:p>
        </w:tc>
        <w:tc>
          <w:tcPr>
            <w:tcW w:w="1260" w:type="dxa"/>
            <w:gridSpan w:val="3"/>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网址</w:t>
            </w:r>
          </w:p>
        </w:tc>
        <w:tc>
          <w:tcPr>
            <w:tcW w:w="1620" w:type="dxa"/>
            <w:gridSpan w:val="2"/>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组织结构</w:t>
            </w:r>
          </w:p>
        </w:tc>
        <w:tc>
          <w:tcPr>
            <w:tcW w:w="7560" w:type="dxa"/>
            <w:gridSpan w:val="11"/>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法定代表人/单位负责人</w:t>
            </w:r>
          </w:p>
        </w:tc>
        <w:tc>
          <w:tcPr>
            <w:tcW w:w="1260" w:type="dxa"/>
            <w:gridSpan w:val="2"/>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姓名</w:t>
            </w:r>
          </w:p>
        </w:tc>
        <w:tc>
          <w:tcPr>
            <w:tcW w:w="1260" w:type="dxa"/>
            <w:vAlign w:val="center"/>
          </w:tcPr>
          <w:p>
            <w:pPr>
              <w:spacing w:line="360" w:lineRule="auto"/>
              <w:rPr>
                <w:rFonts w:hint="eastAsia" w:ascii="宋体" w:hAnsi="宋体" w:eastAsia="宋体" w:cs="宋体"/>
                <w:bCs/>
                <w:kern w:val="2"/>
                <w:sz w:val="24"/>
                <w:szCs w:val="21"/>
              </w:rPr>
            </w:pPr>
          </w:p>
        </w:tc>
        <w:tc>
          <w:tcPr>
            <w:tcW w:w="126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技术职称</w:t>
            </w:r>
          </w:p>
        </w:tc>
        <w:tc>
          <w:tcPr>
            <w:tcW w:w="1260" w:type="dxa"/>
            <w:gridSpan w:val="3"/>
            <w:vAlign w:val="center"/>
          </w:tcPr>
          <w:p>
            <w:pPr>
              <w:spacing w:line="360" w:lineRule="auto"/>
              <w:rPr>
                <w:rFonts w:hint="eastAsia" w:ascii="宋体" w:hAnsi="宋体" w:eastAsia="宋体" w:cs="宋体"/>
                <w:bCs/>
                <w:kern w:val="2"/>
                <w:sz w:val="24"/>
                <w:szCs w:val="21"/>
              </w:rPr>
            </w:pPr>
          </w:p>
        </w:tc>
        <w:tc>
          <w:tcPr>
            <w:tcW w:w="1260" w:type="dxa"/>
            <w:gridSpan w:val="3"/>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联系电话</w:t>
            </w:r>
          </w:p>
        </w:tc>
        <w:tc>
          <w:tcPr>
            <w:tcW w:w="1260" w:type="dxa"/>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技术负责人</w:t>
            </w:r>
          </w:p>
        </w:tc>
        <w:tc>
          <w:tcPr>
            <w:tcW w:w="1260" w:type="dxa"/>
            <w:gridSpan w:val="2"/>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姓名</w:t>
            </w:r>
          </w:p>
        </w:tc>
        <w:tc>
          <w:tcPr>
            <w:tcW w:w="1260" w:type="dxa"/>
            <w:vAlign w:val="center"/>
          </w:tcPr>
          <w:p>
            <w:pPr>
              <w:spacing w:line="360" w:lineRule="auto"/>
              <w:rPr>
                <w:rFonts w:hint="eastAsia" w:ascii="宋体" w:hAnsi="宋体" w:eastAsia="宋体" w:cs="宋体"/>
                <w:bCs/>
                <w:kern w:val="2"/>
                <w:sz w:val="24"/>
                <w:szCs w:val="21"/>
              </w:rPr>
            </w:pPr>
          </w:p>
        </w:tc>
        <w:tc>
          <w:tcPr>
            <w:tcW w:w="126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技术职称</w:t>
            </w:r>
          </w:p>
        </w:tc>
        <w:tc>
          <w:tcPr>
            <w:tcW w:w="1260" w:type="dxa"/>
            <w:gridSpan w:val="3"/>
            <w:vAlign w:val="center"/>
          </w:tcPr>
          <w:p>
            <w:pPr>
              <w:spacing w:line="360" w:lineRule="auto"/>
              <w:rPr>
                <w:rFonts w:hint="eastAsia" w:ascii="宋体" w:hAnsi="宋体" w:eastAsia="宋体" w:cs="宋体"/>
                <w:bCs/>
                <w:kern w:val="2"/>
                <w:sz w:val="24"/>
                <w:szCs w:val="21"/>
              </w:rPr>
            </w:pPr>
          </w:p>
        </w:tc>
        <w:tc>
          <w:tcPr>
            <w:tcW w:w="1260" w:type="dxa"/>
            <w:gridSpan w:val="3"/>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联系电话</w:t>
            </w:r>
          </w:p>
        </w:tc>
        <w:tc>
          <w:tcPr>
            <w:tcW w:w="1260" w:type="dxa"/>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成立时间</w:t>
            </w:r>
          </w:p>
        </w:tc>
        <w:tc>
          <w:tcPr>
            <w:tcW w:w="2520" w:type="dxa"/>
            <w:gridSpan w:val="3"/>
            <w:vAlign w:val="center"/>
          </w:tcPr>
          <w:p>
            <w:pPr>
              <w:spacing w:line="360" w:lineRule="auto"/>
              <w:rPr>
                <w:rFonts w:hint="eastAsia" w:ascii="宋体" w:hAnsi="宋体" w:eastAsia="宋体" w:cs="宋体"/>
                <w:bCs/>
                <w:kern w:val="2"/>
                <w:sz w:val="24"/>
                <w:szCs w:val="21"/>
              </w:rPr>
            </w:pPr>
          </w:p>
        </w:tc>
        <w:tc>
          <w:tcPr>
            <w:tcW w:w="5040" w:type="dxa"/>
            <w:gridSpan w:val="8"/>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企业资质等级</w:t>
            </w:r>
          </w:p>
        </w:tc>
        <w:tc>
          <w:tcPr>
            <w:tcW w:w="2520" w:type="dxa"/>
            <w:gridSpan w:val="3"/>
            <w:vAlign w:val="center"/>
          </w:tcPr>
          <w:p>
            <w:pPr>
              <w:spacing w:line="360" w:lineRule="auto"/>
              <w:rPr>
                <w:rFonts w:hint="eastAsia" w:ascii="宋体" w:hAnsi="宋体" w:eastAsia="宋体" w:cs="宋体"/>
                <w:bCs/>
                <w:kern w:val="2"/>
                <w:sz w:val="24"/>
                <w:szCs w:val="21"/>
              </w:rPr>
            </w:pPr>
          </w:p>
        </w:tc>
        <w:tc>
          <w:tcPr>
            <w:tcW w:w="1680" w:type="dxa"/>
            <w:gridSpan w:val="2"/>
            <w:vMerge w:val="restart"/>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其中</w:t>
            </w:r>
          </w:p>
        </w:tc>
        <w:tc>
          <w:tcPr>
            <w:tcW w:w="1680" w:type="dxa"/>
            <w:gridSpan w:val="3"/>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项目经理</w:t>
            </w:r>
          </w:p>
        </w:tc>
        <w:tc>
          <w:tcPr>
            <w:tcW w:w="1680" w:type="dxa"/>
            <w:gridSpan w:val="3"/>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营业执照号</w:t>
            </w:r>
          </w:p>
        </w:tc>
        <w:tc>
          <w:tcPr>
            <w:tcW w:w="2520" w:type="dxa"/>
            <w:gridSpan w:val="3"/>
            <w:vAlign w:val="center"/>
          </w:tcPr>
          <w:p>
            <w:pPr>
              <w:spacing w:line="360" w:lineRule="auto"/>
              <w:rPr>
                <w:rFonts w:hint="eastAsia" w:ascii="宋体" w:hAnsi="宋体" w:eastAsia="宋体" w:cs="宋体"/>
                <w:bCs/>
                <w:kern w:val="2"/>
                <w:sz w:val="24"/>
                <w:szCs w:val="21"/>
              </w:rPr>
            </w:pPr>
          </w:p>
        </w:tc>
        <w:tc>
          <w:tcPr>
            <w:tcW w:w="1680" w:type="dxa"/>
            <w:gridSpan w:val="2"/>
            <w:vMerge w:val="continue"/>
            <w:vAlign w:val="center"/>
          </w:tcPr>
          <w:p>
            <w:pPr>
              <w:spacing w:line="360" w:lineRule="auto"/>
              <w:rPr>
                <w:rFonts w:hint="eastAsia" w:ascii="宋体" w:hAnsi="宋体" w:eastAsia="宋体" w:cs="宋体"/>
                <w:bCs/>
                <w:kern w:val="2"/>
                <w:sz w:val="24"/>
                <w:szCs w:val="21"/>
              </w:rPr>
            </w:pPr>
          </w:p>
        </w:tc>
        <w:tc>
          <w:tcPr>
            <w:tcW w:w="1680" w:type="dxa"/>
            <w:gridSpan w:val="3"/>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高级职称人员</w:t>
            </w:r>
          </w:p>
        </w:tc>
        <w:tc>
          <w:tcPr>
            <w:tcW w:w="1680" w:type="dxa"/>
            <w:gridSpan w:val="3"/>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注册资金</w:t>
            </w:r>
          </w:p>
        </w:tc>
        <w:tc>
          <w:tcPr>
            <w:tcW w:w="2520" w:type="dxa"/>
            <w:gridSpan w:val="3"/>
            <w:vAlign w:val="center"/>
          </w:tcPr>
          <w:p>
            <w:pPr>
              <w:spacing w:line="360" w:lineRule="auto"/>
              <w:rPr>
                <w:rFonts w:hint="eastAsia" w:ascii="宋体" w:hAnsi="宋体" w:eastAsia="宋体" w:cs="宋体"/>
                <w:bCs/>
                <w:kern w:val="2"/>
                <w:sz w:val="24"/>
                <w:szCs w:val="21"/>
              </w:rPr>
            </w:pPr>
          </w:p>
        </w:tc>
        <w:tc>
          <w:tcPr>
            <w:tcW w:w="1680" w:type="dxa"/>
            <w:gridSpan w:val="2"/>
            <w:vMerge w:val="continue"/>
            <w:vAlign w:val="center"/>
          </w:tcPr>
          <w:p>
            <w:pPr>
              <w:spacing w:line="360" w:lineRule="auto"/>
              <w:rPr>
                <w:rFonts w:hint="eastAsia" w:ascii="宋体" w:hAnsi="宋体" w:eastAsia="宋体" w:cs="宋体"/>
                <w:bCs/>
                <w:kern w:val="2"/>
                <w:sz w:val="24"/>
                <w:szCs w:val="21"/>
              </w:rPr>
            </w:pPr>
          </w:p>
        </w:tc>
        <w:tc>
          <w:tcPr>
            <w:tcW w:w="1680" w:type="dxa"/>
            <w:gridSpan w:val="3"/>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中级职称人员</w:t>
            </w:r>
          </w:p>
        </w:tc>
        <w:tc>
          <w:tcPr>
            <w:tcW w:w="1680" w:type="dxa"/>
            <w:gridSpan w:val="3"/>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开户银行</w:t>
            </w:r>
          </w:p>
        </w:tc>
        <w:tc>
          <w:tcPr>
            <w:tcW w:w="2520" w:type="dxa"/>
            <w:gridSpan w:val="3"/>
            <w:vAlign w:val="center"/>
          </w:tcPr>
          <w:p>
            <w:pPr>
              <w:spacing w:line="360" w:lineRule="auto"/>
              <w:rPr>
                <w:rFonts w:hint="eastAsia" w:ascii="宋体" w:hAnsi="宋体" w:eastAsia="宋体" w:cs="宋体"/>
                <w:bCs/>
                <w:kern w:val="2"/>
                <w:sz w:val="24"/>
                <w:szCs w:val="21"/>
              </w:rPr>
            </w:pPr>
          </w:p>
        </w:tc>
        <w:tc>
          <w:tcPr>
            <w:tcW w:w="1680" w:type="dxa"/>
            <w:gridSpan w:val="2"/>
            <w:vMerge w:val="continue"/>
            <w:vAlign w:val="center"/>
          </w:tcPr>
          <w:p>
            <w:pPr>
              <w:spacing w:line="360" w:lineRule="auto"/>
              <w:rPr>
                <w:rFonts w:hint="eastAsia" w:ascii="宋体" w:hAnsi="宋体" w:eastAsia="宋体" w:cs="宋体"/>
                <w:bCs/>
                <w:kern w:val="2"/>
                <w:sz w:val="24"/>
                <w:szCs w:val="21"/>
              </w:rPr>
            </w:pPr>
          </w:p>
        </w:tc>
        <w:tc>
          <w:tcPr>
            <w:tcW w:w="1680" w:type="dxa"/>
            <w:gridSpan w:val="3"/>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初级职称人员</w:t>
            </w:r>
          </w:p>
        </w:tc>
        <w:tc>
          <w:tcPr>
            <w:tcW w:w="1680" w:type="dxa"/>
            <w:gridSpan w:val="3"/>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账号</w:t>
            </w:r>
          </w:p>
        </w:tc>
        <w:tc>
          <w:tcPr>
            <w:tcW w:w="2520" w:type="dxa"/>
            <w:gridSpan w:val="3"/>
            <w:vAlign w:val="center"/>
          </w:tcPr>
          <w:p>
            <w:pPr>
              <w:spacing w:line="360" w:lineRule="auto"/>
              <w:rPr>
                <w:rFonts w:hint="eastAsia" w:ascii="宋体" w:hAnsi="宋体" w:eastAsia="宋体" w:cs="宋体"/>
                <w:bCs/>
                <w:kern w:val="2"/>
                <w:sz w:val="24"/>
                <w:szCs w:val="21"/>
              </w:rPr>
            </w:pPr>
          </w:p>
        </w:tc>
        <w:tc>
          <w:tcPr>
            <w:tcW w:w="1680" w:type="dxa"/>
            <w:gridSpan w:val="2"/>
            <w:vMerge w:val="continue"/>
            <w:vAlign w:val="center"/>
          </w:tcPr>
          <w:p>
            <w:pPr>
              <w:spacing w:line="360" w:lineRule="auto"/>
              <w:rPr>
                <w:rFonts w:hint="eastAsia" w:ascii="宋体" w:hAnsi="宋体" w:eastAsia="宋体" w:cs="宋体"/>
                <w:bCs/>
                <w:kern w:val="2"/>
                <w:sz w:val="24"/>
                <w:szCs w:val="21"/>
              </w:rPr>
            </w:pPr>
          </w:p>
        </w:tc>
        <w:tc>
          <w:tcPr>
            <w:tcW w:w="1680" w:type="dxa"/>
            <w:gridSpan w:val="3"/>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技工</w:t>
            </w:r>
          </w:p>
        </w:tc>
        <w:tc>
          <w:tcPr>
            <w:tcW w:w="1680" w:type="dxa"/>
            <w:gridSpan w:val="3"/>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经营范围</w:t>
            </w:r>
          </w:p>
        </w:tc>
        <w:tc>
          <w:tcPr>
            <w:tcW w:w="7560" w:type="dxa"/>
            <w:gridSpan w:val="11"/>
            <w:vAlign w:val="center"/>
          </w:tcPr>
          <w:p>
            <w:pPr>
              <w:spacing w:line="360" w:lineRule="auto"/>
              <w:rPr>
                <w:rFonts w:hint="eastAsia" w:ascii="宋体" w:hAnsi="宋体" w:eastAsia="宋体" w:cs="宋体"/>
                <w:bCs/>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rPr>
                <w:rFonts w:hint="eastAsia" w:ascii="宋体" w:hAnsi="宋体" w:eastAsia="宋体" w:cs="宋体"/>
                <w:bCs/>
                <w:kern w:val="2"/>
                <w:sz w:val="24"/>
                <w:szCs w:val="21"/>
              </w:rPr>
            </w:pPr>
            <w:r>
              <w:rPr>
                <w:rFonts w:hint="eastAsia" w:ascii="宋体" w:hAnsi="宋体" w:eastAsia="宋体" w:cs="宋体"/>
                <w:bCs/>
                <w:kern w:val="2"/>
                <w:sz w:val="24"/>
                <w:szCs w:val="21"/>
              </w:rPr>
              <w:t>备注</w:t>
            </w:r>
          </w:p>
        </w:tc>
        <w:tc>
          <w:tcPr>
            <w:tcW w:w="7560" w:type="dxa"/>
            <w:gridSpan w:val="11"/>
            <w:vAlign w:val="center"/>
          </w:tcPr>
          <w:p>
            <w:pPr>
              <w:spacing w:line="360" w:lineRule="auto"/>
              <w:rPr>
                <w:rFonts w:hint="eastAsia" w:ascii="宋体" w:hAnsi="宋体" w:eastAsia="宋体" w:cs="宋体"/>
                <w:bCs/>
                <w:kern w:val="2"/>
                <w:sz w:val="24"/>
                <w:szCs w:val="21"/>
              </w:rPr>
            </w:pPr>
          </w:p>
        </w:tc>
      </w:tr>
    </w:tbl>
    <w:p>
      <w:pPr>
        <w:adjustRightInd w:val="0"/>
        <w:ind w:firstLine="480"/>
        <w:jc w:val="left"/>
        <w:rPr>
          <w:rFonts w:hint="eastAsia" w:ascii="宋体" w:hAnsi="宋体" w:eastAsia="宋体" w:cs="宋体"/>
        </w:rPr>
      </w:pPr>
    </w:p>
    <w:p>
      <w:pPr>
        <w:adjustRightInd w:val="0"/>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供应商名称：XXX（盖单位公章）</w:t>
      </w:r>
    </w:p>
    <w:p>
      <w:pPr>
        <w:adjustRightInd w:val="0"/>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法定代表人/单位负责人或授权代表（签字或加盖个人印章）：XXX</w:t>
      </w:r>
    </w:p>
    <w:p>
      <w:pPr>
        <w:adjustRightInd w:val="0"/>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日  期：XXX年XXX月XXX日</w:t>
      </w:r>
    </w:p>
    <w:p>
      <w:pPr>
        <w:widowControl/>
        <w:ind w:firstLine="562"/>
        <w:jc w:val="left"/>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kern w:val="2"/>
          <w:sz w:val="28"/>
          <w:szCs w:val="28"/>
        </w:rPr>
      </w:pPr>
      <w:r>
        <w:rPr>
          <w:rFonts w:hint="eastAsia" w:ascii="宋体" w:hAnsi="宋体" w:eastAsia="宋体" w:cs="宋体"/>
          <w:b/>
          <w:kern w:val="2"/>
          <w:sz w:val="28"/>
          <w:szCs w:val="28"/>
        </w:rPr>
        <w:t>格式2-6</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cs="宋体"/>
          <w:b/>
          <w:bCs/>
          <w:sz w:val="28"/>
          <w:szCs w:val="28"/>
          <w:highlight w:val="none"/>
          <w:lang w:val="en-US" w:eastAsia="zh-CN"/>
        </w:rPr>
      </w:pPr>
      <w:r>
        <w:rPr>
          <w:rFonts w:hint="eastAsia" w:ascii="宋体" w:hAnsi="宋体" w:eastAsia="宋体" w:cs="宋体"/>
          <w:b/>
          <w:bCs/>
          <w:kern w:val="2"/>
          <w:sz w:val="32"/>
          <w:szCs w:val="32"/>
          <w:highlight w:val="none"/>
          <w:lang w:val="en-US" w:eastAsia="zh-CN"/>
        </w:rPr>
        <w:t>五</w:t>
      </w:r>
      <w:r>
        <w:rPr>
          <w:rFonts w:hint="eastAsia" w:ascii="宋体" w:hAnsi="宋体" w:eastAsia="宋体" w:cs="宋体"/>
          <w:b/>
          <w:bCs/>
          <w:kern w:val="2"/>
          <w:sz w:val="32"/>
          <w:szCs w:val="32"/>
          <w:highlight w:val="none"/>
        </w:rPr>
        <w:t xml:space="preserve">、 </w:t>
      </w:r>
      <w:r>
        <w:rPr>
          <w:rFonts w:hint="eastAsia" w:ascii="宋体" w:hAnsi="宋体" w:cs="宋体"/>
          <w:b/>
          <w:bCs/>
          <w:sz w:val="28"/>
          <w:szCs w:val="28"/>
          <w:highlight w:val="none"/>
          <w:lang w:val="en-US" w:eastAsia="zh-CN"/>
        </w:rPr>
        <w:t xml:space="preserve">中小企业声明函（工程、服务） </w:t>
      </w:r>
    </w:p>
    <w:p>
      <w:pPr>
        <w:pStyle w:val="69"/>
        <w:rPr>
          <w:sz w:val="22"/>
          <w:szCs w:val="22"/>
          <w:highlight w:val="none"/>
        </w:rPr>
      </w:pPr>
    </w:p>
    <w:p>
      <w:pPr>
        <w:pStyle w:val="69"/>
        <w:spacing w:line="360" w:lineRule="auto"/>
        <w:ind w:firstLine="480" w:firstLineChars="200"/>
        <w:rPr>
          <w:rFonts w:hint="eastAsia" w:ascii="宋体" w:hAnsi="宋体" w:eastAsia="宋体" w:cs="宋体"/>
          <w:highlight w:val="none"/>
        </w:rPr>
      </w:pPr>
      <w:r>
        <w:rPr>
          <w:rFonts w:hint="eastAsia" w:ascii="宋体" w:hAnsi="宋体" w:cs="宋体"/>
          <w:kern w:val="0"/>
          <w:sz w:val="24"/>
          <w:highlight w:val="none"/>
          <w:lang w:bidi="ar"/>
        </w:rPr>
        <w:t xml:space="preserve"> </w:t>
      </w:r>
      <w:r>
        <w:rPr>
          <w:rFonts w:hint="eastAsia" w:ascii="宋体" w:hAnsi="宋体" w:eastAsia="宋体" w:cs="宋体"/>
          <w:highlight w:val="none"/>
        </w:rPr>
        <w:t>本公司郑重声明，根据《政府采购促进中小企业发展管理办法》（财库﹝2020﹞46 号）的规定，本公司参加</w:t>
      </w:r>
      <w:r>
        <w:rPr>
          <w:rFonts w:hint="eastAsia" w:ascii="宋体" w:hAnsi="宋体" w:eastAsia="宋体" w:cs="宋体"/>
          <w:highlight w:val="none"/>
          <w:u w:val="single"/>
        </w:rPr>
        <w:t xml:space="preserve">     （单位名称） </w:t>
      </w:r>
      <w:r>
        <w:rPr>
          <w:rFonts w:hint="eastAsia" w:ascii="宋体" w:hAnsi="宋体" w:eastAsia="宋体" w:cs="宋体"/>
          <w:highlight w:val="none"/>
        </w:rPr>
        <w:t>的</w:t>
      </w:r>
      <w:r>
        <w:rPr>
          <w:rFonts w:hint="eastAsia" w:ascii="宋体" w:hAnsi="宋体" w:eastAsia="宋体" w:cs="宋体"/>
          <w:highlight w:val="none"/>
          <w:u w:val="single"/>
        </w:rPr>
        <w:t xml:space="preserve">     （项目名称） </w:t>
      </w:r>
      <w:r>
        <w:rPr>
          <w:rFonts w:hint="eastAsia" w:ascii="宋体" w:hAnsi="宋体" w:eastAsia="宋体" w:cs="宋体"/>
          <w:highlight w:val="none"/>
        </w:rPr>
        <w:t xml:space="preserve">采购活动，服务全部由符合政策要求的中小企业承接。相关企业（含联合体中的中小企业、签订分包意向协议的中小企业）的具体情况如下： </w:t>
      </w:r>
    </w:p>
    <w:p>
      <w:pPr>
        <w:pStyle w:val="69"/>
        <w:numPr>
          <w:ilvl w:val="0"/>
          <w:numId w:val="4"/>
        </w:num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u w:val="single"/>
        </w:rPr>
        <w:t xml:space="preserve">          （项目名称） </w:t>
      </w:r>
      <w:r>
        <w:rPr>
          <w:rFonts w:hint="eastAsia" w:ascii="宋体" w:hAnsi="宋体" w:eastAsia="宋体" w:cs="宋体"/>
          <w:highlight w:val="none"/>
        </w:rPr>
        <w:t>，属于</w:t>
      </w:r>
      <w:r>
        <w:rPr>
          <w:rFonts w:hint="eastAsia" w:ascii="宋体" w:hAnsi="宋体" w:eastAsia="宋体" w:cs="宋体"/>
          <w:highlight w:val="none"/>
          <w:u w:val="single"/>
        </w:rPr>
        <w:t xml:space="preserve">       （采购文件中明确的所属行业）</w:t>
      </w:r>
      <w:r>
        <w:rPr>
          <w:rFonts w:hint="eastAsia" w:ascii="宋体" w:hAnsi="宋体" w:eastAsia="宋体" w:cs="宋体"/>
          <w:highlight w:val="none"/>
        </w:rPr>
        <w:t>； 承建（承接）企业为</w:t>
      </w:r>
      <w:r>
        <w:rPr>
          <w:rFonts w:hint="eastAsia" w:ascii="宋体" w:hAnsi="宋体" w:eastAsia="宋体" w:cs="宋体"/>
          <w:highlight w:val="none"/>
          <w:u w:val="single"/>
        </w:rPr>
        <w:t xml:space="preserve">       （企业名称）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 ，属于</w:t>
      </w:r>
      <w:r>
        <w:rPr>
          <w:rFonts w:hint="eastAsia" w:ascii="宋体" w:hAnsi="宋体" w:eastAsia="宋体" w:cs="宋体"/>
          <w:highlight w:val="none"/>
          <w:u w:val="single"/>
        </w:rPr>
        <w:t xml:space="preserve">   （中型企业、 小型企业、微型企业）</w:t>
      </w:r>
      <w:r>
        <w:rPr>
          <w:rFonts w:hint="eastAsia" w:ascii="宋体" w:hAnsi="宋体" w:eastAsia="宋体" w:cs="宋体"/>
          <w:highlight w:val="none"/>
        </w:rPr>
        <w:t xml:space="preserve">； </w:t>
      </w:r>
    </w:p>
    <w:p>
      <w:pPr>
        <w:pStyle w:val="69"/>
        <w:spacing w:line="360" w:lineRule="auto"/>
        <w:ind w:firstLine="480" w:firstLineChars="200"/>
        <w:rPr>
          <w:rFonts w:hint="eastAsia" w:ascii="宋体" w:hAnsi="宋体" w:eastAsia="宋体" w:cs="宋体"/>
          <w:highlight w:val="none"/>
        </w:rPr>
      </w:pPr>
    </w:p>
    <w:p>
      <w:pPr>
        <w:pStyle w:val="69"/>
        <w:spacing w:line="360" w:lineRule="auto"/>
        <w:ind w:firstLine="480" w:firstLineChars="200"/>
        <w:rPr>
          <w:rFonts w:hint="eastAsia" w:ascii="宋体" w:hAnsi="宋体" w:eastAsia="宋体" w:cs="宋体"/>
          <w:highlight w:val="none"/>
        </w:rPr>
      </w:pPr>
    </w:p>
    <w:p>
      <w:pPr>
        <w:pStyle w:val="6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highlight w:val="none"/>
        </w:rPr>
        <w:t>以上企业，不属于大企业的分支机构，不存在控股股东为大企业的情形，也不存在与大企</w:t>
      </w:r>
      <w:r>
        <w:rPr>
          <w:rFonts w:hint="eastAsia" w:ascii="宋体" w:hAnsi="宋体" w:eastAsia="宋体" w:cs="宋体"/>
          <w:color w:val="auto"/>
          <w:highlight w:val="none"/>
        </w:rPr>
        <w:t>业的负责人为同一人的情形。</w:t>
      </w:r>
    </w:p>
    <w:p>
      <w:pPr>
        <w:pStyle w:val="6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本企业对上述声明内容的真实性负责。如有虚假，将依法承担相应责任。 </w:t>
      </w:r>
    </w:p>
    <w:p>
      <w:pPr>
        <w:pStyle w:val="69"/>
        <w:spacing w:line="360" w:lineRule="auto"/>
        <w:ind w:firstLine="480" w:firstLineChars="200"/>
        <w:rPr>
          <w:rFonts w:hint="eastAsia" w:ascii="宋体" w:hAnsi="宋体" w:eastAsia="宋体" w:cs="宋体"/>
          <w:color w:val="auto"/>
          <w:highlight w:val="none"/>
        </w:rPr>
      </w:pPr>
    </w:p>
    <w:p>
      <w:pPr>
        <w:pStyle w:val="6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企业</w:t>
      </w:r>
      <w:r>
        <w:rPr>
          <w:rFonts w:hint="eastAsia" w:ascii="宋体" w:hAnsi="宋体" w:eastAsia="宋体" w:cs="宋体"/>
          <w:color w:val="auto"/>
          <w:highlight w:val="none"/>
          <w:lang w:val="zh-CN"/>
        </w:rPr>
        <w:t>名称</w:t>
      </w:r>
      <w:r>
        <w:rPr>
          <w:rFonts w:hint="eastAsia" w:ascii="宋体" w:hAnsi="宋体" w:eastAsia="宋体" w:cs="宋体"/>
          <w:color w:val="auto"/>
          <w:highlight w:val="none"/>
        </w:rPr>
        <w:t xml:space="preserve">（盖章）： </w:t>
      </w:r>
    </w:p>
    <w:p>
      <w:pPr>
        <w:spacing w:line="360" w:lineRule="auto"/>
        <w:ind w:firstLine="480" w:firstLineChars="200"/>
        <w:rPr>
          <w:rFonts w:hint="eastAsia" w:ascii="宋体" w:hAnsi="宋体"/>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ind w:firstLine="506"/>
        <w:rPr>
          <w:rFonts w:hint="eastAsia" w:ascii="宋体" w:hAnsi="宋体" w:cs="宋体"/>
          <w:b/>
          <w:bCs/>
          <w:color w:val="000000"/>
          <w:spacing w:val="6"/>
        </w:rPr>
      </w:pPr>
    </w:p>
    <w:p>
      <w:pPr>
        <w:pStyle w:val="69"/>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说明：</w:t>
      </w:r>
      <w:r>
        <w:rPr>
          <w:rFonts w:hint="eastAsia" w:ascii="宋体" w:hAnsi="宋体" w:eastAsia="宋体" w:cs="宋体"/>
          <w:color w:val="auto"/>
          <w:highlight w:val="none"/>
        </w:rPr>
        <w:t>注： 1. 从业人员、营业收入、资产总额填报上一年度数据，无上一年度数据的新成立企业可不填报。</w:t>
      </w:r>
    </w:p>
    <w:p>
      <w:pPr>
        <w:spacing w:line="360" w:lineRule="auto"/>
        <w:rPr>
          <w:rFonts w:hint="eastAsia" w:ascii="宋体" w:hAnsi="宋体" w:eastAsia="宋体" w:cs="宋体"/>
          <w:kern w:val="2"/>
          <w:sz w:val="24"/>
          <w:szCs w:val="24"/>
        </w:rPr>
      </w:pPr>
    </w:p>
    <w:p>
      <w:pPr>
        <w:spacing w:line="360" w:lineRule="auto"/>
        <w:ind w:firstLine="480" w:firstLineChars="200"/>
        <w:jc w:val="left"/>
        <w:rPr>
          <w:rFonts w:hint="eastAsia" w:ascii="宋体" w:hAnsi="宋体" w:eastAsia="宋体" w:cs="宋体"/>
          <w:kern w:val="2"/>
          <w:sz w:val="24"/>
          <w:szCs w:val="24"/>
        </w:rPr>
      </w:pPr>
    </w:p>
    <w:p>
      <w:pPr>
        <w:rPr>
          <w:rFonts w:hint="eastAsia" w:ascii="宋体" w:hAnsi="宋体" w:cs="宋体"/>
          <w:b/>
          <w:sz w:val="24"/>
          <w:szCs w:val="24"/>
          <w:highlight w:val="none"/>
          <w:lang w:val="en-US" w:eastAsia="zh-CN"/>
        </w:rPr>
      </w:pPr>
      <w:r>
        <w:rPr>
          <w:rFonts w:hint="eastAsia" w:ascii="宋体" w:hAnsi="宋体" w:eastAsia="宋体" w:cs="宋体"/>
          <w:color w:val="FF0000"/>
          <w:kern w:val="2"/>
          <w:sz w:val="24"/>
          <w:szCs w:val="24"/>
        </w:rPr>
        <w:br w:type="page"/>
      </w:r>
      <w:r>
        <w:rPr>
          <w:rFonts w:hint="eastAsia" w:ascii="宋体" w:hAnsi="宋体" w:cs="宋体"/>
          <w:b/>
          <w:sz w:val="24"/>
          <w:szCs w:val="24"/>
          <w:highlight w:val="none"/>
          <w:lang w:val="en-US" w:eastAsia="zh-CN"/>
        </w:rPr>
        <w:t>附件：</w:t>
      </w:r>
    </w:p>
    <w:p>
      <w:pPr>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中小企业划型标准规定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w:t>
      </w:r>
      <w:r>
        <w:rPr>
          <w:rFonts w:hint="eastAsia" w:ascii="宋体" w:hAnsi="宋体" w:eastAsia="宋体" w:cs="宋体"/>
          <w:b/>
          <w:bCs/>
          <w:sz w:val="24"/>
          <w:szCs w:val="24"/>
          <w:highlight w:val="none"/>
        </w:rPr>
        <w:t>其他未列明行业（包括科学研究和技术服务业，水利、环境和公共设施管理业，居民服务、修理和其他服务业，社会工作，文化、体育和娱乐业</w:t>
      </w:r>
      <w:r>
        <w:rPr>
          <w:rFonts w:hint="eastAsia" w:ascii="宋体" w:hAnsi="宋体" w:eastAsia="宋体" w:cs="宋体"/>
          <w:sz w:val="24"/>
          <w:szCs w:val="24"/>
          <w:highlight w:val="none"/>
        </w:rPr>
        <w:t>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四、各行业划型标准为: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b/>
          <w:bCs/>
          <w:sz w:val="24"/>
          <w:szCs w:val="24"/>
          <w:highlight w:val="none"/>
        </w:rPr>
        <w:t>农、林、牧、渔业</w:t>
      </w:r>
      <w:r>
        <w:rPr>
          <w:rFonts w:hint="eastAsia" w:ascii="宋体" w:hAnsi="宋体" w:eastAsia="宋体" w:cs="宋体"/>
          <w:sz w:val="24"/>
          <w:szCs w:val="24"/>
          <w:highlight w:val="none"/>
        </w:rPr>
        <w:t>。营业收入20000万元以下的为中小微型企业。其中，营业收入500万元及以上的为中型企业，营业收入50万元及以上的为小型企业，营业收入50万元以下的为微型企业。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
          <w:bCs/>
          <w:sz w:val="24"/>
          <w:szCs w:val="24"/>
          <w:highlight w:val="none"/>
        </w:rPr>
        <w:t>工业</w:t>
      </w:r>
      <w:r>
        <w:rPr>
          <w:rFonts w:hint="eastAsia" w:ascii="宋体" w:hAnsi="宋体" w:eastAsia="宋体" w:cs="宋体"/>
          <w:sz w:val="24"/>
          <w:szCs w:val="24"/>
          <w:highlight w:val="none"/>
        </w:rPr>
        <w:t>。从业人员1000人以下或营业收入40000万元以下的为中小微型企业。其中，从业人员300人及以上，且营业收入2000万元及以上的为中型企业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从业人员20人及以上，且营业收入300万元及以上的为小型企业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从业人员20人以下或营业收入300万元以下的为微型企业。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b/>
          <w:bCs/>
          <w:sz w:val="24"/>
          <w:szCs w:val="24"/>
          <w:highlight w:val="none"/>
        </w:rPr>
        <w:t>建筑业</w:t>
      </w:r>
      <w:r>
        <w:rPr>
          <w:rFonts w:hint="eastAsia" w:ascii="宋体" w:hAnsi="宋体" w:eastAsia="宋体" w:cs="宋体"/>
          <w:sz w:val="24"/>
          <w:szCs w:val="24"/>
          <w:highlight w:val="none"/>
        </w:rPr>
        <w:t>。营业收入80000万元以下或资产总额80000万元以下的为中小微型企业。其中，营业收入6000万元及以上，且资产总额5000万元及以上的为中型企业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营业收入300万元及以上，且资产总额300万元及以上的为小型企业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营业收入300万元以下或资产总额300万元以下的为微型企业。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b/>
          <w:bCs/>
          <w:sz w:val="24"/>
          <w:szCs w:val="24"/>
          <w:highlight w:val="none"/>
        </w:rPr>
        <w:t>批发业</w:t>
      </w:r>
      <w:r>
        <w:rPr>
          <w:rFonts w:hint="eastAsia" w:ascii="宋体" w:hAnsi="宋体" w:eastAsia="宋体" w:cs="宋体"/>
          <w:sz w:val="24"/>
          <w:szCs w:val="24"/>
          <w:highlight w:val="none"/>
        </w:rPr>
        <w:t>。从业人员200人以下或营业收入40000万元以下的为中小微型企业。其中，从业人员20人及以上，且营业收入5000万元及以上的为中型企业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从业人员5人及以上，且营业收入1000万元及以上的为小型企业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从业人员5人以下或营业收入1000万元以下的为微型企业。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b/>
          <w:bCs/>
          <w:sz w:val="24"/>
          <w:szCs w:val="24"/>
          <w:highlight w:val="none"/>
        </w:rPr>
        <w:t>零售业</w:t>
      </w:r>
      <w:r>
        <w:rPr>
          <w:rFonts w:hint="eastAsia" w:ascii="宋体" w:hAnsi="宋体" w:eastAsia="宋体" w:cs="宋体"/>
          <w:sz w:val="24"/>
          <w:szCs w:val="24"/>
          <w:highlight w:val="none"/>
        </w:rPr>
        <w:t>。从业人员300人以下或营业收入20000万元以下的为中小微型企业。其中，从业人员50人及以上，且营业收入500万元及以上的为中型企业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b/>
          <w:bCs/>
          <w:sz w:val="24"/>
          <w:szCs w:val="24"/>
          <w:highlight w:val="none"/>
        </w:rPr>
        <w:t>交通运输业</w:t>
      </w:r>
      <w:r>
        <w:rPr>
          <w:rFonts w:hint="eastAsia" w:ascii="宋体" w:hAnsi="宋体" w:eastAsia="宋体" w:cs="宋体"/>
          <w:sz w:val="24"/>
          <w:szCs w:val="24"/>
          <w:highlight w:val="none"/>
        </w:rPr>
        <w:t>。从业人员1000人以下或营业收入30000万元以下的为中小微型企业。其中，从业人员300人及以上，且营业收入3000万元及以上的为中型企业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从业人员20人及以上，且营业收入200万元及以上的为小型企业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从业人员20人以下或营业收入200万元以下的为微型企业。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b/>
          <w:bCs/>
          <w:sz w:val="24"/>
          <w:szCs w:val="24"/>
          <w:highlight w:val="none"/>
        </w:rPr>
        <w:t>仓储业</w:t>
      </w:r>
      <w:r>
        <w:rPr>
          <w:rFonts w:hint="eastAsia" w:ascii="宋体" w:hAnsi="宋体" w:eastAsia="宋体" w:cs="宋体"/>
          <w:sz w:val="24"/>
          <w:szCs w:val="24"/>
          <w:highlight w:val="none"/>
        </w:rPr>
        <w:t>。从业人员200人以下或营业收入30000万元以下的为中小微型企业。其中，从业人员100人及以上，且营业收入1000万元及以上的为中型企业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w:t>
      </w:r>
      <w:r>
        <w:rPr>
          <w:rFonts w:hint="eastAsia" w:ascii="宋体" w:hAnsi="宋体" w:eastAsia="宋体" w:cs="宋体"/>
          <w:b/>
          <w:bCs/>
          <w:sz w:val="24"/>
          <w:szCs w:val="24"/>
          <w:highlight w:val="none"/>
        </w:rPr>
        <w:t>邮政业</w:t>
      </w:r>
      <w:r>
        <w:rPr>
          <w:rFonts w:hint="eastAsia" w:ascii="宋体" w:hAnsi="宋体" w:eastAsia="宋体" w:cs="宋体"/>
          <w:sz w:val="24"/>
          <w:szCs w:val="24"/>
          <w:highlight w:val="none"/>
        </w:rPr>
        <w:t>。从业人员1000人以下或营业收入30000万元以下的为中小微型企业。其中，从业人员300人及以上，且营业收入2000万元及以上的为中型企业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w:t>
      </w:r>
      <w:r>
        <w:rPr>
          <w:rFonts w:hint="eastAsia" w:ascii="宋体" w:hAnsi="宋体" w:eastAsia="宋体" w:cs="宋体"/>
          <w:b/>
          <w:bCs/>
          <w:sz w:val="24"/>
          <w:szCs w:val="24"/>
          <w:highlight w:val="none"/>
        </w:rPr>
        <w:t>住宿业</w:t>
      </w:r>
      <w:r>
        <w:rPr>
          <w:rFonts w:hint="eastAsia" w:ascii="宋体" w:hAnsi="宋体" w:eastAsia="宋体" w:cs="宋体"/>
          <w:sz w:val="24"/>
          <w:szCs w:val="24"/>
          <w:highlight w:val="none"/>
        </w:rPr>
        <w:t>。从业人员300人以下或营业收入10000万元以下的为中小微型企业。其中，从业人员100人及以上，且营业收入2000万元及以上的为中型企业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b/>
          <w:bCs/>
          <w:sz w:val="24"/>
          <w:szCs w:val="24"/>
          <w:highlight w:val="none"/>
        </w:rPr>
        <w:t>餐饮业</w:t>
      </w:r>
      <w:r>
        <w:rPr>
          <w:rFonts w:hint="eastAsia" w:ascii="宋体" w:hAnsi="宋体" w:eastAsia="宋体" w:cs="宋体"/>
          <w:sz w:val="24"/>
          <w:szCs w:val="24"/>
          <w:highlight w:val="none"/>
        </w:rPr>
        <w:t>。从业人员300人以下或营业收入10000万元以下的为中小微型企业。其中，从业人员100人及以上，且营业收入2000万元及以上的为中型企业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r>
        <w:rPr>
          <w:rFonts w:hint="eastAsia" w:ascii="宋体" w:hAnsi="宋体" w:eastAsia="宋体" w:cs="宋体"/>
          <w:b/>
          <w:bCs/>
          <w:sz w:val="24"/>
          <w:szCs w:val="24"/>
          <w:highlight w:val="none"/>
        </w:rPr>
        <w:t>信息传输业</w:t>
      </w:r>
      <w:r>
        <w:rPr>
          <w:rFonts w:hint="eastAsia" w:ascii="宋体" w:hAnsi="宋体" w:eastAsia="宋体" w:cs="宋体"/>
          <w:sz w:val="24"/>
          <w:szCs w:val="24"/>
          <w:highlight w:val="none"/>
        </w:rPr>
        <w:t>。从业人员2000人以下或营业收入100000万元以下的为中小微型企业。其中，从业人员100人及以上，且营业收入1000万元及以上的为中型企业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(十二)</w:t>
      </w:r>
      <w:r>
        <w:rPr>
          <w:rFonts w:hint="eastAsia" w:ascii="宋体" w:hAnsi="宋体" w:eastAsia="宋体" w:cs="宋体"/>
          <w:b/>
          <w:bCs/>
          <w:sz w:val="24"/>
          <w:szCs w:val="24"/>
          <w:highlight w:val="none"/>
        </w:rPr>
        <w:t>软件和信息技术服务业</w:t>
      </w:r>
      <w:r>
        <w:rPr>
          <w:rFonts w:hint="eastAsia" w:ascii="宋体" w:hAnsi="宋体" w:eastAsia="宋体" w:cs="宋体"/>
          <w:sz w:val="24"/>
          <w:szCs w:val="24"/>
          <w:highlight w:val="none"/>
        </w:rPr>
        <w:t>。从业人员300人以下或营业收入10000万元以下的为中小微型企业.其中,从业人员100人及以上，且营业收入1000万元及以上的为中型企业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从业人员10人及以上，且营业收入50万元及以上的为小型企业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从业人员10人以下或营业收入50万元以下的为微型企业。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(十三)</w:t>
      </w:r>
      <w:r>
        <w:rPr>
          <w:rFonts w:hint="eastAsia" w:ascii="宋体" w:hAnsi="宋体" w:eastAsia="宋体" w:cs="宋体"/>
          <w:b/>
          <w:bCs/>
          <w:sz w:val="24"/>
          <w:szCs w:val="24"/>
          <w:highlight w:val="none"/>
        </w:rPr>
        <w:t>房地产开发经营</w:t>
      </w:r>
      <w:r>
        <w:rPr>
          <w:rFonts w:hint="eastAsia" w:ascii="宋体" w:hAnsi="宋体" w:eastAsia="宋体" w:cs="宋体"/>
          <w:sz w:val="24"/>
          <w:szCs w:val="24"/>
          <w:highlight w:val="none"/>
        </w:rPr>
        <w:t>。营业收入200000万元以下或资产总额10000万元以下的为中小微型企业。其中，营业收入1000万元及以上，且资产总额5000万元及以上的为中型企业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营业收入100万元及以上，且资产总额2000万元及以上的为小型企业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营业收入100万元以下或资产总额2000万元以下的为微型企业。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(十四)</w:t>
      </w:r>
      <w:r>
        <w:rPr>
          <w:rFonts w:hint="eastAsia" w:ascii="宋体" w:hAnsi="宋体" w:eastAsia="宋体" w:cs="宋体"/>
          <w:b/>
          <w:bCs/>
          <w:sz w:val="24"/>
          <w:szCs w:val="24"/>
          <w:highlight w:val="none"/>
        </w:rPr>
        <w:t>物业管理</w:t>
      </w:r>
      <w:r>
        <w:rPr>
          <w:rFonts w:hint="eastAsia" w:ascii="宋体" w:hAnsi="宋体" w:eastAsia="宋体" w:cs="宋体"/>
          <w:sz w:val="24"/>
          <w:szCs w:val="24"/>
          <w:highlight w:val="none"/>
        </w:rPr>
        <w:t>。从业人员1000人以下或营业收入5000万元以下的为中小微型企业。其中，从业人员300人及以上，且营业收入1000万元及以上的为中型企业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从业人员100人及以上，且营业收入500万元及以上的为小型企业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从业人员100人以下或营业收入500万元以下的为微型企业。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(十五）</w:t>
      </w:r>
      <w:r>
        <w:rPr>
          <w:rFonts w:hint="eastAsia" w:ascii="宋体" w:hAnsi="宋体" w:eastAsia="宋体" w:cs="宋体"/>
          <w:b/>
          <w:bCs/>
          <w:sz w:val="24"/>
          <w:szCs w:val="24"/>
          <w:highlight w:val="none"/>
        </w:rPr>
        <w:t>租赁和商务服务业</w:t>
      </w:r>
      <w:r>
        <w:rPr>
          <w:rFonts w:hint="eastAsia" w:ascii="宋体" w:hAnsi="宋体" w:eastAsia="宋体" w:cs="宋体"/>
          <w:sz w:val="24"/>
          <w:szCs w:val="24"/>
          <w:highlight w:val="none"/>
        </w:rPr>
        <w:t>。从业人员300人以下或资产总额120000万元以下的为中小微型企业。其中，从业人员100人及以上，且资产总额8000万元及以上的为中型企业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从业人员10人及以上，且资产总额100万元及以上的为小型企业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从业人员10人以下或资产总额100万元以下的为微型企业。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(十六)</w:t>
      </w:r>
      <w:r>
        <w:rPr>
          <w:rFonts w:hint="eastAsia" w:ascii="宋体" w:hAnsi="宋体" w:eastAsia="宋体" w:cs="宋体"/>
          <w:b/>
          <w:bCs/>
          <w:sz w:val="24"/>
          <w:szCs w:val="24"/>
          <w:highlight w:val="none"/>
        </w:rPr>
        <w:t>其他未列明行业</w:t>
      </w:r>
      <w:r>
        <w:rPr>
          <w:rFonts w:hint="eastAsia" w:ascii="宋体" w:hAnsi="宋体" w:eastAsia="宋体" w:cs="宋体"/>
          <w:sz w:val="24"/>
          <w:szCs w:val="24"/>
          <w:highlight w:val="none"/>
        </w:rPr>
        <w:t>。从业人员300人以下的为中小微型企业。其中，从业人员100人及以上的为中型企业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五、企业类型的划分以统计部门的统计数据为依据。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六、本规定适用于在中华人民共和国境内依法设立的各类所有制和各种组织形式的企业。个体工商户和本规定以外的行业，参照本规定进行划型。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八、本规定由工业和信息化部、国家统计局会同有关部门根据《国民经济行业分类》修订情况和企业发展变化情况适时修订。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九、本规定由工业和信息化部、国家统计局会同有关部门负责解释。</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十、本规定自发布之日起执行，原国家经贸委、原国家计委、财政部和国家统计局20</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年颁布的《中小企业标准暂行规定》同时废止。</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ind w:firstLine="562" w:firstLineChars="200"/>
        <w:jc w:val="left"/>
        <w:rPr>
          <w:rFonts w:hint="eastAsia" w:ascii="宋体" w:hAnsi="宋体" w:eastAsia="宋体" w:cs="宋体"/>
          <w:b/>
          <w:sz w:val="32"/>
          <w:szCs w:val="32"/>
        </w:rPr>
      </w:pPr>
      <w:r>
        <w:rPr>
          <w:rFonts w:hint="eastAsia" w:ascii="宋体" w:hAnsi="宋体" w:eastAsia="宋体" w:cs="宋体"/>
          <w:b/>
          <w:sz w:val="28"/>
          <w:szCs w:val="28"/>
        </w:rPr>
        <w:t>格式2-7</w:t>
      </w: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六、残疾人福利性单位声明函</w:t>
      </w:r>
    </w:p>
    <w:p>
      <w:pPr>
        <w:ind w:firstLine="506"/>
        <w:rPr>
          <w:rFonts w:hint="eastAsia" w:ascii="宋体" w:hAnsi="宋体" w:eastAsia="宋体" w:cs="宋体"/>
          <w:b/>
          <w:spacing w:val="6"/>
        </w:rPr>
      </w:pPr>
    </w:p>
    <w:p>
      <w:pPr>
        <w:spacing w:line="360" w:lineRule="auto"/>
        <w:ind w:firstLine="504" w:firstLineChars="200"/>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本单位郑重声明，根据《财政部 民政部 中国残疾人联合会关于促进残疾人就业政府采购政策的通知》（财库〔2017〕 141号）的规定，本单位为XXXX（符合/不符合）条件的残疾人福利性单位，且本单位参加XXXX单位的XXXX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本单位对上述声明的真实性负责。如有虚假，将依法承担相应责任。</w:t>
      </w:r>
    </w:p>
    <w:p>
      <w:pPr>
        <w:spacing w:line="360" w:lineRule="auto"/>
        <w:ind w:firstLine="504" w:firstLineChars="200"/>
        <w:rPr>
          <w:rFonts w:hint="eastAsia" w:ascii="宋体" w:hAnsi="宋体" w:eastAsia="宋体" w:cs="宋体"/>
          <w:spacing w:val="6"/>
          <w:kern w:val="2"/>
          <w:sz w:val="24"/>
          <w:szCs w:val="24"/>
        </w:rPr>
      </w:pPr>
    </w:p>
    <w:p>
      <w:pPr>
        <w:spacing w:line="360" w:lineRule="auto"/>
        <w:ind w:firstLine="504" w:firstLineChars="200"/>
        <w:rPr>
          <w:rFonts w:hint="eastAsia" w:ascii="宋体" w:hAnsi="宋体" w:eastAsia="宋体" w:cs="宋体"/>
          <w:spacing w:val="6"/>
          <w:kern w:val="2"/>
          <w:sz w:val="24"/>
          <w:szCs w:val="24"/>
        </w:rPr>
      </w:pPr>
    </w:p>
    <w:p>
      <w:pPr>
        <w:spacing w:line="360" w:lineRule="auto"/>
        <w:ind w:firstLine="504" w:firstLineChars="200"/>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单位名称：XXXX（盖单位公章）</w:t>
      </w:r>
    </w:p>
    <w:p>
      <w:pPr>
        <w:spacing w:line="360" w:lineRule="auto"/>
        <w:ind w:firstLine="504" w:firstLineChars="200"/>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法定代表人/单位负责人或授权代表（签字或加盖个人印章）：XXXX</w:t>
      </w:r>
    </w:p>
    <w:p>
      <w:pPr>
        <w:spacing w:line="360" w:lineRule="auto"/>
        <w:ind w:firstLine="504" w:firstLineChars="200"/>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日期：XXXX</w:t>
      </w:r>
    </w:p>
    <w:p>
      <w:pPr>
        <w:spacing w:line="360" w:lineRule="auto"/>
        <w:ind w:firstLine="504" w:firstLineChars="200"/>
        <w:rPr>
          <w:rFonts w:hint="eastAsia" w:ascii="宋体" w:hAnsi="宋体" w:eastAsia="宋体" w:cs="宋体"/>
          <w:spacing w:val="6"/>
          <w:kern w:val="2"/>
          <w:sz w:val="24"/>
          <w:szCs w:val="24"/>
        </w:rPr>
      </w:pP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注：</w:t>
      </w:r>
      <w:r>
        <w:rPr>
          <w:rFonts w:hint="eastAsia" w:ascii="宋体" w:hAnsi="宋体" w:eastAsia="宋体" w:cs="宋体"/>
          <w:spacing w:val="6"/>
          <w:sz w:val="24"/>
          <w:szCs w:val="24"/>
          <w:highlight w:val="none"/>
          <w:lang w:val="en-US" w:eastAsia="zh-CN"/>
        </w:rPr>
        <w:t>1.</w:t>
      </w:r>
      <w:r>
        <w:rPr>
          <w:rFonts w:hint="eastAsia" w:ascii="宋体" w:hAnsi="宋体" w:eastAsia="宋体" w:cs="宋体"/>
          <w:spacing w:val="6"/>
          <w:sz w:val="24"/>
          <w:szCs w:val="24"/>
          <w:highlight w:val="none"/>
        </w:rPr>
        <w:t>残疾人福利性单位视同小型、微型企业。</w:t>
      </w:r>
    </w:p>
    <w:p>
      <w:pPr>
        <w:spacing w:line="360" w:lineRule="auto"/>
        <w:ind w:firstLine="504" w:firstLineChars="200"/>
        <w:rPr>
          <w:rFonts w:hint="eastAsia" w:ascii="宋体" w:hAnsi="宋体" w:eastAsia="宋体" w:cs="宋体"/>
          <w:spacing w:val="6"/>
          <w:kern w:val="2"/>
          <w:sz w:val="24"/>
          <w:szCs w:val="24"/>
        </w:rPr>
      </w:pPr>
      <w:r>
        <w:rPr>
          <w:rFonts w:hint="eastAsia" w:ascii="宋体" w:hAnsi="宋体" w:eastAsia="宋体" w:cs="宋体"/>
          <w:spacing w:val="6"/>
          <w:sz w:val="24"/>
          <w:szCs w:val="24"/>
          <w:highlight w:val="none"/>
          <w:lang w:val="en-US" w:eastAsia="zh-CN"/>
        </w:rPr>
        <w:t>2.</w:t>
      </w:r>
      <w:r>
        <w:rPr>
          <w:rFonts w:hint="eastAsia" w:ascii="宋体" w:hAnsi="宋体" w:eastAsia="宋体" w:cs="宋体"/>
          <w:spacing w:val="6"/>
          <w:sz w:val="24"/>
          <w:szCs w:val="24"/>
          <w:highlight w:val="none"/>
        </w:rPr>
        <w:t>供应商为非残疾人福利性单位的，可不提供此声明。</w:t>
      </w:r>
    </w:p>
    <w:p>
      <w:pPr>
        <w:spacing w:line="360" w:lineRule="auto"/>
        <w:ind w:firstLine="504" w:firstLineChars="200"/>
        <w:rPr>
          <w:rFonts w:hint="eastAsia" w:ascii="宋体" w:hAnsi="宋体" w:eastAsia="宋体" w:cs="宋体"/>
          <w:spacing w:val="6"/>
          <w:kern w:val="2"/>
          <w:sz w:val="24"/>
          <w:szCs w:val="24"/>
        </w:rPr>
      </w:pPr>
    </w:p>
    <w:p>
      <w:pPr>
        <w:spacing w:line="360" w:lineRule="auto"/>
        <w:ind w:firstLine="504" w:firstLineChars="200"/>
        <w:rPr>
          <w:rFonts w:hint="eastAsia" w:ascii="宋体" w:hAnsi="宋体" w:eastAsia="宋体" w:cs="宋体"/>
          <w:spacing w:val="6"/>
          <w:kern w:val="2"/>
          <w:sz w:val="24"/>
          <w:szCs w:val="24"/>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562"/>
        <w:rPr>
          <w:rFonts w:hint="eastAsia" w:ascii="宋体" w:hAnsi="宋体" w:eastAsia="宋体" w:cs="宋体"/>
          <w:b/>
          <w:bCs/>
          <w:sz w:val="28"/>
          <w:szCs w:val="28"/>
        </w:rPr>
        <w:sectPr>
          <w:footerReference r:id="rId10" w:type="first"/>
          <w:headerReference r:id="rId6" w:type="default"/>
          <w:footerReference r:id="rId8" w:type="default"/>
          <w:headerReference r:id="rId7" w:type="even"/>
          <w:footerReference r:id="rId9" w:type="even"/>
          <w:pgSz w:w="11907" w:h="16840"/>
          <w:pgMar w:top="1440" w:right="1797" w:bottom="1240" w:left="1797" w:header="851" w:footer="992" w:gutter="0"/>
          <w:pgNumType w:fmt="decimal"/>
          <w:cols w:space="720" w:num="1"/>
          <w:docGrid w:linePitch="312" w:charSpace="0"/>
        </w:sectPr>
      </w:pPr>
    </w:p>
    <w:p>
      <w:pPr>
        <w:spacing w:line="360" w:lineRule="auto"/>
        <w:ind w:firstLine="562" w:firstLineChars="200"/>
        <w:rPr>
          <w:rFonts w:hint="eastAsia" w:ascii="宋体" w:hAnsi="宋体" w:eastAsia="宋体" w:cs="宋体"/>
          <w:b/>
          <w:kern w:val="2"/>
          <w:sz w:val="28"/>
          <w:szCs w:val="28"/>
        </w:rPr>
      </w:pPr>
      <w:r>
        <w:rPr>
          <w:rFonts w:hint="eastAsia" w:ascii="宋体" w:hAnsi="宋体" w:eastAsia="宋体" w:cs="宋体"/>
          <w:b/>
          <w:kern w:val="2"/>
          <w:sz w:val="28"/>
          <w:szCs w:val="28"/>
        </w:rPr>
        <w:t>格式2-8</w:t>
      </w: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七、</w:t>
      </w:r>
      <w:r>
        <w:rPr>
          <w:rFonts w:hint="eastAsia" w:ascii="宋体" w:hAnsi="宋体" w:eastAsia="宋体" w:cs="宋体"/>
          <w:b/>
          <w:bCs/>
          <w:kern w:val="2"/>
          <w:sz w:val="32"/>
          <w:szCs w:val="32"/>
          <w:lang w:val="en-US" w:eastAsia="zh-CN"/>
        </w:rPr>
        <w:t>产品技术参数</w:t>
      </w:r>
      <w:r>
        <w:rPr>
          <w:rFonts w:hint="eastAsia" w:ascii="宋体" w:hAnsi="宋体" w:eastAsia="宋体" w:cs="宋体"/>
          <w:b/>
          <w:bCs/>
          <w:kern w:val="2"/>
          <w:sz w:val="32"/>
          <w:szCs w:val="32"/>
        </w:rPr>
        <w:t>应答表</w:t>
      </w:r>
    </w:p>
    <w:p>
      <w:pPr>
        <w:pStyle w:val="16"/>
        <w:pBdr>
          <w:bottom w:val="none" w:color="auto" w:sz="0" w:space="0"/>
        </w:pBdr>
        <w:tabs>
          <w:tab w:val="clear" w:pos="4153"/>
          <w:tab w:val="clear" w:pos="8306"/>
        </w:tabs>
        <w:snapToGrid/>
        <w:ind w:firstLine="480"/>
        <w:jc w:val="both"/>
        <w:rPr>
          <w:rFonts w:hint="eastAsia" w:ascii="宋体" w:hAnsi="宋体" w:eastAsia="宋体" w:cs="宋体"/>
          <w:sz w:val="24"/>
          <w:szCs w:val="24"/>
        </w:rPr>
      </w:pPr>
    </w:p>
    <w:p>
      <w:pPr>
        <w:pStyle w:val="16"/>
        <w:pBdr>
          <w:bottom w:val="none" w:color="auto" w:sz="0" w:space="0"/>
        </w:pBdr>
        <w:tabs>
          <w:tab w:val="clear" w:pos="4153"/>
          <w:tab w:val="clear" w:pos="8306"/>
        </w:tabs>
        <w:snapToGrid/>
        <w:ind w:firstLine="480"/>
        <w:jc w:val="both"/>
        <w:rPr>
          <w:rFonts w:hint="eastAsia" w:ascii="宋体" w:hAnsi="宋体" w:eastAsia="宋体" w:cs="宋体"/>
          <w:sz w:val="24"/>
          <w:szCs w:val="24"/>
        </w:rPr>
      </w:pPr>
      <w:r>
        <w:rPr>
          <w:rFonts w:hint="eastAsia" w:ascii="宋体" w:hAnsi="宋体" w:eastAsia="宋体" w:cs="宋体"/>
          <w:sz w:val="24"/>
          <w:szCs w:val="24"/>
        </w:rPr>
        <w:t>第XX包</w:t>
      </w:r>
    </w:p>
    <w:tbl>
      <w:tblPr>
        <w:tblStyle w:val="24"/>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26"/>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3626" w:type="dxa"/>
            <w:vAlign w:val="center"/>
          </w:tcPr>
          <w:p>
            <w:pPr>
              <w:spacing w:line="360" w:lineRule="auto"/>
              <w:ind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rPr>
              <w:t>采购文件要求</w:t>
            </w:r>
          </w:p>
        </w:tc>
        <w:tc>
          <w:tcPr>
            <w:tcW w:w="2795" w:type="dxa"/>
            <w:vAlign w:val="center"/>
          </w:tcPr>
          <w:p>
            <w:pPr>
              <w:spacing w:line="360" w:lineRule="auto"/>
              <w:ind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rPr>
              <w:t>响应文件响应</w:t>
            </w:r>
          </w:p>
        </w:tc>
        <w:tc>
          <w:tcPr>
            <w:tcW w:w="2795" w:type="dxa"/>
            <w:vAlign w:val="center"/>
          </w:tcPr>
          <w:p>
            <w:pPr>
              <w:spacing w:line="360" w:lineRule="auto"/>
              <w:ind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ind w:firstLine="480" w:firstLineChars="200"/>
              <w:jc w:val="center"/>
              <w:rPr>
                <w:rFonts w:hint="eastAsia" w:ascii="宋体" w:hAnsi="宋体" w:eastAsia="宋体" w:cs="宋体"/>
                <w:kern w:val="2"/>
                <w:sz w:val="24"/>
                <w:szCs w:val="24"/>
              </w:rPr>
            </w:pPr>
          </w:p>
        </w:tc>
        <w:tc>
          <w:tcPr>
            <w:tcW w:w="3626"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ind w:firstLine="480" w:firstLineChars="200"/>
              <w:jc w:val="center"/>
              <w:rPr>
                <w:rFonts w:hint="eastAsia" w:ascii="宋体" w:hAnsi="宋体" w:eastAsia="宋体" w:cs="宋体"/>
                <w:kern w:val="2"/>
                <w:sz w:val="24"/>
                <w:szCs w:val="24"/>
              </w:rPr>
            </w:pPr>
          </w:p>
        </w:tc>
        <w:tc>
          <w:tcPr>
            <w:tcW w:w="3626"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ind w:firstLine="480" w:firstLineChars="200"/>
              <w:jc w:val="center"/>
              <w:rPr>
                <w:rFonts w:hint="eastAsia" w:ascii="宋体" w:hAnsi="宋体" w:eastAsia="宋体" w:cs="宋体"/>
                <w:kern w:val="2"/>
                <w:sz w:val="24"/>
                <w:szCs w:val="24"/>
              </w:rPr>
            </w:pPr>
          </w:p>
        </w:tc>
        <w:tc>
          <w:tcPr>
            <w:tcW w:w="3626"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ind w:firstLine="480" w:firstLineChars="200"/>
              <w:jc w:val="center"/>
              <w:rPr>
                <w:rFonts w:hint="eastAsia" w:ascii="宋体" w:hAnsi="宋体" w:eastAsia="宋体" w:cs="宋体"/>
                <w:kern w:val="2"/>
                <w:sz w:val="24"/>
                <w:szCs w:val="24"/>
              </w:rPr>
            </w:pPr>
          </w:p>
        </w:tc>
        <w:tc>
          <w:tcPr>
            <w:tcW w:w="3626"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r>
    </w:tbl>
    <w:p>
      <w:pPr>
        <w:spacing w:line="360" w:lineRule="auto"/>
        <w:ind w:firstLine="480" w:firstLineChars="200"/>
        <w:jc w:val="center"/>
        <w:rPr>
          <w:rFonts w:hint="eastAsia" w:ascii="宋体" w:hAnsi="宋体" w:eastAsia="宋体" w:cs="宋体"/>
          <w:kern w:val="2"/>
          <w:sz w:val="24"/>
          <w:szCs w:val="24"/>
        </w:rPr>
      </w:pP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注：供应商根据磋商文件要求据实填写，不得虚假响应，虚假响应的，其响应文件无效并按规定追究其相关责任。</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供应商必须把磋商项目的</w:t>
      </w:r>
      <w:r>
        <w:rPr>
          <w:rFonts w:hint="eastAsia" w:ascii="宋体" w:hAnsi="宋体" w:eastAsia="宋体" w:cs="宋体"/>
          <w:kern w:val="2"/>
          <w:sz w:val="24"/>
          <w:szCs w:val="24"/>
          <w:lang w:val="en-US" w:eastAsia="zh-CN"/>
        </w:rPr>
        <w:t>第五章、二技术</w:t>
      </w:r>
      <w:r>
        <w:rPr>
          <w:rFonts w:hint="eastAsia" w:hAnsi="宋体" w:cs="宋体"/>
          <w:kern w:val="2"/>
          <w:sz w:val="24"/>
          <w:szCs w:val="24"/>
          <w:lang w:val="en-US" w:eastAsia="zh-CN"/>
        </w:rPr>
        <w:t>服务</w:t>
      </w:r>
      <w:r>
        <w:rPr>
          <w:rFonts w:hint="eastAsia" w:ascii="宋体" w:hAnsi="宋体" w:eastAsia="宋体" w:cs="宋体"/>
          <w:kern w:val="2"/>
          <w:sz w:val="24"/>
          <w:szCs w:val="24"/>
          <w:lang w:val="en-US" w:eastAsia="zh-CN"/>
        </w:rPr>
        <w:t>要求</w:t>
      </w:r>
      <w:r>
        <w:rPr>
          <w:rFonts w:hint="eastAsia" w:ascii="宋体" w:hAnsi="宋体" w:eastAsia="宋体" w:cs="宋体"/>
          <w:kern w:val="2"/>
          <w:sz w:val="24"/>
          <w:szCs w:val="24"/>
        </w:rPr>
        <w:t>列入此表，</w:t>
      </w:r>
      <w:r>
        <w:rPr>
          <w:rFonts w:hint="eastAsia" w:ascii="宋体" w:hAnsi="宋体" w:eastAsia="宋体" w:cs="宋体"/>
          <w:b/>
          <w:bCs/>
          <w:kern w:val="2"/>
          <w:sz w:val="24"/>
          <w:szCs w:val="24"/>
        </w:rPr>
        <w:t>未列入的视为负偏离</w:t>
      </w:r>
      <w:r>
        <w:rPr>
          <w:rFonts w:hint="eastAsia" w:ascii="宋体" w:hAnsi="宋体" w:eastAsia="宋体" w:cs="宋体"/>
          <w:kern w:val="2"/>
          <w:sz w:val="24"/>
          <w:szCs w:val="24"/>
        </w:rPr>
        <w:t>。</w:t>
      </w:r>
    </w:p>
    <w:p>
      <w:pPr>
        <w:spacing w:line="360" w:lineRule="auto"/>
        <w:ind w:firstLine="480" w:firstLineChars="200"/>
        <w:rPr>
          <w:rFonts w:hint="eastAsia" w:ascii="宋体" w:hAnsi="宋体" w:eastAsia="宋体" w:cs="宋体"/>
          <w:kern w:val="2"/>
          <w:sz w:val="24"/>
          <w:szCs w:val="24"/>
        </w:rPr>
      </w:pP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单位名称：XXXX（盖单位公章）</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法定代表人/单位负责人或授权代表（签字或加盖个人印章）：XXXX</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日期：XXXX</w:t>
      </w:r>
    </w:p>
    <w:p>
      <w:pPr>
        <w:spacing w:line="360" w:lineRule="auto"/>
        <w:ind w:firstLine="480" w:firstLineChars="200"/>
        <w:rPr>
          <w:rFonts w:hint="eastAsia" w:ascii="宋体" w:hAnsi="宋体" w:eastAsia="宋体" w:cs="宋体"/>
          <w:b/>
          <w:sz w:val="28"/>
          <w:szCs w:val="28"/>
        </w:rPr>
      </w:pPr>
      <w:r>
        <w:rPr>
          <w:rFonts w:hint="eastAsia" w:ascii="宋体" w:hAnsi="宋体" w:eastAsia="宋体" w:cs="宋体"/>
          <w:kern w:val="2"/>
          <w:sz w:val="24"/>
          <w:szCs w:val="24"/>
        </w:rPr>
        <w:br w:type="page"/>
      </w:r>
      <w:r>
        <w:rPr>
          <w:rFonts w:hint="eastAsia" w:ascii="宋体" w:hAnsi="宋体" w:eastAsia="宋体" w:cs="宋体"/>
          <w:b/>
          <w:kern w:val="2"/>
          <w:sz w:val="28"/>
          <w:szCs w:val="28"/>
        </w:rPr>
        <w:t>格式2-8（2）</w:t>
      </w:r>
    </w:p>
    <w:p>
      <w:pPr>
        <w:pStyle w:val="13"/>
        <w:tabs>
          <w:tab w:val="left" w:pos="0"/>
        </w:tabs>
        <w:ind w:left="680" w:firstLine="3213" w:firstLineChars="1000"/>
        <w:jc w:val="both"/>
        <w:rPr>
          <w:rFonts w:hint="eastAsia" w:ascii="宋体" w:hAnsi="宋体" w:eastAsia="宋体" w:cs="宋体"/>
          <w:b/>
          <w:sz w:val="32"/>
          <w:szCs w:val="32"/>
        </w:rPr>
      </w:pPr>
      <w:r>
        <w:rPr>
          <w:rFonts w:hint="eastAsia" w:ascii="宋体" w:hAnsi="宋体" w:eastAsia="宋体" w:cs="宋体"/>
          <w:b/>
          <w:sz w:val="32"/>
          <w:szCs w:val="32"/>
        </w:rPr>
        <w:t>商务应答表</w:t>
      </w:r>
    </w:p>
    <w:p>
      <w:pPr>
        <w:pStyle w:val="16"/>
        <w:pBdr>
          <w:bottom w:val="none" w:color="auto" w:sz="0" w:space="0"/>
        </w:pBdr>
        <w:tabs>
          <w:tab w:val="clear" w:pos="4153"/>
          <w:tab w:val="clear" w:pos="8306"/>
        </w:tabs>
        <w:snapToGrid/>
        <w:ind w:firstLine="480"/>
        <w:jc w:val="both"/>
        <w:rPr>
          <w:rFonts w:hint="eastAsia" w:ascii="宋体" w:hAnsi="宋体" w:eastAsia="宋体" w:cs="宋体"/>
          <w:sz w:val="24"/>
          <w:szCs w:val="24"/>
        </w:rPr>
      </w:pPr>
      <w:r>
        <w:rPr>
          <w:rFonts w:hint="eastAsia" w:ascii="宋体" w:hAnsi="宋体" w:eastAsia="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2795" w:type="dxa"/>
            <w:vAlign w:val="center"/>
          </w:tcPr>
          <w:p>
            <w:pPr>
              <w:spacing w:line="360" w:lineRule="auto"/>
              <w:ind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rPr>
              <w:t>采购文件要求</w:t>
            </w:r>
          </w:p>
        </w:tc>
        <w:tc>
          <w:tcPr>
            <w:tcW w:w="2795" w:type="dxa"/>
            <w:vAlign w:val="center"/>
          </w:tcPr>
          <w:p>
            <w:pPr>
              <w:spacing w:line="360" w:lineRule="auto"/>
              <w:ind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rPr>
              <w:t>响应文件响应</w:t>
            </w:r>
          </w:p>
        </w:tc>
        <w:tc>
          <w:tcPr>
            <w:tcW w:w="2795" w:type="dxa"/>
            <w:vAlign w:val="center"/>
          </w:tcPr>
          <w:p>
            <w:pPr>
              <w:spacing w:line="360" w:lineRule="auto"/>
              <w:ind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c>
          <w:tcPr>
            <w:tcW w:w="2795" w:type="dxa"/>
          </w:tcPr>
          <w:p>
            <w:pPr>
              <w:spacing w:line="360" w:lineRule="auto"/>
              <w:ind w:firstLine="480" w:firstLineChars="200"/>
              <w:jc w:val="center"/>
              <w:rPr>
                <w:rFonts w:hint="eastAsia" w:ascii="宋体" w:hAnsi="宋体" w:eastAsia="宋体" w:cs="宋体"/>
                <w:kern w:val="2"/>
                <w:sz w:val="24"/>
                <w:szCs w:val="24"/>
              </w:rPr>
            </w:pPr>
          </w:p>
        </w:tc>
      </w:tr>
    </w:tbl>
    <w:p>
      <w:pPr>
        <w:ind w:firstLine="482"/>
        <w:rPr>
          <w:rFonts w:hint="eastAsia" w:ascii="宋体" w:hAnsi="宋体" w:eastAsia="宋体" w:cs="宋体"/>
          <w:b/>
        </w:rPr>
      </w:pP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注意：供应商必须据实填写，不得虚假响应，虚假响应的，其响应文件无效并按规定追究其相关责任。</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供应商必须把磋商项目的全部</w:t>
      </w:r>
      <w:r>
        <w:rPr>
          <w:rFonts w:hint="eastAsia" w:ascii="宋体" w:hAnsi="宋体" w:eastAsia="宋体" w:cs="宋体"/>
          <w:kern w:val="2"/>
          <w:sz w:val="24"/>
          <w:szCs w:val="24"/>
          <w:lang w:val="en-US" w:eastAsia="zh-CN"/>
        </w:rPr>
        <w:t>商务要求</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第五章、三商务要求</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列入此表，</w:t>
      </w:r>
      <w:r>
        <w:rPr>
          <w:rFonts w:hint="eastAsia" w:ascii="宋体" w:hAnsi="宋体" w:eastAsia="宋体" w:cs="宋体"/>
          <w:b/>
          <w:bCs/>
          <w:kern w:val="2"/>
          <w:sz w:val="24"/>
          <w:szCs w:val="24"/>
        </w:rPr>
        <w:t>未列入的视为负偏离</w:t>
      </w:r>
      <w:r>
        <w:rPr>
          <w:rFonts w:hint="eastAsia" w:ascii="宋体" w:hAnsi="宋体" w:eastAsia="宋体" w:cs="宋体"/>
          <w:kern w:val="2"/>
          <w:sz w:val="24"/>
          <w:szCs w:val="24"/>
        </w:rPr>
        <w:t>。</w:t>
      </w:r>
    </w:p>
    <w:p>
      <w:pPr>
        <w:spacing w:line="360" w:lineRule="auto"/>
        <w:ind w:firstLine="480" w:firstLineChars="200"/>
        <w:rPr>
          <w:rFonts w:hint="eastAsia" w:ascii="宋体" w:hAnsi="宋体" w:eastAsia="宋体" w:cs="宋体"/>
          <w:kern w:val="2"/>
          <w:sz w:val="24"/>
          <w:szCs w:val="24"/>
        </w:rPr>
      </w:pPr>
    </w:p>
    <w:p>
      <w:pPr>
        <w:spacing w:line="360" w:lineRule="auto"/>
        <w:ind w:firstLine="480" w:firstLineChars="200"/>
        <w:rPr>
          <w:rFonts w:hint="eastAsia" w:ascii="宋体" w:hAnsi="宋体" w:eastAsia="宋体" w:cs="宋体"/>
          <w:kern w:val="2"/>
          <w:sz w:val="24"/>
          <w:szCs w:val="24"/>
        </w:rPr>
      </w:pP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供应商人名称：XXX（盖单位公章）</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法定代表人或授权代表（签字或盖章）：XXX</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日  期：XXX年XXX月XXX日</w:t>
      </w:r>
    </w:p>
    <w:p>
      <w:pPr>
        <w:widowControl/>
        <w:ind w:firstLine="562"/>
        <w:jc w:val="left"/>
        <w:rPr>
          <w:rFonts w:hint="eastAsia" w:ascii="宋体" w:hAnsi="宋体" w:eastAsia="宋体" w:cs="宋体"/>
          <w:b/>
          <w:sz w:val="28"/>
          <w:szCs w:val="28"/>
        </w:rPr>
      </w:pPr>
    </w:p>
    <w:p>
      <w:pPr>
        <w:ind w:firstLine="562"/>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格式2-9</w:t>
      </w: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八、商务、技术、服务应答附表</w:t>
      </w: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（仅用于成交结果公告，此表不作为评审内容）</w:t>
      </w:r>
    </w:p>
    <w:p>
      <w:pPr>
        <w:ind w:firstLine="480"/>
        <w:rPr>
          <w:rFonts w:hint="eastAsia" w:ascii="宋体" w:hAnsi="宋体" w:eastAsia="宋体" w:cs="宋体"/>
          <w:bCs/>
        </w:rPr>
      </w:pPr>
      <w:r>
        <w:rPr>
          <w:rFonts w:hint="eastAsia" w:ascii="宋体" w:hAnsi="宋体" w:eastAsia="宋体" w:cs="宋体"/>
          <w:bCs/>
        </w:rPr>
        <w:t xml:space="preserve">    </w:t>
      </w:r>
      <w:r>
        <w:rPr>
          <w:rFonts w:hint="eastAsia" w:ascii="宋体" w:hAnsi="宋体" w:eastAsia="宋体" w:cs="宋体"/>
          <w:bCs/>
          <w:kern w:val="2"/>
          <w:sz w:val="24"/>
          <w:szCs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24"/>
        <w:tblW w:w="821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215" w:type="dxa"/>
            <w:gridSpan w:val="9"/>
            <w:tcBorders>
              <w:top w:val="single" w:color="auto" w:sz="18" w:space="0"/>
            </w:tcBorders>
            <w:vAlign w:val="center"/>
          </w:tcPr>
          <w:p>
            <w:pPr>
              <w:ind w:firstLine="482"/>
              <w:jc w:val="center"/>
              <w:outlineLvl w:val="1"/>
              <w:rPr>
                <w:rFonts w:hint="eastAsia" w:ascii="宋体" w:hAnsi="宋体" w:eastAsia="宋体" w:cs="宋体"/>
              </w:rPr>
            </w:pPr>
            <w:r>
              <w:rPr>
                <w:rFonts w:hint="eastAsia" w:ascii="宋体" w:hAnsi="宋体" w:eastAsia="宋体" w:cs="宋体"/>
                <w:b/>
                <w:kern w:val="2"/>
                <w:sz w:val="24"/>
                <w:szCs w:val="24"/>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gridSpan w:val="2"/>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*项目名称</w:t>
            </w:r>
          </w:p>
        </w:tc>
        <w:tc>
          <w:tcPr>
            <w:tcW w:w="6474" w:type="dxa"/>
            <w:gridSpan w:val="7"/>
            <w:vAlign w:val="center"/>
          </w:tcPr>
          <w:p>
            <w:pPr>
              <w:spacing w:line="360" w:lineRule="auto"/>
              <w:outlineLvl w:val="1"/>
              <w:rPr>
                <w:rFonts w:hint="eastAsia" w:ascii="宋体" w:hAnsi="宋体" w:eastAsia="宋体" w:cs="宋体"/>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gridSpan w:val="2"/>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*供应商名称</w:t>
            </w:r>
          </w:p>
        </w:tc>
        <w:tc>
          <w:tcPr>
            <w:tcW w:w="6474" w:type="dxa"/>
            <w:gridSpan w:val="7"/>
            <w:vAlign w:val="center"/>
          </w:tcPr>
          <w:p>
            <w:pPr>
              <w:spacing w:line="360" w:lineRule="auto"/>
              <w:outlineLvl w:val="1"/>
              <w:rPr>
                <w:rFonts w:hint="eastAsia" w:ascii="宋体" w:hAnsi="宋体" w:eastAsia="宋体" w:cs="宋体"/>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gridSpan w:val="2"/>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*注册地址</w:t>
            </w:r>
          </w:p>
        </w:tc>
        <w:tc>
          <w:tcPr>
            <w:tcW w:w="2985" w:type="dxa"/>
            <w:gridSpan w:val="3"/>
            <w:tcBorders>
              <w:right w:val="single" w:color="auto" w:sz="4" w:space="0"/>
            </w:tcBorders>
            <w:vAlign w:val="center"/>
          </w:tcPr>
          <w:p>
            <w:pPr>
              <w:spacing w:line="360" w:lineRule="auto"/>
              <w:outlineLvl w:val="1"/>
              <w:rPr>
                <w:rFonts w:hint="eastAsia" w:ascii="宋体" w:hAnsi="宋体" w:eastAsia="宋体" w:cs="宋体"/>
                <w:kern w:val="2"/>
                <w:sz w:val="24"/>
                <w:szCs w:val="24"/>
              </w:rPr>
            </w:pPr>
          </w:p>
        </w:tc>
        <w:tc>
          <w:tcPr>
            <w:tcW w:w="1590" w:type="dxa"/>
            <w:gridSpan w:val="3"/>
            <w:tcBorders>
              <w:left w:val="single" w:color="auto" w:sz="4" w:space="0"/>
              <w:right w:val="single" w:color="auto" w:sz="4" w:space="0"/>
            </w:tcBorders>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*行政区域</w:t>
            </w:r>
          </w:p>
        </w:tc>
        <w:tc>
          <w:tcPr>
            <w:tcW w:w="1899" w:type="dxa"/>
            <w:tcBorders>
              <w:left w:val="single" w:color="auto" w:sz="4" w:space="0"/>
            </w:tcBorders>
            <w:vAlign w:val="center"/>
          </w:tcPr>
          <w:p>
            <w:pPr>
              <w:spacing w:line="360" w:lineRule="auto"/>
              <w:outlineLvl w:val="1"/>
              <w:rPr>
                <w:rFonts w:hint="eastAsia" w:ascii="宋体" w:hAnsi="宋体" w:eastAsia="宋体" w:cs="宋体"/>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gridSpan w:val="2"/>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*供应商规模</w:t>
            </w:r>
          </w:p>
        </w:tc>
        <w:tc>
          <w:tcPr>
            <w:tcW w:w="6474" w:type="dxa"/>
            <w:gridSpan w:val="7"/>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41" w:type="dxa"/>
            <w:gridSpan w:val="2"/>
            <w:vMerge w:val="restart"/>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*单位联系方式</w:t>
            </w:r>
          </w:p>
        </w:tc>
        <w:tc>
          <w:tcPr>
            <w:tcW w:w="1635" w:type="dxa"/>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*单位联系人</w:t>
            </w:r>
          </w:p>
        </w:tc>
        <w:tc>
          <w:tcPr>
            <w:tcW w:w="1380" w:type="dxa"/>
            <w:gridSpan w:val="3"/>
            <w:vAlign w:val="center"/>
          </w:tcPr>
          <w:p>
            <w:pPr>
              <w:spacing w:line="360" w:lineRule="auto"/>
              <w:outlineLvl w:val="1"/>
              <w:rPr>
                <w:rFonts w:hint="eastAsia" w:ascii="宋体" w:hAnsi="宋体" w:eastAsia="宋体" w:cs="宋体"/>
                <w:kern w:val="2"/>
                <w:sz w:val="24"/>
                <w:szCs w:val="24"/>
              </w:rPr>
            </w:pPr>
          </w:p>
        </w:tc>
        <w:tc>
          <w:tcPr>
            <w:tcW w:w="1529" w:type="dxa"/>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*单位电话</w:t>
            </w:r>
          </w:p>
        </w:tc>
        <w:tc>
          <w:tcPr>
            <w:tcW w:w="1930" w:type="dxa"/>
            <w:gridSpan w:val="2"/>
            <w:vAlign w:val="center"/>
          </w:tcPr>
          <w:p>
            <w:pPr>
              <w:spacing w:line="360" w:lineRule="auto"/>
              <w:outlineLvl w:val="1"/>
              <w:rPr>
                <w:rFonts w:hint="eastAsia" w:ascii="宋体" w:hAnsi="宋体" w:eastAsia="宋体" w:cs="宋体"/>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41" w:type="dxa"/>
            <w:gridSpan w:val="2"/>
            <w:vMerge w:val="continue"/>
            <w:vAlign w:val="center"/>
          </w:tcPr>
          <w:p>
            <w:pPr>
              <w:spacing w:line="360" w:lineRule="auto"/>
              <w:outlineLvl w:val="1"/>
              <w:rPr>
                <w:rFonts w:hint="eastAsia" w:ascii="宋体" w:hAnsi="宋体" w:eastAsia="宋体" w:cs="宋体"/>
                <w:kern w:val="2"/>
                <w:sz w:val="24"/>
                <w:szCs w:val="24"/>
              </w:rPr>
            </w:pPr>
          </w:p>
        </w:tc>
        <w:tc>
          <w:tcPr>
            <w:tcW w:w="1635" w:type="dxa"/>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*单位邮箱</w:t>
            </w:r>
          </w:p>
        </w:tc>
        <w:tc>
          <w:tcPr>
            <w:tcW w:w="4839" w:type="dxa"/>
            <w:gridSpan w:val="6"/>
            <w:vAlign w:val="center"/>
          </w:tcPr>
          <w:p>
            <w:pPr>
              <w:spacing w:line="360" w:lineRule="auto"/>
              <w:outlineLvl w:val="1"/>
              <w:rPr>
                <w:rFonts w:hint="eastAsia" w:ascii="宋体" w:hAnsi="宋体" w:eastAsia="宋体" w:cs="宋体"/>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8215" w:type="dxa"/>
            <w:gridSpan w:val="9"/>
            <w:vAlign w:val="center"/>
          </w:tcPr>
          <w:p>
            <w:pPr>
              <w:ind w:firstLine="472" w:firstLineChars="196"/>
              <w:outlineLvl w:val="1"/>
              <w:rPr>
                <w:rFonts w:hint="eastAsia" w:ascii="宋体" w:hAnsi="宋体" w:eastAsia="宋体" w:cs="宋体"/>
              </w:rPr>
            </w:pPr>
            <w:r>
              <w:rPr>
                <w:rFonts w:hint="eastAsia" w:ascii="宋体" w:hAnsi="宋体" w:eastAsia="宋体" w:cs="宋体"/>
                <w:b/>
                <w:kern w:val="2"/>
                <w:sz w:val="24"/>
                <w:szCs w:val="24"/>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5" w:hRule="atLeast"/>
          <w:jc w:val="center"/>
        </w:trPr>
        <w:tc>
          <w:tcPr>
            <w:tcW w:w="1278" w:type="dxa"/>
            <w:vMerge w:val="restart"/>
            <w:tcBorders>
              <w:right w:val="single" w:color="auto" w:sz="4" w:space="0"/>
            </w:tcBorders>
            <w:vAlign w:val="center"/>
          </w:tcPr>
          <w:p>
            <w:pPr>
              <w:outlineLvl w:val="1"/>
              <w:rPr>
                <w:rFonts w:hint="eastAsia" w:ascii="宋体" w:hAnsi="宋体" w:eastAsia="宋体" w:cs="宋体"/>
                <w:b/>
                <w:bCs/>
              </w:rPr>
            </w:pPr>
            <w:r>
              <w:rPr>
                <w:rFonts w:hint="eastAsia" w:ascii="宋体" w:hAnsi="宋体" w:eastAsia="宋体" w:cs="宋体"/>
                <w:b/>
                <w:kern w:val="2"/>
                <w:sz w:val="24"/>
                <w:szCs w:val="24"/>
              </w:rPr>
              <w:t>供应商应答“采购文件”的主要内容</w:t>
            </w:r>
          </w:p>
        </w:tc>
        <w:tc>
          <w:tcPr>
            <w:tcW w:w="2373" w:type="dxa"/>
            <w:gridSpan w:val="3"/>
            <w:tcBorders>
              <w:left w:val="single" w:color="auto" w:sz="4" w:space="0"/>
              <w:right w:val="single" w:color="auto" w:sz="4" w:space="0"/>
            </w:tcBorders>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主要中标或者成交标的的名称</w:t>
            </w:r>
          </w:p>
        </w:tc>
        <w:tc>
          <w:tcPr>
            <w:tcW w:w="4564" w:type="dxa"/>
            <w:gridSpan w:val="5"/>
            <w:tcBorders>
              <w:left w:val="single" w:color="auto" w:sz="4" w:space="0"/>
            </w:tcBorders>
            <w:vAlign w:val="center"/>
          </w:tcPr>
          <w:p>
            <w:pPr>
              <w:ind w:firstLine="482"/>
              <w:rPr>
                <w:rFonts w:hint="eastAsia" w:ascii="宋体" w:hAnsi="宋体" w:eastAsia="宋体" w:cs="宋体"/>
                <w:b/>
                <w:bC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278" w:type="dxa"/>
            <w:vMerge w:val="continue"/>
            <w:tcBorders>
              <w:right w:val="single" w:color="auto" w:sz="4" w:space="0"/>
            </w:tcBorders>
            <w:vAlign w:val="center"/>
          </w:tcPr>
          <w:p>
            <w:pPr>
              <w:ind w:firstLine="669" w:firstLineChars="196"/>
              <w:outlineLvl w:val="1"/>
              <w:rPr>
                <w:rFonts w:hint="eastAsia" w:ascii="宋体" w:hAnsi="宋体" w:eastAsia="宋体" w:cs="宋体"/>
                <w:b/>
                <w:bCs/>
              </w:rPr>
            </w:pPr>
          </w:p>
        </w:tc>
        <w:tc>
          <w:tcPr>
            <w:tcW w:w="2373" w:type="dxa"/>
            <w:gridSpan w:val="3"/>
            <w:tcBorders>
              <w:left w:val="single" w:color="auto" w:sz="4" w:space="0"/>
              <w:right w:val="single" w:color="auto" w:sz="4" w:space="0"/>
            </w:tcBorders>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主要中标或者成交标的的规格型号</w:t>
            </w:r>
          </w:p>
        </w:tc>
        <w:tc>
          <w:tcPr>
            <w:tcW w:w="4564" w:type="dxa"/>
            <w:gridSpan w:val="5"/>
            <w:tcBorders>
              <w:left w:val="single" w:color="auto" w:sz="4" w:space="0"/>
            </w:tcBorders>
            <w:vAlign w:val="center"/>
          </w:tcPr>
          <w:p>
            <w:pPr>
              <w:ind w:firstLine="482"/>
              <w:rPr>
                <w:rFonts w:hint="eastAsia" w:ascii="宋体" w:hAnsi="宋体" w:eastAsia="宋体" w:cs="宋体"/>
                <w:b/>
                <w:bC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278" w:type="dxa"/>
            <w:vMerge w:val="continue"/>
            <w:tcBorders>
              <w:right w:val="single" w:color="auto" w:sz="4" w:space="0"/>
            </w:tcBorders>
            <w:vAlign w:val="center"/>
          </w:tcPr>
          <w:p>
            <w:pPr>
              <w:ind w:firstLine="669" w:firstLineChars="196"/>
              <w:outlineLvl w:val="1"/>
              <w:rPr>
                <w:rFonts w:hint="eastAsia" w:ascii="宋体" w:hAnsi="宋体" w:eastAsia="宋体" w:cs="宋体"/>
                <w:b/>
                <w:bCs/>
              </w:rPr>
            </w:pPr>
          </w:p>
        </w:tc>
        <w:tc>
          <w:tcPr>
            <w:tcW w:w="2373" w:type="dxa"/>
            <w:gridSpan w:val="3"/>
            <w:tcBorders>
              <w:left w:val="single" w:color="auto" w:sz="4" w:space="0"/>
              <w:right w:val="single" w:color="auto" w:sz="4" w:space="0"/>
            </w:tcBorders>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主要中标或者成交标的的数量</w:t>
            </w:r>
          </w:p>
        </w:tc>
        <w:tc>
          <w:tcPr>
            <w:tcW w:w="4564" w:type="dxa"/>
            <w:gridSpan w:val="5"/>
            <w:tcBorders>
              <w:left w:val="single" w:color="auto" w:sz="4" w:space="0"/>
            </w:tcBorders>
            <w:vAlign w:val="center"/>
          </w:tcPr>
          <w:p>
            <w:pPr>
              <w:ind w:firstLine="482"/>
              <w:rPr>
                <w:rFonts w:hint="eastAsia" w:ascii="宋体" w:hAnsi="宋体" w:eastAsia="宋体" w:cs="宋体"/>
                <w:b/>
                <w:bC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278" w:type="dxa"/>
            <w:vMerge w:val="continue"/>
            <w:tcBorders>
              <w:right w:val="single" w:color="auto" w:sz="4" w:space="0"/>
            </w:tcBorders>
            <w:vAlign w:val="center"/>
          </w:tcPr>
          <w:p>
            <w:pPr>
              <w:ind w:firstLine="669" w:firstLineChars="196"/>
              <w:outlineLvl w:val="1"/>
              <w:rPr>
                <w:rFonts w:hint="eastAsia" w:ascii="宋体" w:hAnsi="宋体" w:eastAsia="宋体" w:cs="宋体"/>
                <w:b/>
                <w:bCs/>
              </w:rPr>
            </w:pPr>
          </w:p>
        </w:tc>
        <w:tc>
          <w:tcPr>
            <w:tcW w:w="2373" w:type="dxa"/>
            <w:gridSpan w:val="3"/>
            <w:tcBorders>
              <w:left w:val="single" w:color="auto" w:sz="4" w:space="0"/>
              <w:right w:val="single" w:color="auto" w:sz="4" w:space="0"/>
            </w:tcBorders>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主要中标或者成交标的的单价</w:t>
            </w:r>
          </w:p>
        </w:tc>
        <w:tc>
          <w:tcPr>
            <w:tcW w:w="4564" w:type="dxa"/>
            <w:gridSpan w:val="5"/>
            <w:tcBorders>
              <w:left w:val="single" w:color="auto" w:sz="4" w:space="0"/>
            </w:tcBorders>
            <w:vAlign w:val="center"/>
          </w:tcPr>
          <w:p>
            <w:pPr>
              <w:ind w:firstLine="482"/>
              <w:rPr>
                <w:rFonts w:hint="eastAsia" w:ascii="宋体" w:hAnsi="宋体" w:eastAsia="宋体" w:cs="宋体"/>
                <w:b/>
                <w:bC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278" w:type="dxa"/>
            <w:vMerge w:val="continue"/>
            <w:tcBorders>
              <w:bottom w:val="single" w:color="auto" w:sz="18" w:space="0"/>
              <w:right w:val="single" w:color="auto" w:sz="4" w:space="0"/>
            </w:tcBorders>
            <w:vAlign w:val="center"/>
          </w:tcPr>
          <w:p>
            <w:pPr>
              <w:ind w:firstLine="669" w:firstLineChars="196"/>
              <w:outlineLvl w:val="1"/>
              <w:rPr>
                <w:rFonts w:hint="eastAsia" w:ascii="宋体" w:hAnsi="宋体" w:eastAsia="宋体" w:cs="宋体"/>
                <w:b/>
                <w:bCs/>
              </w:rPr>
            </w:pPr>
          </w:p>
        </w:tc>
        <w:tc>
          <w:tcPr>
            <w:tcW w:w="2373" w:type="dxa"/>
            <w:gridSpan w:val="3"/>
            <w:tcBorders>
              <w:left w:val="single" w:color="auto" w:sz="4" w:space="0"/>
              <w:bottom w:val="single" w:color="auto" w:sz="18" w:space="0"/>
              <w:right w:val="single" w:color="auto" w:sz="4" w:space="0"/>
            </w:tcBorders>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主要中标或者成交标的的服务要求（如：交货期、质保期、售后服务等等）</w:t>
            </w:r>
          </w:p>
        </w:tc>
        <w:tc>
          <w:tcPr>
            <w:tcW w:w="4564" w:type="dxa"/>
            <w:gridSpan w:val="5"/>
            <w:tcBorders>
              <w:left w:val="single" w:color="auto" w:sz="4" w:space="0"/>
              <w:bottom w:val="single" w:color="auto" w:sz="18" w:space="0"/>
            </w:tcBorders>
            <w:vAlign w:val="center"/>
          </w:tcPr>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w:t>
            </w:r>
          </w:p>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w:t>
            </w:r>
          </w:p>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w:t>
            </w:r>
          </w:p>
          <w:p>
            <w:pPr>
              <w:spacing w:line="360" w:lineRule="auto"/>
              <w:outlineLvl w:val="1"/>
              <w:rPr>
                <w:rFonts w:hint="eastAsia" w:ascii="宋体" w:hAnsi="宋体" w:eastAsia="宋体" w:cs="宋体"/>
                <w:kern w:val="2"/>
                <w:sz w:val="24"/>
                <w:szCs w:val="24"/>
              </w:rPr>
            </w:pPr>
            <w:r>
              <w:rPr>
                <w:rFonts w:hint="eastAsia" w:ascii="宋体" w:hAnsi="宋体" w:eastAsia="宋体" w:cs="宋体"/>
                <w:kern w:val="2"/>
                <w:sz w:val="24"/>
                <w:szCs w:val="24"/>
              </w:rPr>
              <w:t>......</w:t>
            </w:r>
          </w:p>
        </w:tc>
      </w:tr>
    </w:tbl>
    <w:p>
      <w:pPr>
        <w:widowControl/>
        <w:numPr>
          <w:ilvl w:val="0"/>
          <w:numId w:val="5"/>
        </w:numPr>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注：</w:t>
      </w:r>
    </w:p>
    <w:p>
      <w:pPr>
        <w:widowControl/>
        <w:numPr>
          <w:ilvl w:val="0"/>
          <w:numId w:val="5"/>
        </w:numPr>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供应商需如实完善表格内容。</w:t>
      </w:r>
    </w:p>
    <w:p>
      <w:pPr>
        <w:widowControl/>
        <w:numPr>
          <w:ilvl w:val="0"/>
          <w:numId w:val="5"/>
        </w:numPr>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供应商应答的主要内容应与响应文件一致，可以进行简要概括性表述。</w:t>
      </w:r>
    </w:p>
    <w:p>
      <w:pPr>
        <w:widowControl/>
        <w:numPr>
          <w:ilvl w:val="0"/>
          <w:numId w:val="5"/>
        </w:numPr>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供应商应答的主要内容仅用于结果公告，供应商自行完善的内容视为不涉及供应商商业秘密。若供应商没有填写或没有递交此表，视为允许采购代理机构将供应商响应文件中所有相关的应答内容进行公告。</w:t>
      </w:r>
    </w:p>
    <w:p>
      <w:pPr>
        <w:widowControl/>
        <w:numPr>
          <w:ilvl w:val="0"/>
          <w:numId w:val="5"/>
        </w:numPr>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供应商名称：         （盖章）</w:t>
      </w:r>
    </w:p>
    <w:p>
      <w:pPr>
        <w:widowControl/>
        <w:numPr>
          <w:ilvl w:val="0"/>
          <w:numId w:val="5"/>
        </w:numPr>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法定代表人/单位负责人或授权代表（签字或加盖个人印章）：</w:t>
      </w:r>
    </w:p>
    <w:p>
      <w:pPr>
        <w:widowControl/>
        <w:numPr>
          <w:ilvl w:val="0"/>
          <w:numId w:val="5"/>
        </w:numPr>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报价日期:</w:t>
      </w:r>
    </w:p>
    <w:p>
      <w:pPr>
        <w:widowControl/>
        <w:numPr>
          <w:ilvl w:val="0"/>
          <w:numId w:val="5"/>
        </w:numPr>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br w:type="page"/>
      </w:r>
    </w:p>
    <w:p>
      <w:pPr>
        <w:ind w:firstLine="562"/>
        <w:rPr>
          <w:rFonts w:hint="eastAsia" w:ascii="宋体" w:hAnsi="宋体" w:eastAsia="宋体" w:cs="宋体"/>
          <w:b/>
          <w:sz w:val="28"/>
          <w:szCs w:val="28"/>
        </w:rPr>
      </w:pPr>
      <w:r>
        <w:rPr>
          <w:rFonts w:hint="eastAsia" w:ascii="宋体" w:hAnsi="宋体" w:eastAsia="宋体" w:cs="宋体"/>
          <w:b/>
          <w:sz w:val="28"/>
          <w:szCs w:val="28"/>
        </w:rPr>
        <w:t>格式2-10-1</w:t>
      </w: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九、供应商类似项目业绩一览表</w:t>
      </w:r>
    </w:p>
    <w:p>
      <w:pPr>
        <w:ind w:firstLine="480"/>
        <w:rPr>
          <w:rFonts w:hint="eastAsia" w:ascii="宋体" w:hAnsi="宋体" w:eastAsia="宋体" w:cs="宋体"/>
        </w:rPr>
      </w:pP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rPr>
                <w:rFonts w:hint="eastAsia" w:ascii="宋体" w:hAnsi="宋体" w:eastAsia="宋体" w:cs="宋体"/>
                <w:b/>
                <w:kern w:val="2"/>
                <w:sz w:val="24"/>
                <w:szCs w:val="24"/>
              </w:rPr>
            </w:pPr>
            <w:r>
              <w:rPr>
                <w:rFonts w:hint="eastAsia" w:ascii="宋体" w:hAnsi="宋体" w:eastAsia="宋体" w:cs="宋体"/>
                <w:b/>
                <w:kern w:val="2"/>
                <w:sz w:val="24"/>
                <w:szCs w:val="24"/>
              </w:rPr>
              <w:t>年份</w:t>
            </w:r>
          </w:p>
        </w:tc>
        <w:tc>
          <w:tcPr>
            <w:tcW w:w="1439" w:type="dxa"/>
            <w:tcBorders>
              <w:top w:val="single" w:color="auto" w:sz="4" w:space="0"/>
            </w:tcBorders>
            <w:vAlign w:val="center"/>
          </w:tcPr>
          <w:p>
            <w:pPr>
              <w:spacing w:line="400" w:lineRule="exact"/>
              <w:rPr>
                <w:rFonts w:hint="eastAsia" w:ascii="宋体" w:hAnsi="宋体" w:eastAsia="宋体" w:cs="宋体"/>
                <w:b/>
                <w:kern w:val="2"/>
                <w:sz w:val="24"/>
                <w:szCs w:val="24"/>
              </w:rPr>
            </w:pPr>
            <w:r>
              <w:rPr>
                <w:rFonts w:hint="eastAsia" w:ascii="宋体" w:hAnsi="宋体" w:eastAsia="宋体" w:cs="宋体"/>
                <w:b/>
                <w:kern w:val="2"/>
                <w:sz w:val="24"/>
                <w:szCs w:val="24"/>
              </w:rPr>
              <w:t>用户名称</w:t>
            </w:r>
          </w:p>
        </w:tc>
        <w:tc>
          <w:tcPr>
            <w:tcW w:w="1319" w:type="dxa"/>
            <w:tcBorders>
              <w:top w:val="single" w:color="auto" w:sz="4" w:space="0"/>
            </w:tcBorders>
            <w:vAlign w:val="center"/>
          </w:tcPr>
          <w:p>
            <w:pPr>
              <w:spacing w:line="400" w:lineRule="exact"/>
              <w:rPr>
                <w:rFonts w:hint="eastAsia" w:ascii="宋体" w:hAnsi="宋体" w:eastAsia="宋体" w:cs="宋体"/>
                <w:b/>
                <w:kern w:val="2"/>
                <w:sz w:val="24"/>
                <w:szCs w:val="24"/>
              </w:rPr>
            </w:pPr>
            <w:r>
              <w:rPr>
                <w:rFonts w:hint="eastAsia" w:ascii="宋体" w:hAnsi="宋体" w:eastAsia="宋体" w:cs="宋体"/>
                <w:b/>
                <w:kern w:val="2"/>
                <w:sz w:val="24"/>
                <w:szCs w:val="24"/>
              </w:rPr>
              <w:t>项目名称</w:t>
            </w:r>
          </w:p>
        </w:tc>
        <w:tc>
          <w:tcPr>
            <w:tcW w:w="1160" w:type="dxa"/>
            <w:tcBorders>
              <w:top w:val="single" w:color="auto" w:sz="4" w:space="0"/>
            </w:tcBorders>
            <w:vAlign w:val="center"/>
          </w:tcPr>
          <w:p>
            <w:pPr>
              <w:spacing w:line="400" w:lineRule="exact"/>
              <w:rPr>
                <w:rFonts w:hint="eastAsia" w:ascii="宋体" w:hAnsi="宋体" w:eastAsia="宋体" w:cs="宋体"/>
                <w:b/>
                <w:kern w:val="2"/>
                <w:sz w:val="24"/>
                <w:szCs w:val="24"/>
              </w:rPr>
            </w:pPr>
            <w:r>
              <w:rPr>
                <w:rFonts w:hint="eastAsia" w:ascii="宋体" w:hAnsi="宋体" w:eastAsia="宋体" w:cs="宋体"/>
                <w:b/>
                <w:kern w:val="2"/>
                <w:sz w:val="24"/>
                <w:szCs w:val="24"/>
              </w:rPr>
              <w:t>完成时间</w:t>
            </w:r>
          </w:p>
        </w:tc>
        <w:tc>
          <w:tcPr>
            <w:tcW w:w="1421" w:type="dxa"/>
            <w:gridSpan w:val="2"/>
            <w:tcBorders>
              <w:top w:val="single" w:color="auto" w:sz="4" w:space="0"/>
            </w:tcBorders>
            <w:vAlign w:val="center"/>
          </w:tcPr>
          <w:p>
            <w:pPr>
              <w:spacing w:line="400" w:lineRule="exact"/>
              <w:rPr>
                <w:rFonts w:hint="eastAsia" w:ascii="宋体" w:hAnsi="宋体" w:eastAsia="宋体" w:cs="宋体"/>
                <w:b/>
                <w:kern w:val="2"/>
                <w:sz w:val="24"/>
                <w:szCs w:val="24"/>
              </w:rPr>
            </w:pPr>
            <w:r>
              <w:rPr>
                <w:rFonts w:hint="eastAsia" w:ascii="宋体" w:hAnsi="宋体" w:eastAsia="宋体" w:cs="宋体"/>
                <w:b/>
                <w:kern w:val="2"/>
                <w:sz w:val="24"/>
                <w:szCs w:val="24"/>
              </w:rPr>
              <w:t>合同金额</w:t>
            </w:r>
          </w:p>
        </w:tc>
        <w:tc>
          <w:tcPr>
            <w:tcW w:w="1614" w:type="dxa"/>
            <w:gridSpan w:val="2"/>
            <w:tcBorders>
              <w:top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r>
              <w:rPr>
                <w:rFonts w:hint="eastAsia" w:ascii="宋体" w:hAnsi="宋体" w:eastAsia="宋体" w:cs="宋体"/>
                <w:b/>
                <w:kern w:val="2"/>
                <w:sz w:val="24"/>
                <w:szCs w:val="24"/>
              </w:rPr>
              <w:t>是否通过验收</w:t>
            </w:r>
          </w:p>
        </w:tc>
        <w:tc>
          <w:tcPr>
            <w:tcW w:w="1387" w:type="dxa"/>
            <w:gridSpan w:val="2"/>
            <w:tcBorders>
              <w:top w:val="single" w:color="auto" w:sz="4" w:space="0"/>
              <w:left w:val="single" w:color="auto" w:sz="4" w:space="0"/>
            </w:tcBorders>
            <w:vAlign w:val="center"/>
          </w:tcPr>
          <w:p>
            <w:pPr>
              <w:spacing w:line="400" w:lineRule="exact"/>
              <w:rPr>
                <w:rFonts w:hint="eastAsia" w:ascii="宋体" w:hAnsi="宋体" w:eastAsia="宋体" w:cs="宋体"/>
                <w:b/>
                <w:kern w:val="2"/>
                <w:sz w:val="24"/>
                <w:szCs w:val="24"/>
              </w:rPr>
            </w:pPr>
            <w:r>
              <w:rPr>
                <w:rFonts w:hint="eastAsia" w:ascii="宋体" w:hAnsi="宋体" w:eastAsia="宋体" w:cs="宋体"/>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eastAsia" w:ascii="宋体" w:hAnsi="宋体" w:eastAsia="宋体" w:cs="宋体"/>
                <w:b/>
                <w:kern w:val="2"/>
                <w:sz w:val="24"/>
                <w:szCs w:val="24"/>
              </w:rPr>
            </w:pPr>
          </w:p>
        </w:tc>
        <w:tc>
          <w:tcPr>
            <w:tcW w:w="1439" w:type="dxa"/>
            <w:vAlign w:val="center"/>
          </w:tcPr>
          <w:p>
            <w:pPr>
              <w:spacing w:line="400" w:lineRule="exact"/>
              <w:rPr>
                <w:rFonts w:hint="eastAsia" w:ascii="宋体" w:hAnsi="宋体" w:eastAsia="宋体" w:cs="宋体"/>
                <w:b/>
                <w:kern w:val="2"/>
                <w:sz w:val="24"/>
                <w:szCs w:val="24"/>
              </w:rPr>
            </w:pPr>
          </w:p>
        </w:tc>
        <w:tc>
          <w:tcPr>
            <w:tcW w:w="1319" w:type="dxa"/>
            <w:vAlign w:val="center"/>
          </w:tcPr>
          <w:p>
            <w:pPr>
              <w:spacing w:line="400" w:lineRule="exact"/>
              <w:rPr>
                <w:rFonts w:hint="eastAsia" w:ascii="宋体" w:hAnsi="宋体" w:eastAsia="宋体" w:cs="宋体"/>
                <w:b/>
                <w:kern w:val="2"/>
                <w:sz w:val="24"/>
                <w:szCs w:val="24"/>
              </w:rPr>
            </w:pPr>
          </w:p>
        </w:tc>
        <w:tc>
          <w:tcPr>
            <w:tcW w:w="1160" w:type="dxa"/>
            <w:vAlign w:val="center"/>
          </w:tcPr>
          <w:p>
            <w:pPr>
              <w:spacing w:line="400" w:lineRule="exact"/>
              <w:rPr>
                <w:rFonts w:hint="eastAsia" w:ascii="宋体" w:hAnsi="宋体" w:eastAsia="宋体" w:cs="宋体"/>
                <w:b/>
                <w:kern w:val="2"/>
                <w:sz w:val="24"/>
                <w:szCs w:val="24"/>
              </w:rPr>
            </w:pPr>
          </w:p>
        </w:tc>
        <w:tc>
          <w:tcPr>
            <w:tcW w:w="1421" w:type="dxa"/>
            <w:gridSpan w:val="2"/>
            <w:vAlign w:val="center"/>
          </w:tcPr>
          <w:p>
            <w:pPr>
              <w:spacing w:line="400" w:lineRule="exact"/>
              <w:rPr>
                <w:rFonts w:hint="eastAsia" w:ascii="宋体" w:hAnsi="宋体" w:eastAsia="宋体" w:cs="宋体"/>
                <w:b/>
                <w:kern w:val="2"/>
                <w:sz w:val="24"/>
                <w:szCs w:val="24"/>
              </w:rPr>
            </w:pPr>
          </w:p>
        </w:tc>
        <w:tc>
          <w:tcPr>
            <w:tcW w:w="1614" w:type="dxa"/>
            <w:gridSpan w:val="2"/>
            <w:tcBorders>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left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eastAsia" w:ascii="宋体" w:hAnsi="宋体" w:eastAsia="宋体" w:cs="宋体"/>
                <w:b/>
                <w:kern w:val="2"/>
                <w:sz w:val="24"/>
                <w:szCs w:val="24"/>
              </w:rPr>
            </w:pPr>
          </w:p>
        </w:tc>
        <w:tc>
          <w:tcPr>
            <w:tcW w:w="1439" w:type="dxa"/>
            <w:vAlign w:val="center"/>
          </w:tcPr>
          <w:p>
            <w:pPr>
              <w:spacing w:line="400" w:lineRule="exact"/>
              <w:rPr>
                <w:rFonts w:hint="eastAsia" w:ascii="宋体" w:hAnsi="宋体" w:eastAsia="宋体" w:cs="宋体"/>
                <w:b/>
                <w:kern w:val="2"/>
                <w:sz w:val="24"/>
                <w:szCs w:val="24"/>
              </w:rPr>
            </w:pPr>
          </w:p>
        </w:tc>
        <w:tc>
          <w:tcPr>
            <w:tcW w:w="1319" w:type="dxa"/>
            <w:vAlign w:val="center"/>
          </w:tcPr>
          <w:p>
            <w:pPr>
              <w:spacing w:line="400" w:lineRule="exact"/>
              <w:rPr>
                <w:rFonts w:hint="eastAsia" w:ascii="宋体" w:hAnsi="宋体" w:eastAsia="宋体" w:cs="宋体"/>
                <w:b/>
                <w:kern w:val="2"/>
                <w:sz w:val="24"/>
                <w:szCs w:val="24"/>
              </w:rPr>
            </w:pPr>
          </w:p>
        </w:tc>
        <w:tc>
          <w:tcPr>
            <w:tcW w:w="1160" w:type="dxa"/>
            <w:vAlign w:val="center"/>
          </w:tcPr>
          <w:p>
            <w:pPr>
              <w:spacing w:line="400" w:lineRule="exact"/>
              <w:rPr>
                <w:rFonts w:hint="eastAsia" w:ascii="宋体" w:hAnsi="宋体" w:eastAsia="宋体" w:cs="宋体"/>
                <w:b/>
                <w:kern w:val="2"/>
                <w:sz w:val="24"/>
                <w:szCs w:val="24"/>
              </w:rPr>
            </w:pPr>
          </w:p>
        </w:tc>
        <w:tc>
          <w:tcPr>
            <w:tcW w:w="1421" w:type="dxa"/>
            <w:gridSpan w:val="2"/>
            <w:vAlign w:val="center"/>
          </w:tcPr>
          <w:p>
            <w:pPr>
              <w:spacing w:line="400" w:lineRule="exact"/>
              <w:rPr>
                <w:rFonts w:hint="eastAsia" w:ascii="宋体" w:hAnsi="宋体" w:eastAsia="宋体" w:cs="宋体"/>
                <w:b/>
                <w:kern w:val="2"/>
                <w:sz w:val="24"/>
                <w:szCs w:val="24"/>
              </w:rPr>
            </w:pPr>
          </w:p>
        </w:tc>
        <w:tc>
          <w:tcPr>
            <w:tcW w:w="1614" w:type="dxa"/>
            <w:gridSpan w:val="2"/>
            <w:tcBorders>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left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eastAsia" w:ascii="宋体" w:hAnsi="宋体" w:eastAsia="宋体" w:cs="宋体"/>
                <w:b/>
                <w:kern w:val="2"/>
                <w:sz w:val="24"/>
                <w:szCs w:val="24"/>
              </w:rPr>
            </w:pPr>
          </w:p>
        </w:tc>
        <w:tc>
          <w:tcPr>
            <w:tcW w:w="1439" w:type="dxa"/>
            <w:vAlign w:val="center"/>
          </w:tcPr>
          <w:p>
            <w:pPr>
              <w:spacing w:line="400" w:lineRule="exact"/>
              <w:rPr>
                <w:rFonts w:hint="eastAsia" w:ascii="宋体" w:hAnsi="宋体" w:eastAsia="宋体" w:cs="宋体"/>
                <w:b/>
                <w:kern w:val="2"/>
                <w:sz w:val="24"/>
                <w:szCs w:val="24"/>
              </w:rPr>
            </w:pPr>
          </w:p>
        </w:tc>
        <w:tc>
          <w:tcPr>
            <w:tcW w:w="1319" w:type="dxa"/>
            <w:vAlign w:val="center"/>
          </w:tcPr>
          <w:p>
            <w:pPr>
              <w:spacing w:line="400" w:lineRule="exact"/>
              <w:rPr>
                <w:rFonts w:hint="eastAsia" w:ascii="宋体" w:hAnsi="宋体" w:eastAsia="宋体" w:cs="宋体"/>
                <w:b/>
                <w:kern w:val="2"/>
                <w:sz w:val="24"/>
                <w:szCs w:val="24"/>
              </w:rPr>
            </w:pPr>
          </w:p>
        </w:tc>
        <w:tc>
          <w:tcPr>
            <w:tcW w:w="1160" w:type="dxa"/>
            <w:vAlign w:val="center"/>
          </w:tcPr>
          <w:p>
            <w:pPr>
              <w:spacing w:line="400" w:lineRule="exact"/>
              <w:rPr>
                <w:rFonts w:hint="eastAsia" w:ascii="宋体" w:hAnsi="宋体" w:eastAsia="宋体" w:cs="宋体"/>
                <w:b/>
                <w:kern w:val="2"/>
                <w:sz w:val="24"/>
                <w:szCs w:val="24"/>
              </w:rPr>
            </w:pPr>
          </w:p>
        </w:tc>
        <w:tc>
          <w:tcPr>
            <w:tcW w:w="1421" w:type="dxa"/>
            <w:gridSpan w:val="2"/>
            <w:vAlign w:val="center"/>
          </w:tcPr>
          <w:p>
            <w:pPr>
              <w:spacing w:line="400" w:lineRule="exact"/>
              <w:rPr>
                <w:rFonts w:hint="eastAsia" w:ascii="宋体" w:hAnsi="宋体" w:eastAsia="宋体" w:cs="宋体"/>
                <w:b/>
                <w:kern w:val="2"/>
                <w:sz w:val="24"/>
                <w:szCs w:val="24"/>
              </w:rPr>
            </w:pPr>
          </w:p>
        </w:tc>
        <w:tc>
          <w:tcPr>
            <w:tcW w:w="1614" w:type="dxa"/>
            <w:gridSpan w:val="2"/>
            <w:tcBorders>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left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eastAsia" w:ascii="宋体" w:hAnsi="宋体" w:eastAsia="宋体" w:cs="宋体"/>
                <w:b/>
                <w:kern w:val="2"/>
                <w:sz w:val="24"/>
                <w:szCs w:val="24"/>
              </w:rPr>
            </w:pPr>
          </w:p>
        </w:tc>
        <w:tc>
          <w:tcPr>
            <w:tcW w:w="1439" w:type="dxa"/>
            <w:tcBorders>
              <w:right w:val="single" w:color="auto" w:sz="4" w:space="0"/>
            </w:tcBorders>
            <w:vAlign w:val="center"/>
          </w:tcPr>
          <w:p>
            <w:pPr>
              <w:spacing w:line="400" w:lineRule="exact"/>
              <w:rPr>
                <w:rFonts w:hint="eastAsia" w:ascii="宋体" w:hAnsi="宋体" w:eastAsia="宋体" w:cs="宋体"/>
                <w:b/>
                <w:kern w:val="2"/>
                <w:sz w:val="24"/>
                <w:szCs w:val="24"/>
              </w:rPr>
            </w:pPr>
          </w:p>
        </w:tc>
        <w:tc>
          <w:tcPr>
            <w:tcW w:w="1319" w:type="dxa"/>
            <w:tcBorders>
              <w:left w:val="single" w:color="auto" w:sz="4" w:space="0"/>
            </w:tcBorders>
            <w:vAlign w:val="center"/>
          </w:tcPr>
          <w:p>
            <w:pPr>
              <w:spacing w:line="400" w:lineRule="exact"/>
              <w:rPr>
                <w:rFonts w:hint="eastAsia" w:ascii="宋体" w:hAnsi="宋体" w:eastAsia="宋体" w:cs="宋体"/>
                <w:b/>
                <w:kern w:val="2"/>
                <w:sz w:val="24"/>
                <w:szCs w:val="24"/>
              </w:rPr>
            </w:pPr>
          </w:p>
        </w:tc>
        <w:tc>
          <w:tcPr>
            <w:tcW w:w="1160" w:type="dxa"/>
            <w:vAlign w:val="center"/>
          </w:tcPr>
          <w:p>
            <w:pPr>
              <w:spacing w:line="400" w:lineRule="exact"/>
              <w:rPr>
                <w:rFonts w:hint="eastAsia" w:ascii="宋体" w:hAnsi="宋体" w:eastAsia="宋体" w:cs="宋体"/>
                <w:b/>
                <w:kern w:val="2"/>
                <w:sz w:val="24"/>
                <w:szCs w:val="24"/>
              </w:rPr>
            </w:pPr>
          </w:p>
        </w:tc>
        <w:tc>
          <w:tcPr>
            <w:tcW w:w="1421" w:type="dxa"/>
            <w:gridSpan w:val="2"/>
            <w:vAlign w:val="center"/>
          </w:tcPr>
          <w:p>
            <w:pPr>
              <w:spacing w:line="400" w:lineRule="exact"/>
              <w:rPr>
                <w:rFonts w:hint="eastAsia" w:ascii="宋体" w:hAnsi="宋体" w:eastAsia="宋体" w:cs="宋体"/>
                <w:b/>
                <w:kern w:val="2"/>
                <w:sz w:val="24"/>
                <w:szCs w:val="24"/>
              </w:rPr>
            </w:pPr>
          </w:p>
        </w:tc>
        <w:tc>
          <w:tcPr>
            <w:tcW w:w="1614" w:type="dxa"/>
            <w:gridSpan w:val="2"/>
            <w:tcBorders>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left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hint="eastAsia" w:ascii="宋体" w:hAnsi="宋体" w:eastAsia="宋体" w:cs="宋体"/>
                <w:b/>
                <w:kern w:val="2"/>
                <w:sz w:val="24"/>
                <w:szCs w:val="24"/>
              </w:rPr>
            </w:pPr>
          </w:p>
        </w:tc>
        <w:tc>
          <w:tcPr>
            <w:tcW w:w="1439" w:type="dxa"/>
            <w:tcBorders>
              <w:left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319" w:type="dxa"/>
            <w:tcBorders>
              <w:left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160" w:type="dxa"/>
            <w:tcBorders>
              <w:left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415" w:type="dxa"/>
            <w:tcBorders>
              <w:left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605" w:type="dxa"/>
            <w:gridSpan w:val="2"/>
            <w:tcBorders>
              <w:left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392" w:type="dxa"/>
            <w:gridSpan w:val="2"/>
            <w:tcBorders>
              <w:left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eastAsia" w:ascii="宋体" w:hAnsi="宋体" w:eastAsia="宋体" w:cs="宋体"/>
                <w:b/>
                <w:kern w:val="2"/>
                <w:sz w:val="24"/>
                <w:szCs w:val="24"/>
              </w:rPr>
            </w:pPr>
          </w:p>
        </w:tc>
        <w:tc>
          <w:tcPr>
            <w:tcW w:w="1439" w:type="dxa"/>
            <w:vAlign w:val="center"/>
          </w:tcPr>
          <w:p>
            <w:pPr>
              <w:spacing w:line="400" w:lineRule="exact"/>
              <w:rPr>
                <w:rFonts w:hint="eastAsia" w:ascii="宋体" w:hAnsi="宋体" w:eastAsia="宋体" w:cs="宋体"/>
                <w:b/>
                <w:kern w:val="2"/>
                <w:sz w:val="24"/>
                <w:szCs w:val="24"/>
              </w:rPr>
            </w:pPr>
          </w:p>
        </w:tc>
        <w:tc>
          <w:tcPr>
            <w:tcW w:w="1319" w:type="dxa"/>
            <w:vAlign w:val="center"/>
          </w:tcPr>
          <w:p>
            <w:pPr>
              <w:spacing w:line="400" w:lineRule="exact"/>
              <w:rPr>
                <w:rFonts w:hint="eastAsia" w:ascii="宋体" w:hAnsi="宋体" w:eastAsia="宋体" w:cs="宋体"/>
                <w:b/>
                <w:kern w:val="2"/>
                <w:sz w:val="24"/>
                <w:szCs w:val="24"/>
              </w:rPr>
            </w:pPr>
          </w:p>
        </w:tc>
        <w:tc>
          <w:tcPr>
            <w:tcW w:w="1160" w:type="dxa"/>
            <w:vAlign w:val="center"/>
          </w:tcPr>
          <w:p>
            <w:pPr>
              <w:spacing w:line="400" w:lineRule="exact"/>
              <w:rPr>
                <w:rFonts w:hint="eastAsia" w:ascii="宋体" w:hAnsi="宋体" w:eastAsia="宋体" w:cs="宋体"/>
                <w:b/>
                <w:kern w:val="2"/>
                <w:sz w:val="24"/>
                <w:szCs w:val="24"/>
              </w:rPr>
            </w:pPr>
          </w:p>
        </w:tc>
        <w:tc>
          <w:tcPr>
            <w:tcW w:w="1421" w:type="dxa"/>
            <w:gridSpan w:val="2"/>
            <w:tcBorders>
              <w:right w:val="single" w:color="auto" w:sz="4" w:space="0"/>
            </w:tcBorders>
            <w:vAlign w:val="center"/>
          </w:tcPr>
          <w:p>
            <w:pPr>
              <w:spacing w:line="400" w:lineRule="exact"/>
              <w:rPr>
                <w:rFonts w:hint="eastAsia" w:ascii="宋体" w:hAnsi="宋体" w:eastAsia="宋体" w:cs="宋体"/>
                <w:b/>
                <w:kern w:val="2"/>
                <w:sz w:val="24"/>
                <w:szCs w:val="24"/>
              </w:rPr>
            </w:pPr>
          </w:p>
        </w:tc>
        <w:tc>
          <w:tcPr>
            <w:tcW w:w="1614" w:type="dxa"/>
            <w:gridSpan w:val="2"/>
            <w:tcBorders>
              <w:left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left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eastAsia" w:ascii="宋体" w:hAnsi="宋体" w:eastAsia="宋体" w:cs="宋体"/>
                <w:b/>
                <w:kern w:val="2"/>
                <w:sz w:val="24"/>
                <w:szCs w:val="24"/>
              </w:rPr>
            </w:pPr>
          </w:p>
        </w:tc>
        <w:tc>
          <w:tcPr>
            <w:tcW w:w="1439" w:type="dxa"/>
            <w:vAlign w:val="center"/>
          </w:tcPr>
          <w:p>
            <w:pPr>
              <w:spacing w:line="400" w:lineRule="exact"/>
              <w:rPr>
                <w:rFonts w:hint="eastAsia" w:ascii="宋体" w:hAnsi="宋体" w:eastAsia="宋体" w:cs="宋体"/>
                <w:b/>
                <w:kern w:val="2"/>
                <w:sz w:val="24"/>
                <w:szCs w:val="24"/>
              </w:rPr>
            </w:pPr>
          </w:p>
        </w:tc>
        <w:tc>
          <w:tcPr>
            <w:tcW w:w="1319" w:type="dxa"/>
            <w:vAlign w:val="center"/>
          </w:tcPr>
          <w:p>
            <w:pPr>
              <w:spacing w:line="400" w:lineRule="exact"/>
              <w:rPr>
                <w:rFonts w:hint="eastAsia" w:ascii="宋体" w:hAnsi="宋体" w:eastAsia="宋体" w:cs="宋体"/>
                <w:b/>
                <w:kern w:val="2"/>
                <w:sz w:val="24"/>
                <w:szCs w:val="24"/>
              </w:rPr>
            </w:pPr>
          </w:p>
        </w:tc>
        <w:tc>
          <w:tcPr>
            <w:tcW w:w="1160" w:type="dxa"/>
            <w:vAlign w:val="center"/>
          </w:tcPr>
          <w:p>
            <w:pPr>
              <w:spacing w:line="400" w:lineRule="exact"/>
              <w:rPr>
                <w:rFonts w:hint="eastAsia" w:ascii="宋体" w:hAnsi="宋体" w:eastAsia="宋体" w:cs="宋体"/>
                <w:b/>
                <w:kern w:val="2"/>
                <w:sz w:val="24"/>
                <w:szCs w:val="24"/>
              </w:rPr>
            </w:pPr>
          </w:p>
        </w:tc>
        <w:tc>
          <w:tcPr>
            <w:tcW w:w="1421" w:type="dxa"/>
            <w:gridSpan w:val="2"/>
            <w:tcBorders>
              <w:right w:val="single" w:color="auto" w:sz="4" w:space="0"/>
            </w:tcBorders>
            <w:vAlign w:val="center"/>
          </w:tcPr>
          <w:p>
            <w:pPr>
              <w:spacing w:line="400" w:lineRule="exact"/>
              <w:rPr>
                <w:rFonts w:hint="eastAsia" w:ascii="宋体" w:hAnsi="宋体" w:eastAsia="宋体" w:cs="宋体"/>
                <w:b/>
                <w:kern w:val="2"/>
                <w:sz w:val="24"/>
                <w:szCs w:val="24"/>
              </w:rPr>
            </w:pPr>
          </w:p>
        </w:tc>
        <w:tc>
          <w:tcPr>
            <w:tcW w:w="1614" w:type="dxa"/>
            <w:gridSpan w:val="2"/>
            <w:tcBorders>
              <w:left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left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eastAsia" w:ascii="宋体" w:hAnsi="宋体" w:eastAsia="宋体" w:cs="宋体"/>
                <w:b/>
                <w:kern w:val="2"/>
                <w:sz w:val="24"/>
                <w:szCs w:val="24"/>
              </w:rPr>
            </w:pPr>
          </w:p>
        </w:tc>
        <w:tc>
          <w:tcPr>
            <w:tcW w:w="1439" w:type="dxa"/>
            <w:vAlign w:val="center"/>
          </w:tcPr>
          <w:p>
            <w:pPr>
              <w:spacing w:line="400" w:lineRule="exact"/>
              <w:rPr>
                <w:rFonts w:hint="eastAsia" w:ascii="宋体" w:hAnsi="宋体" w:eastAsia="宋体" w:cs="宋体"/>
                <w:b/>
                <w:kern w:val="2"/>
                <w:sz w:val="24"/>
                <w:szCs w:val="24"/>
              </w:rPr>
            </w:pPr>
          </w:p>
        </w:tc>
        <w:tc>
          <w:tcPr>
            <w:tcW w:w="1319" w:type="dxa"/>
            <w:vAlign w:val="center"/>
          </w:tcPr>
          <w:p>
            <w:pPr>
              <w:spacing w:line="400" w:lineRule="exact"/>
              <w:rPr>
                <w:rFonts w:hint="eastAsia" w:ascii="宋体" w:hAnsi="宋体" w:eastAsia="宋体" w:cs="宋体"/>
                <w:b/>
                <w:kern w:val="2"/>
                <w:sz w:val="24"/>
                <w:szCs w:val="24"/>
              </w:rPr>
            </w:pPr>
          </w:p>
        </w:tc>
        <w:tc>
          <w:tcPr>
            <w:tcW w:w="1160" w:type="dxa"/>
            <w:vAlign w:val="center"/>
          </w:tcPr>
          <w:p>
            <w:pPr>
              <w:spacing w:line="400" w:lineRule="exact"/>
              <w:rPr>
                <w:rFonts w:hint="eastAsia" w:ascii="宋体" w:hAnsi="宋体" w:eastAsia="宋体" w:cs="宋体"/>
                <w:b/>
                <w:kern w:val="2"/>
                <w:sz w:val="24"/>
                <w:szCs w:val="24"/>
              </w:rPr>
            </w:pPr>
          </w:p>
        </w:tc>
        <w:tc>
          <w:tcPr>
            <w:tcW w:w="1421" w:type="dxa"/>
            <w:gridSpan w:val="2"/>
            <w:tcBorders>
              <w:right w:val="single" w:color="auto" w:sz="4" w:space="0"/>
            </w:tcBorders>
            <w:vAlign w:val="center"/>
          </w:tcPr>
          <w:p>
            <w:pPr>
              <w:spacing w:line="400" w:lineRule="exact"/>
              <w:rPr>
                <w:rFonts w:hint="eastAsia" w:ascii="宋体" w:hAnsi="宋体" w:eastAsia="宋体" w:cs="宋体"/>
                <w:b/>
                <w:kern w:val="2"/>
                <w:sz w:val="24"/>
                <w:szCs w:val="24"/>
              </w:rPr>
            </w:pPr>
          </w:p>
        </w:tc>
        <w:tc>
          <w:tcPr>
            <w:tcW w:w="1614" w:type="dxa"/>
            <w:gridSpan w:val="2"/>
            <w:tcBorders>
              <w:left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left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rPr>
                <w:rFonts w:hint="eastAsia" w:ascii="宋体" w:hAnsi="宋体" w:eastAsia="宋体" w:cs="宋体"/>
                <w:b/>
                <w:kern w:val="2"/>
                <w:sz w:val="24"/>
                <w:szCs w:val="24"/>
              </w:rPr>
            </w:pPr>
          </w:p>
        </w:tc>
        <w:tc>
          <w:tcPr>
            <w:tcW w:w="1439" w:type="dxa"/>
            <w:tcBorders>
              <w:bottom w:val="single" w:color="auto" w:sz="4" w:space="0"/>
            </w:tcBorders>
            <w:vAlign w:val="center"/>
          </w:tcPr>
          <w:p>
            <w:pPr>
              <w:spacing w:line="400" w:lineRule="exact"/>
              <w:rPr>
                <w:rFonts w:hint="eastAsia" w:ascii="宋体" w:hAnsi="宋体" w:eastAsia="宋体" w:cs="宋体"/>
                <w:b/>
                <w:kern w:val="2"/>
                <w:sz w:val="24"/>
                <w:szCs w:val="24"/>
              </w:rPr>
            </w:pPr>
          </w:p>
        </w:tc>
        <w:tc>
          <w:tcPr>
            <w:tcW w:w="1319" w:type="dxa"/>
            <w:tcBorders>
              <w:bottom w:val="single" w:color="auto" w:sz="4" w:space="0"/>
            </w:tcBorders>
            <w:vAlign w:val="center"/>
          </w:tcPr>
          <w:p>
            <w:pPr>
              <w:spacing w:line="400" w:lineRule="exact"/>
              <w:rPr>
                <w:rFonts w:hint="eastAsia" w:ascii="宋体" w:hAnsi="宋体" w:eastAsia="宋体" w:cs="宋体"/>
                <w:b/>
                <w:kern w:val="2"/>
                <w:sz w:val="24"/>
                <w:szCs w:val="24"/>
              </w:rPr>
            </w:pPr>
          </w:p>
        </w:tc>
        <w:tc>
          <w:tcPr>
            <w:tcW w:w="1160" w:type="dxa"/>
            <w:tcBorders>
              <w:bottom w:val="single" w:color="auto" w:sz="4" w:space="0"/>
            </w:tcBorders>
            <w:vAlign w:val="center"/>
          </w:tcPr>
          <w:p>
            <w:pPr>
              <w:spacing w:line="400" w:lineRule="exact"/>
              <w:rPr>
                <w:rFonts w:hint="eastAsia" w:ascii="宋体" w:hAnsi="宋体" w:eastAsia="宋体" w:cs="宋体"/>
                <w:b/>
                <w:kern w:val="2"/>
                <w:sz w:val="24"/>
                <w:szCs w:val="24"/>
              </w:rPr>
            </w:pPr>
          </w:p>
        </w:tc>
        <w:tc>
          <w:tcPr>
            <w:tcW w:w="1421" w:type="dxa"/>
            <w:gridSpan w:val="2"/>
            <w:tcBorders>
              <w:bottom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left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439"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319"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160"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439"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319"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160"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439"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319"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160"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439"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319"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160" w:type="dxa"/>
            <w:tcBorders>
              <w:top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kern w:val="2"/>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b/>
                <w:kern w:val="2"/>
                <w:sz w:val="24"/>
                <w:szCs w:val="24"/>
              </w:rPr>
            </w:pPr>
          </w:p>
        </w:tc>
      </w:tr>
    </w:tbl>
    <w:p>
      <w:pPr>
        <w:spacing w:line="360" w:lineRule="auto"/>
        <w:ind w:firstLine="480" w:firstLineChars="200"/>
        <w:rPr>
          <w:rFonts w:hint="eastAsia" w:ascii="宋体" w:hAnsi="宋体" w:eastAsia="宋体" w:cs="宋体"/>
          <w:kern w:val="2"/>
          <w:sz w:val="24"/>
          <w:szCs w:val="24"/>
        </w:rPr>
      </w:pP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注：以上项目业绩需提供磋商文件要求的有关书面证明材料。</w:t>
      </w:r>
    </w:p>
    <w:p>
      <w:pPr>
        <w:spacing w:line="360" w:lineRule="auto"/>
        <w:ind w:firstLine="480" w:firstLineChars="200"/>
        <w:rPr>
          <w:rFonts w:hint="eastAsia" w:ascii="宋体" w:hAnsi="宋体" w:eastAsia="宋体" w:cs="宋体"/>
          <w:kern w:val="2"/>
          <w:sz w:val="24"/>
          <w:szCs w:val="24"/>
        </w:rPr>
      </w:pPr>
    </w:p>
    <w:p>
      <w:pPr>
        <w:spacing w:line="360" w:lineRule="auto"/>
        <w:ind w:firstLine="480" w:firstLineChars="200"/>
        <w:rPr>
          <w:rFonts w:hint="eastAsia" w:ascii="宋体" w:hAnsi="宋体" w:eastAsia="宋体" w:cs="宋体"/>
          <w:kern w:val="2"/>
          <w:sz w:val="24"/>
          <w:szCs w:val="24"/>
        </w:rPr>
      </w:pP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供应商名称：XXXX（盖单位公章）</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法定代表人/单位负责人或授权代表（签字或加盖个人印章）：XXXX</w:t>
      </w:r>
    </w:p>
    <w:p>
      <w:pPr>
        <w:spacing w:line="360" w:lineRule="auto"/>
        <w:ind w:firstLine="480" w:firstLineChars="200"/>
        <w:rPr>
          <w:rFonts w:hint="eastAsia" w:ascii="宋体" w:hAnsi="宋体" w:eastAsia="宋体" w:cs="宋体"/>
          <w:b/>
          <w:sz w:val="32"/>
          <w:szCs w:val="32"/>
        </w:rPr>
      </w:pPr>
      <w:r>
        <w:rPr>
          <w:rFonts w:hint="eastAsia" w:ascii="宋体" w:hAnsi="宋体" w:eastAsia="宋体" w:cs="宋体"/>
          <w:kern w:val="2"/>
          <w:sz w:val="24"/>
          <w:szCs w:val="24"/>
        </w:rPr>
        <w:t>日期: XXXX</w:t>
      </w:r>
      <w:r>
        <w:rPr>
          <w:rFonts w:hint="eastAsia" w:ascii="宋体" w:hAnsi="宋体" w:eastAsia="宋体" w:cs="宋体"/>
          <w:b/>
          <w:sz w:val="32"/>
          <w:szCs w:val="32"/>
        </w:rPr>
        <w:br w:type="page"/>
      </w:r>
    </w:p>
    <w:p>
      <w:pPr>
        <w:ind w:firstLine="562"/>
        <w:rPr>
          <w:rFonts w:hint="eastAsia" w:ascii="宋体" w:hAnsi="宋体" w:eastAsia="宋体" w:cs="宋体"/>
          <w:b/>
          <w:sz w:val="28"/>
          <w:szCs w:val="28"/>
        </w:rPr>
      </w:pPr>
      <w:r>
        <w:rPr>
          <w:rFonts w:hint="eastAsia" w:ascii="宋体" w:hAnsi="宋体" w:eastAsia="宋体" w:cs="宋体"/>
          <w:b/>
          <w:sz w:val="28"/>
          <w:szCs w:val="28"/>
        </w:rPr>
        <w:t>格式2-11</w:t>
      </w:r>
    </w:p>
    <w:p>
      <w:pPr>
        <w:spacing w:line="360" w:lineRule="auto"/>
        <w:ind w:firstLine="643" w:firstLineChars="200"/>
        <w:jc w:val="center"/>
        <w:rPr>
          <w:rFonts w:hint="eastAsia" w:ascii="宋体" w:hAnsi="宋体" w:eastAsia="宋体" w:cs="宋体"/>
          <w:b/>
          <w:bCs/>
          <w:kern w:val="2"/>
          <w:sz w:val="32"/>
          <w:szCs w:val="32"/>
        </w:rPr>
      </w:pPr>
    </w:p>
    <w:p>
      <w:pPr>
        <w:spacing w:line="360" w:lineRule="auto"/>
        <w:ind w:firstLine="643" w:firstLineChars="20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十、供应商本项目管理、技术、服务人员情况表</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采购编号：</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类别</w:t>
            </w:r>
          </w:p>
        </w:tc>
        <w:tc>
          <w:tcPr>
            <w:tcW w:w="947" w:type="dxa"/>
            <w:vMerge w:val="restart"/>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职务</w:t>
            </w:r>
          </w:p>
        </w:tc>
        <w:tc>
          <w:tcPr>
            <w:tcW w:w="947" w:type="dxa"/>
            <w:vMerge w:val="restart"/>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姓名</w:t>
            </w:r>
          </w:p>
        </w:tc>
        <w:tc>
          <w:tcPr>
            <w:tcW w:w="947" w:type="dxa"/>
            <w:vMerge w:val="restart"/>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职称</w:t>
            </w:r>
          </w:p>
        </w:tc>
        <w:tc>
          <w:tcPr>
            <w:tcW w:w="947" w:type="dxa"/>
            <w:vMerge w:val="restart"/>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常住地</w:t>
            </w:r>
          </w:p>
        </w:tc>
        <w:tc>
          <w:tcPr>
            <w:tcW w:w="3788" w:type="dxa"/>
            <w:gridSpan w:val="4"/>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spacing w:line="360" w:lineRule="auto"/>
              <w:jc w:val="center"/>
              <w:rPr>
                <w:rFonts w:hint="eastAsia" w:ascii="宋体" w:hAnsi="宋体" w:eastAsia="宋体" w:cs="宋体"/>
                <w:kern w:val="2"/>
                <w:sz w:val="24"/>
                <w:szCs w:val="24"/>
              </w:rPr>
            </w:pPr>
          </w:p>
        </w:tc>
        <w:tc>
          <w:tcPr>
            <w:tcW w:w="947" w:type="dxa"/>
            <w:vMerge w:val="continue"/>
            <w:vAlign w:val="center"/>
          </w:tcPr>
          <w:p>
            <w:pPr>
              <w:spacing w:line="360" w:lineRule="auto"/>
              <w:jc w:val="center"/>
              <w:rPr>
                <w:rFonts w:hint="eastAsia" w:ascii="宋体" w:hAnsi="宋体" w:eastAsia="宋体" w:cs="宋体"/>
                <w:kern w:val="2"/>
                <w:sz w:val="24"/>
                <w:szCs w:val="24"/>
              </w:rPr>
            </w:pPr>
          </w:p>
        </w:tc>
        <w:tc>
          <w:tcPr>
            <w:tcW w:w="947" w:type="dxa"/>
            <w:vMerge w:val="continue"/>
            <w:vAlign w:val="center"/>
          </w:tcPr>
          <w:p>
            <w:pPr>
              <w:spacing w:line="360" w:lineRule="auto"/>
              <w:jc w:val="center"/>
              <w:rPr>
                <w:rFonts w:hint="eastAsia" w:ascii="宋体" w:hAnsi="宋体" w:eastAsia="宋体" w:cs="宋体"/>
                <w:kern w:val="2"/>
                <w:sz w:val="24"/>
                <w:szCs w:val="24"/>
              </w:rPr>
            </w:pPr>
          </w:p>
        </w:tc>
        <w:tc>
          <w:tcPr>
            <w:tcW w:w="947" w:type="dxa"/>
            <w:vMerge w:val="continue"/>
            <w:vAlign w:val="center"/>
          </w:tcPr>
          <w:p>
            <w:pPr>
              <w:spacing w:line="360" w:lineRule="auto"/>
              <w:jc w:val="center"/>
              <w:rPr>
                <w:rFonts w:hint="eastAsia" w:ascii="宋体" w:hAnsi="宋体" w:eastAsia="宋体" w:cs="宋体"/>
                <w:kern w:val="2"/>
                <w:sz w:val="24"/>
                <w:szCs w:val="24"/>
              </w:rPr>
            </w:pPr>
          </w:p>
        </w:tc>
        <w:tc>
          <w:tcPr>
            <w:tcW w:w="947" w:type="dxa"/>
            <w:vMerge w:val="continue"/>
            <w:vAlign w:val="center"/>
          </w:tcPr>
          <w:p>
            <w:pPr>
              <w:spacing w:line="360" w:lineRule="auto"/>
              <w:jc w:val="center"/>
              <w:rPr>
                <w:rFonts w:hint="eastAsia" w:ascii="宋体" w:hAnsi="宋体" w:eastAsia="宋体" w:cs="宋体"/>
                <w:kern w:val="2"/>
                <w:sz w:val="24"/>
                <w:szCs w:val="24"/>
              </w:rPr>
            </w:pPr>
          </w:p>
        </w:tc>
        <w:tc>
          <w:tcPr>
            <w:tcW w:w="947" w:type="dxa"/>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证书</w:t>
            </w:r>
          </w:p>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名称</w:t>
            </w:r>
          </w:p>
        </w:tc>
        <w:tc>
          <w:tcPr>
            <w:tcW w:w="947" w:type="dxa"/>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级别</w:t>
            </w:r>
          </w:p>
        </w:tc>
        <w:tc>
          <w:tcPr>
            <w:tcW w:w="947" w:type="dxa"/>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证号</w:t>
            </w:r>
          </w:p>
        </w:tc>
        <w:tc>
          <w:tcPr>
            <w:tcW w:w="947" w:type="dxa"/>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管理</w:t>
            </w:r>
          </w:p>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人员</w:t>
            </w: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技术</w:t>
            </w:r>
          </w:p>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人员</w:t>
            </w: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售后服务人员</w:t>
            </w: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c>
          <w:tcPr>
            <w:tcW w:w="947" w:type="dxa"/>
          </w:tcPr>
          <w:p>
            <w:pPr>
              <w:spacing w:line="360" w:lineRule="auto"/>
              <w:jc w:val="center"/>
              <w:rPr>
                <w:rFonts w:hint="eastAsia" w:ascii="宋体" w:hAnsi="宋体" w:eastAsia="宋体" w:cs="宋体"/>
                <w:kern w:val="2"/>
                <w:sz w:val="24"/>
                <w:szCs w:val="24"/>
              </w:rPr>
            </w:pPr>
          </w:p>
        </w:tc>
      </w:tr>
    </w:tbl>
    <w:p>
      <w:pPr>
        <w:widowControl/>
        <w:ind w:firstLine="480"/>
        <w:jc w:val="left"/>
        <w:rPr>
          <w:rFonts w:hint="eastAsia" w:ascii="宋体" w:hAnsi="宋体" w:eastAsia="宋体" w:cs="宋体"/>
        </w:rPr>
      </w:pPr>
    </w:p>
    <w:p>
      <w:pPr>
        <w:widowControl/>
        <w:ind w:firstLine="480"/>
        <w:jc w:val="left"/>
        <w:rPr>
          <w:rFonts w:hint="eastAsia" w:ascii="宋体" w:hAnsi="宋体" w:eastAsia="宋体" w:cs="宋体"/>
        </w:rPr>
      </w:pP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注：1、投标人根据自身实际情况填写，若无涉及可不填写此项或“/”。 </w:t>
      </w:r>
      <w:r>
        <w:rPr>
          <w:rFonts w:hint="eastAsia" w:ascii="宋体" w:hAnsi="宋体" w:eastAsia="宋体" w:cs="宋体"/>
          <w:sz w:val="24"/>
          <w:szCs w:val="24"/>
        </w:rPr>
        <w:br w:type="textWrapping"/>
      </w:r>
      <w:r>
        <w:rPr>
          <w:rFonts w:hint="eastAsia" w:ascii="宋体" w:hAnsi="宋体" w:eastAsia="宋体" w:cs="宋体"/>
          <w:sz w:val="24"/>
          <w:szCs w:val="24"/>
        </w:rPr>
        <w:t xml:space="preserve">  2、以上表格格式行、列可增减。 </w:t>
      </w: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供应商名称：XXX（盖单位公章）</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法定代表人或授权代表（签字）：XXX</w:t>
      </w:r>
    </w:p>
    <w:p>
      <w:pPr>
        <w:widowControl/>
        <w:spacing w:line="360" w:lineRule="auto"/>
        <w:ind w:firstLine="480" w:firstLineChars="200"/>
        <w:jc w:val="left"/>
        <w:rPr>
          <w:rFonts w:hint="eastAsia" w:ascii="宋体" w:hAnsi="宋体" w:eastAsia="宋体" w:cs="宋体"/>
          <w:b/>
          <w:sz w:val="28"/>
          <w:szCs w:val="28"/>
        </w:rPr>
      </w:pPr>
      <w:r>
        <w:rPr>
          <w:rFonts w:hint="eastAsia" w:ascii="宋体" w:hAnsi="宋体" w:eastAsia="宋体" w:cs="宋体"/>
          <w:sz w:val="24"/>
          <w:szCs w:val="24"/>
        </w:rPr>
        <w:t>日      期：XXX</w:t>
      </w:r>
      <w:bookmarkEnd w:id="97"/>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spacing w:line="360" w:lineRule="auto"/>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十</w:t>
      </w: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、服务方案</w:t>
      </w:r>
    </w:p>
    <w:p>
      <w:pPr>
        <w:spacing w:line="360" w:lineRule="auto"/>
        <w:ind w:firstLine="482" w:firstLineChars="20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(仅作为评委评审打分时的依据，不作为响应无效处理)</w:t>
      </w:r>
    </w:p>
    <w:p>
      <w:pPr>
        <w:pStyle w:val="13"/>
        <w:ind w:left="680" w:firstLine="400" w:firstLineChars="200"/>
        <w:rPr>
          <w:rFonts w:hint="eastAsia" w:ascii="宋体" w:hAnsi="宋体" w:eastAsia="宋体" w:cs="宋体"/>
          <w:sz w:val="20"/>
          <w:szCs w:val="24"/>
        </w:rPr>
      </w:pPr>
      <w:r>
        <w:rPr>
          <w:rFonts w:hint="eastAsia" w:ascii="宋体" w:hAnsi="宋体" w:eastAsia="宋体" w:cs="宋体"/>
          <w:sz w:val="20"/>
          <w:szCs w:val="24"/>
        </w:rPr>
        <w:t>供应商应根据评分细则要求内容自行编制。</w:t>
      </w:r>
    </w:p>
    <w:p>
      <w:pPr>
        <w:pStyle w:val="13"/>
        <w:ind w:left="680" w:firstLine="400"/>
        <w:rPr>
          <w:rFonts w:hint="eastAsia" w:ascii="宋体" w:hAnsi="宋体" w:eastAsia="宋体" w:cs="宋体"/>
          <w:bCs/>
        </w:rPr>
      </w:pPr>
      <w:r>
        <w:rPr>
          <w:rFonts w:hint="eastAsia" w:ascii="宋体" w:hAnsi="宋体" w:eastAsia="宋体" w:cs="宋体"/>
        </w:rPr>
        <w:br w:type="page"/>
      </w:r>
      <w:r>
        <w:rPr>
          <w:rFonts w:hint="eastAsia" w:ascii="宋体" w:hAnsi="宋体" w:eastAsia="宋体" w:cs="宋体"/>
        </w:rPr>
        <w:t xml:space="preserve">               </w:t>
      </w:r>
      <w:r>
        <w:rPr>
          <w:rFonts w:hint="eastAsia" w:ascii="宋体" w:hAnsi="宋体" w:eastAsia="宋体" w:cs="宋体"/>
          <w:b/>
          <w:bCs/>
          <w:sz w:val="32"/>
          <w:szCs w:val="32"/>
        </w:rPr>
        <w:t>十</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、其他资料内容</w:t>
      </w:r>
    </w:p>
    <w:p>
      <w:pPr>
        <w:ind w:firstLine="480"/>
        <w:jc w:val="center"/>
        <w:outlineLvl w:val="1"/>
        <w:rPr>
          <w:rFonts w:hint="eastAsia" w:ascii="宋体" w:hAnsi="宋体" w:eastAsia="宋体" w:cs="宋体"/>
          <w:b/>
          <w:sz w:val="32"/>
          <w:szCs w:val="32"/>
        </w:rPr>
      </w:pPr>
      <w:r>
        <w:rPr>
          <w:rFonts w:hint="eastAsia" w:ascii="宋体" w:hAnsi="宋体" w:eastAsia="宋体" w:cs="宋体"/>
        </w:rPr>
        <w:br w:type="page"/>
      </w:r>
      <w:bookmarkStart w:id="98" w:name="_Toc509579147"/>
      <w:bookmarkStart w:id="99" w:name="_Toc511289487"/>
      <w:r>
        <w:rPr>
          <w:rFonts w:hint="eastAsia" w:ascii="宋体" w:hAnsi="宋体" w:eastAsia="宋体" w:cs="宋体"/>
          <w:b/>
          <w:kern w:val="2"/>
          <w:sz w:val="32"/>
          <w:szCs w:val="32"/>
        </w:rPr>
        <w:t>十四、知识产权声明函</w:t>
      </w:r>
    </w:p>
    <w:p>
      <w:pPr>
        <w:spacing w:line="480" w:lineRule="auto"/>
        <w:ind w:firstLine="566" w:firstLineChars="236"/>
        <w:rPr>
          <w:rFonts w:hint="eastAsia" w:ascii="宋体" w:hAnsi="宋体" w:eastAsia="宋体" w:cs="宋体"/>
          <w:kern w:val="2"/>
          <w:sz w:val="24"/>
          <w:szCs w:val="24"/>
        </w:rPr>
      </w:pPr>
    </w:p>
    <w:p>
      <w:pPr>
        <w:spacing w:line="480" w:lineRule="auto"/>
        <w:ind w:firstLine="566" w:firstLineChars="236"/>
        <w:rPr>
          <w:rFonts w:hint="eastAsia" w:ascii="宋体" w:hAnsi="宋体" w:eastAsia="宋体" w:cs="宋体"/>
          <w:kern w:val="2"/>
          <w:sz w:val="24"/>
          <w:szCs w:val="24"/>
        </w:rPr>
      </w:pPr>
      <w:r>
        <w:rPr>
          <w:rFonts w:hint="eastAsia" w:ascii="宋体" w:hAnsi="宋体" w:eastAsia="宋体" w:cs="宋体"/>
          <w:kern w:val="2"/>
          <w:sz w:val="24"/>
          <w:szCs w:val="24"/>
        </w:rPr>
        <w:t>根据《商标法》、《专利法》、《著作权法》和《反不正当竞争法》等法律法规文件的相关规定，本公司郑重声明：</w:t>
      </w:r>
    </w:p>
    <w:p>
      <w:pPr>
        <w:spacing w:line="480" w:lineRule="auto"/>
        <w:ind w:firstLine="566" w:firstLineChars="236"/>
        <w:rPr>
          <w:rFonts w:hint="eastAsia" w:ascii="宋体" w:hAnsi="宋体" w:eastAsia="宋体" w:cs="宋体"/>
          <w:kern w:val="2"/>
          <w:sz w:val="24"/>
          <w:szCs w:val="24"/>
        </w:rPr>
      </w:pPr>
      <w:r>
        <w:rPr>
          <w:rFonts w:hint="eastAsia" w:ascii="宋体" w:hAnsi="宋体" w:eastAsia="宋体" w:cs="宋体"/>
          <w:kern w:val="2"/>
          <w:sz w:val="24"/>
          <w:szCs w:val="24"/>
        </w:rPr>
        <w:t>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w:t>
      </w:r>
    </w:p>
    <w:p>
      <w:pPr>
        <w:spacing w:line="480" w:lineRule="auto"/>
        <w:ind w:firstLine="566" w:firstLineChars="236"/>
        <w:rPr>
          <w:rFonts w:hint="eastAsia" w:ascii="宋体" w:hAnsi="宋体" w:eastAsia="宋体" w:cs="宋体"/>
          <w:kern w:val="2"/>
          <w:sz w:val="24"/>
          <w:szCs w:val="24"/>
        </w:rPr>
      </w:pPr>
      <w:r>
        <w:rPr>
          <w:rFonts w:hint="eastAsia" w:ascii="宋体" w:hAnsi="宋体" w:eastAsia="宋体" w:cs="宋体"/>
          <w:kern w:val="2"/>
          <w:sz w:val="24"/>
          <w:szCs w:val="24"/>
        </w:rPr>
        <w:t>二、采购人享有本项目实施过程中产生的知识成果及知识产权。</w:t>
      </w:r>
    </w:p>
    <w:p>
      <w:pPr>
        <w:spacing w:line="480" w:lineRule="auto"/>
        <w:ind w:firstLine="566" w:firstLineChars="236"/>
        <w:rPr>
          <w:rFonts w:hint="eastAsia" w:ascii="宋体" w:hAnsi="宋体" w:eastAsia="宋体" w:cs="宋体"/>
          <w:kern w:val="2"/>
          <w:sz w:val="24"/>
          <w:szCs w:val="24"/>
        </w:rPr>
      </w:pPr>
      <w:r>
        <w:rPr>
          <w:rFonts w:hint="eastAsia" w:ascii="宋体" w:hAnsi="宋体" w:eastAsia="宋体" w:cs="宋体"/>
          <w:kern w:val="2"/>
          <w:sz w:val="24"/>
          <w:szCs w:val="24"/>
        </w:rPr>
        <w:t>三、我司若在项目实施过程中采用自有知识成果，则会在磋商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w:t>
      </w:r>
    </w:p>
    <w:p>
      <w:pPr>
        <w:spacing w:line="480" w:lineRule="auto"/>
        <w:ind w:firstLine="566" w:firstLineChars="236"/>
        <w:rPr>
          <w:rFonts w:hint="eastAsia" w:ascii="宋体" w:hAnsi="宋体" w:eastAsia="宋体" w:cs="宋体"/>
          <w:kern w:val="2"/>
          <w:sz w:val="24"/>
          <w:szCs w:val="24"/>
        </w:rPr>
      </w:pPr>
      <w:r>
        <w:rPr>
          <w:rFonts w:hint="eastAsia" w:ascii="宋体" w:hAnsi="宋体" w:eastAsia="宋体" w:cs="宋体"/>
          <w:kern w:val="2"/>
          <w:sz w:val="24"/>
          <w:szCs w:val="24"/>
        </w:rPr>
        <w:t>四、如我司采用了非我司的知识产权，则投标报价中已包括合法获取该知识产权的相关费用。</w:t>
      </w:r>
    </w:p>
    <w:p>
      <w:pPr>
        <w:spacing w:line="480" w:lineRule="auto"/>
        <w:ind w:firstLine="566" w:firstLineChars="236"/>
        <w:rPr>
          <w:rFonts w:hint="eastAsia" w:ascii="宋体" w:hAnsi="宋体" w:eastAsia="宋体" w:cs="宋体"/>
          <w:kern w:val="2"/>
          <w:sz w:val="24"/>
          <w:szCs w:val="24"/>
        </w:rPr>
      </w:pPr>
      <w:r>
        <w:rPr>
          <w:rFonts w:hint="eastAsia" w:ascii="宋体" w:hAnsi="宋体" w:eastAsia="宋体" w:cs="宋体"/>
          <w:kern w:val="2"/>
          <w:sz w:val="24"/>
          <w:szCs w:val="24"/>
        </w:rPr>
        <w:t>本公司对上述声明的真实性负责。如有虚假，将按照提供虚假投标材料处理。</w:t>
      </w:r>
    </w:p>
    <w:p>
      <w:pPr>
        <w:spacing w:line="480" w:lineRule="auto"/>
        <w:ind w:firstLine="566" w:firstLineChars="236"/>
        <w:rPr>
          <w:rFonts w:hint="eastAsia" w:ascii="宋体" w:hAnsi="宋体" w:eastAsia="宋体" w:cs="宋体"/>
          <w:kern w:val="2"/>
          <w:sz w:val="24"/>
          <w:szCs w:val="24"/>
        </w:rPr>
      </w:pPr>
    </w:p>
    <w:p>
      <w:pPr>
        <w:spacing w:line="480" w:lineRule="auto"/>
        <w:ind w:firstLine="566" w:firstLineChars="236"/>
        <w:rPr>
          <w:rFonts w:hint="eastAsia" w:ascii="宋体" w:hAnsi="宋体" w:eastAsia="宋体" w:cs="宋体"/>
          <w:kern w:val="2"/>
          <w:sz w:val="24"/>
          <w:szCs w:val="24"/>
        </w:rPr>
      </w:pPr>
      <w:r>
        <w:rPr>
          <w:rFonts w:hint="eastAsia" w:ascii="宋体" w:hAnsi="宋体" w:eastAsia="宋体" w:cs="宋体"/>
          <w:kern w:val="2"/>
          <w:sz w:val="24"/>
          <w:szCs w:val="24"/>
        </w:rPr>
        <w:t>投标人名称：            （加盖公章)</w:t>
      </w:r>
    </w:p>
    <w:p>
      <w:pPr>
        <w:spacing w:line="480" w:lineRule="auto"/>
        <w:ind w:firstLine="566" w:firstLineChars="236"/>
        <w:rPr>
          <w:rFonts w:hint="eastAsia" w:ascii="宋体" w:hAnsi="宋体" w:eastAsia="宋体" w:cs="宋体"/>
          <w:kern w:val="2"/>
          <w:sz w:val="24"/>
          <w:szCs w:val="24"/>
        </w:rPr>
      </w:pPr>
      <w:r>
        <w:rPr>
          <w:rFonts w:hint="eastAsia" w:ascii="宋体" w:hAnsi="宋体" w:eastAsia="宋体" w:cs="宋体"/>
          <w:kern w:val="2"/>
          <w:sz w:val="24"/>
          <w:szCs w:val="24"/>
        </w:rPr>
        <w:t>日  期：      年   月   日</w:t>
      </w:r>
    </w:p>
    <w:p>
      <w:pPr>
        <w:spacing w:line="480" w:lineRule="auto"/>
        <w:ind w:firstLine="566" w:firstLineChars="236"/>
        <w:rPr>
          <w:rFonts w:hint="eastAsia" w:ascii="宋体" w:hAnsi="宋体" w:eastAsia="宋体" w:cs="宋体"/>
          <w:kern w:val="2"/>
          <w:sz w:val="24"/>
          <w:szCs w:val="24"/>
        </w:rPr>
      </w:pPr>
    </w:p>
    <w:p>
      <w:pPr>
        <w:pStyle w:val="20"/>
        <w:ind w:firstLine="643"/>
        <w:rPr>
          <w:rFonts w:hint="eastAsia" w:ascii="宋体" w:hAnsi="宋体" w:eastAsia="宋体" w:cs="宋体"/>
        </w:rPr>
      </w:pPr>
    </w:p>
    <w:p>
      <w:pPr>
        <w:pStyle w:val="20"/>
        <w:ind w:firstLine="643"/>
        <w:rPr>
          <w:rFonts w:hint="eastAsia" w:ascii="宋体" w:hAnsi="宋体" w:eastAsia="宋体" w:cs="宋体"/>
        </w:rPr>
      </w:pPr>
    </w:p>
    <w:p>
      <w:pPr>
        <w:pStyle w:val="2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第八章  评审方法</w:t>
      </w:r>
      <w:bookmarkEnd w:id="98"/>
      <w:bookmarkEnd w:id="99"/>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1.总则</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磋商工作由采购代理机构负责组织，具体磋商由采购代理机构依法组建的磋商小组负责。</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（二）审查供应商响应文件是否满足磋商文件要求，并作出公正评价；</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（五）起草评审报告并进行签署；</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（六）向采购人/采购代理机构、财政部门或者其他监督部门报告非法干预评审工作的行为；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（七）法律、法规和规章规定的其他职责。</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Pr>
      </w:pP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2.磋商程序</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2.1审查磋商文件和停止评审。</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 本磋商文件有下列情形之一的，磋商小组应当停止评审：</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（1）磋商文件的规定存在歧义、重大缺陷的；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（2）磋商文件明显以不合理条件对供应商实行差别待遇或者歧视待遇的；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（4）采购项目属于政府采购促进中小企业发展的范围，但是磋商文件未依法体现促进中小企业发展相关规定的；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（5）磋商文件将供应商的资格条件列为评分因素的；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（6）磋商文件载明的成交原则不合法的；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（7）磋商文件有违反国家其他有关强制性规定的情形。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 出现本条2.1.2规定应当停止评审情形的，磋商小组应当向采购组织单位书面书面说明情况。除本条规定的情形外，磋商小组不得以任何方式和理由停止评审。</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2.2资格性审查。</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 通过资格性审查的供应商不足3家的（本章2.3.1的情况除外），终止本次采购活动，并发布终止采购活动公告。</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2.3.1</w:t>
      </w:r>
      <w:r>
        <w:rPr>
          <w:rFonts w:hint="eastAsia" w:ascii="宋体" w:hAnsi="宋体" w:eastAsia="宋体" w:cs="宋体"/>
          <w:sz w:val="24"/>
          <w:szCs w:val="24"/>
          <w:lang w:val="zh-CN" w:eastAsia="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2.4磋商。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2.4.2每轮磋商开始前，磋商小组应根据磋商文件的规定，并结合各供应商的响应文件拟定磋商内容。</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2.4.4对磋商文件作出的实质性变动是磋商文件的有效组成部分，磋商小组应当及时以书面形式同时通知所有参加磋商的供应商。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2.4.6磋商过程中，磋商的任何一方不得透露与磋商有关的其他供应商的技术资料、价格和其他信息。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2.4.7磋商过程中，磋商小组发现或者知晓供应商存在违法、违纪行为的，磋商小组应当将该供应商响应文件作无效处理，不允许其提交最后报价。</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2.4.8磋商完成后，磋商小组应出具磋商情况记录表，磋商情况记录表需包含磋商内容、磋商意见、实质性变动内容等。</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2.5最后报价</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2.5.4磋商文件能够详细列明采购标的的技术、服务要求的，磋商结束后，磋商小组应当要求所有实质性响应的供应商在规定时间内提交最后报价，提交最后报价的供应商不得少于3家（本章2.3.1和2.5.5的情况除外）。或磋商文件不能详细列明采购标的的技术、服务要求，需经磋商由供应商提供最终设计方案或解决方案的，磋商结束后，磋商小组应当按照少数服从多数的原则投票推荐3家以上（本章2.3.1和2.5.5的情况除外）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2.5.5符合</w:t>
      </w:r>
      <w:bookmarkStart w:id="100" w:name="_Toc30986"/>
      <w:r>
        <w:rPr>
          <w:rFonts w:hint="eastAsia" w:ascii="宋体" w:hAnsi="宋体" w:eastAsia="宋体" w:cs="宋体"/>
          <w:sz w:val="24"/>
          <w:szCs w:val="24"/>
          <w:lang w:val="en-US" w:eastAsia="zh-CN"/>
        </w:rPr>
        <w:t>《政府采购竞争性磋商采购方式管理暂行办法财库》〔2014〕214号</w:t>
      </w:r>
      <w:bookmarkEnd w:id="100"/>
      <w:r>
        <w:rPr>
          <w:rFonts w:hint="eastAsia" w:ascii="宋体" w:hAnsi="宋体" w:eastAsia="宋体" w:cs="宋体"/>
          <w:sz w:val="24"/>
          <w:szCs w:val="24"/>
          <w:lang w:val="en-US" w:eastAsia="zh-CN"/>
        </w:rPr>
        <w:t>第三条第四项情形的，提交最后报价的供应商可以为2家。</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宋体" w:hAnsi="宋体" w:eastAsia="宋体" w:cs="宋体"/>
          <w:sz w:val="24"/>
          <w:szCs w:val="24"/>
          <w:lang w:val="zh-CN" w:eastAsia="zh-CN"/>
        </w:rPr>
        <w:t>磋商小组认为供应商最后报价明显低于成本价，在磋商小组发出质询函后供应商未能提供合理的成本分析和价格构成的或对质函询的解释未被磋商小组采信的，应按照无效响应文件处理。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2.6比较与评价。由磋商小组采用综合评分法对提交最后报价的供应商的响应文件和最后报价进行综合评分，具体要求详见本章综合评分部分。</w:t>
      </w:r>
    </w:p>
    <w:p>
      <w:pPr>
        <w:pageBreakBefore w:val="0"/>
        <w:kinsoku/>
        <w:wordWrap/>
        <w:overflowPunct/>
        <w:topLinePunct w:val="0"/>
        <w:bidi w:val="0"/>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lang w:val="en-US" w:eastAsia="zh-CN"/>
        </w:rPr>
        <w:t>2.7</w:t>
      </w:r>
      <w:r>
        <w:rPr>
          <w:rFonts w:hint="eastAsia" w:ascii="宋体" w:hAnsi="宋体" w:eastAsia="宋体" w:cs="宋体"/>
          <w:color w:val="000000" w:themeColor="text1"/>
          <w:sz w:val="24"/>
          <w:szCs w:val="24"/>
          <w:highlight w:val="none"/>
          <w14:textFill>
            <w14:solidFill>
              <w14:schemeClr w14:val="tx1"/>
            </w14:solidFill>
          </w14:textFill>
        </w:rPr>
        <w:t>2.7推荐成交候选供应商。磋商小组应当根据综合评分情况，按照评审得分由高到低顺序推荐3家以上（本章2.3.1和2.5.2的情况除外）成交候选供应商，并编写磋商报告。得分相同的，优先选择不发达地区和少数民族地区</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投标人（不发达地区或少数民族地区的供应商需提供属于不发达地区或少数民族地区企业的相关证明材料，或供应商注册地为少数民族地区。）</w:t>
      </w:r>
      <w:r>
        <w:rPr>
          <w:rFonts w:hint="eastAsia" w:ascii="宋体" w:hAnsi="宋体" w:eastAsia="宋体" w:cs="宋体"/>
          <w:color w:val="000000" w:themeColor="text1"/>
          <w:sz w:val="24"/>
          <w:szCs w:val="24"/>
          <w:highlight w:val="none"/>
          <w14:textFill>
            <w14:solidFill>
              <w14:schemeClr w14:val="tx1"/>
            </w14:solidFill>
          </w14:textFill>
        </w:rPr>
        <w:t>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2.9采购组织单位现场复核评审结果。</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（1）资格性审查认定错误的；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（2）分值汇总计算错误的；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（3）分项评分超出评分标准范围的；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（4）客观评分不一致的。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采购代理机构复核过程中，磋商小组成员不得离开评审现场。</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（1）磋商小组已经出具磋商报告并且离开评审现场的；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（5）采购代理机构未提供书面建议的。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2.10编写磋商报告。磋商小组推荐成交候选供应商后，应向采购代理机构出具磋商报告。磋商报告应当包括以下主要内容：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（2）响应文件开启日期和地点；</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（3）获取磋商文件的供应商名单和磋商小组成员名单；</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2.12供应商澄清、说明</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2.13终止磋商采购活动。</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（3）除本章2.3.1和2.5.5的情况外，在采购过程中符合要求的供应商或者报价未超过采购预算的供应商不足3家的。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3.综合评分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3.1本次综合评分的因素详3.3.3综合评分明细表。</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3.3综合评分明细表</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3.3.1综合评分明细表的制定以科学合理、降低评委会自由裁量权为原则。</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 综合评分明细表中的报价应先按供应商须知附表中的相关要求进行价格调整，再进行报价评分。</w:t>
      </w:r>
    </w:p>
    <w:p>
      <w:pPr>
        <w:keepNext w:val="0"/>
        <w:keepLines w:val="0"/>
        <w:pageBreakBefore w:val="0"/>
        <w:widowControl w:val="0"/>
        <w:kinsoku/>
        <w:wordWrap/>
        <w:overflowPunct/>
        <w:topLinePunct w:val="0"/>
        <w:autoSpaceDE/>
        <w:autoSpaceDN/>
        <w:bidi w:val="0"/>
        <w:adjustRightInd/>
        <w:snapToGrid/>
        <w:spacing w:after="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3.3.3综合评分明细表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1"/>
        <w:gridCol w:w="583"/>
        <w:gridCol w:w="583"/>
        <w:gridCol w:w="5967"/>
        <w:gridCol w:w="16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b/>
                <w:sz w:val="21"/>
                <w:szCs w:val="21"/>
              </w:rPr>
            </w:pPr>
            <w:bookmarkStart w:id="101" w:name="_Toc217446060"/>
            <w:bookmarkStart w:id="102" w:name="PO_默认文件内容_27"/>
            <w:r>
              <w:rPr>
                <w:rFonts w:hint="eastAsia" w:ascii="宋体" w:hAnsi="宋体" w:eastAsia="宋体" w:cs="宋体"/>
                <w:b/>
                <w:sz w:val="21"/>
                <w:szCs w:val="21"/>
              </w:rPr>
              <w:t>序号</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b/>
                <w:sz w:val="21"/>
                <w:szCs w:val="21"/>
              </w:rPr>
            </w:pPr>
            <w:r>
              <w:rPr>
                <w:rFonts w:hint="eastAsia" w:ascii="宋体" w:hAnsi="宋体" w:eastAsia="宋体" w:cs="宋体"/>
                <w:b/>
                <w:sz w:val="21"/>
                <w:szCs w:val="21"/>
              </w:rPr>
              <w:t>评分因素</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b/>
                <w:sz w:val="21"/>
                <w:szCs w:val="21"/>
              </w:rPr>
            </w:pPr>
            <w:r>
              <w:rPr>
                <w:rFonts w:hint="eastAsia" w:ascii="宋体" w:hAnsi="宋体" w:eastAsia="宋体" w:cs="宋体"/>
                <w:b/>
                <w:sz w:val="21"/>
                <w:szCs w:val="21"/>
              </w:rPr>
              <w:t>分值</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b/>
                <w:sz w:val="21"/>
                <w:szCs w:val="21"/>
              </w:rPr>
            </w:pPr>
            <w:r>
              <w:rPr>
                <w:rFonts w:hint="eastAsia" w:ascii="宋体" w:hAnsi="宋体" w:eastAsia="宋体" w:cs="宋体"/>
                <w:b/>
                <w:sz w:val="21"/>
                <w:szCs w:val="21"/>
              </w:rPr>
              <w:t>评分标准</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b/>
                <w:sz w:val="21"/>
                <w:szCs w:val="21"/>
              </w:rPr>
            </w:pPr>
            <w:r>
              <w:rPr>
                <w:rFonts w:hint="eastAsia" w:ascii="宋体" w:hAnsi="宋体" w:eastAsia="宋体" w:cs="宋体"/>
                <w:b/>
                <w:sz w:val="21"/>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报价</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20分</w:t>
            </w:r>
            <w:r>
              <w:rPr>
                <w:rFonts w:hint="eastAsia" w:hAnsi="宋体" w:cs="宋体"/>
                <w:sz w:val="21"/>
                <w:szCs w:val="21"/>
                <w:lang w:val="en-US" w:eastAsia="zh-CN"/>
              </w:rPr>
              <w:t xml:space="preserve"> </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以本次符合要求的最低的有效</w:t>
            </w:r>
            <w:r>
              <w:rPr>
                <w:rFonts w:hint="eastAsia" w:hAnsi="宋体" w:cs="宋体"/>
                <w:sz w:val="21"/>
                <w:szCs w:val="21"/>
                <w:lang w:val="en-US" w:eastAsia="zh-CN"/>
              </w:rPr>
              <w:t>磋商</w:t>
            </w:r>
            <w:r>
              <w:rPr>
                <w:rFonts w:hint="eastAsia" w:ascii="宋体" w:hAnsi="宋体" w:eastAsia="宋体" w:cs="宋体"/>
                <w:sz w:val="21"/>
                <w:szCs w:val="21"/>
              </w:rPr>
              <w:t>报价为基准价，</w:t>
            </w:r>
            <w:r>
              <w:rPr>
                <w:rFonts w:hint="eastAsia" w:hAnsi="宋体" w:cs="宋体"/>
                <w:sz w:val="21"/>
                <w:szCs w:val="21"/>
                <w:lang w:val="en-US" w:eastAsia="zh-CN"/>
              </w:rPr>
              <w:t>磋商</w:t>
            </w:r>
            <w:r>
              <w:rPr>
                <w:rFonts w:hint="eastAsia" w:ascii="宋体" w:hAnsi="宋体" w:eastAsia="宋体" w:cs="宋体"/>
                <w:sz w:val="21"/>
                <w:szCs w:val="21"/>
              </w:rPr>
              <w:t>报价得分=（</w:t>
            </w:r>
            <w:r>
              <w:rPr>
                <w:rFonts w:hint="eastAsia" w:hAnsi="宋体" w:cs="宋体"/>
                <w:sz w:val="21"/>
                <w:szCs w:val="21"/>
                <w:lang w:val="en-US" w:eastAsia="zh-CN"/>
              </w:rPr>
              <w:t>磋商</w:t>
            </w:r>
            <w:r>
              <w:rPr>
                <w:rFonts w:hint="eastAsia" w:ascii="宋体" w:hAnsi="宋体" w:eastAsia="宋体" w:cs="宋体"/>
                <w:sz w:val="21"/>
                <w:szCs w:val="21"/>
              </w:rPr>
              <w:t>基准价／</w:t>
            </w:r>
            <w:r>
              <w:rPr>
                <w:rFonts w:hint="eastAsia" w:hAnsi="宋体" w:cs="宋体"/>
                <w:sz w:val="21"/>
                <w:szCs w:val="21"/>
                <w:lang w:val="en-US" w:eastAsia="zh-CN"/>
              </w:rPr>
              <w:t>磋商</w:t>
            </w:r>
            <w:r>
              <w:rPr>
                <w:rFonts w:hint="eastAsia" w:ascii="宋体" w:hAnsi="宋体" w:eastAsia="宋体" w:cs="宋体"/>
                <w:sz w:val="21"/>
                <w:szCs w:val="21"/>
              </w:rPr>
              <w:t>报价）×20（保留小数点后两位，四舍五入）。</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textAlignment w:val="auto"/>
              <w:rPr>
                <w:rFonts w:hint="eastAsia" w:ascii="宋体" w:hAnsi="宋体" w:eastAsia="宋体" w:cs="宋体"/>
                <w:sz w:val="21"/>
                <w:szCs w:val="21"/>
                <w:lang w:eastAsia="zh-CN"/>
              </w:rPr>
            </w:pPr>
            <w:r>
              <w:rPr>
                <w:rFonts w:hint="eastAsia" w:ascii="宋体" w:hAnsi="宋体" w:eastAsia="宋体" w:cs="宋体"/>
                <w:sz w:val="21"/>
                <w:szCs w:val="21"/>
              </w:rPr>
              <w:t>对小、微型、监狱企业或残疾人福利性单位的价格给予10%的价格扣除</w:t>
            </w:r>
            <w:r>
              <w:rPr>
                <w:rFonts w:hint="eastAsia" w:hAnsi="宋体" w:cs="宋体"/>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技术服务要求</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59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85" w:rightChars="-25" w:firstLine="420" w:firstLineChars="200"/>
              <w:jc w:val="left"/>
              <w:textAlignment w:val="auto"/>
              <w:rPr>
                <w:rFonts w:hint="eastAsia" w:ascii="宋体" w:hAnsi="宋体" w:eastAsia="宋体" w:cs="宋体"/>
                <w:sz w:val="21"/>
                <w:szCs w:val="21"/>
                <w:lang w:eastAsia="zh-CN"/>
              </w:rPr>
            </w:pPr>
            <w:r>
              <w:rPr>
                <w:rFonts w:hint="eastAsia" w:hAnsi="宋体" w:cs="宋体"/>
                <w:sz w:val="21"/>
                <w:szCs w:val="21"/>
                <w:lang w:val="en-US" w:eastAsia="zh-CN"/>
              </w:rPr>
              <w:t>完全满足</w:t>
            </w:r>
            <w:r>
              <w:rPr>
                <w:rFonts w:hint="eastAsia" w:ascii="宋体" w:hAnsi="宋体" w:eastAsia="宋体" w:cs="宋体"/>
                <w:sz w:val="21"/>
                <w:szCs w:val="21"/>
                <w:lang w:val="en-US" w:eastAsia="zh-CN"/>
              </w:rPr>
              <w:t>技术服务要求的得35分，带“★”的项目为重要参数（15条），负偏离每项扣2分，其它项目参数（10条）负偏离每项扣0.5分，扣完为至，但不视为磋商文件无效。（▲实质性条款除外）</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right="-85"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项目中有要求的需按要求提供相应证明材料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方案</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方案包含：①现有网络架构分析及测试环境搭建；②实施方法及工具；③人员分工；④检测及验证方法；⑤应急预案，以上内容齐全且完全满足采购需要的得5分，每有一条漏项缺项的扣1分，每有一项内容存在缺陷的扣0.5分，（缺陷是指：分析内容与实际情况不符或内容前后不一致或前后逻辑错误或过于简略或不符合采购需求等）。直至本项扣完为止。</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提供</w:t>
            </w:r>
            <w:r>
              <w:rPr>
                <w:rFonts w:hint="eastAsia" w:ascii="宋体" w:hAnsi="宋体" w:eastAsia="宋体" w:cs="宋体"/>
                <w:sz w:val="21"/>
                <w:szCs w:val="21"/>
                <w:lang w:eastAsia="zh-CN"/>
              </w:rPr>
              <w:t>技术</w:t>
            </w:r>
            <w:r>
              <w:rPr>
                <w:rFonts w:hint="eastAsia" w:ascii="宋体" w:hAnsi="宋体" w:eastAsia="宋体" w:cs="宋体"/>
                <w:sz w:val="21"/>
                <w:szCs w:val="21"/>
              </w:rPr>
              <w:t>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hAnsi="宋体" w:cs="宋体"/>
                <w:sz w:val="21"/>
                <w:szCs w:val="21"/>
                <w:lang w:val="en-US" w:eastAsia="zh-CN"/>
              </w:rPr>
              <w:t>业绩</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53" w:right="-85" w:rightChars="-25"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2017年1月1日以来，与本项目类似数据中心建设或数据中心维保案例，每提供1个得</w:t>
            </w:r>
            <w:r>
              <w:rPr>
                <w:rFonts w:hint="eastAsia" w:ascii="宋体" w:hAnsi="宋体" w:eastAsia="宋体" w:cs="宋体"/>
                <w:sz w:val="21"/>
                <w:szCs w:val="21"/>
                <w:lang w:val="en-US" w:eastAsia="zh-CN"/>
              </w:rPr>
              <w:t>2</w:t>
            </w:r>
            <w:r>
              <w:rPr>
                <w:rFonts w:hint="eastAsia" w:ascii="宋体" w:hAnsi="宋体" w:eastAsia="宋体" w:cs="宋体"/>
                <w:sz w:val="21"/>
                <w:szCs w:val="21"/>
              </w:rPr>
              <w:t>分，最多得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textAlignment w:val="auto"/>
              <w:rPr>
                <w:rFonts w:hint="eastAsia" w:ascii="宋体" w:hAnsi="宋体" w:eastAsia="宋体" w:cs="宋体"/>
                <w:sz w:val="21"/>
                <w:szCs w:val="21"/>
              </w:rPr>
            </w:pPr>
            <w:r>
              <w:rPr>
                <w:rFonts w:hint="eastAsia" w:ascii="宋体" w:hAnsi="宋体" w:eastAsia="宋体" w:cs="宋体"/>
                <w:sz w:val="21"/>
                <w:szCs w:val="21"/>
              </w:rPr>
              <w:t>需提供合同复印件加盖鲜章。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4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履约能</w:t>
            </w:r>
            <w:r>
              <w:rPr>
                <w:rFonts w:hint="eastAsia" w:ascii="宋体" w:hAnsi="宋体" w:eastAsia="宋体" w:cs="宋体"/>
                <w:sz w:val="21"/>
                <w:szCs w:val="21"/>
              </w:rPr>
              <w:t>力</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hAnsi="宋体" w:cs="宋体"/>
                <w:sz w:val="21"/>
                <w:szCs w:val="21"/>
                <w:lang w:val="en-US" w:eastAsia="zh-CN"/>
              </w:rPr>
              <w:t>22</w:t>
            </w:r>
            <w:r>
              <w:rPr>
                <w:rFonts w:hint="eastAsia" w:ascii="宋体" w:hAnsi="宋体" w:eastAsia="宋体" w:cs="宋体"/>
                <w:sz w:val="21"/>
                <w:szCs w:val="21"/>
              </w:rPr>
              <w:t>分</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53" w:right="-85" w:rightChars="-25"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在满足本项目技术服务要求中人员配置的基础上：</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53" w:right="-85" w:rightChars="-25"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供应商为HP、DELL、IBM（联想）、华为、锐捷原厂认证服务商资质，每提供一个证书得3分，最多得6分。</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53" w:right="-85" w:rightChars="-25"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供应商具有HP、DELL、IBM（联想）、华为或IT之一认证工程师得2分；具有EMC、NETAPP、华为存储之一认证工程师得2分，最多4分。</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53" w:leftChars="0" w:right="-85" w:rightChars="-25"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供应商具有CCNP或同级别（HCNP、RCNP）网络认证工程师每有1名，得2分，最多6分。</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53" w:leftChars="0" w:right="-85" w:rightChars="-25"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供应商具有VCP虚拟化认证工程师，每1名，得2分，最多得4分。</w:t>
            </w:r>
          </w:p>
          <w:p>
            <w:pPr>
              <w:keepNext w:val="0"/>
              <w:keepLines w:val="0"/>
              <w:pageBreakBefore w:val="0"/>
              <w:widowControl w:val="0"/>
              <w:kinsoku/>
              <w:wordWrap/>
              <w:overflowPunct/>
              <w:topLinePunct w:val="0"/>
              <w:autoSpaceDE/>
              <w:autoSpaceDN/>
              <w:bidi w:val="0"/>
              <w:adjustRightInd/>
              <w:snapToGrid/>
              <w:spacing w:line="288" w:lineRule="auto"/>
              <w:ind w:left="-53" w:right="-85" w:rightChars="-25" w:firstLine="420" w:firstLineChars="200"/>
              <w:textAlignment w:val="auto"/>
              <w:rPr>
                <w:rFonts w:hint="default" w:eastAsia="宋体"/>
                <w:lang w:val="en-US" w:eastAsia="zh-CN"/>
              </w:rPr>
            </w:pPr>
            <w:r>
              <w:rPr>
                <w:rFonts w:hint="eastAsia" w:ascii="宋体" w:hAnsi="宋体" w:eastAsia="宋体" w:cs="宋体"/>
                <w:sz w:val="21"/>
                <w:szCs w:val="21"/>
                <w:lang w:val="en-US" w:eastAsia="zh-CN"/>
              </w:rPr>
              <w:t>5、供应商针对本项目配备的经理具备CISP、信息系统项目管理师（高级）证书，每有一个证书的得1分，最多得2分。</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53" w:right="-85" w:rightChars="-2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hAnsi="宋体" w:cs="宋体"/>
                <w:sz w:val="21"/>
                <w:szCs w:val="21"/>
                <w:lang w:val="en-US" w:eastAsia="zh-CN"/>
              </w:rPr>
              <w:t>、</w:t>
            </w:r>
            <w:r>
              <w:rPr>
                <w:rFonts w:hint="eastAsia" w:ascii="宋体" w:hAnsi="宋体" w:eastAsia="宋体" w:cs="宋体"/>
                <w:sz w:val="21"/>
                <w:szCs w:val="21"/>
                <w:lang w:val="en-US" w:eastAsia="zh-CN"/>
              </w:rPr>
              <w:t>以上人员不重复得分。</w:t>
            </w:r>
          </w:p>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textAlignment w:val="auto"/>
              <w:rPr>
                <w:rFonts w:hint="default" w:eastAsia="宋体"/>
                <w:lang w:val="en-US" w:eastAsia="zh-CN"/>
              </w:rPr>
            </w:pPr>
            <w:r>
              <w:rPr>
                <w:rFonts w:hint="eastAsia" w:ascii="宋体" w:hAnsi="宋体" w:eastAsia="宋体" w:cs="宋体"/>
                <w:sz w:val="21"/>
                <w:szCs w:val="21"/>
                <w:lang w:val="en-US" w:eastAsia="zh-CN" w:bidi="ar-SA"/>
              </w:rPr>
              <w:t>2、提供人员</w:t>
            </w:r>
            <w:r>
              <w:rPr>
                <w:rFonts w:hint="eastAsia" w:hAnsi="宋体" w:cs="宋体"/>
                <w:sz w:val="21"/>
                <w:szCs w:val="21"/>
                <w:lang w:val="en-US" w:eastAsia="zh-CN" w:bidi="ar-SA"/>
              </w:rPr>
              <w:t>相关</w:t>
            </w:r>
            <w:r>
              <w:rPr>
                <w:rFonts w:hint="eastAsia" w:ascii="宋体" w:hAnsi="宋体" w:eastAsia="宋体" w:cs="宋体"/>
                <w:sz w:val="21"/>
                <w:szCs w:val="21"/>
                <w:lang w:val="en-US" w:eastAsia="zh-CN" w:bidi="ar-SA"/>
              </w:rPr>
              <w:t>证明材料及人员在职证明。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p>
        </w:tc>
        <w:tc>
          <w:tcPr>
            <w:tcW w:w="5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lang w:eastAsia="zh-CN"/>
              </w:rPr>
            </w:pP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default" w:ascii="宋体" w:hAnsi="宋体" w:eastAsia="宋体" w:cs="宋体"/>
                <w:sz w:val="21"/>
                <w:szCs w:val="21"/>
                <w:lang w:val="en-US" w:eastAsia="zh-CN"/>
              </w:rPr>
            </w:pPr>
            <w:r>
              <w:rPr>
                <w:rFonts w:hint="eastAsia" w:hAnsi="宋体" w:cs="宋体"/>
                <w:sz w:val="21"/>
                <w:szCs w:val="21"/>
                <w:lang w:val="en-US" w:eastAsia="zh-CN"/>
              </w:rPr>
              <w:t>7分</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1、</w:t>
            </w:r>
            <w:r>
              <w:rPr>
                <w:rFonts w:hint="eastAsia" w:ascii="宋体" w:hAnsi="宋体" w:eastAsia="宋体" w:cs="宋体"/>
                <w:sz w:val="21"/>
                <w:szCs w:val="21"/>
                <w:lang w:val="en-US" w:eastAsia="zh-CN"/>
              </w:rPr>
              <w:t>供应商通过质量管理体系认证证书、职业健康安全管理体系认证证书，每提供一项认证</w:t>
            </w:r>
            <w:r>
              <w:rPr>
                <w:rFonts w:hint="eastAsia" w:hAnsi="宋体" w:cs="宋体"/>
                <w:sz w:val="21"/>
                <w:szCs w:val="21"/>
                <w:lang w:val="en-US" w:eastAsia="zh-CN"/>
              </w:rPr>
              <w:t>证书</w:t>
            </w:r>
            <w:r>
              <w:rPr>
                <w:rFonts w:hint="eastAsia" w:ascii="宋体" w:hAnsi="宋体" w:eastAsia="宋体" w:cs="宋体"/>
                <w:sz w:val="21"/>
                <w:szCs w:val="21"/>
                <w:lang w:val="en-US" w:eastAsia="zh-CN"/>
              </w:rPr>
              <w:t>的，得0.5分，</w:t>
            </w:r>
            <w:r>
              <w:rPr>
                <w:rFonts w:hint="eastAsia" w:hAnsi="宋体" w:cs="宋体"/>
                <w:sz w:val="21"/>
                <w:szCs w:val="21"/>
                <w:lang w:val="en-US" w:eastAsia="zh-CN"/>
              </w:rPr>
              <w:t>本项</w:t>
            </w:r>
            <w:r>
              <w:rPr>
                <w:rFonts w:hint="eastAsia" w:ascii="宋体" w:hAnsi="宋体" w:eastAsia="宋体" w:cs="宋体"/>
                <w:sz w:val="21"/>
                <w:szCs w:val="21"/>
                <w:lang w:val="en-US" w:eastAsia="zh-CN"/>
              </w:rPr>
              <w:t>最多得1分。</w:t>
            </w:r>
          </w:p>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firstLine="420" w:firstLineChars="200"/>
              <w:textAlignment w:val="auto"/>
              <w:rPr>
                <w:rFonts w:hint="default" w:ascii="宋体" w:hAnsi="宋体" w:eastAsia="宋体" w:cs="宋体"/>
                <w:sz w:val="21"/>
                <w:szCs w:val="21"/>
                <w:lang w:val="en-US" w:eastAsia="zh-CN"/>
              </w:rPr>
            </w:pPr>
            <w:r>
              <w:rPr>
                <w:rFonts w:hint="eastAsia" w:hAnsi="宋体" w:cs="宋体"/>
                <w:sz w:val="21"/>
                <w:szCs w:val="21"/>
                <w:lang w:val="en-US" w:eastAsia="zh-CN"/>
              </w:rPr>
              <w:t>2、</w:t>
            </w:r>
            <w:r>
              <w:rPr>
                <w:rFonts w:hint="eastAsia" w:ascii="宋体" w:hAnsi="宋体" w:eastAsia="宋体" w:cs="宋体"/>
                <w:sz w:val="21"/>
                <w:szCs w:val="21"/>
                <w:lang w:val="en-US" w:eastAsia="zh-CN"/>
              </w:rPr>
              <w:t>供应商具有有效的信息安全服务认证证书（风险评估服务资质）</w:t>
            </w:r>
            <w:r>
              <w:rPr>
                <w:rFonts w:hint="eastAsia" w:hAnsi="宋体" w:cs="宋体"/>
                <w:sz w:val="21"/>
                <w:szCs w:val="21"/>
                <w:lang w:val="en-US" w:eastAsia="zh-CN"/>
              </w:rPr>
              <w:t>的得3分。</w:t>
            </w:r>
          </w:p>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firstLine="420" w:firstLineChars="200"/>
              <w:textAlignment w:val="auto"/>
              <w:rPr>
                <w:rFonts w:hint="eastAsia"/>
                <w:lang w:val="en-US" w:eastAsia="zh-CN"/>
              </w:rPr>
            </w:pPr>
            <w:r>
              <w:rPr>
                <w:rFonts w:hint="eastAsia" w:hAnsi="宋体" w:cs="宋体"/>
                <w:sz w:val="21"/>
                <w:szCs w:val="21"/>
                <w:lang w:val="en-US" w:eastAsia="zh-CN"/>
              </w:rPr>
              <w:t>3、</w:t>
            </w:r>
            <w:r>
              <w:rPr>
                <w:rFonts w:hint="eastAsia" w:ascii="宋体" w:hAnsi="宋体" w:eastAsia="宋体" w:cs="宋体"/>
                <w:sz w:val="21"/>
                <w:szCs w:val="21"/>
                <w:lang w:val="en-US" w:eastAsia="zh-CN"/>
              </w:rPr>
              <w:t>供应商具有有效的信息安全服务认证证书（信息安全应急处理服务资质）</w:t>
            </w:r>
            <w:r>
              <w:rPr>
                <w:rFonts w:hint="eastAsia" w:hAnsi="宋体" w:cs="宋体"/>
                <w:sz w:val="21"/>
                <w:szCs w:val="21"/>
                <w:lang w:val="en-US" w:eastAsia="zh-CN"/>
              </w:rPr>
              <w:t>的</w:t>
            </w:r>
            <w:r>
              <w:rPr>
                <w:rFonts w:hint="eastAsia" w:ascii="宋体" w:hAnsi="宋体" w:eastAsia="宋体" w:cs="宋体"/>
                <w:sz w:val="21"/>
                <w:szCs w:val="21"/>
                <w:lang w:val="en-US" w:eastAsia="zh-CN"/>
              </w:rPr>
              <w:t>得3分。</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textAlignment w:val="auto"/>
              <w:rPr>
                <w:rFonts w:hint="default" w:eastAsia="宋体"/>
                <w:lang w:val="en-US" w:eastAsia="zh-CN"/>
              </w:rPr>
            </w:pPr>
            <w:r>
              <w:rPr>
                <w:rFonts w:hint="eastAsia" w:ascii="宋体" w:hAnsi="宋体" w:eastAsia="宋体" w:cs="宋体"/>
                <w:sz w:val="21"/>
                <w:szCs w:val="21"/>
                <w:lang w:val="en-US" w:eastAsia="zh-CN"/>
              </w:rPr>
              <w:t>提供证书复印件并加盖供应商鲜章。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c>
          <w:tcPr>
            <w:tcW w:w="596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售后服务方案包含</w:t>
            </w:r>
            <w:r>
              <w:rPr>
                <w:rFonts w:hint="eastAsia" w:ascii="宋体" w:hAnsi="宋体" w:eastAsia="宋体" w:cs="宋体"/>
                <w:sz w:val="21"/>
                <w:szCs w:val="21"/>
              </w:rPr>
              <w:t>：</w:t>
            </w:r>
            <w:bookmarkStart w:id="162" w:name="_GoBack"/>
            <w:bookmarkEnd w:id="162"/>
            <w:r>
              <w:rPr>
                <w:rFonts w:hint="eastAsia" w:ascii="宋体" w:hAnsi="宋体" w:eastAsia="宋体" w:cs="宋体"/>
                <w:sz w:val="21"/>
                <w:szCs w:val="21"/>
              </w:rPr>
              <w:t>①企业服务体系，②维保期</w:t>
            </w:r>
            <w:r>
              <w:rPr>
                <w:rFonts w:hint="eastAsia" w:ascii="宋体" w:hAnsi="宋体" w:eastAsia="宋体" w:cs="宋体"/>
                <w:sz w:val="21"/>
                <w:szCs w:val="21"/>
                <w:lang w:val="en-US" w:eastAsia="zh-CN"/>
              </w:rPr>
              <w:t>人员清单</w:t>
            </w:r>
            <w:r>
              <w:rPr>
                <w:rFonts w:hint="eastAsia" w:ascii="宋体" w:hAnsi="宋体" w:eastAsia="宋体" w:cs="宋体"/>
                <w:sz w:val="21"/>
                <w:szCs w:val="21"/>
              </w:rPr>
              <w:t>、③定期巡检机制，④故障解决方案，⑤巡检方案，</w:t>
            </w:r>
            <w:r>
              <w:rPr>
                <w:rFonts w:hint="eastAsia" w:ascii="宋体" w:hAnsi="宋体" w:eastAsia="宋体" w:cs="宋体"/>
                <w:sz w:val="21"/>
                <w:szCs w:val="21"/>
                <w:lang w:val="en-US" w:eastAsia="zh-CN"/>
              </w:rPr>
              <w:t>以上内容齐全且完全满足采购需要的得5分，每有一条漏项缺项的扣1分，每有一项内容存在缺陷的扣0.5分，（缺陷是指：分析内容与实际情况不符或内容前后不一致或前后逻辑错误或过于简略或不符合采购需求等）。直至本项扣完为止。</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85" w:leftChars="-25" w:right="-85" w:rightChars="-25"/>
              <w:textAlignment w:val="auto"/>
              <w:rPr>
                <w:rFonts w:hint="eastAsia" w:ascii="宋体" w:hAnsi="宋体" w:eastAsia="宋体" w:cs="宋体"/>
                <w:sz w:val="21"/>
                <w:szCs w:val="21"/>
              </w:rPr>
            </w:pPr>
            <w:r>
              <w:rPr>
                <w:rFonts w:hint="eastAsia" w:ascii="宋体" w:hAnsi="宋体" w:eastAsia="宋体" w:cs="宋体"/>
                <w:sz w:val="21"/>
                <w:szCs w:val="21"/>
              </w:rPr>
              <w:t>提供服务方案</w:t>
            </w:r>
          </w:p>
        </w:tc>
      </w:tr>
      <w:bookmarkEnd w:id="101"/>
    </w:tbl>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 评分的取值按四舍五入法，保留小数点后两位。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bookmarkEnd w:id="85"/>
    <w:bookmarkEnd w:id="86"/>
    <w:bookmarkEnd w:id="87"/>
    <w:bookmarkEnd w:id="88"/>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4.磋商纪律及注意事项</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4.1磋商小组内部讨论的情况和意见必须保密，任何人不得以任何形式透露给供应商或与供应商有关的单位或个人。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4.2在磋商过程中，供应商不得以任何形式对磋商小组成员进行旨在影响磋商结果的私下接触，否则将取消其参与磋商的资格。</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4.3对各供应商的商业秘密，磋商小组成员应予以保密，不得泄露给其他供应商。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 磋商小组独立评判，推荐成交候选人，并写出书面报告。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 磋商小组可根据需要对供应商进行实地考察。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5.</w:t>
      </w:r>
      <w:bookmarkEnd w:id="89"/>
      <w:r>
        <w:rPr>
          <w:rFonts w:hint="eastAsia" w:ascii="宋体" w:hAnsi="宋体" w:eastAsia="宋体" w:cs="宋体"/>
          <w:b/>
          <w:sz w:val="24"/>
          <w:szCs w:val="24"/>
        </w:rPr>
        <w:t>磋商小组在政府采购活动中承担以下义务：</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（一）遵守评审工作纪律；</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（二）按照客观、公正、审慎的原则，根据磋商文件规定的评审程序、评审方法和评审标准进行独立评审；</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（三）不得泄露评审文件、评审情况和在评审过程中获悉的商业秘密；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（六）及时向财政、监察等部门举报在评审过程中受到非法干预的情况；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（七）配合答复处理供应商的询问、质疑和投诉等事项；</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（八）法律、法规和规章规定的其他义务。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6.评审专家在政府采购活动中应当遵守以下工作纪律：</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（一）不得参加与自己有《中华人民共和国政府采购法实施条例》第九条规定的利害关系的政府采购项目的评审活动。发现参加了与自己有利害关系的评审活动，须主动提出回避，退出评审；</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（二）评审前，应当将通讯工具或者相关电子设备交由采购代理机构统一保管；</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（三）评审过程中，不得与外界联系，因发生不可预见情况，确实需要与外界联系的，应当在监督人员监督之下办理；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（五）在评审过程中和评审结束后，不得记录、复制或带走任何评审资料，不得向外界透露评审内容；</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（六）评审现场服从采购代理机构工作人员的管理，接受现场监督人员的合法监督；</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（七）遵守有关廉洁自律规定，不得私下接触供应商，不得收受供应商及有关业务单位和个人的财物或好处，不得接受采购代理机构的请托。</w:t>
      </w:r>
    </w:p>
    <w:p>
      <w:pPr>
        <w:spacing w:line="360" w:lineRule="auto"/>
        <w:rPr>
          <w:rFonts w:hint="eastAsia" w:ascii="宋体" w:hAnsi="宋体" w:eastAsia="宋体" w:cs="宋体"/>
        </w:rPr>
      </w:pPr>
    </w:p>
    <w:p>
      <w:pPr>
        <w:spacing w:line="350" w:lineRule="exact"/>
        <w:jc w:val="center"/>
        <w:rPr>
          <w:rFonts w:hint="eastAsia" w:ascii="宋体" w:hAnsi="宋体" w:eastAsia="宋体" w:cs="宋体"/>
        </w:rPr>
      </w:pPr>
      <w:r>
        <w:rPr>
          <w:rFonts w:hint="eastAsia" w:ascii="宋体" w:hAnsi="宋体" w:eastAsia="宋体" w:cs="宋体"/>
        </w:rPr>
        <w:br w:type="page"/>
      </w:r>
      <w:bookmarkEnd w:id="80"/>
      <w:bookmarkEnd w:id="81"/>
      <w:bookmarkEnd w:id="82"/>
      <w:bookmarkEnd w:id="102"/>
      <w:bookmarkStart w:id="103" w:name="_Toc470509911"/>
    </w:p>
    <w:p>
      <w:pPr>
        <w:spacing w:line="350" w:lineRule="exact"/>
        <w:jc w:val="center"/>
        <w:rPr>
          <w:rFonts w:hint="eastAsia" w:ascii="宋体" w:hAnsi="宋体" w:eastAsia="宋体" w:cs="宋体"/>
        </w:rPr>
      </w:pPr>
    </w:p>
    <w:p>
      <w:pPr>
        <w:spacing w:line="350" w:lineRule="exact"/>
        <w:jc w:val="center"/>
        <w:rPr>
          <w:rFonts w:hint="eastAsia" w:ascii="宋体" w:hAnsi="宋体" w:eastAsia="宋体" w:cs="宋体"/>
          <w:b/>
          <w:sz w:val="36"/>
          <w:szCs w:val="36"/>
        </w:rPr>
      </w:pPr>
      <w:r>
        <w:rPr>
          <w:rFonts w:hint="eastAsia" w:ascii="宋体" w:hAnsi="宋体" w:eastAsia="宋体" w:cs="宋体"/>
          <w:b/>
          <w:sz w:val="36"/>
          <w:szCs w:val="36"/>
        </w:rPr>
        <w:t xml:space="preserve">第八章  </w:t>
      </w:r>
      <w:bookmarkEnd w:id="103"/>
      <w:r>
        <w:rPr>
          <w:rFonts w:hint="eastAsia" w:ascii="宋体" w:hAnsi="宋体" w:eastAsia="宋体" w:cs="宋体"/>
          <w:b/>
          <w:sz w:val="36"/>
          <w:szCs w:val="36"/>
        </w:rPr>
        <w:t xml:space="preserve"> 政府采购合同（参考格式）</w:t>
      </w:r>
    </w:p>
    <w:p>
      <w:pPr>
        <w:spacing w:line="350" w:lineRule="exact"/>
        <w:ind w:firstLine="680" w:firstLineChars="200"/>
        <w:rPr>
          <w:rFonts w:hint="eastAsia" w:ascii="宋体" w:hAnsi="宋体" w:eastAsia="宋体" w:cs="宋体"/>
        </w:rPr>
      </w:pPr>
    </w:p>
    <w:p>
      <w:pPr>
        <w:rPr>
          <w:rFonts w:hint="eastAsia" w:ascii="宋体" w:hAnsi="宋体" w:eastAsia="宋体" w:cs="宋体"/>
        </w:rPr>
      </w:pPr>
    </w:p>
    <w:p>
      <w:pPr>
        <w:autoSpaceDE w:val="0"/>
        <w:autoSpaceDN w:val="0"/>
        <w:adjustRightInd w:val="0"/>
        <w:snapToGrid w:val="0"/>
        <w:spacing w:line="312" w:lineRule="auto"/>
        <w:jc w:val="center"/>
        <w:rPr>
          <w:rFonts w:hint="eastAsia" w:ascii="宋体" w:hAnsi="宋体" w:eastAsia="宋体" w:cs="宋体"/>
          <w:b/>
          <w:bCs/>
          <w:kern w:val="0"/>
          <w:sz w:val="21"/>
          <w:szCs w:val="21"/>
          <w:lang w:val="zh-CN"/>
        </w:rPr>
      </w:pPr>
      <w:r>
        <w:rPr>
          <w:rFonts w:hint="eastAsia" w:ascii="宋体" w:hAnsi="宋体" w:eastAsia="宋体" w:cs="宋体"/>
          <w:kern w:val="0"/>
          <w:sz w:val="21"/>
          <w:szCs w:val="21"/>
        </w:rPr>
        <w:t>（可根据项目具体情况科学合理调整）</w:t>
      </w:r>
    </w:p>
    <w:p>
      <w:pPr>
        <w:spacing w:line="560" w:lineRule="exact"/>
        <w:rPr>
          <w:rFonts w:hint="eastAsia" w:ascii="宋体" w:hAnsi="宋体" w:eastAsia="宋体" w:cs="宋体"/>
          <w:sz w:val="24"/>
          <w:szCs w:val="24"/>
        </w:rPr>
      </w:pPr>
      <w:r>
        <w:rPr>
          <w:rFonts w:hint="eastAsia" w:ascii="宋体" w:hAnsi="宋体" w:eastAsia="宋体" w:cs="宋体"/>
          <w:sz w:val="24"/>
          <w:szCs w:val="24"/>
        </w:rPr>
        <w:t>合同编号：XXXX。</w:t>
      </w:r>
    </w:p>
    <w:p>
      <w:pPr>
        <w:spacing w:line="560" w:lineRule="exact"/>
        <w:rPr>
          <w:rFonts w:hint="eastAsia" w:ascii="宋体" w:hAnsi="宋体" w:eastAsia="宋体" w:cs="宋体"/>
          <w:sz w:val="24"/>
          <w:szCs w:val="24"/>
        </w:rPr>
      </w:pPr>
      <w:r>
        <w:rPr>
          <w:rFonts w:hint="eastAsia" w:ascii="宋体" w:hAnsi="宋体" w:eastAsia="宋体" w:cs="宋体"/>
          <w:sz w:val="24"/>
          <w:szCs w:val="24"/>
        </w:rPr>
        <w:t>签订地点：XXXX。</w:t>
      </w:r>
    </w:p>
    <w:p>
      <w:pPr>
        <w:spacing w:line="560" w:lineRule="exact"/>
        <w:rPr>
          <w:rFonts w:hint="eastAsia" w:ascii="宋体" w:hAnsi="宋体" w:eastAsia="宋体" w:cs="宋体"/>
          <w:sz w:val="24"/>
          <w:szCs w:val="24"/>
        </w:rPr>
      </w:pPr>
      <w:r>
        <w:rPr>
          <w:rFonts w:hint="eastAsia" w:ascii="宋体" w:hAnsi="宋体" w:eastAsia="宋体" w:cs="宋体"/>
          <w:sz w:val="24"/>
          <w:szCs w:val="24"/>
        </w:rPr>
        <w:t>签订时间：XXXX年XX月XX日。</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采购人（甲方）：                              </w:t>
      </w:r>
    </w:p>
    <w:p>
      <w:pPr>
        <w:spacing w:line="560" w:lineRule="exac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（乙方）：                                                                     </w:t>
      </w:r>
    </w:p>
    <w:p>
      <w:pPr>
        <w:spacing w:line="560" w:lineRule="exact"/>
        <w:ind w:firstLine="480" w:firstLineChars="200"/>
        <w:rPr>
          <w:rFonts w:hint="eastAsia" w:ascii="宋体" w:hAnsi="宋体" w:eastAsia="宋体" w:cs="宋体"/>
          <w:sz w:val="24"/>
          <w:szCs w:val="24"/>
        </w:rPr>
      </w:pPr>
      <w:bookmarkStart w:id="104" w:name="_Toc475862324"/>
      <w:bookmarkStart w:id="105" w:name="_Toc217446107"/>
      <w:bookmarkStart w:id="106" w:name="_Toc475862571"/>
      <w:bookmarkStart w:id="107" w:name="_Toc17359"/>
      <w:bookmarkStart w:id="108" w:name="_Toc475862815"/>
      <w:r>
        <w:rPr>
          <w:rFonts w:hint="eastAsia" w:ascii="宋体" w:hAnsi="宋体" w:eastAsia="宋体" w:cs="宋体"/>
          <w:sz w:val="24"/>
          <w:szCs w:val="24"/>
          <w:lang w:eastAsia="zh-CN"/>
        </w:rPr>
        <w:t>根据《中华人民共和国政府采购法》、《中华人民共和国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lang w:eastAsia="zh-CN"/>
        </w:rPr>
        <w:t>》及</w:t>
      </w:r>
      <w:r>
        <w:rPr>
          <w:rFonts w:hint="eastAsia" w:hAnsi="宋体" w:cs="宋体"/>
          <w:sz w:val="24"/>
          <w:szCs w:val="24"/>
          <w:lang w:val="en-US" w:eastAsia="zh-CN"/>
        </w:rPr>
        <w:t>本项目</w:t>
      </w:r>
      <w:r>
        <w:rPr>
          <w:rFonts w:hint="eastAsia" w:ascii="宋体" w:hAnsi="宋体" w:eastAsia="宋体" w:cs="宋体"/>
          <w:sz w:val="24"/>
          <w:szCs w:val="24"/>
          <w:lang w:eastAsia="zh-CN"/>
        </w:rPr>
        <w:t>的招标文件、乙方的《响应文件》及《成交通知书》，甲、乙双方同意签订本合同。详细技术说明及其他有关合同项目的特定信息由合同附件予以说明，合同附件及本项目的谈判文件、响应文件、《成交通知书》等均为本合同不可分割的部分。</w:t>
      </w:r>
      <w:r>
        <w:rPr>
          <w:rFonts w:hint="eastAsia" w:ascii="宋体" w:hAnsi="宋体" w:eastAsia="宋体" w:cs="宋体"/>
          <w:sz w:val="24"/>
          <w:szCs w:val="24"/>
        </w:rPr>
        <w:t>双方同意共同遵守如下条款：</w:t>
      </w:r>
    </w:p>
    <w:bookmarkEnd w:id="104"/>
    <w:bookmarkEnd w:id="105"/>
    <w:bookmarkEnd w:id="106"/>
    <w:bookmarkEnd w:id="107"/>
    <w:bookmarkEnd w:id="108"/>
    <w:p>
      <w:pPr>
        <w:numPr>
          <w:ilvl w:val="0"/>
          <w:numId w:val="7"/>
        </w:numPr>
        <w:spacing w:line="360" w:lineRule="auto"/>
        <w:rPr>
          <w:rFonts w:hint="eastAsia" w:ascii="宋体" w:hAnsi="宋体" w:eastAsia="宋体" w:cs="宋体"/>
          <w:b/>
          <w:sz w:val="24"/>
          <w:szCs w:val="24"/>
          <w:highlight w:val="none"/>
        </w:rPr>
      </w:pPr>
      <w:bookmarkStart w:id="109" w:name="_Toc217446115"/>
      <w:r>
        <w:rPr>
          <w:rFonts w:hint="eastAsia" w:ascii="宋体" w:hAnsi="宋体" w:eastAsia="宋体" w:cs="宋体"/>
          <w:b/>
          <w:sz w:val="24"/>
          <w:szCs w:val="24"/>
          <w:highlight w:val="none"/>
        </w:rPr>
        <w:t>项目基本情况</w:t>
      </w:r>
    </w:p>
    <w:p>
      <w:pPr>
        <w:numPr>
          <w:ilvl w:val="0"/>
          <w:numId w:val="7"/>
        </w:num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合同期限</w:t>
      </w:r>
    </w:p>
    <w:p>
      <w:pPr>
        <w:numPr>
          <w:ilvl w:val="0"/>
          <w:numId w:val="7"/>
        </w:numPr>
        <w:spacing w:line="360" w:lineRule="auto"/>
        <w:rPr>
          <w:rFonts w:hint="eastAsia" w:ascii="宋体" w:hAnsi="宋体" w:eastAsia="宋体" w:cs="宋体"/>
          <w:b/>
          <w:sz w:val="24"/>
          <w:szCs w:val="24"/>
          <w:highlight w:val="none"/>
        </w:rPr>
      </w:pPr>
      <w:bookmarkStart w:id="110" w:name="_Toc212019594"/>
      <w:bookmarkStart w:id="111" w:name="_Toc237145406"/>
      <w:bookmarkStart w:id="112" w:name="_Toc283019214"/>
      <w:bookmarkStart w:id="113" w:name="_Toc286993786"/>
      <w:bookmarkStart w:id="114" w:name="_Toc185395249"/>
      <w:bookmarkStart w:id="115" w:name="_Toc282696226"/>
      <w:bookmarkStart w:id="116" w:name="_Toc247334841"/>
      <w:bookmarkStart w:id="117" w:name="_Toc239233914"/>
      <w:bookmarkStart w:id="118" w:name="_Toc232492928"/>
      <w:bookmarkStart w:id="119" w:name="_Toc211854449"/>
      <w:bookmarkStart w:id="120" w:name="_Toc225670751"/>
      <w:bookmarkStart w:id="121" w:name="_Toc225654644"/>
      <w:bookmarkStart w:id="122" w:name="_Toc238984975"/>
      <w:bookmarkStart w:id="123" w:name="_Toc225244852"/>
      <w:bookmarkStart w:id="124" w:name="_Toc241833903"/>
      <w:bookmarkStart w:id="125" w:name="_Toc251768862"/>
      <w:bookmarkStart w:id="126" w:name="_Toc211911348"/>
      <w:bookmarkStart w:id="127" w:name="_Toc239568418"/>
      <w:r>
        <w:rPr>
          <w:rFonts w:hint="eastAsia" w:ascii="宋体" w:hAnsi="宋体" w:eastAsia="宋体" w:cs="宋体"/>
          <w:b/>
          <w:sz w:val="24"/>
          <w:szCs w:val="24"/>
          <w:highlight w:val="none"/>
        </w:rPr>
        <w:t>服务内容与质量标准</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w:t>
      </w:r>
    </w:p>
    <w:p>
      <w:pPr>
        <w:spacing w:line="360" w:lineRule="auto"/>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numPr>
          <w:ilvl w:val="0"/>
          <w:numId w:val="7"/>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服务费用及支付方式</w:t>
      </w:r>
    </w:p>
    <w:p>
      <w:pPr>
        <w:numPr>
          <w:ilvl w:val="0"/>
          <w:numId w:val="8"/>
        </w:numPr>
        <w:spacing w:line="360" w:lineRule="auto"/>
        <w:ind w:left="0" w:firstLine="567"/>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本项目服务费用由以下组成：</w:t>
      </w:r>
    </w:p>
    <w:p>
      <w:pPr>
        <w:numPr>
          <w:ilvl w:val="0"/>
          <w:numId w:val="9"/>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万元；</w:t>
      </w:r>
    </w:p>
    <w:p>
      <w:pPr>
        <w:numPr>
          <w:ilvl w:val="0"/>
          <w:numId w:val="9"/>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万元；</w:t>
      </w:r>
    </w:p>
    <w:p>
      <w:pPr>
        <w:numPr>
          <w:ilvl w:val="0"/>
          <w:numId w:val="9"/>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万元。</w:t>
      </w:r>
    </w:p>
    <w:p>
      <w:pPr>
        <w:numPr>
          <w:ilvl w:val="0"/>
          <w:numId w:val="8"/>
        </w:numPr>
        <w:tabs>
          <w:tab w:val="left" w:pos="780"/>
        </w:tabs>
        <w:spacing w:line="360" w:lineRule="auto"/>
        <w:ind w:left="0" w:firstLine="567"/>
        <w:rPr>
          <w:rFonts w:hint="eastAsia" w:ascii="宋体" w:hAnsi="宋体" w:eastAsia="宋体" w:cs="宋体"/>
          <w:b/>
          <w:sz w:val="24"/>
          <w:szCs w:val="24"/>
          <w:highlight w:val="none"/>
        </w:rPr>
      </w:pPr>
      <w:r>
        <w:rPr>
          <w:rFonts w:hint="eastAsia" w:ascii="宋体" w:hAnsi="宋体" w:eastAsia="宋体" w:cs="宋体"/>
          <w:b/>
          <w:sz w:val="24"/>
          <w:szCs w:val="24"/>
          <w:highlight w:val="none"/>
        </w:rPr>
        <w:t>服务费支付方式：</w:t>
      </w:r>
    </w:p>
    <w:p>
      <w:pPr>
        <w:pStyle w:val="2"/>
        <w:spacing w:line="360" w:lineRule="auto"/>
        <w:ind w:firstLine="240" w:firstLineChars="100"/>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bCs/>
          <w:kern w:val="0"/>
          <w:sz w:val="24"/>
          <w:szCs w:val="24"/>
          <w:highlight w:val="none"/>
        </w:rPr>
        <w:t xml:space="preserve">  </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知识产权</w:t>
      </w:r>
    </w:p>
    <w:p>
      <w:pPr>
        <w:tabs>
          <w:tab w:val="left" w:pos="14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乙方应保证所提供的服务或其任何一部分均不会侵犯任何第三方的专利权、商标权或著作权。</w:t>
      </w:r>
    </w:p>
    <w:p>
      <w:pPr>
        <w:numPr>
          <w:ilvl w:val="0"/>
          <w:numId w:val="7"/>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无产权瑕疵条款</w:t>
      </w:r>
    </w:p>
    <w:p>
      <w:pPr>
        <w:tabs>
          <w:tab w:val="left" w:pos="14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乙方保证所提供的服务的所有权完全属于乙方且无任何抵押、查封等产权瑕疵。如有产权瑕疵的，视为乙方违约。乙方应负担由此而产生的一切</w:t>
      </w:r>
      <w:r>
        <w:rPr>
          <w:rFonts w:hint="eastAsia" w:ascii="宋体" w:hAnsi="宋体" w:eastAsia="宋体" w:cs="宋体"/>
          <w:color w:val="000000"/>
          <w:sz w:val="24"/>
          <w:szCs w:val="24"/>
          <w:highlight w:val="none"/>
        </w:rPr>
        <w:t>损失。</w:t>
      </w:r>
    </w:p>
    <w:p>
      <w:pPr>
        <w:numPr>
          <w:ilvl w:val="0"/>
          <w:numId w:val="7"/>
        </w:num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履约保证金</w:t>
      </w:r>
    </w:p>
    <w:p>
      <w:pPr>
        <w:pStyle w:val="12"/>
        <w:numPr>
          <w:ilvl w:val="0"/>
          <w:numId w:val="10"/>
        </w:numPr>
        <w:spacing w:line="360" w:lineRule="auto"/>
        <w:ind w:firstLine="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乙方交纳人民币</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元作为本合同的履约保证金。</w:t>
      </w:r>
    </w:p>
    <w:p>
      <w:pPr>
        <w:pStyle w:val="12"/>
        <w:numPr>
          <w:ilvl w:val="0"/>
          <w:numId w:val="10"/>
        </w:numPr>
        <w:spacing w:line="360" w:lineRule="auto"/>
        <w:ind w:firstLine="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履约保证金作为违约金的一部分及用于补偿甲方因乙方不能履行合同义务而蒙受的损失。</w:t>
      </w:r>
    </w:p>
    <w:p>
      <w:pPr>
        <w:numPr>
          <w:ilvl w:val="0"/>
          <w:numId w:val="7"/>
        </w:num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甲方的权利和义务</w:t>
      </w:r>
    </w:p>
    <w:p>
      <w:pPr>
        <w:numPr>
          <w:ilvl w:val="0"/>
          <w:numId w:val="11"/>
        </w:numPr>
        <w:tabs>
          <w:tab w:val="left" w:pos="1440"/>
        </w:tabs>
        <w:adjustRightInd w:val="0"/>
        <w:spacing w:line="360" w:lineRule="auto"/>
        <w:ind w:left="0" w:firstLine="420"/>
        <w:jc w:val="left"/>
        <w:textAlignment w:val="baseline"/>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11"/>
        </w:numPr>
        <w:tabs>
          <w:tab w:val="left" w:pos="1440"/>
        </w:tabs>
        <w:adjustRightInd w:val="0"/>
        <w:spacing w:line="360" w:lineRule="auto"/>
        <w:ind w:left="0" w:firstLine="420"/>
        <w:jc w:val="left"/>
        <w:textAlignment w:val="baseline"/>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甲方有权依据双方签订的考评办法对乙方提供的服务进行定期考评。当考评结果未达到标准时，有权依据考评办法约定的数额扣除履约保证金。</w:t>
      </w:r>
    </w:p>
    <w:p>
      <w:pPr>
        <w:numPr>
          <w:ilvl w:val="0"/>
          <w:numId w:val="11"/>
        </w:numPr>
        <w:tabs>
          <w:tab w:val="left" w:pos="1440"/>
        </w:tabs>
        <w:adjustRightInd w:val="0"/>
        <w:spacing w:line="360" w:lineRule="auto"/>
        <w:ind w:left="0" w:firstLine="42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负责检查监督乙方管理工作的实施及制度的执行情况。</w:t>
      </w:r>
    </w:p>
    <w:p>
      <w:pPr>
        <w:numPr>
          <w:ilvl w:val="0"/>
          <w:numId w:val="11"/>
        </w:numPr>
        <w:tabs>
          <w:tab w:val="left" w:pos="1440"/>
        </w:tabs>
        <w:adjustRightInd w:val="0"/>
        <w:spacing w:line="360" w:lineRule="auto"/>
        <w:ind w:left="0" w:firstLine="42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根据本合同规定，按时向乙方支付应付服务费用。</w:t>
      </w:r>
    </w:p>
    <w:p>
      <w:pPr>
        <w:numPr>
          <w:ilvl w:val="0"/>
          <w:numId w:val="11"/>
        </w:numPr>
        <w:tabs>
          <w:tab w:val="left" w:pos="1440"/>
        </w:tabs>
        <w:adjustRightInd w:val="0"/>
        <w:spacing w:line="360" w:lineRule="auto"/>
        <w:ind w:left="0" w:firstLine="42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国家法律、法规所规定由甲方承担的其它责任。</w:t>
      </w:r>
    </w:p>
    <w:p>
      <w:pPr>
        <w:numPr>
          <w:ilvl w:val="0"/>
          <w:numId w:val="7"/>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乙方的权利和义务</w:t>
      </w:r>
    </w:p>
    <w:p>
      <w:pPr>
        <w:adjustRightInd w:val="0"/>
        <w:spacing w:line="360" w:lineRule="auto"/>
        <w:ind w:left="567"/>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1.对本合同规定的委托服务范围内的项目享有管理权及服务义务。</w:t>
      </w:r>
    </w:p>
    <w:p>
      <w:pPr>
        <w:adjustRightInd w:val="0"/>
        <w:spacing w:line="360" w:lineRule="auto"/>
        <w:ind w:left="567"/>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2.根据本合同的规定向甲方收取相关服务费用，并有权在本项目管理范围内管理及合理使用。</w:t>
      </w:r>
    </w:p>
    <w:p>
      <w:pPr>
        <w:adjustRightInd w:val="0"/>
        <w:spacing w:line="360" w:lineRule="auto"/>
        <w:ind w:left="567"/>
        <w:textAlignment w:val="baseline"/>
        <w:rPr>
          <w:rFonts w:hint="eastAsia" w:ascii="宋体" w:hAnsi="宋体" w:eastAsia="宋体" w:cs="宋体"/>
          <w:bCs/>
          <w:sz w:val="24"/>
          <w:szCs w:val="24"/>
          <w:highlight w:val="none"/>
        </w:rPr>
      </w:pPr>
      <w:r>
        <w:rPr>
          <w:rFonts w:hint="eastAsia" w:ascii="宋体" w:hAnsi="宋体" w:eastAsia="宋体" w:cs="宋体"/>
          <w:sz w:val="24"/>
          <w:szCs w:val="24"/>
          <w:highlight w:val="none"/>
        </w:rPr>
        <w:t>3.及时向甲方通告本项目服务范围内有关服务的重大事项，及时配合处理投诉。</w:t>
      </w:r>
    </w:p>
    <w:p>
      <w:pPr>
        <w:adjustRightInd w:val="0"/>
        <w:spacing w:line="360" w:lineRule="auto"/>
        <w:ind w:left="567"/>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4.接受项目行业管理部门及政府有关部门的指导，接受甲方的监督。国家法律、法规所规定由乙方承担的其它责任。</w:t>
      </w:r>
    </w:p>
    <w:p>
      <w:pPr>
        <w:numPr>
          <w:ilvl w:val="0"/>
          <w:numId w:val="7"/>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违约责任</w:t>
      </w:r>
    </w:p>
    <w:p>
      <w:pPr>
        <w:numPr>
          <w:ilvl w:val="0"/>
          <w:numId w:val="12"/>
        </w:numPr>
        <w:adjustRightInd w:val="0"/>
        <w:spacing w:line="360" w:lineRule="auto"/>
        <w:ind w:firstLine="567"/>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甲乙双方必须遵守本合同并执行合同中的各项规定，保证本合同的正常履行。</w:t>
      </w:r>
    </w:p>
    <w:p>
      <w:pPr>
        <w:numPr>
          <w:ilvl w:val="0"/>
          <w:numId w:val="12"/>
        </w:numPr>
        <w:adjustRightInd w:val="0"/>
        <w:spacing w:line="360" w:lineRule="auto"/>
        <w:ind w:firstLine="567"/>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7"/>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不可抗力事件处理</w:t>
      </w:r>
    </w:p>
    <w:p>
      <w:pPr>
        <w:numPr>
          <w:ilvl w:val="0"/>
          <w:numId w:val="13"/>
        </w:numPr>
        <w:tabs>
          <w:tab w:val="left" w:pos="0"/>
        </w:tabs>
        <w:spacing w:line="360" w:lineRule="auto"/>
        <w:ind w:left="0" w:firstLine="567"/>
        <w:rPr>
          <w:rFonts w:hint="eastAsia" w:ascii="宋体" w:hAnsi="宋体" w:eastAsia="宋体" w:cs="宋体"/>
          <w:sz w:val="24"/>
          <w:szCs w:val="24"/>
          <w:highlight w:val="none"/>
        </w:rPr>
      </w:pPr>
      <w:r>
        <w:rPr>
          <w:rFonts w:hint="eastAsia" w:ascii="宋体" w:hAnsi="宋体" w:eastAsia="宋体" w:cs="宋体"/>
          <w:sz w:val="24"/>
          <w:szCs w:val="24"/>
          <w:highlight w:val="none"/>
        </w:rPr>
        <w:t>在合同有效期内，任何一方因不可抗力事件导致不能履行合同，则合同履行期可延长，其延长期与不可抗力影响期相同。</w:t>
      </w:r>
    </w:p>
    <w:p>
      <w:pPr>
        <w:numPr>
          <w:ilvl w:val="0"/>
          <w:numId w:val="13"/>
        </w:numPr>
        <w:tabs>
          <w:tab w:val="left" w:pos="0"/>
        </w:tabs>
        <w:spacing w:line="360" w:lineRule="auto"/>
        <w:ind w:left="0" w:firstLine="567"/>
        <w:rPr>
          <w:rFonts w:hint="eastAsia" w:ascii="宋体" w:hAnsi="宋体" w:eastAsia="宋体" w:cs="宋体"/>
          <w:sz w:val="24"/>
          <w:szCs w:val="24"/>
          <w:highlight w:val="none"/>
        </w:rPr>
      </w:pPr>
      <w:r>
        <w:rPr>
          <w:rFonts w:hint="eastAsia" w:ascii="宋体" w:hAnsi="宋体" w:eastAsia="宋体" w:cs="宋体"/>
          <w:sz w:val="24"/>
          <w:szCs w:val="24"/>
          <w:highlight w:val="none"/>
        </w:rPr>
        <w:t>不可抗力事件发生后，应立即通知对方，并寄送有关权威机构出具的证明。</w:t>
      </w:r>
    </w:p>
    <w:p>
      <w:pPr>
        <w:numPr>
          <w:ilvl w:val="0"/>
          <w:numId w:val="13"/>
        </w:numPr>
        <w:tabs>
          <w:tab w:val="left" w:pos="0"/>
        </w:tabs>
        <w:spacing w:line="360" w:lineRule="auto"/>
        <w:ind w:left="0" w:firstLine="567"/>
        <w:rPr>
          <w:rFonts w:hint="eastAsia" w:ascii="宋体" w:hAnsi="宋体" w:eastAsia="宋体" w:cs="宋体"/>
          <w:sz w:val="24"/>
          <w:szCs w:val="24"/>
          <w:highlight w:val="none"/>
        </w:rPr>
      </w:pPr>
      <w:r>
        <w:rPr>
          <w:rFonts w:hint="eastAsia" w:ascii="宋体" w:hAnsi="宋体" w:eastAsia="宋体" w:cs="宋体"/>
          <w:sz w:val="24"/>
          <w:szCs w:val="24"/>
          <w:highlight w:val="none"/>
        </w:rPr>
        <w:t>不可抗力事件延续120天以上，双方应通过友好协商，确定是否继续履行合同。</w:t>
      </w: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Pr>
        <w:numPr>
          <w:ilvl w:val="0"/>
          <w:numId w:val="7"/>
        </w:numPr>
        <w:spacing w:line="360" w:lineRule="auto"/>
        <w:rPr>
          <w:rFonts w:hint="eastAsia" w:ascii="宋体" w:hAnsi="宋体" w:eastAsia="宋体" w:cs="宋体"/>
          <w:b/>
          <w:sz w:val="24"/>
          <w:szCs w:val="24"/>
          <w:highlight w:val="none"/>
        </w:rPr>
      </w:pPr>
      <w:bookmarkStart w:id="128" w:name="_Toc251768867"/>
      <w:bookmarkStart w:id="129" w:name="_Toc247334846"/>
      <w:bookmarkStart w:id="130" w:name="_Toc211911353"/>
      <w:bookmarkStart w:id="131" w:name="_Toc237145411"/>
      <w:bookmarkStart w:id="132" w:name="_Toc225244857"/>
      <w:bookmarkStart w:id="133" w:name="_Toc185395254"/>
      <w:bookmarkStart w:id="134" w:name="_Toc238984980"/>
      <w:bookmarkStart w:id="135" w:name="_Toc211854454"/>
      <w:bookmarkStart w:id="136" w:name="_Toc232492933"/>
      <w:bookmarkStart w:id="137" w:name="_Toc241833908"/>
      <w:bookmarkStart w:id="138" w:name="_Toc239568423"/>
      <w:bookmarkStart w:id="139" w:name="_Toc239233919"/>
      <w:bookmarkStart w:id="140" w:name="_Toc286993792"/>
      <w:bookmarkStart w:id="141" w:name="_Toc225670756"/>
      <w:bookmarkStart w:id="142" w:name="_Toc212019599"/>
      <w:bookmarkStart w:id="143" w:name="_Toc225654649"/>
      <w:r>
        <w:rPr>
          <w:rFonts w:hint="eastAsia" w:ascii="宋体" w:hAnsi="宋体" w:eastAsia="宋体" w:cs="宋体"/>
          <w:b/>
          <w:sz w:val="24"/>
          <w:szCs w:val="24"/>
          <w:highlight w:val="none"/>
        </w:rPr>
        <w:t>解决合同纠纷的方式</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numPr>
          <w:ilvl w:val="0"/>
          <w:numId w:val="14"/>
        </w:numPr>
        <w:tabs>
          <w:tab w:val="left" w:pos="0"/>
        </w:tabs>
        <w:spacing w:line="360" w:lineRule="auto"/>
        <w:ind w:left="0"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在执行本合同中发生的或与本合同有关的争端，双方应通过友好协商解决，经协商在60天内不能达成协议时，应提交成都仲裁委员会仲裁。</w:t>
      </w:r>
    </w:p>
    <w:p>
      <w:pPr>
        <w:numPr>
          <w:ilvl w:val="0"/>
          <w:numId w:val="14"/>
        </w:numPr>
        <w:tabs>
          <w:tab w:val="left" w:pos="0"/>
        </w:tabs>
        <w:spacing w:line="360" w:lineRule="auto"/>
        <w:ind w:left="0"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仲裁裁决应为最终决定，并对双方具有约束力。</w:t>
      </w:r>
    </w:p>
    <w:p>
      <w:pPr>
        <w:numPr>
          <w:ilvl w:val="0"/>
          <w:numId w:val="14"/>
        </w:numPr>
        <w:tabs>
          <w:tab w:val="left" w:pos="0"/>
        </w:tabs>
        <w:spacing w:line="360" w:lineRule="auto"/>
        <w:ind w:left="0"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除另有裁决外，仲裁费应由败诉方负担。 </w:t>
      </w:r>
    </w:p>
    <w:p>
      <w:pPr>
        <w:numPr>
          <w:ilvl w:val="0"/>
          <w:numId w:val="14"/>
        </w:numPr>
        <w:tabs>
          <w:tab w:val="left" w:pos="0"/>
        </w:tabs>
        <w:spacing w:line="360" w:lineRule="auto"/>
        <w:ind w:left="0"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在仲裁期间，除正在进行仲裁部分外，合同其他部分继续执行。  </w:t>
      </w:r>
    </w:p>
    <w:p>
      <w:pPr>
        <w:numPr>
          <w:ilvl w:val="0"/>
          <w:numId w:val="7"/>
        </w:numPr>
        <w:spacing w:line="360" w:lineRule="auto"/>
        <w:rPr>
          <w:rFonts w:hint="eastAsia" w:ascii="宋体" w:hAnsi="宋体" w:eastAsia="宋体" w:cs="宋体"/>
          <w:b/>
          <w:sz w:val="24"/>
          <w:szCs w:val="24"/>
          <w:highlight w:val="none"/>
        </w:rPr>
      </w:pPr>
      <w:bookmarkStart w:id="144" w:name="_Toc282696231"/>
      <w:bookmarkStart w:id="145" w:name="_Toc232492934"/>
      <w:bookmarkStart w:id="146" w:name="_Toc211854455"/>
      <w:bookmarkStart w:id="147" w:name="_Toc185395255"/>
      <w:bookmarkStart w:id="148" w:name="_Toc239568424"/>
      <w:bookmarkStart w:id="149" w:name="_Toc211911354"/>
      <w:bookmarkStart w:id="150" w:name="_Toc238984981"/>
      <w:bookmarkStart w:id="151" w:name="_Toc286993793"/>
      <w:bookmarkStart w:id="152" w:name="_Toc237145412"/>
      <w:bookmarkStart w:id="153" w:name="_Toc251768868"/>
      <w:bookmarkStart w:id="154" w:name="_Toc225244858"/>
      <w:bookmarkStart w:id="155" w:name="_Toc225654650"/>
      <w:bookmarkStart w:id="156" w:name="_Toc241833909"/>
      <w:bookmarkStart w:id="157" w:name="_Toc247334847"/>
      <w:bookmarkStart w:id="158" w:name="_Toc239233920"/>
      <w:bookmarkStart w:id="159" w:name="_Toc212019600"/>
      <w:bookmarkStart w:id="160" w:name="_Toc283019219"/>
      <w:bookmarkStart w:id="161" w:name="_Toc225670757"/>
      <w:r>
        <w:rPr>
          <w:rFonts w:hint="eastAsia" w:ascii="宋体" w:hAnsi="宋体" w:eastAsia="宋体" w:cs="宋体"/>
          <w:b/>
          <w:sz w:val="24"/>
          <w:szCs w:val="24"/>
          <w:highlight w:val="none"/>
        </w:rPr>
        <w:t>合同</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eastAsia="宋体" w:cs="宋体"/>
          <w:b/>
          <w:sz w:val="24"/>
          <w:szCs w:val="24"/>
          <w:highlight w:val="none"/>
        </w:rPr>
        <w:t>生效</w:t>
      </w:r>
    </w:p>
    <w:p>
      <w:pPr>
        <w:pStyle w:val="57"/>
        <w:numPr>
          <w:ilvl w:val="0"/>
          <w:numId w:val="15"/>
        </w:numPr>
        <w:spacing w:line="360" w:lineRule="auto"/>
        <w:ind w:left="0" w:firstLine="63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合同经双方法定代表人/单位负责人或授权委托代理人签字并加盖单位公章后生效。</w:t>
      </w:r>
    </w:p>
    <w:p>
      <w:pPr>
        <w:pStyle w:val="57"/>
        <w:numPr>
          <w:ilvl w:val="0"/>
          <w:numId w:val="15"/>
        </w:numPr>
        <w:spacing w:line="360" w:lineRule="auto"/>
        <w:ind w:left="0" w:firstLine="63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合同执行中涉及采购资金和采购内容修改或补充的，须经政府采购监管部门审批，并签书面补充协议报政府采购监督管理部门备案，方可作为主合同不可分割的一部分。</w:t>
      </w:r>
    </w:p>
    <w:p>
      <w:pPr>
        <w:numPr>
          <w:ilvl w:val="0"/>
          <w:numId w:val="7"/>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附件</w:t>
      </w:r>
    </w:p>
    <w:p>
      <w:pPr>
        <w:pStyle w:val="57"/>
        <w:numPr>
          <w:ilvl w:val="0"/>
          <w:numId w:val="16"/>
        </w:numPr>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hAnsi="宋体" w:cs="宋体"/>
          <w:sz w:val="24"/>
          <w:szCs w:val="24"/>
          <w:highlight w:val="none"/>
          <w:lang w:val="en-US" w:eastAsia="zh-CN"/>
        </w:rPr>
        <w:t>磋商</w:t>
      </w:r>
      <w:r>
        <w:rPr>
          <w:rFonts w:hint="eastAsia" w:ascii="宋体" w:hAnsi="宋体" w:eastAsia="宋体" w:cs="宋体"/>
          <w:sz w:val="24"/>
          <w:szCs w:val="24"/>
          <w:highlight w:val="none"/>
        </w:rPr>
        <w:t>文件</w:t>
      </w:r>
    </w:p>
    <w:p>
      <w:pPr>
        <w:pStyle w:val="57"/>
        <w:numPr>
          <w:ilvl w:val="0"/>
          <w:numId w:val="16"/>
        </w:numPr>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项目修改澄清文件</w:t>
      </w:r>
    </w:p>
    <w:p>
      <w:pPr>
        <w:pStyle w:val="57"/>
        <w:numPr>
          <w:ilvl w:val="0"/>
          <w:numId w:val="16"/>
        </w:numPr>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hAnsi="宋体" w:cs="宋体"/>
          <w:sz w:val="24"/>
          <w:szCs w:val="24"/>
          <w:highlight w:val="none"/>
          <w:lang w:val="en-US" w:eastAsia="zh-CN"/>
        </w:rPr>
        <w:t>磋商</w:t>
      </w:r>
      <w:r>
        <w:rPr>
          <w:rFonts w:hint="eastAsia" w:ascii="宋体" w:hAnsi="宋体" w:eastAsia="宋体" w:cs="宋体"/>
          <w:sz w:val="24"/>
          <w:szCs w:val="24"/>
          <w:highlight w:val="none"/>
        </w:rPr>
        <w:t>文件</w:t>
      </w:r>
    </w:p>
    <w:p>
      <w:pPr>
        <w:pStyle w:val="57"/>
        <w:numPr>
          <w:ilvl w:val="0"/>
          <w:numId w:val="16"/>
        </w:numPr>
        <w:spacing w:line="360" w:lineRule="auto"/>
        <w:ind w:firstLineChars="0"/>
        <w:rPr>
          <w:rFonts w:hint="eastAsia" w:ascii="宋体" w:hAnsi="宋体" w:eastAsia="宋体" w:cs="宋体"/>
          <w:sz w:val="24"/>
          <w:szCs w:val="24"/>
          <w:highlight w:val="none"/>
        </w:rPr>
      </w:pPr>
      <w:r>
        <w:rPr>
          <w:rFonts w:hint="eastAsia" w:hAnsi="宋体" w:cs="宋体"/>
          <w:sz w:val="24"/>
          <w:szCs w:val="24"/>
          <w:highlight w:val="none"/>
          <w:lang w:val="en-US" w:eastAsia="zh-CN"/>
        </w:rPr>
        <w:t>成交</w:t>
      </w:r>
      <w:r>
        <w:rPr>
          <w:rFonts w:hint="eastAsia" w:ascii="宋体" w:hAnsi="宋体" w:eastAsia="宋体" w:cs="宋体"/>
          <w:sz w:val="24"/>
          <w:szCs w:val="24"/>
          <w:highlight w:val="none"/>
        </w:rPr>
        <w:t>通知书</w:t>
      </w:r>
    </w:p>
    <w:p>
      <w:pPr>
        <w:pStyle w:val="57"/>
        <w:numPr>
          <w:ilvl w:val="0"/>
          <w:numId w:val="16"/>
        </w:numPr>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bookmarkEnd w:id="109"/>
    <w:p>
      <w:pPr>
        <w:numPr>
          <w:ilvl w:val="0"/>
          <w:numId w:val="7"/>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其他</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1、如有未尽事宜，由双方依法订立补充合同。</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2、本合同一式六份，自双方签章之日起生效。甲方三份，乙方二份、采购代理机构各一份。</w:t>
      </w:r>
    </w:p>
    <w:p>
      <w:pPr>
        <w:spacing w:line="360" w:lineRule="auto"/>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（盖章）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乙方：   （盖章）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法定代表人/单位负责人（授权代表）： 法定代表人/单位负责人（授权代表）：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                         地    址：</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账号：                             账号：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话：                         电    话：</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                         传    真：</w:t>
      </w:r>
    </w:p>
    <w:p>
      <w:pPr>
        <w:pStyle w:val="2"/>
        <w:rPr>
          <w:rFonts w:hint="eastAsia" w:ascii="宋体" w:hAnsi="宋体" w:eastAsia="宋体" w:cs="宋体"/>
        </w:rPr>
      </w:pPr>
      <w:r>
        <w:rPr>
          <w:rFonts w:hint="eastAsia" w:ascii="宋体" w:hAnsi="宋体" w:eastAsia="宋体" w:cs="宋体"/>
          <w:sz w:val="24"/>
          <w:szCs w:val="24"/>
          <w:highlight w:val="none"/>
        </w:rPr>
        <w:t xml:space="preserve">签约日期：XX年XX月XX日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签约日期：XX年XX月XX日</w:t>
      </w:r>
    </w:p>
    <w:p>
      <w:pPr>
        <w:pStyle w:val="3"/>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3"/>
        <w:rPr>
          <w:rFonts w:hint="eastAsia" w:ascii="宋体" w:hAnsi="宋体" w:eastAsia="宋体" w:cs="宋体"/>
        </w:rPr>
      </w:pPr>
    </w:p>
    <w:p>
      <w:pPr>
        <w:rPr>
          <w:rFonts w:hint="eastAsia" w:ascii="宋体" w:hAnsi="宋体" w:eastAsia="宋体" w:cs="宋体"/>
        </w:rPr>
      </w:pPr>
    </w:p>
    <w:p>
      <w:pPr>
        <w:rPr>
          <w:rFonts w:hint="eastAsia"/>
          <w:color w:val="auto"/>
          <w:sz w:val="36"/>
          <w:szCs w:val="36"/>
          <w:highlight w:val="none"/>
        </w:rPr>
      </w:pPr>
      <w:r>
        <w:rPr>
          <w:rFonts w:hint="eastAsia"/>
          <w:color w:val="auto"/>
          <w:sz w:val="36"/>
          <w:szCs w:val="36"/>
          <w:highlight w:val="none"/>
        </w:rPr>
        <w:br w:type="page"/>
      </w:r>
    </w:p>
    <w:p>
      <w:pPr>
        <w:pStyle w:val="4"/>
        <w:spacing w:line="400" w:lineRule="exact"/>
        <w:jc w:val="center"/>
        <w:rPr>
          <w:color w:val="auto"/>
          <w:sz w:val="36"/>
          <w:szCs w:val="36"/>
          <w:highlight w:val="none"/>
        </w:rPr>
      </w:pPr>
      <w:r>
        <w:rPr>
          <w:rFonts w:hint="eastAsia"/>
          <w:color w:val="auto"/>
          <w:sz w:val="36"/>
          <w:szCs w:val="36"/>
          <w:highlight w:val="none"/>
        </w:rPr>
        <w:t>附件三：政府采购云平台使用介绍</w:t>
      </w:r>
    </w:p>
    <w:p>
      <w:pPr>
        <w:rPr>
          <w:rFonts w:ascii="宋体" w:hAnsi="宋体" w:cs="宋体"/>
          <w:b/>
          <w:bCs/>
          <w:color w:val="auto"/>
          <w:sz w:val="24"/>
          <w:szCs w:val="32"/>
          <w:highlight w:val="none"/>
        </w:rPr>
      </w:pPr>
      <w:r>
        <w:rPr>
          <w:rFonts w:hint="eastAsia" w:ascii="宋体" w:hAnsi="宋体" w:cs="宋体"/>
          <w:b/>
          <w:bCs/>
          <w:color w:val="auto"/>
          <w:sz w:val="24"/>
          <w:szCs w:val="32"/>
          <w:highlight w:val="none"/>
        </w:rPr>
        <w:t>1.输入网址：</w:t>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HYPERLINK "https://www.zcygov.cn" </w:instrText>
      </w:r>
      <w:r>
        <w:rPr>
          <w:rFonts w:hint="eastAsia" w:ascii="宋体" w:hAnsi="宋体" w:cs="宋体"/>
          <w:b/>
          <w:bCs/>
          <w:color w:val="auto"/>
          <w:sz w:val="24"/>
          <w:szCs w:val="32"/>
          <w:highlight w:val="none"/>
        </w:rPr>
        <w:fldChar w:fldCharType="separate"/>
      </w:r>
      <w:r>
        <w:rPr>
          <w:rStyle w:val="35"/>
          <w:rFonts w:hint="eastAsia" w:ascii="宋体" w:hAnsi="宋体" w:cs="宋体"/>
          <w:b/>
          <w:bCs/>
          <w:color w:val="auto"/>
          <w:sz w:val="24"/>
          <w:szCs w:val="32"/>
          <w:highlight w:val="none"/>
        </w:rPr>
        <w:t>https://www.zcygov.cn</w:t>
      </w:r>
      <w:r>
        <w:rPr>
          <w:rFonts w:hint="eastAsia" w:ascii="宋体" w:hAnsi="宋体" w:cs="宋体"/>
          <w:b/>
          <w:bCs/>
          <w:color w:val="auto"/>
          <w:sz w:val="24"/>
          <w:szCs w:val="32"/>
          <w:highlight w:val="none"/>
        </w:rPr>
        <w:fldChar w:fldCharType="end"/>
      </w:r>
    </w:p>
    <w:p>
      <w:pPr>
        <w:rPr>
          <w:rFonts w:ascii="宋体" w:hAnsi="宋体" w:cs="宋体"/>
          <w:b/>
          <w:bCs/>
          <w:color w:val="auto"/>
          <w:sz w:val="24"/>
          <w:szCs w:val="32"/>
          <w:highlight w:val="none"/>
        </w:rPr>
      </w:pPr>
      <w:r>
        <w:rPr>
          <w:rFonts w:hint="eastAsia" w:ascii="宋体" w:hAnsi="宋体" w:cs="宋体"/>
          <w:b/>
          <w:bCs/>
          <w:color w:val="auto"/>
          <w:sz w:val="24"/>
          <w:szCs w:val="32"/>
          <w:highlight w:val="none"/>
        </w:rPr>
        <w:t>2.选择与项目对应的行政区域如：四川省-成都市-成都市本级</w:t>
      </w:r>
    </w:p>
    <w:p>
      <w:pPr>
        <w:rPr>
          <w:color w:val="auto"/>
          <w:highlight w:val="none"/>
        </w:rPr>
      </w:pPr>
      <w:r>
        <w:rPr>
          <w:color w:val="auto"/>
          <w:highlight w:val="none"/>
        </w:rPr>
        <w:drawing>
          <wp:inline distT="0" distB="0" distL="114300" distR="114300">
            <wp:extent cx="4646930" cy="2899410"/>
            <wp:effectExtent l="0" t="0" r="127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4646930" cy="2899410"/>
                    </a:xfrm>
                    <a:prstGeom prst="rect">
                      <a:avLst/>
                    </a:prstGeom>
                    <a:noFill/>
                    <a:ln>
                      <a:noFill/>
                    </a:ln>
                  </pic:spPr>
                </pic:pic>
              </a:graphicData>
            </a:graphic>
          </wp:inline>
        </w:drawing>
      </w:r>
    </w:p>
    <w:p>
      <w:pPr>
        <w:rPr>
          <w:color w:val="auto"/>
          <w:highlight w:val="none"/>
        </w:rPr>
      </w:pPr>
    </w:p>
    <w:p>
      <w:pPr>
        <w:numPr>
          <w:ilvl w:val="0"/>
          <w:numId w:val="17"/>
        </w:numPr>
        <w:spacing w:after="160" w:line="259"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点击操作指南-供应商</w:t>
      </w:r>
    </w:p>
    <w:p>
      <w:pPr>
        <w:rPr>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-321310</wp:posOffset>
            </wp:positionH>
            <wp:positionV relativeFrom="paragraph">
              <wp:posOffset>635635</wp:posOffset>
            </wp:positionV>
            <wp:extent cx="6241415" cy="3228340"/>
            <wp:effectExtent l="0" t="0" r="6985" b="1016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6241415" cy="3228340"/>
                    </a:xfrm>
                    <a:prstGeom prst="rect">
                      <a:avLst/>
                    </a:prstGeom>
                    <a:noFill/>
                    <a:ln>
                      <a:noFill/>
                    </a:ln>
                  </pic:spPr>
                </pic:pic>
              </a:graphicData>
            </a:graphic>
          </wp:anchor>
        </w:drawing>
      </w:r>
      <w:r>
        <w:rPr>
          <w:color w:val="auto"/>
          <w:highlight w:val="none"/>
        </w:rPr>
        <w:br w:type="page"/>
      </w:r>
    </w:p>
    <w:p>
      <w:pPr>
        <w:rPr>
          <w:b/>
          <w:bCs/>
          <w:color w:val="auto"/>
          <w:highlight w:val="none"/>
        </w:rPr>
      </w:pPr>
      <w:r>
        <w:rPr>
          <w:rFonts w:hint="eastAsia" w:ascii="宋体" w:hAnsi="宋体" w:cs="宋体"/>
          <w:b/>
          <w:bCs/>
          <w:color w:val="auto"/>
          <w:sz w:val="24"/>
          <w:szCs w:val="32"/>
          <w:highlight w:val="none"/>
        </w:rPr>
        <w:t>4.进入政采云供应商学习专题页面</w:t>
      </w:r>
      <w:r>
        <w:rPr>
          <w:rFonts w:hint="eastAsia"/>
          <w:b/>
          <w:bCs/>
          <w:color w:val="auto"/>
          <w:highlight w:val="none"/>
        </w:rPr>
        <w:t>（https://edu.zcygov.cn/luban/xxzt-chengdu-gys?utm=a0017.b1347.cl50.5.0917bc90b7bb11eb807c353645758db6）</w:t>
      </w:r>
    </w:p>
    <w:p>
      <w:pPr>
        <w:rPr>
          <w:color w:val="auto"/>
          <w:highlight w:val="none"/>
        </w:rPr>
      </w:pPr>
      <w:r>
        <w:rPr>
          <w:color w:val="auto"/>
          <w:highlight w:val="none"/>
        </w:rPr>
        <w:drawing>
          <wp:inline distT="0" distB="0" distL="114300" distR="114300">
            <wp:extent cx="6214745" cy="3098800"/>
            <wp:effectExtent l="0" t="0" r="14605"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a:stretch>
                      <a:fillRect/>
                    </a:stretch>
                  </pic:blipFill>
                  <pic:spPr>
                    <a:xfrm>
                      <a:off x="0" y="0"/>
                      <a:ext cx="6214745" cy="3098800"/>
                    </a:xfrm>
                    <a:prstGeom prst="rect">
                      <a:avLst/>
                    </a:prstGeom>
                    <a:noFill/>
                    <a:ln>
                      <a:noFill/>
                    </a:ln>
                  </pic:spPr>
                </pic:pic>
              </a:graphicData>
            </a:graphic>
          </wp:inline>
        </w:drawing>
      </w:r>
    </w:p>
    <w:p>
      <w:pPr>
        <w:rPr>
          <w:rFonts w:ascii="宋体" w:hAnsi="宋体" w:cs="宋体"/>
          <w:b/>
          <w:bCs/>
          <w:color w:val="auto"/>
          <w:sz w:val="24"/>
          <w:szCs w:val="32"/>
          <w:highlight w:val="none"/>
        </w:rPr>
      </w:pPr>
      <w:r>
        <w:rPr>
          <w:rFonts w:hint="eastAsia"/>
          <w:color w:val="auto"/>
          <w:highlight w:val="none"/>
        </w:rPr>
        <w:br w:type="page"/>
      </w:r>
      <w:r>
        <w:rPr>
          <w:rFonts w:hint="eastAsia" w:ascii="宋体" w:hAnsi="宋体" w:cs="宋体"/>
          <w:b/>
          <w:bCs/>
          <w:color w:val="auto"/>
          <w:sz w:val="24"/>
          <w:szCs w:val="32"/>
          <w:highlight w:val="none"/>
        </w:rPr>
        <w:t>5.供应商资讯服务渠道</w:t>
      </w:r>
    </w:p>
    <w:p>
      <w:pPr>
        <w:rPr>
          <w:color w:val="auto"/>
          <w:highlight w:val="none"/>
        </w:rPr>
      </w:pPr>
      <w:r>
        <w:rPr>
          <w:color w:val="auto"/>
          <w:highlight w:val="none"/>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06360" cy="2759075"/>
            <wp:effectExtent l="0" t="0" r="8890" b="3175"/>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7"/>
                    <a:stretch>
                      <a:fillRect/>
                    </a:stretch>
                  </pic:blipFill>
                  <pic:spPr>
                    <a:xfrm>
                      <a:off x="0" y="0"/>
                      <a:ext cx="7706360" cy="2759075"/>
                    </a:xfrm>
                    <a:prstGeom prst="rect">
                      <a:avLst/>
                    </a:prstGeom>
                    <a:noFill/>
                    <a:ln>
                      <a:noFill/>
                    </a:ln>
                  </pic:spPr>
                </pic:pic>
              </a:graphicData>
            </a:graphic>
          </wp:anchor>
        </w:drawing>
      </w:r>
    </w:p>
    <w:p>
      <w:pPr>
        <w:rPr>
          <w:color w:val="auto"/>
          <w:highlight w:val="none"/>
        </w:rPr>
      </w:pPr>
      <w:r>
        <w:rPr>
          <w:color w:val="auto"/>
          <w:highlight w:val="none"/>
        </w:rPr>
        <w:br w:type="page"/>
      </w:r>
      <w:r>
        <w:rPr>
          <w:rFonts w:hint="eastAsia" w:ascii="宋体" w:hAnsi="宋体" w:cs="宋体"/>
          <w:b/>
          <w:bCs/>
          <w:color w:val="auto"/>
          <w:sz w:val="24"/>
          <w:szCs w:val="32"/>
          <w:highlight w:val="none"/>
        </w:rPr>
        <w:t>6.入驻政府采购云平台（注册）</w:t>
      </w:r>
    </w:p>
    <w:p>
      <w:pPr>
        <w:rPr>
          <w:color w:val="auto"/>
          <w:highlight w:val="none"/>
        </w:rPr>
      </w:pPr>
      <w:r>
        <w:rPr>
          <w:color w:val="auto"/>
          <w:highlight w:val="none"/>
        </w:rPr>
        <w:drawing>
          <wp:anchor distT="0" distB="0" distL="114300" distR="114300" simplePos="0" relativeHeight="251662336" behindDoc="0" locked="0" layoutInCell="1" allowOverlap="1">
            <wp:simplePos x="0" y="0"/>
            <wp:positionH relativeFrom="column">
              <wp:posOffset>-216535</wp:posOffset>
            </wp:positionH>
            <wp:positionV relativeFrom="paragraph">
              <wp:posOffset>138430</wp:posOffset>
            </wp:positionV>
            <wp:extent cx="6261100" cy="2548890"/>
            <wp:effectExtent l="0" t="0" r="6350" b="3810"/>
            <wp:wrapSquare wrapText="bothSides"/>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8"/>
                    <a:stretch>
                      <a:fillRect/>
                    </a:stretch>
                  </pic:blipFill>
                  <pic:spPr>
                    <a:xfrm>
                      <a:off x="0" y="0"/>
                      <a:ext cx="6261100" cy="2548890"/>
                    </a:xfrm>
                    <a:prstGeom prst="rect">
                      <a:avLst/>
                    </a:prstGeom>
                    <a:noFill/>
                    <a:ln>
                      <a:noFill/>
                    </a:ln>
                  </pic:spPr>
                </pic:pic>
              </a:graphicData>
            </a:graphic>
          </wp:anchor>
        </w:drawing>
      </w:r>
    </w:p>
    <w:p>
      <w:pPr>
        <w:rPr>
          <w:color w:val="auto"/>
          <w:highlight w:val="none"/>
        </w:rPr>
      </w:pPr>
      <w:r>
        <w:rPr>
          <w:color w:val="auto"/>
          <w:highlight w:val="none"/>
        </w:rPr>
        <w:br w:type="page"/>
      </w:r>
      <w:r>
        <w:rPr>
          <w:rFonts w:hint="eastAsia" w:ascii="宋体" w:hAnsi="宋体" w:cs="宋体"/>
          <w:b/>
          <w:bCs/>
          <w:color w:val="auto"/>
          <w:sz w:val="24"/>
          <w:szCs w:val="32"/>
          <w:highlight w:val="none"/>
        </w:rPr>
        <w:t>7.下载《供应商政府采购项目电子交易操作指南》</w:t>
      </w:r>
    </w:p>
    <w:p>
      <w:pPr>
        <w:keepNext w:val="0"/>
        <w:keepLines w:val="0"/>
        <w:pageBreakBefore w:val="0"/>
        <w:widowControl w:val="0"/>
        <w:kinsoku/>
        <w:wordWrap/>
        <w:overflowPunct/>
        <w:topLinePunct w:val="0"/>
        <w:autoSpaceDE/>
        <w:autoSpaceDN/>
        <w:bidi w:val="0"/>
        <w:adjustRightInd/>
        <w:snapToGrid/>
        <w:spacing w:line="240" w:lineRule="auto"/>
        <w:ind w:firstLine="1020" w:firstLineChars="300"/>
        <w:jc w:val="both"/>
        <w:textAlignment w:val="auto"/>
        <w:rPr>
          <w:rFonts w:hint="eastAsia" w:eastAsia="宋体"/>
          <w:highlight w:val="none"/>
          <w:lang w:val="en-US" w:eastAsia="zh-CN"/>
        </w:rPr>
      </w:pPr>
    </w:p>
    <w:p>
      <w:pPr>
        <w:pStyle w:val="7"/>
        <w:rPr>
          <w:rFonts w:hint="eastAsia"/>
          <w:highlight w:val="none"/>
        </w:rPr>
      </w:pPr>
      <w:r>
        <w:rPr>
          <w:color w:val="auto"/>
          <w:highlight w:val="none"/>
        </w:rPr>
        <w:drawing>
          <wp:anchor distT="0" distB="0" distL="114300" distR="114300" simplePos="0" relativeHeight="251661312" behindDoc="0" locked="0" layoutInCell="1" allowOverlap="1">
            <wp:simplePos x="0" y="0"/>
            <wp:positionH relativeFrom="column">
              <wp:posOffset>132080</wp:posOffset>
            </wp:positionH>
            <wp:positionV relativeFrom="paragraph">
              <wp:posOffset>3175</wp:posOffset>
            </wp:positionV>
            <wp:extent cx="5815330" cy="3209925"/>
            <wp:effectExtent l="0" t="0" r="13970" b="9525"/>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9"/>
                    <a:stretch>
                      <a:fillRect/>
                    </a:stretch>
                  </pic:blipFill>
                  <pic:spPr>
                    <a:xfrm>
                      <a:off x="0" y="0"/>
                      <a:ext cx="5815330" cy="3209925"/>
                    </a:xfrm>
                    <a:prstGeom prst="rect">
                      <a:avLst/>
                    </a:prstGeom>
                    <a:noFill/>
                    <a:ln>
                      <a:noFill/>
                    </a:ln>
                  </pic:spPr>
                </pic:pic>
              </a:graphicData>
            </a:graphic>
          </wp:anchor>
        </w:drawing>
      </w:r>
    </w:p>
    <w:p>
      <w:pPr>
        <w:pStyle w:val="2"/>
        <w:rPr>
          <w:rFonts w:hint="eastAsia"/>
        </w:rPr>
      </w:pPr>
    </w:p>
    <w:p>
      <w:pPr>
        <w:rPr>
          <w:rFonts w:hint="eastAsia"/>
          <w:b/>
          <w:sz w:val="21"/>
          <w:szCs w:val="21"/>
        </w:rPr>
      </w:pPr>
    </w:p>
    <w:p>
      <w:pPr>
        <w:jc w:val="center"/>
        <w:rPr>
          <w:rFonts w:hint="eastAsia"/>
          <w:b/>
          <w:sz w:val="22"/>
          <w:szCs w:val="22"/>
        </w:rPr>
      </w:pPr>
    </w:p>
    <w:p>
      <w:pPr>
        <w:jc w:val="center"/>
        <w:rPr>
          <w:rFonts w:hint="eastAsia"/>
          <w:b/>
          <w:sz w:val="22"/>
          <w:szCs w:val="22"/>
        </w:rPr>
      </w:pPr>
    </w:p>
    <w:p>
      <w:pPr>
        <w:pStyle w:val="2"/>
        <w:rPr>
          <w:rFonts w:hint="default"/>
          <w:lang w:val="en-US" w:eastAsia="zh-CN"/>
        </w:rPr>
      </w:pPr>
    </w:p>
    <w:p>
      <w:pPr>
        <w:pStyle w:val="2"/>
        <w:rPr>
          <w:rFonts w:hint="eastAsia"/>
        </w:rPr>
      </w:pPr>
    </w:p>
    <w:sectPr>
      <w:headerReference r:id="rId11" w:type="default"/>
      <w:footerReference r:id="rId12" w:type="default"/>
      <w:pgSz w:w="11907" w:h="16840"/>
      <w:pgMar w:top="1134" w:right="1418" w:bottom="1134"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ms Rmn">
    <w:altName w:val="Segoe Print"/>
    <w:panose1 w:val="02020603040505020304"/>
    <w:charset w:val="4D"/>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pPr>
    <w:r>
      <w:rPr>
        <w:rFonts w:hint="eastAsia"/>
        <w:b/>
        <w:bCs/>
      </w:rPr>
      <w:t xml:space="preserve">学法于心 </w:t>
    </w:r>
    <w:r>
      <w:rPr>
        <w:rFonts w:hint="eastAsia"/>
        <w:b/>
        <w:bCs/>
        <w:lang w:val="en-US" w:eastAsia="zh-CN"/>
      </w:rPr>
      <w:t xml:space="preserve"> </w:t>
    </w:r>
    <w:r>
      <w:rPr>
        <w:rFonts w:hint="eastAsia"/>
        <w:b/>
        <w:bCs/>
      </w:rPr>
      <w:t xml:space="preserve">尊法于行 </w:t>
    </w:r>
    <w:r>
      <w:rPr>
        <w:rFonts w:hint="eastAsia"/>
        <w:b/>
        <w:bCs/>
        <w:lang w:val="en-US" w:eastAsia="zh-CN"/>
      </w:rPr>
      <w:t xml:space="preserve"> </w:t>
    </w:r>
    <w:r>
      <w:rPr>
        <w:rFonts w:hint="eastAsia"/>
        <w:b/>
        <w:bCs/>
      </w:rPr>
      <w:t xml:space="preserve">守法于念 </w:t>
    </w:r>
    <w:r>
      <w:rPr>
        <w:rFonts w:hint="eastAsia"/>
        <w:b/>
        <w:bCs/>
        <w:lang w:val="en-US" w:eastAsia="zh-CN"/>
      </w:rPr>
      <w:t xml:space="preserve"> </w:t>
    </w:r>
    <w:r>
      <w:rPr>
        <w:rFonts w:hint="eastAsia"/>
        <w:b/>
        <w:bCs/>
      </w:rPr>
      <w:t>用法于理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
        <w:bCs/>
      </w:rPr>
      <w:t xml:space="preserve">学法于心 </w:t>
    </w:r>
    <w:r>
      <w:rPr>
        <w:rFonts w:hint="eastAsia"/>
        <w:b/>
        <w:bCs/>
        <w:lang w:val="en-US" w:eastAsia="zh-CN"/>
      </w:rPr>
      <w:t xml:space="preserve"> </w:t>
    </w:r>
    <w:r>
      <w:rPr>
        <w:rFonts w:hint="eastAsia"/>
        <w:b/>
        <w:bCs/>
      </w:rPr>
      <w:t xml:space="preserve">尊法于行 </w:t>
    </w:r>
    <w:r>
      <w:rPr>
        <w:rFonts w:hint="eastAsia"/>
        <w:b/>
        <w:bCs/>
        <w:lang w:val="en-US" w:eastAsia="zh-CN"/>
      </w:rPr>
      <w:t xml:space="preserve"> </w:t>
    </w:r>
    <w:r>
      <w:rPr>
        <w:rFonts w:hint="eastAsia"/>
        <w:b/>
        <w:bCs/>
      </w:rPr>
      <w:t xml:space="preserve">守法于念 </w:t>
    </w:r>
    <w:r>
      <w:rPr>
        <w:rFonts w:hint="eastAsia"/>
        <w:b/>
        <w:bCs/>
        <w:lang w:val="en-US" w:eastAsia="zh-CN"/>
      </w:rPr>
      <w:t xml:space="preserve"> </w:t>
    </w:r>
    <w:r>
      <w:rPr>
        <w:rFonts w:hint="eastAsia"/>
        <w:b/>
        <w:bCs/>
      </w:rPr>
      <w:t>用法于理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ind w:firstLine="360"/>
      <w:rPr>
        <w:rStyle w:val="28"/>
      </w:rPr>
    </w:pPr>
    <w:r>
      <w:fldChar w:fldCharType="begin"/>
    </w:r>
    <w:r>
      <w:rPr>
        <w:rStyle w:val="28"/>
      </w:rPr>
      <w:instrText xml:space="preserve">PAGE  </w:instrText>
    </w:r>
    <w:r>
      <w:fldChar w:fldCharType="end"/>
    </w:r>
  </w:p>
  <w:p>
    <w:pPr>
      <w:pStyle w:val="1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560"/>
      <w:jc w:val="center"/>
      <w:rPr>
        <w:sz w:val="28"/>
        <w:szCs w:val="28"/>
      </w:rPr>
    </w:pP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sz w:val="28"/>
        <w:szCs w:val="28"/>
        <w:lang w:val="zh-CN"/>
      </w:rPr>
      <w:t>-</w:t>
    </w:r>
    <w:r>
      <w:rPr>
        <w:rFonts w:hAnsi="宋体"/>
        <w:sz w:val="28"/>
        <w:szCs w:val="28"/>
      </w:rPr>
      <w:t xml:space="preserve"> 2 -</w:t>
    </w:r>
    <w:r>
      <w:rPr>
        <w:rFonts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pPr>
    <w:r>
      <w:rPr>
        <w:rFonts w:hint="eastAsia"/>
        <w:szCs w:val="18"/>
      </w:rPr>
      <w:drawing>
        <wp:inline distT="0" distB="0" distL="114300" distR="114300">
          <wp:extent cx="1657350" cy="198755"/>
          <wp:effectExtent l="0" t="0" r="0" b="10795"/>
          <wp:docPr id="7"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三盈页眉2"/>
                  <pic:cNvPicPr>
                    <a:picLocks noChangeAspect="1"/>
                  </pic:cNvPicPr>
                </pic:nvPicPr>
                <pic:blipFill>
                  <a:blip r:embed="rId1"/>
                  <a:stretch>
                    <a:fillRect/>
                  </a:stretch>
                </pic:blipFill>
                <pic:spPr>
                  <a:xfrm>
                    <a:off x="0" y="0"/>
                    <a:ext cx="1657350" cy="198755"/>
                  </a:xfrm>
                  <a:prstGeom prst="rect">
                    <a:avLst/>
                  </a:prstGeom>
                  <a:noFill/>
                  <a:ln>
                    <a:noFill/>
                  </a:ln>
                </pic:spPr>
              </pic:pic>
            </a:graphicData>
          </a:graphic>
        </wp:inline>
      </w:drawing>
    </w:r>
    <w:r>
      <w:rPr>
        <w:rFonts w:hint="eastAsia"/>
        <w:szCs w:val="18"/>
        <w:lang w:val="en-US" w:eastAsia="zh-CN"/>
      </w:rPr>
      <w:t xml:space="preserve">             </w:t>
    </w:r>
    <w:r>
      <w:rPr>
        <w:rFonts w:hint="eastAsia"/>
        <w:sz w:val="15"/>
        <w:szCs w:val="15"/>
        <w:lang w:val="en-US" w:eastAsia="zh-CN"/>
      </w:rPr>
      <w:t xml:space="preserve"> 成都市妇女儿童中心医院机房升级维保服务及软件维保服务采购项目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pPr>
    <w:r>
      <w:rPr>
        <w:rFonts w:hint="eastAsia"/>
        <w:szCs w:val="18"/>
      </w:rPr>
      <w:drawing>
        <wp:inline distT="0" distB="0" distL="114300" distR="114300">
          <wp:extent cx="1744345" cy="208915"/>
          <wp:effectExtent l="0" t="0" r="8255" b="635"/>
          <wp:docPr id="10"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三盈页眉2"/>
                  <pic:cNvPicPr>
                    <a:picLocks noChangeAspect="1"/>
                  </pic:cNvPicPr>
                </pic:nvPicPr>
                <pic:blipFill>
                  <a:blip r:embed="rId1"/>
                  <a:stretch>
                    <a:fillRect/>
                  </a:stretch>
                </pic:blipFill>
                <pic:spPr>
                  <a:xfrm>
                    <a:off x="0" y="0"/>
                    <a:ext cx="1744345" cy="208915"/>
                  </a:xfrm>
                  <a:prstGeom prst="rect">
                    <a:avLst/>
                  </a:prstGeom>
                  <a:noFill/>
                  <a:ln>
                    <a:noFill/>
                  </a:ln>
                </pic:spPr>
              </pic:pic>
            </a:graphicData>
          </a:graphic>
        </wp:inline>
      </w:drawing>
    </w:r>
    <w:r>
      <w:rPr>
        <w:rFonts w:hint="eastAsia"/>
        <w:szCs w:val="18"/>
        <w:lang w:val="en-US" w:eastAsia="zh-CN"/>
      </w:rPr>
      <w:t xml:space="preserve">    </w:t>
    </w:r>
    <w:r>
      <w:rPr>
        <w:rFonts w:hint="eastAsia"/>
        <w:sz w:val="15"/>
        <w:szCs w:val="15"/>
        <w:lang w:val="en-US" w:eastAsia="zh-CN"/>
      </w:rPr>
      <w:t xml:space="preserve"> 成都市妇女儿童中心医院机房升级维保服务及软件维保服务采购项目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sz w:val="15"/>
        <w:szCs w:val="15"/>
      </w:rPr>
    </w:pPr>
    <w:r>
      <w:rPr>
        <w:rFonts w:hint="eastAsia"/>
        <w:szCs w:val="18"/>
      </w:rPr>
      <w:drawing>
        <wp:inline distT="0" distB="0" distL="114300" distR="114300">
          <wp:extent cx="1525905" cy="182880"/>
          <wp:effectExtent l="0" t="0" r="17145" b="7620"/>
          <wp:docPr id="29"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三盈页眉2"/>
                  <pic:cNvPicPr>
                    <a:picLocks noChangeAspect="1"/>
                  </pic:cNvPicPr>
                </pic:nvPicPr>
                <pic:blipFill>
                  <a:blip r:embed="rId1"/>
                  <a:stretch>
                    <a:fillRect/>
                  </a:stretch>
                </pic:blipFill>
                <pic:spPr>
                  <a:xfrm>
                    <a:off x="0" y="0"/>
                    <a:ext cx="1525905" cy="182880"/>
                  </a:xfrm>
                  <a:prstGeom prst="rect">
                    <a:avLst/>
                  </a:prstGeom>
                  <a:noFill/>
                  <a:ln>
                    <a:noFill/>
                  </a:ln>
                </pic:spPr>
              </pic:pic>
            </a:graphicData>
          </a:graphic>
        </wp:inline>
      </w:drawing>
    </w:r>
    <w:r>
      <w:rPr>
        <w:rFonts w:hint="eastAsia"/>
        <w:szCs w:val="18"/>
        <w:lang w:val="en-US" w:eastAsia="zh-CN"/>
      </w:rPr>
      <w:t xml:space="preserve">               </w:t>
    </w:r>
    <w:r>
      <w:rPr>
        <w:rFonts w:hint="eastAsia"/>
        <w:sz w:val="15"/>
        <w:szCs w:val="15"/>
        <w:lang w:val="en-US" w:eastAsia="zh-CN"/>
      </w:rPr>
      <w:t xml:space="preserve">    成都市妇女儿童中心医院机房升级维保服务及软件维保服务采购项目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ACE57"/>
    <w:multiLevelType w:val="singleLevel"/>
    <w:tmpl w:val="831ACE57"/>
    <w:lvl w:ilvl="0" w:tentative="0">
      <w:start w:val="1"/>
      <w:numFmt w:val="decimal"/>
      <w:suff w:val="space"/>
      <w:lvlText w:val="%1."/>
      <w:lvlJc w:val="left"/>
    </w:lvl>
  </w:abstractNum>
  <w:abstractNum w:abstractNumId="1">
    <w:nsid w:val="00000000"/>
    <w:multiLevelType w:val="multilevel"/>
    <w:tmpl w:val="00000000"/>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3"/>
    <w:multiLevelType w:val="singleLevel"/>
    <w:tmpl w:val="00000003"/>
    <w:lvl w:ilvl="0" w:tentative="0">
      <w:start w:val="1"/>
      <w:numFmt w:val="decimal"/>
      <w:suff w:val="nothing"/>
      <w:lvlText w:val="%1、"/>
      <w:lvlJc w:val="left"/>
      <w:rPr>
        <w:rFonts w:cs="Times New Roman"/>
      </w:rPr>
    </w:lvl>
  </w:abstractNum>
  <w:abstractNum w:abstractNumId="5">
    <w:nsid w:val="00000006"/>
    <w:multiLevelType w:val="multilevel"/>
    <w:tmpl w:val="00000006"/>
    <w:lvl w:ilvl="0" w:tentative="0">
      <w:start w:val="1"/>
      <w:numFmt w:val="decimal"/>
      <w:suff w:val="nothing"/>
      <w:lvlText w:val="（%1）"/>
      <w:lvlJc w:val="left"/>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6">
    <w:nsid w:val="00000007"/>
    <w:multiLevelType w:val="multilevel"/>
    <w:tmpl w:val="00000007"/>
    <w:lvl w:ilvl="0" w:tentative="0">
      <w:start w:val="7"/>
      <w:numFmt w:val="chineseCounting"/>
      <w:suff w:val="nothing"/>
      <w:lvlText w:val="%1、"/>
      <w:lvlJc w:val="left"/>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2"/>
    <w:multiLevelType w:val="multilevel"/>
    <w:tmpl w:val="00000012"/>
    <w:lvl w:ilvl="0" w:tentative="0">
      <w:start w:val="1"/>
      <w:numFmt w:val="japaneseCounting"/>
      <w:lvlText w:val="第%1条"/>
      <w:lvlJc w:val="left"/>
      <w:pPr>
        <w:tabs>
          <w:tab w:val="left" w:pos="1521"/>
        </w:tabs>
        <w:ind w:left="1521" w:hanging="109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0">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2">
    <w:nsid w:val="0355D08D"/>
    <w:multiLevelType w:val="singleLevel"/>
    <w:tmpl w:val="0355D08D"/>
    <w:lvl w:ilvl="0" w:tentative="0">
      <w:start w:val="1"/>
      <w:numFmt w:val="decimal"/>
      <w:suff w:val="nothing"/>
      <w:lvlText w:val="%1、"/>
      <w:lvlJc w:val="left"/>
    </w:lvl>
  </w:abstractNum>
  <w:abstractNum w:abstractNumId="13">
    <w:nsid w:val="1517B247"/>
    <w:multiLevelType w:val="singleLevel"/>
    <w:tmpl w:val="1517B247"/>
    <w:lvl w:ilvl="0" w:tentative="0">
      <w:start w:val="3"/>
      <w:numFmt w:val="decimal"/>
      <w:lvlText w:val="%1."/>
      <w:lvlJc w:val="left"/>
      <w:pPr>
        <w:tabs>
          <w:tab w:val="left" w:pos="312"/>
        </w:tabs>
      </w:pPr>
    </w:lvl>
  </w:abstractNum>
  <w:abstractNum w:abstractNumId="14">
    <w:nsid w:val="15BA1F1C"/>
    <w:multiLevelType w:val="singleLevel"/>
    <w:tmpl w:val="15BA1F1C"/>
    <w:lvl w:ilvl="0" w:tentative="0">
      <w:start w:val="1"/>
      <w:numFmt w:val="decimal"/>
      <w:suff w:val="nothing"/>
      <w:lvlText w:val="%1、"/>
      <w:lvlJc w:val="left"/>
    </w:lvl>
  </w:abstractNum>
  <w:abstractNum w:abstractNumId="15">
    <w:nsid w:val="1A4908AD"/>
    <w:multiLevelType w:val="multilevel"/>
    <w:tmpl w:val="1A4908AD"/>
    <w:lvl w:ilvl="0" w:tentative="0">
      <w:start w:val="1"/>
      <w:numFmt w:val="decimal"/>
      <w:pStyle w:val="83"/>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F7B0496"/>
    <w:multiLevelType w:val="singleLevel"/>
    <w:tmpl w:val="1F7B0496"/>
    <w:lvl w:ilvl="0" w:tentative="0">
      <w:start w:val="1"/>
      <w:numFmt w:val="decimal"/>
      <w:suff w:val="nothing"/>
      <w:lvlText w:val="%1、"/>
      <w:lvlJc w:val="left"/>
    </w:lvl>
  </w:abstractNum>
  <w:num w:numId="1">
    <w:abstractNumId w:val="15"/>
  </w:num>
  <w:num w:numId="2">
    <w:abstractNumId w:val="14"/>
  </w:num>
  <w:num w:numId="3">
    <w:abstractNumId w:val="12"/>
  </w:num>
  <w:num w:numId="4">
    <w:abstractNumId w:val="0"/>
  </w:num>
  <w:num w:numId="5">
    <w:abstractNumId w:val="4"/>
  </w:num>
  <w:num w:numId="6">
    <w:abstractNumId w:val="16"/>
  </w:num>
  <w:num w:numId="7">
    <w:abstractNumId w:val="8"/>
  </w:num>
  <w:num w:numId="8">
    <w:abstractNumId w:val="10"/>
  </w:num>
  <w:num w:numId="9">
    <w:abstractNumId w:val="9"/>
  </w:num>
  <w:num w:numId="10">
    <w:abstractNumId w:val="5"/>
  </w:num>
  <w:num w:numId="11">
    <w:abstractNumId w:val="2"/>
  </w:num>
  <w:num w:numId="12">
    <w:abstractNumId w:val="6"/>
  </w:num>
  <w:num w:numId="13">
    <w:abstractNumId w:val="7"/>
  </w:num>
  <w:num w:numId="14">
    <w:abstractNumId w:val="3"/>
  </w:num>
  <w:num w:numId="15">
    <w:abstractNumId w:val="1"/>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44"/>
    <w:rsid w:val="0003305C"/>
    <w:rsid w:val="0004106C"/>
    <w:rsid w:val="00052355"/>
    <w:rsid w:val="0007388F"/>
    <w:rsid w:val="00074EE0"/>
    <w:rsid w:val="000920A9"/>
    <w:rsid w:val="000A6DDE"/>
    <w:rsid w:val="000D233D"/>
    <w:rsid w:val="000D3B94"/>
    <w:rsid w:val="000E3574"/>
    <w:rsid w:val="000E547B"/>
    <w:rsid w:val="00103897"/>
    <w:rsid w:val="001574F3"/>
    <w:rsid w:val="00172A27"/>
    <w:rsid w:val="00185F74"/>
    <w:rsid w:val="00192DD6"/>
    <w:rsid w:val="001D0FCE"/>
    <w:rsid w:val="001D7AC4"/>
    <w:rsid w:val="002252FD"/>
    <w:rsid w:val="002B690E"/>
    <w:rsid w:val="002D17C0"/>
    <w:rsid w:val="00352252"/>
    <w:rsid w:val="003A2C32"/>
    <w:rsid w:val="003A2C35"/>
    <w:rsid w:val="0042666A"/>
    <w:rsid w:val="00434056"/>
    <w:rsid w:val="00451460"/>
    <w:rsid w:val="004941C2"/>
    <w:rsid w:val="004B65A8"/>
    <w:rsid w:val="004D7896"/>
    <w:rsid w:val="004F5706"/>
    <w:rsid w:val="0050693D"/>
    <w:rsid w:val="00525C61"/>
    <w:rsid w:val="005357B7"/>
    <w:rsid w:val="00562116"/>
    <w:rsid w:val="00591342"/>
    <w:rsid w:val="005F302F"/>
    <w:rsid w:val="00661112"/>
    <w:rsid w:val="00663EC4"/>
    <w:rsid w:val="006E11E3"/>
    <w:rsid w:val="006F2E0A"/>
    <w:rsid w:val="007A3D78"/>
    <w:rsid w:val="007C3E4E"/>
    <w:rsid w:val="008203C9"/>
    <w:rsid w:val="00827AB3"/>
    <w:rsid w:val="00841FD4"/>
    <w:rsid w:val="008616D1"/>
    <w:rsid w:val="00867FE4"/>
    <w:rsid w:val="00885C92"/>
    <w:rsid w:val="008B3AC3"/>
    <w:rsid w:val="008C24F9"/>
    <w:rsid w:val="00910361"/>
    <w:rsid w:val="0092144F"/>
    <w:rsid w:val="00921F54"/>
    <w:rsid w:val="0094027D"/>
    <w:rsid w:val="0094190C"/>
    <w:rsid w:val="00966D25"/>
    <w:rsid w:val="00994616"/>
    <w:rsid w:val="00A55143"/>
    <w:rsid w:val="00AB5AA5"/>
    <w:rsid w:val="00B121E2"/>
    <w:rsid w:val="00B249A8"/>
    <w:rsid w:val="00B42F32"/>
    <w:rsid w:val="00B85994"/>
    <w:rsid w:val="00B923A6"/>
    <w:rsid w:val="00BA76C7"/>
    <w:rsid w:val="00BE352C"/>
    <w:rsid w:val="00C130C2"/>
    <w:rsid w:val="00C20E72"/>
    <w:rsid w:val="00C46D59"/>
    <w:rsid w:val="00C57F09"/>
    <w:rsid w:val="00CD4D33"/>
    <w:rsid w:val="00D2434A"/>
    <w:rsid w:val="00D26363"/>
    <w:rsid w:val="00DC5DEC"/>
    <w:rsid w:val="00DE1B6B"/>
    <w:rsid w:val="00E67710"/>
    <w:rsid w:val="00E8509B"/>
    <w:rsid w:val="00E85410"/>
    <w:rsid w:val="00ED3160"/>
    <w:rsid w:val="00F005B8"/>
    <w:rsid w:val="00F25B60"/>
    <w:rsid w:val="00F32EF0"/>
    <w:rsid w:val="00F42A4D"/>
    <w:rsid w:val="00F444D5"/>
    <w:rsid w:val="00FC7B29"/>
    <w:rsid w:val="00FE047A"/>
    <w:rsid w:val="00FE1C3F"/>
    <w:rsid w:val="0112048F"/>
    <w:rsid w:val="01867705"/>
    <w:rsid w:val="018C4727"/>
    <w:rsid w:val="01B71CA0"/>
    <w:rsid w:val="01BD6A39"/>
    <w:rsid w:val="01D77DE3"/>
    <w:rsid w:val="01E35734"/>
    <w:rsid w:val="022842E5"/>
    <w:rsid w:val="022D1C66"/>
    <w:rsid w:val="022E6B49"/>
    <w:rsid w:val="022F5449"/>
    <w:rsid w:val="024671E3"/>
    <w:rsid w:val="025F6A1A"/>
    <w:rsid w:val="02696B57"/>
    <w:rsid w:val="02856A37"/>
    <w:rsid w:val="02EA698C"/>
    <w:rsid w:val="030C6765"/>
    <w:rsid w:val="031F2E89"/>
    <w:rsid w:val="035A0F8B"/>
    <w:rsid w:val="037347C8"/>
    <w:rsid w:val="03934D7C"/>
    <w:rsid w:val="03A82D4F"/>
    <w:rsid w:val="03CF77D8"/>
    <w:rsid w:val="03F32427"/>
    <w:rsid w:val="0485128B"/>
    <w:rsid w:val="04B7281D"/>
    <w:rsid w:val="04D3136B"/>
    <w:rsid w:val="04E50031"/>
    <w:rsid w:val="04F55BF8"/>
    <w:rsid w:val="05823117"/>
    <w:rsid w:val="059D0A95"/>
    <w:rsid w:val="059F0DA4"/>
    <w:rsid w:val="05D6798C"/>
    <w:rsid w:val="05E50C0C"/>
    <w:rsid w:val="05E63F95"/>
    <w:rsid w:val="05EF467C"/>
    <w:rsid w:val="05F22212"/>
    <w:rsid w:val="060E2A59"/>
    <w:rsid w:val="06127772"/>
    <w:rsid w:val="062738E0"/>
    <w:rsid w:val="06333D57"/>
    <w:rsid w:val="065B1D84"/>
    <w:rsid w:val="065D1FA5"/>
    <w:rsid w:val="06953862"/>
    <w:rsid w:val="06B94059"/>
    <w:rsid w:val="06DE0D00"/>
    <w:rsid w:val="071408A9"/>
    <w:rsid w:val="071A42E4"/>
    <w:rsid w:val="072403CD"/>
    <w:rsid w:val="074C50DD"/>
    <w:rsid w:val="07924BEE"/>
    <w:rsid w:val="079454E2"/>
    <w:rsid w:val="07A55EC5"/>
    <w:rsid w:val="07E44E1E"/>
    <w:rsid w:val="07FF2C6F"/>
    <w:rsid w:val="081B739E"/>
    <w:rsid w:val="08247859"/>
    <w:rsid w:val="082B0BA9"/>
    <w:rsid w:val="084C1D95"/>
    <w:rsid w:val="08561384"/>
    <w:rsid w:val="08726EE2"/>
    <w:rsid w:val="088A12D5"/>
    <w:rsid w:val="08BB491B"/>
    <w:rsid w:val="08BB7980"/>
    <w:rsid w:val="08BF3E40"/>
    <w:rsid w:val="08C5579A"/>
    <w:rsid w:val="08D520BE"/>
    <w:rsid w:val="09331C82"/>
    <w:rsid w:val="093700E3"/>
    <w:rsid w:val="09B117ED"/>
    <w:rsid w:val="09B654E5"/>
    <w:rsid w:val="0A071D0E"/>
    <w:rsid w:val="0A271EFB"/>
    <w:rsid w:val="0A3807C5"/>
    <w:rsid w:val="0A47358D"/>
    <w:rsid w:val="0A4C3E96"/>
    <w:rsid w:val="0A787CC6"/>
    <w:rsid w:val="0ACA0168"/>
    <w:rsid w:val="0AF346DC"/>
    <w:rsid w:val="0B0050E7"/>
    <w:rsid w:val="0B0A4251"/>
    <w:rsid w:val="0B214170"/>
    <w:rsid w:val="0B252430"/>
    <w:rsid w:val="0B28578A"/>
    <w:rsid w:val="0B3C61FC"/>
    <w:rsid w:val="0B3E7EEC"/>
    <w:rsid w:val="0B4E6A33"/>
    <w:rsid w:val="0B607DEF"/>
    <w:rsid w:val="0B6B38ED"/>
    <w:rsid w:val="0B765AFD"/>
    <w:rsid w:val="0BC05036"/>
    <w:rsid w:val="0BDB4E3E"/>
    <w:rsid w:val="0BF34EC6"/>
    <w:rsid w:val="0C244A03"/>
    <w:rsid w:val="0C414240"/>
    <w:rsid w:val="0C6369F9"/>
    <w:rsid w:val="0C703114"/>
    <w:rsid w:val="0C9E3E72"/>
    <w:rsid w:val="0CB521DE"/>
    <w:rsid w:val="0CBF6019"/>
    <w:rsid w:val="0CD76855"/>
    <w:rsid w:val="0CEC3030"/>
    <w:rsid w:val="0D027ECD"/>
    <w:rsid w:val="0D293DB5"/>
    <w:rsid w:val="0D2A1A66"/>
    <w:rsid w:val="0D4F6288"/>
    <w:rsid w:val="0D6E41E3"/>
    <w:rsid w:val="0D7C20B8"/>
    <w:rsid w:val="0D8D319A"/>
    <w:rsid w:val="0D971418"/>
    <w:rsid w:val="0D975FB1"/>
    <w:rsid w:val="0DA26F37"/>
    <w:rsid w:val="0DB45DE9"/>
    <w:rsid w:val="0DC777E7"/>
    <w:rsid w:val="0E0B3339"/>
    <w:rsid w:val="0E143C18"/>
    <w:rsid w:val="0E4A4752"/>
    <w:rsid w:val="0E634136"/>
    <w:rsid w:val="0E64602F"/>
    <w:rsid w:val="0E952285"/>
    <w:rsid w:val="0ECA2672"/>
    <w:rsid w:val="0EDB35AA"/>
    <w:rsid w:val="0EF53720"/>
    <w:rsid w:val="0EF91EEF"/>
    <w:rsid w:val="0F180B8A"/>
    <w:rsid w:val="0F25727E"/>
    <w:rsid w:val="0F4B73E1"/>
    <w:rsid w:val="0F5C10D8"/>
    <w:rsid w:val="0F726ABF"/>
    <w:rsid w:val="0F855D98"/>
    <w:rsid w:val="10162048"/>
    <w:rsid w:val="101F797B"/>
    <w:rsid w:val="102621A5"/>
    <w:rsid w:val="10621DF0"/>
    <w:rsid w:val="10737E8B"/>
    <w:rsid w:val="108A773F"/>
    <w:rsid w:val="108F205C"/>
    <w:rsid w:val="10C627A3"/>
    <w:rsid w:val="10C9421A"/>
    <w:rsid w:val="10CB08B3"/>
    <w:rsid w:val="10E22D62"/>
    <w:rsid w:val="10F6409B"/>
    <w:rsid w:val="10FB786F"/>
    <w:rsid w:val="10FD55C8"/>
    <w:rsid w:val="110C6305"/>
    <w:rsid w:val="11445629"/>
    <w:rsid w:val="115428CD"/>
    <w:rsid w:val="115E2600"/>
    <w:rsid w:val="116246CF"/>
    <w:rsid w:val="11760F92"/>
    <w:rsid w:val="1190453C"/>
    <w:rsid w:val="119C6AE7"/>
    <w:rsid w:val="11D03AD4"/>
    <w:rsid w:val="11F52CE8"/>
    <w:rsid w:val="11F66A51"/>
    <w:rsid w:val="12206E55"/>
    <w:rsid w:val="122C5968"/>
    <w:rsid w:val="122F04B1"/>
    <w:rsid w:val="128223C0"/>
    <w:rsid w:val="12A275D0"/>
    <w:rsid w:val="12B57F07"/>
    <w:rsid w:val="12CC3165"/>
    <w:rsid w:val="12E45BDE"/>
    <w:rsid w:val="12EA72AA"/>
    <w:rsid w:val="12FE6AC8"/>
    <w:rsid w:val="130429F6"/>
    <w:rsid w:val="13116DD6"/>
    <w:rsid w:val="13121C8E"/>
    <w:rsid w:val="131976E0"/>
    <w:rsid w:val="13512A8C"/>
    <w:rsid w:val="135665C2"/>
    <w:rsid w:val="13A14D58"/>
    <w:rsid w:val="13AF25A4"/>
    <w:rsid w:val="13B240D8"/>
    <w:rsid w:val="13B875EE"/>
    <w:rsid w:val="142A7947"/>
    <w:rsid w:val="143B4B09"/>
    <w:rsid w:val="1449162F"/>
    <w:rsid w:val="14AA6DE0"/>
    <w:rsid w:val="14C427EB"/>
    <w:rsid w:val="14C6734C"/>
    <w:rsid w:val="14EC7D41"/>
    <w:rsid w:val="14ED6454"/>
    <w:rsid w:val="14F5475E"/>
    <w:rsid w:val="15346C86"/>
    <w:rsid w:val="154518AD"/>
    <w:rsid w:val="15534D83"/>
    <w:rsid w:val="15845A15"/>
    <w:rsid w:val="158D7E7D"/>
    <w:rsid w:val="15927EB6"/>
    <w:rsid w:val="15A2779B"/>
    <w:rsid w:val="15A30363"/>
    <w:rsid w:val="15A771C1"/>
    <w:rsid w:val="15D639D2"/>
    <w:rsid w:val="15E55147"/>
    <w:rsid w:val="15F430FE"/>
    <w:rsid w:val="16070C5C"/>
    <w:rsid w:val="16082D37"/>
    <w:rsid w:val="1612368E"/>
    <w:rsid w:val="16442EBB"/>
    <w:rsid w:val="16C75EE4"/>
    <w:rsid w:val="16FD2DEE"/>
    <w:rsid w:val="1705445C"/>
    <w:rsid w:val="170B2A29"/>
    <w:rsid w:val="170E489D"/>
    <w:rsid w:val="170E60D7"/>
    <w:rsid w:val="17314006"/>
    <w:rsid w:val="174A3F17"/>
    <w:rsid w:val="177A5C9F"/>
    <w:rsid w:val="178A120B"/>
    <w:rsid w:val="17953F41"/>
    <w:rsid w:val="17A70983"/>
    <w:rsid w:val="17A85D0B"/>
    <w:rsid w:val="17C43505"/>
    <w:rsid w:val="17C56285"/>
    <w:rsid w:val="17C87ED6"/>
    <w:rsid w:val="181A1431"/>
    <w:rsid w:val="182532C9"/>
    <w:rsid w:val="182C799E"/>
    <w:rsid w:val="185C2DF2"/>
    <w:rsid w:val="185E3597"/>
    <w:rsid w:val="18661BCF"/>
    <w:rsid w:val="186B7E69"/>
    <w:rsid w:val="1873281C"/>
    <w:rsid w:val="188438D9"/>
    <w:rsid w:val="18961BBF"/>
    <w:rsid w:val="1896571B"/>
    <w:rsid w:val="189C19A1"/>
    <w:rsid w:val="189E0EFE"/>
    <w:rsid w:val="18EB0F85"/>
    <w:rsid w:val="18F03E97"/>
    <w:rsid w:val="192B029C"/>
    <w:rsid w:val="192F3432"/>
    <w:rsid w:val="193A2C4A"/>
    <w:rsid w:val="19434DDC"/>
    <w:rsid w:val="194919FD"/>
    <w:rsid w:val="19615B61"/>
    <w:rsid w:val="196B0495"/>
    <w:rsid w:val="197A2120"/>
    <w:rsid w:val="198033E4"/>
    <w:rsid w:val="199A7D46"/>
    <w:rsid w:val="19AD34AA"/>
    <w:rsid w:val="19C54691"/>
    <w:rsid w:val="19E51991"/>
    <w:rsid w:val="1A362560"/>
    <w:rsid w:val="1A382548"/>
    <w:rsid w:val="1A6B5DAB"/>
    <w:rsid w:val="1A711B04"/>
    <w:rsid w:val="1A9106DF"/>
    <w:rsid w:val="1AB62AF2"/>
    <w:rsid w:val="1AC93B90"/>
    <w:rsid w:val="1AE12F85"/>
    <w:rsid w:val="1AEF502E"/>
    <w:rsid w:val="1B3913BC"/>
    <w:rsid w:val="1B5B2560"/>
    <w:rsid w:val="1B750D67"/>
    <w:rsid w:val="1B7E5808"/>
    <w:rsid w:val="1BA63FAF"/>
    <w:rsid w:val="1BBA2087"/>
    <w:rsid w:val="1BC07809"/>
    <w:rsid w:val="1BC3749D"/>
    <w:rsid w:val="1BDE73C7"/>
    <w:rsid w:val="1C027948"/>
    <w:rsid w:val="1C18543B"/>
    <w:rsid w:val="1C3D7F79"/>
    <w:rsid w:val="1C4452E5"/>
    <w:rsid w:val="1C640D9B"/>
    <w:rsid w:val="1C6F22CD"/>
    <w:rsid w:val="1C7F6275"/>
    <w:rsid w:val="1CAE2948"/>
    <w:rsid w:val="1CB9113B"/>
    <w:rsid w:val="1CD85B46"/>
    <w:rsid w:val="1CD93CA3"/>
    <w:rsid w:val="1CE82D40"/>
    <w:rsid w:val="1CE9665C"/>
    <w:rsid w:val="1D150C87"/>
    <w:rsid w:val="1D2669AB"/>
    <w:rsid w:val="1D3D36F5"/>
    <w:rsid w:val="1DDD6B82"/>
    <w:rsid w:val="1DE541A8"/>
    <w:rsid w:val="1E5563EF"/>
    <w:rsid w:val="1E793DD7"/>
    <w:rsid w:val="1EA0309B"/>
    <w:rsid w:val="1EA84A9C"/>
    <w:rsid w:val="1EBA7F95"/>
    <w:rsid w:val="1ED40A1A"/>
    <w:rsid w:val="1ED67C1F"/>
    <w:rsid w:val="1EE25C08"/>
    <w:rsid w:val="1EE76D5F"/>
    <w:rsid w:val="1F035D4D"/>
    <w:rsid w:val="1F1D150B"/>
    <w:rsid w:val="1F3D7F94"/>
    <w:rsid w:val="1FB8048A"/>
    <w:rsid w:val="1FFA217B"/>
    <w:rsid w:val="20041610"/>
    <w:rsid w:val="200F4B1D"/>
    <w:rsid w:val="20146A34"/>
    <w:rsid w:val="20307110"/>
    <w:rsid w:val="20372A2C"/>
    <w:rsid w:val="206A6EA2"/>
    <w:rsid w:val="206D40F8"/>
    <w:rsid w:val="207806A9"/>
    <w:rsid w:val="20A40BF4"/>
    <w:rsid w:val="20BF1AFD"/>
    <w:rsid w:val="20D05631"/>
    <w:rsid w:val="20DE619D"/>
    <w:rsid w:val="20EC31D8"/>
    <w:rsid w:val="20F8636B"/>
    <w:rsid w:val="211627D8"/>
    <w:rsid w:val="212A11FF"/>
    <w:rsid w:val="212C1D93"/>
    <w:rsid w:val="212C3413"/>
    <w:rsid w:val="21416EC0"/>
    <w:rsid w:val="21465E3A"/>
    <w:rsid w:val="215A6B5A"/>
    <w:rsid w:val="2161104B"/>
    <w:rsid w:val="2161766D"/>
    <w:rsid w:val="217E4989"/>
    <w:rsid w:val="21A76EDA"/>
    <w:rsid w:val="21A91513"/>
    <w:rsid w:val="21C25DD7"/>
    <w:rsid w:val="220156E5"/>
    <w:rsid w:val="220275E0"/>
    <w:rsid w:val="222137E1"/>
    <w:rsid w:val="22314BF6"/>
    <w:rsid w:val="223B6ADD"/>
    <w:rsid w:val="224C1072"/>
    <w:rsid w:val="22645FD1"/>
    <w:rsid w:val="22931588"/>
    <w:rsid w:val="22994597"/>
    <w:rsid w:val="229F4921"/>
    <w:rsid w:val="22C15A4B"/>
    <w:rsid w:val="22C9102A"/>
    <w:rsid w:val="22D80B28"/>
    <w:rsid w:val="22DD2E8F"/>
    <w:rsid w:val="22DF4BA3"/>
    <w:rsid w:val="22EA7443"/>
    <w:rsid w:val="22F4039D"/>
    <w:rsid w:val="232B2EAD"/>
    <w:rsid w:val="233C7160"/>
    <w:rsid w:val="239F05E7"/>
    <w:rsid w:val="23A97DD1"/>
    <w:rsid w:val="23BB099A"/>
    <w:rsid w:val="23CD49CD"/>
    <w:rsid w:val="23E66614"/>
    <w:rsid w:val="242566D9"/>
    <w:rsid w:val="242F7DDA"/>
    <w:rsid w:val="24366EFF"/>
    <w:rsid w:val="243D1D61"/>
    <w:rsid w:val="24450E4B"/>
    <w:rsid w:val="244B15CB"/>
    <w:rsid w:val="246D05D6"/>
    <w:rsid w:val="24783A56"/>
    <w:rsid w:val="24E15FDD"/>
    <w:rsid w:val="250C1CC3"/>
    <w:rsid w:val="253208BF"/>
    <w:rsid w:val="253F0E67"/>
    <w:rsid w:val="25574BBA"/>
    <w:rsid w:val="256A7C2B"/>
    <w:rsid w:val="2581360C"/>
    <w:rsid w:val="259068B8"/>
    <w:rsid w:val="25A765AF"/>
    <w:rsid w:val="26341574"/>
    <w:rsid w:val="26386A8A"/>
    <w:rsid w:val="264C4183"/>
    <w:rsid w:val="265870A6"/>
    <w:rsid w:val="268A288A"/>
    <w:rsid w:val="26AB15F7"/>
    <w:rsid w:val="26DD0B00"/>
    <w:rsid w:val="270331EA"/>
    <w:rsid w:val="27094B69"/>
    <w:rsid w:val="273517CD"/>
    <w:rsid w:val="277138AE"/>
    <w:rsid w:val="2771456E"/>
    <w:rsid w:val="278A2473"/>
    <w:rsid w:val="27902D8B"/>
    <w:rsid w:val="27A062C9"/>
    <w:rsid w:val="27FC65BF"/>
    <w:rsid w:val="2801162E"/>
    <w:rsid w:val="28161FD1"/>
    <w:rsid w:val="282344EB"/>
    <w:rsid w:val="282B38D6"/>
    <w:rsid w:val="282E0822"/>
    <w:rsid w:val="283478F8"/>
    <w:rsid w:val="2855072D"/>
    <w:rsid w:val="28684DE7"/>
    <w:rsid w:val="28741C86"/>
    <w:rsid w:val="289B7B41"/>
    <w:rsid w:val="28BF11DA"/>
    <w:rsid w:val="28C840FC"/>
    <w:rsid w:val="290001DE"/>
    <w:rsid w:val="2968155C"/>
    <w:rsid w:val="2979392C"/>
    <w:rsid w:val="29A45316"/>
    <w:rsid w:val="29B55948"/>
    <w:rsid w:val="29CD3486"/>
    <w:rsid w:val="2A060BBE"/>
    <w:rsid w:val="2A076148"/>
    <w:rsid w:val="2A0B0B1C"/>
    <w:rsid w:val="2A4D2946"/>
    <w:rsid w:val="2A583BAE"/>
    <w:rsid w:val="2A59632A"/>
    <w:rsid w:val="2A5E2277"/>
    <w:rsid w:val="2A62064F"/>
    <w:rsid w:val="2ACE77C8"/>
    <w:rsid w:val="2B0C1C5F"/>
    <w:rsid w:val="2B0F3E0F"/>
    <w:rsid w:val="2B2A38B2"/>
    <w:rsid w:val="2B30100A"/>
    <w:rsid w:val="2B3B3915"/>
    <w:rsid w:val="2B631517"/>
    <w:rsid w:val="2B862AC5"/>
    <w:rsid w:val="2BBD45C4"/>
    <w:rsid w:val="2BBF2559"/>
    <w:rsid w:val="2BD5252F"/>
    <w:rsid w:val="2BD97390"/>
    <w:rsid w:val="2BE02A3D"/>
    <w:rsid w:val="2BE21599"/>
    <w:rsid w:val="2BF65B97"/>
    <w:rsid w:val="2BFB62F1"/>
    <w:rsid w:val="2C195D56"/>
    <w:rsid w:val="2C563519"/>
    <w:rsid w:val="2C5843C7"/>
    <w:rsid w:val="2C8342B6"/>
    <w:rsid w:val="2C9936A9"/>
    <w:rsid w:val="2CCA7DCD"/>
    <w:rsid w:val="2CCD5695"/>
    <w:rsid w:val="2CD142B9"/>
    <w:rsid w:val="2CFD2457"/>
    <w:rsid w:val="2D046EA5"/>
    <w:rsid w:val="2D2F79CF"/>
    <w:rsid w:val="2D445F19"/>
    <w:rsid w:val="2DBC7D4D"/>
    <w:rsid w:val="2DE008AD"/>
    <w:rsid w:val="2DE42557"/>
    <w:rsid w:val="2DE71DE5"/>
    <w:rsid w:val="2E1A0B7B"/>
    <w:rsid w:val="2E2026CD"/>
    <w:rsid w:val="2E8574C4"/>
    <w:rsid w:val="2E9D3440"/>
    <w:rsid w:val="2EB72288"/>
    <w:rsid w:val="2EC13094"/>
    <w:rsid w:val="2ED1579E"/>
    <w:rsid w:val="2EE23AF8"/>
    <w:rsid w:val="2EE718F6"/>
    <w:rsid w:val="2EEA498E"/>
    <w:rsid w:val="2EFE3A10"/>
    <w:rsid w:val="2F236CB9"/>
    <w:rsid w:val="2F4F0B3E"/>
    <w:rsid w:val="2F563791"/>
    <w:rsid w:val="2F966D12"/>
    <w:rsid w:val="2FBC362F"/>
    <w:rsid w:val="2FC41531"/>
    <w:rsid w:val="2FD04AB2"/>
    <w:rsid w:val="2FD15ADF"/>
    <w:rsid w:val="2FDC1C98"/>
    <w:rsid w:val="2FE63741"/>
    <w:rsid w:val="301D0413"/>
    <w:rsid w:val="30263E82"/>
    <w:rsid w:val="30322A1C"/>
    <w:rsid w:val="304876E7"/>
    <w:rsid w:val="305441CD"/>
    <w:rsid w:val="306203E0"/>
    <w:rsid w:val="306C6B4D"/>
    <w:rsid w:val="309E6C7D"/>
    <w:rsid w:val="3123350A"/>
    <w:rsid w:val="31691B42"/>
    <w:rsid w:val="31915AB1"/>
    <w:rsid w:val="31A86B55"/>
    <w:rsid w:val="31FF61F8"/>
    <w:rsid w:val="320E53B4"/>
    <w:rsid w:val="32166B52"/>
    <w:rsid w:val="322013DC"/>
    <w:rsid w:val="323D0C5F"/>
    <w:rsid w:val="324A4DEB"/>
    <w:rsid w:val="32655415"/>
    <w:rsid w:val="32722CEF"/>
    <w:rsid w:val="32760AF5"/>
    <w:rsid w:val="3279171B"/>
    <w:rsid w:val="328F49E0"/>
    <w:rsid w:val="32C26719"/>
    <w:rsid w:val="33195A75"/>
    <w:rsid w:val="33245424"/>
    <w:rsid w:val="3355302D"/>
    <w:rsid w:val="338C38C5"/>
    <w:rsid w:val="33D82D30"/>
    <w:rsid w:val="33F7293F"/>
    <w:rsid w:val="3403348A"/>
    <w:rsid w:val="34140F34"/>
    <w:rsid w:val="34491324"/>
    <w:rsid w:val="349A40D9"/>
    <w:rsid w:val="34CA639A"/>
    <w:rsid w:val="34E86806"/>
    <w:rsid w:val="3503426B"/>
    <w:rsid w:val="350E2EF5"/>
    <w:rsid w:val="35282A7E"/>
    <w:rsid w:val="352E695C"/>
    <w:rsid w:val="35543BC8"/>
    <w:rsid w:val="357E628A"/>
    <w:rsid w:val="35952D04"/>
    <w:rsid w:val="359E716C"/>
    <w:rsid w:val="35A7358F"/>
    <w:rsid w:val="35BB0423"/>
    <w:rsid w:val="35BC0F52"/>
    <w:rsid w:val="35FD440F"/>
    <w:rsid w:val="361E5C8A"/>
    <w:rsid w:val="36500624"/>
    <w:rsid w:val="36613BEB"/>
    <w:rsid w:val="367852AB"/>
    <w:rsid w:val="36CF20E7"/>
    <w:rsid w:val="36D20A35"/>
    <w:rsid w:val="37056B83"/>
    <w:rsid w:val="370E6285"/>
    <w:rsid w:val="370F0578"/>
    <w:rsid w:val="372B43FE"/>
    <w:rsid w:val="372E1F2B"/>
    <w:rsid w:val="375548C7"/>
    <w:rsid w:val="37833545"/>
    <w:rsid w:val="37964CD9"/>
    <w:rsid w:val="381B6F91"/>
    <w:rsid w:val="38240488"/>
    <w:rsid w:val="382D12E7"/>
    <w:rsid w:val="3845560B"/>
    <w:rsid w:val="38810D77"/>
    <w:rsid w:val="38B14BFE"/>
    <w:rsid w:val="38D353BE"/>
    <w:rsid w:val="38D43604"/>
    <w:rsid w:val="391F4B99"/>
    <w:rsid w:val="393C3A78"/>
    <w:rsid w:val="3952069A"/>
    <w:rsid w:val="397B7B3F"/>
    <w:rsid w:val="39AC70B2"/>
    <w:rsid w:val="39C75643"/>
    <w:rsid w:val="39D72D57"/>
    <w:rsid w:val="39E419D9"/>
    <w:rsid w:val="39E47431"/>
    <w:rsid w:val="3A3125D7"/>
    <w:rsid w:val="3A844E78"/>
    <w:rsid w:val="3A897B26"/>
    <w:rsid w:val="3A915F55"/>
    <w:rsid w:val="3A9D29C4"/>
    <w:rsid w:val="3A9E4E7D"/>
    <w:rsid w:val="3AC64BA6"/>
    <w:rsid w:val="3AD22460"/>
    <w:rsid w:val="3ADE1572"/>
    <w:rsid w:val="3AEB5DC2"/>
    <w:rsid w:val="3AED0573"/>
    <w:rsid w:val="3B116BE0"/>
    <w:rsid w:val="3B14453E"/>
    <w:rsid w:val="3B197690"/>
    <w:rsid w:val="3B28539C"/>
    <w:rsid w:val="3B373BD4"/>
    <w:rsid w:val="3B6D7735"/>
    <w:rsid w:val="3B6F4E7C"/>
    <w:rsid w:val="3B7D68F1"/>
    <w:rsid w:val="3B973314"/>
    <w:rsid w:val="3BC211E2"/>
    <w:rsid w:val="3BD40BA6"/>
    <w:rsid w:val="3BF14C7C"/>
    <w:rsid w:val="3BF234BF"/>
    <w:rsid w:val="3C0C3131"/>
    <w:rsid w:val="3C2F0C4A"/>
    <w:rsid w:val="3C316736"/>
    <w:rsid w:val="3C333386"/>
    <w:rsid w:val="3C445DC3"/>
    <w:rsid w:val="3C5E2320"/>
    <w:rsid w:val="3CB309E8"/>
    <w:rsid w:val="3CBA123B"/>
    <w:rsid w:val="3CBF7534"/>
    <w:rsid w:val="3D00789E"/>
    <w:rsid w:val="3D216EAB"/>
    <w:rsid w:val="3D223061"/>
    <w:rsid w:val="3D225DF1"/>
    <w:rsid w:val="3D510189"/>
    <w:rsid w:val="3D571AC9"/>
    <w:rsid w:val="3D5A68CF"/>
    <w:rsid w:val="3D880A91"/>
    <w:rsid w:val="3D944831"/>
    <w:rsid w:val="3DA45EA4"/>
    <w:rsid w:val="3DC0544A"/>
    <w:rsid w:val="3DFB0449"/>
    <w:rsid w:val="3E1A2B7B"/>
    <w:rsid w:val="3E462B15"/>
    <w:rsid w:val="3E511290"/>
    <w:rsid w:val="3EA449AF"/>
    <w:rsid w:val="3EA51B5C"/>
    <w:rsid w:val="3EA7155B"/>
    <w:rsid w:val="3EBD1D4A"/>
    <w:rsid w:val="3ECB525E"/>
    <w:rsid w:val="3EEF5700"/>
    <w:rsid w:val="3F0E3114"/>
    <w:rsid w:val="3FB1519A"/>
    <w:rsid w:val="3FB30268"/>
    <w:rsid w:val="3FBC7512"/>
    <w:rsid w:val="4006348B"/>
    <w:rsid w:val="40813A94"/>
    <w:rsid w:val="4084661F"/>
    <w:rsid w:val="408B2BB5"/>
    <w:rsid w:val="40D972D3"/>
    <w:rsid w:val="40F97772"/>
    <w:rsid w:val="40FD737B"/>
    <w:rsid w:val="40FF3FA4"/>
    <w:rsid w:val="412D5B68"/>
    <w:rsid w:val="41585F94"/>
    <w:rsid w:val="415B1DF5"/>
    <w:rsid w:val="41796BF6"/>
    <w:rsid w:val="417D0384"/>
    <w:rsid w:val="41B3162A"/>
    <w:rsid w:val="41BE1A04"/>
    <w:rsid w:val="421B2C53"/>
    <w:rsid w:val="42276C99"/>
    <w:rsid w:val="422C5D05"/>
    <w:rsid w:val="426E70FC"/>
    <w:rsid w:val="42CE293F"/>
    <w:rsid w:val="42E00B85"/>
    <w:rsid w:val="43085F5F"/>
    <w:rsid w:val="431E5C61"/>
    <w:rsid w:val="43224AA0"/>
    <w:rsid w:val="43365333"/>
    <w:rsid w:val="43444540"/>
    <w:rsid w:val="43541284"/>
    <w:rsid w:val="435A5367"/>
    <w:rsid w:val="43600CA1"/>
    <w:rsid w:val="436729B6"/>
    <w:rsid w:val="439E0C47"/>
    <w:rsid w:val="43C47FDF"/>
    <w:rsid w:val="43D37CD9"/>
    <w:rsid w:val="43EF1AF4"/>
    <w:rsid w:val="43F270A0"/>
    <w:rsid w:val="43F9285B"/>
    <w:rsid w:val="441468D4"/>
    <w:rsid w:val="442A7ECC"/>
    <w:rsid w:val="44301A5A"/>
    <w:rsid w:val="4432503B"/>
    <w:rsid w:val="44534527"/>
    <w:rsid w:val="44544D8A"/>
    <w:rsid w:val="4457674E"/>
    <w:rsid w:val="445910BB"/>
    <w:rsid w:val="445E4286"/>
    <w:rsid w:val="447A2D94"/>
    <w:rsid w:val="448911D7"/>
    <w:rsid w:val="448D2DB0"/>
    <w:rsid w:val="449767BD"/>
    <w:rsid w:val="44AE3437"/>
    <w:rsid w:val="451B43DB"/>
    <w:rsid w:val="452411A2"/>
    <w:rsid w:val="456A1703"/>
    <w:rsid w:val="45712D73"/>
    <w:rsid w:val="45B95088"/>
    <w:rsid w:val="45CB1F79"/>
    <w:rsid w:val="45E17879"/>
    <w:rsid w:val="45F432FA"/>
    <w:rsid w:val="45F61526"/>
    <w:rsid w:val="460B7934"/>
    <w:rsid w:val="4639036D"/>
    <w:rsid w:val="466B28C6"/>
    <w:rsid w:val="466C59F7"/>
    <w:rsid w:val="468A3CA2"/>
    <w:rsid w:val="46B568E5"/>
    <w:rsid w:val="46BC5D50"/>
    <w:rsid w:val="46DA7DD2"/>
    <w:rsid w:val="47031FCC"/>
    <w:rsid w:val="478C392D"/>
    <w:rsid w:val="479948B6"/>
    <w:rsid w:val="47E94B90"/>
    <w:rsid w:val="48034A12"/>
    <w:rsid w:val="4818008B"/>
    <w:rsid w:val="486C127F"/>
    <w:rsid w:val="486E7500"/>
    <w:rsid w:val="48AB63D0"/>
    <w:rsid w:val="48B31581"/>
    <w:rsid w:val="48D0075B"/>
    <w:rsid w:val="48E363DE"/>
    <w:rsid w:val="48EE22D4"/>
    <w:rsid w:val="49322FD3"/>
    <w:rsid w:val="49373A3B"/>
    <w:rsid w:val="49454783"/>
    <w:rsid w:val="497F0572"/>
    <w:rsid w:val="49885EFA"/>
    <w:rsid w:val="498A169C"/>
    <w:rsid w:val="49A17B00"/>
    <w:rsid w:val="49B33820"/>
    <w:rsid w:val="49BF5D58"/>
    <w:rsid w:val="49FA7BFB"/>
    <w:rsid w:val="4A351168"/>
    <w:rsid w:val="4A455B23"/>
    <w:rsid w:val="4A470E62"/>
    <w:rsid w:val="4A754D93"/>
    <w:rsid w:val="4A7F68A7"/>
    <w:rsid w:val="4A831F74"/>
    <w:rsid w:val="4AAD4AC1"/>
    <w:rsid w:val="4AB00098"/>
    <w:rsid w:val="4ABE5772"/>
    <w:rsid w:val="4AC640E7"/>
    <w:rsid w:val="4AF36D11"/>
    <w:rsid w:val="4AFC6D19"/>
    <w:rsid w:val="4B1D6EAF"/>
    <w:rsid w:val="4B1E0693"/>
    <w:rsid w:val="4B4D3D9F"/>
    <w:rsid w:val="4B5C41C7"/>
    <w:rsid w:val="4B8431FC"/>
    <w:rsid w:val="4BE55610"/>
    <w:rsid w:val="4C131E62"/>
    <w:rsid w:val="4C18010D"/>
    <w:rsid w:val="4C484FBB"/>
    <w:rsid w:val="4C51283A"/>
    <w:rsid w:val="4CAB33F9"/>
    <w:rsid w:val="4CBC2401"/>
    <w:rsid w:val="4CD909BC"/>
    <w:rsid w:val="4CF01147"/>
    <w:rsid w:val="4D184B39"/>
    <w:rsid w:val="4D254AFA"/>
    <w:rsid w:val="4D652E32"/>
    <w:rsid w:val="4DD40906"/>
    <w:rsid w:val="4DD50B22"/>
    <w:rsid w:val="4DD63BFC"/>
    <w:rsid w:val="4DDF6BCA"/>
    <w:rsid w:val="4DE46963"/>
    <w:rsid w:val="4E2A2BF9"/>
    <w:rsid w:val="4E3A1E40"/>
    <w:rsid w:val="4E7A2955"/>
    <w:rsid w:val="4E8C0C87"/>
    <w:rsid w:val="4E992DD0"/>
    <w:rsid w:val="4EC67D91"/>
    <w:rsid w:val="4EEA0AE8"/>
    <w:rsid w:val="4EEF154F"/>
    <w:rsid w:val="4EFB02CD"/>
    <w:rsid w:val="4EFC1C9B"/>
    <w:rsid w:val="4F3D46C8"/>
    <w:rsid w:val="4F401573"/>
    <w:rsid w:val="4F4B7C7D"/>
    <w:rsid w:val="4F813ED5"/>
    <w:rsid w:val="4F830B44"/>
    <w:rsid w:val="4F8A64A8"/>
    <w:rsid w:val="4FA36FAC"/>
    <w:rsid w:val="4FDA4358"/>
    <w:rsid w:val="4FE84AD6"/>
    <w:rsid w:val="50323279"/>
    <w:rsid w:val="503A78E6"/>
    <w:rsid w:val="5046189F"/>
    <w:rsid w:val="505661F9"/>
    <w:rsid w:val="50630199"/>
    <w:rsid w:val="508305F0"/>
    <w:rsid w:val="509B2728"/>
    <w:rsid w:val="509B2DE3"/>
    <w:rsid w:val="50C13941"/>
    <w:rsid w:val="50D96793"/>
    <w:rsid w:val="514F5323"/>
    <w:rsid w:val="518120EA"/>
    <w:rsid w:val="5183749B"/>
    <w:rsid w:val="51973ED6"/>
    <w:rsid w:val="51B000A0"/>
    <w:rsid w:val="51E91D17"/>
    <w:rsid w:val="51FE6D7F"/>
    <w:rsid w:val="5202752C"/>
    <w:rsid w:val="521A023A"/>
    <w:rsid w:val="521C7833"/>
    <w:rsid w:val="52225F47"/>
    <w:rsid w:val="523648E5"/>
    <w:rsid w:val="524720E5"/>
    <w:rsid w:val="525413D3"/>
    <w:rsid w:val="52692886"/>
    <w:rsid w:val="52714C4A"/>
    <w:rsid w:val="52921D5C"/>
    <w:rsid w:val="52B13BAE"/>
    <w:rsid w:val="52B26C20"/>
    <w:rsid w:val="52CF4D16"/>
    <w:rsid w:val="52D337BE"/>
    <w:rsid w:val="52E53C0E"/>
    <w:rsid w:val="52F274FE"/>
    <w:rsid w:val="53066265"/>
    <w:rsid w:val="530757B3"/>
    <w:rsid w:val="531F1E8C"/>
    <w:rsid w:val="532718A7"/>
    <w:rsid w:val="533C3F3E"/>
    <w:rsid w:val="53434CFE"/>
    <w:rsid w:val="53546002"/>
    <w:rsid w:val="5364549D"/>
    <w:rsid w:val="536D65CE"/>
    <w:rsid w:val="537B768D"/>
    <w:rsid w:val="53A74087"/>
    <w:rsid w:val="53BD6A32"/>
    <w:rsid w:val="53D743BE"/>
    <w:rsid w:val="54072565"/>
    <w:rsid w:val="54260A18"/>
    <w:rsid w:val="54532CAB"/>
    <w:rsid w:val="54876C38"/>
    <w:rsid w:val="549A4793"/>
    <w:rsid w:val="54B81659"/>
    <w:rsid w:val="54BC5655"/>
    <w:rsid w:val="54D67765"/>
    <w:rsid w:val="54D84277"/>
    <w:rsid w:val="54F74F68"/>
    <w:rsid w:val="55161DAF"/>
    <w:rsid w:val="557223F0"/>
    <w:rsid w:val="55AD6D3B"/>
    <w:rsid w:val="55B83979"/>
    <w:rsid w:val="55EC5138"/>
    <w:rsid w:val="56142550"/>
    <w:rsid w:val="561E1852"/>
    <w:rsid w:val="56333E47"/>
    <w:rsid w:val="564E1D53"/>
    <w:rsid w:val="566244A9"/>
    <w:rsid w:val="566A5CB2"/>
    <w:rsid w:val="567C28A1"/>
    <w:rsid w:val="569B2939"/>
    <w:rsid w:val="56B8592B"/>
    <w:rsid w:val="56C13372"/>
    <w:rsid w:val="56C35BB4"/>
    <w:rsid w:val="56CE56F4"/>
    <w:rsid w:val="56D952B8"/>
    <w:rsid w:val="56DD0709"/>
    <w:rsid w:val="56DD22EF"/>
    <w:rsid w:val="56F64673"/>
    <w:rsid w:val="57116329"/>
    <w:rsid w:val="571F44C3"/>
    <w:rsid w:val="573007C3"/>
    <w:rsid w:val="573A6470"/>
    <w:rsid w:val="57621CB8"/>
    <w:rsid w:val="57753A7F"/>
    <w:rsid w:val="57836DF5"/>
    <w:rsid w:val="578C1ECC"/>
    <w:rsid w:val="57B46DC0"/>
    <w:rsid w:val="57C25845"/>
    <w:rsid w:val="57C3670E"/>
    <w:rsid w:val="57C70585"/>
    <w:rsid w:val="57CE41F7"/>
    <w:rsid w:val="57D24F9E"/>
    <w:rsid w:val="57D76927"/>
    <w:rsid w:val="580B7F52"/>
    <w:rsid w:val="58102A00"/>
    <w:rsid w:val="58361305"/>
    <w:rsid w:val="583A56F1"/>
    <w:rsid w:val="583C5C26"/>
    <w:rsid w:val="584573C0"/>
    <w:rsid w:val="58494072"/>
    <w:rsid w:val="586860A9"/>
    <w:rsid w:val="58A26CFA"/>
    <w:rsid w:val="58B1474A"/>
    <w:rsid w:val="58B357C6"/>
    <w:rsid w:val="58B7276D"/>
    <w:rsid w:val="58C66499"/>
    <w:rsid w:val="58CA11B1"/>
    <w:rsid w:val="58D5145B"/>
    <w:rsid w:val="58D74DC2"/>
    <w:rsid w:val="590D43F7"/>
    <w:rsid w:val="590F3F21"/>
    <w:rsid w:val="5914532E"/>
    <w:rsid w:val="591A31C5"/>
    <w:rsid w:val="5939587D"/>
    <w:rsid w:val="594C2083"/>
    <w:rsid w:val="59622975"/>
    <w:rsid w:val="59697B89"/>
    <w:rsid w:val="598321BD"/>
    <w:rsid w:val="599838B0"/>
    <w:rsid w:val="59E27CDC"/>
    <w:rsid w:val="59EB35FC"/>
    <w:rsid w:val="5A2D4398"/>
    <w:rsid w:val="5A6A7382"/>
    <w:rsid w:val="5A900DA1"/>
    <w:rsid w:val="5A95252A"/>
    <w:rsid w:val="5A9D2F36"/>
    <w:rsid w:val="5AC5190A"/>
    <w:rsid w:val="5AE313D1"/>
    <w:rsid w:val="5B013A94"/>
    <w:rsid w:val="5B495A05"/>
    <w:rsid w:val="5B5625B0"/>
    <w:rsid w:val="5B67182F"/>
    <w:rsid w:val="5B76586A"/>
    <w:rsid w:val="5B856154"/>
    <w:rsid w:val="5B8E0630"/>
    <w:rsid w:val="5B9F15F9"/>
    <w:rsid w:val="5BC23293"/>
    <w:rsid w:val="5BD7329C"/>
    <w:rsid w:val="5C1F7066"/>
    <w:rsid w:val="5C214A54"/>
    <w:rsid w:val="5C2164A2"/>
    <w:rsid w:val="5C477B09"/>
    <w:rsid w:val="5C5E44A6"/>
    <w:rsid w:val="5C693EDD"/>
    <w:rsid w:val="5C7871A6"/>
    <w:rsid w:val="5CAD7EC2"/>
    <w:rsid w:val="5CB2320F"/>
    <w:rsid w:val="5CB83DB4"/>
    <w:rsid w:val="5CC5220D"/>
    <w:rsid w:val="5CD03318"/>
    <w:rsid w:val="5CE3624B"/>
    <w:rsid w:val="5CE52A06"/>
    <w:rsid w:val="5D0B2747"/>
    <w:rsid w:val="5D84345D"/>
    <w:rsid w:val="5DB15934"/>
    <w:rsid w:val="5DC81590"/>
    <w:rsid w:val="5DCE7B6A"/>
    <w:rsid w:val="5DE90234"/>
    <w:rsid w:val="5E3E0E83"/>
    <w:rsid w:val="5E9629B1"/>
    <w:rsid w:val="5EA2757A"/>
    <w:rsid w:val="5EA473FC"/>
    <w:rsid w:val="5EAC06A4"/>
    <w:rsid w:val="5EAF7185"/>
    <w:rsid w:val="5EBE2705"/>
    <w:rsid w:val="5EE739AB"/>
    <w:rsid w:val="5EE83BE6"/>
    <w:rsid w:val="5EED5241"/>
    <w:rsid w:val="5EF45E25"/>
    <w:rsid w:val="5F096500"/>
    <w:rsid w:val="5F161600"/>
    <w:rsid w:val="5F435082"/>
    <w:rsid w:val="5F915BA9"/>
    <w:rsid w:val="5F9C21AF"/>
    <w:rsid w:val="5FA0471D"/>
    <w:rsid w:val="5FA6643A"/>
    <w:rsid w:val="5FA77EC3"/>
    <w:rsid w:val="5FB023F9"/>
    <w:rsid w:val="5FDA260E"/>
    <w:rsid w:val="60090996"/>
    <w:rsid w:val="601F5738"/>
    <w:rsid w:val="602439AC"/>
    <w:rsid w:val="603053F7"/>
    <w:rsid w:val="605F262E"/>
    <w:rsid w:val="605F7F6F"/>
    <w:rsid w:val="607A0BC8"/>
    <w:rsid w:val="609854AC"/>
    <w:rsid w:val="609A6A8F"/>
    <w:rsid w:val="60AB5E43"/>
    <w:rsid w:val="60BF7151"/>
    <w:rsid w:val="60D941C1"/>
    <w:rsid w:val="60DE164D"/>
    <w:rsid w:val="61121168"/>
    <w:rsid w:val="612C6CA1"/>
    <w:rsid w:val="615C206B"/>
    <w:rsid w:val="61655E03"/>
    <w:rsid w:val="61AA3898"/>
    <w:rsid w:val="61CD54AD"/>
    <w:rsid w:val="61D70C94"/>
    <w:rsid w:val="62245C51"/>
    <w:rsid w:val="62430944"/>
    <w:rsid w:val="625141AD"/>
    <w:rsid w:val="625779EA"/>
    <w:rsid w:val="62611892"/>
    <w:rsid w:val="62735583"/>
    <w:rsid w:val="6279189A"/>
    <w:rsid w:val="62BE6A40"/>
    <w:rsid w:val="62C80E4C"/>
    <w:rsid w:val="62CE7BA6"/>
    <w:rsid w:val="63086C83"/>
    <w:rsid w:val="633F2AF5"/>
    <w:rsid w:val="6342724D"/>
    <w:rsid w:val="634C57E0"/>
    <w:rsid w:val="63502D9E"/>
    <w:rsid w:val="63D04F1C"/>
    <w:rsid w:val="63D74B9E"/>
    <w:rsid w:val="63E40A38"/>
    <w:rsid w:val="642A5704"/>
    <w:rsid w:val="6444471B"/>
    <w:rsid w:val="645E1DDB"/>
    <w:rsid w:val="645E434D"/>
    <w:rsid w:val="646C2B07"/>
    <w:rsid w:val="64767E25"/>
    <w:rsid w:val="647763BD"/>
    <w:rsid w:val="647B6F42"/>
    <w:rsid w:val="649A6E3B"/>
    <w:rsid w:val="64A21435"/>
    <w:rsid w:val="64B0621A"/>
    <w:rsid w:val="64E27580"/>
    <w:rsid w:val="64F90556"/>
    <w:rsid w:val="651948D6"/>
    <w:rsid w:val="65295550"/>
    <w:rsid w:val="6546280D"/>
    <w:rsid w:val="65566B8C"/>
    <w:rsid w:val="656533E1"/>
    <w:rsid w:val="656550A7"/>
    <w:rsid w:val="65727883"/>
    <w:rsid w:val="657A7697"/>
    <w:rsid w:val="65870790"/>
    <w:rsid w:val="658C39ED"/>
    <w:rsid w:val="65C04D8D"/>
    <w:rsid w:val="66270B2D"/>
    <w:rsid w:val="662E460A"/>
    <w:rsid w:val="664F09E5"/>
    <w:rsid w:val="667B178C"/>
    <w:rsid w:val="66950042"/>
    <w:rsid w:val="66AF0431"/>
    <w:rsid w:val="66C6257D"/>
    <w:rsid w:val="66C62A66"/>
    <w:rsid w:val="66D318C4"/>
    <w:rsid w:val="66F865C5"/>
    <w:rsid w:val="671A5C20"/>
    <w:rsid w:val="675C4FA1"/>
    <w:rsid w:val="67A87CAD"/>
    <w:rsid w:val="67C63C90"/>
    <w:rsid w:val="68065DA6"/>
    <w:rsid w:val="68130204"/>
    <w:rsid w:val="681F176F"/>
    <w:rsid w:val="682062BE"/>
    <w:rsid w:val="68560481"/>
    <w:rsid w:val="68983509"/>
    <w:rsid w:val="68A43209"/>
    <w:rsid w:val="68C33625"/>
    <w:rsid w:val="68F47CF2"/>
    <w:rsid w:val="692D3576"/>
    <w:rsid w:val="694D0EBA"/>
    <w:rsid w:val="69695E5F"/>
    <w:rsid w:val="697F2EEB"/>
    <w:rsid w:val="69D31413"/>
    <w:rsid w:val="69DD580C"/>
    <w:rsid w:val="6A037A6B"/>
    <w:rsid w:val="6A494954"/>
    <w:rsid w:val="6A6E7F93"/>
    <w:rsid w:val="6A9453C6"/>
    <w:rsid w:val="6A9E6884"/>
    <w:rsid w:val="6B3B6382"/>
    <w:rsid w:val="6B595AEF"/>
    <w:rsid w:val="6B8C192E"/>
    <w:rsid w:val="6B8D2C94"/>
    <w:rsid w:val="6B911B0F"/>
    <w:rsid w:val="6B95531D"/>
    <w:rsid w:val="6BD60AB7"/>
    <w:rsid w:val="6BD905E5"/>
    <w:rsid w:val="6BF05699"/>
    <w:rsid w:val="6BF40454"/>
    <w:rsid w:val="6C041AA9"/>
    <w:rsid w:val="6C0F3979"/>
    <w:rsid w:val="6C1B627A"/>
    <w:rsid w:val="6C2452A7"/>
    <w:rsid w:val="6C3933CF"/>
    <w:rsid w:val="6C4F30E4"/>
    <w:rsid w:val="6C7F4690"/>
    <w:rsid w:val="6C87696B"/>
    <w:rsid w:val="6C8B0111"/>
    <w:rsid w:val="6C9A421C"/>
    <w:rsid w:val="6CAA538F"/>
    <w:rsid w:val="6CBD1D27"/>
    <w:rsid w:val="6CC33916"/>
    <w:rsid w:val="6CD72CA5"/>
    <w:rsid w:val="6CDB432B"/>
    <w:rsid w:val="6CEC7FE3"/>
    <w:rsid w:val="6CED7F22"/>
    <w:rsid w:val="6CEF15A2"/>
    <w:rsid w:val="6CFE17F5"/>
    <w:rsid w:val="6D2C4082"/>
    <w:rsid w:val="6D375B13"/>
    <w:rsid w:val="6D3D5CAE"/>
    <w:rsid w:val="6D4573FA"/>
    <w:rsid w:val="6D535020"/>
    <w:rsid w:val="6D5F5B58"/>
    <w:rsid w:val="6D613975"/>
    <w:rsid w:val="6DA23B21"/>
    <w:rsid w:val="6DA94571"/>
    <w:rsid w:val="6DCC5977"/>
    <w:rsid w:val="6DD27580"/>
    <w:rsid w:val="6DEA4E65"/>
    <w:rsid w:val="6E007342"/>
    <w:rsid w:val="6E405C31"/>
    <w:rsid w:val="6E4811DF"/>
    <w:rsid w:val="6E4B3648"/>
    <w:rsid w:val="6E6233CD"/>
    <w:rsid w:val="6E8E57CF"/>
    <w:rsid w:val="6E8E5FC1"/>
    <w:rsid w:val="6E9E01DE"/>
    <w:rsid w:val="6ECE1ACA"/>
    <w:rsid w:val="6EE10B50"/>
    <w:rsid w:val="6F3500D5"/>
    <w:rsid w:val="6F686DDA"/>
    <w:rsid w:val="6F705E79"/>
    <w:rsid w:val="6F767E22"/>
    <w:rsid w:val="6F8531CB"/>
    <w:rsid w:val="6F9C1E72"/>
    <w:rsid w:val="6FA52B3D"/>
    <w:rsid w:val="6FB071D2"/>
    <w:rsid w:val="6FB96D89"/>
    <w:rsid w:val="6FD202D1"/>
    <w:rsid w:val="6FE5151B"/>
    <w:rsid w:val="70047A7F"/>
    <w:rsid w:val="70207E35"/>
    <w:rsid w:val="702A4495"/>
    <w:rsid w:val="7069428B"/>
    <w:rsid w:val="709551AA"/>
    <w:rsid w:val="709B119B"/>
    <w:rsid w:val="70A82CDF"/>
    <w:rsid w:val="70AA7FD2"/>
    <w:rsid w:val="70B80102"/>
    <w:rsid w:val="70BD252F"/>
    <w:rsid w:val="70F42E75"/>
    <w:rsid w:val="70F95F12"/>
    <w:rsid w:val="71142382"/>
    <w:rsid w:val="712458BE"/>
    <w:rsid w:val="712F3F4B"/>
    <w:rsid w:val="71371371"/>
    <w:rsid w:val="71377E4A"/>
    <w:rsid w:val="71640C1B"/>
    <w:rsid w:val="7203530D"/>
    <w:rsid w:val="720A17B0"/>
    <w:rsid w:val="72186714"/>
    <w:rsid w:val="7232770D"/>
    <w:rsid w:val="72522531"/>
    <w:rsid w:val="726179BA"/>
    <w:rsid w:val="72885E83"/>
    <w:rsid w:val="72BD44C7"/>
    <w:rsid w:val="72C66A44"/>
    <w:rsid w:val="72D74CA0"/>
    <w:rsid w:val="72D839FA"/>
    <w:rsid w:val="731F2108"/>
    <w:rsid w:val="732A73C1"/>
    <w:rsid w:val="7348084E"/>
    <w:rsid w:val="7367234A"/>
    <w:rsid w:val="7368602C"/>
    <w:rsid w:val="736E3342"/>
    <w:rsid w:val="739528E0"/>
    <w:rsid w:val="73A06C9E"/>
    <w:rsid w:val="73BB2B8F"/>
    <w:rsid w:val="73DA6AB0"/>
    <w:rsid w:val="74066F59"/>
    <w:rsid w:val="740B2D1F"/>
    <w:rsid w:val="740D5716"/>
    <w:rsid w:val="74154D9F"/>
    <w:rsid w:val="743229BC"/>
    <w:rsid w:val="74561A1A"/>
    <w:rsid w:val="746A6C30"/>
    <w:rsid w:val="748D4AA4"/>
    <w:rsid w:val="74E91F77"/>
    <w:rsid w:val="74FB3175"/>
    <w:rsid w:val="75752BD7"/>
    <w:rsid w:val="758B6B17"/>
    <w:rsid w:val="75B370B6"/>
    <w:rsid w:val="75D212D9"/>
    <w:rsid w:val="75F6177C"/>
    <w:rsid w:val="76125E3E"/>
    <w:rsid w:val="761C297E"/>
    <w:rsid w:val="762D4137"/>
    <w:rsid w:val="76440331"/>
    <w:rsid w:val="764F4511"/>
    <w:rsid w:val="76564A5D"/>
    <w:rsid w:val="76A64DA1"/>
    <w:rsid w:val="76BB0F9F"/>
    <w:rsid w:val="76EF422D"/>
    <w:rsid w:val="770B075A"/>
    <w:rsid w:val="772939F0"/>
    <w:rsid w:val="772C4C53"/>
    <w:rsid w:val="77417429"/>
    <w:rsid w:val="774A25C9"/>
    <w:rsid w:val="777142F7"/>
    <w:rsid w:val="77794677"/>
    <w:rsid w:val="777F0C69"/>
    <w:rsid w:val="77984987"/>
    <w:rsid w:val="77A2461B"/>
    <w:rsid w:val="77A61064"/>
    <w:rsid w:val="77A866D6"/>
    <w:rsid w:val="77B96D1A"/>
    <w:rsid w:val="77E02896"/>
    <w:rsid w:val="783C32B0"/>
    <w:rsid w:val="783E432C"/>
    <w:rsid w:val="785C09E2"/>
    <w:rsid w:val="787F3916"/>
    <w:rsid w:val="788D6CAA"/>
    <w:rsid w:val="78BE66CF"/>
    <w:rsid w:val="78CD2C36"/>
    <w:rsid w:val="78DB5135"/>
    <w:rsid w:val="78E2458A"/>
    <w:rsid w:val="78E82205"/>
    <w:rsid w:val="798D5507"/>
    <w:rsid w:val="799E580C"/>
    <w:rsid w:val="79A37E55"/>
    <w:rsid w:val="7A0529D6"/>
    <w:rsid w:val="7A107809"/>
    <w:rsid w:val="7A125FC8"/>
    <w:rsid w:val="7A20786C"/>
    <w:rsid w:val="7A27259B"/>
    <w:rsid w:val="7A3A50D3"/>
    <w:rsid w:val="7A5573D3"/>
    <w:rsid w:val="7A68540C"/>
    <w:rsid w:val="7A6A449A"/>
    <w:rsid w:val="7A792CA2"/>
    <w:rsid w:val="7A810CEB"/>
    <w:rsid w:val="7A956C3C"/>
    <w:rsid w:val="7AA45E90"/>
    <w:rsid w:val="7AA546C8"/>
    <w:rsid w:val="7AEC479B"/>
    <w:rsid w:val="7AFA7F24"/>
    <w:rsid w:val="7B016AA4"/>
    <w:rsid w:val="7B064085"/>
    <w:rsid w:val="7B0E5729"/>
    <w:rsid w:val="7B202C74"/>
    <w:rsid w:val="7B284F23"/>
    <w:rsid w:val="7B8866CF"/>
    <w:rsid w:val="7BB73998"/>
    <w:rsid w:val="7BCC2EF9"/>
    <w:rsid w:val="7BE40371"/>
    <w:rsid w:val="7BE777F3"/>
    <w:rsid w:val="7BEE7BF2"/>
    <w:rsid w:val="7C042669"/>
    <w:rsid w:val="7C321245"/>
    <w:rsid w:val="7C6406F0"/>
    <w:rsid w:val="7C6427BB"/>
    <w:rsid w:val="7CA92B0A"/>
    <w:rsid w:val="7CA93482"/>
    <w:rsid w:val="7CAE2989"/>
    <w:rsid w:val="7CB342C6"/>
    <w:rsid w:val="7CC64903"/>
    <w:rsid w:val="7CCB2DC7"/>
    <w:rsid w:val="7CD36B4F"/>
    <w:rsid w:val="7CD748DF"/>
    <w:rsid w:val="7CD923E9"/>
    <w:rsid w:val="7D1B7701"/>
    <w:rsid w:val="7D532E20"/>
    <w:rsid w:val="7D5F134C"/>
    <w:rsid w:val="7D60353F"/>
    <w:rsid w:val="7D7D60C7"/>
    <w:rsid w:val="7D9F1909"/>
    <w:rsid w:val="7DBF562B"/>
    <w:rsid w:val="7DC819FB"/>
    <w:rsid w:val="7DD33406"/>
    <w:rsid w:val="7E510636"/>
    <w:rsid w:val="7E9144E2"/>
    <w:rsid w:val="7E966375"/>
    <w:rsid w:val="7E9E256F"/>
    <w:rsid w:val="7EEA25A8"/>
    <w:rsid w:val="7EEA5F12"/>
    <w:rsid w:val="7EFC08D6"/>
    <w:rsid w:val="7F326329"/>
    <w:rsid w:val="7F3733F7"/>
    <w:rsid w:val="7F3F69EC"/>
    <w:rsid w:val="7F667352"/>
    <w:rsid w:val="7F7717D3"/>
    <w:rsid w:val="7F8E1326"/>
    <w:rsid w:val="7F8E6A24"/>
    <w:rsid w:val="7F95582F"/>
    <w:rsid w:val="7F9E4562"/>
    <w:rsid w:val="7FB45219"/>
    <w:rsid w:val="7FBA1B5D"/>
    <w:rsid w:val="7FBC514B"/>
    <w:rsid w:val="7FC055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73"/>
    <w:qFormat/>
    <w:locked/>
    <w:uiPriority w:val="0"/>
    <w:pPr>
      <w:keepNext/>
      <w:keepLines/>
      <w:spacing w:before="340" w:after="330" w:line="576" w:lineRule="auto"/>
      <w:outlineLvl w:val="0"/>
    </w:pPr>
    <w:rPr>
      <w:b/>
      <w:kern w:val="44"/>
      <w:sz w:val="44"/>
    </w:rPr>
  </w:style>
  <w:style w:type="paragraph" w:styleId="5">
    <w:name w:val="heading 2"/>
    <w:basedOn w:val="1"/>
    <w:next w:val="1"/>
    <w:link w:val="43"/>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4"/>
    <w:qFormat/>
    <w:uiPriority w:val="99"/>
    <w:pPr>
      <w:keepNext/>
      <w:keepLines/>
      <w:spacing w:before="260" w:after="260" w:line="416" w:lineRule="auto"/>
      <w:outlineLvl w:val="2"/>
    </w:pPr>
    <w:rPr>
      <w:b/>
      <w:bCs/>
      <w:sz w:val="32"/>
      <w:szCs w:val="32"/>
    </w:rPr>
  </w:style>
  <w:style w:type="paragraph" w:styleId="7">
    <w:name w:val="heading 4"/>
    <w:basedOn w:val="1"/>
    <w:next w:val="1"/>
    <w:link w:val="45"/>
    <w:qFormat/>
    <w:uiPriority w:val="99"/>
    <w:pPr>
      <w:keepNext/>
      <w:keepLines/>
      <w:spacing w:before="280" w:after="290" w:line="372" w:lineRule="auto"/>
      <w:ind w:firstLine="200" w:firstLineChars="200"/>
      <w:outlineLvl w:val="3"/>
    </w:pPr>
    <w:rPr>
      <w:rFonts w:ascii="Arial" w:hAnsi="Arial" w:eastAsia="黑体"/>
      <w:b/>
      <w:sz w:val="24"/>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qFormat/>
    <w:uiPriority w:val="99"/>
    <w:pPr>
      <w:spacing w:after="120"/>
    </w:pPr>
  </w:style>
  <w:style w:type="paragraph" w:styleId="3">
    <w:name w:val="Date"/>
    <w:basedOn w:val="1"/>
    <w:next w:val="1"/>
    <w:qFormat/>
    <w:uiPriority w:val="99"/>
    <w:pPr>
      <w:ind w:left="100" w:leftChars="2500"/>
    </w:pPr>
  </w:style>
  <w:style w:type="paragraph" w:styleId="8">
    <w:name w:val="Normal Indent"/>
    <w:basedOn w:val="1"/>
    <w:qFormat/>
    <w:uiPriority w:val="99"/>
    <w:pPr>
      <w:ind w:firstLine="420" w:firstLineChars="200"/>
    </w:pPr>
  </w:style>
  <w:style w:type="paragraph" w:styleId="9">
    <w:name w:val="annotation text"/>
    <w:basedOn w:val="1"/>
    <w:link w:val="71"/>
    <w:semiHidden/>
    <w:unhideWhenUsed/>
    <w:qFormat/>
    <w:uiPriority w:val="99"/>
    <w:pPr>
      <w:jc w:val="left"/>
    </w:pPr>
  </w:style>
  <w:style w:type="paragraph" w:styleId="10">
    <w:name w:val="Body Text Indent"/>
    <w:basedOn w:val="1"/>
    <w:next w:val="1"/>
    <w:link w:val="47"/>
    <w:qFormat/>
    <w:uiPriority w:val="99"/>
    <w:pPr>
      <w:ind w:firstLine="630"/>
    </w:pPr>
    <w:rPr>
      <w:sz w:val="32"/>
    </w:rPr>
  </w:style>
  <w:style w:type="paragraph" w:styleId="11">
    <w:name w:val="Block Text"/>
    <w:basedOn w:val="1"/>
    <w:qFormat/>
    <w:uiPriority w:val="0"/>
    <w:pPr>
      <w:spacing w:after="120"/>
      <w:ind w:left="1440" w:leftChars="700" w:right="700" w:rightChars="700"/>
    </w:pPr>
  </w:style>
  <w:style w:type="paragraph" w:styleId="12">
    <w:name w:val="Plain Text"/>
    <w:basedOn w:val="1"/>
    <w:link w:val="48"/>
    <w:qFormat/>
    <w:uiPriority w:val="99"/>
    <w:pPr>
      <w:autoSpaceDE w:val="0"/>
      <w:autoSpaceDN w:val="0"/>
      <w:adjustRightInd w:val="0"/>
    </w:pPr>
    <w:rPr>
      <w:rFonts w:hAnsi="Tms Rmn"/>
      <w:szCs w:val="22"/>
    </w:rPr>
  </w:style>
  <w:style w:type="paragraph" w:styleId="13">
    <w:name w:val="Body Text Indent 2"/>
    <w:basedOn w:val="1"/>
    <w:link w:val="49"/>
    <w:qFormat/>
    <w:uiPriority w:val="99"/>
    <w:pPr>
      <w:spacing w:after="120" w:line="480" w:lineRule="auto"/>
      <w:ind w:left="420" w:leftChars="200"/>
    </w:pPr>
  </w:style>
  <w:style w:type="paragraph" w:styleId="14">
    <w:name w:val="Balloon Text"/>
    <w:basedOn w:val="1"/>
    <w:link w:val="70"/>
    <w:semiHidden/>
    <w:unhideWhenUsed/>
    <w:qFormat/>
    <w:uiPriority w:val="99"/>
    <w:rPr>
      <w:sz w:val="18"/>
      <w:szCs w:val="18"/>
    </w:rPr>
  </w:style>
  <w:style w:type="paragraph" w:styleId="15">
    <w:name w:val="footer"/>
    <w:basedOn w:val="1"/>
    <w:link w:val="50"/>
    <w:qFormat/>
    <w:uiPriority w:val="99"/>
    <w:pPr>
      <w:tabs>
        <w:tab w:val="center" w:pos="4153"/>
        <w:tab w:val="right" w:pos="8306"/>
      </w:tabs>
      <w:snapToGrid w:val="0"/>
      <w:jc w:val="left"/>
    </w:pPr>
    <w:rPr>
      <w:sz w:val="18"/>
      <w:szCs w:val="18"/>
    </w:rPr>
  </w:style>
  <w:style w:type="paragraph" w:styleId="16">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line="480" w:lineRule="auto"/>
    </w:pPr>
    <w:rPr>
      <w:sz w:val="24"/>
    </w:rPr>
  </w:style>
  <w:style w:type="paragraph" w:styleId="18">
    <w:name w:val="Subtitle"/>
    <w:basedOn w:val="1"/>
    <w:next w:val="1"/>
    <w:qFormat/>
    <w:locked/>
    <w:uiPriority w:val="11"/>
    <w:pPr>
      <w:spacing w:before="240" w:after="60" w:line="312" w:lineRule="auto"/>
      <w:jc w:val="center"/>
      <w:outlineLvl w:val="1"/>
    </w:pPr>
    <w:rPr>
      <w:rFonts w:ascii="Cambria" w:hAnsi="Cambria" w:eastAsia="宋体" w:cs="Times New Roman"/>
      <w:b/>
      <w:bCs/>
      <w:kern w:val="28"/>
      <w:sz w:val="32"/>
      <w:szCs w:val="32"/>
    </w:rPr>
  </w:style>
  <w:style w:type="paragraph" w:styleId="19">
    <w:name w:val="Normal (Web)"/>
    <w:basedOn w:val="1"/>
    <w:qFormat/>
    <w:uiPriority w:val="99"/>
    <w:pPr>
      <w:widowControl/>
      <w:spacing w:before="100" w:beforeAutospacing="1" w:after="100" w:afterAutospacing="1"/>
      <w:jc w:val="left"/>
    </w:pPr>
    <w:rPr>
      <w:rFonts w:hAnsi="宋体"/>
      <w:sz w:val="18"/>
      <w:szCs w:val="18"/>
    </w:rPr>
  </w:style>
  <w:style w:type="paragraph" w:styleId="20">
    <w:name w:val="Title"/>
    <w:basedOn w:val="1"/>
    <w:next w:val="1"/>
    <w:link w:val="52"/>
    <w:qFormat/>
    <w:uiPriority w:val="99"/>
    <w:pPr>
      <w:spacing w:before="240" w:after="60"/>
      <w:jc w:val="center"/>
      <w:outlineLvl w:val="0"/>
    </w:pPr>
    <w:rPr>
      <w:rFonts w:ascii="Cambria" w:hAnsi="Cambria"/>
      <w:b/>
      <w:bCs/>
      <w:sz w:val="32"/>
      <w:szCs w:val="32"/>
    </w:rPr>
  </w:style>
  <w:style w:type="paragraph" w:styleId="21">
    <w:name w:val="annotation subject"/>
    <w:basedOn w:val="9"/>
    <w:next w:val="9"/>
    <w:link w:val="72"/>
    <w:semiHidden/>
    <w:unhideWhenUsed/>
    <w:qFormat/>
    <w:uiPriority w:val="99"/>
    <w:rPr>
      <w:b/>
      <w:bCs/>
    </w:rPr>
  </w:style>
  <w:style w:type="paragraph" w:styleId="22">
    <w:name w:val="Body Text First Indent"/>
    <w:basedOn w:val="2"/>
    <w:unhideWhenUsed/>
    <w:qFormat/>
    <w:uiPriority w:val="99"/>
    <w:pPr>
      <w:ind w:firstLine="420" w:firstLineChars="100"/>
    </w:pPr>
    <w:rPr>
      <w:szCs w:val="22"/>
    </w:rPr>
  </w:style>
  <w:style w:type="paragraph" w:styleId="23">
    <w:name w:val="Body Text First Indent 2"/>
    <w:basedOn w:val="10"/>
    <w:qFormat/>
    <w:uiPriority w:val="0"/>
    <w:pPr>
      <w:ind w:firstLine="420" w:firstLineChars="200"/>
    </w:p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qFormat/>
    <w:locked/>
    <w:uiPriority w:val="0"/>
    <w:rPr>
      <w:b/>
      <w:bCs/>
    </w:rPr>
  </w:style>
  <w:style w:type="character" w:styleId="28">
    <w:name w:val="page number"/>
    <w:basedOn w:val="26"/>
    <w:qFormat/>
    <w:uiPriority w:val="99"/>
    <w:rPr>
      <w:rFonts w:cs="Times New Roman"/>
    </w:rPr>
  </w:style>
  <w:style w:type="character" w:styleId="29">
    <w:name w:val="FollowedHyperlink"/>
    <w:basedOn w:val="26"/>
    <w:semiHidden/>
    <w:unhideWhenUsed/>
    <w:qFormat/>
    <w:uiPriority w:val="99"/>
    <w:rPr>
      <w:color w:val="3D3D3D"/>
      <w:u w:val="none"/>
    </w:rPr>
  </w:style>
  <w:style w:type="character" w:styleId="30">
    <w:name w:val="Emphasis"/>
    <w:basedOn w:val="26"/>
    <w:qFormat/>
    <w:locked/>
    <w:uiPriority w:val="0"/>
    <w:rPr>
      <w:b/>
      <w:bCs/>
    </w:rPr>
  </w:style>
  <w:style w:type="character" w:styleId="31">
    <w:name w:val="HTML Definition"/>
    <w:basedOn w:val="26"/>
    <w:semiHidden/>
    <w:unhideWhenUsed/>
    <w:qFormat/>
    <w:uiPriority w:val="99"/>
  </w:style>
  <w:style w:type="character" w:styleId="32">
    <w:name w:val="HTML Typewriter"/>
    <w:basedOn w:val="26"/>
    <w:semiHidden/>
    <w:unhideWhenUsed/>
    <w:qFormat/>
    <w:uiPriority w:val="99"/>
    <w:rPr>
      <w:rFonts w:hint="default" w:ascii="monospace" w:hAnsi="monospace" w:eastAsia="monospace" w:cs="monospace"/>
      <w:sz w:val="20"/>
    </w:rPr>
  </w:style>
  <w:style w:type="character" w:styleId="33">
    <w:name w:val="HTML Acronym"/>
    <w:basedOn w:val="26"/>
    <w:semiHidden/>
    <w:unhideWhenUsed/>
    <w:qFormat/>
    <w:uiPriority w:val="99"/>
  </w:style>
  <w:style w:type="character" w:styleId="34">
    <w:name w:val="HTML Variable"/>
    <w:basedOn w:val="26"/>
    <w:semiHidden/>
    <w:unhideWhenUsed/>
    <w:qFormat/>
    <w:uiPriority w:val="99"/>
  </w:style>
  <w:style w:type="character" w:styleId="35">
    <w:name w:val="Hyperlink"/>
    <w:basedOn w:val="26"/>
    <w:qFormat/>
    <w:uiPriority w:val="99"/>
    <w:rPr>
      <w:rFonts w:cs="Times New Roman"/>
      <w:color w:val="0000FF"/>
      <w:u w:val="single"/>
    </w:rPr>
  </w:style>
  <w:style w:type="character" w:styleId="36">
    <w:name w:val="HTML Code"/>
    <w:basedOn w:val="26"/>
    <w:semiHidden/>
    <w:unhideWhenUsed/>
    <w:qFormat/>
    <w:uiPriority w:val="99"/>
    <w:rPr>
      <w:rFonts w:ascii="monospace" w:hAnsi="monospace" w:eastAsia="monospace" w:cs="monospace"/>
      <w:sz w:val="20"/>
    </w:rPr>
  </w:style>
  <w:style w:type="character" w:styleId="37">
    <w:name w:val="annotation reference"/>
    <w:basedOn w:val="26"/>
    <w:semiHidden/>
    <w:unhideWhenUsed/>
    <w:qFormat/>
    <w:uiPriority w:val="99"/>
    <w:rPr>
      <w:sz w:val="21"/>
      <w:szCs w:val="21"/>
    </w:rPr>
  </w:style>
  <w:style w:type="character" w:styleId="38">
    <w:name w:val="HTML Cite"/>
    <w:basedOn w:val="26"/>
    <w:semiHidden/>
    <w:unhideWhenUsed/>
    <w:qFormat/>
    <w:uiPriority w:val="99"/>
  </w:style>
  <w:style w:type="character" w:styleId="39">
    <w:name w:val="HTML Keyboard"/>
    <w:basedOn w:val="26"/>
    <w:semiHidden/>
    <w:unhideWhenUsed/>
    <w:qFormat/>
    <w:uiPriority w:val="99"/>
    <w:rPr>
      <w:rFonts w:hint="default" w:ascii="monospace" w:hAnsi="monospace" w:eastAsia="monospace" w:cs="monospace"/>
      <w:sz w:val="20"/>
    </w:rPr>
  </w:style>
  <w:style w:type="character" w:styleId="40">
    <w:name w:val="HTML Sample"/>
    <w:basedOn w:val="26"/>
    <w:semiHidden/>
    <w:unhideWhenUsed/>
    <w:qFormat/>
    <w:uiPriority w:val="99"/>
    <w:rPr>
      <w:rFonts w:hint="default" w:ascii="monospace" w:hAnsi="monospace" w:eastAsia="monospace" w:cs="monospace"/>
    </w:rPr>
  </w:style>
  <w:style w:type="paragraph" w:styleId="41">
    <w:name w:val="Quote"/>
    <w:basedOn w:val="1"/>
    <w:next w:val="1"/>
    <w:qFormat/>
    <w:uiPriority w:val="0"/>
    <w:pPr>
      <w:wordWrap w:val="0"/>
      <w:spacing w:before="200" w:after="160"/>
      <w:ind w:left="864" w:right="864"/>
      <w:jc w:val="center"/>
    </w:pPr>
    <w:rPr>
      <w:i/>
      <w:sz w:val="21"/>
      <w:lang w:val="en-US" w:eastAsia="zh-CN" w:bidi="ar-SA"/>
    </w:rPr>
  </w:style>
  <w:style w:type="paragraph" w:customStyle="1" w:styleId="42">
    <w:name w:val="BodyText"/>
    <w:basedOn w:val="1"/>
    <w:next w:val="1"/>
    <w:qFormat/>
    <w:uiPriority w:val="0"/>
    <w:pPr>
      <w:spacing w:after="120"/>
      <w:textAlignment w:val="baseline"/>
    </w:pPr>
  </w:style>
  <w:style w:type="character" w:customStyle="1" w:styleId="43">
    <w:name w:val="标题 2 字符"/>
    <w:basedOn w:val="26"/>
    <w:link w:val="5"/>
    <w:semiHidden/>
    <w:qFormat/>
    <w:uiPriority w:val="9"/>
    <w:rPr>
      <w:rFonts w:asciiTheme="majorHAnsi" w:hAnsiTheme="majorHAnsi" w:eastAsiaTheme="majorEastAsia" w:cstheme="majorBidi"/>
      <w:b/>
      <w:bCs/>
      <w:sz w:val="32"/>
      <w:szCs w:val="32"/>
    </w:rPr>
  </w:style>
  <w:style w:type="character" w:customStyle="1" w:styleId="44">
    <w:name w:val="标题 3 字符"/>
    <w:basedOn w:val="26"/>
    <w:link w:val="6"/>
    <w:semiHidden/>
    <w:qFormat/>
    <w:uiPriority w:val="9"/>
    <w:rPr>
      <w:b/>
      <w:bCs/>
      <w:sz w:val="32"/>
      <w:szCs w:val="32"/>
    </w:rPr>
  </w:style>
  <w:style w:type="character" w:customStyle="1" w:styleId="45">
    <w:name w:val="标题 4 字符"/>
    <w:basedOn w:val="26"/>
    <w:link w:val="7"/>
    <w:semiHidden/>
    <w:qFormat/>
    <w:uiPriority w:val="9"/>
    <w:rPr>
      <w:rFonts w:asciiTheme="majorHAnsi" w:hAnsiTheme="majorHAnsi" w:eastAsiaTheme="majorEastAsia" w:cstheme="majorBidi"/>
      <w:b/>
      <w:bCs/>
      <w:sz w:val="28"/>
      <w:szCs w:val="28"/>
    </w:rPr>
  </w:style>
  <w:style w:type="character" w:customStyle="1" w:styleId="46">
    <w:name w:val="正文文本 字符"/>
    <w:basedOn w:val="26"/>
    <w:link w:val="2"/>
    <w:semiHidden/>
    <w:qFormat/>
    <w:uiPriority w:val="99"/>
    <w:rPr>
      <w:szCs w:val="24"/>
    </w:rPr>
  </w:style>
  <w:style w:type="character" w:customStyle="1" w:styleId="47">
    <w:name w:val="正文文本缩进 字符"/>
    <w:basedOn w:val="26"/>
    <w:link w:val="10"/>
    <w:semiHidden/>
    <w:qFormat/>
    <w:uiPriority w:val="99"/>
    <w:rPr>
      <w:szCs w:val="24"/>
    </w:rPr>
  </w:style>
  <w:style w:type="character" w:customStyle="1" w:styleId="48">
    <w:name w:val="纯文本 字符"/>
    <w:basedOn w:val="26"/>
    <w:link w:val="12"/>
    <w:semiHidden/>
    <w:qFormat/>
    <w:uiPriority w:val="99"/>
    <w:rPr>
      <w:rFonts w:ascii="宋体" w:hAnsi="Courier New" w:cs="Courier New"/>
      <w:szCs w:val="21"/>
    </w:rPr>
  </w:style>
  <w:style w:type="character" w:customStyle="1" w:styleId="49">
    <w:name w:val="正文文本缩进 2 字符"/>
    <w:basedOn w:val="26"/>
    <w:link w:val="13"/>
    <w:semiHidden/>
    <w:qFormat/>
    <w:uiPriority w:val="99"/>
    <w:rPr>
      <w:szCs w:val="24"/>
    </w:rPr>
  </w:style>
  <w:style w:type="character" w:customStyle="1" w:styleId="50">
    <w:name w:val="页脚 字符"/>
    <w:basedOn w:val="26"/>
    <w:link w:val="15"/>
    <w:semiHidden/>
    <w:qFormat/>
    <w:uiPriority w:val="99"/>
    <w:rPr>
      <w:sz w:val="18"/>
      <w:szCs w:val="18"/>
    </w:rPr>
  </w:style>
  <w:style w:type="character" w:customStyle="1" w:styleId="51">
    <w:name w:val="页眉 字符"/>
    <w:basedOn w:val="26"/>
    <w:link w:val="16"/>
    <w:semiHidden/>
    <w:qFormat/>
    <w:uiPriority w:val="99"/>
    <w:rPr>
      <w:sz w:val="18"/>
      <w:szCs w:val="18"/>
    </w:rPr>
  </w:style>
  <w:style w:type="character" w:customStyle="1" w:styleId="52">
    <w:name w:val="标题 字符"/>
    <w:basedOn w:val="26"/>
    <w:link w:val="20"/>
    <w:qFormat/>
    <w:uiPriority w:val="10"/>
    <w:rPr>
      <w:rFonts w:asciiTheme="majorHAnsi" w:hAnsiTheme="majorHAnsi" w:cstheme="majorBidi"/>
      <w:b/>
      <w:bCs/>
      <w:sz w:val="32"/>
      <w:szCs w:val="32"/>
    </w:rPr>
  </w:style>
  <w:style w:type="paragraph" w:customStyle="1" w:styleId="53">
    <w:name w:val="正文首行缩进两字符"/>
    <w:basedOn w:val="1"/>
    <w:qFormat/>
    <w:uiPriority w:val="99"/>
    <w:pPr>
      <w:spacing w:line="360" w:lineRule="auto"/>
      <w:ind w:firstLine="200" w:firstLineChars="200"/>
    </w:pPr>
  </w:style>
  <w:style w:type="paragraph" w:customStyle="1" w:styleId="54">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55">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6">
    <w:name w:val="样式 首行缩进:  2 字符"/>
    <w:basedOn w:val="1"/>
    <w:qFormat/>
    <w:uiPriority w:val="99"/>
    <w:pPr>
      <w:spacing w:line="400" w:lineRule="exact"/>
      <w:ind w:firstLine="200" w:firstLineChars="200"/>
    </w:pPr>
    <w:rPr>
      <w:rFonts w:cs="宋体"/>
      <w:sz w:val="24"/>
    </w:rPr>
  </w:style>
  <w:style w:type="paragraph" w:customStyle="1" w:styleId="57">
    <w:name w:val="_Style 2"/>
    <w:basedOn w:val="1"/>
    <w:qFormat/>
    <w:uiPriority w:val="99"/>
    <w:pPr>
      <w:ind w:firstLine="420" w:firstLineChars="200"/>
    </w:pPr>
    <w:rPr>
      <w:sz w:val="18"/>
      <w:szCs w:val="18"/>
    </w:rPr>
  </w:style>
  <w:style w:type="paragraph" w:customStyle="1" w:styleId="58">
    <w:name w:val="列出段落1"/>
    <w:basedOn w:val="1"/>
    <w:qFormat/>
    <w:uiPriority w:val="99"/>
    <w:pPr>
      <w:widowControl/>
      <w:spacing w:before="39" w:after="158" w:line="351" w:lineRule="atLeast"/>
      <w:ind w:firstLine="419"/>
      <w:textAlignment w:val="baseline"/>
    </w:pPr>
    <w:rPr>
      <w:color w:val="000000"/>
      <w:u w:color="000000"/>
    </w:rPr>
  </w:style>
  <w:style w:type="paragraph" w:customStyle="1" w:styleId="59">
    <w:name w:val="List Paragraph1"/>
    <w:basedOn w:val="1"/>
    <w:qFormat/>
    <w:uiPriority w:val="99"/>
    <w:pPr>
      <w:ind w:firstLine="420" w:firstLineChars="200"/>
    </w:pPr>
    <w:rPr>
      <w:rFonts w:ascii="Calibri" w:hAnsi="Calibri"/>
    </w:rPr>
  </w:style>
  <w:style w:type="character" w:customStyle="1" w:styleId="60">
    <w:name w:val="标题 1 字符"/>
    <w:qFormat/>
    <w:uiPriority w:val="0"/>
    <w:rPr>
      <w:b/>
      <w:kern w:val="44"/>
      <w:sz w:val="44"/>
    </w:rPr>
  </w:style>
  <w:style w:type="character" w:customStyle="1" w:styleId="61">
    <w:name w:val="img"/>
    <w:basedOn w:val="26"/>
    <w:qFormat/>
    <w:uiPriority w:val="0"/>
  </w:style>
  <w:style w:type="character" w:customStyle="1" w:styleId="62">
    <w:name w:val="img1"/>
    <w:basedOn w:val="26"/>
    <w:qFormat/>
    <w:uiPriority w:val="0"/>
  </w:style>
  <w:style w:type="paragraph" w:customStyle="1" w:styleId="6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4">
    <w:name w:val="列出段落2"/>
    <w:basedOn w:val="1"/>
    <w:qFormat/>
    <w:uiPriority w:val="0"/>
    <w:pPr>
      <w:ind w:firstLine="420" w:firstLineChars="200"/>
    </w:pPr>
  </w:style>
  <w:style w:type="paragraph" w:styleId="65">
    <w:name w:val="List Paragraph"/>
    <w:basedOn w:val="1"/>
    <w:qFormat/>
    <w:uiPriority w:val="0"/>
    <w:pPr>
      <w:ind w:firstLine="420" w:firstLineChars="200"/>
    </w:pPr>
    <w:rPr>
      <w:sz w:val="18"/>
      <w:szCs w:val="18"/>
    </w:rPr>
  </w:style>
  <w:style w:type="paragraph" w:customStyle="1" w:styleId="66">
    <w:name w:val="01、普通正文"/>
    <w:basedOn w:val="1"/>
    <w:qFormat/>
    <w:uiPriority w:val="0"/>
    <w:pPr>
      <w:tabs>
        <w:tab w:val="left" w:pos="0"/>
      </w:tabs>
      <w:wordWrap w:val="0"/>
      <w:topLinePunct/>
      <w:adjustRightInd w:val="0"/>
      <w:snapToGrid w:val="0"/>
      <w:spacing w:line="440" w:lineRule="exact"/>
      <w:jc w:val="left"/>
    </w:pPr>
    <w:rPr>
      <w:rFonts w:hAnsi="宋体"/>
      <w:snapToGrid w:val="0"/>
      <w:sz w:val="24"/>
    </w:rPr>
  </w:style>
  <w:style w:type="paragraph" w:customStyle="1" w:styleId="67">
    <w:name w:val="13、表格内居中正文"/>
    <w:basedOn w:val="1"/>
    <w:qFormat/>
    <w:uiPriority w:val="0"/>
    <w:pPr>
      <w:tabs>
        <w:tab w:val="left" w:pos="0"/>
      </w:tabs>
      <w:wordWrap w:val="0"/>
      <w:topLinePunct/>
      <w:adjustRightInd w:val="0"/>
      <w:snapToGrid w:val="0"/>
      <w:spacing w:line="360" w:lineRule="exact"/>
      <w:jc w:val="center"/>
    </w:pPr>
    <w:rPr>
      <w:rFonts w:hAnsi="宋体"/>
    </w:rPr>
  </w:style>
  <w:style w:type="paragraph" w:customStyle="1" w:styleId="68">
    <w:name w:val="12、表格内左对齐正文"/>
    <w:basedOn w:val="1"/>
    <w:qFormat/>
    <w:uiPriority w:val="0"/>
    <w:pPr>
      <w:tabs>
        <w:tab w:val="left" w:pos="0"/>
      </w:tabs>
      <w:wordWrap w:val="0"/>
      <w:topLinePunct/>
      <w:adjustRightInd w:val="0"/>
      <w:snapToGrid w:val="0"/>
      <w:spacing w:line="360" w:lineRule="exact"/>
      <w:ind w:left="48" w:leftChars="20"/>
      <w:jc w:val="left"/>
    </w:pPr>
    <w:rPr>
      <w:rFonts w:hAnsi="宋体"/>
      <w:snapToGrid w:val="0"/>
    </w:rPr>
  </w:style>
  <w:style w:type="paragraph" w:customStyle="1" w:styleId="69">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character" w:customStyle="1" w:styleId="70">
    <w:name w:val="批注框文本 字符"/>
    <w:basedOn w:val="26"/>
    <w:link w:val="14"/>
    <w:semiHidden/>
    <w:qFormat/>
    <w:uiPriority w:val="99"/>
    <w:rPr>
      <w:rFonts w:ascii="宋体"/>
      <w:sz w:val="18"/>
      <w:szCs w:val="18"/>
    </w:rPr>
  </w:style>
  <w:style w:type="character" w:customStyle="1" w:styleId="71">
    <w:name w:val="批注文字 字符"/>
    <w:basedOn w:val="26"/>
    <w:link w:val="9"/>
    <w:semiHidden/>
    <w:qFormat/>
    <w:uiPriority w:val="99"/>
    <w:rPr>
      <w:rFonts w:ascii="宋体"/>
      <w:sz w:val="34"/>
    </w:rPr>
  </w:style>
  <w:style w:type="character" w:customStyle="1" w:styleId="72">
    <w:name w:val="批注主题 字符"/>
    <w:basedOn w:val="71"/>
    <w:link w:val="21"/>
    <w:semiHidden/>
    <w:qFormat/>
    <w:uiPriority w:val="99"/>
    <w:rPr>
      <w:rFonts w:ascii="宋体"/>
      <w:b/>
      <w:bCs/>
      <w:sz w:val="34"/>
    </w:rPr>
  </w:style>
  <w:style w:type="character" w:customStyle="1" w:styleId="73">
    <w:name w:val="标题 1 字符1"/>
    <w:link w:val="4"/>
    <w:qFormat/>
    <w:uiPriority w:val="0"/>
    <w:rPr>
      <w:b/>
      <w:bCs/>
      <w:kern w:val="44"/>
      <w:sz w:val="44"/>
      <w:szCs w:val="44"/>
    </w:rPr>
  </w:style>
  <w:style w:type="paragraph" w:customStyle="1" w:styleId="74">
    <w:name w:val="首行缩进"/>
    <w:basedOn w:val="1"/>
    <w:qFormat/>
    <w:uiPriority w:val="0"/>
    <w:pPr>
      <w:adjustRightInd w:val="0"/>
      <w:snapToGrid w:val="0"/>
    </w:pPr>
    <w:rPr>
      <w:rFonts w:ascii="Times New Roman"/>
      <w:kern w:val="2"/>
      <w:sz w:val="24"/>
      <w:szCs w:val="24"/>
      <w:lang w:val="zh-CN"/>
    </w:rPr>
  </w:style>
  <w:style w:type="paragraph" w:customStyle="1" w:styleId="75">
    <w:name w:val="Table Paragraph"/>
    <w:basedOn w:val="1"/>
    <w:qFormat/>
    <w:uiPriority w:val="1"/>
    <w:pPr>
      <w:spacing w:before="92"/>
      <w:ind w:left="111"/>
      <w:jc w:val="center"/>
    </w:pPr>
    <w:rPr>
      <w:rFonts w:ascii="楷体" w:hAnsi="楷体" w:eastAsia="楷体" w:cs="楷体"/>
      <w:lang w:val="zh-CN" w:eastAsia="zh-CN" w:bidi="zh-CN"/>
    </w:rPr>
  </w:style>
  <w:style w:type="character" w:customStyle="1" w:styleId="76">
    <w:name w:val="hover1"/>
    <w:basedOn w:val="26"/>
    <w:qFormat/>
    <w:uiPriority w:val="0"/>
  </w:style>
  <w:style w:type="character" w:customStyle="1" w:styleId="77">
    <w:name w:val="hover2"/>
    <w:basedOn w:val="26"/>
    <w:qFormat/>
    <w:uiPriority w:val="0"/>
    <w:rPr>
      <w:color w:val="2590EB"/>
    </w:rPr>
  </w:style>
  <w:style w:type="character" w:customStyle="1" w:styleId="78">
    <w:name w:val="hover3"/>
    <w:basedOn w:val="26"/>
    <w:qFormat/>
    <w:uiPriority w:val="0"/>
    <w:rPr>
      <w:color w:val="2590EB"/>
    </w:rPr>
  </w:style>
  <w:style w:type="character" w:customStyle="1" w:styleId="79">
    <w:name w:val="mini-outputtext1"/>
    <w:basedOn w:val="26"/>
    <w:qFormat/>
    <w:uiPriority w:val="0"/>
  </w:style>
  <w:style w:type="character" w:customStyle="1" w:styleId="80">
    <w:name w:val="font51"/>
    <w:basedOn w:val="26"/>
    <w:qFormat/>
    <w:uiPriority w:val="0"/>
    <w:rPr>
      <w:rFonts w:hint="eastAsia" w:ascii="宋体" w:hAnsi="宋体" w:eastAsia="宋体" w:cs="宋体"/>
      <w:color w:val="000000"/>
      <w:sz w:val="24"/>
      <w:szCs w:val="24"/>
      <w:u w:val="none"/>
    </w:rPr>
  </w:style>
  <w:style w:type="character" w:customStyle="1" w:styleId="81">
    <w:name w:val="hover"/>
    <w:basedOn w:val="26"/>
    <w:qFormat/>
    <w:uiPriority w:val="0"/>
    <w:rPr>
      <w:color w:val="2590EB"/>
    </w:rPr>
  </w:style>
  <w:style w:type="paragraph" w:customStyle="1" w:styleId="82">
    <w:name w:val="0"/>
    <w:basedOn w:val="1"/>
    <w:qFormat/>
    <w:uiPriority w:val="0"/>
    <w:pPr>
      <w:widowControl/>
      <w:snapToGrid w:val="0"/>
    </w:pPr>
    <w:rPr>
      <w:rFonts w:ascii="Times New Roman" w:hAnsi="Times New Roman"/>
      <w:szCs w:val="21"/>
    </w:rPr>
  </w:style>
  <w:style w:type="paragraph" w:customStyle="1" w:styleId="83">
    <w:name w:val="1级序标"/>
    <w:basedOn w:val="1"/>
    <w:qFormat/>
    <w:uiPriority w:val="0"/>
    <w:pPr>
      <w:numPr>
        <w:ilvl w:val="0"/>
        <w:numId w:val="1"/>
      </w:numPr>
      <w:adjustRightInd w:val="0"/>
      <w:snapToGrid w:val="0"/>
      <w:spacing w:line="360" w:lineRule="auto"/>
      <w:jc w:val="left"/>
    </w:pPr>
    <w:rPr>
      <w:rFonts w:ascii="Times New Roman" w:hAnsi="Times New Roman" w:eastAsia="宋体" w:cs="Times New Roman"/>
      <w:sz w:val="24"/>
      <w:szCs w:val="24"/>
    </w:rPr>
  </w:style>
  <w:style w:type="paragraph" w:customStyle="1" w:styleId="8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7F4A8-6EEE-5440-A332-F86364E830AD}">
  <ds:schemaRefs/>
</ds:datastoreItem>
</file>

<file path=docProps/app.xml><?xml version="1.0" encoding="utf-8"?>
<Properties xmlns="http://schemas.openxmlformats.org/officeDocument/2006/extended-properties" xmlns:vt="http://schemas.openxmlformats.org/officeDocument/2006/docPropsVTypes">
  <Template>Normal</Template>
  <Pages>80</Pages>
  <Words>38163</Words>
  <Characters>40487</Characters>
  <Lines>293</Lines>
  <Paragraphs>82</Paragraphs>
  <TotalTime>10</TotalTime>
  <ScaleCrop>false</ScaleCrop>
  <LinksUpToDate>false</LinksUpToDate>
  <CharactersWithSpaces>41595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2018-09-04T06:38:00Z</dcterms:created>
  <dc:creator>freda+</dc:creator>
  <cp:lastModifiedBy>Powerful</cp:lastModifiedBy>
  <cp:lastPrinted>2021-11-03T02:18:00Z</cp:lastPrinted>
  <dcterms:modified xsi:type="dcterms:W3CDTF">2021-11-29T08:47:02Z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E265322B2FCE4F1A81BB47E84640C3D6</vt:lpwstr>
  </property>
</Properties>
</file>