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成都市新都区三河中心敬老院日常食材采购项目</w:t>
      </w:r>
    </w:p>
    <w:p>
      <w:pPr>
        <w:jc w:val="center"/>
        <w:rPr>
          <w:rFonts w:ascii="宋体" w:hAnsi="宋体" w:cs="宋体"/>
          <w:b/>
          <w:color w:val="auto"/>
          <w:sz w:val="30"/>
          <w:szCs w:val="30"/>
          <w:highlight w:val="none"/>
        </w:rPr>
      </w:pPr>
    </w:p>
    <w:p>
      <w:pPr>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510114202100024</w:t>
      </w:r>
    </w:p>
    <w:p>
      <w:pPr>
        <w:jc w:val="both"/>
        <w:rPr>
          <w:rFonts w:ascii="宋体" w:hAnsi="宋体" w:cs="宋体"/>
          <w:b/>
          <w:color w:val="auto"/>
          <w:sz w:val="52"/>
          <w:szCs w:val="52"/>
          <w:highlight w:val="none"/>
        </w:rPr>
      </w:pPr>
    </w:p>
    <w:p>
      <w:pPr>
        <w:rPr>
          <w:rFonts w:ascii="宋体" w:hAnsi="宋体" w:cs="宋体"/>
          <w:b/>
          <w:color w:val="auto"/>
          <w:sz w:val="52"/>
          <w:szCs w:val="52"/>
          <w:highlight w:val="none"/>
        </w:rPr>
      </w:pPr>
    </w:p>
    <w:p>
      <w:pPr>
        <w:jc w:val="both"/>
        <w:rPr>
          <w:rFonts w:hint="eastAsia" w:ascii="宋体" w:hAnsi="宋体" w:cs="宋体"/>
          <w:b/>
          <w:color w:val="auto"/>
          <w:sz w:val="52"/>
          <w:szCs w:val="52"/>
          <w:highlight w:val="none"/>
        </w:rPr>
      </w:pP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竞争性磋商文件</w:t>
      </w:r>
    </w:p>
    <w:p>
      <w:pPr>
        <w:spacing w:line="360" w:lineRule="auto"/>
        <w:jc w:val="both"/>
        <w:rPr>
          <w:rFonts w:ascii="宋体" w:hAnsi="宋体" w:cs="宋体"/>
          <w:b/>
          <w:color w:val="auto"/>
          <w:sz w:val="32"/>
          <w:szCs w:val="32"/>
          <w:highlight w:val="none"/>
        </w:rPr>
      </w:pPr>
      <w:bookmarkStart w:id="0" w:name="_Hlt101233737"/>
      <w:bookmarkEnd w:id="0"/>
      <w:bookmarkStart w:id="1" w:name="_Hlt101843627"/>
      <w:bookmarkEnd w:id="1"/>
    </w:p>
    <w:p>
      <w:pPr>
        <w:spacing w:line="360" w:lineRule="auto"/>
        <w:jc w:val="both"/>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pStyle w:val="2"/>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中国·四川</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成都市新都区三河中心敬老院</w:t>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成都怡建工程咨询代理有限公司</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共同编制</w:t>
      </w:r>
    </w:p>
    <w:p>
      <w:pPr>
        <w:spacing w:line="360" w:lineRule="auto"/>
        <w:jc w:val="center"/>
        <w:rPr>
          <w:rFonts w:hint="default" w:ascii="宋体" w:hAnsi="宋体" w:cs="宋体"/>
          <w:b/>
          <w:color w:val="auto"/>
          <w:sz w:val="32"/>
          <w:szCs w:val="32"/>
          <w:highlight w:val="none"/>
          <w:lang w:val="en-US"/>
        </w:rPr>
        <w:sectPr>
          <w:headerReference r:id="rId4" w:type="first"/>
          <w:headerReference r:id="rId3" w:type="default"/>
          <w:footerReference r:id="rId5" w:type="default"/>
          <w:pgSz w:w="11849" w:h="16781"/>
          <w:pgMar w:top="1440" w:right="1083" w:bottom="1440" w:left="1083" w:header="851" w:footer="992" w:gutter="0"/>
          <w:pgNumType w:start="1"/>
          <w:cols w:space="720" w:num="1"/>
          <w:titlePg/>
          <w:docGrid w:type="linesAndChars" w:linePitch="312" w:charSpace="1060"/>
        </w:sect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4月</w:t>
      </w:r>
    </w:p>
    <w:p>
      <w:pPr>
        <w:spacing w:line="360" w:lineRule="auto"/>
        <w:jc w:val="both"/>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sectPr>
          <w:headerReference r:id="rId6" w:type="first"/>
          <w:footerReference r:id="rId7" w:type="first"/>
          <w:pgSz w:w="11849" w:h="16781"/>
          <w:pgMar w:top="1469" w:right="1083" w:bottom="1440" w:left="1083" w:header="851" w:footer="992" w:gutter="0"/>
          <w:pgNumType w:start="1"/>
          <w:cols w:space="720" w:num="1"/>
          <w:titlePg/>
          <w:docGrid w:type="linesAndChars" w:linePitch="312" w:charSpace="1060"/>
        </w:sectPr>
      </w:pPr>
    </w:p>
    <w:p>
      <w:pPr>
        <w:pStyle w:val="4"/>
        <w:keepNext w:val="0"/>
        <w:keepLines w:val="0"/>
        <w:spacing w:line="360" w:lineRule="exact"/>
        <w:jc w:val="center"/>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目    录</w:t>
      </w: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19"/>
        <w:tabs>
          <w:tab w:val="right" w:leader="dot" w:pos="9673"/>
        </w:tabs>
        <w:spacing w:line="360" w:lineRule="auto"/>
        <w:rPr>
          <w:rFonts w:ascii="宋体" w:hAnsi="宋体"/>
          <w:b/>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"1-1" \h \z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"_Toc41920658" </w:instrText>
      </w:r>
      <w:r>
        <w:rPr>
          <w:color w:val="auto"/>
          <w:highlight w:val="none"/>
        </w:rPr>
        <w:fldChar w:fldCharType="separate"/>
      </w:r>
      <w:r>
        <w:rPr>
          <w:rStyle w:val="31"/>
          <w:rFonts w:hint="eastAsia" w:ascii="宋体" w:hAnsi="宋体" w:cs="宋体"/>
          <w:b/>
          <w:color w:val="auto"/>
          <w:sz w:val="24"/>
          <w:highlight w:val="none"/>
        </w:rPr>
        <w:t>第一章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磋商邀请</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_Toc41920658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"_Toc41920659" </w:instrText>
      </w:r>
      <w:r>
        <w:rPr>
          <w:color w:val="auto"/>
          <w:highlight w:val="none"/>
        </w:rPr>
        <w:fldChar w:fldCharType="separate"/>
      </w:r>
      <w:r>
        <w:rPr>
          <w:rStyle w:val="31"/>
          <w:rFonts w:hint="eastAsia" w:ascii="宋体" w:hAnsi="宋体" w:cs="宋体"/>
          <w:b/>
          <w:color w:val="auto"/>
          <w:sz w:val="24"/>
          <w:highlight w:val="none"/>
        </w:rPr>
        <w:t>第二章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磋商须知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_Toc41920659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"_Toc41920660" </w:instrText>
      </w:r>
      <w:r>
        <w:rPr>
          <w:color w:val="auto"/>
          <w:highlight w:val="none"/>
        </w:rPr>
        <w:fldChar w:fldCharType="separate"/>
      </w:r>
      <w:r>
        <w:rPr>
          <w:rStyle w:val="31"/>
          <w:rFonts w:hint="eastAsia" w:ascii="宋体" w:hAnsi="宋体" w:cs="宋体"/>
          <w:b/>
          <w:color w:val="auto"/>
          <w:sz w:val="24"/>
          <w:highlight w:val="none"/>
        </w:rPr>
        <w:t>第三章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供应商的资格、资质性及其他类似效力要求</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_Toc41920660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"_Toc41920661" </w:instrText>
      </w:r>
      <w:r>
        <w:rPr>
          <w:color w:val="auto"/>
          <w:highlight w:val="none"/>
        </w:rPr>
        <w:fldChar w:fldCharType="separate"/>
      </w:r>
      <w:r>
        <w:rPr>
          <w:rStyle w:val="31"/>
          <w:rFonts w:hint="eastAsia" w:ascii="宋体" w:hAnsi="宋体" w:cs="宋体"/>
          <w:b/>
          <w:color w:val="auto"/>
          <w:sz w:val="24"/>
          <w:highlight w:val="none"/>
        </w:rPr>
        <w:t>第四章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供应商应当提供的资格、资质性及其他类似效力要求的相关证明材料</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_Toc41920661 \h </w:instrText>
      </w:r>
      <w:r>
        <w:rPr>
          <w:rFonts w:ascii="宋体" w:hAnsi="宋体"/>
          <w:b/>
          <w:color w:val="auto"/>
          <w:sz w:val="24"/>
          <w:highlight w:val="none"/>
        </w:rPr>
        <w:fldChar w:fldCharType="separate"/>
      </w:r>
      <w:r>
        <w:rPr>
          <w:rFonts w:ascii="宋体" w:hAnsi="宋体"/>
          <w:b/>
          <w:color w:val="auto"/>
          <w:sz w:val="24"/>
          <w:highlight w:val="none"/>
        </w:rPr>
        <w:t>24</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"_Toc41920662" </w:instrText>
      </w:r>
      <w:r>
        <w:rPr>
          <w:color w:val="auto"/>
          <w:highlight w:val="none"/>
        </w:rPr>
        <w:fldChar w:fldCharType="separate"/>
      </w:r>
      <w:r>
        <w:rPr>
          <w:rStyle w:val="31"/>
          <w:rFonts w:hint="eastAsia" w:ascii="宋体" w:hAnsi="宋体" w:cs="宋体"/>
          <w:b/>
          <w:color w:val="auto"/>
          <w:sz w:val="24"/>
          <w:highlight w:val="none"/>
        </w:rPr>
        <w:t>第五章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采购项目技术、服务、及其他商务要求</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_Toc41920662 \h </w:instrText>
      </w:r>
      <w:r>
        <w:rPr>
          <w:rFonts w:ascii="宋体" w:hAnsi="宋体"/>
          <w:b/>
          <w:color w:val="auto"/>
          <w:sz w:val="24"/>
          <w:highlight w:val="none"/>
        </w:rPr>
        <w:fldChar w:fldCharType="separate"/>
      </w:r>
      <w:r>
        <w:rPr>
          <w:rFonts w:ascii="宋体" w:hAnsi="宋体"/>
          <w:b/>
          <w:color w:val="auto"/>
          <w:sz w:val="24"/>
          <w:highlight w:val="none"/>
        </w:rPr>
        <w:t>26</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"_Toc41920663" </w:instrText>
      </w:r>
      <w:r>
        <w:rPr>
          <w:color w:val="auto"/>
          <w:highlight w:val="none"/>
        </w:rPr>
        <w:fldChar w:fldCharType="separate"/>
      </w:r>
      <w:r>
        <w:rPr>
          <w:rStyle w:val="31"/>
          <w:rFonts w:hint="eastAsia" w:ascii="宋体" w:hAnsi="宋体" w:cs="宋体"/>
          <w:b/>
          <w:color w:val="auto"/>
          <w:sz w:val="24"/>
          <w:highlight w:val="none"/>
        </w:rPr>
        <w:t>第六章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_Toc41920663 \h </w:instrText>
      </w:r>
      <w:r>
        <w:rPr>
          <w:rFonts w:ascii="宋体" w:hAnsi="宋体"/>
          <w:b/>
          <w:color w:val="auto"/>
          <w:sz w:val="24"/>
          <w:highlight w:val="none"/>
        </w:rPr>
        <w:fldChar w:fldCharType="separate"/>
      </w:r>
      <w:r>
        <w:rPr>
          <w:rFonts w:ascii="宋体" w:hAnsi="宋体"/>
          <w:b/>
          <w:color w:val="auto"/>
          <w:sz w:val="24"/>
          <w:highlight w:val="none"/>
        </w:rPr>
        <w:t>31</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"_Toc41920664" </w:instrText>
      </w:r>
      <w:r>
        <w:rPr>
          <w:color w:val="auto"/>
          <w:highlight w:val="none"/>
        </w:rPr>
        <w:fldChar w:fldCharType="separate"/>
      </w:r>
      <w:r>
        <w:rPr>
          <w:rStyle w:val="31"/>
          <w:rFonts w:hint="eastAsia" w:ascii="宋体" w:hAnsi="宋体" w:cs="宋体"/>
          <w:b/>
          <w:color w:val="auto"/>
          <w:sz w:val="24"/>
          <w:highlight w:val="none"/>
        </w:rPr>
        <w:t>第七章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评审方法</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_Toc41920664 \h </w:instrText>
      </w:r>
      <w:r>
        <w:rPr>
          <w:rFonts w:ascii="宋体" w:hAnsi="宋体"/>
          <w:b/>
          <w:color w:val="auto"/>
          <w:sz w:val="24"/>
          <w:highlight w:val="none"/>
        </w:rPr>
        <w:fldChar w:fldCharType="separate"/>
      </w:r>
      <w:r>
        <w:rPr>
          <w:rFonts w:ascii="宋体" w:hAnsi="宋体"/>
          <w:b/>
          <w:color w:val="auto"/>
          <w:sz w:val="24"/>
          <w:highlight w:val="none"/>
        </w:rPr>
        <w:t>54</w:t>
      </w:r>
      <w:r>
        <w:rPr>
          <w:rFonts w:ascii="宋体" w:hAnsi="宋体"/>
          <w:b/>
          <w:color w:val="auto"/>
          <w:sz w:val="24"/>
          <w:highlight w:val="none"/>
        </w:rPr>
        <w:fldChar w:fldCharType="end"/>
      </w:r>
      <w:r>
        <w:rPr>
          <w:rFonts w:ascii="宋体" w:hAnsi="宋体"/>
          <w:b/>
          <w:color w:val="auto"/>
          <w:sz w:val="24"/>
          <w:highlight w:val="none"/>
        </w:rPr>
        <w:fldChar w:fldCharType="end"/>
      </w:r>
    </w:p>
    <w:p>
      <w:pPr>
        <w:pStyle w:val="19"/>
        <w:tabs>
          <w:tab w:val="right" w:leader="dot" w:pos="9673"/>
        </w:tabs>
        <w:spacing w:line="360" w:lineRule="auto"/>
        <w:rPr>
          <w:rFonts w:ascii="宋体" w:hAnsi="宋体"/>
          <w:b/>
          <w:color w:val="auto"/>
          <w:sz w:val="24"/>
          <w:highlight w:val="none"/>
        </w:rPr>
      </w:pPr>
      <w:r>
        <w:rPr>
          <w:color w:val="auto"/>
          <w:highlight w:val="none"/>
        </w:rPr>
        <w:fldChar w:fldCharType="begin"/>
      </w:r>
      <w:r>
        <w:rPr>
          <w:color w:val="auto"/>
          <w:highlight w:val="none"/>
        </w:rPr>
        <w:instrText xml:space="preserve"> HYPERLINK \l "_Toc41920665" </w:instrText>
      </w:r>
      <w:r>
        <w:rPr>
          <w:color w:val="auto"/>
          <w:highlight w:val="none"/>
        </w:rPr>
        <w:fldChar w:fldCharType="separate"/>
      </w:r>
      <w:r>
        <w:rPr>
          <w:rStyle w:val="31"/>
          <w:rFonts w:hint="eastAsia" w:ascii="宋体" w:hAnsi="宋体" w:cs="宋体"/>
          <w:b/>
          <w:color w:val="auto"/>
          <w:sz w:val="24"/>
          <w:highlight w:val="none"/>
        </w:rPr>
        <w:t>第八章</w:t>
      </w:r>
      <w:r>
        <w:rPr>
          <w:rStyle w:val="31"/>
          <w:rFonts w:ascii="宋体" w:hAnsi="宋体" w:cs="宋体"/>
          <w:b/>
          <w:color w:val="auto"/>
          <w:sz w:val="24"/>
          <w:highlight w:val="none"/>
        </w:rPr>
        <w:t xml:space="preserve">  </w:t>
      </w:r>
      <w:r>
        <w:rPr>
          <w:rStyle w:val="31"/>
          <w:rFonts w:hint="eastAsia" w:ascii="宋体" w:hAnsi="宋体" w:cs="宋体"/>
          <w:b/>
          <w:color w:val="auto"/>
          <w:sz w:val="24"/>
          <w:highlight w:val="none"/>
        </w:rPr>
        <w:t>政府采购合同（草案）</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_Toc41920665 \h </w:instrText>
      </w:r>
      <w:r>
        <w:rPr>
          <w:rFonts w:ascii="宋体" w:hAnsi="宋体"/>
          <w:b/>
          <w:color w:val="auto"/>
          <w:sz w:val="24"/>
          <w:highlight w:val="none"/>
        </w:rPr>
        <w:fldChar w:fldCharType="separate"/>
      </w:r>
      <w:r>
        <w:rPr>
          <w:rFonts w:ascii="宋体" w:hAnsi="宋体"/>
          <w:b/>
          <w:color w:val="auto"/>
          <w:sz w:val="24"/>
          <w:highlight w:val="none"/>
        </w:rPr>
        <w:t>63</w:t>
      </w:r>
      <w:r>
        <w:rPr>
          <w:rFonts w:ascii="宋体" w:hAnsi="宋体"/>
          <w:b/>
          <w:color w:val="auto"/>
          <w:sz w:val="24"/>
          <w:highlight w:val="none"/>
        </w:rPr>
        <w:fldChar w:fldCharType="end"/>
      </w:r>
      <w:r>
        <w:rPr>
          <w:rFonts w:ascii="宋体" w:hAnsi="宋体"/>
          <w:b/>
          <w:color w:val="auto"/>
          <w:sz w:val="24"/>
          <w:highlight w:val="none"/>
        </w:rPr>
        <w:fldChar w:fldCharType="end"/>
      </w:r>
    </w:p>
    <w:p>
      <w:pPr>
        <w:spacing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fldChar w:fldCharType="end"/>
      </w:r>
    </w:p>
    <w:p>
      <w:pPr>
        <w:ind w:firstLine="490" w:firstLineChars="200"/>
        <w:rPr>
          <w:rFonts w:ascii="宋体" w:hAnsi="宋体" w:cs="宋体"/>
          <w:bCs/>
          <w:color w:val="auto"/>
          <w:sz w:val="24"/>
          <w:highlight w:val="none"/>
        </w:rPr>
      </w:pPr>
    </w:p>
    <w:p>
      <w:pPr>
        <w:ind w:firstLine="490" w:firstLineChars="200"/>
        <w:rPr>
          <w:rFonts w:ascii="宋体" w:hAnsi="宋体" w:cs="宋体"/>
          <w:bCs/>
          <w:color w:val="auto"/>
          <w:sz w:val="24"/>
          <w:highlight w:val="none"/>
        </w:rPr>
      </w:pPr>
    </w:p>
    <w:p>
      <w:pPr>
        <w:pStyle w:val="3"/>
        <w:keepNext w:val="0"/>
        <w:keepLines w:val="0"/>
        <w:spacing w:before="0" w:after="0"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bookmarkStart w:id="2" w:name="_Toc41920658"/>
      <w:r>
        <w:rPr>
          <w:rFonts w:hint="eastAsia" w:ascii="宋体" w:hAnsi="宋体" w:cs="宋体"/>
          <w:color w:val="auto"/>
          <w:sz w:val="36"/>
          <w:szCs w:val="36"/>
          <w:highlight w:val="none"/>
        </w:rPr>
        <w:t>第一章  磋商邀请</w:t>
      </w:r>
      <w:bookmarkEnd w:id="2"/>
    </w:p>
    <w:p>
      <w:pPr>
        <w:spacing w:line="360" w:lineRule="auto"/>
        <w:ind w:firstLine="645" w:firstLineChars="300"/>
        <w:jc w:val="left"/>
        <w:rPr>
          <w:rFonts w:ascii="宋体" w:hAnsi="宋体" w:cs="宋体"/>
          <w:color w:val="auto"/>
          <w:highlight w:val="none"/>
          <w:u w:val="single"/>
        </w:rPr>
      </w:pPr>
    </w:p>
    <w:p>
      <w:pPr>
        <w:spacing w:line="360" w:lineRule="auto"/>
        <w:ind w:firstLine="645" w:firstLineChars="300"/>
        <w:jc w:val="left"/>
        <w:rPr>
          <w:rFonts w:ascii="宋体" w:hAnsi="宋体" w:cs="宋体"/>
          <w:color w:val="auto"/>
          <w:sz w:val="24"/>
          <w:szCs w:val="28"/>
          <w:highlight w:val="none"/>
        </w:rPr>
      </w:pPr>
      <w:r>
        <w:rPr>
          <w:rFonts w:hint="eastAsia" w:ascii="宋体" w:hAnsi="宋体" w:cs="宋体"/>
          <w:color w:val="auto"/>
          <w:highlight w:val="none"/>
          <w:u w:val="single"/>
        </w:rPr>
        <w:t xml:space="preserve"> </w:t>
      </w:r>
      <w:r>
        <w:rPr>
          <w:rFonts w:hint="eastAsia" w:ascii="宋体" w:hAnsi="宋体" w:cs="宋体"/>
          <w:color w:val="auto"/>
          <w:sz w:val="24"/>
          <w:highlight w:val="none"/>
          <w:u w:val="single"/>
          <w:lang w:eastAsia="zh-CN"/>
        </w:rPr>
        <w:t>成都怡建工程咨询代理有限公司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（采购代理机构）受</w:t>
      </w:r>
      <w:r>
        <w:rPr>
          <w:rFonts w:hint="eastAsia" w:ascii="宋体" w:hAnsi="宋体" w:cs="宋体"/>
          <w:color w:val="auto"/>
          <w:sz w:val="24"/>
          <w:highlight w:val="none"/>
          <w:u w:val="single"/>
        </w:rPr>
        <w:t xml:space="preserve"> 成都市新都区三河中心敬老院</w:t>
      </w:r>
      <w:r>
        <w:rPr>
          <w:rFonts w:hint="eastAsia" w:ascii="宋体" w:hAnsi="宋体" w:cs="宋体"/>
          <w:bCs/>
          <w:color w:val="auto"/>
          <w:sz w:val="24"/>
          <w:highlight w:val="none"/>
          <w:u w:val="single"/>
        </w:rPr>
        <w:t>（</w:t>
      </w:r>
      <w:r>
        <w:rPr>
          <w:rFonts w:hint="eastAsia" w:ascii="宋体" w:hAnsi="宋体" w:cs="宋体"/>
          <w:bCs/>
          <w:color w:val="auto"/>
          <w:sz w:val="24"/>
          <w:highlight w:val="none"/>
        </w:rPr>
        <w:t>采购人）</w:t>
      </w:r>
      <w:r>
        <w:rPr>
          <w:rFonts w:hint="eastAsia" w:ascii="宋体" w:hAnsi="宋体" w:cs="宋体"/>
          <w:color w:val="auto"/>
          <w:sz w:val="24"/>
          <w:highlight w:val="none"/>
        </w:rPr>
        <w:t>委托，拟对</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lang w:eastAsia="zh-CN"/>
        </w:rPr>
        <w:t>成都市新都区三河中心敬老院日常食材采购项目</w:t>
      </w:r>
      <w:r>
        <w:rPr>
          <w:rFonts w:hint="eastAsia" w:ascii="宋体" w:hAnsi="宋体" w:cs="宋体"/>
          <w:bCs/>
          <w:color w:val="auto"/>
          <w:sz w:val="24"/>
          <w:highlight w:val="none"/>
          <w:u w:val="single"/>
        </w:rPr>
        <w:t xml:space="preserve"> </w:t>
      </w:r>
      <w:r>
        <w:rPr>
          <w:rFonts w:hint="eastAsia" w:ascii="宋体" w:hAnsi="宋体" w:cs="宋体"/>
          <w:color w:val="auto"/>
          <w:sz w:val="24"/>
          <w:szCs w:val="32"/>
          <w:highlight w:val="none"/>
        </w:rPr>
        <w:t>项目采用竞争性磋商方式</w:t>
      </w:r>
      <w:r>
        <w:rPr>
          <w:rFonts w:hint="eastAsia" w:ascii="宋体" w:hAnsi="宋体" w:cs="宋体"/>
          <w:color w:val="auto"/>
          <w:sz w:val="24"/>
          <w:highlight w:val="none"/>
        </w:rPr>
        <w:t>进行采购，特</w:t>
      </w:r>
      <w:r>
        <w:rPr>
          <w:rFonts w:hint="eastAsia" w:ascii="宋体" w:hAnsi="宋体" w:cs="宋体"/>
          <w:color w:val="auto"/>
          <w:sz w:val="24"/>
          <w:szCs w:val="28"/>
          <w:highlight w:val="none"/>
        </w:rPr>
        <w:t>邀请符合本次采购要求的供应商参加</w:t>
      </w:r>
      <w:r>
        <w:rPr>
          <w:rFonts w:hint="eastAsia" w:ascii="宋体" w:hAnsi="宋体" w:cs="宋体"/>
          <w:color w:val="auto"/>
          <w:sz w:val="24"/>
          <w:highlight w:val="none"/>
        </w:rPr>
        <w:t>本项目的竞争性磋商</w:t>
      </w:r>
      <w:r>
        <w:rPr>
          <w:rFonts w:hint="eastAsia" w:ascii="宋体" w:hAnsi="宋体" w:cs="宋体"/>
          <w:color w:val="auto"/>
          <w:sz w:val="24"/>
          <w:szCs w:val="28"/>
          <w:highlight w:val="none"/>
        </w:rPr>
        <w:t>。</w:t>
      </w:r>
    </w:p>
    <w:p>
      <w:pPr>
        <w:spacing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t>一、采购项目基本情况</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 xml:space="preserve">1.项目编号： </w:t>
      </w:r>
      <w:r>
        <w:rPr>
          <w:rFonts w:hint="eastAsia" w:ascii="宋体" w:hAnsi="宋体" w:cs="宋体"/>
          <w:color w:val="auto"/>
          <w:sz w:val="24"/>
          <w:highlight w:val="none"/>
          <w:lang w:eastAsia="zh-CN"/>
        </w:rPr>
        <w:t>510114202100024</w:t>
      </w:r>
      <w:r>
        <w:rPr>
          <w:rFonts w:hint="eastAsia" w:ascii="宋体" w:hAnsi="宋体" w:cs="宋体"/>
          <w:color w:val="auto"/>
          <w:sz w:val="24"/>
          <w:highlight w:val="none"/>
        </w:rPr>
        <w:t>。</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2.采购项目名称：</w:t>
      </w:r>
      <w:r>
        <w:rPr>
          <w:rFonts w:hint="eastAsia" w:ascii="宋体" w:hAnsi="宋体" w:cs="宋体"/>
          <w:color w:val="auto"/>
          <w:sz w:val="24"/>
          <w:highlight w:val="none"/>
          <w:lang w:eastAsia="zh-CN"/>
        </w:rPr>
        <w:t>成都市新都区三河中心敬老院日常食材采购项目</w:t>
      </w:r>
      <w:r>
        <w:rPr>
          <w:rFonts w:hint="eastAsia" w:ascii="宋体" w:hAnsi="宋体" w:cs="宋体"/>
          <w:color w:val="auto"/>
          <w:sz w:val="24"/>
          <w:highlight w:val="none"/>
        </w:rPr>
        <w:t>。</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3.采购人：成都市新都区三河中心敬老院。</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4.采购代理机构：</w:t>
      </w:r>
      <w:r>
        <w:rPr>
          <w:rFonts w:hint="eastAsia" w:ascii="宋体" w:hAnsi="宋体" w:cs="宋体"/>
          <w:color w:val="auto"/>
          <w:sz w:val="24"/>
          <w:highlight w:val="none"/>
          <w:lang w:eastAsia="zh-CN"/>
        </w:rPr>
        <w:t>成都怡建工程咨询代理有限公司</w:t>
      </w:r>
      <w:r>
        <w:rPr>
          <w:rFonts w:hint="eastAsia" w:ascii="宋体" w:hAnsi="宋体" w:cs="宋体"/>
          <w:color w:val="auto"/>
          <w:sz w:val="24"/>
          <w:highlight w:val="none"/>
        </w:rPr>
        <w:t>。</w:t>
      </w:r>
    </w:p>
    <w:p>
      <w:pPr>
        <w:spacing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t>二、资金情况</w:t>
      </w:r>
    </w:p>
    <w:p>
      <w:pPr>
        <w:spacing w:line="360" w:lineRule="auto"/>
        <w:ind w:right="32" w:rightChars="15" w:firstLine="490" w:firstLineChars="200"/>
        <w:rPr>
          <w:rFonts w:ascii="宋体" w:hAnsi="宋体" w:cs="宋体"/>
          <w:b/>
          <w:bCs/>
          <w:color w:val="auto"/>
          <w:sz w:val="24"/>
          <w:highlight w:val="none"/>
        </w:rPr>
      </w:pPr>
      <w:r>
        <w:rPr>
          <w:rFonts w:hint="eastAsia" w:ascii="宋体" w:hAnsi="宋体" w:cs="宋体"/>
          <w:color w:val="auto"/>
          <w:sz w:val="24"/>
          <w:highlight w:val="none"/>
        </w:rPr>
        <w:t>资金来源及金额：财政性资金，采购预算：</w:t>
      </w:r>
      <w:r>
        <w:rPr>
          <w:rFonts w:hint="eastAsia" w:ascii="宋体" w:hAnsi="宋体" w:cs="宋体"/>
          <w:color w:val="auto"/>
          <w:sz w:val="24"/>
          <w:highlight w:val="none"/>
          <w:lang w:val="en-US" w:eastAsia="zh-CN"/>
        </w:rPr>
        <w:t>1400000</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项目行业类别：其他未列明农副食品加工</w:t>
      </w:r>
      <w:r>
        <w:rPr>
          <w:rFonts w:hint="eastAsia" w:ascii="宋体" w:hAnsi="宋体" w:cs="宋体"/>
          <w:color w:val="auto"/>
          <w:sz w:val="24"/>
          <w:highlight w:val="none"/>
        </w:rPr>
        <w:t>。</w:t>
      </w:r>
    </w:p>
    <w:p>
      <w:pPr>
        <w:spacing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t>三、采购项目简介：</w:t>
      </w:r>
    </w:p>
    <w:p>
      <w:pPr>
        <w:spacing w:line="360" w:lineRule="auto"/>
        <w:ind w:right="32" w:rightChars="15" w:firstLine="490" w:firstLineChars="200"/>
        <w:rPr>
          <w:rFonts w:ascii="宋体" w:hAnsi="宋体" w:cs="宋体"/>
          <w:color w:val="auto"/>
          <w:sz w:val="24"/>
          <w:highlight w:val="none"/>
        </w:rPr>
      </w:pPr>
      <w:r>
        <w:rPr>
          <w:rFonts w:hint="eastAsia" w:ascii="宋体" w:hAnsi="宋体" w:cs="宋体"/>
          <w:color w:val="auto"/>
          <w:sz w:val="24"/>
          <w:highlight w:val="none"/>
        </w:rPr>
        <w:t>本项目共一个包件（具体要求详见磋商文件第五章）</w:t>
      </w:r>
    </w:p>
    <w:p>
      <w:pPr>
        <w:spacing w:after="120"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t>四、供应商邀请方式</w:t>
      </w:r>
    </w:p>
    <w:p>
      <w:pPr>
        <w:spacing w:after="120" w:line="360" w:lineRule="auto"/>
        <w:ind w:firstLine="490" w:firstLineChars="200"/>
        <w:rPr>
          <w:rFonts w:ascii="宋体" w:hAnsi="宋体" w:cs="宋体"/>
          <w:bCs/>
          <w:color w:val="auto"/>
          <w:sz w:val="24"/>
          <w:highlight w:val="none"/>
        </w:rPr>
      </w:pPr>
      <w:r>
        <w:rPr>
          <w:rFonts w:hint="eastAsia" w:ascii="宋体" w:hAnsi="宋体" w:cs="宋体"/>
          <w:bCs/>
          <w:color w:val="auto"/>
          <w:sz w:val="24"/>
          <w:highlight w:val="none"/>
        </w:rPr>
        <w:t>公告方式：本次竞争性磋商邀请在四川政府采购网（www.ccgp-sichuan.gov.cn）上以公告形式发布。</w:t>
      </w:r>
    </w:p>
    <w:p>
      <w:pPr>
        <w:spacing w:after="120"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五、供应商参加本次政府采购活动应具备下列条件：</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7、针对本项目提出的特殊要求：</w:t>
      </w:r>
    </w:p>
    <w:p>
      <w:pPr>
        <w:pStyle w:val="60"/>
        <w:ind w:firstLine="735"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（1）供应商须具有有效的《食品经营许可证》或《食品生产许可证》</w:t>
      </w:r>
      <w:r>
        <w:rPr>
          <w:rFonts w:hint="eastAsia" w:ascii="宋体" w:hAnsi="宋体" w:cs="宋体"/>
          <w:color w:val="auto"/>
          <w:sz w:val="24"/>
          <w:highlight w:val="none"/>
          <w:lang w:eastAsia="zh-CN"/>
        </w:rPr>
        <w:t>；</w:t>
      </w:r>
    </w:p>
    <w:p>
      <w:pPr>
        <w:pStyle w:val="60"/>
        <w:ind w:firstLine="735" w:firstLineChars="3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）供应商及其现任法定代表人、主要负责人不得具有行贿犯罪记录；</w:t>
      </w:r>
    </w:p>
    <w:p>
      <w:pPr>
        <w:pStyle w:val="60"/>
        <w:ind w:firstLine="735" w:firstLineChars="300"/>
        <w:rPr>
          <w:rFonts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bCs/>
          <w:color w:val="auto"/>
          <w:sz w:val="24"/>
          <w:szCs w:val="28"/>
          <w:highlight w:val="none"/>
        </w:rPr>
        <w:t>本项目为专门面向中小微企业的采购项目，非中小微企业不得参加本项目采购活</w:t>
      </w:r>
      <w:r>
        <w:rPr>
          <w:rFonts w:hint="eastAsia" w:ascii="宋体" w:hAnsi="宋体" w:cs="宋体"/>
          <w:b w:val="0"/>
          <w:bCs/>
          <w:color w:val="auto"/>
          <w:sz w:val="24"/>
          <w:szCs w:val="28"/>
          <w:highlight w:val="none"/>
        </w:rPr>
        <w:t>动</w:t>
      </w:r>
      <w:r>
        <w:rPr>
          <w:rFonts w:hint="eastAsia" w:ascii="宋体" w:hAnsi="宋体" w:cs="宋体"/>
          <w:b w:val="0"/>
          <w:bCs/>
          <w:color w:val="auto"/>
          <w:sz w:val="24"/>
          <w:highlight w:val="none"/>
        </w:rPr>
        <w:t>（注：</w:t>
      </w:r>
      <w:r>
        <w:rPr>
          <w:rFonts w:hint="eastAsia" w:ascii="宋体" w:hAnsi="宋体" w:cs="宋体"/>
          <w:b w:val="0"/>
          <w:bCs/>
          <w:color w:val="auto"/>
          <w:sz w:val="24"/>
          <w:highlight w:val="none"/>
          <w:lang w:val="zh-CN"/>
        </w:rPr>
        <w:t>根据财政部司法部关于政府采购支持监狱企业发展有关问题的通知财库〔2014〕68 号的规定，在政府采购活动中，监狱企业视同小型、微型企业，享受预留份额；根据《财政部 民政部 中国残疾人联合会关于促进残疾人就业政府采购政策的通知》（财库〔2017〕141号）的规定，在政府采购活动中，残疾人企业视同小型、微型企业，享受预留份额</w:t>
      </w:r>
      <w:r>
        <w:rPr>
          <w:rFonts w:hint="eastAsia" w:ascii="宋体" w:hAnsi="宋体" w:cs="宋体"/>
          <w:b w:val="0"/>
          <w:bCs/>
          <w:color w:val="auto"/>
          <w:sz w:val="24"/>
          <w:highlight w:val="none"/>
        </w:rPr>
        <w:t>）；</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、本次政府采购活动不接受联合体。</w:t>
      </w:r>
    </w:p>
    <w:p>
      <w:pPr>
        <w:spacing w:line="360" w:lineRule="auto"/>
        <w:ind w:firstLine="490" w:firstLineChars="200"/>
        <w:rPr>
          <w:rFonts w:ascii="宋体" w:hAnsi="宋体" w:cs="宋体"/>
          <w:b/>
          <w:color w:val="auto"/>
          <w:sz w:val="24"/>
          <w:highlight w:val="none"/>
        </w:rPr>
      </w:pPr>
      <w:r>
        <w:rPr>
          <w:rFonts w:hint="eastAsia" w:ascii="宋体" w:hAnsi="宋体" w:cs="宋体"/>
          <w:b/>
          <w:color w:val="auto"/>
          <w:sz w:val="24"/>
          <w:highlight w:val="none"/>
        </w:rPr>
        <w:t>六、禁止参加本次采购活动的供应商</w:t>
      </w:r>
    </w:p>
    <w:p>
      <w:pPr>
        <w:spacing w:after="5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lang w:val="zh-CN"/>
        </w:rPr>
        <w:t>根据《财政部关于在政府采购活动中查询及使用信用记录的通知》</w:t>
      </w:r>
      <w:r>
        <w:rPr>
          <w:rFonts w:hint="eastAsia" w:ascii="宋体" w:hAnsi="宋体" w:cs="宋体"/>
          <w:color w:val="auto"/>
          <w:sz w:val="24"/>
          <w:highlight w:val="none"/>
        </w:rPr>
        <w:t>（</w:t>
      </w:r>
      <w:r>
        <w:rPr>
          <w:rFonts w:hint="eastAsia" w:ascii="宋体" w:hAnsi="宋体" w:cs="宋体"/>
          <w:color w:val="auto"/>
          <w:sz w:val="24"/>
          <w:highlight w:val="none"/>
          <w:lang w:val="zh-CN"/>
        </w:rPr>
        <w:t>财库</w:t>
      </w:r>
      <w:r>
        <w:rPr>
          <w:rFonts w:hint="eastAsia" w:ascii="宋体" w:hAnsi="宋体" w:cs="宋体"/>
          <w:color w:val="auto"/>
          <w:sz w:val="24"/>
          <w:highlight w:val="none"/>
        </w:rPr>
        <w:t>[2016]125</w:t>
      </w:r>
      <w:r>
        <w:rPr>
          <w:rFonts w:hint="eastAsia" w:ascii="宋体" w:hAnsi="宋体" w:cs="宋体"/>
          <w:color w:val="auto"/>
          <w:sz w:val="24"/>
          <w:highlight w:val="none"/>
          <w:lang w:val="zh-CN"/>
        </w:rPr>
        <w:t>号</w:t>
      </w:r>
      <w:r>
        <w:rPr>
          <w:rFonts w:hint="eastAsia" w:ascii="宋体" w:hAnsi="宋体" w:cs="宋体"/>
          <w:color w:val="auto"/>
          <w:sz w:val="24"/>
          <w:highlight w:val="none"/>
        </w:rPr>
        <w:t>）</w:t>
      </w:r>
      <w:r>
        <w:rPr>
          <w:rFonts w:hint="eastAsia" w:ascii="宋体" w:hAnsi="宋体" w:cs="宋体"/>
          <w:color w:val="auto"/>
          <w:sz w:val="24"/>
          <w:highlight w:val="none"/>
          <w:lang w:val="zh-CN"/>
        </w:rPr>
        <w:t>的要求</w:t>
      </w:r>
      <w:r>
        <w:rPr>
          <w:rFonts w:hint="eastAsia" w:ascii="宋体" w:hAnsi="宋体" w:cs="宋体"/>
          <w:color w:val="auto"/>
          <w:sz w:val="24"/>
          <w:highlight w:val="none"/>
        </w:rPr>
        <w:t>，截止至投标截止时间前一个工作日，</w:t>
      </w:r>
      <w:r>
        <w:rPr>
          <w:rFonts w:hint="eastAsia" w:ascii="宋体" w:hAnsi="宋体" w:cs="宋体"/>
          <w:color w:val="auto"/>
          <w:sz w:val="24"/>
          <w:highlight w:val="none"/>
          <w:lang w:val="zh-CN"/>
        </w:rPr>
        <w:t>采购代理机构将通过</w:t>
      </w:r>
      <w:r>
        <w:rPr>
          <w:rFonts w:hint="eastAsia" w:ascii="宋体" w:hAnsi="宋体" w:cs="宋体"/>
          <w:color w:val="auto"/>
          <w:sz w:val="24"/>
          <w:highlight w:val="none"/>
        </w:rPr>
        <w:t>“</w:t>
      </w:r>
      <w:r>
        <w:rPr>
          <w:rFonts w:hint="eastAsia" w:ascii="宋体" w:hAnsi="宋体" w:cs="宋体"/>
          <w:color w:val="auto"/>
          <w:sz w:val="24"/>
          <w:highlight w:val="none"/>
          <w:lang w:val="zh-CN"/>
        </w:rPr>
        <w:t>信用中国</w:t>
      </w:r>
      <w:r>
        <w:rPr>
          <w:rFonts w:hint="eastAsia" w:ascii="宋体" w:hAnsi="宋体" w:cs="宋体"/>
          <w:color w:val="auto"/>
          <w:sz w:val="24"/>
          <w:highlight w:val="none"/>
        </w:rPr>
        <w:t>”</w:t>
      </w:r>
      <w:r>
        <w:rPr>
          <w:rFonts w:hint="eastAsia" w:ascii="宋体" w:hAnsi="宋体" w:cs="宋体"/>
          <w:color w:val="auto"/>
          <w:sz w:val="24"/>
          <w:highlight w:val="none"/>
          <w:lang w:val="zh-CN"/>
        </w:rPr>
        <w:t>网站</w:t>
      </w:r>
      <w:r>
        <w:rPr>
          <w:rFonts w:hint="eastAsia" w:ascii="宋体" w:hAnsi="宋体" w:cs="宋体"/>
          <w:color w:val="auto"/>
          <w:sz w:val="24"/>
          <w:highlight w:val="none"/>
        </w:rPr>
        <w:t>（www.creditchina.gov.cn）</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lang w:val="zh-CN"/>
        </w:rPr>
        <w:t>中国政府采购网</w:t>
      </w:r>
      <w:r>
        <w:rPr>
          <w:rFonts w:hint="eastAsia" w:ascii="宋体" w:hAnsi="宋体" w:cs="宋体"/>
          <w:color w:val="auto"/>
          <w:sz w:val="24"/>
          <w:highlight w:val="none"/>
        </w:rPr>
        <w:t>”</w:t>
      </w:r>
      <w:r>
        <w:rPr>
          <w:rFonts w:hint="eastAsia" w:ascii="宋体" w:hAnsi="宋体" w:cs="宋体"/>
          <w:color w:val="auto"/>
          <w:sz w:val="24"/>
          <w:highlight w:val="none"/>
          <w:lang w:val="zh-CN"/>
        </w:rPr>
        <w:t>网站</w:t>
      </w:r>
      <w:r>
        <w:rPr>
          <w:rFonts w:hint="eastAsia" w:ascii="宋体" w:hAnsi="宋体" w:cs="宋体"/>
          <w:color w:val="auto"/>
          <w:sz w:val="24"/>
          <w:highlight w:val="none"/>
        </w:rPr>
        <w:t>（www.ccgp.gov.cn）</w:t>
      </w:r>
      <w:r>
        <w:rPr>
          <w:rFonts w:hint="eastAsia" w:ascii="宋体" w:hAnsi="宋体" w:cs="宋体"/>
          <w:color w:val="auto"/>
          <w:sz w:val="24"/>
          <w:highlight w:val="none"/>
          <w:lang w:val="zh-CN"/>
        </w:rPr>
        <w:t>等渠道查询</w:t>
      </w:r>
      <w:r>
        <w:rPr>
          <w:rFonts w:hint="eastAsia" w:ascii="宋体" w:hAnsi="宋体" w:cs="宋体"/>
          <w:color w:val="auto"/>
          <w:sz w:val="24"/>
          <w:highlight w:val="none"/>
        </w:rPr>
        <w:t>供应商</w:t>
      </w:r>
      <w:r>
        <w:rPr>
          <w:rFonts w:hint="eastAsia" w:ascii="宋体" w:hAnsi="宋体" w:cs="宋体"/>
          <w:color w:val="auto"/>
          <w:sz w:val="24"/>
          <w:highlight w:val="none"/>
          <w:lang w:val="zh-CN"/>
        </w:rPr>
        <w:t>的信用记录并保存信用记录结果网页截图</w:t>
      </w:r>
      <w:r>
        <w:rPr>
          <w:rFonts w:hint="eastAsia" w:ascii="宋体" w:hAnsi="宋体" w:cs="宋体"/>
          <w:color w:val="auto"/>
          <w:sz w:val="24"/>
          <w:highlight w:val="none"/>
        </w:rPr>
        <w:t>，</w:t>
      </w:r>
      <w:r>
        <w:rPr>
          <w:rFonts w:hint="eastAsia" w:ascii="宋体" w:hAnsi="宋体" w:cs="宋体"/>
          <w:color w:val="auto"/>
          <w:sz w:val="24"/>
          <w:highlight w:val="none"/>
          <w:lang w:val="zh-CN"/>
        </w:rPr>
        <w:t>拒绝列入失信被执行人、重大税收违法案件当事人名单、政府采购严重违法失信行为记录名单中的</w:t>
      </w:r>
      <w:r>
        <w:rPr>
          <w:rFonts w:hint="eastAsia" w:ascii="宋体" w:hAnsi="宋体" w:cs="宋体"/>
          <w:color w:val="auto"/>
          <w:sz w:val="24"/>
          <w:highlight w:val="none"/>
        </w:rPr>
        <w:t>供应商</w:t>
      </w:r>
      <w:r>
        <w:rPr>
          <w:rFonts w:hint="eastAsia" w:ascii="宋体" w:hAnsi="宋体" w:cs="宋体"/>
          <w:color w:val="auto"/>
          <w:sz w:val="24"/>
          <w:highlight w:val="none"/>
          <w:lang w:val="zh-CN"/>
        </w:rPr>
        <w:t>参加本项目的政府采购活动。</w:t>
      </w:r>
    </w:p>
    <w:p>
      <w:pPr>
        <w:spacing w:line="360" w:lineRule="auto"/>
        <w:ind w:firstLine="490" w:firstLineChars="200"/>
        <w:rPr>
          <w:rFonts w:ascii="宋体" w:hAnsi="宋体" w:cs="宋体"/>
          <w:b/>
          <w:color w:val="auto"/>
          <w:sz w:val="24"/>
          <w:highlight w:val="none"/>
        </w:rPr>
      </w:pPr>
      <w:r>
        <w:rPr>
          <w:rFonts w:hint="eastAsia" w:ascii="宋体" w:hAnsi="宋体" w:cs="宋体"/>
          <w:b/>
          <w:color w:val="auto"/>
          <w:sz w:val="24"/>
          <w:highlight w:val="none"/>
        </w:rPr>
        <w:t>七、磋商文件获取方式、时间、地点：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磋商文件自20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4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30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5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10 </w:t>
      </w:r>
      <w:r>
        <w:rPr>
          <w:rFonts w:hint="eastAsia" w:ascii="宋体" w:hAnsi="宋体" w:cs="宋体"/>
          <w:color w:val="auto"/>
          <w:sz w:val="24"/>
          <w:highlight w:val="none"/>
        </w:rPr>
        <w:t>日09:00- 17:00</w:t>
      </w:r>
      <w:r>
        <w:rPr>
          <w:rFonts w:hint="eastAsia" w:ascii="宋体" w:hAnsi="宋体" w:cs="宋体"/>
          <w:color w:val="auto"/>
          <w:sz w:val="24"/>
          <w:szCs w:val="28"/>
          <w:highlight w:val="none"/>
        </w:rPr>
        <w:t>（北京时间，法定节假日除外）</w:t>
      </w:r>
      <w:r>
        <w:rPr>
          <w:rFonts w:hint="eastAsia" w:ascii="宋体" w:hAnsi="宋体" w:cs="宋体"/>
          <w:color w:val="auto"/>
          <w:sz w:val="24"/>
          <w:highlight w:val="none"/>
        </w:rPr>
        <w:t>在</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eastAsia="zh-CN"/>
        </w:rPr>
        <w:t>成都怡建工程咨询代理有限公司</w:t>
      </w:r>
      <w:r>
        <w:rPr>
          <w:rFonts w:hint="eastAsia" w:ascii="宋体" w:hAnsi="宋体" w:cs="宋体"/>
          <w:color w:val="auto"/>
          <w:sz w:val="24"/>
          <w:szCs w:val="28"/>
          <w:highlight w:val="none"/>
          <w:u w:val="single"/>
        </w:rPr>
        <w:t>（</w:t>
      </w:r>
      <w:r>
        <w:rPr>
          <w:rFonts w:hint="eastAsia" w:ascii="宋体" w:hAnsi="宋体" w:cs="宋体"/>
          <w:color w:val="auto"/>
          <w:sz w:val="24"/>
          <w:szCs w:val="28"/>
          <w:highlight w:val="none"/>
          <w:u w:val="single"/>
          <w:lang w:eastAsia="zh-CN"/>
        </w:rPr>
        <w:t>成都市青羊区琼楼路138号光华里4楼</w:t>
      </w:r>
      <w:r>
        <w:rPr>
          <w:rFonts w:hint="eastAsia" w:ascii="宋体" w:hAnsi="宋体" w:cs="宋体"/>
          <w:color w:val="auto"/>
          <w:sz w:val="24"/>
          <w:szCs w:val="28"/>
          <w:highlight w:val="none"/>
          <w:u w:val="single"/>
        </w:rPr>
        <w:t>）</w:t>
      </w:r>
      <w:r>
        <w:rPr>
          <w:rFonts w:hint="eastAsia" w:ascii="宋体" w:hAnsi="宋体" w:cs="宋体"/>
          <w:color w:val="auto"/>
          <w:sz w:val="24"/>
          <w:szCs w:val="28"/>
          <w:highlight w:val="none"/>
          <w:u w:val="none"/>
          <w:lang w:val="en-US" w:eastAsia="zh-CN"/>
        </w:rPr>
        <w:t>现场报名</w:t>
      </w: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或网上报名获取，报名成功后</w:t>
      </w:r>
      <w:r>
        <w:rPr>
          <w:rFonts w:hint="eastAsia" w:ascii="宋体" w:hAnsi="宋体" w:cs="宋体"/>
          <w:color w:val="auto"/>
          <w:sz w:val="24"/>
          <w:highlight w:val="none"/>
        </w:rPr>
        <w:t>磋商资格不能转让）。</w:t>
      </w:r>
    </w:p>
    <w:p>
      <w:pPr>
        <w:spacing w:line="360" w:lineRule="auto"/>
        <w:ind w:firstLine="49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1、现场报名</w:t>
      </w:r>
      <w:r>
        <w:rPr>
          <w:rFonts w:hint="eastAsia" w:ascii="宋体" w:hAnsi="宋体" w:cs="宋体"/>
          <w:color w:val="auto"/>
          <w:sz w:val="24"/>
          <w:highlight w:val="none"/>
        </w:rPr>
        <w:t>获取磋商文件时，经办人员当场提交以下资料：①</w:t>
      </w:r>
      <w:r>
        <w:rPr>
          <w:rFonts w:hint="eastAsia" w:ascii="宋体" w:hAnsi="宋体" w:cs="宋体"/>
          <w:color w:val="auto"/>
          <w:sz w:val="24"/>
          <w:highlight w:val="none"/>
          <w:lang w:val="en-US" w:eastAsia="zh-CN"/>
        </w:rPr>
        <w:t>报名获取</w:t>
      </w:r>
      <w:r>
        <w:rPr>
          <w:rFonts w:hint="eastAsia" w:ascii="宋体" w:hAnsi="宋体" w:cs="宋体"/>
          <w:color w:val="auto"/>
          <w:sz w:val="24"/>
          <w:highlight w:val="none"/>
        </w:rPr>
        <w:t>文件人员身份</w:t>
      </w:r>
      <w:r>
        <w:rPr>
          <w:rFonts w:hint="eastAsia" w:ascii="宋体" w:hAnsi="宋体" w:cs="宋体"/>
          <w:color w:val="auto"/>
          <w:sz w:val="24"/>
          <w:highlight w:val="none"/>
          <w:lang w:val="en-US" w:eastAsia="zh-CN"/>
        </w:rPr>
        <w:t>证、②单位介绍信(其中第①项查原件,留加盖鲜章的复印件；第②项留加盖鲜章的原件）</w:t>
      </w:r>
    </w:p>
    <w:p>
      <w:pPr>
        <w:spacing w:line="360" w:lineRule="auto"/>
        <w:ind w:firstLine="49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2、网上报名获取</w:t>
      </w:r>
      <w:r>
        <w:rPr>
          <w:rFonts w:hint="eastAsia" w:ascii="宋体" w:hAnsi="宋体" w:cs="宋体"/>
          <w:color w:val="auto"/>
          <w:sz w:val="24"/>
          <w:highlight w:val="none"/>
        </w:rPr>
        <w:t>磋商文件时，</w:t>
      </w:r>
      <w:r>
        <w:rPr>
          <w:rFonts w:hint="eastAsia" w:ascii="宋体" w:hAnsi="宋体" w:cs="宋体"/>
          <w:color w:val="auto"/>
          <w:sz w:val="24"/>
          <w:highlight w:val="none"/>
          <w:lang w:val="en-US" w:eastAsia="zh-CN"/>
        </w:rPr>
        <w:t>供应商须在本项目四川</w:t>
      </w:r>
      <w:r>
        <w:rPr>
          <w:rFonts w:hint="eastAsia" w:hAnsi="宋体" w:cs="宋体"/>
          <w:color w:val="auto"/>
          <w:sz w:val="24"/>
          <w:highlight w:val="none"/>
          <w:lang w:val="en-US" w:eastAsia="zh-CN"/>
        </w:rPr>
        <w:t>政府采购网</w:t>
      </w:r>
      <w:r>
        <w:rPr>
          <w:rFonts w:hint="eastAsia" w:ascii="宋体" w:hAnsi="宋体" w:cs="宋体"/>
          <w:color w:val="auto"/>
          <w:sz w:val="24"/>
          <w:highlight w:val="none"/>
          <w:lang w:val="en-US" w:eastAsia="zh-CN"/>
        </w:rPr>
        <w:t>公告附件中下载本项目报名登记表，报名人员按要求填写报名登记表后加盖单位公章，同时附报名人员单位介绍信及身份证复印件（均需加盖公章）。将加盖公章后的报名登记表、人员单位介绍信、身份证复印件等上述材料彩色扫描件发送至（806093935@qq.com）。请各投标单位发送邮件后及时联系代理机构检查报名资料是否合格，</w:t>
      </w:r>
      <w:r>
        <w:rPr>
          <w:rFonts w:hint="eastAsia" w:ascii="宋体" w:hAnsi="宋体" w:cs="宋体"/>
          <w:b/>
          <w:bCs/>
          <w:color w:val="auto"/>
          <w:sz w:val="24"/>
          <w:highlight w:val="none"/>
          <w:lang w:val="en-US" w:eastAsia="zh-CN"/>
        </w:rPr>
        <w:t>报名合格代理机构将通过邮件方式明确回复各报名单位。（注：如采用网上报名方式，报名时间以邮箱收到合格报名资料扫描件时间为准，报名单位未按规定时间发送的报名资料视为无效）</w:t>
      </w:r>
    </w:p>
    <w:p>
      <w:pPr>
        <w:spacing w:after="120" w:line="360" w:lineRule="auto"/>
        <w:ind w:firstLine="490" w:firstLineChars="200"/>
        <w:rPr>
          <w:rFonts w:ascii="宋体" w:hAnsi="宋体" w:cs="宋体"/>
          <w:color w:val="auto"/>
          <w:sz w:val="24"/>
          <w:szCs w:val="28"/>
          <w:highlight w:val="none"/>
        </w:rPr>
      </w:pPr>
      <w:r>
        <w:rPr>
          <w:rFonts w:hint="eastAsia" w:ascii="宋体" w:hAnsi="宋体" w:cs="宋体"/>
          <w:b/>
          <w:color w:val="auto"/>
          <w:sz w:val="24"/>
          <w:szCs w:val="28"/>
          <w:highlight w:val="none"/>
        </w:rPr>
        <w:t>八、递交响应文件</w:t>
      </w:r>
      <w:r>
        <w:rPr>
          <w:rFonts w:hint="eastAsia" w:ascii="宋体" w:hAnsi="宋体" w:cs="宋体"/>
          <w:b/>
          <w:color w:val="auto"/>
          <w:sz w:val="24"/>
          <w:highlight w:val="none"/>
        </w:rPr>
        <w:t>截止时间：</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5 </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 xml:space="preserve"> 13 </w:t>
      </w:r>
      <w:r>
        <w:rPr>
          <w:rFonts w:hint="eastAsia" w:ascii="宋体" w:hAnsi="宋体" w:cs="宋体"/>
          <w:bCs/>
          <w:color w:val="auto"/>
          <w:sz w:val="24"/>
          <w:highlight w:val="none"/>
        </w:rPr>
        <w:t>日1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w:t>
      </w:r>
      <w:r>
        <w:rPr>
          <w:rFonts w:hint="eastAsia" w:ascii="宋体" w:hAnsi="宋体" w:cs="宋体"/>
          <w:color w:val="auto"/>
          <w:sz w:val="24"/>
          <w:szCs w:val="28"/>
          <w:highlight w:val="none"/>
        </w:rPr>
        <w:t>（北京时间）。</w:t>
      </w:r>
    </w:p>
    <w:p>
      <w:pPr>
        <w:spacing w:after="120" w:line="360" w:lineRule="auto"/>
        <w:ind w:firstLine="490" w:firstLineChars="200"/>
        <w:rPr>
          <w:rFonts w:ascii="宋体" w:hAnsi="宋体" w:cs="宋体"/>
          <w:color w:val="auto"/>
          <w:sz w:val="24"/>
          <w:szCs w:val="28"/>
          <w:highlight w:val="none"/>
        </w:rPr>
      </w:pPr>
      <w:r>
        <w:rPr>
          <w:rFonts w:hint="eastAsia" w:ascii="宋体" w:hAnsi="宋体" w:cs="宋体"/>
          <w:b/>
          <w:color w:val="auto"/>
          <w:sz w:val="24"/>
          <w:szCs w:val="28"/>
          <w:highlight w:val="none"/>
        </w:rPr>
        <w:t>九</w:t>
      </w:r>
      <w:r>
        <w:rPr>
          <w:rFonts w:hint="eastAsia" w:ascii="宋体" w:hAnsi="宋体" w:cs="宋体"/>
          <w:b/>
          <w:color w:val="auto"/>
          <w:sz w:val="24"/>
          <w:highlight w:val="none"/>
        </w:rPr>
        <w:t>、递交响应文件地点：</w:t>
      </w:r>
      <w:r>
        <w:rPr>
          <w:rFonts w:hint="eastAsia" w:ascii="宋体" w:hAnsi="宋体" w:cs="宋体"/>
          <w:color w:val="auto"/>
          <w:sz w:val="24"/>
          <w:highlight w:val="none"/>
        </w:rPr>
        <w:t>响应文件必须在递交响应文件截止时间前送达磋商地点。逾期送达、密封和标注错误的响应文件，采购代理机构恕不接收。本次采购不接收邮寄的响应文件。</w:t>
      </w:r>
    </w:p>
    <w:p>
      <w:pPr>
        <w:spacing w:after="120" w:line="360" w:lineRule="auto"/>
        <w:ind w:firstLine="490" w:firstLineChars="200"/>
        <w:rPr>
          <w:rFonts w:ascii="宋体" w:hAnsi="宋体" w:cs="宋体"/>
          <w:color w:val="auto"/>
          <w:sz w:val="24"/>
          <w:szCs w:val="28"/>
          <w:highlight w:val="none"/>
        </w:rPr>
      </w:pPr>
      <w:r>
        <w:rPr>
          <w:rFonts w:hint="eastAsia" w:ascii="宋体" w:hAnsi="宋体" w:cs="宋体"/>
          <w:b/>
          <w:color w:val="auto"/>
          <w:sz w:val="24"/>
          <w:szCs w:val="28"/>
          <w:highlight w:val="none"/>
        </w:rPr>
        <w:t>十、响应文件开启时间：</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5 </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 xml:space="preserve"> 13 </w:t>
      </w:r>
      <w:r>
        <w:rPr>
          <w:rFonts w:hint="eastAsia" w:ascii="宋体" w:hAnsi="宋体" w:cs="宋体"/>
          <w:bCs/>
          <w:color w:val="auto"/>
          <w:sz w:val="24"/>
          <w:highlight w:val="none"/>
        </w:rPr>
        <w:t>日11: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w:t>
      </w:r>
      <w:r>
        <w:rPr>
          <w:rFonts w:hint="eastAsia" w:ascii="宋体" w:hAnsi="宋体" w:cs="宋体"/>
          <w:color w:val="auto"/>
          <w:sz w:val="24"/>
          <w:szCs w:val="28"/>
          <w:highlight w:val="none"/>
        </w:rPr>
        <w:t>（北京时间）在磋商地点开启。</w:t>
      </w:r>
    </w:p>
    <w:p>
      <w:pPr>
        <w:spacing w:line="360" w:lineRule="auto"/>
        <w:ind w:firstLine="497" w:firstLineChars="203"/>
        <w:rPr>
          <w:rFonts w:ascii="宋体" w:hAnsi="宋体" w:cs="宋体"/>
          <w:color w:val="auto"/>
          <w:sz w:val="24"/>
          <w:szCs w:val="28"/>
          <w:highlight w:val="none"/>
        </w:rPr>
      </w:pPr>
      <w:r>
        <w:rPr>
          <w:rFonts w:hint="eastAsia" w:ascii="宋体" w:hAnsi="宋体" w:cs="宋体"/>
          <w:b/>
          <w:color w:val="auto"/>
          <w:sz w:val="24"/>
          <w:szCs w:val="28"/>
          <w:highlight w:val="none"/>
        </w:rPr>
        <w:t>十一、磋商地点：</w:t>
      </w:r>
      <w:r>
        <w:rPr>
          <w:rFonts w:hint="eastAsia" w:ascii="宋体" w:hAnsi="宋体" w:cs="宋体"/>
          <w:b/>
          <w:bCs/>
          <w:color w:val="auto"/>
          <w:sz w:val="24"/>
          <w:szCs w:val="28"/>
          <w:highlight w:val="none"/>
          <w:u w:val="single"/>
        </w:rPr>
        <w:t xml:space="preserve"> </w:t>
      </w:r>
      <w:r>
        <w:rPr>
          <w:rFonts w:hint="eastAsia" w:ascii="宋体" w:hAnsi="宋体" w:cs="宋体"/>
          <w:b/>
          <w:bCs/>
          <w:color w:val="auto"/>
          <w:sz w:val="24"/>
          <w:szCs w:val="28"/>
          <w:highlight w:val="none"/>
          <w:u w:val="single"/>
          <w:lang w:eastAsia="zh-CN"/>
        </w:rPr>
        <w:t>成都怡建工程咨询代理有限公司</w:t>
      </w:r>
      <w:r>
        <w:rPr>
          <w:rFonts w:hint="eastAsia" w:ascii="宋体" w:hAnsi="宋体" w:cs="宋体"/>
          <w:b/>
          <w:bCs/>
          <w:color w:val="auto"/>
          <w:sz w:val="24"/>
          <w:szCs w:val="28"/>
          <w:highlight w:val="none"/>
          <w:u w:val="single"/>
        </w:rPr>
        <w:t>开标室（</w:t>
      </w:r>
      <w:r>
        <w:rPr>
          <w:rFonts w:hint="eastAsia" w:ascii="宋体" w:hAnsi="宋体" w:cs="宋体"/>
          <w:b/>
          <w:bCs/>
          <w:color w:val="auto"/>
          <w:sz w:val="24"/>
          <w:szCs w:val="28"/>
          <w:highlight w:val="none"/>
          <w:u w:val="single"/>
          <w:lang w:eastAsia="zh-CN"/>
        </w:rPr>
        <w:t>成都市青羊区琼楼路138号光华里4楼</w:t>
      </w:r>
      <w:r>
        <w:rPr>
          <w:rFonts w:hint="eastAsia" w:ascii="宋体" w:hAnsi="宋体" w:cs="宋体"/>
          <w:b/>
          <w:bCs/>
          <w:color w:val="auto"/>
          <w:sz w:val="24"/>
          <w:szCs w:val="28"/>
          <w:highlight w:val="none"/>
          <w:u w:val="single"/>
        </w:rPr>
        <w:t xml:space="preserve">） </w:t>
      </w:r>
      <w:r>
        <w:rPr>
          <w:rFonts w:hint="eastAsia" w:ascii="宋体" w:hAnsi="宋体" w:cs="宋体"/>
          <w:color w:val="auto"/>
          <w:sz w:val="24"/>
          <w:szCs w:val="28"/>
          <w:highlight w:val="none"/>
        </w:rPr>
        <w:t>。</w:t>
      </w:r>
    </w:p>
    <w:p>
      <w:pPr>
        <w:pStyle w:val="60"/>
        <w:ind w:firstLine="492"/>
        <w:rPr>
          <w:rFonts w:ascii="宋体" w:hAnsi="宋体" w:cs="宋体"/>
          <w:b/>
          <w:color w:val="auto"/>
          <w:sz w:val="24"/>
          <w:highlight w:val="none"/>
        </w:rPr>
      </w:pPr>
      <w:r>
        <w:rPr>
          <w:rFonts w:hint="eastAsia" w:ascii="宋体" w:hAnsi="宋体" w:cs="宋体"/>
          <w:b/>
          <w:color w:val="auto"/>
          <w:sz w:val="24"/>
          <w:highlight w:val="none"/>
        </w:rPr>
        <w:t>十二、联系方式</w:t>
      </w:r>
    </w:p>
    <w:p>
      <w:pPr>
        <w:widowControl/>
        <w:spacing w:line="360" w:lineRule="auto"/>
        <w:ind w:firstLine="482"/>
        <w:rPr>
          <w:rFonts w:ascii="宋体" w:hAnsi="宋体" w:cs="宋体"/>
          <w:color w:val="auto"/>
          <w:sz w:val="24"/>
          <w:highlight w:val="none"/>
        </w:rPr>
      </w:pPr>
      <w:r>
        <w:rPr>
          <w:rFonts w:hint="eastAsia" w:ascii="宋体" w:hAnsi="宋体" w:cs="宋体"/>
          <w:b/>
          <w:bCs/>
          <w:color w:val="auto"/>
          <w:sz w:val="24"/>
          <w:highlight w:val="none"/>
        </w:rPr>
        <w:t>采购人</w:t>
      </w:r>
      <w:r>
        <w:rPr>
          <w:rFonts w:hint="eastAsia" w:ascii="宋体" w:hAnsi="宋体" w:cs="宋体"/>
          <w:color w:val="auto"/>
          <w:sz w:val="24"/>
          <w:highlight w:val="none"/>
        </w:rPr>
        <w:t>：成都市新都区三河中心敬老院</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地址：成都市新都区</w:t>
      </w:r>
      <w:r>
        <w:rPr>
          <w:rFonts w:hint="eastAsia" w:ascii="宋体" w:hAnsi="宋体" w:cs="宋体"/>
          <w:color w:val="auto"/>
          <w:sz w:val="24"/>
          <w:highlight w:val="none"/>
          <w:lang w:val="en-US" w:eastAsia="zh-CN"/>
        </w:rPr>
        <w:t>三河街道</w:t>
      </w:r>
    </w:p>
    <w:p>
      <w:pPr>
        <w:pStyle w:val="60"/>
        <w:spacing w:line="420" w:lineRule="exact"/>
        <w:ind w:firstLine="49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李老师</w:t>
      </w:r>
      <w:r>
        <w:rPr>
          <w:rFonts w:hint="eastAsia" w:ascii="宋体" w:hAnsi="宋体" w:cs="宋体"/>
          <w:color w:val="auto"/>
          <w:sz w:val="24"/>
          <w:highlight w:val="none"/>
          <w:lang w:val="en-US" w:eastAsia="zh-CN"/>
        </w:rPr>
        <w:tab/>
      </w:r>
    </w:p>
    <w:p>
      <w:pPr>
        <w:pStyle w:val="60"/>
        <w:spacing w:line="420" w:lineRule="exact"/>
        <w:ind w:firstLine="49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61795880</w:t>
      </w:r>
    </w:p>
    <w:p>
      <w:pPr>
        <w:spacing w:line="360" w:lineRule="auto"/>
        <w:ind w:firstLine="482"/>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采购代理机构：</w:t>
      </w:r>
      <w:r>
        <w:rPr>
          <w:rFonts w:hint="eastAsia" w:ascii="宋体" w:hAnsi="宋体" w:cs="宋体"/>
          <w:color w:val="auto"/>
          <w:sz w:val="24"/>
          <w:highlight w:val="none"/>
          <w:lang w:eastAsia="zh-CN"/>
        </w:rPr>
        <w:t>成都怡建工程咨询代理有限公司</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成都市青羊区琼楼路138号光华里4楼</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何先生</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028-86785533</w:t>
      </w:r>
    </w:p>
    <w:p>
      <w:pPr>
        <w:pStyle w:val="21"/>
        <w:spacing w:before="0" w:beforeAutospacing="0" w:after="0" w:afterAutospacing="0" w:line="360" w:lineRule="auto"/>
        <w:ind w:firstLine="7962" w:firstLineChars="3250"/>
        <w:rPr>
          <w:rFonts w:cs="宋体"/>
          <w:color w:val="auto"/>
          <w:sz w:val="24"/>
          <w:szCs w:val="24"/>
          <w:highlight w:val="none"/>
        </w:rPr>
      </w:pPr>
    </w:p>
    <w:p>
      <w:pPr>
        <w:pStyle w:val="21"/>
        <w:spacing w:before="0" w:beforeAutospacing="0" w:after="0" w:afterAutospacing="0" w:line="360" w:lineRule="auto"/>
        <w:ind w:firstLine="7962" w:firstLineChars="3250"/>
        <w:rPr>
          <w:rFonts w:cs="宋体"/>
          <w:color w:val="auto"/>
          <w:sz w:val="24"/>
          <w:szCs w:val="24"/>
          <w:highlight w:val="none"/>
        </w:rPr>
      </w:pPr>
    </w:p>
    <w:p>
      <w:pPr>
        <w:pStyle w:val="21"/>
        <w:spacing w:before="0" w:beforeAutospacing="0" w:after="0" w:afterAutospacing="0" w:line="360" w:lineRule="auto"/>
        <w:ind w:firstLine="7962" w:firstLineChars="3250"/>
        <w:rPr>
          <w:rFonts w:cs="宋体"/>
          <w:color w:val="auto"/>
          <w:sz w:val="24"/>
          <w:szCs w:val="24"/>
          <w:highlight w:val="none"/>
        </w:rPr>
      </w:pPr>
      <w:r>
        <w:rPr>
          <w:rFonts w:hint="eastAsia" w:cs="宋体"/>
          <w:color w:val="auto"/>
          <w:sz w:val="24"/>
          <w:szCs w:val="24"/>
          <w:highlight w:val="none"/>
        </w:rPr>
        <w:t>20</w:t>
      </w:r>
      <w:r>
        <w:rPr>
          <w:rFonts w:hint="eastAsia" w:cs="宋体"/>
          <w:color w:val="auto"/>
          <w:sz w:val="24"/>
          <w:szCs w:val="24"/>
          <w:highlight w:val="none"/>
          <w:lang w:val="en-US" w:eastAsia="zh-CN"/>
        </w:rPr>
        <w:t>21</w:t>
      </w:r>
      <w:r>
        <w:rPr>
          <w:rFonts w:hint="eastAsia" w:cs="宋体"/>
          <w:color w:val="auto"/>
          <w:sz w:val="24"/>
          <w:szCs w:val="24"/>
          <w:highlight w:val="none"/>
        </w:rPr>
        <w:t>年</w:t>
      </w:r>
      <w:r>
        <w:rPr>
          <w:rFonts w:hint="eastAsia" w:cs="宋体"/>
          <w:color w:val="auto"/>
          <w:sz w:val="24"/>
          <w:szCs w:val="24"/>
          <w:highlight w:val="none"/>
          <w:lang w:val="en-US" w:eastAsia="zh-CN"/>
        </w:rPr>
        <w:t>4</w:t>
      </w:r>
      <w:r>
        <w:rPr>
          <w:rFonts w:hint="eastAsia" w:cs="宋体"/>
          <w:color w:val="auto"/>
          <w:sz w:val="24"/>
          <w:szCs w:val="24"/>
          <w:highlight w:val="none"/>
        </w:rPr>
        <w:t>月</w:t>
      </w:r>
    </w:p>
    <w:p>
      <w:pPr>
        <w:pStyle w:val="3"/>
        <w:keepNext w:val="0"/>
        <w:keepLines w:val="0"/>
        <w:spacing w:before="0" w:after="0" w:line="240" w:lineRule="auto"/>
        <w:jc w:val="center"/>
        <w:rPr>
          <w:rFonts w:ascii="宋体" w:hAnsi="宋体" w:cs="宋体"/>
          <w:color w:val="auto"/>
          <w:sz w:val="36"/>
          <w:szCs w:val="36"/>
          <w:highlight w:val="none"/>
        </w:rPr>
      </w:pPr>
      <w:bookmarkStart w:id="3" w:name="_Toc213396945"/>
      <w:bookmarkStart w:id="4" w:name="_Toc213496267"/>
      <w:bookmarkStart w:id="5" w:name="_Toc213396759"/>
      <w:bookmarkStart w:id="6" w:name="_Toc213397009"/>
      <w:bookmarkStart w:id="7" w:name="_Toc217446031"/>
      <w:r>
        <w:rPr>
          <w:rFonts w:hint="eastAsia" w:ascii="宋体" w:hAnsi="宋体" w:cs="宋体"/>
          <w:color w:val="auto"/>
          <w:sz w:val="36"/>
          <w:szCs w:val="36"/>
          <w:highlight w:val="none"/>
        </w:rPr>
        <w:br w:type="page"/>
      </w:r>
      <w:bookmarkStart w:id="8" w:name="_Toc41920659"/>
      <w:r>
        <w:rPr>
          <w:rFonts w:hint="eastAsia" w:ascii="宋体" w:hAnsi="宋体" w:cs="宋体"/>
          <w:color w:val="auto"/>
          <w:sz w:val="36"/>
          <w:szCs w:val="36"/>
          <w:highlight w:val="none"/>
        </w:rPr>
        <w:t>第二章  磋商须知</w:t>
      </w:r>
      <w:bookmarkEnd w:id="3"/>
      <w:bookmarkEnd w:id="4"/>
      <w:bookmarkEnd w:id="5"/>
      <w:bookmarkEnd w:id="6"/>
      <w:bookmarkEnd w:id="7"/>
      <w:bookmarkEnd w:id="8"/>
    </w:p>
    <w:p>
      <w:pPr>
        <w:pStyle w:val="4"/>
        <w:keepNext w:val="0"/>
        <w:keepLines w:val="0"/>
        <w:spacing w:before="0" w:after="0" w:line="240" w:lineRule="auto"/>
        <w:jc w:val="center"/>
        <w:rPr>
          <w:rFonts w:ascii="宋体" w:hAnsi="宋体" w:eastAsia="宋体" w:cs="宋体"/>
          <w:color w:val="auto"/>
          <w:highlight w:val="none"/>
        </w:rPr>
      </w:pPr>
      <w:r>
        <w:rPr>
          <w:rFonts w:hint="eastAsia" w:ascii="宋体" w:hAnsi="宋体" w:eastAsia="宋体" w:cs="宋体"/>
          <w:color w:val="auto"/>
          <w:highlight w:val="none"/>
        </w:rPr>
        <w:t>一、供应商须知附表</w:t>
      </w:r>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6"/>
        <w:gridCol w:w="2177"/>
        <w:gridCol w:w="680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blHeader/>
          <w:jc w:val="center"/>
        </w:trPr>
        <w:tc>
          <w:tcPr>
            <w:tcW w:w="706"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序号</w:t>
            </w: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 xml:space="preserve">应知事项 </w:t>
            </w:r>
          </w:p>
        </w:tc>
        <w:tc>
          <w:tcPr>
            <w:tcW w:w="6800"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确定邀请磋商的供应商数量和方式</w:t>
            </w:r>
          </w:p>
        </w:tc>
        <w:tc>
          <w:tcPr>
            <w:tcW w:w="6800" w:type="dxa"/>
            <w:vAlign w:val="center"/>
          </w:tcPr>
          <w:p>
            <w:pPr>
              <w:pStyle w:val="53"/>
              <w:spacing w:before="156" w:beforeLines="50" w:after="156" w:afterLines="50"/>
              <w:ind w:firstLine="430" w:firstLineChars="200"/>
              <w:jc w:val="both"/>
              <w:rPr>
                <w:color w:val="auto"/>
                <w:sz w:val="21"/>
                <w:szCs w:val="21"/>
                <w:highlight w:val="none"/>
                <w:lang w:val="zh-CN"/>
              </w:rPr>
            </w:pPr>
            <w:r>
              <w:rPr>
                <w:rFonts w:hint="eastAsia"/>
                <w:color w:val="auto"/>
                <w:sz w:val="21"/>
                <w:szCs w:val="21"/>
                <w:highlight w:val="none"/>
                <w:lang w:val="zh-CN"/>
              </w:rPr>
              <w:t>本次采购采取在四川政府采购网上以公告形式发布的方式邀请非特定的供应商参加磋商。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采购预算</w:t>
            </w:r>
          </w:p>
        </w:tc>
        <w:tc>
          <w:tcPr>
            <w:tcW w:w="6800" w:type="dxa"/>
            <w:vAlign w:val="center"/>
          </w:tcPr>
          <w:p>
            <w:pPr>
              <w:pStyle w:val="53"/>
              <w:spacing w:before="156" w:beforeLines="50" w:after="156" w:afterLines="50"/>
              <w:ind w:firstLine="430" w:firstLineChars="200"/>
              <w:jc w:val="both"/>
              <w:rPr>
                <w:color w:val="auto"/>
                <w:sz w:val="21"/>
                <w:szCs w:val="21"/>
                <w:highlight w:val="none"/>
                <w:lang w:val="zh-CN"/>
              </w:rPr>
            </w:pPr>
            <w:r>
              <w:rPr>
                <w:rFonts w:hint="eastAsia"/>
                <w:color w:val="auto"/>
                <w:sz w:val="21"/>
                <w:szCs w:val="21"/>
                <w:highlight w:val="none"/>
                <w:lang w:val="zh-CN"/>
              </w:rPr>
              <w:t>采购预算：</w:t>
            </w:r>
            <w:r>
              <w:rPr>
                <w:rFonts w:hint="eastAsia"/>
                <w:color w:val="auto"/>
                <w:sz w:val="21"/>
                <w:szCs w:val="21"/>
                <w:highlight w:val="none"/>
                <w:lang w:val="en-US" w:eastAsia="zh-CN"/>
              </w:rPr>
              <w:t>1400000</w:t>
            </w:r>
            <w:r>
              <w:rPr>
                <w:rFonts w:hint="eastAsia"/>
                <w:color w:val="auto"/>
                <w:sz w:val="21"/>
                <w:szCs w:val="21"/>
                <w:highlight w:val="none"/>
                <w:lang w:val="zh-CN"/>
              </w:rPr>
              <w:t>元（大写：人民币</w:t>
            </w:r>
            <w:r>
              <w:rPr>
                <w:rFonts w:hint="eastAsia"/>
                <w:color w:val="auto"/>
                <w:sz w:val="21"/>
                <w:szCs w:val="21"/>
                <w:highlight w:val="none"/>
                <w:lang w:val="en-US" w:eastAsia="zh-CN"/>
              </w:rPr>
              <w:t>壹佰肆拾万</w:t>
            </w:r>
            <w:r>
              <w:rPr>
                <w:rFonts w:hint="eastAsia"/>
                <w:color w:val="auto"/>
                <w:sz w:val="21"/>
                <w:szCs w:val="21"/>
                <w:highlight w:val="none"/>
                <w:lang w:val="zh-CN"/>
              </w:rPr>
              <w:t>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rFonts w:hint="eastAsia"/>
                <w:color w:val="auto"/>
                <w:sz w:val="21"/>
                <w:szCs w:val="21"/>
                <w:highlight w:val="none"/>
                <w:lang w:val="zh-CN"/>
              </w:rPr>
            </w:pPr>
            <w:r>
              <w:rPr>
                <w:rFonts w:hint="eastAsia"/>
                <w:color w:val="auto"/>
                <w:sz w:val="21"/>
                <w:szCs w:val="21"/>
                <w:highlight w:val="none"/>
                <w:lang w:val="zh-CN"/>
              </w:rPr>
              <w:t>最高限价</w:t>
            </w:r>
          </w:p>
          <w:p>
            <w:pPr>
              <w:pStyle w:val="53"/>
              <w:ind w:left="51" w:right="111" w:rightChars="52"/>
              <w:jc w:val="center"/>
              <w:rPr>
                <w:color w:val="auto"/>
                <w:sz w:val="21"/>
                <w:szCs w:val="21"/>
                <w:highlight w:val="none"/>
                <w:lang w:val="zh-CN"/>
              </w:rPr>
            </w:pPr>
            <w:r>
              <w:rPr>
                <w:rFonts w:hint="eastAsia"/>
                <w:color w:val="auto"/>
                <w:sz w:val="21"/>
                <w:szCs w:val="21"/>
                <w:highlight w:val="none"/>
                <w:lang w:val="zh-CN"/>
              </w:rPr>
              <w:t>（实质性要求）</w:t>
            </w:r>
          </w:p>
        </w:tc>
        <w:tc>
          <w:tcPr>
            <w:tcW w:w="6800" w:type="dxa"/>
            <w:vAlign w:val="center"/>
          </w:tcPr>
          <w:p>
            <w:pPr>
              <w:pStyle w:val="53"/>
              <w:spacing w:before="156" w:beforeLines="50" w:after="156" w:afterLines="50"/>
              <w:ind w:firstLine="430" w:firstLineChars="200"/>
              <w:jc w:val="both"/>
              <w:rPr>
                <w:color w:val="auto"/>
                <w:sz w:val="21"/>
                <w:szCs w:val="21"/>
                <w:highlight w:val="none"/>
                <w:lang w:val="zh-CN"/>
              </w:rPr>
            </w:pPr>
            <w:r>
              <w:rPr>
                <w:rFonts w:hint="eastAsia"/>
                <w:color w:val="auto"/>
                <w:sz w:val="21"/>
                <w:szCs w:val="21"/>
                <w:highlight w:val="none"/>
              </w:rPr>
              <w:t>最高限价：本项目按市场平均零售价作为最高限价，采用统一下浮率报价</w:t>
            </w:r>
            <w:r>
              <w:rPr>
                <w:rFonts w:hint="eastAsia"/>
                <w:color w:val="auto"/>
                <w:sz w:val="21"/>
                <w:szCs w:val="21"/>
                <w:highlight w:val="none"/>
                <w:lang w:val="zh-CN"/>
              </w:rPr>
              <w:t>，</w:t>
            </w:r>
            <w:r>
              <w:rPr>
                <w:rFonts w:hint="eastAsia"/>
                <w:color w:val="auto"/>
                <w:sz w:val="21"/>
                <w:szCs w:val="21"/>
                <w:highlight w:val="none"/>
              </w:rPr>
              <w:t>不下浮则填写“0”，不得上浮报价，</w:t>
            </w:r>
            <w:r>
              <w:rPr>
                <w:rFonts w:hint="eastAsia"/>
                <w:color w:val="auto"/>
                <w:sz w:val="21"/>
                <w:szCs w:val="21"/>
                <w:highlight w:val="none"/>
                <w:lang w:val="zh-CN"/>
              </w:rPr>
              <w:t>否则为无效报价。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联合体（实质性要求）</w:t>
            </w:r>
          </w:p>
        </w:tc>
        <w:tc>
          <w:tcPr>
            <w:tcW w:w="6800" w:type="dxa"/>
            <w:vAlign w:val="center"/>
          </w:tcPr>
          <w:p>
            <w:pPr>
              <w:pStyle w:val="53"/>
              <w:spacing w:before="156" w:beforeLines="50" w:after="156" w:afterLines="50"/>
              <w:ind w:right="111" w:rightChars="52" w:firstLine="430" w:firstLineChars="200"/>
              <w:jc w:val="both"/>
              <w:rPr>
                <w:color w:val="auto"/>
                <w:sz w:val="21"/>
                <w:szCs w:val="21"/>
                <w:highlight w:val="none"/>
                <w:lang w:val="zh-CN"/>
              </w:rPr>
            </w:pPr>
            <w:r>
              <w:rPr>
                <w:rFonts w:hint="eastAsia"/>
                <w:color w:val="auto"/>
                <w:sz w:val="21"/>
                <w:szCs w:val="21"/>
                <w:highlight w:val="none"/>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rFonts w:hint="eastAsia"/>
                <w:color w:val="auto"/>
                <w:sz w:val="21"/>
                <w:szCs w:val="21"/>
                <w:highlight w:val="none"/>
              </w:rPr>
            </w:pPr>
            <w:r>
              <w:rPr>
                <w:rFonts w:hint="eastAsia"/>
                <w:color w:val="auto"/>
                <w:sz w:val="21"/>
                <w:szCs w:val="21"/>
                <w:highlight w:val="none"/>
              </w:rPr>
              <w:t>低于成本价不正当竞争预防措施</w:t>
            </w:r>
          </w:p>
          <w:p>
            <w:pPr>
              <w:pStyle w:val="53"/>
              <w:ind w:left="51" w:right="111" w:rightChars="52"/>
              <w:jc w:val="center"/>
              <w:rPr>
                <w:color w:val="auto"/>
                <w:sz w:val="21"/>
                <w:szCs w:val="21"/>
                <w:highlight w:val="none"/>
              </w:rPr>
            </w:pPr>
            <w:r>
              <w:rPr>
                <w:rFonts w:hint="eastAsia"/>
                <w:color w:val="auto"/>
                <w:sz w:val="21"/>
                <w:szCs w:val="21"/>
                <w:highlight w:val="none"/>
              </w:rPr>
              <w:t>（实质性要求）</w:t>
            </w:r>
          </w:p>
        </w:tc>
        <w:tc>
          <w:tcPr>
            <w:tcW w:w="6800" w:type="dxa"/>
            <w:vAlign w:val="center"/>
          </w:tcPr>
          <w:p>
            <w:pPr>
              <w:pStyle w:val="53"/>
              <w:spacing w:before="156" w:beforeLines="50" w:after="156" w:afterLines="50"/>
              <w:ind w:firstLine="430" w:firstLineChars="200"/>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在</w:t>
            </w:r>
            <w:r>
              <w:rPr>
                <w:rFonts w:hint="eastAsia"/>
                <w:color w:val="auto"/>
                <w:sz w:val="21"/>
                <w:szCs w:val="21"/>
                <w:highlight w:val="none"/>
              </w:rPr>
              <w:t>评审</w:t>
            </w:r>
            <w:r>
              <w:rPr>
                <w:rFonts w:hint="eastAsia"/>
                <w:color w:val="auto"/>
                <w:sz w:val="21"/>
                <w:szCs w:val="21"/>
                <w:highlight w:val="none"/>
                <w:lang w:val="zh-CN"/>
              </w:rPr>
              <w:t>过程中，</w:t>
            </w:r>
            <w:r>
              <w:rPr>
                <w:rFonts w:hint="eastAsia"/>
                <w:color w:val="auto"/>
                <w:sz w:val="21"/>
                <w:szCs w:val="21"/>
                <w:highlight w:val="none"/>
              </w:rPr>
              <w:t>磋商小组</w:t>
            </w:r>
            <w:r>
              <w:rPr>
                <w:rFonts w:hint="eastAsia"/>
                <w:color w:val="auto"/>
                <w:sz w:val="21"/>
                <w:szCs w:val="21"/>
                <w:highlight w:val="none"/>
                <w:lang w:val="zh-CN"/>
              </w:rPr>
              <w:t>认为</w:t>
            </w:r>
            <w:r>
              <w:rPr>
                <w:rFonts w:hint="eastAsia"/>
                <w:color w:val="auto"/>
                <w:sz w:val="21"/>
                <w:szCs w:val="21"/>
                <w:highlight w:val="none"/>
              </w:rPr>
              <w:t>供应商</w:t>
            </w:r>
            <w:r>
              <w:rPr>
                <w:rFonts w:hint="eastAsia"/>
                <w:color w:val="auto"/>
                <w:sz w:val="21"/>
                <w:szCs w:val="21"/>
                <w:highlight w:val="none"/>
                <w:lang w:val="zh-CN"/>
              </w:rPr>
              <w:t>报价明显低于其他通过</w:t>
            </w:r>
            <w:r>
              <w:rPr>
                <w:rFonts w:hint="eastAsia"/>
                <w:color w:val="auto"/>
                <w:sz w:val="21"/>
                <w:szCs w:val="21"/>
                <w:highlight w:val="none"/>
              </w:rPr>
              <w:t>资格</w:t>
            </w:r>
            <w:r>
              <w:rPr>
                <w:rFonts w:hint="eastAsia"/>
                <w:color w:val="auto"/>
                <w:sz w:val="21"/>
                <w:szCs w:val="21"/>
                <w:highlight w:val="none"/>
                <w:lang w:val="zh-CN"/>
              </w:rPr>
              <w:t>性审查</w:t>
            </w:r>
            <w:r>
              <w:rPr>
                <w:rFonts w:hint="eastAsia"/>
                <w:color w:val="auto"/>
                <w:sz w:val="21"/>
                <w:szCs w:val="21"/>
                <w:highlight w:val="none"/>
              </w:rPr>
              <w:t>供应商的</w:t>
            </w:r>
            <w:r>
              <w:rPr>
                <w:rFonts w:hint="eastAsia"/>
                <w:color w:val="auto"/>
                <w:sz w:val="21"/>
                <w:szCs w:val="21"/>
                <w:highlight w:val="none"/>
                <w:lang w:val="zh-CN"/>
              </w:rPr>
              <w:t>报价，有可能影响服务质量或者不能诚信履约的，应当要求其在</w:t>
            </w:r>
            <w:r>
              <w:rPr>
                <w:rFonts w:hint="eastAsia"/>
                <w:color w:val="auto"/>
                <w:sz w:val="21"/>
                <w:szCs w:val="21"/>
                <w:highlight w:val="none"/>
              </w:rPr>
              <w:t>磋商</w:t>
            </w:r>
            <w:r>
              <w:rPr>
                <w:rFonts w:hint="eastAsia"/>
                <w:color w:val="auto"/>
                <w:sz w:val="21"/>
                <w:szCs w:val="21"/>
                <w:highlight w:val="none"/>
                <w:lang w:val="zh-CN"/>
              </w:rPr>
              <w:t>现场合理的时间内提供书面说明，必要时提交相关证明材料；</w:t>
            </w:r>
            <w:r>
              <w:rPr>
                <w:rFonts w:hint="eastAsia"/>
                <w:color w:val="auto"/>
                <w:sz w:val="21"/>
                <w:szCs w:val="21"/>
                <w:highlight w:val="none"/>
              </w:rPr>
              <w:t>供应商</w:t>
            </w:r>
            <w:r>
              <w:rPr>
                <w:rFonts w:hint="eastAsia"/>
                <w:color w:val="auto"/>
                <w:sz w:val="21"/>
                <w:szCs w:val="21"/>
                <w:highlight w:val="none"/>
                <w:lang w:val="zh-CN"/>
              </w:rPr>
              <w:t>不能证明其报价合理性的，</w:t>
            </w:r>
            <w:r>
              <w:rPr>
                <w:rFonts w:hint="eastAsia"/>
                <w:color w:val="auto"/>
                <w:sz w:val="21"/>
                <w:szCs w:val="21"/>
                <w:highlight w:val="none"/>
              </w:rPr>
              <w:t>磋商小组</w:t>
            </w:r>
            <w:r>
              <w:rPr>
                <w:rFonts w:hint="eastAsia"/>
                <w:color w:val="auto"/>
                <w:sz w:val="21"/>
                <w:szCs w:val="21"/>
                <w:highlight w:val="none"/>
                <w:lang w:val="zh-CN"/>
              </w:rPr>
              <w:t>应当将其作为无效投标处理。</w:t>
            </w:r>
          </w:p>
          <w:p>
            <w:pPr>
              <w:pStyle w:val="53"/>
              <w:spacing w:before="156" w:beforeLines="50" w:after="156" w:afterLines="50"/>
              <w:ind w:firstLine="430" w:firstLineChars="200"/>
              <w:rPr>
                <w:color w:val="auto"/>
                <w:sz w:val="21"/>
                <w:szCs w:val="21"/>
                <w:highlight w:val="none"/>
                <w:lang w:val="zh-CN"/>
              </w:rPr>
            </w:pPr>
            <w:r>
              <w:rPr>
                <w:rFonts w:hint="eastAsia"/>
                <w:color w:val="auto"/>
                <w:sz w:val="21"/>
                <w:szCs w:val="21"/>
                <w:highlight w:val="none"/>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53"/>
              <w:spacing w:before="156" w:beforeLines="50" w:after="156" w:afterLines="50"/>
              <w:ind w:firstLine="430" w:firstLineChars="200"/>
              <w:rPr>
                <w:color w:val="auto"/>
                <w:sz w:val="21"/>
                <w:szCs w:val="21"/>
                <w:highlight w:val="none"/>
                <w:lang w:val="zh-CN"/>
              </w:rPr>
            </w:pPr>
            <w:r>
              <w:rPr>
                <w:rFonts w:hint="eastAsia"/>
                <w:color w:val="auto"/>
                <w:sz w:val="21"/>
                <w:szCs w:val="21"/>
                <w:highlight w:val="none"/>
                <w:lang w:val="zh-CN"/>
              </w:rPr>
              <w:t>2.供应商书面说明应当签字确认或者加盖公章，否则无效。书面说明的签字确认，</w:t>
            </w:r>
            <w:r>
              <w:rPr>
                <w:rFonts w:hint="eastAsia"/>
                <w:color w:val="auto"/>
                <w:sz w:val="21"/>
                <w:szCs w:val="21"/>
                <w:highlight w:val="none"/>
              </w:rPr>
              <w:t>供应商</w:t>
            </w:r>
            <w:r>
              <w:rPr>
                <w:rFonts w:hint="eastAsia"/>
                <w:color w:val="auto"/>
                <w:sz w:val="21"/>
                <w:szCs w:val="21"/>
                <w:highlight w:val="none"/>
                <w:lang w:val="zh-CN"/>
              </w:rPr>
              <w:t>为法人的，由其法定代表人或者代理人签字确认；</w:t>
            </w:r>
            <w:r>
              <w:rPr>
                <w:rFonts w:hint="eastAsia"/>
                <w:color w:val="auto"/>
                <w:sz w:val="21"/>
                <w:szCs w:val="21"/>
                <w:highlight w:val="none"/>
              </w:rPr>
              <w:t>供应商</w:t>
            </w:r>
            <w:r>
              <w:rPr>
                <w:rFonts w:hint="eastAsia"/>
                <w:color w:val="auto"/>
                <w:sz w:val="21"/>
                <w:szCs w:val="21"/>
                <w:highlight w:val="none"/>
                <w:lang w:val="zh-CN"/>
              </w:rPr>
              <w:t>为其他组织的，由其主要负责人或者代理人签字确认；</w:t>
            </w:r>
            <w:r>
              <w:rPr>
                <w:rFonts w:hint="eastAsia"/>
                <w:color w:val="auto"/>
                <w:sz w:val="21"/>
                <w:szCs w:val="21"/>
                <w:highlight w:val="none"/>
              </w:rPr>
              <w:t>供应商</w:t>
            </w:r>
            <w:r>
              <w:rPr>
                <w:rFonts w:hint="eastAsia"/>
                <w:color w:val="auto"/>
                <w:sz w:val="21"/>
                <w:szCs w:val="21"/>
                <w:highlight w:val="none"/>
                <w:lang w:val="zh-CN"/>
              </w:rPr>
              <w:t>为自然人的，由其本人或者代理人签字确认。</w:t>
            </w:r>
          </w:p>
          <w:p>
            <w:pPr>
              <w:pStyle w:val="53"/>
              <w:spacing w:before="156" w:beforeLines="50" w:after="156" w:afterLines="50"/>
              <w:ind w:left="66" w:leftChars="31" w:right="111" w:rightChars="52" w:firstLine="430" w:firstLineChars="200"/>
              <w:rPr>
                <w:color w:val="auto"/>
                <w:sz w:val="21"/>
                <w:szCs w:val="21"/>
                <w:highlight w:val="none"/>
              </w:rPr>
            </w:pPr>
            <w:r>
              <w:rPr>
                <w:rFonts w:hint="eastAsia"/>
                <w:color w:val="auto"/>
                <w:sz w:val="21"/>
                <w:szCs w:val="21"/>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38"/>
              <w:jc w:val="center"/>
              <w:rPr>
                <w:color w:val="auto"/>
                <w:sz w:val="21"/>
                <w:szCs w:val="21"/>
                <w:highlight w:val="none"/>
              </w:rPr>
            </w:pPr>
            <w:r>
              <w:rPr>
                <w:rFonts w:hint="eastAsia"/>
                <w:color w:val="auto"/>
                <w:sz w:val="21"/>
                <w:szCs w:val="21"/>
                <w:highlight w:val="none"/>
                <w:lang w:val="zh-CN"/>
              </w:rPr>
              <w:t>专门面向中小微企业（监狱企业、残疾人福利性单位视同小微企业）和失信企业报价加成或者扣分</w:t>
            </w:r>
            <w:r>
              <w:rPr>
                <w:rFonts w:hint="eastAsia"/>
                <w:color w:val="auto"/>
                <w:sz w:val="21"/>
                <w:szCs w:val="21"/>
                <w:highlight w:val="none"/>
              </w:rPr>
              <w:t>及其他政府采购政策扶持</w:t>
            </w:r>
          </w:p>
          <w:p>
            <w:pPr>
              <w:pStyle w:val="53"/>
              <w:ind w:left="38"/>
              <w:jc w:val="center"/>
              <w:rPr>
                <w:color w:val="auto"/>
                <w:sz w:val="21"/>
                <w:szCs w:val="21"/>
                <w:highlight w:val="none"/>
                <w:lang w:val="zh-CN"/>
              </w:rPr>
            </w:pPr>
            <w:r>
              <w:rPr>
                <w:rFonts w:hint="eastAsia"/>
                <w:color w:val="auto"/>
                <w:sz w:val="21"/>
                <w:szCs w:val="21"/>
                <w:highlight w:val="none"/>
              </w:rPr>
              <w:t>（实质性要求）</w:t>
            </w:r>
          </w:p>
        </w:tc>
        <w:tc>
          <w:tcPr>
            <w:tcW w:w="6800" w:type="dxa"/>
          </w:tcPr>
          <w:p>
            <w:pPr>
              <w:autoSpaceDE w:val="0"/>
              <w:autoSpaceDN w:val="0"/>
              <w:adjustRightInd w:val="0"/>
              <w:spacing w:before="156" w:beforeLines="50" w:after="156" w:afterLines="50"/>
              <w:ind w:firstLine="430"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一、</w:t>
            </w:r>
            <w:r>
              <w:rPr>
                <w:rFonts w:hint="eastAsia" w:cs="宋体"/>
                <w:b/>
                <w:color w:val="auto"/>
                <w:szCs w:val="21"/>
                <w:highlight w:val="none"/>
              </w:rPr>
              <w:t>本项目专门面向中小微企业，非中小微企业不得参加本项目采购活动。</w:t>
            </w:r>
            <w:r>
              <w:rPr>
                <w:rFonts w:hint="eastAsia" w:cs="宋体"/>
                <w:b/>
                <w:color w:val="auto"/>
                <w:szCs w:val="21"/>
                <w:highlight w:val="none"/>
                <w:lang w:val="zh-CN"/>
              </w:rPr>
              <w:t>监狱企业、残疾人福利性单位视同小微企业。</w:t>
            </w:r>
            <w:r>
              <w:rPr>
                <w:rFonts w:hint="eastAsia" w:ascii="宋体" w:hAnsi="宋体" w:cs="宋体"/>
                <w:b/>
                <w:color w:val="auto"/>
                <w:szCs w:val="21"/>
                <w:highlight w:val="none"/>
                <w:lang w:val="zh-CN"/>
              </w:rPr>
              <w:t xml:space="preserve"> </w:t>
            </w:r>
          </w:p>
          <w:p>
            <w:pPr>
              <w:autoSpaceDE w:val="0"/>
              <w:autoSpaceDN w:val="0"/>
              <w:adjustRightInd w:val="0"/>
              <w:spacing w:before="156" w:beforeLines="50" w:after="156" w:afterLines="50"/>
              <w:ind w:firstLine="43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rPr>
              <w:t>二</w:t>
            </w:r>
            <w:r>
              <w:rPr>
                <w:rFonts w:hint="eastAsia" w:ascii="宋体" w:hAnsi="宋体" w:cs="宋体"/>
                <w:bCs/>
                <w:color w:val="auto"/>
                <w:szCs w:val="21"/>
                <w:highlight w:val="none"/>
                <w:lang w:val="zh-CN"/>
              </w:rPr>
              <w:t>、失信企业报价加成或者扣分：</w:t>
            </w:r>
          </w:p>
          <w:p>
            <w:pPr>
              <w:autoSpaceDE w:val="0"/>
              <w:autoSpaceDN w:val="0"/>
              <w:adjustRightInd w:val="0"/>
              <w:spacing w:before="156" w:beforeLines="50" w:after="156" w:afterLines="50"/>
              <w:ind w:firstLine="43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1、对按照《四川省政府采购当事人诚信管理办法》（川财采[2015]33号）记入诚信档案的且在有效期内的失信供应商，在参加政府采购活动中实行直接从总分中扣除</w:t>
            </w:r>
            <w:r>
              <w:rPr>
                <w:rFonts w:hint="eastAsia" w:ascii="宋体" w:hAnsi="宋体" w:cs="宋体"/>
                <w:bCs/>
                <w:color w:val="auto"/>
                <w:szCs w:val="21"/>
                <w:highlight w:val="none"/>
              </w:rPr>
              <w:t>5</w:t>
            </w:r>
            <w:r>
              <w:rPr>
                <w:rFonts w:hint="eastAsia" w:ascii="宋体" w:hAnsi="宋体" w:cs="宋体"/>
                <w:bCs/>
                <w:color w:val="auto"/>
                <w:szCs w:val="21"/>
                <w:highlight w:val="none"/>
                <w:lang w:val="zh-CN"/>
              </w:rPr>
              <w:t>分/次，且供应商失信行为惩戒实行无限制累加制，直至总分扣完为止。</w:t>
            </w:r>
          </w:p>
          <w:p>
            <w:pPr>
              <w:pStyle w:val="53"/>
              <w:spacing w:before="156" w:beforeLines="50" w:after="156" w:afterLines="50"/>
              <w:ind w:firstLine="430" w:firstLineChars="200"/>
              <w:jc w:val="both"/>
              <w:rPr>
                <w:bCs/>
                <w:color w:val="auto"/>
                <w:sz w:val="21"/>
                <w:szCs w:val="21"/>
                <w:highlight w:val="none"/>
                <w:lang w:val="zh-CN"/>
              </w:rPr>
            </w:pPr>
            <w:r>
              <w:rPr>
                <w:rFonts w:hint="eastAsia"/>
                <w:bCs/>
                <w:color w:val="auto"/>
                <w:sz w:val="21"/>
                <w:szCs w:val="21"/>
                <w:highlight w:val="none"/>
                <w:lang w:val="zh-CN"/>
              </w:rPr>
              <w:t>2、供应商参加政府采购活动时，应当就自己的诚信情况在响应文件中进行承诺。</w:t>
            </w:r>
          </w:p>
          <w:p>
            <w:pPr>
              <w:autoSpaceDE w:val="0"/>
              <w:autoSpaceDN w:val="0"/>
              <w:adjustRightInd w:val="0"/>
              <w:spacing w:before="156" w:beforeLines="50" w:after="156" w:afterLines="50"/>
              <w:ind w:firstLine="430" w:firstLineChars="200"/>
              <w:jc w:val="left"/>
              <w:rPr>
                <w:rFonts w:ascii="宋体" w:hAnsi="宋体" w:cs="宋体"/>
                <w:bCs/>
                <w:color w:val="auto"/>
                <w:szCs w:val="21"/>
                <w:highlight w:val="none"/>
              </w:rPr>
            </w:pPr>
            <w:r>
              <w:rPr>
                <w:rFonts w:hint="eastAsia" w:ascii="宋体" w:hAnsi="宋体" w:cs="宋体"/>
                <w:bCs/>
                <w:color w:val="auto"/>
                <w:szCs w:val="21"/>
                <w:highlight w:val="none"/>
              </w:rPr>
              <w:t>三、优先采购贫困地区农副产品：</w:t>
            </w:r>
          </w:p>
          <w:p>
            <w:pPr>
              <w:autoSpaceDE w:val="0"/>
              <w:autoSpaceDN w:val="0"/>
              <w:adjustRightInd w:val="0"/>
              <w:spacing w:before="156" w:beforeLines="50" w:after="156" w:afterLines="50"/>
              <w:ind w:firstLine="43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库[2019]27号文要求，本项目经综合评分后出现排名并列的情况，应优先选择提供贫困地区农副产品的供应商。如排名并列的供应商中存在多名提供贫困地区农副产品的供应商，则在并列的提供贫困地区农副产品的供应商中采取随机抽取的方式确定成交/中标供应商。</w:t>
            </w:r>
          </w:p>
          <w:p>
            <w:pPr>
              <w:autoSpaceDE w:val="0"/>
              <w:autoSpaceDN w:val="0"/>
              <w:adjustRightInd w:val="0"/>
              <w:spacing w:before="156" w:beforeLines="50" w:after="156" w:afterLines="50"/>
              <w:ind w:firstLine="430" w:firstLineChars="200"/>
              <w:jc w:val="left"/>
              <w:rPr>
                <w:rFonts w:ascii="宋体" w:hAnsi="宋体" w:cs="宋体"/>
                <w:bCs/>
                <w:color w:val="auto"/>
                <w:szCs w:val="21"/>
                <w:highlight w:val="none"/>
              </w:rPr>
            </w:pPr>
            <w:r>
              <w:rPr>
                <w:rFonts w:hint="eastAsia" w:ascii="宋体" w:hAnsi="宋体" w:cs="宋体"/>
                <w:bCs/>
                <w:color w:val="auto"/>
                <w:szCs w:val="21"/>
                <w:highlight w:val="none"/>
              </w:rPr>
              <w:t>2、贫困地区农副产品是指832个国家级贫困县域内注册的企业、农民专业合作社、家庭农场等出产的农副产品。</w:t>
            </w:r>
          </w:p>
          <w:p>
            <w:pPr>
              <w:autoSpaceDE w:val="0"/>
              <w:autoSpaceDN w:val="0"/>
              <w:adjustRightInd w:val="0"/>
              <w:spacing w:before="156" w:beforeLines="50" w:after="156" w:afterLines="50"/>
              <w:ind w:firstLine="43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3、供应商须在其他响应文件中自行提供声明函列明提供的产品中属于贫困地区农副产品的部分，否则评审过程中将不予认定。供应商不得虚假声明。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rFonts w:hint="eastAsia"/>
                <w:color w:val="auto"/>
                <w:sz w:val="21"/>
                <w:szCs w:val="21"/>
                <w:highlight w:val="none"/>
              </w:rPr>
            </w:pPr>
          </w:p>
        </w:tc>
        <w:tc>
          <w:tcPr>
            <w:tcW w:w="2177" w:type="dxa"/>
            <w:vAlign w:val="center"/>
          </w:tcPr>
          <w:p>
            <w:pPr>
              <w:spacing w:before="156" w:beforeLines="50" w:after="156" w:afterLines="5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是否允许进口产品报价</w:t>
            </w:r>
          </w:p>
        </w:tc>
        <w:tc>
          <w:tcPr>
            <w:tcW w:w="6800" w:type="dxa"/>
            <w:vAlign w:val="center"/>
          </w:tcPr>
          <w:p>
            <w:pPr>
              <w:autoSpaceDE w:val="0"/>
              <w:autoSpaceDN w:val="0"/>
              <w:adjustRightInd w:val="0"/>
              <w:spacing w:before="156" w:beforeLines="50" w:after="156" w:afterLines="50"/>
              <w:ind w:firstLine="430" w:firstLineChars="2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1.本项目【不】允许进口产品报价。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磋商情况公告</w:t>
            </w:r>
          </w:p>
        </w:tc>
        <w:tc>
          <w:tcPr>
            <w:tcW w:w="6800" w:type="dxa"/>
            <w:vAlign w:val="center"/>
          </w:tcPr>
          <w:p>
            <w:pPr>
              <w:pStyle w:val="53"/>
              <w:spacing w:before="156" w:beforeLines="50" w:after="156" w:afterLines="50"/>
              <w:ind w:right="111" w:rightChars="52" w:firstLine="430" w:firstLineChars="200"/>
              <w:jc w:val="both"/>
              <w:rPr>
                <w:color w:val="auto"/>
                <w:sz w:val="21"/>
                <w:szCs w:val="21"/>
                <w:highlight w:val="none"/>
                <w:lang w:val="zh-CN"/>
              </w:rPr>
            </w:pPr>
            <w:r>
              <w:rPr>
                <w:rFonts w:hint="eastAsia"/>
                <w:color w:val="auto"/>
                <w:sz w:val="21"/>
                <w:szCs w:val="21"/>
                <w:highlight w:val="none"/>
                <w:lang w:val="zh-CN"/>
              </w:rPr>
              <w:t>供应商资格审查情况、有效性、完整性和其他响应情况、报价情况、磋商结果等在四川政府采购网上采购结果公告栏中予以公告。供应商应对响应文件中涉及商业秘密和知识产权的内容进行标注和说明，若未进行标注和说明的，视为响应文件全部内容均可公布，采购人或者采购代理机构对相关内容予以公告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磋商保证金</w:t>
            </w:r>
          </w:p>
        </w:tc>
        <w:tc>
          <w:tcPr>
            <w:tcW w:w="6800" w:type="dxa"/>
            <w:vAlign w:val="center"/>
          </w:tcPr>
          <w:p>
            <w:pPr>
              <w:pStyle w:val="53"/>
              <w:spacing w:before="156" w:beforeLines="50" w:after="156" w:afterLines="50"/>
              <w:ind w:right="111" w:rightChars="52" w:firstLine="430" w:firstLineChars="200"/>
              <w:jc w:val="both"/>
              <w:rPr>
                <w:color w:val="auto"/>
                <w:sz w:val="21"/>
                <w:szCs w:val="21"/>
                <w:highlight w:val="none"/>
                <w:lang w:val="zh-CN"/>
              </w:rPr>
            </w:pPr>
            <w:r>
              <w:rPr>
                <w:rFonts w:hint="eastAsia"/>
                <w:color w:val="auto"/>
                <w:sz w:val="21"/>
                <w:szCs w:val="21"/>
                <w:highlight w:val="none"/>
              </w:rPr>
              <w:t>本项目不要求磋商保证金。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lang w:val="zh-CN"/>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履约保证金</w:t>
            </w:r>
          </w:p>
        </w:tc>
        <w:tc>
          <w:tcPr>
            <w:tcW w:w="6800" w:type="dxa"/>
            <w:vAlign w:val="center"/>
          </w:tcPr>
          <w:p>
            <w:pPr>
              <w:pStyle w:val="53"/>
              <w:spacing w:before="156" w:beforeLines="50" w:after="156" w:afterLines="50"/>
              <w:ind w:right="111" w:rightChars="52" w:firstLine="430" w:firstLineChars="20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本项目不要求</w:t>
            </w:r>
            <w:r>
              <w:rPr>
                <w:rFonts w:hint="eastAsia"/>
                <w:color w:val="auto"/>
                <w:sz w:val="21"/>
                <w:szCs w:val="21"/>
                <w:highlight w:val="none"/>
                <w:lang w:val="zh-CN"/>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vAlign w:val="center"/>
          </w:tcPr>
          <w:p>
            <w:pPr>
              <w:pStyle w:val="53"/>
              <w:jc w:val="center"/>
              <w:rPr>
                <w:color w:val="auto"/>
                <w:sz w:val="21"/>
                <w:szCs w:val="21"/>
                <w:highlight w:val="none"/>
                <w:lang w:val="zh-CN"/>
              </w:rPr>
            </w:pPr>
            <w:r>
              <w:rPr>
                <w:rFonts w:hint="eastAsia"/>
                <w:bCs/>
                <w:color w:val="auto"/>
                <w:kern w:val="2"/>
                <w:sz w:val="21"/>
                <w:szCs w:val="21"/>
                <w:highlight w:val="none"/>
              </w:rPr>
              <w:t>采购项目具体事项/采购文件内容咨询</w:t>
            </w:r>
          </w:p>
        </w:tc>
        <w:tc>
          <w:tcPr>
            <w:tcW w:w="6800" w:type="dxa"/>
            <w:vAlign w:val="center"/>
          </w:tcPr>
          <w:p>
            <w:pPr>
              <w:spacing w:before="156" w:beforeLines="50" w:after="156" w:afterLines="50"/>
              <w:ind w:right="107" w:rightChars="50" w:firstLine="43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何先生</w:t>
            </w:r>
          </w:p>
          <w:p>
            <w:pPr>
              <w:spacing w:before="156" w:beforeLines="50" w:after="156" w:afterLines="50"/>
              <w:ind w:right="107" w:rightChars="50" w:firstLine="430" w:firstLineChars="200"/>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028-86785533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磋商过程、结果工作咨询</w:t>
            </w:r>
          </w:p>
        </w:tc>
        <w:tc>
          <w:tcPr>
            <w:tcW w:w="6800" w:type="dxa"/>
            <w:vAlign w:val="center"/>
          </w:tcPr>
          <w:p>
            <w:pPr>
              <w:spacing w:before="156" w:beforeLines="50" w:after="156" w:afterLines="50"/>
              <w:ind w:right="107" w:rightChars="50" w:firstLine="43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何先生</w:t>
            </w:r>
          </w:p>
          <w:p>
            <w:pPr>
              <w:pStyle w:val="53"/>
              <w:spacing w:before="156" w:beforeLines="50" w:after="156" w:afterLines="50"/>
              <w:ind w:right="111" w:rightChars="52" w:firstLine="430" w:firstLineChars="200"/>
              <w:jc w:val="both"/>
              <w:rPr>
                <w:rFonts w:hint="eastAsia" w:eastAsia="宋体"/>
                <w:color w:val="auto"/>
                <w:sz w:val="21"/>
                <w:szCs w:val="21"/>
                <w:highlight w:val="none"/>
                <w:lang w:val="zh-CN" w:eastAsia="zh-CN"/>
              </w:rPr>
            </w:pPr>
            <w:r>
              <w:rPr>
                <w:rFonts w:hint="eastAsia"/>
                <w:color w:val="auto"/>
                <w:sz w:val="21"/>
                <w:szCs w:val="21"/>
                <w:highlight w:val="none"/>
              </w:rPr>
              <w:t>联系电话：</w:t>
            </w:r>
            <w:r>
              <w:rPr>
                <w:rFonts w:hint="eastAsia"/>
                <w:color w:val="auto"/>
                <w:sz w:val="21"/>
                <w:szCs w:val="21"/>
                <w:highlight w:val="none"/>
                <w:lang w:eastAsia="zh-CN"/>
              </w:rPr>
              <w:t>028-86785533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成交通知书领取</w:t>
            </w:r>
          </w:p>
        </w:tc>
        <w:tc>
          <w:tcPr>
            <w:tcW w:w="6800" w:type="dxa"/>
            <w:vAlign w:val="center"/>
          </w:tcPr>
          <w:p>
            <w:pPr>
              <w:tabs>
                <w:tab w:val="left" w:pos="7665"/>
              </w:tabs>
              <w:spacing w:before="156" w:beforeLines="50" w:after="156" w:afterLines="50"/>
              <w:ind w:firstLine="430" w:firstLineChars="200"/>
              <w:rPr>
                <w:rFonts w:ascii="宋体" w:hAnsi="宋体" w:cs="宋体"/>
                <w:color w:val="auto"/>
                <w:szCs w:val="21"/>
                <w:highlight w:val="none"/>
              </w:rPr>
            </w:pPr>
            <w:r>
              <w:rPr>
                <w:rFonts w:hint="eastAsia" w:ascii="宋体" w:hAnsi="宋体" w:cs="宋体"/>
                <w:color w:val="auto"/>
                <w:szCs w:val="21"/>
                <w:highlight w:val="none"/>
              </w:rPr>
              <w:t>结果公告在四川政府采购网上公告后，请成交供应商凭有效身份证明证件到</w:t>
            </w:r>
            <w:r>
              <w:rPr>
                <w:rFonts w:hint="eastAsia" w:ascii="宋体" w:hAnsi="宋体" w:cs="宋体"/>
                <w:color w:val="auto"/>
                <w:szCs w:val="21"/>
                <w:highlight w:val="none"/>
                <w:lang w:val="zh-CN"/>
              </w:rPr>
              <w:t>采购代理机构</w:t>
            </w:r>
            <w:r>
              <w:rPr>
                <w:rFonts w:hint="eastAsia" w:ascii="宋体" w:hAnsi="宋体" w:cs="宋体"/>
                <w:color w:val="auto"/>
                <w:szCs w:val="21"/>
                <w:highlight w:val="none"/>
              </w:rPr>
              <w:t>领取成交通知书。</w:t>
            </w:r>
          </w:p>
          <w:p>
            <w:pPr>
              <w:spacing w:before="156" w:beforeLines="50" w:after="156" w:afterLines="50"/>
              <w:ind w:right="107" w:rightChars="50" w:firstLine="43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eastAsia="zh-CN"/>
              </w:rPr>
              <w:t>何先生</w:t>
            </w:r>
          </w:p>
          <w:p>
            <w:pPr>
              <w:spacing w:before="156" w:beforeLines="50" w:after="156" w:afterLines="50"/>
              <w:ind w:firstLine="43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028-86785533</w:t>
            </w:r>
          </w:p>
          <w:p>
            <w:pPr>
              <w:pStyle w:val="53"/>
              <w:spacing w:before="156" w:beforeLines="50" w:after="156" w:afterLines="50"/>
              <w:ind w:right="111" w:rightChars="52" w:firstLine="430" w:firstLineChars="200"/>
              <w:rPr>
                <w:color w:val="auto"/>
                <w:sz w:val="21"/>
                <w:szCs w:val="21"/>
                <w:highlight w:val="none"/>
                <w:lang w:val="zh-CN"/>
              </w:rPr>
            </w:pPr>
            <w:r>
              <w:rPr>
                <w:rFonts w:hint="eastAsia"/>
                <w:color w:val="auto"/>
                <w:sz w:val="21"/>
                <w:szCs w:val="21"/>
                <w:highlight w:val="none"/>
                <w:lang w:val="zh-CN"/>
              </w:rPr>
              <w:t>地址：</w:t>
            </w:r>
            <w:r>
              <w:rPr>
                <w:rFonts w:hint="eastAsia"/>
                <w:color w:val="auto"/>
                <w:sz w:val="21"/>
                <w:szCs w:val="21"/>
                <w:highlight w:val="none"/>
                <w:lang w:eastAsia="zh-CN"/>
              </w:rPr>
              <w:t>成都市青羊区琼楼路138号光华里4楼</w:t>
            </w:r>
            <w:r>
              <w:rPr>
                <w:rFonts w:hint="eastAsia"/>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供应商询问</w:t>
            </w:r>
          </w:p>
        </w:tc>
        <w:tc>
          <w:tcPr>
            <w:tcW w:w="6800" w:type="dxa"/>
          </w:tcPr>
          <w:p>
            <w:pPr>
              <w:pStyle w:val="53"/>
              <w:spacing w:before="156" w:beforeLines="50" w:after="156" w:afterLines="50"/>
              <w:ind w:right="111" w:rightChars="52" w:firstLine="430" w:firstLineChars="200"/>
              <w:rPr>
                <w:color w:val="auto"/>
                <w:sz w:val="21"/>
                <w:szCs w:val="21"/>
                <w:highlight w:val="none"/>
                <w:lang w:val="zh-CN"/>
              </w:rPr>
            </w:pPr>
            <w:r>
              <w:rPr>
                <w:rFonts w:hint="eastAsia"/>
                <w:color w:val="auto"/>
                <w:kern w:val="2"/>
                <w:sz w:val="21"/>
                <w:szCs w:val="21"/>
                <w:highlight w:val="none"/>
                <w:lang w:val="zh-CN"/>
              </w:rPr>
              <w:t>根据委托代理协议约定，采购人负责对采购文件服务内容、服务要求、评分办法部分的询问答复，采购代理机构负责上述内容以外的询问答复。采购人：</w:t>
            </w:r>
            <w:r>
              <w:rPr>
                <w:rFonts w:hint="eastAsia"/>
                <w:color w:val="auto"/>
                <w:sz w:val="21"/>
                <w:szCs w:val="21"/>
                <w:highlight w:val="none"/>
                <w:lang w:val="zh-CN"/>
              </w:rPr>
              <w:t>成都市新都区三河中心敬老院</w:t>
            </w:r>
            <w:r>
              <w:rPr>
                <w:rFonts w:hint="eastAsia"/>
                <w:color w:val="auto"/>
                <w:kern w:val="2"/>
                <w:sz w:val="21"/>
                <w:szCs w:val="21"/>
                <w:highlight w:val="none"/>
                <w:lang w:val="zh-CN"/>
              </w:rPr>
              <w:t>，地址：成都市新都区，联系人：</w:t>
            </w:r>
            <w:r>
              <w:rPr>
                <w:rFonts w:hint="eastAsia"/>
                <w:color w:val="auto"/>
                <w:kern w:val="2"/>
                <w:sz w:val="21"/>
                <w:szCs w:val="21"/>
                <w:highlight w:val="none"/>
                <w:lang w:eastAsia="zh-CN"/>
              </w:rPr>
              <w:t>李老师</w:t>
            </w:r>
            <w:r>
              <w:rPr>
                <w:rFonts w:hint="eastAsia"/>
                <w:color w:val="auto"/>
                <w:kern w:val="2"/>
                <w:sz w:val="21"/>
                <w:szCs w:val="21"/>
                <w:highlight w:val="none"/>
                <w:lang w:val="zh-CN"/>
              </w:rPr>
              <w:t>，联系电话：61795880。采购代理机构：成都怡建工程咨询代理有限公司，地址：成都市青羊区琼楼路138号光华里4楼，联系人：何先生，联系电话：028-86785533。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tcBorders>
              <w:top w:val="single" w:color="auto" w:sz="8" w:space="0"/>
              <w:left w:val="single" w:color="auto" w:sz="18" w:space="0"/>
              <w:bottom w:val="single" w:color="auto" w:sz="8" w:space="0"/>
              <w:right w:val="single" w:color="auto" w:sz="8" w:space="0"/>
            </w:tcBorders>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tcBorders>
              <w:top w:val="single" w:color="auto" w:sz="8" w:space="0"/>
              <w:left w:val="single" w:color="auto" w:sz="8" w:space="0"/>
              <w:bottom w:val="single" w:color="auto" w:sz="8" w:space="0"/>
              <w:right w:val="single" w:color="auto" w:sz="8" w:space="0"/>
            </w:tcBorders>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供应商质疑</w:t>
            </w:r>
          </w:p>
        </w:tc>
        <w:tc>
          <w:tcPr>
            <w:tcW w:w="6800" w:type="dxa"/>
            <w:tcBorders>
              <w:top w:val="single" w:color="auto" w:sz="8" w:space="0"/>
              <w:left w:val="single" w:color="auto" w:sz="8" w:space="0"/>
              <w:bottom w:val="single" w:color="auto" w:sz="8" w:space="0"/>
              <w:right w:val="single" w:color="auto" w:sz="18" w:space="0"/>
            </w:tcBorders>
            <w:vAlign w:val="center"/>
          </w:tcPr>
          <w:p>
            <w:pPr>
              <w:spacing w:before="156" w:beforeLines="50" w:after="156" w:afterLines="50"/>
              <w:ind w:firstLine="430" w:firstLineChars="200"/>
              <w:jc w:val="left"/>
              <w:rPr>
                <w:rFonts w:ascii="宋体" w:hAnsi="宋体" w:cs="宋体"/>
                <w:color w:val="auto"/>
                <w:szCs w:val="21"/>
                <w:highlight w:val="none"/>
              </w:rPr>
            </w:pPr>
            <w:r>
              <w:rPr>
                <w:rFonts w:hint="eastAsia" w:ascii="宋体" w:hAnsi="宋体" w:cs="宋体"/>
                <w:color w:val="auto"/>
                <w:szCs w:val="21"/>
                <w:highlight w:val="none"/>
              </w:rPr>
              <w:t>根据委托代理协议约定，采购人负责对采购文件服务内容、服务要求、评分办法部分的质疑答复，采购代理机构负责上述内容以外的质疑答复</w:t>
            </w:r>
            <w:r>
              <w:rPr>
                <w:rFonts w:hint="eastAsia" w:ascii="宋体" w:hAnsi="宋体" w:cs="宋体"/>
                <w:color w:val="auto"/>
                <w:szCs w:val="21"/>
                <w:highlight w:val="none"/>
                <w:lang w:val="zh-CN"/>
              </w:rPr>
              <w:t>。</w:t>
            </w:r>
          </w:p>
          <w:p>
            <w:pPr>
              <w:spacing w:before="156" w:beforeLines="50" w:after="156" w:afterLines="50"/>
              <w:ind w:firstLine="430" w:firstLineChars="200"/>
              <w:jc w:val="left"/>
              <w:rPr>
                <w:rFonts w:ascii="宋体" w:hAnsi="宋体" w:cs="宋体"/>
                <w:color w:val="auto"/>
                <w:szCs w:val="21"/>
                <w:highlight w:val="none"/>
              </w:rPr>
            </w:pPr>
            <w:r>
              <w:rPr>
                <w:rFonts w:hint="eastAsia" w:ascii="宋体" w:hAnsi="宋体" w:cs="宋体"/>
                <w:color w:val="auto"/>
                <w:szCs w:val="21"/>
                <w:highlight w:val="none"/>
              </w:rPr>
              <w:t>采购人：</w:t>
            </w:r>
            <w:r>
              <w:rPr>
                <w:rFonts w:hint="eastAsia"/>
                <w:color w:val="auto"/>
                <w:szCs w:val="21"/>
                <w:highlight w:val="none"/>
                <w:lang w:val="zh-CN"/>
              </w:rPr>
              <w:t>成都市新都区三河中心敬老院</w:t>
            </w:r>
          </w:p>
          <w:p>
            <w:pPr>
              <w:spacing w:before="156" w:beforeLines="50" w:after="156" w:afterLines="50"/>
              <w:ind w:firstLine="430" w:firstLineChars="200"/>
              <w:jc w:val="left"/>
              <w:rPr>
                <w:rFonts w:ascii="宋体" w:hAnsi="宋体" w:cs="宋体"/>
                <w:color w:val="auto"/>
                <w:szCs w:val="21"/>
                <w:highlight w:val="none"/>
              </w:rPr>
            </w:pPr>
            <w:r>
              <w:rPr>
                <w:rFonts w:hint="eastAsia" w:ascii="宋体" w:hAnsi="宋体" w:cs="宋体"/>
                <w:color w:val="auto"/>
                <w:szCs w:val="21"/>
                <w:highlight w:val="none"/>
              </w:rPr>
              <w:t>地址：成都市新都区</w:t>
            </w:r>
          </w:p>
          <w:p>
            <w:pPr>
              <w:spacing w:before="156" w:beforeLines="50" w:after="156" w:afterLines="50"/>
              <w:ind w:firstLine="43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李老师</w:t>
            </w:r>
          </w:p>
          <w:p>
            <w:pPr>
              <w:spacing w:before="156" w:beforeLines="50" w:after="156" w:afterLines="50"/>
              <w:ind w:firstLine="430" w:firstLineChars="200"/>
              <w:jc w:val="left"/>
              <w:rPr>
                <w:rFonts w:ascii="宋体" w:hAnsi="宋体" w:cs="宋体"/>
                <w:color w:val="auto"/>
                <w:szCs w:val="21"/>
                <w:highlight w:val="none"/>
              </w:rPr>
            </w:pPr>
            <w:r>
              <w:rPr>
                <w:rFonts w:hint="eastAsia" w:ascii="宋体" w:hAnsi="宋体" w:cs="宋体"/>
                <w:color w:val="auto"/>
                <w:szCs w:val="21"/>
                <w:highlight w:val="none"/>
              </w:rPr>
              <w:t>联系电话：61795880</w:t>
            </w:r>
          </w:p>
          <w:p>
            <w:pPr>
              <w:spacing w:before="156" w:beforeLines="50" w:after="156" w:afterLines="50"/>
              <w:ind w:firstLine="43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成都怡建工程咨询代理有限公司</w:t>
            </w:r>
          </w:p>
          <w:p>
            <w:pPr>
              <w:spacing w:before="156" w:beforeLines="50" w:after="156" w:afterLines="50"/>
              <w:ind w:firstLine="43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成都市青羊区琼楼路138号光华里4楼</w:t>
            </w:r>
          </w:p>
          <w:p>
            <w:pPr>
              <w:spacing w:before="156" w:beforeLines="50" w:after="156" w:afterLines="50"/>
              <w:ind w:firstLine="43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何先生</w:t>
            </w:r>
          </w:p>
          <w:p>
            <w:pPr>
              <w:spacing w:before="156" w:beforeLines="50" w:after="156" w:afterLines="50"/>
              <w:ind w:firstLine="43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028-86785533</w:t>
            </w:r>
          </w:p>
          <w:p>
            <w:pPr>
              <w:spacing w:before="156" w:beforeLines="50" w:after="156" w:afterLines="50"/>
              <w:ind w:firstLine="43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2、接收质疑函的方式：供应商在法定时间内以书面形式现场、邮寄或快递提交质疑函（邮寄以寄出的邮戳日期为准，快递以受送达人在签收单上签收之日为准），逾期提交不予受理。</w:t>
            </w:r>
          </w:p>
          <w:p>
            <w:pPr>
              <w:spacing w:before="156" w:beforeLines="50" w:after="156" w:afterLines="50"/>
              <w:ind w:firstLine="43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注：①供应商质疑应当有明确的请求和必要的证明材料，须符合《政府采购质疑和投诉办法》财政部第94号令规定；</w:t>
            </w:r>
          </w:p>
          <w:p>
            <w:pPr>
              <w:spacing w:before="156" w:beforeLines="50" w:after="156" w:afterLines="50"/>
              <w:ind w:firstLine="43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②供应商应当在法定质疑期内一次性提出针对同一采购程序环节的质疑，否则不予受理；</w:t>
            </w:r>
          </w:p>
          <w:p>
            <w:pPr>
              <w:spacing w:before="156" w:beforeLines="50" w:after="156" w:afterLines="50"/>
              <w:ind w:firstLine="43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③根据《中华人民共和国政府采购法》的规定，供应商质疑不得超出磋商文件、磋商过程、磋商结果的范围。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706" w:type="dxa"/>
            <w:tcBorders>
              <w:top w:val="single" w:color="auto" w:sz="8" w:space="0"/>
              <w:left w:val="single" w:color="auto" w:sz="18" w:space="0"/>
              <w:bottom w:val="single" w:color="auto" w:sz="8" w:space="0"/>
              <w:right w:val="single" w:color="auto" w:sz="8" w:space="0"/>
            </w:tcBorders>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tcBorders>
              <w:top w:val="single" w:color="auto" w:sz="8" w:space="0"/>
              <w:left w:val="single" w:color="auto" w:sz="8" w:space="0"/>
              <w:bottom w:val="single" w:color="auto" w:sz="8" w:space="0"/>
              <w:right w:val="single" w:color="auto" w:sz="8" w:space="0"/>
            </w:tcBorders>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供应商投诉</w:t>
            </w:r>
          </w:p>
        </w:tc>
        <w:tc>
          <w:tcPr>
            <w:tcW w:w="6800" w:type="dxa"/>
            <w:tcBorders>
              <w:top w:val="single" w:color="auto" w:sz="8" w:space="0"/>
              <w:left w:val="single" w:color="auto" w:sz="8" w:space="0"/>
              <w:bottom w:val="single" w:color="auto" w:sz="8" w:space="0"/>
              <w:right w:val="single" w:color="auto" w:sz="18" w:space="0"/>
            </w:tcBorders>
            <w:vAlign w:val="center"/>
          </w:tcPr>
          <w:p>
            <w:pPr>
              <w:spacing w:before="156" w:beforeLines="50" w:after="156" w:afterLines="50"/>
              <w:ind w:right="107" w:rightChars="50" w:firstLine="430" w:firstLineChars="200"/>
              <w:rPr>
                <w:rFonts w:ascii="宋体" w:hAnsi="宋体" w:cs="宋体"/>
                <w:color w:val="auto"/>
                <w:szCs w:val="21"/>
                <w:highlight w:val="none"/>
              </w:rPr>
            </w:pPr>
            <w:r>
              <w:rPr>
                <w:rFonts w:hint="eastAsia" w:ascii="宋体" w:hAnsi="宋体" w:cs="宋体"/>
                <w:color w:val="auto"/>
                <w:szCs w:val="21"/>
                <w:highlight w:val="none"/>
              </w:rPr>
              <w:t>投诉受理单位：本采购项目同级财政部门</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 </w:t>
            </w:r>
          </w:p>
          <w:p>
            <w:pPr>
              <w:spacing w:before="156" w:beforeLines="50" w:after="156" w:afterLines="50"/>
              <w:ind w:right="107" w:rightChars="50" w:firstLine="43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联系电话：</w:t>
            </w:r>
            <w:r>
              <w:rPr>
                <w:rFonts w:hint="eastAsia" w:ascii="宋体" w:hAnsi="宋体" w:cs="宋体"/>
                <w:color w:val="auto"/>
                <w:szCs w:val="21"/>
                <w:highlight w:val="none"/>
              </w:rPr>
              <w:t>028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89396791</w:t>
            </w:r>
            <w:r>
              <w:rPr>
                <w:rFonts w:hint="eastAsia" w:ascii="宋体" w:hAnsi="宋体" w:cs="宋体"/>
                <w:color w:val="auto"/>
                <w:szCs w:val="21"/>
                <w:highlight w:val="none"/>
                <w:lang w:val="zh-CN"/>
              </w:rPr>
              <w:t>。</w:t>
            </w:r>
          </w:p>
          <w:p>
            <w:pPr>
              <w:spacing w:before="156" w:beforeLines="50" w:after="156" w:afterLines="50"/>
              <w:ind w:right="107" w:rightChars="50" w:firstLine="430" w:firstLineChars="200"/>
              <w:jc w:val="left"/>
              <w:rPr>
                <w:rFonts w:ascii="宋体" w:hAnsi="宋体" w:cs="宋体"/>
                <w:color w:val="auto"/>
                <w:szCs w:val="21"/>
                <w:highlight w:val="none"/>
              </w:rPr>
            </w:pPr>
            <w:r>
              <w:rPr>
                <w:rFonts w:hint="eastAsia" w:ascii="宋体" w:hAnsi="宋体" w:cs="宋体"/>
                <w:color w:val="auto"/>
                <w:szCs w:val="21"/>
                <w:highlight w:val="none"/>
                <w:lang w:val="zh-CN"/>
              </w:rPr>
              <w:t>地址：四川省成都市新都区。</w:t>
            </w:r>
          </w:p>
          <w:p>
            <w:pPr>
              <w:pStyle w:val="53"/>
              <w:spacing w:before="156" w:beforeLines="50" w:after="156" w:afterLines="50"/>
              <w:ind w:right="111" w:rightChars="52" w:firstLine="430" w:firstLineChars="200"/>
              <w:rPr>
                <w:color w:val="auto"/>
                <w:sz w:val="21"/>
                <w:szCs w:val="21"/>
                <w:highlight w:val="none"/>
                <w:lang w:val="zh-CN"/>
              </w:rPr>
            </w:pPr>
            <w:r>
              <w:rPr>
                <w:rFonts w:hint="eastAsia"/>
                <w:color w:val="auto"/>
                <w:sz w:val="21"/>
                <w:szCs w:val="21"/>
                <w:highlight w:val="none"/>
              </w:rPr>
              <w:t>邮编：</w:t>
            </w:r>
            <w:r>
              <w:rPr>
                <w:rFonts w:hint="eastAsia"/>
                <w:color w:val="auto"/>
                <w:sz w:val="21"/>
                <w:szCs w:val="21"/>
                <w:highlight w:val="none"/>
                <w:lang w:val="zh-CN"/>
              </w:rPr>
              <w:t>610</w:t>
            </w:r>
            <w:r>
              <w:rPr>
                <w:rFonts w:hint="eastAsia"/>
                <w:color w:val="auto"/>
                <w:sz w:val="21"/>
                <w:szCs w:val="21"/>
                <w:highlight w:val="none"/>
              </w:rPr>
              <w:t>500</w:t>
            </w:r>
            <w:r>
              <w:rPr>
                <w:rFonts w:hint="eastAsia"/>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tcBorders>
              <w:top w:val="single" w:color="auto" w:sz="8" w:space="0"/>
              <w:left w:val="single" w:color="auto" w:sz="18" w:space="0"/>
              <w:bottom w:val="single" w:color="auto" w:sz="8" w:space="0"/>
              <w:right w:val="single" w:color="auto" w:sz="8" w:space="0"/>
            </w:tcBorders>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tcBorders>
              <w:top w:val="single" w:color="auto" w:sz="8" w:space="0"/>
              <w:left w:val="single" w:color="auto" w:sz="8" w:space="0"/>
              <w:bottom w:val="single" w:color="auto" w:sz="8" w:space="0"/>
              <w:right w:val="single" w:color="auto" w:sz="8" w:space="0"/>
            </w:tcBorders>
            <w:vAlign w:val="center"/>
          </w:tcPr>
          <w:p>
            <w:pPr>
              <w:pStyle w:val="53"/>
              <w:ind w:left="51" w:right="111" w:rightChars="52"/>
              <w:jc w:val="center"/>
              <w:rPr>
                <w:color w:val="auto"/>
                <w:sz w:val="21"/>
                <w:szCs w:val="21"/>
                <w:highlight w:val="none"/>
                <w:lang w:val="zh-CN"/>
              </w:rPr>
            </w:pPr>
            <w:r>
              <w:rPr>
                <w:rFonts w:hint="eastAsia"/>
                <w:color w:val="auto"/>
                <w:sz w:val="21"/>
                <w:szCs w:val="21"/>
                <w:highlight w:val="none"/>
                <w:lang w:val="zh-CN"/>
              </w:rPr>
              <w:t>政府采购合同公告备案</w:t>
            </w:r>
          </w:p>
        </w:tc>
        <w:tc>
          <w:tcPr>
            <w:tcW w:w="6800" w:type="dxa"/>
            <w:tcBorders>
              <w:top w:val="single" w:color="auto" w:sz="8" w:space="0"/>
              <w:left w:val="single" w:color="auto" w:sz="8" w:space="0"/>
              <w:bottom w:val="single" w:color="auto" w:sz="8" w:space="0"/>
              <w:right w:val="single" w:color="auto" w:sz="18" w:space="0"/>
            </w:tcBorders>
            <w:vAlign w:val="center"/>
          </w:tcPr>
          <w:p>
            <w:pPr>
              <w:pStyle w:val="53"/>
              <w:spacing w:before="156" w:beforeLines="50" w:after="156" w:afterLines="50"/>
              <w:ind w:left="32" w:leftChars="15" w:right="111" w:rightChars="52" w:firstLine="430" w:firstLineChars="200"/>
              <w:jc w:val="both"/>
              <w:rPr>
                <w:color w:val="auto"/>
                <w:sz w:val="21"/>
                <w:szCs w:val="21"/>
                <w:highlight w:val="none"/>
                <w:lang w:val="zh-CN"/>
              </w:rPr>
            </w:pPr>
            <w:r>
              <w:rPr>
                <w:rFonts w:hint="eastAsia"/>
                <w:color w:val="auto"/>
                <w:sz w:val="21"/>
                <w:szCs w:val="21"/>
                <w:highlight w:val="none"/>
                <w:lang w:val="zh-CN"/>
              </w:rPr>
              <w:t>政府采购合同签订之日起2个工作日内，政府采购合同将在四川政府采购网公告；政府采购合同签订之日起七个工作日内，政府采购合同将向采购项目同级财政部门备案，即成都市新都区财政局备案。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tcBorders>
              <w:top w:val="single" w:color="auto" w:sz="8" w:space="0"/>
              <w:left w:val="single" w:color="auto" w:sz="18" w:space="0"/>
              <w:bottom w:val="single" w:color="auto" w:sz="8" w:space="0"/>
              <w:right w:val="single" w:color="auto" w:sz="8" w:space="0"/>
            </w:tcBorders>
            <w:vAlign w:val="center"/>
          </w:tcPr>
          <w:p>
            <w:pPr>
              <w:pStyle w:val="53"/>
              <w:numPr>
                <w:ilvl w:val="0"/>
                <w:numId w:val="2"/>
              </w:numPr>
              <w:spacing w:before="156" w:beforeLines="50" w:after="156" w:afterLines="50"/>
              <w:ind w:left="0" w:firstLine="0"/>
              <w:jc w:val="center"/>
              <w:rPr>
                <w:color w:val="auto"/>
                <w:sz w:val="21"/>
                <w:szCs w:val="21"/>
                <w:highlight w:val="none"/>
              </w:rPr>
            </w:pPr>
          </w:p>
        </w:tc>
        <w:tc>
          <w:tcPr>
            <w:tcW w:w="217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ind w:left="51" w:right="111" w:rightChars="52"/>
              <w:jc w:val="center"/>
              <w:rPr>
                <w:rFonts w:ascii="宋体" w:hAnsi="宋体" w:cs="宋体"/>
                <w:color w:val="auto"/>
                <w:szCs w:val="21"/>
                <w:highlight w:val="none"/>
                <w:lang w:val="zh-CN"/>
              </w:rPr>
            </w:pPr>
            <w:r>
              <w:rPr>
                <w:rFonts w:hint="eastAsia" w:ascii="宋体" w:hAnsi="宋体" w:cs="宋体"/>
                <w:bCs/>
                <w:color w:val="auto"/>
                <w:szCs w:val="21"/>
                <w:highlight w:val="none"/>
                <w:lang w:val="zh-CN"/>
              </w:rPr>
              <w:t>招标代理服务费</w:t>
            </w:r>
          </w:p>
        </w:tc>
        <w:tc>
          <w:tcPr>
            <w:tcW w:w="6800" w:type="dxa"/>
            <w:tcBorders>
              <w:top w:val="single" w:color="auto" w:sz="8" w:space="0"/>
              <w:left w:val="single" w:color="auto" w:sz="8" w:space="0"/>
              <w:bottom w:val="single" w:color="auto" w:sz="8" w:space="0"/>
              <w:right w:val="single" w:color="auto" w:sz="18" w:space="0"/>
            </w:tcBorders>
            <w:vAlign w:val="center"/>
          </w:tcPr>
          <w:p>
            <w:pPr>
              <w:spacing w:before="156" w:beforeLines="50" w:after="156" w:afterLines="50"/>
              <w:ind w:firstLine="430" w:firstLineChars="200"/>
              <w:jc w:val="left"/>
              <w:rPr>
                <w:rFonts w:ascii="宋体" w:hAnsi="宋体" w:cs="宋体"/>
                <w:bCs/>
                <w:color w:val="auto"/>
                <w:szCs w:val="21"/>
                <w:highlight w:val="none"/>
                <w:lang w:val="zh-CN"/>
              </w:rPr>
            </w:pPr>
            <w:r>
              <w:rPr>
                <w:rFonts w:hint="eastAsia" w:ascii="宋体" w:hAnsi="宋体" w:cs="宋体"/>
                <w:bCs/>
                <w:color w:val="auto"/>
                <w:szCs w:val="21"/>
                <w:highlight w:val="none"/>
                <w:lang w:val="zh-CN"/>
              </w:rPr>
              <w:t>本次项目代理服务费按照以下计算标准，以</w:t>
            </w:r>
            <w:r>
              <w:rPr>
                <w:rFonts w:hint="eastAsia" w:ascii="宋体" w:hAnsi="宋体" w:cs="宋体"/>
                <w:bCs/>
                <w:color w:val="auto"/>
                <w:szCs w:val="21"/>
                <w:highlight w:val="none"/>
              </w:rPr>
              <w:t>预算</w:t>
            </w:r>
            <w:r>
              <w:rPr>
                <w:rFonts w:hint="eastAsia" w:ascii="宋体" w:hAnsi="宋体" w:cs="宋体"/>
                <w:bCs/>
                <w:color w:val="auto"/>
                <w:szCs w:val="21"/>
                <w:highlight w:val="none"/>
                <w:lang w:val="zh-CN"/>
              </w:rPr>
              <w:t>金额为计算基础，由</w:t>
            </w:r>
            <w:r>
              <w:rPr>
                <w:rFonts w:hint="eastAsia" w:ascii="宋体" w:hAnsi="宋体" w:cs="宋体"/>
                <w:b/>
                <w:color w:val="auto"/>
                <w:szCs w:val="21"/>
                <w:highlight w:val="none"/>
              </w:rPr>
              <w:t>成交</w:t>
            </w:r>
            <w:r>
              <w:rPr>
                <w:rFonts w:hint="eastAsia" w:ascii="宋体" w:hAnsi="宋体" w:cs="宋体"/>
                <w:b/>
                <w:color w:val="auto"/>
                <w:szCs w:val="21"/>
                <w:highlight w:val="none"/>
                <w:lang w:val="zh-CN"/>
              </w:rPr>
              <w:t>单位</w:t>
            </w:r>
            <w:r>
              <w:rPr>
                <w:rFonts w:hint="eastAsia" w:ascii="宋体" w:hAnsi="宋体" w:cs="宋体"/>
                <w:bCs/>
                <w:color w:val="auto"/>
                <w:szCs w:val="21"/>
                <w:highlight w:val="none"/>
                <w:lang w:val="zh-CN"/>
              </w:rPr>
              <w:t>在领取</w:t>
            </w:r>
            <w:r>
              <w:rPr>
                <w:rFonts w:hint="eastAsia" w:ascii="宋体" w:hAnsi="宋体" w:cs="宋体"/>
                <w:bCs/>
                <w:color w:val="auto"/>
                <w:szCs w:val="21"/>
                <w:highlight w:val="none"/>
              </w:rPr>
              <w:t>成交</w:t>
            </w:r>
            <w:r>
              <w:rPr>
                <w:rFonts w:hint="eastAsia" w:ascii="宋体" w:hAnsi="宋体" w:cs="宋体"/>
                <w:bCs/>
                <w:color w:val="auto"/>
                <w:szCs w:val="21"/>
                <w:highlight w:val="none"/>
                <w:lang w:val="zh-CN"/>
              </w:rPr>
              <w:t>通知书时支付招标代理服务费：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2714" w:type="dxa"/>
                  <w:vAlign w:val="center"/>
                </w:tcPr>
                <w:p>
                  <w:pPr>
                    <w:snapToGrid w:val="0"/>
                    <w:spacing w:before="156" w:beforeLines="50" w:after="156" w:afterLines="50"/>
                    <w:ind w:firstLine="430" w:firstLineChars="200"/>
                    <w:jc w:val="center"/>
                    <w:rPr>
                      <w:rFonts w:ascii="宋体" w:hAnsi="宋体" w:cs="宋体"/>
                      <w:b/>
                      <w:color w:val="auto"/>
                      <w:szCs w:val="21"/>
                      <w:highlight w:val="none"/>
                    </w:rPr>
                  </w:pPr>
                  <w:r>
                    <w:rPr>
                      <w:rFonts w:hint="eastAsia" w:ascii="宋体" w:hAnsi="宋体" w:cs="宋体"/>
                      <w:b/>
                      <w:color w:val="auto"/>
                      <w:szCs w:val="21"/>
                      <w:highlight w:val="none"/>
                    </w:rPr>
                    <w:t>金额（万元）</w:t>
                  </w:r>
                </w:p>
              </w:tc>
              <w:tc>
                <w:tcPr>
                  <w:tcW w:w="3825" w:type="dxa"/>
                  <w:vAlign w:val="center"/>
                </w:tcPr>
                <w:p>
                  <w:pPr>
                    <w:spacing w:before="156" w:beforeLines="50" w:after="156" w:afterLines="50"/>
                    <w:ind w:firstLine="430" w:firstLineChars="200"/>
                    <w:jc w:val="center"/>
                    <w:rPr>
                      <w:rFonts w:ascii="宋体" w:hAnsi="宋体" w:cs="宋体"/>
                      <w:b/>
                      <w:color w:val="auto"/>
                      <w:szCs w:val="21"/>
                      <w:highlight w:val="none"/>
                    </w:rPr>
                  </w:pPr>
                  <w:r>
                    <w:rPr>
                      <w:rFonts w:hint="eastAsia" w:ascii="宋体" w:hAnsi="宋体" w:cs="宋体"/>
                      <w:b/>
                      <w:color w:val="auto"/>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714" w:type="dxa"/>
                  <w:vAlign w:val="center"/>
                </w:tcPr>
                <w:p>
                  <w:pPr>
                    <w:spacing w:before="156" w:beforeLines="50" w:after="156" w:afterLines="50"/>
                    <w:ind w:firstLine="430" w:firstLineChars="200"/>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3825" w:type="dxa"/>
                  <w:vAlign w:val="center"/>
                </w:tcPr>
                <w:p>
                  <w:pPr>
                    <w:spacing w:before="156" w:beforeLines="50" w:after="156" w:afterLines="50"/>
                    <w:ind w:firstLine="430" w:firstLineChars="200"/>
                    <w:jc w:val="center"/>
                    <w:rPr>
                      <w:rFonts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714" w:type="dxa"/>
                  <w:vAlign w:val="center"/>
                </w:tcPr>
                <w:p>
                  <w:pPr>
                    <w:spacing w:before="156" w:beforeLines="50" w:after="156" w:afterLines="50"/>
                    <w:ind w:firstLine="430" w:firstLineChars="200"/>
                    <w:jc w:val="center"/>
                    <w:rPr>
                      <w:rFonts w:ascii="宋体" w:hAnsi="宋体" w:cs="宋体"/>
                      <w:color w:val="auto"/>
                      <w:szCs w:val="21"/>
                      <w:highlight w:val="none"/>
                    </w:rPr>
                  </w:pPr>
                  <w:r>
                    <w:rPr>
                      <w:rFonts w:hint="eastAsia" w:ascii="宋体" w:hAnsi="宋体" w:cs="宋体"/>
                      <w:color w:val="auto"/>
                      <w:highlight w:val="none"/>
                    </w:rPr>
                    <w:t>100-500</w:t>
                  </w:r>
                </w:p>
              </w:tc>
              <w:tc>
                <w:tcPr>
                  <w:tcW w:w="3825" w:type="dxa"/>
                  <w:vAlign w:val="center"/>
                </w:tcPr>
                <w:p>
                  <w:pPr>
                    <w:spacing w:before="156" w:beforeLines="50" w:after="156" w:afterLines="50"/>
                    <w:ind w:firstLine="430" w:firstLineChars="200"/>
                    <w:jc w:val="center"/>
                    <w:rPr>
                      <w:rFonts w:ascii="宋体" w:hAnsi="宋体" w:cs="宋体"/>
                      <w:color w:val="auto"/>
                      <w:szCs w:val="21"/>
                      <w:highlight w:val="none"/>
                    </w:rPr>
                  </w:pPr>
                  <w:r>
                    <w:rPr>
                      <w:rFonts w:hint="eastAsia" w:ascii="宋体" w:hAnsi="宋体" w:cs="宋体"/>
                      <w:color w:val="auto"/>
                      <w:highlight w:val="none"/>
                    </w:rPr>
                    <w:t>1.1%</w:t>
                  </w:r>
                </w:p>
              </w:tc>
            </w:tr>
          </w:tbl>
          <w:p>
            <w:pPr>
              <w:pStyle w:val="53"/>
              <w:spacing w:before="156" w:beforeLines="50" w:after="156" w:afterLines="50"/>
              <w:ind w:right="111" w:rightChars="52" w:firstLine="430" w:firstLineChars="200"/>
              <w:jc w:val="both"/>
              <w:rPr>
                <w:color w:val="auto"/>
                <w:sz w:val="21"/>
                <w:szCs w:val="21"/>
                <w:highlight w:val="none"/>
              </w:rPr>
            </w:pPr>
            <w:r>
              <w:rPr>
                <w:rFonts w:hint="eastAsia"/>
                <w:b/>
                <w:bCs/>
                <w:color w:val="auto"/>
                <w:sz w:val="21"/>
                <w:szCs w:val="21"/>
                <w:highlight w:val="none"/>
              </w:rPr>
              <w:t>本项目招标代理服务费：19400元。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numPr>
                <w:ilvl w:val="0"/>
                <w:numId w:val="2"/>
              </w:numPr>
              <w:spacing w:before="156" w:beforeLines="50" w:after="156" w:afterLines="50"/>
              <w:ind w:left="0" w:firstLine="0"/>
              <w:jc w:val="center"/>
              <w:rPr>
                <w:rFonts w:ascii="宋体" w:hAnsi="宋体" w:cs="宋体"/>
                <w:color w:val="auto"/>
                <w:szCs w:val="21"/>
                <w:highlight w:val="none"/>
              </w:rPr>
            </w:pPr>
          </w:p>
        </w:tc>
        <w:tc>
          <w:tcPr>
            <w:tcW w:w="2177" w:type="dxa"/>
            <w:tcBorders>
              <w:right w:val="single" w:color="auto" w:sz="4" w:space="0"/>
            </w:tcBorders>
            <w:vAlign w:val="center"/>
          </w:tcPr>
          <w:p>
            <w:pPr>
              <w:ind w:left="43" w:leftChars="20" w:right="43" w:rightChars="20"/>
              <w:jc w:val="center"/>
              <w:rPr>
                <w:rFonts w:ascii="宋体" w:hAnsi="宋体" w:cs="宋体"/>
                <w:color w:val="auto"/>
                <w:szCs w:val="21"/>
                <w:highlight w:val="none"/>
                <w:lang w:val="zh-CN"/>
              </w:rPr>
            </w:pPr>
            <w:r>
              <w:rPr>
                <w:rFonts w:hint="eastAsia" w:ascii="宋体" w:hAnsi="宋体" w:cs="宋体"/>
                <w:color w:val="auto"/>
                <w:szCs w:val="21"/>
                <w:highlight w:val="none"/>
                <w:lang w:val="zh-CN"/>
              </w:rPr>
              <w:t>日期、数量的计算</w:t>
            </w:r>
          </w:p>
        </w:tc>
        <w:tc>
          <w:tcPr>
            <w:tcW w:w="6800" w:type="dxa"/>
            <w:tcBorders>
              <w:left w:val="single" w:color="auto" w:sz="4" w:space="0"/>
            </w:tcBorders>
            <w:vAlign w:val="center"/>
          </w:tcPr>
          <w:p>
            <w:pPr>
              <w:spacing w:before="156" w:beforeLines="50" w:after="156" w:afterLines="50"/>
              <w:ind w:firstLine="43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1、本招标文件按日计算期间的，开始当天不计入，从次日开始计算。期限的最后一日是国家法定节假日的，顺延到节假日后的次日为期限的最后一日。</w:t>
            </w:r>
          </w:p>
          <w:p>
            <w:pPr>
              <w:spacing w:before="156" w:beforeLines="50" w:after="156" w:afterLines="50"/>
              <w:ind w:firstLine="43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2、本招标文件所称的“以上”、“以下”、“内”、“以内”，包括本数；所称的“不足”，不包括本数。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6" w:type="dxa"/>
            <w:vAlign w:val="center"/>
          </w:tcPr>
          <w:p>
            <w:pPr>
              <w:numPr>
                <w:ilvl w:val="0"/>
                <w:numId w:val="2"/>
              </w:numPr>
              <w:spacing w:before="156" w:beforeLines="50" w:after="156" w:afterLines="50"/>
              <w:ind w:left="0" w:firstLine="0"/>
              <w:jc w:val="center"/>
              <w:rPr>
                <w:rFonts w:ascii="宋体" w:hAnsi="宋体" w:cs="宋体"/>
                <w:color w:val="auto"/>
                <w:szCs w:val="21"/>
                <w:highlight w:val="none"/>
              </w:rPr>
            </w:pPr>
          </w:p>
        </w:tc>
        <w:tc>
          <w:tcPr>
            <w:tcW w:w="2177" w:type="dxa"/>
            <w:tcBorders>
              <w:right w:val="single" w:color="auto" w:sz="4" w:space="0"/>
            </w:tcBorders>
            <w:vAlign w:val="center"/>
          </w:tcPr>
          <w:p>
            <w:pPr>
              <w:ind w:left="43" w:leftChars="20" w:right="43" w:rightChars="20"/>
              <w:jc w:val="center"/>
              <w:rPr>
                <w:rFonts w:ascii="宋体" w:hAnsi="宋体" w:cs="宋体"/>
                <w:color w:val="auto"/>
                <w:szCs w:val="21"/>
                <w:highlight w:val="none"/>
                <w:lang w:val="zh-CN"/>
              </w:rPr>
            </w:pPr>
            <w:r>
              <w:rPr>
                <w:rFonts w:hint="eastAsia" w:ascii="宋体" w:hAnsi="宋体" w:cs="宋体"/>
                <w:color w:val="auto"/>
                <w:szCs w:val="21"/>
                <w:highlight w:val="none"/>
                <w:lang w:val="zh-CN"/>
              </w:rPr>
              <w:t>政府采购供应商信用融资</w:t>
            </w:r>
          </w:p>
        </w:tc>
        <w:tc>
          <w:tcPr>
            <w:tcW w:w="6800" w:type="dxa"/>
            <w:tcBorders>
              <w:left w:val="single" w:color="auto" w:sz="4" w:space="0"/>
            </w:tcBorders>
            <w:vAlign w:val="center"/>
          </w:tcPr>
          <w:p>
            <w:pPr>
              <w:pStyle w:val="53"/>
              <w:spacing w:before="156" w:beforeLines="50" w:after="156" w:afterLines="50"/>
              <w:ind w:firstLine="430" w:firstLineChars="200"/>
              <w:rPr>
                <w:color w:val="auto"/>
                <w:kern w:val="2"/>
                <w:sz w:val="21"/>
                <w:szCs w:val="21"/>
                <w:highlight w:val="none"/>
                <w:lang w:val="zh-CN"/>
              </w:rPr>
            </w:pPr>
            <w:r>
              <w:rPr>
                <w:rFonts w:hint="eastAsia"/>
                <w:color w:val="auto"/>
                <w:kern w:val="2"/>
                <w:sz w:val="21"/>
                <w:szCs w:val="21"/>
                <w:highlight w:val="none"/>
                <w:lang w:val="zh-CN"/>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53"/>
              <w:spacing w:before="156" w:beforeLines="50" w:after="156" w:afterLines="50"/>
              <w:ind w:firstLine="430" w:firstLineChars="200"/>
              <w:rPr>
                <w:color w:val="auto"/>
                <w:kern w:val="2"/>
                <w:sz w:val="21"/>
                <w:szCs w:val="21"/>
                <w:highlight w:val="none"/>
                <w:lang w:val="zh-CN"/>
              </w:rPr>
            </w:pPr>
            <w:r>
              <w:rPr>
                <w:rFonts w:hint="eastAsia"/>
                <w:color w:val="auto"/>
                <w:kern w:val="2"/>
                <w:sz w:val="21"/>
                <w:szCs w:val="21"/>
                <w:highlight w:val="none"/>
                <w:lang w:val="zh-CN"/>
              </w:rPr>
              <w:t>根据川财采【2018】123号文《四川省财政厅关于推进四川省政府采购供应商信用融资工作的通知》，财政部门推进“政采贷”，银行和供应商按照自愿原则参与。供应商自愿选择是否申请“政采贷”，银行依据其内部审查制度和决策程序决定是否为供应商提供融资，自担风险。</w:t>
            </w:r>
          </w:p>
          <w:p>
            <w:pPr>
              <w:spacing w:before="156" w:beforeLines="50" w:after="156" w:afterLines="50"/>
              <w:ind w:left="43" w:leftChars="20" w:right="43" w:rightChars="20" w:firstLine="43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有融资需求的供应商可根据四川政府采购网公示的银行及其“政采贷”产品，自行选择符合自身情况的“政采贷”银行及其产品，凭成交通知书向银行提出贷款意向申请。银行应及时按照有关规定完成对供应商的信用审查以及开设账户等相关工作。</w:t>
            </w:r>
          </w:p>
        </w:tc>
      </w:tr>
    </w:tbl>
    <w:p>
      <w:pPr>
        <w:rPr>
          <w:rFonts w:ascii="宋体" w:hAnsi="宋体" w:cs="宋体"/>
          <w:color w:val="auto"/>
          <w:highlight w:val="none"/>
        </w:rPr>
      </w:pPr>
    </w:p>
    <w:p>
      <w:pPr>
        <w:pStyle w:val="4"/>
        <w:keepNext w:val="0"/>
        <w:keepLines w:val="0"/>
        <w:spacing w:before="0" w:after="0" w:line="40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br w:type="page"/>
      </w:r>
      <w:r>
        <w:rPr>
          <w:rFonts w:hint="eastAsia" w:ascii="宋体" w:hAnsi="宋体" w:eastAsia="宋体" w:cs="宋体"/>
          <w:bCs w:val="0"/>
          <w:color w:val="auto"/>
          <w:highlight w:val="none"/>
        </w:rPr>
        <w:t>二、总  则</w:t>
      </w:r>
      <w:bookmarkStart w:id="9" w:name="_Toc183682342"/>
      <w:bookmarkStart w:id="10" w:name="_Toc183582205"/>
      <w:bookmarkStart w:id="11" w:name="_Toc217446034"/>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w:t>
      </w:r>
      <w:bookmarkEnd w:id="9"/>
      <w:bookmarkEnd w:id="10"/>
      <w:r>
        <w:rPr>
          <w:rFonts w:hint="eastAsia" w:ascii="宋体" w:hAnsi="宋体" w:cs="宋体"/>
          <w:color w:val="auto"/>
          <w:sz w:val="24"/>
          <w:szCs w:val="24"/>
          <w:highlight w:val="none"/>
        </w:rPr>
        <w:t>适用范围</w:t>
      </w:r>
      <w:bookmarkEnd w:id="11"/>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 本磋商文件仅适用于本次磋商所叙述的货物/服务采购。</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 本磋商文件的解释权归采购人和采购代理机构所有。</w:t>
      </w:r>
    </w:p>
    <w:p>
      <w:pPr>
        <w:pStyle w:val="5"/>
        <w:keepNext w:val="0"/>
        <w:keepLines w:val="0"/>
        <w:spacing w:before="0" w:after="0" w:line="360" w:lineRule="auto"/>
        <w:ind w:firstLine="490" w:firstLineChars="200"/>
        <w:rPr>
          <w:rFonts w:ascii="宋体" w:hAnsi="宋体" w:cs="宋体"/>
          <w:color w:val="auto"/>
          <w:sz w:val="24"/>
          <w:highlight w:val="none"/>
        </w:rPr>
      </w:pPr>
      <w:bookmarkStart w:id="12" w:name="_Toc217446035"/>
      <w:bookmarkStart w:id="13" w:name="_Toc183682343"/>
      <w:bookmarkStart w:id="14" w:name="_Toc183582206"/>
      <w:r>
        <w:rPr>
          <w:rFonts w:hint="eastAsia" w:ascii="宋体" w:hAnsi="宋体" w:cs="宋体"/>
          <w:color w:val="auto"/>
          <w:sz w:val="24"/>
          <w:highlight w:val="none"/>
        </w:rPr>
        <w:t>2.</w:t>
      </w:r>
      <w:bookmarkEnd w:id="12"/>
      <w:bookmarkEnd w:id="13"/>
      <w:bookmarkEnd w:id="14"/>
      <w:r>
        <w:rPr>
          <w:rFonts w:hint="eastAsia" w:ascii="宋体" w:hAnsi="宋体" w:cs="宋体"/>
          <w:color w:val="auto"/>
          <w:sz w:val="24"/>
          <w:highlight w:val="none"/>
        </w:rPr>
        <w:t>采购主体</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2.1本次磋商的采购人是</w:t>
      </w:r>
      <w:r>
        <w:rPr>
          <w:rFonts w:hint="eastAsia" w:ascii="宋体" w:hAnsi="宋体" w:cs="宋体"/>
          <w:color w:val="auto"/>
          <w:sz w:val="24"/>
          <w:highlight w:val="none"/>
          <w:u w:val="single"/>
        </w:rPr>
        <w:t xml:space="preserve"> 成都市新都区三河中心敬老院 </w:t>
      </w:r>
      <w:r>
        <w:rPr>
          <w:rFonts w:hint="eastAsia" w:ascii="宋体" w:hAnsi="宋体" w:cs="宋体"/>
          <w:color w:val="auto"/>
          <w:sz w:val="24"/>
          <w:highlight w:val="none"/>
        </w:rPr>
        <w:t>。</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2.2本次磋商的采购代理机构是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成都怡建工程咨询代理有限公司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pStyle w:val="5"/>
        <w:keepNext w:val="0"/>
        <w:keepLines w:val="0"/>
        <w:spacing w:before="0" w:after="0" w:line="360" w:lineRule="auto"/>
        <w:ind w:firstLine="490" w:firstLineChars="200"/>
        <w:rPr>
          <w:rFonts w:ascii="宋体" w:hAnsi="宋体" w:cs="宋体"/>
          <w:color w:val="auto"/>
          <w:sz w:val="24"/>
          <w:highlight w:val="none"/>
        </w:rPr>
      </w:pPr>
      <w:bookmarkStart w:id="15" w:name="_Toc217446036"/>
      <w:bookmarkStart w:id="16" w:name="_Toc217390843"/>
      <w:bookmarkStart w:id="17" w:name="_Toc183682344"/>
      <w:bookmarkStart w:id="18" w:name="_Toc183582207"/>
      <w:r>
        <w:rPr>
          <w:rFonts w:hint="eastAsia" w:ascii="宋体" w:hAnsi="宋体" w:cs="宋体"/>
          <w:color w:val="auto"/>
          <w:sz w:val="24"/>
          <w:highlight w:val="none"/>
        </w:rPr>
        <w:t>3.合格</w:t>
      </w:r>
      <w:bookmarkEnd w:id="15"/>
      <w:bookmarkEnd w:id="16"/>
      <w:bookmarkEnd w:id="17"/>
      <w:bookmarkEnd w:id="18"/>
      <w:r>
        <w:rPr>
          <w:rFonts w:hint="eastAsia" w:ascii="宋体" w:hAnsi="宋体" w:cs="宋体"/>
          <w:color w:val="auto"/>
          <w:sz w:val="24"/>
          <w:highlight w:val="none"/>
        </w:rPr>
        <w:t>供应商（实质性要求）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合格供应商应具备以下条件：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3.1具备法律法规和本采购文件规定的资格条件；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3.2不属于禁止参加本项目采购活动的供应商；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3.3按照规定获取了磋商文件，属于实质性参加政府采购活动的供应商（由代理机构提供供应商报名登记表作为审查依据）。</w:t>
      </w:r>
      <w:bookmarkStart w:id="19" w:name="_Toc183682345"/>
      <w:bookmarkStart w:id="20" w:name="_Toc217446037"/>
      <w:bookmarkStart w:id="21" w:name="_Toc183582208"/>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4.磋商费用</w:t>
      </w:r>
      <w:bookmarkEnd w:id="19"/>
      <w:bookmarkEnd w:id="20"/>
      <w:bookmarkEnd w:id="21"/>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供应商应自行承担参加磋商活动的全部费用。</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5.充分、公平竞争保障措施（实质性要求）</w:t>
      </w:r>
    </w:p>
    <w:p>
      <w:pPr>
        <w:pStyle w:val="65"/>
        <w:spacing w:line="400" w:lineRule="exact"/>
        <w:ind w:left="1" w:firstLine="490" w:firstLineChars="200"/>
        <w:rPr>
          <w:rFonts w:hAnsi="宋体"/>
          <w:color w:val="auto"/>
          <w:sz w:val="28"/>
          <w:szCs w:val="28"/>
          <w:highlight w:val="none"/>
        </w:rPr>
      </w:pPr>
      <w:r>
        <w:rPr>
          <w:rFonts w:hint="eastAsia" w:hAnsi="宋体"/>
          <w:color w:val="auto"/>
          <w:sz w:val="24"/>
          <w:highlight w:val="none"/>
        </w:rPr>
        <w:t>5.1利害关系供应商处理。单位负责人为同一人或者存在直接控股、管理关系的不同供应商不得参加同一合同项下的政府采购活动。</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5.4提供相同品牌产品处理。提供相同品牌产品且通过审查的不同供应商参加同一合同项下采购项目的，按一家供应商计算，评审后得分最高的同品牌供应商获得成交供应商推荐资格；评审得分相同的，由采购人/采购人委托磋商小组采取随机抽取的方式确定一个供应商获得成交供应商推荐资格，其他同品牌供应商不作为成交供应商候选人。</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非单一产品采购项目中，多家供应商提供的部分或所有核心产品品牌相同的，视为提供相同品牌产品。本采购项目核心产品为：大米。</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5.5供应商实际控制人或者中高级管理人员，同时是采购代理机构工作人员，不得参与本项目政府采购活动。</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5.6同一母公司的两家以上的子公司只能组成联合体参加本项目同一合同项下的采购活动，不得以不同供应商身份同时参加本项目同一合同项下的采购活动。</w:t>
      </w:r>
    </w:p>
    <w:p>
      <w:pPr>
        <w:spacing w:line="400" w:lineRule="exact"/>
        <w:ind w:firstLine="490" w:firstLineChars="200"/>
        <w:rPr>
          <w:rFonts w:ascii="宋体" w:hAnsi="宋体"/>
          <w:color w:val="auto"/>
          <w:sz w:val="24"/>
          <w:highlight w:val="none"/>
        </w:rPr>
      </w:pPr>
      <w:r>
        <w:rPr>
          <w:rFonts w:hint="eastAsia" w:ascii="宋体" w:hAnsi="宋体"/>
          <w:color w:val="auto"/>
          <w:sz w:val="24"/>
          <w:highlight w:val="none"/>
        </w:rPr>
        <w:t>5.7供应商与采购代理机构存在关联关系，或者是采购代理机构的母公司或子公司，不得参加本项目政府采购活动。</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5.8回避。政府采购活动中，采购人员及相关人员与供应商有下列利害关系之一的，应当回避：</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（1）参加采购活动前3年内与供应商存在劳动关系；</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（2）参加采购活动前3年内担任供应商的董事、监事；</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（3）参加采购活动前3年内是供应商的控股股东或者实际控制人；</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（4）与供应商的法定代表人或者负责人有夫妻、直系血亲、三代以内旁系血亲或者近姻亲关系；</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（5）与供应商有其他可能影响政府采购活动公平、公正进行的关系。</w:t>
      </w:r>
    </w:p>
    <w:p>
      <w:pPr>
        <w:pStyle w:val="65"/>
        <w:spacing w:line="400" w:lineRule="exact"/>
        <w:ind w:left="1" w:firstLine="490" w:firstLineChars="200"/>
        <w:rPr>
          <w:rFonts w:hAnsi="宋体"/>
          <w:color w:val="auto"/>
          <w:sz w:val="24"/>
          <w:highlight w:val="none"/>
        </w:rPr>
      </w:pPr>
      <w:r>
        <w:rPr>
          <w:rFonts w:hint="eastAsia" w:hAnsi="宋体"/>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5"/>
        <w:spacing w:line="400" w:lineRule="exact"/>
        <w:ind w:left="1" w:firstLine="490" w:firstLineChars="200"/>
        <w:rPr>
          <w:rFonts w:hAnsi="宋体" w:cs="宋体"/>
          <w:b/>
          <w:color w:val="auto"/>
          <w:sz w:val="24"/>
          <w:highlight w:val="none"/>
        </w:rPr>
      </w:pPr>
      <w:r>
        <w:rPr>
          <w:rFonts w:hint="eastAsia" w:hAnsi="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6.联合体竞争性磋商（实质性要求）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本项目不接受联合体参与采购活动。</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7.磋商保证金（实质性要求）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本项目不要求递交磋商保证金。</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8.响应文件有效期（实质性要求）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本项目响应文件有效期</w:t>
      </w:r>
      <w:r>
        <w:rPr>
          <w:rFonts w:hint="eastAsia" w:ascii="宋体" w:hAnsi="宋体" w:cs="宋体"/>
          <w:b/>
          <w:color w:val="auto"/>
          <w:sz w:val="24"/>
          <w:highlight w:val="none"/>
        </w:rPr>
        <w:t>为递交磋商响应文件截止之日起90天</w:t>
      </w:r>
      <w:r>
        <w:rPr>
          <w:rFonts w:hint="eastAsia" w:ascii="宋体" w:hAnsi="宋体" w:cs="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9.知识产权（实质性要求）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9.2 除非磋商文件特别规定，采购人享有本项目实施过程中产生的知识成果及知识产权。</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 xml:space="preserve">9.4 如采用供应商所不拥有的知识产权，则在报价中必须包括合法获取该知识产权的相关费用。 </w:t>
      </w:r>
      <w:bookmarkStart w:id="22" w:name="_Toc183582209"/>
      <w:bookmarkStart w:id="23" w:name="_Toc89075875"/>
      <w:bookmarkStart w:id="24" w:name="_Toc183682346"/>
      <w:bookmarkStart w:id="25" w:name="_Toc217446038"/>
      <w:bookmarkStart w:id="26" w:name="_Toc77400779"/>
    </w:p>
    <w:p>
      <w:pPr>
        <w:pStyle w:val="4"/>
        <w:keepNext w:val="0"/>
        <w:keepLines w:val="0"/>
        <w:spacing w:before="0" w:after="0" w:line="360" w:lineRule="auto"/>
        <w:ind w:firstLine="200"/>
        <w:jc w:val="center"/>
        <w:rPr>
          <w:rFonts w:ascii="宋体" w:hAnsi="宋体" w:eastAsia="宋体" w:cs="宋体"/>
          <w:bCs w:val="0"/>
          <w:color w:val="auto"/>
          <w:highlight w:val="none"/>
        </w:rPr>
      </w:pPr>
      <w:r>
        <w:rPr>
          <w:rFonts w:hint="eastAsia" w:ascii="宋体" w:hAnsi="宋体" w:eastAsia="宋体" w:cs="宋体"/>
          <w:bCs w:val="0"/>
          <w:color w:val="auto"/>
          <w:highlight w:val="none"/>
        </w:rPr>
        <w:t>三、磋商文件</w:t>
      </w:r>
      <w:bookmarkEnd w:id="22"/>
      <w:bookmarkEnd w:id="23"/>
      <w:bookmarkEnd w:id="24"/>
      <w:bookmarkEnd w:id="25"/>
      <w:bookmarkEnd w:id="26"/>
      <w:bookmarkStart w:id="27" w:name="_Toc183682347"/>
      <w:bookmarkStart w:id="28" w:name="_Toc183582210"/>
      <w:bookmarkStart w:id="29" w:name="_Toc217446039"/>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10．磋商文件的构成</w:t>
      </w:r>
      <w:bookmarkEnd w:id="27"/>
      <w:bookmarkEnd w:id="28"/>
      <w:bookmarkEnd w:id="29"/>
      <w:r>
        <w:rPr>
          <w:rFonts w:hint="eastAsia" w:ascii="宋体" w:hAnsi="宋体" w:cs="宋体"/>
          <w:color w:val="auto"/>
          <w:sz w:val="24"/>
          <w:highlight w:val="none"/>
        </w:rPr>
        <w:t>（实质性要求）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90" w:firstLineChars="200"/>
        <w:rPr>
          <w:rFonts w:ascii="宋体" w:hAnsi="宋体" w:cs="宋体"/>
          <w:color w:val="auto"/>
          <w:sz w:val="24"/>
          <w:highlight w:val="none"/>
        </w:rPr>
      </w:pPr>
      <w:bookmarkStart w:id="30" w:name="_Toc183582211"/>
      <w:bookmarkStart w:id="31" w:name="_Toc183682348"/>
      <w:bookmarkStart w:id="32" w:name="_Toc217446040"/>
      <w:r>
        <w:rPr>
          <w:rFonts w:hint="eastAsia" w:ascii="宋体" w:hAnsi="宋体" w:cs="宋体"/>
          <w:color w:val="auto"/>
          <w:sz w:val="24"/>
          <w:highlight w:val="none"/>
        </w:rPr>
        <w:t>11. 磋商文件的澄清</w:t>
      </w:r>
      <w:bookmarkEnd w:id="30"/>
      <w:bookmarkEnd w:id="31"/>
      <w:r>
        <w:rPr>
          <w:rFonts w:hint="eastAsia" w:ascii="宋体" w:hAnsi="宋体" w:cs="宋体"/>
          <w:color w:val="auto"/>
          <w:sz w:val="24"/>
          <w:highlight w:val="none"/>
        </w:rPr>
        <w:t>和修改</w:t>
      </w:r>
      <w:bookmarkEnd w:id="32"/>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11.1 在递交响应文件截止时间前，采购人、采购代理机构可以对磋商文件进行澄清或者修改。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11.3供应商认为采购人/采购代理机构需要对磋商文件进行澄清或者修改的，可以在投标截止日期3日前以书面形式向采购人/采购代理机构提出申请，由采购人/采购代理机构决定是否采纳供应商的申请事项。</w:t>
      </w:r>
    </w:p>
    <w:p>
      <w:pPr>
        <w:pStyle w:val="5"/>
        <w:keepNext w:val="0"/>
        <w:keepLines w:val="0"/>
        <w:spacing w:before="0" w:after="0" w:line="360" w:lineRule="auto"/>
        <w:ind w:firstLine="490" w:firstLineChars="200"/>
        <w:rPr>
          <w:rFonts w:ascii="宋体" w:hAnsi="宋体" w:cs="宋体"/>
          <w:color w:val="auto"/>
          <w:sz w:val="24"/>
          <w:highlight w:val="none"/>
        </w:rPr>
      </w:pPr>
      <w:bookmarkStart w:id="33" w:name="_Toc217446041"/>
      <w:bookmarkStart w:id="34" w:name="_Toc208848971"/>
      <w:r>
        <w:rPr>
          <w:rFonts w:hint="eastAsia" w:ascii="宋体" w:hAnsi="宋体" w:cs="宋体"/>
          <w:color w:val="auto"/>
          <w:sz w:val="24"/>
          <w:highlight w:val="none"/>
        </w:rPr>
        <w:t>12. 答疑会和现场考察</w:t>
      </w:r>
      <w:bookmarkEnd w:id="33"/>
      <w:bookmarkEnd w:id="34"/>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12.3 供应商考察现场或者参加答疑会所发生的一切费用由供应商自己承担。</w:t>
      </w:r>
    </w:p>
    <w:p>
      <w:pPr>
        <w:pStyle w:val="4"/>
        <w:keepNext w:val="0"/>
        <w:keepLines w:val="0"/>
        <w:spacing w:before="0" w:after="0" w:line="360" w:lineRule="auto"/>
        <w:ind w:firstLine="200"/>
        <w:jc w:val="center"/>
        <w:rPr>
          <w:rFonts w:ascii="宋体" w:hAnsi="宋体" w:eastAsia="宋体" w:cs="宋体"/>
          <w:bCs w:val="0"/>
          <w:color w:val="auto"/>
          <w:highlight w:val="none"/>
        </w:rPr>
      </w:pPr>
      <w:bookmarkStart w:id="35" w:name="_Toc183582214"/>
      <w:bookmarkStart w:id="36" w:name="_Toc217446042"/>
      <w:bookmarkStart w:id="37" w:name="_Toc89075876"/>
      <w:bookmarkStart w:id="38" w:name="_Toc77400780"/>
      <w:bookmarkStart w:id="39" w:name="_Toc183682351"/>
      <w:r>
        <w:rPr>
          <w:rFonts w:hint="eastAsia" w:ascii="宋体" w:hAnsi="宋体" w:eastAsia="宋体" w:cs="宋体"/>
          <w:bCs w:val="0"/>
          <w:color w:val="auto"/>
          <w:highlight w:val="none"/>
        </w:rPr>
        <w:t>四、响应文件</w:t>
      </w:r>
      <w:bookmarkEnd w:id="35"/>
      <w:bookmarkEnd w:id="36"/>
      <w:bookmarkEnd w:id="37"/>
      <w:bookmarkEnd w:id="38"/>
      <w:bookmarkEnd w:id="39"/>
    </w:p>
    <w:p>
      <w:pPr>
        <w:spacing w:line="360" w:lineRule="auto"/>
        <w:ind w:firstLine="200"/>
        <w:rPr>
          <w:rFonts w:ascii="宋体" w:hAnsi="宋体" w:cs="宋体"/>
          <w:color w:val="auto"/>
          <w:highlight w:val="none"/>
        </w:rPr>
      </w:pPr>
    </w:p>
    <w:p>
      <w:pPr>
        <w:pStyle w:val="5"/>
        <w:keepNext w:val="0"/>
        <w:keepLines w:val="0"/>
        <w:spacing w:before="0" w:after="0" w:line="360" w:lineRule="auto"/>
        <w:ind w:firstLine="490" w:firstLineChars="200"/>
        <w:rPr>
          <w:rFonts w:ascii="宋体" w:hAnsi="宋体" w:cs="宋体"/>
          <w:color w:val="auto"/>
          <w:sz w:val="24"/>
          <w:highlight w:val="none"/>
        </w:rPr>
      </w:pPr>
      <w:bookmarkStart w:id="40" w:name="_Toc217446043"/>
      <w:bookmarkStart w:id="41" w:name="_Toc183682352"/>
      <w:bookmarkStart w:id="42" w:name="_Toc183582215"/>
      <w:r>
        <w:rPr>
          <w:rFonts w:hint="eastAsia" w:ascii="宋体" w:hAnsi="宋体" w:cs="宋体"/>
          <w:color w:val="auto"/>
          <w:sz w:val="24"/>
          <w:highlight w:val="none"/>
        </w:rPr>
        <w:t>13.响应文件的组成</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供应商应按照磋商文件的规定和要求编制响应文件。供应商在成交后将成交项目的非主体、非关键性工作分包他人完成的，应当在响应文件中载明或磋商过程中澄清。供应商编写的响应文件应至少包括下列文件：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一、资格性响应文件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按照第四章要求提供相关资格要求的证明材料。</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二、其他响应文件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（1）响应函；</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（2）首轮报价函；</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（3）供应商基本情况表；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（4）配送食材情况表；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（5）技术、服务条款偏离表；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（6）商务条款应答表；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（7）供应商本项目管理、配送及其他服务人员情况表；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（8）供应商类似项目业绩一览表；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（9）项目方案；</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（10）供应商诚信情况的声明函；</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（11）知识产权的声明函；</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（12）供应商认为应当提供的其他材料（如有，格式自拟）。</w:t>
      </w:r>
    </w:p>
    <w:p>
      <w:pPr>
        <w:spacing w:line="360" w:lineRule="auto"/>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注：供应商按照磋商文件要求填写报价。本次磋商报价要求：</w:t>
      </w:r>
    </w:p>
    <w:p>
      <w:pPr>
        <w:spacing w:line="360" w:lineRule="auto"/>
        <w:ind w:firstLine="490" w:firstLineChars="200"/>
        <w:rPr>
          <w:rFonts w:ascii="宋体" w:hAnsi="宋体" w:cs="宋体"/>
          <w:color w:val="auto"/>
          <w:highlight w:val="none"/>
          <w:lang w:val="zh-CN"/>
        </w:rPr>
      </w:pPr>
      <w:r>
        <w:rPr>
          <w:rFonts w:hint="eastAsia" w:ascii="宋体" w:hAnsi="宋体" w:cs="宋体"/>
          <w:color w:val="auto"/>
          <w:sz w:val="24"/>
          <w:highlight w:val="none"/>
        </w:rPr>
        <w:t>供应商根据市场价格结合自身情况综合考虑后，本项目以统一下浮率进行报价。报价是供应商响应项目要求的全部工作内容后的价格体现。</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14.响应文件的语言</w:t>
      </w:r>
      <w:bookmarkEnd w:id="40"/>
      <w:bookmarkEnd w:id="41"/>
      <w:bookmarkEnd w:id="42"/>
      <w:r>
        <w:rPr>
          <w:rFonts w:hint="eastAsia" w:ascii="宋体" w:hAnsi="宋体" w:cs="宋体"/>
          <w:color w:val="auto"/>
          <w:sz w:val="24"/>
          <w:highlight w:val="none"/>
        </w:rPr>
        <w:t>（实质性要求）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14.2翻译的中文资料与外文资料如果出现差异和矛盾，以中文为准。但不能故意错误翻译，否则，供应商的响应文件将作为无效处理。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90" w:firstLineChars="200"/>
        <w:rPr>
          <w:rFonts w:ascii="宋体" w:hAnsi="宋体" w:cs="宋体"/>
          <w:color w:val="auto"/>
          <w:sz w:val="24"/>
          <w:highlight w:val="none"/>
        </w:rPr>
      </w:pPr>
      <w:bookmarkStart w:id="43" w:name="_Toc183682353"/>
      <w:bookmarkStart w:id="44" w:name="_Toc183582216"/>
      <w:bookmarkStart w:id="45" w:name="_Toc217446044"/>
      <w:r>
        <w:rPr>
          <w:rFonts w:hint="eastAsia" w:ascii="宋体" w:hAnsi="宋体" w:cs="宋体"/>
          <w:color w:val="auto"/>
          <w:sz w:val="24"/>
          <w:highlight w:val="none"/>
        </w:rPr>
        <w:t>15.计量单位</w:t>
      </w:r>
      <w:bookmarkEnd w:id="43"/>
      <w:bookmarkEnd w:id="44"/>
      <w:bookmarkEnd w:id="45"/>
      <w:r>
        <w:rPr>
          <w:rFonts w:hint="eastAsia" w:ascii="宋体" w:hAnsi="宋体" w:cs="宋体"/>
          <w:color w:val="auto"/>
          <w:sz w:val="24"/>
          <w:highlight w:val="none"/>
        </w:rPr>
        <w:t>（实质性要求）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除磋商文件中另有规定外，本次采购项目所有合同项下的报价均采用国家法定的计量单位。</w:t>
      </w:r>
    </w:p>
    <w:p>
      <w:pPr>
        <w:pStyle w:val="5"/>
        <w:keepNext w:val="0"/>
        <w:keepLines w:val="0"/>
        <w:spacing w:before="0" w:after="0" w:line="360" w:lineRule="auto"/>
        <w:ind w:firstLine="490" w:firstLineChars="200"/>
        <w:rPr>
          <w:rFonts w:ascii="宋体" w:hAnsi="宋体" w:cs="宋体"/>
          <w:color w:val="auto"/>
          <w:sz w:val="24"/>
          <w:highlight w:val="none"/>
        </w:rPr>
      </w:pPr>
      <w:bookmarkStart w:id="46" w:name="_Toc217446045"/>
      <w:r>
        <w:rPr>
          <w:rFonts w:hint="eastAsia" w:ascii="宋体" w:hAnsi="宋体" w:cs="宋体"/>
          <w:color w:val="auto"/>
          <w:sz w:val="24"/>
          <w:highlight w:val="none"/>
        </w:rPr>
        <w:t>16.报价货币</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本次磋商项目的货币为人民币，报价以磋商文件规定为准。</w:t>
      </w:r>
    </w:p>
    <w:bookmarkEnd w:id="46"/>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17.响应文件格式</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17.1供应商应执行磋商文件第八章的规定要求。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17.2对于没有格式要求的磋商文件由供应商自行编写。</w:t>
      </w:r>
      <w:bookmarkStart w:id="47" w:name="_Toc183582224"/>
      <w:bookmarkStart w:id="48" w:name="_Toc217446051"/>
      <w:bookmarkStart w:id="49" w:name="_Toc183682361"/>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18.响应文件的编制和签署</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18.1 资格性响应文件正本1份副本2份，并在其封面上清楚地标明资格性响应文件、采购项目名称、采购项目编号、包件号（若有）、供应商名称以及“正本”或“副本”字样。若正本和副本有不一致的内容，以正本书面响应文件为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18.2其他响应文件正本1份副本2份，并在其封面上清楚地标明其他响应文件、采购项目名称、采购项目编号、包件号（若有）、供应商名称以及“正本”或“副本”字样。若正本和副本有不一致的内容，以正本书面响应文件为准。</w:t>
      </w:r>
    </w:p>
    <w:bookmarkEnd w:id="47"/>
    <w:bookmarkEnd w:id="48"/>
    <w:bookmarkEnd w:id="49"/>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18.3响应文件正本和副本均需在规定签章处签字和盖章。响应文件副本可采用正本的复印件，电子文档1份</w:t>
      </w:r>
      <w:r>
        <w:rPr>
          <w:rFonts w:hint="eastAsia" w:ascii="宋体" w:hAnsi="宋体" w:cs="宋体"/>
          <w:b/>
          <w:color w:val="auto"/>
          <w:sz w:val="24"/>
          <w:highlight w:val="none"/>
        </w:rPr>
        <w:t xml:space="preserve"> </w:t>
      </w:r>
      <w:r>
        <w:rPr>
          <w:rFonts w:hint="eastAsia" w:ascii="宋体" w:hAnsi="宋体" w:cs="宋体"/>
          <w:bCs/>
          <w:color w:val="auto"/>
          <w:sz w:val="24"/>
          <w:highlight w:val="none"/>
        </w:rPr>
        <w:t>(含以.doc或.docx 格式存档的文件1份以及签字盖章后的正本响应文件pdf格式文件1份，以 U 盘或光盘形式提供）。</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18.4响应文件的打印和书写应清楚工整，任何行间插字、涂改或增删，必须由供应商的法定代表人或其授权代表签字并盖供应商公章。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18.5</w:t>
      </w:r>
      <w:r>
        <w:rPr>
          <w:rFonts w:hint="eastAsia" w:ascii="宋体" w:hAnsi="宋体" w:cs="宋体"/>
          <w:b/>
          <w:bCs/>
          <w:color w:val="auto"/>
          <w:sz w:val="24"/>
          <w:highlight w:val="none"/>
        </w:rPr>
        <w:t>（实质性要求）</w:t>
      </w:r>
      <w:r>
        <w:rPr>
          <w:rFonts w:hint="eastAsia" w:ascii="宋体" w:hAnsi="宋体" w:cs="宋体"/>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18.6响应文件正本和副本需要逐页编目编码。</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18.7响应文件正本和副本应当采用胶装方式装订成册，不得散装或者合页装订。</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18.8</w:t>
      </w:r>
      <w:r>
        <w:rPr>
          <w:rFonts w:hint="eastAsia" w:ascii="宋体" w:hAnsi="宋体" w:cs="宋体"/>
          <w:b/>
          <w:color w:val="auto"/>
          <w:sz w:val="24"/>
          <w:highlight w:val="none"/>
        </w:rPr>
        <w:t>（实质性要求）</w:t>
      </w:r>
      <w:r>
        <w:rPr>
          <w:rFonts w:hint="eastAsia" w:ascii="宋体" w:hAnsi="宋体" w:cs="宋体"/>
          <w:color w:val="auto"/>
          <w:sz w:val="24"/>
          <w:highlight w:val="none"/>
        </w:rPr>
        <w:t>响应文件应根据磋商文件的要求制作，签署、盖章。（按照《四川省政府采购评审工作规程（修订）》规范）</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18.9响应文件统一用A4幅面纸印制，除另有规定外。</w:t>
      </w:r>
    </w:p>
    <w:p>
      <w:pPr>
        <w:pStyle w:val="5"/>
        <w:keepNext w:val="0"/>
        <w:keepLines w:val="0"/>
        <w:tabs>
          <w:tab w:val="left" w:pos="1080"/>
        </w:tabs>
        <w:spacing w:before="0" w:after="0" w:line="360" w:lineRule="auto"/>
        <w:ind w:firstLine="490" w:firstLineChars="200"/>
        <w:rPr>
          <w:rFonts w:ascii="宋体" w:hAnsi="宋体" w:cs="宋体"/>
          <w:color w:val="auto"/>
          <w:sz w:val="24"/>
          <w:highlight w:val="none"/>
        </w:rPr>
      </w:pPr>
      <w:bookmarkStart w:id="50" w:name="_Toc183582226"/>
      <w:bookmarkStart w:id="51" w:name="_Toc183682363"/>
      <w:bookmarkStart w:id="52" w:name="_Toc89075877"/>
      <w:bookmarkStart w:id="53" w:name="_Toc217446053"/>
      <w:bookmarkStart w:id="54" w:name="_Toc77400781"/>
      <w:r>
        <w:rPr>
          <w:rFonts w:hint="eastAsia" w:ascii="宋体" w:hAnsi="宋体" w:cs="宋体"/>
          <w:color w:val="auto"/>
          <w:sz w:val="24"/>
          <w:highlight w:val="none"/>
        </w:rPr>
        <w:t>19.响应文件的密封和标注（不属于本项目磋商小组评审范畴，由采购人、采购代理机构在接收响应文件时及时处理）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19.1响应文件应按资格性响应文件、其他响应文件、电子文档分别密封为三套。</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19.2响应文件密封袋的最外层应清楚地标明采购项目名称、采购项目编号、包件号（若有）、供应商名称。</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19.3所有外层密封袋的封口处应粘贴牢固。</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19.4未按以上要求进行密封和标注的响应文件，采购人、采购代理机构将拒收或者在时间允许的范围内，要求修改完善后接收。</w:t>
      </w:r>
    </w:p>
    <w:p>
      <w:pPr>
        <w:pStyle w:val="5"/>
        <w:keepNext w:val="0"/>
        <w:keepLines w:val="0"/>
        <w:tabs>
          <w:tab w:val="left" w:pos="1080"/>
        </w:tabs>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20.响应文件的递交</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20.1资格性响应文件、其他响应文件和电子文档应于递交响应文件截止时间前送达指定地点，采购代理机构拒绝接收截止时间后送达的响应文件。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20.2采购代理机构将向通过资格审查的供应商发出磋商邀请；告知未通过资格审查的供应商未通过的原因。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20.3报价表在磋商后，磋商小组要求供应商进行最后报价时递交。</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20.4本次采购不接收邮寄的响应文件。</w:t>
      </w:r>
    </w:p>
    <w:bookmarkEnd w:id="50"/>
    <w:bookmarkEnd w:id="51"/>
    <w:bookmarkEnd w:id="52"/>
    <w:bookmarkEnd w:id="53"/>
    <w:bookmarkEnd w:id="54"/>
    <w:p>
      <w:pPr>
        <w:pStyle w:val="5"/>
        <w:keepNext w:val="0"/>
        <w:keepLines w:val="0"/>
        <w:tabs>
          <w:tab w:val="left" w:pos="1080"/>
        </w:tabs>
        <w:spacing w:before="0" w:after="0" w:line="360" w:lineRule="auto"/>
        <w:ind w:firstLine="490" w:firstLineChars="200"/>
        <w:rPr>
          <w:rFonts w:ascii="宋体" w:hAnsi="宋体" w:cs="宋体"/>
          <w:color w:val="auto"/>
          <w:sz w:val="24"/>
          <w:highlight w:val="none"/>
        </w:rPr>
      </w:pPr>
      <w:bookmarkStart w:id="55" w:name="_Toc183582228"/>
      <w:bookmarkStart w:id="56" w:name="_Toc217446055"/>
      <w:bookmarkStart w:id="57" w:name="_Toc183682365"/>
      <w:r>
        <w:rPr>
          <w:rFonts w:hint="eastAsia" w:ascii="宋体" w:hAnsi="宋体" w:cs="宋体"/>
          <w:color w:val="auto"/>
          <w:sz w:val="24"/>
          <w:highlight w:val="none"/>
        </w:rPr>
        <w:t>21.响应文件的修改和撤回（补充、修改响应文件的密封和标注按照本章“19.响应文件的密封和标注”规定处理）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21.2供应商对响应文件修改的书面材料或撤回的通知应该按规定进行编写、密封、标注和递送，并注明“修改响应文件”字样。</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21.3供应商不得在递交截止时间起至响应文件有效期期满前撤销其响应文件。否则将报财政部门进行处理。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21.4 响应文件中报价如果出现下列不一致的，可按以下原则进行修改：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（三）单价金额小数点或者百分比有明显错位的，以总价为准，修正单价。</w:t>
      </w:r>
    </w:p>
    <w:p>
      <w:pPr>
        <w:spacing w:line="360" w:lineRule="auto"/>
        <w:ind w:firstLine="490" w:firstLineChars="20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21.5供应商对其提交的响应文件的真实性、合法性承担法律责任。</w:t>
      </w:r>
      <w:bookmarkEnd w:id="55"/>
      <w:bookmarkEnd w:id="56"/>
      <w:bookmarkEnd w:id="57"/>
    </w:p>
    <w:p>
      <w:pPr>
        <w:pStyle w:val="4"/>
        <w:keepNext w:val="0"/>
        <w:keepLines w:val="0"/>
        <w:spacing w:line="360" w:lineRule="auto"/>
        <w:ind w:firstLine="200"/>
        <w:jc w:val="center"/>
        <w:rPr>
          <w:rFonts w:ascii="宋体" w:hAnsi="宋体" w:eastAsia="宋体" w:cs="宋体"/>
          <w:color w:val="auto"/>
          <w:highlight w:val="none"/>
        </w:rPr>
      </w:pPr>
      <w:bookmarkStart w:id="58" w:name="_Toc183682368"/>
      <w:bookmarkStart w:id="59" w:name="_Toc89075878"/>
      <w:bookmarkStart w:id="60" w:name="_Toc217446056"/>
      <w:bookmarkStart w:id="61" w:name="_Toc183582231"/>
      <w:bookmarkStart w:id="62" w:name="_Toc77400782"/>
      <w:r>
        <w:rPr>
          <w:rFonts w:hint="eastAsia" w:ascii="宋体" w:hAnsi="宋体" w:eastAsia="宋体" w:cs="宋体"/>
          <w:color w:val="auto"/>
          <w:highlight w:val="none"/>
        </w:rPr>
        <w:t>五、评审</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22.磋商小组的组建及其评审工作按照有关法律制度和本文件第七章的规定进行。</w:t>
      </w:r>
    </w:p>
    <w:p>
      <w:pPr>
        <w:pStyle w:val="4"/>
        <w:keepNext w:val="0"/>
        <w:keepLines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六、成交事项</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23.确定成交供应商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采购人将按磋商小组推荐的成交候选供应商顺序确定成交供应商。采购人授权磋商小组根据综合评分排名直接确定成交供应商。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23.1采购代理机构自评审结束后2个工作日内将磋商报告及有关资料送交采购人确定成交供应商。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应综合考虑节约能源、保护环境、扶持不发达地区和少数民族地区、促进中小企业发展等政府采购政策因素确定成交候选人。</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23.3采购人确定成交供应商过程中，发现成交候选供应商有下列情形之一的，应当不予确定其为成交供应商：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（1）发现成交候选供应商存在禁止参加本项目采购活动的违法行为的；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（2）成交候选供应商因不可抗力，不能继续参加政府采购活动；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（3）成交候选供应商无偿赠与或者低于成本价竞争；</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（4）成交候选供应商提供虚假材料；</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（5）成交候选供应商恶意串通。</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24.行贿犯罪记录的使用</w:t>
      </w:r>
    </w:p>
    <w:p>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rPr>
        <w:t>24.1成交候选供应商单位及其现任法定代表人、主要负责人不得具有行贿犯罪记录。</w:t>
      </w:r>
    </w:p>
    <w:p>
      <w:pPr>
        <w:spacing w:after="156" w:afterLines="5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24.2供应商单位及其现任法定代表人、主要负责人存在行贿犯罪记录的，成交未签订政府采购合同的，将认定成交无效；成交签订政府采购合同未履行的，将认定成交无效，同时撤销政府采购合同；成交后签订政府采购合同且已经履行的，将认定采购活动违法，由相关当事人承担赔偿责任。</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25.成交结果</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25.1采购人确定成交供应商后，将及时书面通知采购代理机构，发出成交通知书并发布成交结果公告。</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25.2成交供应商应当及时领取成交通知书。</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25.3成交供应商不能及时领取成交通知书，采购人或者采购代理机应当通过邮寄、快递等方式将项目成交通知书送达成交供应商。</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26.成交通知书</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26.1成交通知书为签订政府采购合同的依据之一，是合同的有效组成部分。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360" w:lineRule="auto"/>
        <w:ind w:firstLine="200"/>
        <w:jc w:val="center"/>
        <w:rPr>
          <w:rFonts w:ascii="宋体" w:hAnsi="宋体" w:eastAsia="宋体" w:cs="宋体"/>
          <w:color w:val="auto"/>
          <w:highlight w:val="none"/>
        </w:rPr>
      </w:pPr>
      <w:r>
        <w:rPr>
          <w:rFonts w:hint="eastAsia" w:ascii="宋体" w:hAnsi="宋体" w:eastAsia="宋体" w:cs="宋体"/>
          <w:color w:val="auto"/>
          <w:highlight w:val="none"/>
        </w:rPr>
        <w:t>七、合同事项</w:t>
      </w:r>
    </w:p>
    <w:p>
      <w:pPr>
        <w:pStyle w:val="5"/>
        <w:keepNext w:val="0"/>
        <w:keepLines w:val="0"/>
        <w:spacing w:before="0" w:after="0" w:line="360" w:lineRule="auto"/>
        <w:ind w:firstLine="490" w:firstLineChars="200"/>
        <w:rPr>
          <w:rFonts w:ascii="宋体" w:hAnsi="宋体" w:cs="宋体"/>
          <w:color w:val="auto"/>
          <w:sz w:val="24"/>
          <w:highlight w:val="none"/>
        </w:rPr>
      </w:pPr>
      <w:bookmarkStart w:id="63" w:name="_Toc430773927"/>
      <w:bookmarkStart w:id="64" w:name="_Toc101250646"/>
      <w:bookmarkStart w:id="65" w:name="_Toc101338364"/>
      <w:bookmarkStart w:id="66" w:name="_Toc101174151"/>
      <w:bookmarkStart w:id="67" w:name="_Toc209847069"/>
      <w:r>
        <w:rPr>
          <w:rFonts w:hint="eastAsia" w:ascii="宋体" w:hAnsi="宋体" w:cs="宋体"/>
          <w:color w:val="auto"/>
          <w:sz w:val="24"/>
          <w:highlight w:val="none"/>
        </w:rPr>
        <w:t>27.签订合同</w:t>
      </w:r>
      <w:bookmarkEnd w:id="63"/>
      <w:bookmarkEnd w:id="64"/>
      <w:bookmarkEnd w:id="65"/>
      <w:bookmarkEnd w:id="66"/>
      <w:bookmarkEnd w:id="67"/>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27.2 磋商文件、成交供应商的响应文件及双方确认的澄清文件等，均为有法律约束力的合同组成部分。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27.4 成交供应商因不可抗力原因不能履行采购合同或放弃成交的，采购人可以与排在成交供应商之后第一位的成交候选人签订采购合同，以此类推。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27.5竞争性磋商文件、成交供应商提交的响应文件、磋商中的最后报价、成交供应商承诺书、成交通知书等均称为有法律约束力的合同组成内容。</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28.合同分包（实质性要求）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分包履行合同的部分应当为采购项目的非主体、非关键性工作，不属于成交供应商的主要合同义务。</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28.2 采购合同实行分包履行的，成交供应商就采购项目和分包项目向采购人负责，分包供应商就分包项目承担责任。</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28.3 中小企业依据</w:t>
      </w:r>
      <w:r>
        <w:rPr>
          <w:rFonts w:hint="eastAsia" w:ascii="宋体" w:hAnsi="宋体" w:cs="宋体"/>
          <w:color w:val="auto"/>
          <w:sz w:val="24"/>
          <w:highlight w:val="none"/>
          <w:lang w:eastAsia="zh-CN"/>
        </w:rPr>
        <w:t>《政府采购促进中小企业发展管理办法》（财库﹝2020﹞46号）</w:t>
      </w:r>
      <w:r>
        <w:rPr>
          <w:rFonts w:hint="eastAsia" w:ascii="宋体" w:hAnsi="宋体" w:cs="宋体"/>
          <w:color w:val="auto"/>
          <w:sz w:val="24"/>
          <w:highlight w:val="none"/>
        </w:rPr>
        <w:t>规定的政策获取政府采购合同后，小型、微型企业不得分包或转包给大型、中型企业，中型企业不得分包或转包给大型企业。</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29.合同转包（实质性要求）</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成交供应商转包的，视同拒绝履行政府采购合同义务，将依法追究法律责任。</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30.补充合同</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31.履约保证金（实质性要求）</w:t>
      </w:r>
    </w:p>
    <w:p>
      <w:pPr>
        <w:pStyle w:val="5"/>
        <w:keepNext w:val="0"/>
        <w:keepLines w:val="0"/>
        <w:spacing w:before="0" w:after="0" w:line="360" w:lineRule="auto"/>
        <w:ind w:firstLine="49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本项目不要求履约保证金。</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32.合同公告</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33.合同备案</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采购人应当将政府采购合同副本自签订（双方当事人均已签字盖章）之日起七个工作日内通过四川政府采购网报同级财政部门备案。</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34.履行合同</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34.1 成交供应商与采购人签订合同后，合同双方应严格执行合同条款，履行合同规定的义务，保证合同的顺利完成。</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34.2 在合同履行过程中，如发生合同纠纷，合同双方应按照</w:t>
      </w:r>
      <w:r>
        <w:rPr>
          <w:rFonts w:hint="eastAsia" w:ascii="宋体" w:hAnsi="宋体" w:cs="宋体"/>
          <w:color w:val="auto"/>
          <w:sz w:val="24"/>
          <w:highlight w:val="none"/>
          <w:lang w:val="en-US" w:eastAsia="zh-CN"/>
        </w:rPr>
        <w:t>国家、行业</w:t>
      </w:r>
      <w:r>
        <w:rPr>
          <w:rFonts w:hint="eastAsia" w:ascii="宋体" w:hAnsi="宋体" w:cs="宋体"/>
          <w:color w:val="auto"/>
          <w:sz w:val="24"/>
          <w:highlight w:val="none"/>
        </w:rPr>
        <w:t>有关规定进行处理。</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35.验收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35.1本项目将严格按照政府采购相关法律法规的要求</w:t>
      </w:r>
      <w:r>
        <w:rPr>
          <w:rFonts w:hint="eastAsia" w:ascii="宋体" w:hAnsi="宋体" w:cs="宋体"/>
          <w:color w:val="auto"/>
          <w:sz w:val="24"/>
          <w:highlight w:val="none"/>
          <w:lang w:val="en-US" w:eastAsia="zh-CN"/>
        </w:rPr>
        <w:t>和采购文件中相关要求</w:t>
      </w:r>
      <w:r>
        <w:rPr>
          <w:rFonts w:hint="eastAsia" w:ascii="宋体" w:hAnsi="宋体" w:cs="宋体"/>
          <w:color w:val="auto"/>
          <w:sz w:val="24"/>
          <w:highlight w:val="none"/>
        </w:rPr>
        <w:t>进行验收。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35.2 验收结果合格的，成交供应商凭采购人出具的验收合格书面证明到采购人处办理相关手续；验收结果不合格的，将不予支付采购资金，还可能会报本项目同级财政部门按照政府采购法律法规及有关规定给予行政处罚或者以失信行为记入诚信档案。</w:t>
      </w:r>
    </w:p>
    <w:p>
      <w:pPr>
        <w:pStyle w:val="5"/>
        <w:keepNext w:val="0"/>
        <w:keepLines w:val="0"/>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36.资金支付</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采购人将按照政府采购合同规定，及时向成交供应商支付采购资金。</w:t>
      </w:r>
    </w:p>
    <w:p>
      <w:pPr>
        <w:pStyle w:val="4"/>
        <w:keepNext w:val="0"/>
        <w:keepLines w:val="0"/>
        <w:spacing w:before="0" w:after="0" w:line="360" w:lineRule="auto"/>
        <w:ind w:firstLine="200"/>
        <w:jc w:val="center"/>
        <w:rPr>
          <w:rFonts w:ascii="宋体" w:hAnsi="宋体" w:eastAsia="宋体" w:cs="宋体"/>
          <w:color w:val="auto"/>
          <w:highlight w:val="none"/>
        </w:rPr>
      </w:pPr>
      <w:r>
        <w:rPr>
          <w:rFonts w:hint="eastAsia" w:ascii="宋体" w:hAnsi="宋体" w:eastAsia="宋体" w:cs="宋体"/>
          <w:color w:val="auto"/>
          <w:highlight w:val="none"/>
        </w:rPr>
        <w:t>八、磋商纪律要求</w:t>
      </w:r>
    </w:p>
    <w:p>
      <w:pPr>
        <w:pStyle w:val="5"/>
        <w:keepNext w:val="0"/>
        <w:keepLines w:val="0"/>
        <w:tabs>
          <w:tab w:val="left" w:pos="851"/>
        </w:tabs>
        <w:spacing w:before="0" w:after="0"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37.供应商不得具有的情形</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供应商参加本项目磋商不得有下列情形：</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（1）提供虚假材料谋取成交；</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（2）采取不正当手段诋毁、排挤其他供应商；</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（3）与采购人、采购代理机构、或其他供应商恶意串通；</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（4）向采购人、采购代理机构、磋商小组成员行贿或者提供其他不正当利益；</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（5）在磋商过程中与采购人、采购代理机构进行协商；</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（6）成交后无正当理由拒不与采购人签订政府采购合同；</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（7）未按照磋商文件确定的事项签订政府采购合同；</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（9）提供假冒伪劣产品；</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供应商有上述情形的，按照规定追究法律责任，具备（1）-（10）条情形之一的，同时将取消被确认为成交供应商的资格或者认定成交无效。</w:t>
      </w:r>
    </w:p>
    <w:p>
      <w:pPr>
        <w:tabs>
          <w:tab w:val="left" w:pos="851"/>
        </w:tabs>
        <w:spacing w:line="360" w:lineRule="auto"/>
        <w:ind w:firstLine="200"/>
        <w:jc w:val="center"/>
        <w:rPr>
          <w:rFonts w:ascii="宋体" w:hAnsi="宋体" w:cs="宋体"/>
          <w:b/>
          <w:color w:val="auto"/>
          <w:sz w:val="32"/>
          <w:szCs w:val="32"/>
          <w:highlight w:val="none"/>
        </w:rPr>
      </w:pPr>
    </w:p>
    <w:p>
      <w:pPr>
        <w:pStyle w:val="4"/>
        <w:keepNext w:val="0"/>
        <w:keepLines w:val="0"/>
        <w:spacing w:before="0" w:after="0" w:line="360" w:lineRule="auto"/>
        <w:ind w:firstLine="200"/>
        <w:jc w:val="center"/>
        <w:rPr>
          <w:rFonts w:ascii="宋体" w:hAnsi="宋体" w:eastAsia="宋体" w:cs="宋体"/>
          <w:color w:val="auto"/>
          <w:highlight w:val="none"/>
        </w:rPr>
      </w:pPr>
      <w:r>
        <w:rPr>
          <w:rFonts w:hint="eastAsia" w:ascii="宋体" w:hAnsi="宋体" w:eastAsia="宋体" w:cs="宋体"/>
          <w:color w:val="auto"/>
          <w:highlight w:val="none"/>
        </w:rPr>
        <w:t>九、询问、质疑和投诉</w:t>
      </w:r>
    </w:p>
    <w:p>
      <w:pPr>
        <w:pStyle w:val="5"/>
        <w:keepNext w:val="0"/>
        <w:keepLines w:val="0"/>
        <w:tabs>
          <w:tab w:val="left" w:pos="851"/>
        </w:tabs>
        <w:spacing w:before="0" w:after="0" w:line="360" w:lineRule="auto"/>
        <w:ind w:firstLine="49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38.询问、质疑、投诉的接收和处理严格按照《中华人民共和国政府采购法》、《中华人民共和国政府采购法实施条例》、</w:t>
      </w:r>
      <w:r>
        <w:rPr>
          <w:rFonts w:hint="eastAsia" w:ascii="宋体"/>
          <w:b w:val="0"/>
          <w:color w:val="auto"/>
          <w:sz w:val="24"/>
          <w:highlight w:val="none"/>
        </w:rPr>
        <w:t>《政府采购质疑和投诉办法（财政部第 94 号令）》、</w:t>
      </w:r>
      <w:r>
        <w:rPr>
          <w:rFonts w:hint="eastAsia" w:ascii="宋体" w:hAnsi="宋体" w:cs="宋体"/>
          <w:b w:val="0"/>
          <w:bCs w:val="0"/>
          <w:color w:val="auto"/>
          <w:sz w:val="24"/>
          <w:highlight w:val="none"/>
        </w:rPr>
        <w:t>《财政部关于加强政府采购供应商投诉受理审查工作的通知》和四川省的有关规定办理（详细规定请在四川政府采购网政策法规模块查询）。本项目仅允许供应商在法定质疑期内一次性提出针对同一采购程序环节的质疑。</w:t>
      </w:r>
    </w:p>
    <w:p>
      <w:pPr>
        <w:spacing w:line="360" w:lineRule="auto"/>
        <w:ind w:firstLine="469" w:firstLineChars="192"/>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p>
    <w:p>
      <w:pPr>
        <w:pStyle w:val="4"/>
        <w:keepNext w:val="0"/>
        <w:keepLines w:val="0"/>
        <w:spacing w:before="0" w:after="0" w:line="360" w:lineRule="auto"/>
        <w:ind w:firstLine="200"/>
        <w:jc w:val="center"/>
        <w:rPr>
          <w:rFonts w:ascii="宋体" w:hAnsi="宋体" w:eastAsia="宋体" w:cs="宋体"/>
          <w:color w:val="auto"/>
          <w:highlight w:val="none"/>
        </w:rPr>
      </w:pPr>
      <w:r>
        <w:rPr>
          <w:rFonts w:hint="eastAsia" w:ascii="宋体" w:hAnsi="宋体" w:eastAsia="宋体" w:cs="宋体"/>
          <w:color w:val="auto"/>
          <w:highlight w:val="none"/>
        </w:rPr>
        <w:t>十、 供应商信用信息查询</w:t>
      </w:r>
    </w:p>
    <w:p>
      <w:pPr>
        <w:spacing w:line="360" w:lineRule="auto"/>
        <w:ind w:firstLine="469" w:firstLineChars="192"/>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）供应商信用信息查询记录和证据留存的具体方式</w:t>
      </w:r>
    </w:p>
    <w:p>
      <w:pPr>
        <w:spacing w:line="360" w:lineRule="auto"/>
        <w:ind w:firstLine="469" w:firstLineChars="192"/>
        <w:rPr>
          <w:rFonts w:hint="eastAsia" w:ascii="宋体" w:hAnsi="宋体" w:cs="宋体"/>
          <w:color w:val="auto"/>
          <w:sz w:val="24"/>
          <w:highlight w:val="none"/>
        </w:rPr>
      </w:pPr>
      <w:r>
        <w:rPr>
          <w:rFonts w:hint="eastAsia" w:ascii="宋体" w:hAnsi="宋体" w:cs="宋体"/>
          <w:color w:val="auto"/>
          <w:sz w:val="24"/>
          <w:highlight w:val="none"/>
        </w:rPr>
        <w:t>供应商参与投标时无需对此条进行响应，</w:t>
      </w:r>
      <w:r>
        <w:rPr>
          <w:rFonts w:hint="eastAsia" w:ascii="宋体" w:hAnsi="宋体" w:cs="宋体"/>
          <w:color w:val="auto"/>
          <w:sz w:val="24"/>
          <w:highlight w:val="none"/>
          <w:lang w:val="zh-CN"/>
        </w:rPr>
        <w:t>根据《财政部关于在政府采购活动中查询及使用信用记录的通知》</w:t>
      </w:r>
      <w:r>
        <w:rPr>
          <w:rFonts w:hint="eastAsia" w:ascii="宋体" w:hAnsi="宋体" w:cs="宋体"/>
          <w:color w:val="auto"/>
          <w:sz w:val="24"/>
          <w:highlight w:val="none"/>
        </w:rPr>
        <w:t>（</w:t>
      </w:r>
      <w:r>
        <w:rPr>
          <w:rFonts w:hint="eastAsia" w:ascii="宋体" w:hAnsi="宋体" w:cs="宋体"/>
          <w:color w:val="auto"/>
          <w:sz w:val="24"/>
          <w:highlight w:val="none"/>
          <w:lang w:val="zh-CN"/>
        </w:rPr>
        <w:t>财库</w:t>
      </w:r>
      <w:r>
        <w:rPr>
          <w:rFonts w:hint="eastAsia" w:ascii="宋体" w:hAnsi="宋体" w:cs="宋体"/>
          <w:color w:val="auto"/>
          <w:sz w:val="24"/>
          <w:highlight w:val="none"/>
        </w:rPr>
        <w:t>[2016]125</w:t>
      </w:r>
      <w:r>
        <w:rPr>
          <w:rFonts w:hint="eastAsia" w:ascii="宋体" w:hAnsi="宋体" w:cs="宋体"/>
          <w:color w:val="auto"/>
          <w:sz w:val="24"/>
          <w:highlight w:val="none"/>
          <w:lang w:val="zh-CN"/>
        </w:rPr>
        <w:t>号</w:t>
      </w:r>
      <w:r>
        <w:rPr>
          <w:rFonts w:hint="eastAsia" w:ascii="宋体" w:hAnsi="宋体" w:cs="宋体"/>
          <w:color w:val="auto"/>
          <w:sz w:val="24"/>
          <w:highlight w:val="none"/>
        </w:rPr>
        <w:t>）</w:t>
      </w:r>
      <w:r>
        <w:rPr>
          <w:rFonts w:hint="eastAsia" w:ascii="宋体" w:hAnsi="宋体" w:cs="宋体"/>
          <w:color w:val="auto"/>
          <w:sz w:val="24"/>
          <w:highlight w:val="none"/>
          <w:lang w:val="zh-CN"/>
        </w:rPr>
        <w:t>的要求</w:t>
      </w:r>
      <w:r>
        <w:rPr>
          <w:rFonts w:hint="eastAsia" w:ascii="宋体" w:hAnsi="宋体" w:cs="宋体"/>
          <w:color w:val="auto"/>
          <w:sz w:val="24"/>
          <w:highlight w:val="none"/>
        </w:rPr>
        <w:t>，截止至投标截止时间前一个工作日，</w:t>
      </w:r>
      <w:r>
        <w:rPr>
          <w:rFonts w:hint="eastAsia" w:ascii="宋体" w:hAnsi="宋体" w:cs="宋体"/>
          <w:color w:val="auto"/>
          <w:sz w:val="24"/>
          <w:highlight w:val="none"/>
          <w:lang w:val="zh-CN"/>
        </w:rPr>
        <w:t>采购代理机构将通过</w:t>
      </w:r>
      <w:r>
        <w:rPr>
          <w:rFonts w:hint="eastAsia" w:ascii="宋体" w:hAnsi="宋体" w:cs="宋体"/>
          <w:color w:val="auto"/>
          <w:sz w:val="24"/>
          <w:highlight w:val="none"/>
        </w:rPr>
        <w:t>“</w:t>
      </w:r>
      <w:r>
        <w:rPr>
          <w:rFonts w:hint="eastAsia" w:ascii="宋体" w:hAnsi="宋体" w:cs="宋体"/>
          <w:color w:val="auto"/>
          <w:sz w:val="24"/>
          <w:highlight w:val="none"/>
          <w:lang w:val="zh-CN"/>
        </w:rPr>
        <w:t>信用中国</w:t>
      </w:r>
      <w:r>
        <w:rPr>
          <w:rFonts w:hint="eastAsia" w:ascii="宋体" w:hAnsi="宋体" w:cs="宋体"/>
          <w:color w:val="auto"/>
          <w:sz w:val="24"/>
          <w:highlight w:val="none"/>
        </w:rPr>
        <w:t>”</w:t>
      </w:r>
      <w:r>
        <w:rPr>
          <w:rFonts w:hint="eastAsia" w:ascii="宋体" w:hAnsi="宋体" w:cs="宋体"/>
          <w:color w:val="auto"/>
          <w:sz w:val="24"/>
          <w:highlight w:val="none"/>
          <w:lang w:val="zh-CN"/>
        </w:rPr>
        <w:t>网站</w:t>
      </w:r>
      <w:r>
        <w:rPr>
          <w:rFonts w:hint="eastAsia" w:ascii="宋体" w:hAnsi="宋体" w:cs="宋体"/>
          <w:color w:val="auto"/>
          <w:sz w:val="24"/>
          <w:highlight w:val="none"/>
        </w:rPr>
        <w:t>（www.creditchina.gov.cn）</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lang w:val="zh-CN"/>
        </w:rPr>
        <w:t>中国政府采购网</w:t>
      </w:r>
      <w:r>
        <w:rPr>
          <w:rFonts w:hint="eastAsia" w:ascii="宋体" w:hAnsi="宋体" w:cs="宋体"/>
          <w:color w:val="auto"/>
          <w:sz w:val="24"/>
          <w:highlight w:val="none"/>
        </w:rPr>
        <w:t>”</w:t>
      </w:r>
      <w:r>
        <w:rPr>
          <w:rFonts w:hint="eastAsia" w:ascii="宋体" w:hAnsi="宋体" w:cs="宋体"/>
          <w:color w:val="auto"/>
          <w:sz w:val="24"/>
          <w:highlight w:val="none"/>
          <w:lang w:val="zh-CN"/>
        </w:rPr>
        <w:t>网站</w:t>
      </w:r>
      <w:r>
        <w:rPr>
          <w:rFonts w:hint="eastAsia" w:ascii="宋体" w:hAnsi="宋体" w:cs="宋体"/>
          <w:color w:val="auto"/>
          <w:sz w:val="24"/>
          <w:highlight w:val="none"/>
        </w:rPr>
        <w:t>（www.ccgp.gov.cn）</w:t>
      </w:r>
      <w:r>
        <w:rPr>
          <w:rFonts w:hint="eastAsia" w:ascii="宋体" w:hAnsi="宋体" w:cs="宋体"/>
          <w:color w:val="auto"/>
          <w:sz w:val="24"/>
          <w:highlight w:val="none"/>
          <w:lang w:val="zh-CN"/>
        </w:rPr>
        <w:t>等渠道查询</w:t>
      </w:r>
      <w:r>
        <w:rPr>
          <w:rFonts w:hint="eastAsia" w:ascii="宋体" w:hAnsi="宋体" w:cs="宋体"/>
          <w:color w:val="auto"/>
          <w:sz w:val="24"/>
          <w:highlight w:val="none"/>
        </w:rPr>
        <w:t>供应商</w:t>
      </w:r>
      <w:r>
        <w:rPr>
          <w:rFonts w:hint="eastAsia" w:ascii="宋体" w:hAnsi="宋体" w:cs="宋体"/>
          <w:color w:val="auto"/>
          <w:sz w:val="24"/>
          <w:highlight w:val="none"/>
          <w:lang w:val="zh-CN"/>
        </w:rPr>
        <w:t>的信用记录并保存信用记录结果网页截图。</w:t>
      </w:r>
    </w:p>
    <w:p>
      <w:pPr>
        <w:spacing w:line="360" w:lineRule="auto"/>
        <w:ind w:firstLine="469" w:firstLineChars="192"/>
        <w:rPr>
          <w:rFonts w:ascii="宋体" w:hAnsi="宋体" w:cs="宋体"/>
          <w:b/>
          <w:bCs/>
          <w:color w:val="auto"/>
          <w:sz w:val="30"/>
          <w:szCs w:val="30"/>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）供应商信用信息的使用：列入失信被执行人、重大税收违法案件当事人名单、政府采购严重违法失信行为记录名单中的供应商将被拒绝参加本项目的政府采购活动。</w:t>
      </w:r>
    </w:p>
    <w:p>
      <w:pPr>
        <w:rPr>
          <w:color w:val="auto"/>
          <w:highlight w:val="none"/>
        </w:rPr>
      </w:pPr>
    </w:p>
    <w:p>
      <w:pPr>
        <w:pStyle w:val="4"/>
        <w:keepNext w:val="0"/>
        <w:keepLines w:val="0"/>
        <w:spacing w:before="0" w:after="0" w:line="360" w:lineRule="auto"/>
        <w:ind w:firstLine="200"/>
        <w:jc w:val="center"/>
        <w:rPr>
          <w:rFonts w:ascii="宋体" w:hAnsi="宋体" w:eastAsia="宋体" w:cs="宋体"/>
          <w:color w:val="auto"/>
          <w:highlight w:val="none"/>
        </w:rPr>
      </w:pPr>
      <w:r>
        <w:rPr>
          <w:rFonts w:hint="eastAsia" w:ascii="宋体" w:hAnsi="宋体" w:eastAsia="宋体" w:cs="宋体"/>
          <w:color w:val="auto"/>
          <w:highlight w:val="none"/>
        </w:rPr>
        <w:t>十一、其  他</w:t>
      </w:r>
    </w:p>
    <w:p>
      <w:pPr>
        <w:pStyle w:val="5"/>
        <w:keepNext w:val="0"/>
        <w:keepLines w:val="0"/>
        <w:tabs>
          <w:tab w:val="left" w:pos="851"/>
        </w:tabs>
        <w:spacing w:before="0" w:after="0" w:line="360" w:lineRule="auto"/>
        <w:ind w:firstLine="49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3"/>
        <w:keepNext w:val="0"/>
        <w:keepLines w:val="0"/>
        <w:tabs>
          <w:tab w:val="left" w:pos="7665"/>
        </w:tabs>
        <w:spacing w:before="0" w:after="0" w:line="240" w:lineRule="auto"/>
        <w:jc w:val="center"/>
        <w:rPr>
          <w:rFonts w:ascii="宋体" w:hAnsi="宋体" w:cs="宋体"/>
          <w:color w:val="auto"/>
          <w:sz w:val="36"/>
          <w:szCs w:val="36"/>
          <w:highlight w:val="none"/>
        </w:rPr>
      </w:pPr>
      <w:r>
        <w:rPr>
          <w:rFonts w:hint="eastAsia" w:ascii="宋体" w:hAnsi="宋体" w:cs="宋体"/>
          <w:b w:val="0"/>
          <w:color w:val="auto"/>
          <w:sz w:val="32"/>
          <w:szCs w:val="32"/>
          <w:highlight w:val="none"/>
        </w:rPr>
        <w:br w:type="page"/>
      </w:r>
      <w:bookmarkStart w:id="68" w:name="_Toc41920660"/>
      <w:r>
        <w:rPr>
          <w:rFonts w:hint="eastAsia" w:ascii="宋体" w:hAnsi="宋体" w:cs="宋体"/>
          <w:color w:val="auto"/>
          <w:sz w:val="36"/>
          <w:szCs w:val="36"/>
          <w:highlight w:val="none"/>
        </w:rPr>
        <w:t>第三章  供应商的资格、资质性及其他类似效力要求</w:t>
      </w:r>
      <w:bookmarkEnd w:id="68"/>
    </w:p>
    <w:p>
      <w:pPr>
        <w:pStyle w:val="60"/>
        <w:spacing w:line="440" w:lineRule="exact"/>
        <w:ind w:firstLine="492"/>
        <w:rPr>
          <w:rFonts w:ascii="宋体" w:hAnsi="宋体" w:cs="宋体"/>
          <w:b/>
          <w:bCs/>
          <w:color w:val="auto"/>
          <w:sz w:val="24"/>
          <w:szCs w:val="22"/>
          <w:highlight w:val="none"/>
        </w:rPr>
      </w:pPr>
    </w:p>
    <w:p>
      <w:pPr>
        <w:pStyle w:val="60"/>
        <w:ind w:firstLine="492"/>
        <w:rPr>
          <w:rFonts w:ascii="宋体" w:hAnsi="宋体" w:cs="宋体"/>
          <w:b/>
          <w:bCs/>
          <w:color w:val="auto"/>
          <w:sz w:val="24"/>
          <w:szCs w:val="22"/>
          <w:highlight w:val="none"/>
        </w:rPr>
      </w:pPr>
      <w:r>
        <w:rPr>
          <w:rFonts w:hint="eastAsia" w:ascii="宋体" w:hAnsi="宋体" w:cs="宋体"/>
          <w:b/>
          <w:bCs/>
          <w:color w:val="auto"/>
          <w:sz w:val="24"/>
          <w:szCs w:val="22"/>
          <w:highlight w:val="none"/>
        </w:rPr>
        <w:t>一、供应商的资格、资质性要求：</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7、针对本项目提出的特殊要求：</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rPr>
        <w:t>（1）供应商须具有有效的《食品经营许可证》或《食品生产许可证》。</w:t>
      </w:r>
    </w:p>
    <w:p>
      <w:pPr>
        <w:pStyle w:val="60"/>
        <w:ind w:firstLine="735" w:firstLineChars="3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）供应商及其现任法定代表人、主要负责人不得具有行贿犯罪记录。</w:t>
      </w:r>
    </w:p>
    <w:p>
      <w:pPr>
        <w:pStyle w:val="60"/>
        <w:ind w:firstLine="735" w:firstLineChars="300"/>
        <w:rPr>
          <w:rFonts w:ascii="宋体" w:hAnsi="宋体" w:cs="宋体"/>
          <w:color w:val="auto"/>
          <w:sz w:val="24"/>
          <w:highlight w:val="none"/>
          <w:lang w:val="zh-CN"/>
        </w:rPr>
      </w:pPr>
      <w:r>
        <w:rPr>
          <w:rFonts w:hint="eastAsia" w:ascii="宋体" w:hAnsi="宋体" w:cs="宋体"/>
          <w:color w:val="auto"/>
          <w:sz w:val="24"/>
          <w:highlight w:val="none"/>
          <w:lang w:val="en-US" w:eastAsia="zh-CN"/>
        </w:rPr>
        <w:t>8、</w:t>
      </w:r>
      <w:r>
        <w:rPr>
          <w:rFonts w:hint="eastAsia" w:ascii="宋体" w:hAnsi="宋体" w:cs="宋体"/>
          <w:bCs/>
          <w:color w:val="auto"/>
          <w:sz w:val="24"/>
          <w:szCs w:val="28"/>
          <w:highlight w:val="none"/>
        </w:rPr>
        <w:t>本项目为专门面向中小微企业的采购项目，非中小微企业不得参加本项目采购活</w:t>
      </w:r>
      <w:r>
        <w:rPr>
          <w:rFonts w:hint="eastAsia" w:ascii="宋体" w:hAnsi="宋体" w:cs="宋体"/>
          <w:b w:val="0"/>
          <w:bCs/>
          <w:color w:val="auto"/>
          <w:sz w:val="24"/>
          <w:szCs w:val="28"/>
          <w:highlight w:val="none"/>
        </w:rPr>
        <w:t>动</w:t>
      </w:r>
      <w:r>
        <w:rPr>
          <w:rFonts w:hint="eastAsia" w:ascii="宋体" w:hAnsi="宋体" w:cs="宋体"/>
          <w:b w:val="0"/>
          <w:bCs/>
          <w:color w:val="auto"/>
          <w:sz w:val="24"/>
          <w:highlight w:val="none"/>
        </w:rPr>
        <w:t>（注：</w:t>
      </w:r>
      <w:r>
        <w:rPr>
          <w:rFonts w:hint="eastAsia" w:ascii="宋体" w:hAnsi="宋体" w:cs="宋体"/>
          <w:b w:val="0"/>
          <w:bCs/>
          <w:color w:val="auto"/>
          <w:sz w:val="24"/>
          <w:highlight w:val="none"/>
          <w:lang w:val="zh-CN"/>
        </w:rPr>
        <w:t>根据财政部司法部关于政府采购支持监狱企业发展有关问题的通知财库〔2014〕68 号的规定，在政府采购活动中，监狱企业视同小型、微型企业，享受预留份额；根据《财政部 民政部 中国残疾人联合会关于促进残疾人就业政府采购政策的通知》（财库〔2017〕141号）的规定，在政府采购活动中，残疾人企业视同小型、微型企业，享受预留份额</w:t>
      </w:r>
      <w:r>
        <w:rPr>
          <w:rFonts w:hint="eastAsia" w:ascii="宋体" w:hAnsi="宋体" w:cs="宋体"/>
          <w:b w:val="0"/>
          <w:bCs/>
          <w:color w:val="auto"/>
          <w:sz w:val="24"/>
          <w:highlight w:val="none"/>
        </w:rPr>
        <w:t>）。</w:t>
      </w:r>
    </w:p>
    <w:p>
      <w:pPr>
        <w:pStyle w:val="60"/>
        <w:ind w:firstLine="735" w:firstLineChars="3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、本次政府采购活动不接受联合体。</w:t>
      </w:r>
    </w:p>
    <w:p>
      <w:pPr>
        <w:pStyle w:val="60"/>
        <w:numPr>
          <w:ilvl w:val="0"/>
          <w:numId w:val="3"/>
        </w:numPr>
        <w:ind w:firstLine="492"/>
        <w:rPr>
          <w:rFonts w:ascii="宋体" w:hAnsi="宋体" w:cs="宋体"/>
          <w:b/>
          <w:bCs/>
          <w:color w:val="auto"/>
          <w:sz w:val="24"/>
          <w:szCs w:val="22"/>
          <w:highlight w:val="none"/>
        </w:rPr>
      </w:pPr>
      <w:r>
        <w:rPr>
          <w:rFonts w:hint="eastAsia" w:ascii="宋体" w:hAnsi="宋体" w:cs="宋体"/>
          <w:b/>
          <w:bCs/>
          <w:color w:val="auto"/>
          <w:sz w:val="24"/>
          <w:szCs w:val="22"/>
          <w:highlight w:val="none"/>
        </w:rPr>
        <w:t>其他类似效力要求：</w:t>
      </w:r>
    </w:p>
    <w:p>
      <w:pPr>
        <w:pStyle w:val="60"/>
        <w:ind w:firstLine="492" w:firstLineChars="0"/>
        <w:rPr>
          <w:rFonts w:ascii="宋体" w:hAnsi="宋体" w:cs="宋体"/>
          <w:color w:val="auto"/>
          <w:sz w:val="24"/>
          <w:highlight w:val="none"/>
        </w:rPr>
      </w:pPr>
      <w:r>
        <w:rPr>
          <w:rFonts w:hint="eastAsia" w:ascii="宋体" w:hAnsi="宋体" w:cs="宋体"/>
          <w:color w:val="auto"/>
          <w:sz w:val="24"/>
          <w:highlight w:val="none"/>
        </w:rPr>
        <w:t>授权参加本次磋商活动的供应商代表。</w:t>
      </w:r>
    </w:p>
    <w:p>
      <w:pPr>
        <w:pStyle w:val="60"/>
        <w:spacing w:line="420" w:lineRule="exact"/>
        <w:ind w:firstLine="420" w:firstLineChars="0"/>
        <w:rPr>
          <w:rFonts w:hint="eastAsia" w:cs="宋体"/>
          <w:b/>
          <w:color w:val="auto"/>
          <w:highlight w:val="none"/>
        </w:rPr>
      </w:pPr>
    </w:p>
    <w:p>
      <w:pPr>
        <w:pStyle w:val="60"/>
        <w:spacing w:line="420" w:lineRule="exact"/>
        <w:ind w:firstLine="420" w:firstLineChars="0"/>
        <w:rPr>
          <w:rFonts w:cs="宋体"/>
          <w:b/>
          <w:color w:val="auto"/>
          <w:highlight w:val="none"/>
        </w:rPr>
      </w:pPr>
      <w:r>
        <w:rPr>
          <w:rFonts w:hint="eastAsia" w:cs="宋体"/>
          <w:b/>
          <w:color w:val="auto"/>
          <w:highlight w:val="none"/>
        </w:rPr>
        <w:t>注：</w:t>
      </w:r>
      <w:r>
        <w:rPr>
          <w:rFonts w:cs="宋体"/>
          <w:b/>
          <w:color w:val="auto"/>
          <w:highlight w:val="none"/>
        </w:rPr>
        <w:t xml:space="preserve">1. </w:t>
      </w:r>
      <w:r>
        <w:rPr>
          <w:rFonts w:hint="eastAsia" w:cs="宋体"/>
          <w:b/>
          <w:color w:val="auto"/>
          <w:highlight w:val="none"/>
        </w:rPr>
        <w:t>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60"/>
        <w:spacing w:line="420" w:lineRule="exact"/>
        <w:ind w:firstLine="420" w:firstLineChars="0"/>
        <w:rPr>
          <w:rFonts w:cs="宋体"/>
          <w:color w:val="auto"/>
          <w:highlight w:val="none"/>
          <w:u w:val="single"/>
        </w:rPr>
      </w:pPr>
      <w:r>
        <w:rPr>
          <w:rFonts w:cs="宋体"/>
          <w:b/>
          <w:color w:val="auto"/>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3"/>
        <w:keepNext w:val="0"/>
        <w:keepLines w:val="0"/>
        <w:tabs>
          <w:tab w:val="left" w:pos="7665"/>
        </w:tabs>
        <w:spacing w:before="0" w:after="0" w:line="240" w:lineRule="auto"/>
        <w:jc w:val="center"/>
        <w:rPr>
          <w:rFonts w:ascii="宋体" w:hAnsi="宋体" w:cs="宋体"/>
          <w:color w:val="auto"/>
          <w:sz w:val="36"/>
          <w:szCs w:val="36"/>
          <w:highlight w:val="none"/>
        </w:rPr>
      </w:pPr>
      <w:r>
        <w:rPr>
          <w:rFonts w:hint="eastAsia" w:ascii="宋体" w:hAnsi="宋体" w:cs="宋体"/>
          <w:color w:val="auto"/>
          <w:sz w:val="32"/>
          <w:szCs w:val="32"/>
          <w:highlight w:val="none"/>
        </w:rPr>
        <w:br w:type="page"/>
      </w:r>
      <w:bookmarkStart w:id="69" w:name="_Toc41920661"/>
      <w:bookmarkStart w:id="70" w:name="_Toc10543585"/>
      <w:r>
        <w:rPr>
          <w:rFonts w:hint="eastAsia" w:ascii="宋体" w:hAnsi="宋体" w:cs="宋体"/>
          <w:color w:val="auto"/>
          <w:sz w:val="36"/>
          <w:szCs w:val="36"/>
          <w:highlight w:val="none"/>
        </w:rPr>
        <w:t>第四章  供应商应当提供的资格、资质性及其他类似效力要求的相关证明材料</w:t>
      </w:r>
      <w:bookmarkEnd w:id="69"/>
      <w:bookmarkEnd w:id="70"/>
    </w:p>
    <w:p>
      <w:pPr>
        <w:pStyle w:val="60"/>
        <w:spacing w:line="240" w:lineRule="auto"/>
        <w:ind w:firstLine="0" w:firstLineChars="0"/>
        <w:jc w:val="left"/>
        <w:rPr>
          <w:rFonts w:ascii="宋体" w:hAnsi="宋体" w:cs="宋体"/>
          <w:b/>
          <w:bCs/>
          <w:color w:val="auto"/>
          <w:sz w:val="24"/>
          <w:szCs w:val="22"/>
          <w:highlight w:val="none"/>
        </w:rPr>
      </w:pPr>
    </w:p>
    <w:p>
      <w:pPr>
        <w:spacing w:line="360"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（一）供应商的资格、资质性要求相关证明材料：</w:t>
      </w:r>
    </w:p>
    <w:p>
      <w:pPr>
        <w:numPr>
          <w:ilvl w:val="0"/>
          <w:numId w:val="4"/>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具有独立承担民事责任的能力：</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2、具有良好的商业信誉和健全的财务会计制度的证明材料：</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2.1具有良好的商业信誉：提供承诺函，格式自拟或按第六章“资格性响应文件格式中 （三）承诺函”提供有效；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2.2具有健全的财务会计制度：①可提供201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年度或20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年度经审计的财务报告复印件（包含审计报告和审计报告中所涉及的财务报表和报表附注）；②也可提供201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年度或2</w:t>
      </w:r>
      <w:r>
        <w:rPr>
          <w:rFonts w:hint="eastAsia" w:ascii="宋体" w:hAnsi="宋体" w:cs="宋体"/>
          <w:color w:val="auto"/>
          <w:sz w:val="24"/>
          <w:highlight w:val="none"/>
          <w:lang w:val="en-US" w:eastAsia="zh-CN"/>
        </w:rPr>
        <w:t>020</w:t>
      </w:r>
      <w:r>
        <w:rPr>
          <w:rFonts w:hint="eastAsia" w:ascii="宋体" w:hAnsi="宋体" w:cs="宋体"/>
          <w:color w:val="auto"/>
          <w:sz w:val="24"/>
          <w:highlight w:val="none"/>
        </w:rPr>
        <w:t>年度供应商单位内部财务报表复印件（至少应包含资产负债表、利润表、现金流量表）；③供应商注册时间截至响应文件递交截止日不足一年的，也可提供在工商备案的公司章程复印件。④如果供应商为事业单位，根据实际情况提供证明材料。</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3、具有履行合同所必需的设备和专业技术能力：提供承诺函，格式自拟或按第六章“资格性响应文件格式中 （三）承诺函”提供有效；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4、有依法交纳税收和社会保障资金的良好记录：</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提供交纳的2020年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月1日（含）至今任意一个月税收和社保资金的证明材料（复印件。税收提供</w:t>
      </w:r>
      <w:r>
        <w:rPr>
          <w:rFonts w:hint="eastAsia" w:ascii="宋体" w:hAnsi="宋体" w:cs="宋体"/>
          <w:color w:val="auto"/>
          <w:sz w:val="24"/>
          <w:highlight w:val="none"/>
          <w:lang w:val="en-US" w:eastAsia="zh-CN"/>
        </w:rPr>
        <w:t>相关主管</w:t>
      </w:r>
      <w:r>
        <w:rPr>
          <w:rFonts w:hint="eastAsia" w:ascii="宋体" w:hAnsi="宋体" w:cs="宋体"/>
          <w:color w:val="auto"/>
          <w:sz w:val="24"/>
          <w:highlight w:val="none"/>
        </w:rPr>
        <w:t>部门开具的收据或网银转帐回执单等有效证明材料；社保资金提供</w:t>
      </w:r>
      <w:r>
        <w:rPr>
          <w:rFonts w:hint="eastAsia" w:ascii="宋体" w:hAnsi="宋体" w:cs="宋体"/>
          <w:color w:val="auto"/>
          <w:sz w:val="24"/>
          <w:highlight w:val="none"/>
          <w:lang w:val="en-US" w:eastAsia="zh-CN"/>
        </w:rPr>
        <w:t>相关主管</w:t>
      </w:r>
      <w:r>
        <w:rPr>
          <w:rFonts w:hint="eastAsia" w:ascii="宋体" w:hAnsi="宋体" w:cs="宋体"/>
          <w:color w:val="auto"/>
          <w:sz w:val="24"/>
          <w:highlight w:val="none"/>
        </w:rPr>
        <w:t>部门开具的收据或网银转帐回执单或</w:t>
      </w:r>
      <w:r>
        <w:rPr>
          <w:rFonts w:hint="eastAsia" w:ascii="宋体" w:hAnsi="宋体" w:cs="宋体"/>
          <w:color w:val="auto"/>
          <w:sz w:val="24"/>
          <w:highlight w:val="none"/>
          <w:lang w:val="en-US" w:eastAsia="zh-CN"/>
        </w:rPr>
        <w:t>相关主管</w:t>
      </w:r>
      <w:r>
        <w:rPr>
          <w:rFonts w:hint="eastAsia" w:ascii="宋体" w:hAnsi="宋体" w:cs="宋体"/>
          <w:color w:val="auto"/>
          <w:sz w:val="24"/>
          <w:highlight w:val="none"/>
        </w:rPr>
        <w:t>部门出具的已缴费证明等有效证明材料。</w:t>
      </w:r>
      <w:r>
        <w:rPr>
          <w:rFonts w:hint="eastAsia" w:ascii="宋体" w:hAnsi="宋体" w:cs="宋体"/>
          <w:color w:val="auto"/>
          <w:sz w:val="24"/>
          <w:highlight w:val="none"/>
          <w:lang w:val="zh-CN"/>
        </w:rPr>
        <w:t>依法免税或不需要缴纳社会保障资金的供应商，应提供相应文件证明其依法免税或不需要缴纳社会保障资金</w:t>
      </w:r>
      <w:r>
        <w:rPr>
          <w:rFonts w:hint="eastAsia" w:ascii="宋体" w:hAnsi="宋体" w:cs="宋体"/>
          <w:color w:val="auto"/>
          <w:sz w:val="24"/>
          <w:highlight w:val="none"/>
        </w:rPr>
        <w:t>）；</w:t>
      </w:r>
    </w:p>
    <w:p>
      <w:pPr>
        <w:numPr>
          <w:ilvl w:val="0"/>
          <w:numId w:val="5"/>
        </w:num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本次</w:t>
      </w:r>
      <w:r>
        <w:rPr>
          <w:rFonts w:hint="eastAsia" w:ascii="宋体" w:hAnsi="宋体" w:cs="宋体"/>
          <w:color w:val="auto"/>
          <w:sz w:val="24"/>
          <w:highlight w:val="none"/>
        </w:rPr>
        <w:t>政府采购活动前三年内，在经营活动中没有重大违法记录：提供承诺函，格式自拟或按第六章“资格性响应文件格式中 （三）承诺函”提供有效；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6、法律、行政法规规定的其他条件：供应商满足法律、行政法规规定的其他条件，提供承诺函，格式自拟或按第六章“资格性响应文件格式中 （三）承诺函”提供有效；</w:t>
      </w:r>
    </w:p>
    <w:p>
      <w:pPr>
        <w:pStyle w:val="60"/>
        <w:rPr>
          <w:rFonts w:ascii="宋体" w:hAnsi="宋体" w:cs="宋体"/>
          <w:color w:val="auto"/>
          <w:sz w:val="24"/>
          <w:highlight w:val="none"/>
        </w:rPr>
      </w:pPr>
      <w:r>
        <w:rPr>
          <w:rFonts w:hint="eastAsia" w:ascii="宋体" w:hAnsi="宋体" w:cs="宋体"/>
          <w:color w:val="auto"/>
          <w:sz w:val="24"/>
          <w:highlight w:val="none"/>
        </w:rPr>
        <w:t>7、针对本项目提出的特殊要求：</w:t>
      </w:r>
    </w:p>
    <w:p>
      <w:pPr>
        <w:pStyle w:val="60"/>
        <w:ind w:firstLine="490"/>
        <w:rPr>
          <w:rFonts w:ascii="宋体" w:hAnsi="宋体" w:cs="宋体"/>
          <w:color w:val="auto"/>
          <w:sz w:val="24"/>
          <w:highlight w:val="none"/>
        </w:rPr>
      </w:pPr>
      <w:r>
        <w:rPr>
          <w:rFonts w:hint="eastAsia" w:ascii="宋体" w:hAnsi="宋体" w:cs="宋体"/>
          <w:color w:val="auto"/>
          <w:sz w:val="24"/>
          <w:highlight w:val="none"/>
        </w:rPr>
        <w:t>（1）供应商须具有有效的《食品经营许可证》或《食品生产许可证》：供应商为经销商的提供《食品经营许可证》，供应商为生产商的提供《食品生产许可证》，提供有效证书复印件。</w:t>
      </w:r>
      <w:r>
        <w:rPr>
          <w:rFonts w:hint="eastAsia" w:ascii="宋体" w:hAnsi="宋体" w:cs="宋体"/>
          <w:color w:val="auto"/>
          <w:sz w:val="24"/>
          <w:highlight w:val="none"/>
          <w:lang w:val="en-US" w:eastAsia="zh-CN"/>
        </w:rPr>
        <w:t>生产商参与项目，</w:t>
      </w:r>
      <w:r>
        <w:rPr>
          <w:rFonts w:hint="eastAsia" w:ascii="宋体" w:hAnsi="宋体" w:cs="宋体"/>
          <w:color w:val="auto"/>
          <w:sz w:val="24"/>
          <w:highlight w:val="none"/>
        </w:rPr>
        <w:t>提供的食品生产许可证如涉及品种明细表的还须附生产许可品种明细表</w:t>
      </w:r>
      <w:r>
        <w:rPr>
          <w:rFonts w:hint="eastAsia" w:ascii="宋体" w:hAnsi="宋体" w:cs="宋体"/>
          <w:color w:val="auto"/>
          <w:sz w:val="24"/>
          <w:highlight w:val="none"/>
          <w:lang w:val="en-US" w:eastAsia="zh-CN"/>
        </w:rPr>
        <w:t>复印件</w:t>
      </w:r>
      <w:r>
        <w:rPr>
          <w:rFonts w:hint="eastAsia" w:ascii="宋体" w:hAnsi="宋体" w:cs="宋体"/>
          <w:color w:val="auto"/>
          <w:sz w:val="24"/>
          <w:highlight w:val="none"/>
        </w:rPr>
        <w:t>。</w:t>
      </w:r>
    </w:p>
    <w:p>
      <w:pPr>
        <w:pStyle w:val="60"/>
        <w:ind w:firstLine="490"/>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）供应商及其现任法定代表人、主要负责人不得具有行贿犯罪记录：</w:t>
      </w:r>
      <w:r>
        <w:rPr>
          <w:rFonts w:hint="eastAsia" w:ascii="宋体" w:hAnsi="宋体" w:cs="宋体"/>
          <w:color w:val="auto"/>
          <w:sz w:val="24"/>
          <w:highlight w:val="none"/>
        </w:rPr>
        <w:t>提供承诺函，格式自拟或按第六章“资格性响应文件格式中 （三）承诺函”提供有效；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本项目为专门面向中小微企业的采购项目，非中小微企业不得参加本项目采购活动（注：根据财政部司法部关于政府采购支持监狱企业发展有关问题的通知财库〔2014〕68 号的规定，在政府采购活动中，监狱企业视同小型、微型企业，享受预留份额；根据《财政部 民政部 中国残疾人联合会关于促进残疾人就业政府采购政策的通知》（财库〔2017〕141号）的规定，在政府采购活动中，残疾人企业视同小型、微型企业，享受预留份额）：</w:t>
      </w:r>
      <w:r>
        <w:rPr>
          <w:rFonts w:hint="eastAsia" w:ascii="宋体" w:hAnsi="宋体" w:cs="宋体"/>
          <w:color w:val="auto"/>
          <w:kern w:val="0"/>
          <w:sz w:val="24"/>
          <w:highlight w:val="none"/>
        </w:rPr>
        <w:t>供应商须根据自身情况，提供《中小企业声明函》</w:t>
      </w:r>
      <w:r>
        <w:rPr>
          <w:rFonts w:hint="eastAsia" w:ascii="宋体" w:hAnsi="宋体" w:cs="宋体"/>
          <w:b/>
          <w:bCs/>
          <w:color w:val="auto"/>
          <w:kern w:val="0"/>
          <w:sz w:val="24"/>
          <w:highlight w:val="none"/>
          <w:lang w:val="en-US" w:eastAsia="zh-CN"/>
        </w:rPr>
        <w:t>或</w:t>
      </w:r>
      <w:r>
        <w:rPr>
          <w:rFonts w:hint="eastAsia" w:ascii="宋体" w:hAnsi="宋体" w:cs="宋体"/>
          <w:color w:val="auto"/>
          <w:kern w:val="0"/>
          <w:sz w:val="24"/>
          <w:highlight w:val="none"/>
        </w:rPr>
        <w:t>《监狱企业相关证明材料》</w:t>
      </w:r>
      <w:r>
        <w:rPr>
          <w:rFonts w:hint="eastAsia" w:ascii="宋体" w:hAnsi="宋体" w:cs="宋体"/>
          <w:b/>
          <w:bCs/>
          <w:color w:val="auto"/>
          <w:kern w:val="0"/>
          <w:sz w:val="24"/>
          <w:highlight w:val="none"/>
        </w:rPr>
        <w:t>或</w:t>
      </w:r>
      <w:r>
        <w:rPr>
          <w:rFonts w:hint="eastAsia" w:ascii="宋体" w:hAnsi="宋体" w:cs="宋体"/>
          <w:color w:val="auto"/>
          <w:kern w:val="0"/>
          <w:sz w:val="24"/>
          <w:highlight w:val="none"/>
        </w:rPr>
        <w:t>《残疾人福利性单位声明函》（格式详见第六章“资格性响应文件格式”中相关内容）。</w:t>
      </w:r>
    </w:p>
    <w:p>
      <w:pPr>
        <w:pStyle w:val="60"/>
        <w:rPr>
          <w:rFonts w:cs="宋体"/>
          <w:color w:val="auto"/>
          <w:szCs w:val="22"/>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、本次政府采购活动不接受联合体：提供不属于联合体投标的承诺，格式自拟或按第六章“资格性响应文件格式中</w:t>
      </w:r>
      <w:bookmarkStart w:id="130" w:name="_GoBack"/>
      <w:bookmarkEnd w:id="130"/>
      <w:r>
        <w:rPr>
          <w:rFonts w:hint="eastAsia" w:ascii="宋体" w:hAnsi="宋体" w:cs="宋体"/>
          <w:color w:val="auto"/>
          <w:sz w:val="24"/>
          <w:highlight w:val="none"/>
        </w:rPr>
        <w:t xml:space="preserve"> （三）承诺函”提供有效。</w:t>
      </w:r>
    </w:p>
    <w:p>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注：以上不同承诺项要求同一承诺函格式的，可仅提供一次相应承诺函即可。</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二、其他类似效力要求相关证明材料：</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1、由</w:t>
      </w:r>
      <w:r>
        <w:rPr>
          <w:rFonts w:hint="eastAsia" w:ascii="宋体" w:hAnsi="宋体" w:cs="宋体"/>
          <w:color w:val="auto"/>
          <w:sz w:val="24"/>
          <w:highlight w:val="none"/>
          <w:lang w:val="zh-CN"/>
        </w:rPr>
        <w:t>供应商</w:t>
      </w:r>
      <w:r>
        <w:rPr>
          <w:rFonts w:hint="eastAsia" w:ascii="宋体" w:hAnsi="宋体" w:cs="宋体"/>
          <w:color w:val="auto"/>
          <w:sz w:val="24"/>
          <w:highlight w:val="none"/>
        </w:rPr>
        <w:t>法定代表人直接投标且</w:t>
      </w:r>
      <w:r>
        <w:rPr>
          <w:rFonts w:hint="eastAsia" w:ascii="宋体" w:hAnsi="宋体" w:cs="宋体"/>
          <w:color w:val="auto"/>
          <w:sz w:val="24"/>
          <w:highlight w:val="none"/>
          <w:lang w:val="zh-CN"/>
        </w:rPr>
        <w:t>响应文件均由供应商法定代表人签字的：</w:t>
      </w:r>
      <w:r>
        <w:rPr>
          <w:rFonts w:hint="eastAsia" w:ascii="宋体" w:hAnsi="宋体" w:cs="宋体"/>
          <w:color w:val="auto"/>
          <w:sz w:val="24"/>
          <w:highlight w:val="none"/>
        </w:rPr>
        <w:t>须提供法定代表人身份证明书原件并附法定代表人身份证复印件(身份证明书原件加盖公章；身份证复印件正反面均须复印，复印件加盖公章，身份证在有效期内）；</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2、由供应商授权代理人参与投标的：须提供法定代表人授权书原件并附法定代表人及授权代表身份证复印件（授权书原件加盖公章；身份证复印件正反面均须复印，复印件加盖公章，身份证在有效期内）。</w:t>
      </w:r>
    </w:p>
    <w:p>
      <w:pPr>
        <w:spacing w:line="360" w:lineRule="auto"/>
        <w:ind w:firstLine="480"/>
        <w:rPr>
          <w:rFonts w:ascii="宋体" w:hAnsi="宋体" w:cs="宋体"/>
          <w:color w:val="auto"/>
          <w:highlight w:val="none"/>
          <w:lang w:val="zh-CN"/>
        </w:rPr>
      </w:pPr>
      <w:r>
        <w:rPr>
          <w:rFonts w:hint="eastAsia" w:ascii="宋体" w:hAnsi="宋体" w:cs="宋体"/>
          <w:color w:val="auto"/>
          <w:highlight w:val="none"/>
          <w:lang w:val="zh-CN"/>
        </w:rPr>
        <w:t>注：“法定代表人身份证明书”和“法定代表人授权书”格式详见第六章“资格性响应文件格式”中相关格式。</w:t>
      </w:r>
    </w:p>
    <w:p>
      <w:pPr>
        <w:pStyle w:val="3"/>
        <w:keepNext w:val="0"/>
        <w:keepLines w:val="0"/>
        <w:tabs>
          <w:tab w:val="left" w:pos="7665"/>
        </w:tabs>
        <w:spacing w:before="0" w:after="0"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bookmarkStart w:id="71" w:name="_Toc41920662"/>
      <w:r>
        <w:rPr>
          <w:rFonts w:hint="eastAsia" w:ascii="宋体" w:hAnsi="宋体" w:cs="宋体"/>
          <w:color w:val="auto"/>
          <w:sz w:val="36"/>
          <w:szCs w:val="36"/>
          <w:highlight w:val="none"/>
        </w:rPr>
        <w:t>第五章  采购项目技术、服务、及其他商务要求</w:t>
      </w:r>
      <w:bookmarkEnd w:id="71"/>
    </w:p>
    <w:bookmarkEnd w:id="58"/>
    <w:bookmarkEnd w:id="59"/>
    <w:bookmarkEnd w:id="60"/>
    <w:bookmarkEnd w:id="61"/>
    <w:bookmarkEnd w:id="62"/>
    <w:p>
      <w:pPr>
        <w:spacing w:line="360" w:lineRule="auto"/>
        <w:jc w:val="left"/>
        <w:rPr>
          <w:rFonts w:ascii="宋体" w:hAnsi="宋体" w:cs="宋体"/>
          <w:b/>
          <w:color w:val="auto"/>
          <w:sz w:val="24"/>
          <w:highlight w:val="none"/>
        </w:rPr>
      </w:pPr>
      <w:bookmarkStart w:id="72" w:name="_Toc217446057"/>
      <w:bookmarkStart w:id="73" w:name="_Toc183682369"/>
      <w:bookmarkStart w:id="74" w:name="_Toc183582232"/>
    </w:p>
    <w:p>
      <w:pPr>
        <w:widowControl/>
        <w:spacing w:line="360" w:lineRule="auto"/>
        <w:jc w:val="lef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★一、配送食材相关要求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76" w:type="dxa"/>
            <w:shd w:val="clear" w:color="auto" w:fill="auto"/>
            <w:vAlign w:val="center"/>
          </w:tcPr>
          <w:p>
            <w:pPr>
              <w:widowControl/>
              <w:spacing w:line="24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采购标的名称</w:t>
            </w:r>
          </w:p>
        </w:tc>
        <w:tc>
          <w:tcPr>
            <w:tcW w:w="7843"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食材要求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大米</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1、符合国家大米 GB/T 1354-2018 标准，食品安全标准符合GB2761-2017、GB2762-2017标准，且有最新标准时按最新标准执行。</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2、国标一级大米。</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3、加工精度：背沟无皮，或有皮不成线，米胚和米面皮层去净的占 90%以上；碎米总量：籼米≤15%（其中小碎米≤1%），粳米≤7.5%（其中小碎米≤0.5%）；不完整米粒：≤3%；杂质最大限量：≤0.25%；水分：籼米≤14.5%，粳米≤15.5%；黄米粒：≤1%；无异常色泽和气味。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面粉及面制品</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1、面粉灰分＜0.7%；粗细度：全部通过CB36号筛， 留存在CB42号筛的不超过10%，面筋质＞30%，含砂量＜0.02%，磁性金属物＜0.003g∕kg，水分≤14%，脂肪酸值＜80。气味口味正常。</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2、面粉色泽呈乳白色或淡黄色，不发暗，无杂质，无粗粒感，流散性好，不结块，有自然的麦香味。</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3、面粉及面制品均符合GB2761-2017、GB2762-2017等国家标准，</w:t>
            </w:r>
            <w:r>
              <w:rPr>
                <w:rFonts w:hint="eastAsia" w:ascii="宋体" w:hAnsi="宋体" w:cs="宋体"/>
                <w:color w:val="auto"/>
                <w:kern w:val="0"/>
                <w:szCs w:val="21"/>
                <w:highlight w:val="none"/>
                <w:lang w:val="en-US" w:eastAsia="zh-CN" w:bidi="ar"/>
              </w:rPr>
              <w:t>且质量须符合国家质量标准。相关执行标准</w:t>
            </w:r>
            <w:r>
              <w:rPr>
                <w:rFonts w:hint="eastAsia" w:ascii="宋体" w:hAnsi="宋体" w:eastAsia="宋体" w:cs="宋体"/>
                <w:color w:val="auto"/>
                <w:kern w:val="0"/>
                <w:szCs w:val="21"/>
                <w:highlight w:val="none"/>
                <w:lang w:bidi="ar"/>
              </w:rPr>
              <w:t>有最新标准时按最新标准执行。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油</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1、符合符合GB1536-2004质量标准、GB2716-2018《食品安全国家标准植物油》等国家相关标准。有最新标准时按最新标准执行。</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2、为非转基因产品。 </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3、具有食用油固有的气味和滋味，无异味。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肉类</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1、主要包括猪肉、羊肉、鸡肉、鸭肉、牛肉等鲜、冷藏、冻肉类和熟肉制品，根据采购人实际需要品种、数量提供。 </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2、冷鲜肉一级，符合 GB9959.1-2001 规定标准和国家卫生、安全标准要求。无槽头肉和血刀肉；甲状腺、肾上腺、病变淋巴摘除干净；无残留毛绒，不准带长短毛；不带浮毛、凝血块、胆污、粪污及其他污染物。肌肉色泽鲜红或深红，有光泽；脂肪呈乳白色或粉白色。弹性（组织状态）：指压后的凹陷立即恢复。粘度：外表微干或微湿润，不粘手。气味：具有鲜猪肉正常气味。煮沸后肉汤透明澄清，脂肪团聚于液面，具有香味。</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3、猪肉产品符合 GB/T 9959.1-2019《鲜、冻猪肉及猪副产品 第1部分：片猪肉》、《食品安全国家标准 食品中兽药最大残留限量》(GB31650-2019)等国家相关标准。有最新标准时按最新标准执行。</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4、羊肉、鸡肉、鸭肉、牛肉等其他畜禽肉类符合GB2707-2016《食品安全国家标准 鲜（冻）畜、禽产品》等家最新质量标准及食品安全标准。</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5、熟肉制品符合国家最新质量标准及食品安全标准。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水产品</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1、包括捕捞和养殖生产的鱼、虾、蟹、贝、藻类、海兽等鲜活品和经过冷冻、腌制、干制、熏制、熟制、罐装和综合利用的加工产品。</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2、符合国家最新质量标准</w:t>
            </w:r>
            <w:r>
              <w:rPr>
                <w:rFonts w:hint="eastAsia" w:ascii="宋体" w:hAnsi="宋体" w:cs="宋体"/>
                <w:color w:val="auto"/>
                <w:kern w:val="0"/>
                <w:szCs w:val="21"/>
                <w:highlight w:val="none"/>
                <w:lang w:val="en-US" w:eastAsia="zh-CN" w:bidi="ar"/>
              </w:rPr>
              <w:t>及</w:t>
            </w:r>
            <w:r>
              <w:rPr>
                <w:rFonts w:hint="eastAsia" w:ascii="宋体" w:hAnsi="宋体" w:eastAsia="宋体" w:cs="宋体"/>
                <w:color w:val="auto"/>
                <w:kern w:val="0"/>
                <w:szCs w:val="21"/>
                <w:highlight w:val="none"/>
                <w:lang w:bidi="ar"/>
              </w:rPr>
              <w:t>食品安全标准。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蔬菜</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1、叶菜类：鲜嫩，无枯黄叶，无花斑叶，无烂叶；叶茎完整无折断，基部不老化，干爽无水；无裂口损伤，表面无泥土及其它杂物，无农药残留。 </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2、根茎类：个体均匀，根形完整，无畸形，无泥土，无虫蛀和机械伤，无腐烂，无断折断裂，不萎蔫变软，不发芽，不变绿，不空心，不糠心，不黑心，弹击有实心感，无农药残留。 </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3、芽苗类：鲜嫩、无老叶、无花斑黄叶，根部切口新鲜，茎叶完整，无腐烂现象，无农药残留。 </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4、菌类：色泽与其品种相适应，气味正常；无腐烂及虫蛀株，无发霉，无失水枯萎，朵片完整，手轻捏不能有水渗出为宜。 </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5、豆芽菜及豆制品：必须有SC认证标识，不得使用添加剂，农药残留及重金属不得超标，无感观异常。</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6、符合 GB2763-201</w:t>
            </w:r>
            <w:r>
              <w:rPr>
                <w:rFonts w:hint="eastAsia" w:ascii="宋体" w:hAnsi="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 xml:space="preserve"> 标准</w:t>
            </w:r>
            <w:r>
              <w:rPr>
                <w:rFonts w:hint="eastAsia" w:ascii="宋体" w:hAnsi="宋体" w:cs="宋体"/>
                <w:color w:val="auto"/>
                <w:kern w:val="0"/>
                <w:szCs w:val="21"/>
                <w:highlight w:val="none"/>
                <w:lang w:val="en-US" w:eastAsia="zh-CN" w:bidi="ar"/>
              </w:rPr>
              <w:t>及其他相关</w:t>
            </w:r>
            <w:r>
              <w:rPr>
                <w:rFonts w:hint="eastAsia" w:ascii="宋体" w:hAnsi="宋体" w:eastAsia="宋体" w:cs="宋体"/>
                <w:color w:val="auto"/>
                <w:kern w:val="0"/>
                <w:szCs w:val="21"/>
                <w:highlight w:val="none"/>
                <w:lang w:bidi="ar"/>
              </w:rPr>
              <w:t xml:space="preserve">国家标准。相关标准如国家有调整的，以调整后的最新标准为准。农药残留及重金属不得超标，不得含有国家全面禁止使用的农药成份。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干杂</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1、包括食醋、酱油、香料、食盐、味精、糖、干货等一切干杂辅料配料类。</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2、酱油符合GB2717-2018《食品安全国家标准酱油》等相关标准，食醋符合GB2719-2018《食品安全国家标准食醋》等相关标准，标准如国家有调整的，应以调整后的最新标准为准。</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3、食用盐：精制盐，符合GB2721-2015《食品安全国家标准 食用盐》等国家标准。白色，味咸，无异味，无明显与盐无关的外来异物。标准如国家有调整的，应以调整后的最新标准为准。</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4、所有干杂材料均须符合国家最新质量标准及食品安全标准；不得含有二氧化硫及重金属元素和非法使用添加剂；定型包装类的包装应符合国家和行业的有关规定。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禽蛋及蛋制品</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禽蛋须保证无机砷、铅、汞等依据相关国家标准控制在安全范围，须保证新鲜、安全、卫生。具有禽蛋固有的色泽，蛋壳清洁、无破裂，打开后蛋黄凸起、完整、有韧性，蛋白澄清透明、稀稠分明，具有产品固有的气味，无异味。无杂质，内容物不得有血块或其他鸡组织异物。 </w:t>
            </w:r>
          </w:p>
          <w:p>
            <w:pPr>
              <w:widowControl/>
              <w:spacing w:before="156" w:beforeLines="50" w:after="156" w:afterLines="50" w:line="240" w:lineRule="auto"/>
              <w:ind w:firstLine="43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2、按照食品安全国家标准蛋与蛋制品及最新国家标准执行。</w:t>
            </w:r>
            <w:r>
              <w:rPr>
                <w:rFonts w:hint="eastAsia" w:ascii="宋体" w:hAnsi="宋体" w:eastAsia="宋体" w:cs="宋体"/>
                <w:color w:val="auto"/>
                <w:kern w:val="0"/>
                <w:szCs w:val="21"/>
                <w:highlight w:val="none"/>
                <w:lang w:bidi="ar"/>
              </w:rPr>
              <w:t>符合国家最新质量标准及食品安全标准。</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3、配送时须有产品检疫合格证明，外地禽蛋须提供其所在地农业部门的检疫合格证明或检疫验讫标识。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奶及奶制品</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1、牛奶按照 GB 25190-2010食品安全国家标准灭菌乳执行；酸奶按照GB 19302-2010食品安全国家标准发酵乳执行。</w:t>
            </w:r>
          </w:p>
          <w:p>
            <w:pPr>
              <w:widowControl/>
              <w:spacing w:before="156" w:beforeLines="50" w:after="156" w:afterLines="50" w:line="240" w:lineRule="auto"/>
              <w:ind w:firstLine="43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2、奶及奶制品均</w:t>
            </w:r>
            <w:r>
              <w:rPr>
                <w:rFonts w:hint="eastAsia" w:ascii="宋体" w:hAnsi="宋体" w:eastAsia="宋体" w:cs="宋体"/>
                <w:color w:val="auto"/>
                <w:kern w:val="0"/>
                <w:szCs w:val="21"/>
                <w:highlight w:val="none"/>
                <w:lang w:bidi="ar"/>
              </w:rPr>
              <w:t>符合国家最新质量标准及食品安全标准。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76" w:type="dxa"/>
            <w:shd w:val="clear" w:color="auto" w:fill="auto"/>
            <w:vAlign w:val="center"/>
          </w:tcPr>
          <w:p>
            <w:pPr>
              <w:widowControl/>
              <w:spacing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水果</w:t>
            </w:r>
          </w:p>
        </w:tc>
        <w:tc>
          <w:tcPr>
            <w:tcW w:w="7843" w:type="dxa"/>
            <w:shd w:val="clear" w:color="auto" w:fill="auto"/>
            <w:vAlign w:val="center"/>
          </w:tcPr>
          <w:p>
            <w:pPr>
              <w:widowControl/>
              <w:spacing w:before="156" w:beforeLines="50" w:after="156" w:afterLines="50" w:line="240" w:lineRule="auto"/>
              <w:ind w:firstLine="43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1、新鲜，正常色泽，果质优良，气味正常；无腐烂及虫蛀，无发霉，无失水枯萎。</w:t>
            </w:r>
          </w:p>
          <w:p>
            <w:pPr>
              <w:widowControl/>
              <w:spacing w:before="156" w:beforeLines="50" w:after="156" w:afterLines="50" w:line="240" w:lineRule="auto"/>
              <w:ind w:firstLine="43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kern w:val="0"/>
                <w:szCs w:val="21"/>
                <w:highlight w:val="none"/>
                <w:lang w:bidi="ar"/>
              </w:rPr>
              <w:t>符合国家最新质量标准及食品安全标准。</w:t>
            </w:r>
          </w:p>
        </w:tc>
      </w:tr>
    </w:tbl>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1、日常食材的配送</w:t>
      </w:r>
      <w:r>
        <w:rPr>
          <w:rFonts w:hint="eastAsia" w:ascii="宋体" w:hAnsi="宋体" w:cs="宋体"/>
          <w:color w:val="auto"/>
          <w:kern w:val="0"/>
          <w:sz w:val="24"/>
          <w:highlight w:val="none"/>
          <w:lang w:val="en-US" w:eastAsia="zh-CN" w:bidi="ar"/>
        </w:rPr>
        <w:t>具体</w:t>
      </w:r>
      <w:r>
        <w:rPr>
          <w:rFonts w:hint="eastAsia" w:ascii="宋体" w:hAnsi="宋体" w:eastAsia="宋体" w:cs="宋体"/>
          <w:color w:val="auto"/>
          <w:kern w:val="0"/>
          <w:sz w:val="24"/>
          <w:highlight w:val="none"/>
          <w:lang w:bidi="ar"/>
        </w:rPr>
        <w:t>品种和数量按照采购人要求执行</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所有</w:t>
      </w:r>
      <w:r>
        <w:rPr>
          <w:rFonts w:hint="eastAsia" w:ascii="宋体" w:hAnsi="宋体" w:cs="宋体"/>
          <w:color w:val="auto"/>
          <w:kern w:val="0"/>
          <w:sz w:val="24"/>
          <w:highlight w:val="none"/>
          <w:lang w:eastAsia="zh-CN" w:bidi="ar"/>
        </w:rPr>
        <w:t>食材均</w:t>
      </w:r>
      <w:r>
        <w:rPr>
          <w:rFonts w:hint="eastAsia" w:ascii="宋体" w:hAnsi="宋体" w:cs="宋体"/>
          <w:color w:val="auto"/>
          <w:kern w:val="0"/>
          <w:sz w:val="24"/>
          <w:highlight w:val="none"/>
          <w:lang w:val="en-US" w:eastAsia="zh-CN" w:bidi="ar"/>
        </w:rPr>
        <w:t>须</w:t>
      </w:r>
      <w:r>
        <w:rPr>
          <w:rFonts w:hint="eastAsia" w:ascii="宋体" w:hAnsi="宋体" w:cs="宋体"/>
          <w:color w:val="auto"/>
          <w:kern w:val="0"/>
          <w:sz w:val="24"/>
          <w:highlight w:val="none"/>
          <w:lang w:eastAsia="zh-CN" w:bidi="ar"/>
        </w:rPr>
        <w:t>符合国家最新质量标准及食品安全标准</w:t>
      </w:r>
      <w:r>
        <w:rPr>
          <w:rFonts w:hint="eastAsia" w:ascii="宋体" w:hAnsi="宋体" w:eastAsia="宋体" w:cs="宋体"/>
          <w:color w:val="auto"/>
          <w:kern w:val="0"/>
          <w:sz w:val="24"/>
          <w:highlight w:val="none"/>
          <w:lang w:bidi="ar"/>
        </w:rPr>
        <w:t>。</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2、存在保质期的预包装类食材在交货时，剩余质保期必须超过保质期一半的时间，不能直接反映保质期的食材须保证食材新鲜无变质。否则，采购人有权拒收。</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3、所投食材均须符合国家相关标准和强制性规定要求，为质量合格产品。所列产品标准如国家有调整的，应以调整后的最新标准为准。应保证所有产品通过正规渠道获取。</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4、产品生产（包括原料采购、加工、运输、贮存等）应满足《食品安全国家标准食品生产通用卫生规范》及相应产品的特殊相关要求。</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5、如产品涉及预包装，包装</w:t>
      </w:r>
      <w:r>
        <w:rPr>
          <w:rFonts w:hint="eastAsia" w:ascii="宋体" w:hAnsi="宋体" w:cs="宋体"/>
          <w:color w:val="auto"/>
          <w:kern w:val="0"/>
          <w:sz w:val="24"/>
          <w:highlight w:val="none"/>
          <w:lang w:val="en-US" w:eastAsia="zh-CN" w:bidi="ar"/>
        </w:rPr>
        <w:t>及标注</w:t>
      </w:r>
      <w:r>
        <w:rPr>
          <w:rFonts w:hint="eastAsia" w:ascii="宋体" w:hAnsi="宋体" w:eastAsia="宋体" w:cs="宋体"/>
          <w:color w:val="auto"/>
          <w:kern w:val="0"/>
          <w:sz w:val="24"/>
          <w:highlight w:val="none"/>
          <w:lang w:bidi="ar"/>
        </w:rPr>
        <w:t>均应符合国家</w:t>
      </w:r>
      <w:r>
        <w:rPr>
          <w:rFonts w:hint="eastAsia" w:ascii="宋体" w:hAnsi="宋体" w:cs="宋体"/>
          <w:color w:val="auto"/>
          <w:kern w:val="0"/>
          <w:sz w:val="24"/>
          <w:highlight w:val="none"/>
          <w:lang w:val="en-US" w:eastAsia="zh-CN" w:bidi="ar"/>
        </w:rPr>
        <w:t>最新</w:t>
      </w:r>
      <w:r>
        <w:rPr>
          <w:rFonts w:hint="eastAsia" w:ascii="宋体" w:hAnsi="宋体" w:eastAsia="宋体" w:cs="宋体"/>
          <w:color w:val="auto"/>
          <w:kern w:val="0"/>
          <w:sz w:val="24"/>
          <w:highlight w:val="none"/>
          <w:lang w:bidi="ar"/>
        </w:rPr>
        <w:t>食品包装</w:t>
      </w:r>
      <w:r>
        <w:rPr>
          <w:rFonts w:hint="eastAsia" w:ascii="宋体" w:hAnsi="宋体" w:cs="宋体"/>
          <w:color w:val="auto"/>
          <w:kern w:val="0"/>
          <w:sz w:val="24"/>
          <w:highlight w:val="none"/>
          <w:lang w:val="en-US" w:eastAsia="zh-CN" w:bidi="ar"/>
        </w:rPr>
        <w:t>及标注</w:t>
      </w:r>
      <w:r>
        <w:rPr>
          <w:rFonts w:hint="eastAsia" w:ascii="宋体" w:hAnsi="宋体" w:eastAsia="宋体" w:cs="宋体"/>
          <w:color w:val="auto"/>
          <w:kern w:val="0"/>
          <w:sz w:val="24"/>
          <w:highlight w:val="none"/>
          <w:lang w:bidi="ar"/>
        </w:rPr>
        <w:t>的要求。要求包装完整、无渗漏、无破损。</w:t>
      </w:r>
    </w:p>
    <w:p>
      <w:pPr>
        <w:widowControl/>
        <w:spacing w:line="360" w:lineRule="auto"/>
        <w:jc w:val="left"/>
        <w:rPr>
          <w:rFonts w:hint="eastAsia" w:ascii="宋体" w:hAnsi="宋体" w:eastAsia="宋体" w:cs="宋体"/>
          <w:b/>
          <w:color w:val="auto"/>
          <w:kern w:val="0"/>
          <w:sz w:val="28"/>
          <w:szCs w:val="28"/>
          <w:highlight w:val="none"/>
          <w:lang w:bidi="ar"/>
        </w:rPr>
      </w:pPr>
    </w:p>
    <w:p>
      <w:pPr>
        <w:widowControl/>
        <w:spacing w:line="360" w:lineRule="auto"/>
        <w:jc w:val="lef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二、配送服务要求</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★1、采购人于需配送前3日内告知供应商具体配送清单，供应商收到通知后按采购人时间要求将所需食材送达采购人指定地点。</w:t>
      </w:r>
    </w:p>
    <w:p>
      <w:pPr>
        <w:widowControl/>
        <w:spacing w:line="360" w:lineRule="auto"/>
        <w:ind w:firstLine="49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▲2、需配备运送食品及原材料的专用车辆、确定专人联络且该联络人不得经常变更，</w:t>
      </w:r>
      <w:r>
        <w:rPr>
          <w:rFonts w:hint="eastAsia" w:ascii="宋体" w:hAnsi="宋体" w:eastAsia="宋体" w:cs="宋体"/>
          <w:color w:val="auto"/>
          <w:sz w:val="24"/>
          <w:highlight w:val="none"/>
        </w:rPr>
        <w:t>运输过程中驾驶员及配送人员应着企业统一的工作服。</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▲3、供应商配备的仓储周边交通便利。</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▲4、应急配送应在30分钟内予以响应，2个小时以内送达。</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▲5、采用信息化手段采集、留存生产经营信息，建立供应商内部食品安全追溯体系。</w:t>
      </w:r>
    </w:p>
    <w:p>
      <w:pPr>
        <w:widowControl/>
        <w:spacing w:line="360" w:lineRule="auto"/>
        <w:ind w:firstLine="49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★6、配送时供应商自身保留样品和检验报告的同时须向采购人提供当批次质量检验合格证等证明。接到采购人反映质量等问题的通知，必须立即做出响应，及时到达现场进行处理。</w:t>
      </w:r>
    </w:p>
    <w:p>
      <w:pPr>
        <w:widowControl/>
        <w:spacing w:line="360" w:lineRule="auto"/>
        <w:ind w:firstLine="490" w:firstLineChars="200"/>
        <w:jc w:val="lef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7、供应商配送猪肉类时应向采购人方提供生产厂家的《生猪定点屠宰证》复印件、《动物防疫条件合格证》复印件，配送生鲜畜肉（牛肉、羊肉等）类时应向采购人提供当日《动物检疫合格证明》或《出县境动物产品检疫合格证明》，配送生鲜禽肉类时应</w:t>
      </w:r>
      <w:r>
        <w:rPr>
          <w:rFonts w:hint="eastAsia" w:ascii="宋体" w:hAnsi="宋体" w:cs="宋体"/>
          <w:color w:val="auto"/>
          <w:kern w:val="0"/>
          <w:sz w:val="24"/>
          <w:highlight w:val="none"/>
          <w:lang w:val="en-US" w:eastAsia="zh-CN" w:bidi="ar"/>
        </w:rPr>
        <w:t>向采购人</w:t>
      </w:r>
      <w:r>
        <w:rPr>
          <w:rFonts w:hint="eastAsia" w:ascii="宋体" w:hAnsi="宋体" w:eastAsia="宋体" w:cs="宋体"/>
          <w:color w:val="auto"/>
          <w:kern w:val="0"/>
          <w:sz w:val="24"/>
          <w:highlight w:val="none"/>
          <w:lang w:val="en-US" w:eastAsia="zh-CN" w:bidi="ar"/>
        </w:rPr>
        <w:t>提供当日的《动物产品检疫合格证明》或《出县境动物产品检疫合格证明》，</w:t>
      </w:r>
      <w:r>
        <w:rPr>
          <w:rFonts w:hint="eastAsia" w:ascii="宋体" w:hAnsi="宋体" w:cs="宋体"/>
          <w:color w:val="auto"/>
          <w:kern w:val="0"/>
          <w:sz w:val="24"/>
          <w:highlight w:val="none"/>
          <w:lang w:val="en-US" w:eastAsia="zh-CN" w:bidi="ar"/>
        </w:rPr>
        <w:t>配送</w:t>
      </w:r>
      <w:r>
        <w:rPr>
          <w:rFonts w:hint="eastAsia" w:ascii="宋体" w:hAnsi="宋体" w:eastAsia="宋体" w:cs="宋体"/>
          <w:color w:val="auto"/>
          <w:kern w:val="0"/>
          <w:sz w:val="24"/>
          <w:highlight w:val="none"/>
          <w:lang w:val="en-US" w:eastAsia="zh-CN" w:bidi="ar"/>
        </w:rPr>
        <w:t>外地生鲜禽肉应</w:t>
      </w:r>
      <w:r>
        <w:rPr>
          <w:rFonts w:hint="eastAsia" w:ascii="宋体" w:hAnsi="宋体" w:cs="宋体"/>
          <w:color w:val="auto"/>
          <w:kern w:val="0"/>
          <w:sz w:val="24"/>
          <w:highlight w:val="none"/>
          <w:lang w:val="en-US" w:eastAsia="zh-CN" w:bidi="ar"/>
        </w:rPr>
        <w:t>提供</w:t>
      </w:r>
      <w:r>
        <w:rPr>
          <w:rFonts w:hint="eastAsia" w:ascii="宋体" w:hAnsi="宋体" w:eastAsia="宋体" w:cs="宋体"/>
          <w:color w:val="auto"/>
          <w:kern w:val="0"/>
          <w:sz w:val="24"/>
          <w:highlight w:val="none"/>
          <w:lang w:val="en-US" w:eastAsia="zh-CN" w:bidi="ar"/>
        </w:rPr>
        <w:t>其所在地农业部门的检疫合格证明或检疫验讫标识</w:t>
      </w:r>
      <w:r>
        <w:rPr>
          <w:rFonts w:hint="eastAsia" w:ascii="宋体" w:hAnsi="宋体" w:cs="宋体"/>
          <w:color w:val="auto"/>
          <w:kern w:val="0"/>
          <w:sz w:val="24"/>
          <w:highlight w:val="none"/>
          <w:lang w:val="en-US" w:eastAsia="zh-CN" w:bidi="ar"/>
        </w:rPr>
        <w:t>。</w:t>
      </w:r>
    </w:p>
    <w:p>
      <w:pPr>
        <w:pStyle w:val="2"/>
        <w:spacing w:line="360" w:lineRule="auto"/>
        <w:rPr>
          <w:rFonts w:hint="eastAsia" w:ascii="宋体" w:hAnsi="宋体" w:eastAsia="宋体" w:cs="宋体"/>
          <w:b/>
          <w:color w:val="auto"/>
          <w:sz w:val="28"/>
          <w:szCs w:val="28"/>
          <w:highlight w:val="none"/>
          <w:lang w:bidi="ar"/>
        </w:rPr>
      </w:pPr>
    </w:p>
    <w:p>
      <w:pPr>
        <w:pStyle w:val="2"/>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★三、配送车辆及人员基本要求</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1、供应商针对本项目配备一辆固定配送车辆，车辆为厢式货车或其他封闭式车辆。</w:t>
      </w:r>
      <w:r>
        <w:rPr>
          <w:rFonts w:hint="eastAsia" w:ascii="宋体" w:hAnsi="宋体" w:eastAsia="宋体" w:cs="宋体"/>
          <w:b/>
          <w:bCs/>
          <w:color w:val="auto"/>
          <w:highlight w:val="none"/>
          <w:lang w:bidi="ar"/>
        </w:rPr>
        <w:t>（自有车辆仅提供行驶证复印件和车辆照片，</w:t>
      </w:r>
      <w:r>
        <w:rPr>
          <w:rFonts w:hint="eastAsia" w:ascii="宋体" w:hAnsi="宋体" w:eastAsia="宋体" w:cs="宋体"/>
          <w:b/>
          <w:bCs/>
          <w:color w:val="auto"/>
          <w:highlight w:val="none"/>
          <w:lang w:val="en-US" w:eastAsia="zh-CN" w:bidi="ar"/>
        </w:rPr>
        <w:t>租赁</w:t>
      </w:r>
      <w:r>
        <w:rPr>
          <w:rFonts w:hint="eastAsia" w:ascii="宋体" w:hAnsi="宋体" w:eastAsia="宋体" w:cs="宋体"/>
          <w:b/>
          <w:bCs/>
          <w:color w:val="auto"/>
          <w:highlight w:val="none"/>
          <w:lang w:bidi="ar"/>
        </w:rPr>
        <w:t>车辆提供行驶证复印件、车辆照片和车辆租赁协议复印件。本项证明材料在其他响应文件中提供）</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配送车辆不得有污染事故的发生。定期对车辆进行清洁、消毒，做好消毒记录，并采用专人管理。运输食材时应避免日晒、雨淋。禁止与有毒、有害、有异味的物品混装运输。配送车辆应符合相关卫生要求，做到每日清洗、消毒并做好消毒记录，并采用双人双锁管理。如涉及配送需冷藏食品时，车辆配备温度控制设备。</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3、针对项目配备专门的配送人员团队。项目配备人员无犯罪、吸毒史，且定期体检、身体健康。</w:t>
      </w:r>
    </w:p>
    <w:p>
      <w:pPr>
        <w:pStyle w:val="2"/>
        <w:spacing w:line="360" w:lineRule="auto"/>
        <w:rPr>
          <w:rFonts w:hint="eastAsia" w:ascii="宋体" w:hAnsi="宋体" w:eastAsia="宋体" w:cs="宋体"/>
          <w:color w:val="auto"/>
          <w:highlight w:val="none"/>
          <w:lang w:bidi="ar"/>
        </w:rPr>
      </w:pPr>
    </w:p>
    <w:p>
      <w:pPr>
        <w:pStyle w:val="2"/>
        <w:spacing w:line="360" w:lineRule="auto"/>
        <w:rPr>
          <w:rFonts w:hint="default" w:ascii="宋体" w:hAnsi="宋体" w:eastAsia="宋体" w:cs="宋体"/>
          <w:b/>
          <w:color w:val="auto"/>
          <w:sz w:val="28"/>
          <w:szCs w:val="28"/>
          <w:highlight w:val="none"/>
          <w:lang w:val="en-US" w:eastAsia="zh-CN" w:bidi="ar"/>
        </w:rPr>
      </w:pPr>
      <w:r>
        <w:rPr>
          <w:rFonts w:hint="eastAsia" w:ascii="宋体" w:hAnsi="宋体" w:eastAsia="宋体" w:cs="宋体"/>
          <w:b/>
          <w:color w:val="auto"/>
          <w:sz w:val="28"/>
          <w:szCs w:val="28"/>
          <w:highlight w:val="none"/>
          <w:lang w:bidi="ar"/>
        </w:rPr>
        <w:t>★四、项目</w:t>
      </w:r>
      <w:r>
        <w:rPr>
          <w:rFonts w:hint="eastAsia" w:ascii="宋体" w:hAnsi="宋体" w:eastAsia="宋体" w:cs="宋体"/>
          <w:b/>
          <w:color w:val="auto"/>
          <w:sz w:val="28"/>
          <w:szCs w:val="28"/>
          <w:highlight w:val="none"/>
          <w:lang w:val="en-US" w:eastAsia="zh-CN" w:bidi="ar"/>
        </w:rPr>
        <w:t>安全责任及食材质量检查要求</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1、供应商在配送过程中的安全事故责任由供应商自行承担。因食材质量发生的食品安全事故，由供应商承担全部经济和法律责任，并取消其配送资格。</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2、供应商成交后应</w:t>
      </w:r>
      <w:r>
        <w:rPr>
          <w:rFonts w:hint="eastAsia" w:ascii="宋体" w:hAnsi="宋体" w:eastAsia="宋体" w:cs="宋体"/>
          <w:color w:val="auto"/>
          <w:highlight w:val="none"/>
          <w:lang w:val="en-US" w:eastAsia="zh-CN" w:bidi="ar"/>
        </w:rPr>
        <w:t>及时</w:t>
      </w:r>
      <w:r>
        <w:rPr>
          <w:rFonts w:hint="eastAsia" w:ascii="宋体" w:hAnsi="宋体" w:eastAsia="宋体" w:cs="宋体"/>
          <w:color w:val="auto"/>
          <w:highlight w:val="none"/>
          <w:lang w:bidi="ar"/>
        </w:rPr>
        <w:t>购买</w:t>
      </w:r>
      <w:r>
        <w:rPr>
          <w:rFonts w:hint="eastAsia" w:ascii="宋体" w:hAnsi="宋体" w:eastAsia="宋体" w:cs="宋体"/>
          <w:color w:val="auto"/>
          <w:highlight w:val="none"/>
          <w:lang w:val="en-US" w:eastAsia="zh-CN" w:bidi="ar"/>
        </w:rPr>
        <w:t>针对本项目的</w:t>
      </w:r>
      <w:r>
        <w:rPr>
          <w:rFonts w:hint="eastAsia" w:ascii="宋体" w:hAnsi="宋体" w:eastAsia="宋体" w:cs="宋体"/>
          <w:color w:val="auto"/>
          <w:highlight w:val="none"/>
          <w:lang w:bidi="ar"/>
        </w:rPr>
        <w:t>食品安全责任险</w:t>
      </w:r>
      <w:r>
        <w:rPr>
          <w:rFonts w:hint="eastAsia" w:ascii="宋体" w:hAnsi="宋体" w:eastAsia="宋体" w:cs="宋体"/>
          <w:color w:val="auto"/>
          <w:highlight w:val="none"/>
          <w:lang w:val="en-US" w:eastAsia="zh-CN" w:bidi="ar"/>
        </w:rPr>
        <w:t>并交采购人检查</w:t>
      </w:r>
      <w:r>
        <w:rPr>
          <w:rFonts w:hint="eastAsia" w:ascii="宋体" w:hAnsi="宋体" w:eastAsia="宋体" w:cs="宋体"/>
          <w:color w:val="auto"/>
          <w:highlight w:val="none"/>
          <w:lang w:bidi="ar"/>
        </w:rPr>
        <w:t>。</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3、如遇定期或不定期的相关职能部门抽样检验，供应商应提供</w:t>
      </w:r>
      <w:r>
        <w:rPr>
          <w:rFonts w:hint="eastAsia" w:ascii="宋体" w:hAnsi="宋体" w:eastAsia="宋体" w:cs="宋体"/>
          <w:color w:val="auto"/>
          <w:highlight w:val="none"/>
          <w:lang w:val="en-US" w:eastAsia="zh-CN" w:bidi="ar"/>
        </w:rPr>
        <w:t>符合要求的质量检测报告等</w:t>
      </w:r>
      <w:r>
        <w:rPr>
          <w:rFonts w:hint="eastAsia" w:ascii="宋体" w:hAnsi="宋体" w:eastAsia="宋体" w:cs="宋体"/>
          <w:color w:val="auto"/>
          <w:highlight w:val="none"/>
          <w:lang w:bidi="ar"/>
        </w:rPr>
        <w:t>材料。</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4、采购人如对配送的食材质量存在异议，有权将可能存在质量问题的食材提交相关专业检测单位进行抽样检测，检测费用由责任方支付。</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5、采购人每季度视情况可组织相关人员对供应商进行1次食材配送服务、质量等公开、公平、公正的评议，未按约定履行且满意度较差的采购人有权终止合同。</w:t>
      </w: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cs="宋体"/>
          <w:b/>
          <w:color w:val="auto"/>
          <w:kern w:val="0"/>
          <w:sz w:val="28"/>
          <w:szCs w:val="28"/>
          <w:highlight w:val="none"/>
          <w:lang w:val="en-US" w:eastAsia="zh-CN" w:bidi="ar"/>
        </w:rPr>
      </w:pPr>
      <w:r>
        <w:rPr>
          <w:rFonts w:hint="eastAsia" w:ascii="宋体" w:hAnsi="宋体" w:cs="宋体"/>
          <w:b/>
          <w:color w:val="auto"/>
          <w:kern w:val="0"/>
          <w:sz w:val="28"/>
          <w:szCs w:val="28"/>
          <w:highlight w:val="none"/>
          <w:lang w:val="en-US" w:eastAsia="zh-CN" w:bidi="ar"/>
        </w:rPr>
        <w:t>五、项目实施方案要求</w:t>
      </w:r>
    </w:p>
    <w:p>
      <w:pPr>
        <w:pStyle w:val="2"/>
        <w:spacing w:line="360" w:lineRule="auto"/>
        <w:ind w:firstLine="490" w:firstLineChars="200"/>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项目实施方案包括：送货方案、食品安全卫生保障措施、项目管理制度、应急预案，供应商在其他响应文件中提供如下内容：</w:t>
      </w:r>
    </w:p>
    <w:p>
      <w:pPr>
        <w:pStyle w:val="2"/>
        <w:spacing w:line="360" w:lineRule="auto"/>
        <w:ind w:firstLine="49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1、提出的送货方案内容包括完整的配送服务组织机构，具有针对性的项目配送流程，合理的运输安全保障措施，完善的瑕疵产品退换货措施。</w:t>
      </w:r>
    </w:p>
    <w:p>
      <w:pPr>
        <w:pStyle w:val="2"/>
        <w:spacing w:line="360" w:lineRule="auto"/>
        <w:ind w:firstLine="490" w:firstLineChars="200"/>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2、提出的食品安全卫生保障措施内容包括具体的食品卫生及安全自查措施，合理的食品留样管理措施，具体的产品溯源方法及措施，完善的不合格食材销毁措施。</w:t>
      </w:r>
    </w:p>
    <w:p>
      <w:pPr>
        <w:pStyle w:val="2"/>
        <w:spacing w:line="360" w:lineRule="auto"/>
        <w:ind w:firstLine="49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3、提出的项目管理制度内容包括完整且具有针对性的食品采购管理制度，合理的食品库存管理制度，完善的配送车辆使用及管理制度，合理的项目人员管理制度，具有针对性的售后服务管理制度。</w:t>
      </w:r>
    </w:p>
    <w:p>
      <w:pPr>
        <w:pStyle w:val="2"/>
        <w:spacing w:line="360" w:lineRule="auto"/>
        <w:ind w:firstLine="490" w:firstLineChars="200"/>
        <w:rPr>
          <w:rFonts w:hint="default"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4、提出的应急预案内容包括完善且具有针对性的临时追加送货应急措施，具体的食品安全卫生事故应急措施。</w:t>
      </w:r>
    </w:p>
    <w:p>
      <w:pPr>
        <w:spacing w:line="360" w:lineRule="auto"/>
        <w:rPr>
          <w:rFonts w:hint="eastAsia" w:ascii="宋体" w:hAnsi="宋体" w:eastAsia="宋体" w:cs="宋体"/>
          <w:b/>
          <w:color w:val="auto"/>
          <w:kern w:val="0"/>
          <w:sz w:val="28"/>
          <w:szCs w:val="28"/>
          <w:highlight w:val="none"/>
          <w:lang w:bidi="ar"/>
        </w:rPr>
      </w:pPr>
    </w:p>
    <w:p>
      <w:pPr>
        <w:spacing w:line="360" w:lineRule="auto"/>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w:t>
      </w:r>
      <w:r>
        <w:rPr>
          <w:rFonts w:hint="eastAsia" w:ascii="宋体" w:hAnsi="宋体" w:cs="宋体"/>
          <w:b/>
          <w:color w:val="auto"/>
          <w:kern w:val="0"/>
          <w:sz w:val="28"/>
          <w:szCs w:val="28"/>
          <w:highlight w:val="none"/>
          <w:lang w:val="en-US" w:eastAsia="zh-CN" w:bidi="ar"/>
        </w:rPr>
        <w:t>六</w:t>
      </w:r>
      <w:r>
        <w:rPr>
          <w:rFonts w:hint="eastAsia" w:ascii="宋体" w:hAnsi="宋体" w:eastAsia="宋体" w:cs="宋体"/>
          <w:b/>
          <w:color w:val="auto"/>
          <w:kern w:val="0"/>
          <w:sz w:val="28"/>
          <w:szCs w:val="28"/>
          <w:highlight w:val="none"/>
          <w:lang w:bidi="ar"/>
        </w:rPr>
        <w:t>、商务要求</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1、供货期限：完成合同签订</w:t>
      </w:r>
      <w:r>
        <w:rPr>
          <w:rFonts w:hint="eastAsia" w:ascii="宋体" w:hAnsi="宋体" w:eastAsia="宋体" w:cs="宋体"/>
          <w:color w:val="auto"/>
          <w:highlight w:val="none"/>
          <w:lang w:val="en-US" w:eastAsia="zh-CN" w:bidi="ar"/>
        </w:rPr>
        <w:t>生效</w:t>
      </w:r>
      <w:r>
        <w:rPr>
          <w:rFonts w:hint="eastAsia" w:ascii="宋体" w:hAnsi="宋体" w:eastAsia="宋体" w:cs="宋体"/>
          <w:color w:val="auto"/>
          <w:highlight w:val="none"/>
          <w:lang w:bidi="ar"/>
        </w:rPr>
        <w:t>后一年内采购人所要求的各类食材的配送。</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2、履约地点：</w:t>
      </w:r>
      <w:r>
        <w:rPr>
          <w:rFonts w:hint="eastAsia" w:ascii="宋体" w:hAnsi="宋体" w:eastAsia="宋体" w:cs="宋体"/>
          <w:color w:val="auto"/>
          <w:highlight w:val="none"/>
          <w:lang w:val="en-US" w:eastAsia="zh-CN" w:bidi="ar"/>
        </w:rPr>
        <w:t>新都区范围内采购人</w:t>
      </w:r>
      <w:r>
        <w:rPr>
          <w:rFonts w:hint="eastAsia" w:ascii="宋体" w:hAnsi="宋体" w:eastAsia="宋体" w:cs="宋体"/>
          <w:color w:val="auto"/>
          <w:highlight w:val="none"/>
          <w:lang w:bidi="ar"/>
        </w:rPr>
        <w:t>指定地点。</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3、货款结算方式（各类食材均分别按以下方式结算）：</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（1）当月执行价格=当月市场平均零售价*（1-统一下浮率），当月结算金额=当月执行价格*当月实际供货量。</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（2）市场平均零售价的确定方式：</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由采购人和供应商共同参与市场询价确定，询价方式为一月一次，每次询价的市场点位不少于三个，价格取平均值，不得单方随意更改和提高。询价结果报采购人方管理部门，根据区发改局、区农业局、区市场质量监督管理局的农产品市场零售指导价进行价格监控，发现市场平均零售价高于相关部门提供的市场零售指导价时，重新询价。</w:t>
      </w:r>
    </w:p>
    <w:p>
      <w:pPr>
        <w:pStyle w:val="2"/>
        <w:spacing w:line="360" w:lineRule="auto"/>
        <w:ind w:firstLine="49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4、付款方式及时间：采购人按月支付供应商月结算金额，经采购人确认后，当月中旬支付上个月的货款。</w:t>
      </w:r>
    </w:p>
    <w:p>
      <w:pPr>
        <w:spacing w:line="360" w:lineRule="auto"/>
        <w:ind w:firstLine="49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5、验收：（1）验收办法：成交人与采购人应严格按照</w:t>
      </w:r>
      <w:r>
        <w:rPr>
          <w:rFonts w:hint="eastAsia" w:ascii="宋体" w:hAnsi="宋体" w:cs="宋体"/>
          <w:color w:val="auto"/>
          <w:kern w:val="0"/>
          <w:sz w:val="24"/>
          <w:szCs w:val="24"/>
          <w:highlight w:val="none"/>
          <w:lang w:val="en-US" w:eastAsia="zh-CN" w:bidi="ar"/>
        </w:rPr>
        <w:t>政府采购相关法规规定</w:t>
      </w:r>
      <w:r>
        <w:rPr>
          <w:rFonts w:hint="eastAsia" w:ascii="宋体" w:hAnsi="宋体" w:eastAsia="宋体" w:cs="宋体"/>
          <w:color w:val="auto"/>
          <w:kern w:val="0"/>
          <w:sz w:val="24"/>
          <w:szCs w:val="24"/>
          <w:highlight w:val="none"/>
          <w:lang w:val="en-US" w:eastAsia="zh-CN" w:bidi="ar"/>
        </w:rPr>
        <w:t>要求进行验收；（2）验收标准：招标文件的质量要求和技术指标、供应商的响应文件及合同约定标准进行验收；（3）供应商应按采购人要求配送，且随货提供采购人要求的相关材料。由双方共同验收、签字确认完善交接手续，作为结算依据。未按照采购人要求配送和未按要求提供相应材料的，采购人有权拒收。</w:t>
      </w:r>
    </w:p>
    <w:p>
      <w:pPr>
        <w:rPr>
          <w:rFonts w:hint="eastAsia" w:ascii="宋体" w:hAnsi="宋体" w:eastAsia="宋体" w:cs="宋体"/>
          <w:color w:val="auto"/>
          <w:kern w:val="0"/>
          <w:sz w:val="24"/>
          <w:szCs w:val="24"/>
          <w:highlight w:val="none"/>
          <w:lang w:val="en-US" w:eastAsia="zh-CN" w:bidi="ar"/>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注：★号项为实质性要求，不允许负偏离。</w:t>
      </w:r>
    </w:p>
    <w:p>
      <w:pPr>
        <w:spacing w:line="360" w:lineRule="auto"/>
        <w:rPr>
          <w:rFonts w:ascii="宋体" w:hAnsi="宋体" w:cs="宋体"/>
          <w:b/>
          <w:bCs/>
          <w:color w:val="auto"/>
          <w:sz w:val="24"/>
          <w:highlight w:val="none"/>
        </w:rPr>
      </w:pPr>
    </w:p>
    <w:p>
      <w:pPr>
        <w:pStyle w:val="12"/>
        <w:rPr>
          <w:rFonts w:ascii="宋体" w:hAnsi="宋体" w:eastAsia="宋体" w:cs="宋体"/>
          <w:b/>
          <w:color w:val="auto"/>
          <w:szCs w:val="32"/>
          <w:highlight w:val="none"/>
        </w:rPr>
      </w:pPr>
    </w:p>
    <w:p>
      <w:pPr>
        <w:pStyle w:val="12"/>
        <w:jc w:val="center"/>
        <w:rPr>
          <w:rFonts w:ascii="宋体" w:hAnsi="宋体" w:eastAsia="宋体" w:cs="宋体"/>
          <w:b/>
          <w:color w:val="auto"/>
          <w:szCs w:val="32"/>
          <w:highlight w:val="none"/>
        </w:rPr>
      </w:pPr>
    </w:p>
    <w:p>
      <w:pPr>
        <w:pStyle w:val="3"/>
        <w:keepNext w:val="0"/>
        <w:keepLines w:val="0"/>
        <w:tabs>
          <w:tab w:val="left" w:pos="7665"/>
        </w:tabs>
        <w:spacing w:before="0" w:after="0" w:line="240" w:lineRule="auto"/>
        <w:jc w:val="center"/>
        <w:rPr>
          <w:rFonts w:ascii="宋体" w:hAnsi="宋体" w:cs="宋体"/>
          <w:color w:val="auto"/>
          <w:sz w:val="36"/>
          <w:szCs w:val="36"/>
          <w:highlight w:val="none"/>
        </w:rPr>
      </w:pPr>
      <w:r>
        <w:rPr>
          <w:rFonts w:hint="eastAsia" w:ascii="宋体" w:hAnsi="宋体" w:cs="宋体"/>
          <w:b w:val="0"/>
          <w:bCs w:val="0"/>
          <w:color w:val="auto"/>
          <w:sz w:val="32"/>
          <w:szCs w:val="32"/>
          <w:highlight w:val="none"/>
        </w:rPr>
        <w:br w:type="page"/>
      </w:r>
      <w:bookmarkStart w:id="75" w:name="_Toc41920663"/>
      <w:r>
        <w:rPr>
          <w:rFonts w:hint="eastAsia" w:ascii="宋体" w:hAnsi="宋体" w:cs="宋体"/>
          <w:color w:val="auto"/>
          <w:sz w:val="36"/>
          <w:szCs w:val="36"/>
          <w:highlight w:val="none"/>
        </w:rPr>
        <w:t>第六章  响应文件格式</w:t>
      </w:r>
      <w:bookmarkEnd w:id="75"/>
    </w:p>
    <w:p>
      <w:pPr>
        <w:pStyle w:val="55"/>
        <w:spacing w:line="360" w:lineRule="auto"/>
        <w:ind w:firstLine="490"/>
        <w:rPr>
          <w:rFonts w:ascii="宋体" w:hAnsi="宋体"/>
          <w:color w:val="auto"/>
          <w:highlight w:val="none"/>
        </w:rPr>
      </w:pPr>
    </w:p>
    <w:p>
      <w:pPr>
        <w:pStyle w:val="55"/>
        <w:tabs>
          <w:tab w:val="left" w:pos="426"/>
        </w:tabs>
        <w:spacing w:line="360" w:lineRule="auto"/>
        <w:ind w:firstLine="490"/>
        <w:rPr>
          <w:rFonts w:ascii="宋体" w:hAnsi="宋体"/>
          <w:color w:val="auto"/>
          <w:highlight w:val="none"/>
        </w:rPr>
      </w:pPr>
      <w:r>
        <w:rPr>
          <w:rFonts w:hint="eastAsia" w:ascii="宋体" w:hAnsi="宋体"/>
          <w:color w:val="auto"/>
          <w:highlight w:val="none"/>
        </w:rPr>
        <w:t>一、</w:t>
      </w:r>
      <w:r>
        <w:rPr>
          <w:rFonts w:hint="eastAsia" w:ascii="宋体" w:hAnsi="宋体" w:eastAsia="宋体" w:cs="宋体"/>
          <w:color w:val="auto"/>
          <w:sz w:val="24"/>
          <w:highlight w:val="none"/>
        </w:rPr>
        <w:t>本章所制</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文件格式的内容事项如</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根据实际情况需要进行增加描述的，</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可在不改变原有内容含义的基础上自行进行内容增加（</w:t>
      </w: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rPr>
        <w:t>格式中相关注释表明可自行拟定或未提供不影响</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文件有效性的格式，可由</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自行视情况提供</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不具有强制性</w:t>
      </w:r>
      <w:r>
        <w:rPr>
          <w:rFonts w:hint="eastAsia" w:ascii="宋体" w:hAnsi="宋体" w:eastAsia="宋体" w:cs="宋体"/>
          <w:color w:val="auto"/>
          <w:sz w:val="24"/>
          <w:highlight w:val="none"/>
        </w:rPr>
        <w:t>）。</w:t>
      </w:r>
    </w:p>
    <w:p>
      <w:pPr>
        <w:pStyle w:val="55"/>
        <w:tabs>
          <w:tab w:val="left" w:pos="426"/>
        </w:tabs>
        <w:spacing w:line="360" w:lineRule="auto"/>
        <w:ind w:firstLine="490"/>
        <w:rPr>
          <w:rFonts w:ascii="宋体" w:hAnsi="宋体"/>
          <w:color w:val="auto"/>
          <w:highlight w:val="none"/>
        </w:rPr>
      </w:pPr>
      <w:r>
        <w:rPr>
          <w:rFonts w:hint="eastAsia" w:ascii="宋体" w:hAnsi="宋体"/>
          <w:color w:val="auto"/>
          <w:highlight w:val="none"/>
        </w:rPr>
        <w:t>二、本章所制响应文件格式有关表格中的备注栏，由供应商根据自身响应情况作解释性说明，不作为必填项。</w:t>
      </w:r>
    </w:p>
    <w:p>
      <w:pPr>
        <w:pStyle w:val="55"/>
        <w:tabs>
          <w:tab w:val="left" w:pos="426"/>
        </w:tabs>
        <w:spacing w:line="360" w:lineRule="auto"/>
        <w:ind w:firstLine="490"/>
        <w:rPr>
          <w:rFonts w:hint="eastAsia" w:ascii="宋体" w:hAnsi="宋体"/>
          <w:color w:val="auto"/>
          <w:highlight w:val="none"/>
          <w:lang w:eastAsia="zh-CN"/>
        </w:rPr>
      </w:pPr>
      <w:r>
        <w:rPr>
          <w:rFonts w:hint="eastAsia" w:ascii="宋体" w:hAnsi="宋体"/>
          <w:color w:val="auto"/>
          <w:highlight w:val="none"/>
        </w:rPr>
        <w:t>三、本章所制响应文件格式中需要填写的相关内容事项，可能会与本采购项目无关，在不改变响应文件原义、不影响本项目采购需求的情况下，供应商可以不予填写，但应当注明</w:t>
      </w:r>
      <w:r>
        <w:rPr>
          <w:rFonts w:hint="eastAsia" w:ascii="宋体" w:hAnsi="宋体"/>
          <w:color w:val="auto"/>
          <w:highlight w:val="none"/>
          <w:lang w:eastAsia="zh-CN"/>
        </w:rPr>
        <w:t>，</w:t>
      </w:r>
      <w:r>
        <w:rPr>
          <w:rFonts w:hint="eastAsia" w:ascii="宋体" w:hAnsi="宋体"/>
          <w:color w:val="auto"/>
          <w:highlight w:val="none"/>
        </w:rPr>
        <w:t>如填写“/”。</w:t>
      </w:r>
    </w:p>
    <w:p>
      <w:pPr>
        <w:pStyle w:val="55"/>
        <w:tabs>
          <w:tab w:val="left" w:pos="426"/>
        </w:tabs>
        <w:spacing w:line="360" w:lineRule="auto"/>
        <w:ind w:firstLine="490"/>
        <w:rPr>
          <w:rFonts w:ascii="宋体" w:hAnsi="宋体" w:cs="宋体"/>
          <w:b/>
          <w:color w:val="auto"/>
          <w:szCs w:val="21"/>
          <w:highlight w:val="none"/>
        </w:rPr>
      </w:pPr>
      <w:r>
        <w:rPr>
          <w:rFonts w:hint="eastAsia" w:ascii="宋体" w:hAnsi="宋体"/>
          <w:color w:val="auto"/>
          <w:highlight w:val="none"/>
          <w:lang w:val="en-US" w:eastAsia="zh-CN"/>
        </w:rPr>
        <w:t>四、格式涉及“法定代表人”相关描述，供应商为法人单位时按照“法定代表人”进行描述，供应商为其他组织时可自行修改为“单位负责人”，如未作修改也视为有效。</w:t>
      </w:r>
    </w:p>
    <w:p>
      <w:pPr>
        <w:spacing w:line="360" w:lineRule="auto"/>
        <w:jc w:val="center"/>
        <w:outlineLvl w:val="1"/>
        <w:rPr>
          <w:rFonts w:ascii="宋体" w:hAnsi="宋体" w:cs="宋体"/>
          <w:b/>
          <w:color w:val="auto"/>
          <w:sz w:val="32"/>
          <w:highlight w:val="none"/>
        </w:rPr>
      </w:pPr>
      <w:r>
        <w:rPr>
          <w:rFonts w:hint="eastAsia" w:ascii="宋体" w:hAnsi="宋体" w:cs="宋体"/>
          <w:b/>
          <w:color w:val="auto"/>
          <w:highlight w:val="none"/>
        </w:rPr>
        <w:br w:type="page"/>
      </w:r>
      <w:bookmarkStart w:id="76" w:name="_Toc21620"/>
      <w:bookmarkStart w:id="77" w:name="_Toc448558695"/>
      <w:r>
        <w:rPr>
          <w:rFonts w:hint="eastAsia" w:ascii="宋体" w:hAnsi="宋体" w:cs="宋体"/>
          <w:b/>
          <w:color w:val="auto"/>
          <w:sz w:val="32"/>
          <w:highlight w:val="none"/>
        </w:rPr>
        <w:t>一、资格性响应文件格式</w:t>
      </w:r>
      <w:bookmarkEnd w:id="76"/>
      <w:bookmarkEnd w:id="77"/>
    </w:p>
    <w:p>
      <w:pPr>
        <w:jc w:val="center"/>
        <w:rPr>
          <w:rFonts w:ascii="宋体" w:hAnsi="宋体" w:cs="宋体"/>
          <w:b/>
          <w:color w:val="auto"/>
          <w:sz w:val="32"/>
          <w:szCs w:val="32"/>
          <w:highlight w:val="none"/>
        </w:rPr>
      </w:pPr>
    </w:p>
    <w:p>
      <w:pPr>
        <w:pStyle w:val="6"/>
        <w:spacing w:line="240" w:lineRule="auto"/>
        <w:rPr>
          <w:rFonts w:ascii="宋体" w:hAnsi="宋体" w:cs="宋体"/>
          <w:color w:val="auto"/>
          <w:sz w:val="28"/>
          <w:highlight w:val="none"/>
          <w:lang w:val="zh-CN"/>
        </w:rPr>
      </w:pPr>
      <w:r>
        <w:rPr>
          <w:rFonts w:hint="eastAsia" w:ascii="宋体" w:hAnsi="宋体" w:cs="宋体"/>
          <w:color w:val="auto"/>
          <w:sz w:val="28"/>
          <w:highlight w:val="none"/>
          <w:lang w:val="zh-CN"/>
        </w:rPr>
        <w:t>1、资格性响应文件密封包装最外层格式</w:t>
      </w:r>
    </w:p>
    <w:tbl>
      <w:tblPr>
        <w:tblStyle w:val="23"/>
        <w:tblW w:w="0" w:type="auto"/>
        <w:tblInd w:w="0" w:type="dxa"/>
        <w:tblLayout w:type="fixed"/>
        <w:tblCellMar>
          <w:top w:w="0" w:type="dxa"/>
          <w:left w:w="108" w:type="dxa"/>
          <w:bottom w:w="0" w:type="dxa"/>
          <w:right w:w="108" w:type="dxa"/>
        </w:tblCellMar>
      </w:tblPr>
      <w:tblGrid>
        <w:gridCol w:w="9747"/>
      </w:tblGrid>
      <w:tr>
        <w:tblPrEx>
          <w:tblCellMar>
            <w:top w:w="0" w:type="dxa"/>
            <w:left w:w="108" w:type="dxa"/>
            <w:bottom w:w="0" w:type="dxa"/>
            <w:right w:w="108" w:type="dxa"/>
          </w:tblCellMar>
        </w:tblPrEx>
        <w:trPr>
          <w:trHeight w:val="3474" w:hRule="atLeast"/>
        </w:trPr>
        <w:tc>
          <w:tcPr>
            <w:tcW w:w="9747" w:type="dxa"/>
            <w:tcBorders>
              <w:top w:val="double" w:color="auto" w:sz="4" w:space="0"/>
              <w:left w:val="double" w:color="auto" w:sz="4" w:space="0"/>
              <w:bottom w:val="double" w:color="auto" w:sz="4" w:space="0"/>
              <w:right w:val="double" w:color="auto" w:sz="4" w:space="0"/>
            </w:tcBorders>
          </w:tcPr>
          <w:p>
            <w:pPr>
              <w:spacing w:line="360" w:lineRule="auto"/>
              <w:rPr>
                <w:rFonts w:hint="eastAsia" w:ascii="宋体" w:hAnsi="宋体" w:eastAsia="宋体" w:cs="宋体"/>
                <w:color w:val="auto"/>
                <w:sz w:val="24"/>
                <w:szCs w:val="32"/>
                <w:highlight w:val="none"/>
                <w:lang w:val="zh-CN" w:eastAsia="zh-CN"/>
              </w:rPr>
            </w:pPr>
            <w:r>
              <w:rPr>
                <w:rFonts w:hint="eastAsia" w:ascii="宋体" w:hAnsi="宋体" w:cs="宋体"/>
                <w:color w:val="auto"/>
                <w:sz w:val="24"/>
                <w:szCs w:val="32"/>
                <w:highlight w:val="none"/>
                <w:lang w:val="zh-CN"/>
              </w:rPr>
              <w:t>项目名称：</w:t>
            </w:r>
            <w:r>
              <w:rPr>
                <w:rFonts w:hint="eastAsia" w:ascii="宋体" w:hAnsi="宋体" w:cs="宋体"/>
                <w:color w:val="auto"/>
                <w:sz w:val="24"/>
                <w:szCs w:val="32"/>
                <w:highlight w:val="none"/>
                <w:lang w:eastAsia="zh-CN"/>
              </w:rPr>
              <w:t>成都市新都区三河中心敬老院日常食材采购项目</w:t>
            </w:r>
          </w:p>
          <w:p>
            <w:pPr>
              <w:spacing w:line="360" w:lineRule="auto"/>
              <w:rPr>
                <w:rFonts w:hint="eastAsia" w:ascii="宋体" w:hAnsi="宋体" w:eastAsia="宋体" w:cs="宋体"/>
                <w:color w:val="auto"/>
                <w:sz w:val="24"/>
                <w:szCs w:val="32"/>
                <w:highlight w:val="none"/>
                <w:lang w:val="zh-CN" w:eastAsia="zh-CN"/>
              </w:rPr>
            </w:pPr>
            <w:r>
              <w:rPr>
                <w:rFonts w:hint="eastAsia" w:ascii="宋体" w:hAnsi="宋体" w:cs="宋体"/>
                <w:color w:val="auto"/>
                <w:sz w:val="24"/>
                <w:szCs w:val="32"/>
                <w:highlight w:val="none"/>
                <w:lang w:val="zh-CN"/>
              </w:rPr>
              <w:t>项目编号：</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eastAsia="zh-CN"/>
              </w:rPr>
              <w:t>510114202100024</w:t>
            </w:r>
          </w:p>
          <w:p>
            <w:pP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   </w:t>
            </w:r>
          </w:p>
          <w:p>
            <w:pPr>
              <w:autoSpaceDE w:val="0"/>
              <w:autoSpaceDN w:val="0"/>
              <w:adjustRightInd w:val="0"/>
              <w:spacing w:line="360" w:lineRule="auto"/>
              <w:jc w:val="center"/>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资格性响应文件</w:t>
            </w:r>
          </w:p>
          <w:p>
            <w:pPr>
              <w:autoSpaceDE w:val="0"/>
              <w:autoSpaceDN w:val="0"/>
              <w:adjustRightInd w:val="0"/>
              <w:spacing w:line="360" w:lineRule="auto"/>
              <w:jc w:val="center"/>
              <w:rPr>
                <w:rFonts w:ascii="宋体" w:hAnsi="宋体" w:cs="宋体"/>
                <w:color w:val="auto"/>
                <w:sz w:val="24"/>
                <w:szCs w:val="32"/>
                <w:highlight w:val="none"/>
                <w:lang w:val="zh-CN"/>
              </w:rPr>
            </w:pPr>
          </w:p>
          <w:p>
            <w:pPr>
              <w:autoSpaceDE w:val="0"/>
              <w:autoSpaceDN w:val="0"/>
              <w:adjustRightInd w:val="0"/>
              <w:spacing w:line="360" w:lineRule="auto"/>
              <w:jc w:val="center"/>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供应商名称：</w:t>
            </w:r>
            <w:r>
              <w:rPr>
                <w:rFonts w:hint="eastAsia" w:ascii="宋体" w:hAnsi="宋体" w:cs="宋体"/>
                <w:color w:val="auto"/>
                <w:sz w:val="24"/>
                <w:szCs w:val="32"/>
                <w:highlight w:val="none"/>
                <w:u w:val="single"/>
                <w:lang w:val="zh-CN"/>
              </w:rPr>
              <w:t xml:space="preserve">                       </w:t>
            </w:r>
            <w:r>
              <w:rPr>
                <w:rFonts w:hint="eastAsia" w:ascii="宋体" w:hAnsi="宋体" w:cs="宋体"/>
                <w:color w:val="auto"/>
                <w:sz w:val="24"/>
                <w:szCs w:val="32"/>
                <w:highlight w:val="none"/>
                <w:lang w:val="zh-CN"/>
              </w:rPr>
              <w:t>（加盖公章）</w:t>
            </w:r>
          </w:p>
          <w:p>
            <w:pPr>
              <w:autoSpaceDE w:val="0"/>
              <w:autoSpaceDN w:val="0"/>
              <w:adjustRightInd w:val="0"/>
              <w:ind w:firstLine="480"/>
              <w:jc w:val="center"/>
              <w:rPr>
                <w:rFonts w:ascii="宋体" w:hAnsi="宋体" w:cs="宋体"/>
                <w:color w:val="auto"/>
                <w:highlight w:val="none"/>
                <w:lang w:val="zh-CN"/>
              </w:rPr>
            </w:pPr>
          </w:p>
        </w:tc>
      </w:tr>
    </w:tbl>
    <w:p>
      <w:pPr>
        <w:pStyle w:val="6"/>
        <w:spacing w:line="240" w:lineRule="auto"/>
        <w:rPr>
          <w:rFonts w:ascii="宋体" w:hAnsi="宋体" w:cs="宋体"/>
          <w:color w:val="auto"/>
          <w:sz w:val="28"/>
          <w:highlight w:val="none"/>
          <w:lang w:val="zh-CN"/>
        </w:rPr>
      </w:pPr>
      <w:r>
        <w:rPr>
          <w:rFonts w:hint="eastAsia" w:ascii="宋体" w:hAnsi="宋体" w:cs="宋体"/>
          <w:color w:val="auto"/>
          <w:sz w:val="28"/>
          <w:highlight w:val="none"/>
          <w:lang w:val="zh-CN"/>
        </w:rPr>
        <w:t>2、资格性响应文件封面格式</w:t>
      </w:r>
    </w:p>
    <w:tbl>
      <w:tblPr>
        <w:tblStyle w:val="23"/>
        <w:tblW w:w="0" w:type="auto"/>
        <w:tblInd w:w="-72" w:type="dxa"/>
        <w:tblLayout w:type="fixed"/>
        <w:tblCellMar>
          <w:top w:w="0" w:type="dxa"/>
          <w:left w:w="108" w:type="dxa"/>
          <w:bottom w:w="0" w:type="dxa"/>
          <w:right w:w="108" w:type="dxa"/>
        </w:tblCellMar>
      </w:tblPr>
      <w:tblGrid>
        <w:gridCol w:w="9819"/>
      </w:tblGrid>
      <w:tr>
        <w:tblPrEx>
          <w:tblCellMar>
            <w:top w:w="0" w:type="dxa"/>
            <w:left w:w="108" w:type="dxa"/>
            <w:bottom w:w="0" w:type="dxa"/>
            <w:right w:w="108" w:type="dxa"/>
          </w:tblCellMar>
        </w:tblPrEx>
        <w:trPr>
          <w:trHeight w:val="4203" w:hRule="atLeast"/>
        </w:trPr>
        <w:tc>
          <w:tcPr>
            <w:tcW w:w="9819" w:type="dxa"/>
            <w:tcBorders>
              <w:top w:val="double" w:color="auto" w:sz="4" w:space="0"/>
              <w:left w:val="double" w:color="auto" w:sz="4" w:space="0"/>
              <w:bottom w:val="double" w:color="auto" w:sz="4" w:space="0"/>
              <w:right w:val="double" w:color="auto" w:sz="4" w:space="0"/>
            </w:tcBorders>
          </w:tcPr>
          <w:p>
            <w:pPr>
              <w:spacing w:line="360" w:lineRule="auto"/>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zh-CN"/>
              </w:rPr>
              <w:t>项目名称：</w:t>
            </w:r>
            <w:r>
              <w:rPr>
                <w:rFonts w:hint="eastAsia" w:ascii="宋体" w:hAnsi="宋体" w:cs="宋体"/>
                <w:color w:val="auto"/>
                <w:sz w:val="24"/>
                <w:highlight w:val="none"/>
                <w:lang w:eastAsia="zh-CN"/>
              </w:rPr>
              <w:t>成都市新都区三河中心敬老院日常食材采购项目</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项目编号：</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510114202100024</w:t>
            </w:r>
            <w:r>
              <w:rPr>
                <w:rFonts w:hint="eastAsia" w:ascii="宋体" w:hAnsi="宋体" w:cs="宋体"/>
                <w:color w:val="auto"/>
                <w:sz w:val="24"/>
                <w:highlight w:val="none"/>
                <w:lang w:val="zh-CN"/>
              </w:rPr>
              <w:t xml:space="preserve">  </w:t>
            </w:r>
          </w:p>
          <w:p>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资格性响应文件（正本或副本）</w:t>
            </w:r>
          </w:p>
          <w:p>
            <w:pPr>
              <w:autoSpaceDE w:val="0"/>
              <w:autoSpaceDN w:val="0"/>
              <w:adjustRightInd w:val="0"/>
              <w:spacing w:line="360" w:lineRule="auto"/>
              <w:jc w:val="center"/>
              <w:rPr>
                <w:rFonts w:ascii="宋体" w:hAnsi="宋体" w:cs="宋体"/>
                <w:color w:val="auto"/>
                <w:sz w:val="24"/>
                <w:highlight w:val="none"/>
                <w:lang w:val="zh-CN"/>
              </w:rPr>
            </w:pP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（加盖公章）</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pPr>
              <w:autoSpaceDE w:val="0"/>
              <w:autoSpaceDN w:val="0"/>
              <w:adjustRightInd w:val="0"/>
              <w:ind w:firstLine="480"/>
              <w:jc w:val="center"/>
              <w:rPr>
                <w:rFonts w:ascii="宋体" w:hAnsi="宋体" w:cs="宋体"/>
                <w:color w:val="auto"/>
                <w:highlight w:val="none"/>
                <w:lang w:val="zh-CN"/>
              </w:rPr>
            </w:pPr>
          </w:p>
        </w:tc>
      </w:tr>
    </w:tbl>
    <w:p>
      <w:pPr>
        <w:spacing w:line="360" w:lineRule="exact"/>
        <w:ind w:left="-141" w:leftChars="-66"/>
        <w:rPr>
          <w:rFonts w:ascii="宋体" w:hAnsi="宋体" w:cs="宋体"/>
          <w:color w:val="auto"/>
          <w:highlight w:val="none"/>
          <w:lang w:val="zh-CN"/>
        </w:rPr>
      </w:pPr>
      <w:r>
        <w:rPr>
          <w:rFonts w:hint="eastAsia" w:ascii="宋体" w:hAnsi="宋体" w:cs="宋体"/>
          <w:color w:val="auto"/>
          <w:highlight w:val="none"/>
          <w:lang w:val="zh-CN"/>
        </w:rPr>
        <w:t>温馨提示：1）资格性响应文件正本一份、副本二份；2）资格性响应文件应单独密封包装，并于截止时间前送指定地点；3）供应商提供的资格证明材料为复印件的均须加盖供应商公章；4）供应商提供的资格证明材料如发证机关有年检要求的则应通过年检且年检章要清楚，如有有效期的则应提供在有效期内的证明材料。</w:t>
      </w:r>
    </w:p>
    <w:p>
      <w:pPr>
        <w:rPr>
          <w:rFonts w:ascii="宋体" w:hAnsi="宋体" w:cs="宋体"/>
          <w:b/>
          <w:color w:val="auto"/>
          <w:sz w:val="32"/>
          <w:szCs w:val="32"/>
          <w:highlight w:val="none"/>
        </w:rPr>
      </w:pP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8"/>
          <w:highlight w:val="none"/>
          <w:lang w:val="zh-CN"/>
        </w:rPr>
        <w:t>（一）法定代表人身份证明书</w:t>
      </w:r>
    </w:p>
    <w:p>
      <w:pPr>
        <w:pStyle w:val="12"/>
        <w:ind w:left="0" w:leftChars="0" w:firstLine="0" w:firstLineChars="0"/>
        <w:rPr>
          <w:rFonts w:ascii="宋体" w:hAnsi="宋体" w:cs="宋体"/>
          <w:color w:val="auto"/>
          <w:highlight w:val="none"/>
          <w:lang w:val="zh-CN"/>
        </w:rPr>
      </w:pPr>
    </w:p>
    <w:p>
      <w:pPr>
        <w:pStyle w:val="12"/>
        <w:ind w:firstLine="0"/>
        <w:rPr>
          <w:rFonts w:ascii="宋体" w:hAnsi="宋体" w:cs="宋体"/>
          <w:color w:val="auto"/>
          <w:highlight w:val="none"/>
          <w:lang w:val="zh-CN"/>
        </w:rPr>
      </w:pPr>
    </w:p>
    <w:p>
      <w:pPr>
        <w:tabs>
          <w:tab w:val="left" w:pos="6300"/>
        </w:tabs>
        <w:autoSpaceDE w:val="0"/>
        <w:autoSpaceDN w:val="0"/>
        <w:adjustRightInd w:val="0"/>
        <w:spacing w:line="48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（法定代表人姓名）         </w:t>
      </w:r>
      <w:r>
        <w:rPr>
          <w:rFonts w:hint="eastAsia" w:ascii="宋体" w:hAnsi="宋体" w:cs="宋体"/>
          <w:color w:val="auto"/>
          <w:sz w:val="24"/>
          <w:highlight w:val="none"/>
          <w:lang w:val="zh-CN"/>
        </w:rPr>
        <w:t>在</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供应商</w:t>
      </w:r>
      <w:r>
        <w:rPr>
          <w:rFonts w:hint="eastAsia" w:ascii="宋体" w:hAnsi="宋体" w:cs="宋体"/>
          <w:color w:val="auto"/>
          <w:sz w:val="24"/>
          <w:highlight w:val="none"/>
          <w:u w:val="single"/>
          <w:lang w:val="zh-CN"/>
        </w:rPr>
        <w:t xml:space="preserve">名称）  </w:t>
      </w:r>
      <w:r>
        <w:rPr>
          <w:rFonts w:hint="eastAsia" w:ascii="宋体" w:hAnsi="宋体" w:cs="宋体"/>
          <w:color w:val="auto"/>
          <w:sz w:val="24"/>
          <w:highlight w:val="none"/>
          <w:lang w:val="zh-CN"/>
        </w:rPr>
        <w:t>处任</w:t>
      </w:r>
      <w:r>
        <w:rPr>
          <w:rFonts w:hint="eastAsia" w:ascii="宋体" w:hAnsi="宋体" w:cs="宋体"/>
          <w:color w:val="auto"/>
          <w:sz w:val="24"/>
          <w:highlight w:val="none"/>
          <w:u w:val="single"/>
          <w:lang w:val="zh-CN"/>
        </w:rPr>
        <w:t xml:space="preserve">         （职务名称）        </w:t>
      </w:r>
      <w:r>
        <w:rPr>
          <w:rFonts w:hint="eastAsia" w:ascii="宋体" w:hAnsi="宋体" w:cs="宋体"/>
          <w:color w:val="auto"/>
          <w:sz w:val="24"/>
          <w:highlight w:val="none"/>
          <w:lang w:val="zh-CN"/>
        </w:rPr>
        <w:t>职务，是</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供应商</w:t>
      </w:r>
      <w:r>
        <w:rPr>
          <w:rFonts w:hint="eastAsia" w:ascii="宋体" w:hAnsi="宋体" w:cs="宋体"/>
          <w:color w:val="auto"/>
          <w:sz w:val="24"/>
          <w:highlight w:val="none"/>
          <w:u w:val="single"/>
          <w:lang w:val="zh-CN"/>
        </w:rPr>
        <w:t xml:space="preserve">名称）    </w:t>
      </w:r>
      <w:r>
        <w:rPr>
          <w:rFonts w:hint="eastAsia" w:ascii="宋体" w:hAnsi="宋体" w:cs="宋体"/>
          <w:color w:val="auto"/>
          <w:sz w:val="24"/>
          <w:highlight w:val="none"/>
          <w:lang w:val="zh-CN"/>
        </w:rPr>
        <w:t>的法定代表人。</w:t>
      </w:r>
    </w:p>
    <w:p>
      <w:pPr>
        <w:tabs>
          <w:tab w:val="left" w:pos="6300"/>
        </w:tabs>
        <w:autoSpaceDE w:val="0"/>
        <w:autoSpaceDN w:val="0"/>
        <w:adjustRightInd w:val="0"/>
        <w:spacing w:line="48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特此证明。</w:t>
      </w:r>
    </w:p>
    <w:p>
      <w:pPr>
        <w:tabs>
          <w:tab w:val="left" w:pos="6300"/>
        </w:tabs>
        <w:autoSpaceDE w:val="0"/>
        <w:autoSpaceDN w:val="0"/>
        <w:adjustRightInd w:val="0"/>
        <w:spacing w:line="480" w:lineRule="auto"/>
        <w:jc w:val="left"/>
        <w:rPr>
          <w:rFonts w:ascii="宋体" w:hAnsi="宋体" w:cs="宋体"/>
          <w:color w:val="auto"/>
          <w:sz w:val="24"/>
          <w:highlight w:val="none"/>
          <w:lang w:val="zh-CN"/>
        </w:rPr>
      </w:pPr>
    </w:p>
    <w:p>
      <w:pPr>
        <w:tabs>
          <w:tab w:val="left" w:pos="6300"/>
        </w:tabs>
        <w:autoSpaceDE w:val="0"/>
        <w:autoSpaceDN w:val="0"/>
        <w:adjustRightInd w:val="0"/>
        <w:spacing w:line="480" w:lineRule="auto"/>
        <w:jc w:val="left"/>
        <w:rPr>
          <w:rFonts w:ascii="宋体" w:hAnsi="宋体" w:cs="宋体"/>
          <w:color w:val="auto"/>
          <w:sz w:val="24"/>
          <w:highlight w:val="none"/>
          <w:lang w:val="zh-CN"/>
        </w:rPr>
      </w:pPr>
    </w:p>
    <w:p>
      <w:pPr>
        <w:pStyle w:val="2"/>
        <w:spacing w:line="480" w:lineRule="auto"/>
        <w:rPr>
          <w:rFonts w:ascii="宋体" w:hAnsi="宋体" w:eastAsia="宋体" w:cs="宋体"/>
          <w:color w:val="auto"/>
          <w:highlight w:val="none"/>
          <w:lang w:val="zh-CN"/>
        </w:rPr>
      </w:pPr>
    </w:p>
    <w:p>
      <w:pPr>
        <w:tabs>
          <w:tab w:val="left" w:pos="6300"/>
        </w:tabs>
        <w:autoSpaceDE w:val="0"/>
        <w:autoSpaceDN w:val="0"/>
        <w:adjustRightInd w:val="0"/>
        <w:spacing w:line="480" w:lineRule="auto"/>
        <w:jc w:val="left"/>
        <w:rPr>
          <w:rFonts w:ascii="宋体" w:hAnsi="宋体" w:cs="宋体"/>
          <w:color w:val="auto"/>
          <w:sz w:val="24"/>
          <w:highlight w:val="none"/>
          <w:lang w:val="zh-CN"/>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日期：    年     月    日</w:t>
      </w:r>
    </w:p>
    <w:p>
      <w:pPr>
        <w:autoSpaceDE w:val="0"/>
        <w:autoSpaceDN w:val="0"/>
        <w:adjustRightInd w:val="0"/>
        <w:spacing w:line="480" w:lineRule="auto"/>
        <w:ind w:firstLine="480"/>
        <w:jc w:val="left"/>
        <w:rPr>
          <w:rFonts w:ascii="宋体" w:hAnsi="宋体" w:cs="宋体"/>
          <w:color w:val="auto"/>
          <w:sz w:val="24"/>
          <w:highlight w:val="none"/>
          <w:lang w:val="zh-CN"/>
        </w:rPr>
      </w:pPr>
    </w:p>
    <w:p>
      <w:pPr>
        <w:autoSpaceDE w:val="0"/>
        <w:autoSpaceDN w:val="0"/>
        <w:adjustRightInd w:val="0"/>
        <w:spacing w:line="480" w:lineRule="auto"/>
        <w:ind w:firstLine="480"/>
        <w:jc w:val="left"/>
        <w:rPr>
          <w:rFonts w:ascii="宋体" w:hAnsi="宋体" w:cs="宋体"/>
          <w:color w:val="auto"/>
          <w:sz w:val="24"/>
          <w:highlight w:val="none"/>
          <w:lang w:val="zh-CN"/>
        </w:rPr>
      </w:pPr>
    </w:p>
    <w:p>
      <w:pPr>
        <w:pStyle w:val="2"/>
        <w:spacing w:line="480" w:lineRule="auto"/>
        <w:rPr>
          <w:rFonts w:ascii="宋体" w:hAnsi="宋体" w:eastAsia="宋体" w:cs="宋体"/>
          <w:color w:val="auto"/>
          <w:highlight w:val="none"/>
          <w:lang w:val="zh-CN"/>
        </w:rPr>
      </w:pPr>
    </w:p>
    <w:p>
      <w:pPr>
        <w:autoSpaceDE w:val="0"/>
        <w:autoSpaceDN w:val="0"/>
        <w:adjustRightInd w:val="0"/>
        <w:spacing w:line="480" w:lineRule="auto"/>
        <w:ind w:firstLine="480"/>
        <w:jc w:val="left"/>
        <w:rPr>
          <w:rFonts w:ascii="宋体" w:hAnsi="宋体" w:cs="宋体"/>
          <w:color w:val="auto"/>
          <w:sz w:val="24"/>
          <w:highlight w:val="none"/>
          <w:lang w:val="zh-CN"/>
        </w:rPr>
      </w:pPr>
    </w:p>
    <w:p>
      <w:pPr>
        <w:autoSpaceDE w:val="0"/>
        <w:autoSpaceDN w:val="0"/>
        <w:adjustRightInd w:val="0"/>
        <w:spacing w:line="48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说明：上述证明文件在资格性</w:t>
      </w:r>
      <w:r>
        <w:rPr>
          <w:rFonts w:hint="eastAsia" w:ascii="宋体" w:hAnsi="宋体" w:cs="宋体"/>
          <w:color w:val="auto"/>
          <w:sz w:val="24"/>
          <w:highlight w:val="none"/>
        </w:rPr>
        <w:t>响应</w:t>
      </w:r>
      <w:r>
        <w:rPr>
          <w:rFonts w:hint="eastAsia" w:ascii="宋体" w:hAnsi="宋体" w:cs="宋体"/>
          <w:color w:val="auto"/>
          <w:sz w:val="24"/>
          <w:highlight w:val="none"/>
          <w:lang w:val="zh-CN"/>
        </w:rPr>
        <w:t>文件中附有法定代表人身份证复印件（须加盖公章）时才能生效。</w:t>
      </w:r>
    </w:p>
    <w:p>
      <w:pPr>
        <w:pStyle w:val="6"/>
        <w:spacing w:line="240" w:lineRule="auto"/>
        <w:jc w:val="center"/>
        <w:rPr>
          <w:rFonts w:ascii="宋体" w:hAnsi="宋体" w:cs="宋体"/>
          <w:color w:val="auto"/>
          <w:sz w:val="28"/>
          <w:highlight w:val="none"/>
          <w:lang w:val="zh-CN"/>
        </w:rPr>
      </w:pPr>
      <w:r>
        <w:rPr>
          <w:rFonts w:hint="eastAsia" w:cs="宋体"/>
          <w:color w:val="auto"/>
          <w:sz w:val="22"/>
          <w:szCs w:val="18"/>
          <w:highlight w:val="none"/>
          <w:lang w:val="zh-CN"/>
        </w:rPr>
        <w:br w:type="page"/>
      </w:r>
      <w:r>
        <w:rPr>
          <w:rFonts w:hint="eastAsia" w:ascii="宋体" w:hAnsi="宋体" w:cs="宋体"/>
          <w:color w:val="auto"/>
          <w:sz w:val="28"/>
          <w:highlight w:val="none"/>
          <w:lang w:val="zh-CN"/>
        </w:rPr>
        <w:t>（二）法定代表人授权书</w:t>
      </w:r>
    </w:p>
    <w:p>
      <w:pPr>
        <w:pStyle w:val="12"/>
        <w:ind w:firstLine="0"/>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本授权声明：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（单位名称）,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（法定代表人姓名、职务）授权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（被授权人姓名、职务）为我方参加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）磋商采购活动的合法代表，以我方名义全权处理该项目有关磋商、报价、签订合同以及执行合同等一切事宜。</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特此声明。</w:t>
      </w: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（盖单位公章）</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被授权人签字：</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职    务：</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日期：    年     月    日</w:t>
      </w:r>
    </w:p>
    <w:p>
      <w:pPr>
        <w:pStyle w:val="12"/>
        <w:ind w:firstLine="480"/>
        <w:rPr>
          <w:rFonts w:ascii="宋体" w:hAnsi="宋体" w:eastAsia="宋体" w:cs="宋体"/>
          <w:color w:val="auto"/>
          <w:sz w:val="24"/>
          <w:highlight w:val="none"/>
        </w:rPr>
      </w:pPr>
    </w:p>
    <w:p>
      <w:pPr>
        <w:spacing w:line="360" w:lineRule="auto"/>
        <w:ind w:firstLine="480"/>
        <w:rPr>
          <w:rFonts w:ascii="宋体" w:hAnsi="宋体" w:cs="宋体"/>
          <w:color w:val="auto"/>
          <w:sz w:val="24"/>
          <w:highlight w:val="none"/>
          <w:lang w:val="zh-CN"/>
        </w:rPr>
      </w:pPr>
    </w:p>
    <w:p>
      <w:pPr>
        <w:spacing w:line="360" w:lineRule="auto"/>
        <w:ind w:firstLine="480"/>
        <w:rPr>
          <w:rFonts w:ascii="宋体" w:hAnsi="宋体" w:cs="宋体"/>
          <w:color w:val="auto"/>
          <w:highlight w:val="none"/>
          <w:lang w:val="zh-CN"/>
        </w:rPr>
      </w:pPr>
      <w:r>
        <w:rPr>
          <w:rFonts w:hint="eastAsia" w:ascii="宋体" w:hAnsi="宋体" w:cs="宋体"/>
          <w:color w:val="auto"/>
          <w:highlight w:val="none"/>
          <w:lang w:val="zh-CN"/>
        </w:rPr>
        <w:t>说明：1、附法定代表人及授权代表身份证复印件（正反两面均须复印，且复印件加盖公章）时才能生效；</w:t>
      </w:r>
    </w:p>
    <w:p>
      <w:pPr>
        <w:spacing w:line="360" w:lineRule="auto"/>
        <w:ind w:firstLine="480"/>
        <w:rPr>
          <w:rFonts w:ascii="宋体" w:hAnsi="宋体" w:cs="宋体"/>
          <w:color w:val="auto"/>
          <w:highlight w:val="none"/>
          <w:lang w:val="zh-CN"/>
        </w:rPr>
      </w:pPr>
      <w:r>
        <w:rPr>
          <w:rFonts w:hint="eastAsia" w:ascii="宋体" w:hAnsi="宋体" w:cs="宋体"/>
          <w:color w:val="auto"/>
          <w:highlight w:val="none"/>
        </w:rPr>
        <w:t xml:space="preserve">      2、提供的证件材料必须在有效期内。</w:t>
      </w:r>
    </w:p>
    <w:p>
      <w:pPr>
        <w:spacing w:line="360" w:lineRule="auto"/>
        <w:rPr>
          <w:rFonts w:ascii="宋体" w:hAnsi="宋体" w:cs="宋体"/>
          <w:color w:val="auto"/>
          <w:sz w:val="24"/>
          <w:highlight w:val="none"/>
          <w:lang w:val="zh-CN"/>
        </w:rPr>
      </w:pPr>
    </w:p>
    <w:p>
      <w:pPr>
        <w:spacing w:line="400" w:lineRule="exact"/>
        <w:rPr>
          <w:rFonts w:ascii="宋体" w:hAnsi="宋体" w:cs="宋体"/>
          <w:color w:val="auto"/>
          <w:sz w:val="32"/>
          <w:highlight w:val="none"/>
        </w:rPr>
      </w:pPr>
    </w:p>
    <w:p>
      <w:pPr>
        <w:spacing w:line="400" w:lineRule="exact"/>
        <w:rPr>
          <w:rFonts w:ascii="宋体" w:hAnsi="宋体" w:cs="宋体"/>
          <w:color w:val="auto"/>
          <w:sz w:val="32"/>
          <w:highlight w:val="none"/>
        </w:rPr>
      </w:pPr>
    </w:p>
    <w:p>
      <w:pPr>
        <w:spacing w:line="400" w:lineRule="exact"/>
        <w:rPr>
          <w:rFonts w:ascii="宋体" w:hAnsi="宋体" w:cs="宋体"/>
          <w:color w:val="auto"/>
          <w:sz w:val="32"/>
          <w:highlight w:val="none"/>
        </w:rPr>
      </w:pPr>
    </w:p>
    <w:p>
      <w:pPr>
        <w:jc w:val="center"/>
        <w:rPr>
          <w:rFonts w:ascii="宋体" w:hAnsi="宋体" w:cs="宋体"/>
          <w:b/>
          <w:color w:val="auto"/>
          <w:sz w:val="32"/>
          <w:szCs w:val="32"/>
          <w:highlight w:val="none"/>
        </w:rPr>
      </w:pPr>
    </w:p>
    <w:p>
      <w:pPr>
        <w:pStyle w:val="12"/>
        <w:ind w:firstLine="0"/>
        <w:rPr>
          <w:rFonts w:ascii="宋体" w:hAnsi="宋体" w:eastAsia="宋体" w:cs="宋体"/>
          <w:b/>
          <w:color w:val="auto"/>
          <w:szCs w:val="32"/>
          <w:highlight w:val="none"/>
        </w:rPr>
      </w:pPr>
    </w:p>
    <w:p>
      <w:pPr>
        <w:pStyle w:val="6"/>
        <w:spacing w:line="240" w:lineRule="auto"/>
        <w:jc w:val="center"/>
        <w:rPr>
          <w:rFonts w:ascii="宋体" w:hAnsi="宋体" w:cs="宋体"/>
          <w:color w:val="auto"/>
          <w:sz w:val="28"/>
          <w:highlight w:val="none"/>
          <w:lang w:val="zh-CN"/>
        </w:rPr>
      </w:pPr>
      <w:r>
        <w:rPr>
          <w:rFonts w:hint="eastAsia" w:cs="宋体"/>
          <w:b w:val="0"/>
          <w:color w:val="auto"/>
          <w:sz w:val="30"/>
          <w:szCs w:val="30"/>
          <w:highlight w:val="none"/>
        </w:rPr>
        <w:br w:type="page"/>
      </w:r>
      <w:r>
        <w:rPr>
          <w:rFonts w:hint="eastAsia" w:ascii="宋体" w:hAnsi="宋体" w:cs="宋体"/>
          <w:color w:val="auto"/>
          <w:sz w:val="28"/>
          <w:highlight w:val="none"/>
          <w:lang w:val="zh-CN"/>
        </w:rPr>
        <w:t>（三）承诺函</w:t>
      </w:r>
    </w:p>
    <w:p>
      <w:pPr>
        <w:rPr>
          <w:rFonts w:cs="宋体"/>
          <w:color w:val="auto"/>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我方作为本次采购项目的供应商，根据磋商文件要求，现郑重承诺如下：</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五、参加</w:t>
      </w:r>
      <w:r>
        <w:rPr>
          <w:rFonts w:hint="eastAsia" w:ascii="宋体" w:hAnsi="宋体" w:cs="宋体"/>
          <w:color w:val="auto"/>
          <w:sz w:val="24"/>
          <w:highlight w:val="none"/>
          <w:lang w:val="en-US" w:eastAsia="zh-CN"/>
        </w:rPr>
        <w:t>本次</w:t>
      </w:r>
      <w:r>
        <w:rPr>
          <w:rFonts w:hint="eastAsia" w:ascii="宋体" w:hAnsi="宋体" w:cs="宋体"/>
          <w:color w:val="auto"/>
          <w:sz w:val="24"/>
          <w:highlight w:val="none"/>
        </w:rPr>
        <w:t>政府采购活动前三年内，在经营活动中没有重大违法记录；</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六、我方满足法律、行政法规规定的其他条件；</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七、我方</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及现任法定代表人、主要负责人不具有行贿犯罪记录；</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八、我方参加本项目不属于联合体投标；</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九、我方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十、如果有《四川省政府采购当事人诚信管理办法》（川财采[2015]33号）规定的记入诚信档案的失信行为，将在响应文件中全面如实反映。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十一、响应文件中提供的任何资料和技术、服务、商务等响应承诺情况都是真实的、有效的、合法的。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我方对上述承诺的内容事项真实性负责。如经查实上述承诺的内容事项存在虚假，我方愿意接受以提供虚假材料谋取成交的法律责任。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1080"/>
        </w:tabs>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（加盖公章）</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12"/>
        <w:spacing w:before="0" w:after="0"/>
        <w:ind w:firstLine="0"/>
        <w:rPr>
          <w:rFonts w:ascii="宋体" w:hAnsi="宋体" w:eastAsia="宋体" w:cs="宋体"/>
          <w:b/>
          <w:color w:val="auto"/>
          <w:sz w:val="24"/>
          <w:highlight w:val="none"/>
        </w:rPr>
      </w:pPr>
    </w:p>
    <w:p>
      <w:pPr>
        <w:pStyle w:val="6"/>
        <w:spacing w:line="240" w:lineRule="auto"/>
        <w:jc w:val="center"/>
        <w:rPr>
          <w:rFonts w:ascii="宋体" w:hAnsi="宋体" w:cs="宋体"/>
          <w:color w:val="auto"/>
          <w:kern w:val="0"/>
          <w:sz w:val="24"/>
          <w:highlight w:val="none"/>
          <w:lang w:bidi="ar"/>
        </w:rPr>
      </w:pPr>
      <w:r>
        <w:rPr>
          <w:rFonts w:hint="eastAsia" w:ascii="宋体" w:hAnsi="宋体" w:cs="宋体"/>
          <w:color w:val="auto"/>
          <w:szCs w:val="32"/>
          <w:highlight w:val="none"/>
        </w:rPr>
        <w:br w:type="page"/>
      </w:r>
      <w:r>
        <w:rPr>
          <w:rFonts w:hint="eastAsia" w:ascii="宋体" w:hAnsi="宋体" w:cs="宋体"/>
          <w:color w:val="auto"/>
          <w:sz w:val="28"/>
          <w:highlight w:val="none"/>
          <w:lang w:val="zh-CN"/>
        </w:rPr>
        <w:t>（四）中小企业声明函</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lang w:val="en-US" w:eastAsia="zh-CN"/>
        </w:rPr>
        <w:t xml:space="preserve"> 成都市新都区三河中心敬老院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大米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面粉及面制品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油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肉类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水产品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蔬菜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干杂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禽蛋及蛋制品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奶及奶制品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水果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其他未列明农副食品加工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 型企业、微型企业）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firstLine="490" w:firstLineChars="200"/>
        <w:rPr>
          <w:rFonts w:hint="eastAsia" w:ascii="宋体" w:hAnsi="宋体" w:eastAsia="宋体" w:cs="宋体"/>
          <w:color w:val="auto"/>
          <w:sz w:val="24"/>
          <w:highlight w:val="none"/>
        </w:rPr>
      </w:pP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pPr>
        <w:spacing w:line="360" w:lineRule="auto"/>
        <w:ind w:firstLine="49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490" w:firstLineChars="2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注：1.</w:t>
      </w:r>
      <w:r>
        <w:rPr>
          <w:rFonts w:hint="eastAsia" w:ascii="宋体" w:hAnsi="宋体" w:eastAsia="宋体" w:cs="宋体"/>
          <w:color w:val="auto"/>
          <w:sz w:val="24"/>
          <w:highlight w:val="none"/>
        </w:rPr>
        <w:t>从业人员、营业收入、资产总额填报上一年度数据，无上一年度数据的新成立企业可不填报。</w:t>
      </w:r>
    </w:p>
    <w:p>
      <w:pPr>
        <w:spacing w:line="360" w:lineRule="auto"/>
        <w:ind w:firstLine="49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2.本项目专门面向中小微企业，中小微企业应当按照《政府采购促进中小企业发展管理办法》规定和《中小企业划型标准规定》（工信部联企业〔2011〕300号），如实填写本声明函。</w:t>
      </w:r>
    </w:p>
    <w:p>
      <w:pPr>
        <w:spacing w:line="360" w:lineRule="auto"/>
        <w:ind w:firstLine="49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3.本中小企业声明函为多页，本声明函供应商应当逐页盖章。</w:t>
      </w:r>
    </w:p>
    <w:p>
      <w:pPr>
        <w:spacing w:line="360" w:lineRule="auto"/>
        <w:rPr>
          <w:rFonts w:ascii="宋体" w:hAnsi="宋体" w:cs="宋体"/>
          <w:color w:val="auto"/>
          <w:highlight w:val="none"/>
        </w:rPr>
      </w:pPr>
    </w:p>
    <w:p>
      <w:pPr>
        <w:pStyle w:val="6"/>
        <w:spacing w:line="240" w:lineRule="auto"/>
        <w:jc w:val="center"/>
        <w:rPr>
          <w:rFonts w:ascii="宋体" w:hAnsi="宋体" w:cs="宋体"/>
          <w:color w:val="auto"/>
          <w:sz w:val="28"/>
          <w:highlight w:val="none"/>
          <w:lang w:val="zh-CN"/>
        </w:rPr>
      </w:pPr>
      <w:r>
        <w:rPr>
          <w:rFonts w:hint="eastAsia" w:cs="宋体"/>
          <w:color w:val="auto"/>
          <w:sz w:val="18"/>
          <w:highlight w:val="none"/>
          <w:lang w:val="zh-CN"/>
        </w:rPr>
        <w:br w:type="page"/>
      </w:r>
      <w:r>
        <w:rPr>
          <w:rFonts w:hint="eastAsia" w:ascii="宋体" w:hAnsi="宋体" w:cs="宋体"/>
          <w:color w:val="auto"/>
          <w:sz w:val="28"/>
          <w:highlight w:val="none"/>
          <w:lang w:val="zh-CN"/>
        </w:rPr>
        <w:t>（五）监狱企业证明文件（如涉及）</w:t>
      </w:r>
    </w:p>
    <w:p>
      <w:pPr>
        <w:rPr>
          <w:rFonts w:cs="宋体"/>
          <w:color w:val="auto"/>
          <w:highlight w:val="none"/>
        </w:rPr>
      </w:pPr>
    </w:p>
    <w:p>
      <w:pPr>
        <w:widowControl/>
        <w:spacing w:after="225" w:line="360" w:lineRule="auto"/>
        <w:jc w:val="left"/>
        <w:rPr>
          <w:rFonts w:ascii="宋体" w:hAnsi="宋体" w:cs="宋体"/>
          <w:color w:val="auto"/>
          <w:kern w:val="0"/>
          <w:sz w:val="24"/>
          <w:highlight w:val="none"/>
          <w:lang w:bidi="ar"/>
        </w:rPr>
      </w:pPr>
    </w:p>
    <w:p>
      <w:pPr>
        <w:widowControl/>
        <w:spacing w:after="225" w:line="360" w:lineRule="auto"/>
        <w:ind w:firstLine="42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监狱企业参加政府采购活动时，应当提供由省级以上监狱管理局、戒毒管理局（含新疆生产建设兵团）出具的属于监狱企业的证明文件。</w:t>
      </w:r>
    </w:p>
    <w:p>
      <w:pPr>
        <w:pStyle w:val="12"/>
        <w:ind w:left="0" w:leftChars="0" w:firstLine="0" w:firstLineChars="0"/>
        <w:rPr>
          <w:rFonts w:ascii="宋体" w:hAnsi="宋体" w:cs="宋体"/>
          <w:color w:val="auto"/>
          <w:highlight w:val="none"/>
        </w:rPr>
      </w:pPr>
    </w:p>
    <w:p>
      <w:pPr>
        <w:pStyle w:val="12"/>
        <w:ind w:left="0" w:leftChars="0" w:firstLine="0" w:firstLineChars="0"/>
        <w:rPr>
          <w:rFonts w:ascii="宋体" w:hAnsi="宋体" w:cs="宋体"/>
          <w:color w:val="auto"/>
          <w:highlight w:val="none"/>
        </w:rPr>
      </w:pPr>
    </w:p>
    <w:p>
      <w:pPr>
        <w:pStyle w:val="12"/>
        <w:ind w:left="0" w:leftChars="0" w:firstLine="0" w:firstLineChars="0"/>
        <w:rPr>
          <w:rFonts w:ascii="宋体" w:hAnsi="宋体" w:cs="宋体"/>
          <w:color w:val="auto"/>
          <w:highlight w:val="none"/>
        </w:rPr>
      </w:pPr>
    </w:p>
    <w:p>
      <w:pPr>
        <w:pStyle w:val="12"/>
        <w:ind w:left="0" w:leftChars="0" w:firstLine="0" w:firstLineChars="0"/>
        <w:rPr>
          <w:rFonts w:ascii="宋体" w:hAnsi="宋体" w:cs="宋体"/>
          <w:color w:val="auto"/>
          <w:kern w:val="0"/>
          <w:sz w:val="24"/>
          <w:szCs w:val="20"/>
          <w:highlight w:val="none"/>
        </w:rPr>
      </w:pPr>
    </w:p>
    <w:p>
      <w:pPr>
        <w:pStyle w:val="12"/>
        <w:ind w:firstLine="480"/>
        <w:rPr>
          <w:rFonts w:hint="default" w:ascii="宋体" w:hAnsi="宋体" w:eastAsia="宋体" w:cs="宋体"/>
          <w:color w:val="auto"/>
          <w:kern w:val="0"/>
          <w:sz w:val="21"/>
          <w:highlight w:val="none"/>
          <w:lang w:val="en-US" w:eastAsia="zh-CN" w:bidi="ar"/>
        </w:rPr>
      </w:pPr>
      <w:r>
        <w:rPr>
          <w:rFonts w:hint="eastAsia" w:ascii="宋体" w:hAnsi="宋体" w:eastAsia="宋体" w:cs="宋体"/>
          <w:color w:val="auto"/>
          <w:kern w:val="0"/>
          <w:sz w:val="21"/>
          <w:highlight w:val="none"/>
          <w:lang w:bidi="ar"/>
        </w:rPr>
        <w:t>注：</w:t>
      </w:r>
      <w:r>
        <w:rPr>
          <w:rFonts w:hint="eastAsia" w:ascii="宋体" w:hAnsi="宋体" w:eastAsia="宋体" w:cs="宋体"/>
          <w:color w:val="auto"/>
          <w:kern w:val="0"/>
          <w:sz w:val="21"/>
          <w:highlight w:val="none"/>
          <w:lang w:val="en-US" w:eastAsia="zh-CN" w:bidi="ar"/>
        </w:rPr>
        <w:t>1.</w:t>
      </w:r>
      <w:r>
        <w:rPr>
          <w:rFonts w:hint="eastAsia" w:ascii="宋体" w:hAnsi="宋体" w:eastAsia="宋体" w:cs="宋体"/>
          <w:color w:val="auto"/>
          <w:kern w:val="0"/>
          <w:sz w:val="21"/>
          <w:highlight w:val="none"/>
          <w:lang w:bidi="ar"/>
        </w:rPr>
        <w:t>在政府采购活动中，监狱企业视同小型、微型企业，享受预留份额。</w:t>
      </w:r>
      <w:r>
        <w:rPr>
          <w:rFonts w:hint="eastAsia" w:ascii="宋体" w:hAnsi="宋体" w:eastAsia="宋体" w:cs="宋体"/>
          <w:color w:val="auto"/>
          <w:kern w:val="0"/>
          <w:sz w:val="21"/>
          <w:highlight w:val="none"/>
          <w:lang w:val="en-US" w:eastAsia="zh-CN" w:bidi="ar"/>
        </w:rPr>
        <w:t>2.非监狱企业无需提供证明材料。</w:t>
      </w:r>
    </w:p>
    <w:p>
      <w:pPr>
        <w:rPr>
          <w:rFonts w:cs="宋体"/>
          <w:color w:val="auto"/>
          <w:sz w:val="32"/>
          <w:szCs w:val="32"/>
          <w:highlight w:val="none"/>
        </w:rPr>
      </w:pPr>
    </w:p>
    <w:p>
      <w:pPr>
        <w:rPr>
          <w:rFonts w:cs="宋体"/>
          <w:color w:val="auto"/>
          <w:sz w:val="32"/>
          <w:szCs w:val="32"/>
          <w:highlight w:val="none"/>
        </w:rPr>
      </w:pPr>
    </w:p>
    <w:p>
      <w:pPr>
        <w:rPr>
          <w:rFonts w:cs="宋体"/>
          <w:color w:val="auto"/>
          <w:sz w:val="32"/>
          <w:szCs w:val="32"/>
          <w:highlight w:val="none"/>
        </w:rPr>
      </w:pPr>
    </w:p>
    <w:p>
      <w:pPr>
        <w:rPr>
          <w:rFonts w:cs="宋体"/>
          <w:color w:val="auto"/>
          <w:sz w:val="32"/>
          <w:szCs w:val="32"/>
          <w:highlight w:val="none"/>
        </w:rPr>
      </w:pPr>
    </w:p>
    <w:p>
      <w:pPr>
        <w:rPr>
          <w:rFonts w:cs="宋体"/>
          <w:color w:val="auto"/>
          <w:highlight w:val="none"/>
        </w:rPr>
      </w:pPr>
    </w:p>
    <w:p>
      <w:pPr>
        <w:rPr>
          <w:rFonts w:cs="宋体"/>
          <w:color w:val="auto"/>
          <w:highlight w:val="none"/>
        </w:rPr>
      </w:pPr>
    </w:p>
    <w:p>
      <w:pPr>
        <w:pStyle w:val="6"/>
        <w:spacing w:line="240" w:lineRule="auto"/>
        <w:jc w:val="center"/>
        <w:rPr>
          <w:rFonts w:cs="宋体"/>
          <w:b/>
          <w:color w:val="auto"/>
          <w:spacing w:val="6"/>
          <w:sz w:val="30"/>
          <w:szCs w:val="30"/>
          <w:highlight w:val="none"/>
        </w:rPr>
      </w:pPr>
      <w:r>
        <w:rPr>
          <w:rFonts w:hint="eastAsia" w:cs="宋体"/>
          <w:b w:val="0"/>
          <w:color w:val="auto"/>
          <w:spacing w:val="6"/>
          <w:sz w:val="32"/>
          <w:szCs w:val="32"/>
          <w:highlight w:val="none"/>
        </w:rPr>
        <w:br w:type="page"/>
      </w:r>
      <w:r>
        <w:rPr>
          <w:rFonts w:hint="eastAsia" w:ascii="宋体" w:hAnsi="宋体" w:cs="宋体"/>
          <w:color w:val="auto"/>
          <w:sz w:val="28"/>
          <w:highlight w:val="none"/>
          <w:lang w:val="zh-CN"/>
        </w:rPr>
        <w:t>（六）残疾人福利性单位声明函（如涉及）</w:t>
      </w:r>
    </w:p>
    <w:p>
      <w:pPr>
        <w:spacing w:line="588" w:lineRule="exact"/>
        <w:jc w:val="center"/>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b/>
          <w:bCs/>
          <w:color w:val="auto"/>
          <w:kern w:val="2"/>
          <w:sz w:val="28"/>
          <w:szCs w:val="28"/>
          <w:highlight w:val="none"/>
          <w:lang w:val="zh-CN" w:eastAsia="zh-CN" w:bidi="ar-SA"/>
        </w:rPr>
        <w:t>（注：仅残疾人福利性单位提供，非残疾人福利性单位不提供本声明函）</w:t>
      </w:r>
    </w:p>
    <w:p>
      <w:pPr>
        <w:pStyle w:val="12"/>
        <w:ind w:left="0" w:leftChars="0" w:firstLine="0" w:firstLineChars="0"/>
        <w:rPr>
          <w:color w:val="auto"/>
          <w:highlight w:val="none"/>
        </w:rPr>
      </w:pPr>
    </w:p>
    <w:p>
      <w:pPr>
        <w:spacing w:line="36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ascii="宋体" w:hAnsi="宋体" w:cs="宋体"/>
          <w:color w:val="auto"/>
          <w:spacing w:val="6"/>
          <w:sz w:val="24"/>
          <w:highlight w:val="none"/>
        </w:rPr>
      </w:pPr>
    </w:p>
    <w:p>
      <w:pPr>
        <w:spacing w:line="360" w:lineRule="auto"/>
        <w:rPr>
          <w:rFonts w:ascii="宋体" w:hAnsi="宋体" w:cs="宋体"/>
          <w:color w:val="auto"/>
          <w:spacing w:val="6"/>
          <w:sz w:val="24"/>
          <w:highlight w:val="none"/>
        </w:rPr>
      </w:pPr>
    </w:p>
    <w:p>
      <w:pPr>
        <w:widowControl/>
        <w:spacing w:line="360" w:lineRule="auto"/>
        <w:jc w:val="left"/>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lang w:val="zh-CN"/>
        </w:rPr>
        <w:t>(加盖公章)</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zh-CN"/>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（签字）</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pPr>
        <w:autoSpaceDE w:val="0"/>
        <w:autoSpaceDN w:val="0"/>
        <w:adjustRightInd w:val="0"/>
        <w:spacing w:line="360" w:lineRule="auto"/>
        <w:jc w:val="left"/>
        <w:rPr>
          <w:rFonts w:ascii="宋体" w:hAnsi="宋体" w:cs="宋体"/>
          <w:color w:val="auto"/>
          <w:sz w:val="24"/>
          <w:highlight w:val="none"/>
          <w:lang w:val="zh-CN"/>
        </w:rPr>
      </w:pPr>
    </w:p>
    <w:p>
      <w:pPr>
        <w:spacing w:line="360" w:lineRule="auto"/>
        <w:rPr>
          <w:rFonts w:ascii="宋体" w:hAnsi="宋体" w:cs="宋体"/>
          <w:color w:val="auto"/>
          <w:spacing w:val="6"/>
          <w:sz w:val="24"/>
          <w:highlight w:val="none"/>
        </w:rPr>
      </w:pPr>
    </w:p>
    <w:p>
      <w:pPr>
        <w:pStyle w:val="12"/>
        <w:ind w:firstLine="480"/>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注：在政府采购活动中，残疾人福利性单位视同小型、微型企业，享受预留份额。非残疾人福利性单位不提供本声明函。</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kern w:val="0"/>
          <w:sz w:val="24"/>
          <w:highlight w:val="none"/>
        </w:rPr>
        <w:br w:type="page"/>
      </w:r>
      <w:r>
        <w:rPr>
          <w:rFonts w:hint="eastAsia" w:ascii="宋体" w:hAnsi="宋体" w:cs="宋体"/>
          <w:color w:val="auto"/>
          <w:sz w:val="28"/>
          <w:highlight w:val="none"/>
          <w:lang w:val="zh-CN"/>
        </w:rPr>
        <w:t>（七）供应商资格证明材料</w:t>
      </w:r>
    </w:p>
    <w:p>
      <w:pPr>
        <w:rPr>
          <w:rFonts w:cs="宋体"/>
          <w:color w:val="auto"/>
          <w:highlight w:val="none"/>
        </w:rPr>
      </w:pPr>
    </w:p>
    <w:p>
      <w:pPr>
        <w:pStyle w:val="12"/>
        <w:ind w:left="0" w:leftChars="0" w:firstLine="0" w:firstLineChars="0"/>
        <w:rPr>
          <w:rFonts w:ascii="宋体" w:hAnsi="宋体" w:cs="宋体"/>
          <w:color w:val="auto"/>
          <w:kern w:val="0"/>
          <w:sz w:val="24"/>
          <w:szCs w:val="20"/>
          <w:highlight w:val="none"/>
        </w:rPr>
      </w:pPr>
    </w:p>
    <w:p>
      <w:pPr>
        <w:pStyle w:val="12"/>
        <w:ind w:firstLine="480"/>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注：供应商应按照第四章的要求提供相应其他证明材料。格式自拟。</w:t>
      </w:r>
    </w:p>
    <w:p>
      <w:pPr>
        <w:autoSpaceDE w:val="0"/>
        <w:autoSpaceDN w:val="0"/>
        <w:adjustRightInd w:val="0"/>
        <w:spacing w:line="440" w:lineRule="exact"/>
        <w:jc w:val="left"/>
        <w:rPr>
          <w:rFonts w:ascii="宋体" w:hAnsi="宋体" w:cs="宋体"/>
          <w:color w:val="auto"/>
          <w:sz w:val="36"/>
          <w:szCs w:val="36"/>
          <w:highlight w:val="none"/>
        </w:rPr>
      </w:pPr>
    </w:p>
    <w:p>
      <w:pPr>
        <w:pStyle w:val="12"/>
        <w:ind w:firstLine="0"/>
        <w:rPr>
          <w:rFonts w:ascii="宋体" w:hAnsi="宋体" w:eastAsia="宋体" w:cs="宋体"/>
          <w:color w:val="auto"/>
          <w:sz w:val="36"/>
          <w:szCs w:val="36"/>
          <w:highlight w:val="none"/>
        </w:rPr>
      </w:pPr>
    </w:p>
    <w:p>
      <w:pPr>
        <w:spacing w:line="360" w:lineRule="auto"/>
        <w:jc w:val="center"/>
        <w:outlineLvl w:val="1"/>
        <w:rPr>
          <w:rFonts w:ascii="宋体" w:hAnsi="宋体" w:cs="宋体"/>
          <w:b/>
          <w:color w:val="auto"/>
          <w:sz w:val="32"/>
          <w:highlight w:val="none"/>
        </w:rPr>
      </w:pPr>
      <w:bookmarkStart w:id="78" w:name="_Toc27691"/>
      <w:r>
        <w:rPr>
          <w:rFonts w:hint="eastAsia" w:ascii="宋体" w:hAnsi="宋体" w:cs="宋体"/>
          <w:color w:val="auto"/>
          <w:highlight w:val="none"/>
          <w:lang w:val="zh-CN"/>
        </w:rPr>
        <w:br w:type="page"/>
      </w:r>
      <w:r>
        <w:rPr>
          <w:rFonts w:hint="eastAsia" w:ascii="宋体" w:hAnsi="宋体" w:cs="宋体"/>
          <w:b/>
          <w:color w:val="auto"/>
          <w:sz w:val="32"/>
          <w:highlight w:val="none"/>
        </w:rPr>
        <w:t>二、其他响应文件格式</w:t>
      </w:r>
      <w:bookmarkEnd w:id="78"/>
    </w:p>
    <w:p>
      <w:pPr>
        <w:pStyle w:val="6"/>
        <w:spacing w:line="240" w:lineRule="auto"/>
        <w:rPr>
          <w:rFonts w:ascii="宋体" w:hAnsi="宋体" w:cs="宋体"/>
          <w:color w:val="auto"/>
          <w:sz w:val="28"/>
          <w:highlight w:val="none"/>
          <w:lang w:val="zh-CN"/>
        </w:rPr>
      </w:pPr>
      <w:r>
        <w:rPr>
          <w:rFonts w:hint="eastAsia" w:ascii="宋体" w:hAnsi="宋体" w:cs="宋体"/>
          <w:color w:val="auto"/>
          <w:sz w:val="28"/>
          <w:highlight w:val="none"/>
          <w:lang w:val="zh-CN"/>
        </w:rPr>
        <w:t>1、其他响应件密封包装最外层格式</w:t>
      </w:r>
    </w:p>
    <w:tbl>
      <w:tblPr>
        <w:tblStyle w:val="23"/>
        <w:tblW w:w="0" w:type="auto"/>
        <w:tblInd w:w="0" w:type="dxa"/>
        <w:tblLayout w:type="fixed"/>
        <w:tblCellMar>
          <w:top w:w="0" w:type="dxa"/>
          <w:left w:w="108" w:type="dxa"/>
          <w:bottom w:w="0" w:type="dxa"/>
          <w:right w:w="108" w:type="dxa"/>
        </w:tblCellMar>
      </w:tblPr>
      <w:tblGrid>
        <w:gridCol w:w="8980"/>
      </w:tblGrid>
      <w:tr>
        <w:trPr>
          <w:trHeight w:val="3543" w:hRule="atLeast"/>
        </w:trPr>
        <w:tc>
          <w:tcPr>
            <w:tcW w:w="8980" w:type="dxa"/>
            <w:tcBorders>
              <w:top w:val="double" w:color="auto" w:sz="4" w:space="0"/>
              <w:left w:val="double" w:color="auto" w:sz="4" w:space="0"/>
              <w:bottom w:val="double" w:color="auto" w:sz="4" w:space="0"/>
              <w:right w:val="double" w:color="auto" w:sz="4" w:space="0"/>
            </w:tcBorders>
          </w:tcPr>
          <w:p>
            <w:pPr>
              <w:spacing w:line="360" w:lineRule="auto"/>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zh-CN"/>
              </w:rPr>
              <w:t>项目名称：</w:t>
            </w:r>
            <w:r>
              <w:rPr>
                <w:rFonts w:hint="eastAsia" w:ascii="宋体" w:hAnsi="宋体" w:cs="宋体"/>
                <w:color w:val="auto"/>
                <w:sz w:val="24"/>
                <w:highlight w:val="none"/>
                <w:lang w:eastAsia="zh-CN"/>
              </w:rPr>
              <w:t>成都市新都区三河中心敬老院日常食材采购项目</w:t>
            </w:r>
          </w:p>
          <w:p>
            <w:pPr>
              <w:autoSpaceDE w:val="0"/>
              <w:autoSpaceDN w:val="0"/>
              <w:adjustRightIn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项目编号：</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510114202100024</w:t>
            </w:r>
            <w:r>
              <w:rPr>
                <w:rFonts w:hint="eastAsia" w:ascii="宋体" w:hAnsi="宋体" w:cs="宋体"/>
                <w:color w:val="auto"/>
                <w:sz w:val="24"/>
                <w:highlight w:val="none"/>
                <w:lang w:val="zh-CN"/>
              </w:rPr>
              <w:t xml:space="preserve">        </w:t>
            </w:r>
          </w:p>
          <w:p>
            <w:pPr>
              <w:autoSpaceDE w:val="0"/>
              <w:autoSpaceDN w:val="0"/>
              <w:adjustRightInd w:val="0"/>
              <w:spacing w:line="360" w:lineRule="auto"/>
              <w:ind w:firstLine="480"/>
              <w:jc w:val="left"/>
              <w:rPr>
                <w:rFonts w:ascii="宋体" w:hAnsi="宋体" w:cs="宋体"/>
                <w:color w:val="auto"/>
                <w:sz w:val="24"/>
                <w:highlight w:val="none"/>
                <w:lang w:val="zh-CN"/>
              </w:rPr>
            </w:pPr>
          </w:p>
          <w:p>
            <w:pPr>
              <w:autoSpaceDE w:val="0"/>
              <w:autoSpaceDN w:val="0"/>
              <w:adjustRightInd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其他响应文件</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rPr>
              <w:t xml:space="preserve">              </w:t>
            </w:r>
          </w:p>
          <w:p>
            <w:pPr>
              <w:autoSpaceDE w:val="0"/>
              <w:autoSpaceDN w:val="0"/>
              <w:adjustRightInd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（加盖公章）</w:t>
            </w:r>
          </w:p>
          <w:p>
            <w:pPr>
              <w:autoSpaceDE w:val="0"/>
              <w:autoSpaceDN w:val="0"/>
              <w:adjustRightInd w:val="0"/>
              <w:ind w:firstLine="482"/>
              <w:jc w:val="center"/>
              <w:rPr>
                <w:rFonts w:ascii="宋体" w:hAnsi="宋体" w:cs="宋体"/>
                <w:b/>
                <w:bCs/>
                <w:color w:val="auto"/>
                <w:highlight w:val="none"/>
                <w:lang w:val="zh-CN"/>
              </w:rPr>
            </w:pPr>
          </w:p>
        </w:tc>
      </w:tr>
    </w:tbl>
    <w:p>
      <w:pPr>
        <w:pStyle w:val="6"/>
        <w:spacing w:line="240" w:lineRule="auto"/>
        <w:rPr>
          <w:rFonts w:ascii="宋体" w:hAnsi="宋体" w:cs="宋体"/>
          <w:color w:val="auto"/>
          <w:sz w:val="28"/>
          <w:highlight w:val="none"/>
          <w:lang w:val="zh-CN"/>
        </w:rPr>
      </w:pPr>
      <w:r>
        <w:rPr>
          <w:rFonts w:hint="eastAsia" w:ascii="宋体" w:hAnsi="宋体" w:cs="宋体"/>
          <w:color w:val="auto"/>
          <w:sz w:val="28"/>
          <w:highlight w:val="none"/>
          <w:lang w:val="zh-CN"/>
        </w:rPr>
        <w:t>2、其他响应文件封面格式</w:t>
      </w:r>
    </w:p>
    <w:tbl>
      <w:tblPr>
        <w:tblStyle w:val="23"/>
        <w:tblW w:w="0" w:type="auto"/>
        <w:tblInd w:w="-115" w:type="dxa"/>
        <w:tblLayout w:type="fixed"/>
        <w:tblCellMar>
          <w:top w:w="0" w:type="dxa"/>
          <w:left w:w="108" w:type="dxa"/>
          <w:bottom w:w="0" w:type="dxa"/>
          <w:right w:w="108" w:type="dxa"/>
        </w:tblCellMar>
      </w:tblPr>
      <w:tblGrid>
        <w:gridCol w:w="9080"/>
      </w:tblGrid>
      <w:tr>
        <w:trPr>
          <w:trHeight w:val="3723" w:hRule="atLeast"/>
        </w:trPr>
        <w:tc>
          <w:tcPr>
            <w:tcW w:w="9080" w:type="dxa"/>
            <w:tcBorders>
              <w:top w:val="double" w:color="auto" w:sz="4" w:space="0"/>
              <w:left w:val="double" w:color="auto" w:sz="4" w:space="0"/>
              <w:bottom w:val="double" w:color="auto" w:sz="4" w:space="0"/>
              <w:right w:val="double" w:color="auto" w:sz="4" w:space="0"/>
            </w:tcBorders>
          </w:tcPr>
          <w:p>
            <w:pPr>
              <w:spacing w:line="360" w:lineRule="auto"/>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zh-CN"/>
              </w:rPr>
              <w:t>项目名称：</w:t>
            </w:r>
            <w:r>
              <w:rPr>
                <w:rFonts w:hint="eastAsia" w:ascii="宋体" w:hAnsi="宋体" w:cs="宋体"/>
                <w:color w:val="auto"/>
                <w:sz w:val="24"/>
                <w:highlight w:val="none"/>
                <w:lang w:eastAsia="zh-CN"/>
              </w:rPr>
              <w:t>成都市新都区三河中心敬老院日常食材采购项目</w:t>
            </w:r>
          </w:p>
          <w:p>
            <w:pPr>
              <w:autoSpaceDE w:val="0"/>
              <w:autoSpaceDN w:val="0"/>
              <w:adjustRightIn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项目编号：</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510114202100024</w:t>
            </w:r>
            <w:r>
              <w:rPr>
                <w:rFonts w:hint="eastAsia" w:ascii="宋体" w:hAnsi="宋体" w:cs="宋体"/>
                <w:color w:val="auto"/>
                <w:sz w:val="24"/>
                <w:highlight w:val="none"/>
                <w:lang w:val="zh-CN"/>
              </w:rPr>
              <w:t xml:space="preserve">         </w:t>
            </w:r>
          </w:p>
          <w:p>
            <w:pPr>
              <w:autoSpaceDE w:val="0"/>
              <w:autoSpaceDN w:val="0"/>
              <w:adjustRightInd w:val="0"/>
              <w:spacing w:line="360" w:lineRule="auto"/>
              <w:ind w:firstLine="480"/>
              <w:jc w:val="left"/>
              <w:rPr>
                <w:rFonts w:ascii="宋体" w:hAnsi="宋体" w:cs="宋体"/>
                <w:color w:val="auto"/>
                <w:sz w:val="24"/>
                <w:highlight w:val="none"/>
                <w:lang w:val="zh-CN"/>
              </w:rPr>
            </w:pPr>
          </w:p>
          <w:p>
            <w:pPr>
              <w:autoSpaceDE w:val="0"/>
              <w:autoSpaceDN w:val="0"/>
              <w:adjustRightInd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其他响应文件（正本或副本）</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rPr>
              <w:t xml:space="preserve">                </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供应商名称：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（加盖公章）</w:t>
            </w:r>
          </w:p>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pPr>
              <w:autoSpaceDE w:val="0"/>
              <w:autoSpaceDN w:val="0"/>
              <w:adjustRightInd w:val="0"/>
              <w:ind w:firstLine="480"/>
              <w:jc w:val="center"/>
              <w:rPr>
                <w:rFonts w:ascii="宋体" w:hAnsi="宋体" w:cs="宋体"/>
                <w:color w:val="auto"/>
                <w:highlight w:val="none"/>
                <w:lang w:val="zh-CN"/>
              </w:rPr>
            </w:pPr>
          </w:p>
        </w:tc>
      </w:tr>
    </w:tbl>
    <w:p>
      <w:pPr>
        <w:spacing w:line="440" w:lineRule="exact"/>
        <w:ind w:firstLine="430" w:firstLineChars="200"/>
        <w:rPr>
          <w:rFonts w:ascii="宋体" w:hAnsi="宋体" w:cs="宋体"/>
          <w:color w:val="auto"/>
          <w:highlight w:val="none"/>
          <w:lang w:val="zh-CN"/>
        </w:rPr>
      </w:pPr>
      <w:r>
        <w:rPr>
          <w:rFonts w:hint="eastAsia" w:ascii="宋体" w:hAnsi="宋体" w:cs="宋体"/>
          <w:color w:val="auto"/>
          <w:highlight w:val="none"/>
          <w:lang w:val="zh-CN"/>
        </w:rPr>
        <w:t>温馨提示： 1）其他响应文件正本一份、副本二份；2）其他响应文件应单独密封包装，并于截止时间前送指定地点；3）签字、盖章应符合磋商文件要求。</w:t>
      </w:r>
    </w:p>
    <w:p>
      <w:pPr>
        <w:ind w:firstLine="480"/>
        <w:rPr>
          <w:rFonts w:ascii="宋体" w:hAnsi="宋体" w:cs="宋体"/>
          <w:color w:val="auto"/>
          <w:highlight w:val="none"/>
          <w:lang w:val="zh-CN"/>
        </w:rPr>
      </w:pPr>
    </w:p>
    <w:p>
      <w:pPr>
        <w:pStyle w:val="12"/>
        <w:rPr>
          <w:rFonts w:ascii="宋体" w:hAnsi="宋体" w:eastAsia="宋体" w:cs="宋体"/>
          <w:color w:val="auto"/>
          <w:sz w:val="36"/>
          <w:szCs w:val="36"/>
          <w:highlight w:val="none"/>
        </w:rPr>
        <w:sectPr>
          <w:headerReference r:id="rId8" w:type="first"/>
          <w:footerReference r:id="rId9" w:type="first"/>
          <w:type w:val="continuous"/>
          <w:pgSz w:w="11849" w:h="16781"/>
          <w:pgMar w:top="1469" w:right="1083" w:bottom="1440" w:left="1083" w:header="851" w:footer="992" w:gutter="0"/>
          <w:pgNumType w:start="1"/>
          <w:cols w:space="720" w:num="1"/>
          <w:titlePg/>
          <w:docGrid w:type="linesAndChars" w:linePitch="312" w:charSpace="1060"/>
        </w:sectPr>
      </w:pP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8"/>
          <w:highlight w:val="none"/>
          <w:lang w:val="zh-CN"/>
        </w:rPr>
        <w:t>（</w:t>
      </w:r>
      <w:r>
        <w:rPr>
          <w:rFonts w:hint="eastAsia" w:ascii="宋体" w:hAnsi="宋体" w:cs="宋体"/>
          <w:color w:val="auto"/>
          <w:sz w:val="28"/>
          <w:highlight w:val="none"/>
        </w:rPr>
        <w:t>一</w:t>
      </w:r>
      <w:r>
        <w:rPr>
          <w:rFonts w:hint="eastAsia" w:ascii="宋体" w:hAnsi="宋体" w:cs="宋体"/>
          <w:color w:val="auto"/>
          <w:sz w:val="28"/>
          <w:highlight w:val="none"/>
          <w:lang w:val="zh-CN"/>
        </w:rPr>
        <w:t>）响应函</w:t>
      </w:r>
    </w:p>
    <w:p>
      <w:pPr>
        <w:autoSpaceDE w:val="0"/>
        <w:autoSpaceDN w:val="0"/>
        <w:adjustRightInd w:val="0"/>
        <w:snapToGrid w:val="0"/>
        <w:spacing w:line="360" w:lineRule="auto"/>
        <w:ind w:firstLine="482"/>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致：成都怡建工程咨询代理有限公司 </w:t>
      </w:r>
    </w:p>
    <w:p>
      <w:pPr>
        <w:autoSpaceDE w:val="0"/>
        <w:autoSpaceDN w:val="0"/>
        <w:adjustRightInd w:val="0"/>
        <w:snapToGrid w:val="0"/>
        <w:spacing w:line="360" w:lineRule="auto"/>
        <w:ind w:firstLine="482"/>
        <w:jc w:val="left"/>
        <w:rPr>
          <w:rFonts w:ascii="宋体" w:hAnsi="宋体" w:cs="宋体"/>
          <w:color w:val="auto"/>
          <w:sz w:val="24"/>
          <w:highlight w:val="none"/>
          <w:lang w:val="zh-CN"/>
        </w:rPr>
      </w:pPr>
      <w:r>
        <w:rPr>
          <w:rFonts w:hint="eastAsia" w:ascii="宋体" w:hAnsi="宋体" w:cs="宋体"/>
          <w:color w:val="auto"/>
          <w:sz w:val="24"/>
          <w:highlight w:val="none"/>
          <w:lang w:val="zh-CN"/>
        </w:rPr>
        <w:t>根据贵方为</w:t>
      </w:r>
      <w:r>
        <w:rPr>
          <w:rFonts w:hint="eastAsia" w:ascii="宋体" w:hAnsi="宋体" w:cs="宋体"/>
          <w:color w:val="auto"/>
          <w:sz w:val="24"/>
          <w:highlight w:val="none"/>
          <w:u w:val="single"/>
        </w:rPr>
        <w:t>　　　　　　　</w:t>
      </w:r>
      <w:r>
        <w:rPr>
          <w:rFonts w:hint="eastAsia" w:ascii="宋体" w:hAnsi="宋体" w:cs="宋体"/>
          <w:color w:val="auto"/>
          <w:sz w:val="24"/>
          <w:highlight w:val="none"/>
        </w:rPr>
        <w:t>项目</w:t>
      </w:r>
      <w:r>
        <w:rPr>
          <w:rFonts w:hint="eastAsia" w:ascii="宋体" w:hAnsi="宋体" w:cs="宋体"/>
          <w:color w:val="auto"/>
          <w:sz w:val="24"/>
          <w:highlight w:val="none"/>
          <w:lang w:val="zh-CN"/>
        </w:rPr>
        <w:t>（项目编号：</w:t>
      </w:r>
      <w:r>
        <w:rPr>
          <w:rFonts w:hint="eastAsia" w:ascii="宋体" w:hAnsi="宋体" w:cs="宋体"/>
          <w:color w:val="auto"/>
          <w:sz w:val="24"/>
          <w:highlight w:val="none"/>
          <w:u w:val="single"/>
          <w:lang w:val="zh-CN"/>
        </w:rPr>
        <w:t>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w:t>
      </w:r>
      <w:r>
        <w:rPr>
          <w:rFonts w:hint="eastAsia" w:ascii="宋体" w:hAnsi="宋体" w:cs="宋体"/>
          <w:color w:val="auto"/>
          <w:sz w:val="24"/>
          <w:highlight w:val="none"/>
          <w:lang w:val="zh-CN"/>
        </w:rPr>
        <w:t>）的磋商邀请，代理人____________（全名、职务）经正式授权并代表供应商________________（供应商名称、地址）提交</w:t>
      </w:r>
      <w:r>
        <w:rPr>
          <w:rFonts w:hint="eastAsia" w:ascii="宋体" w:hAnsi="宋体" w:cs="宋体"/>
          <w:color w:val="auto"/>
          <w:sz w:val="24"/>
          <w:highlight w:val="none"/>
        </w:rPr>
        <w:t>本项目响应文件</w:t>
      </w:r>
      <w:r>
        <w:rPr>
          <w:rFonts w:hint="eastAsia" w:ascii="宋体" w:hAnsi="宋体" w:cs="宋体"/>
          <w:color w:val="auto"/>
          <w:sz w:val="24"/>
          <w:highlight w:val="none"/>
          <w:lang w:val="zh-CN"/>
        </w:rPr>
        <w:t>。</w:t>
      </w:r>
    </w:p>
    <w:p>
      <w:pPr>
        <w:autoSpaceDE w:val="0"/>
        <w:autoSpaceDN w:val="0"/>
        <w:adjustRightInd w:val="0"/>
        <w:snapToGrid w:val="0"/>
        <w:spacing w:line="360" w:lineRule="auto"/>
        <w:ind w:firstLine="482"/>
        <w:jc w:val="left"/>
        <w:rPr>
          <w:rFonts w:ascii="宋体" w:hAnsi="宋体" w:cs="宋体"/>
          <w:color w:val="auto"/>
          <w:sz w:val="24"/>
          <w:highlight w:val="none"/>
          <w:lang w:val="zh-CN"/>
        </w:rPr>
      </w:pPr>
      <w:r>
        <w:rPr>
          <w:rFonts w:hint="eastAsia" w:ascii="宋体" w:hAnsi="宋体" w:cs="宋体"/>
          <w:color w:val="auto"/>
          <w:sz w:val="24"/>
          <w:highlight w:val="none"/>
          <w:lang w:val="zh-CN"/>
        </w:rPr>
        <w:t>据此函，签字代表宣布同意如下：</w:t>
      </w:r>
    </w:p>
    <w:p>
      <w:pPr>
        <w:numPr>
          <w:ilvl w:val="0"/>
          <w:numId w:val="6"/>
        </w:num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项目进度和质量严格按磋商文件的规定执行，否则将承担由此产生的一切责任。</w:t>
      </w:r>
    </w:p>
    <w:p>
      <w:pPr>
        <w:numPr>
          <w:ilvl w:val="0"/>
          <w:numId w:val="6"/>
        </w:num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我方已详细审查了全部磋商文件，包括修改文件（如有的话）以及全部参考资料和有关附件。我们完全理解并同意放弃对这方面有不明及误解的权力。</w:t>
      </w:r>
    </w:p>
    <w:p>
      <w:pPr>
        <w:pStyle w:val="9"/>
        <w:numPr>
          <w:ilvl w:val="0"/>
          <w:numId w:val="6"/>
        </w:numPr>
        <w:spacing w:line="360" w:lineRule="auto"/>
        <w:ind w:firstLine="480"/>
        <w:rPr>
          <w:rFonts w:cs="宋体"/>
          <w:color w:val="auto"/>
          <w:sz w:val="24"/>
          <w:szCs w:val="24"/>
          <w:highlight w:val="none"/>
          <w:lang w:val="zh-CN"/>
        </w:rPr>
      </w:pPr>
      <w:r>
        <w:rPr>
          <w:rFonts w:hint="eastAsia" w:cs="宋体"/>
          <w:color w:val="auto"/>
          <w:sz w:val="24"/>
          <w:szCs w:val="24"/>
          <w:highlight w:val="none"/>
          <w:lang w:val="zh-CN"/>
        </w:rPr>
        <w:t>我方完全接受和满足本项目磋商文件中规定的实质性要求，如对磋商文件有异议，已依法进行维权救济，不存在对磋商文件有异议的同时又参加磋商以求侥幸成交或者为实现其他非法目的的行为。</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）我方同意响应文件有效期为从递交响应文件截止日期起</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天内有效；</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）我方同意提供采购人可能要求的与磋商有关的任何其它资料或数据；</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（6）如我方有意进行成都市中小企业政府采购信用融资活动，我单位将严格按照信用融资活动相关规定进行，同时真实、完整、准确地向融资机构提供信用融资审查所需相关资料，遵照融资约定及时还本付息。</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）我方将按磋商文件的规定履行合同责任和义务，并对提交的材料中的所有陈述和声明的真实性和完整性负责。</w:t>
      </w:r>
    </w:p>
    <w:p>
      <w:pPr>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（8）我方如成交，则同意按照采购代理机构要求时间及时交纳本项目规定的招标代理服务费。</w:t>
      </w:r>
    </w:p>
    <w:p>
      <w:pPr>
        <w:autoSpaceDE w:val="0"/>
        <w:autoSpaceDN w:val="0"/>
        <w:adjustRightInd w:val="0"/>
        <w:snapToGrid w:val="0"/>
        <w:spacing w:line="360" w:lineRule="auto"/>
        <w:jc w:val="left"/>
        <w:rPr>
          <w:rFonts w:ascii="宋体" w:hAnsi="宋体" w:cs="宋体"/>
          <w:color w:val="auto"/>
          <w:sz w:val="24"/>
          <w:highlight w:val="none"/>
          <w:lang w:val="zh-CN"/>
        </w:rPr>
      </w:pPr>
    </w:p>
    <w:p>
      <w:pPr>
        <w:pStyle w:val="2"/>
        <w:rPr>
          <w:color w:val="auto"/>
          <w:highlight w:val="none"/>
          <w:lang w:val="zh-CN"/>
        </w:rPr>
      </w:pPr>
    </w:p>
    <w:p>
      <w:pPr>
        <w:tabs>
          <w:tab w:val="left" w:pos="1080"/>
        </w:tabs>
        <w:autoSpaceDE w:val="0"/>
        <w:autoSpaceDN w:val="0"/>
        <w:adjustRightInd w:val="0"/>
        <w:snapToGrid w:val="0"/>
        <w:spacing w:line="360" w:lineRule="auto"/>
        <w:ind w:firstLine="482"/>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napToGrid w:val="0"/>
        <w:spacing w:line="360" w:lineRule="auto"/>
        <w:ind w:firstLine="482"/>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napToGrid w:val="0"/>
        <w:spacing w:line="360" w:lineRule="auto"/>
        <w:ind w:firstLine="482"/>
        <w:jc w:val="left"/>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highlight w:val="none"/>
        </w:rPr>
        <w:br w:type="page"/>
      </w:r>
      <w:r>
        <w:rPr>
          <w:rFonts w:hint="eastAsia" w:ascii="宋体" w:hAnsi="宋体" w:cs="宋体"/>
          <w:color w:val="auto"/>
          <w:sz w:val="28"/>
          <w:highlight w:val="none"/>
          <w:lang w:val="zh-CN"/>
        </w:rPr>
        <w:t>（</w:t>
      </w:r>
      <w:r>
        <w:rPr>
          <w:rFonts w:hint="eastAsia" w:ascii="宋体" w:hAnsi="宋体" w:cs="宋体"/>
          <w:color w:val="auto"/>
          <w:sz w:val="28"/>
          <w:highlight w:val="none"/>
        </w:rPr>
        <w:t>二</w:t>
      </w:r>
      <w:r>
        <w:rPr>
          <w:rFonts w:hint="eastAsia" w:ascii="宋体" w:hAnsi="宋体" w:cs="宋体"/>
          <w:color w:val="auto"/>
          <w:sz w:val="28"/>
          <w:highlight w:val="none"/>
          <w:lang w:val="zh-CN"/>
        </w:rPr>
        <w:t>）首轮报价函</w:t>
      </w:r>
    </w:p>
    <w:tbl>
      <w:tblPr>
        <w:tblStyle w:val="23"/>
        <w:tblW w:w="99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6463"/>
        <w:gridCol w:w="14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8" w:hRule="atLeast"/>
          <w:jc w:val="center"/>
        </w:trPr>
        <w:tc>
          <w:tcPr>
            <w:tcW w:w="2064" w:type="dxa"/>
            <w:tcBorders>
              <w:top w:val="single" w:color="auto" w:sz="4" w:space="0"/>
              <w:left w:val="single" w:color="auto" w:sz="4" w:space="0"/>
              <w:bottom w:val="single" w:color="000000" w:sz="6" w:space="0"/>
            </w:tcBorders>
            <w:vAlign w:val="center"/>
          </w:tcPr>
          <w:p>
            <w:pPr>
              <w:wordWrap w:val="0"/>
              <w:topLinePun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463" w:type="dxa"/>
            <w:tcBorders>
              <w:top w:val="single" w:color="auto" w:sz="4" w:space="0"/>
              <w:bottom w:val="single" w:color="000000" w:sz="6" w:space="0"/>
              <w:right w:val="single" w:color="auto" w:sz="4" w:space="0"/>
            </w:tcBorders>
            <w:vAlign w:val="center"/>
          </w:tcPr>
          <w:p>
            <w:pPr>
              <w:wordWrap w:val="0"/>
              <w:topLinePunct/>
              <w:jc w:val="center"/>
              <w:rPr>
                <w:rFonts w:ascii="宋体" w:hAnsi="宋体" w:cs="宋体"/>
                <w:color w:val="auto"/>
                <w:highlight w:val="none"/>
              </w:rPr>
            </w:pPr>
          </w:p>
        </w:tc>
        <w:tc>
          <w:tcPr>
            <w:tcW w:w="1412" w:type="dxa"/>
            <w:tcBorders>
              <w:top w:val="single" w:color="auto" w:sz="4" w:space="0"/>
              <w:left w:val="single" w:color="auto" w:sz="4" w:space="0"/>
              <w:bottom w:val="single" w:color="000000" w:sz="6" w:space="0"/>
              <w:right w:val="single" w:color="auto" w:sz="4" w:space="0"/>
            </w:tcBorders>
            <w:vAlign w:val="center"/>
          </w:tcPr>
          <w:p>
            <w:pPr>
              <w:wordWrap w:val="0"/>
              <w:topLinePunct/>
              <w:jc w:val="center"/>
              <w:rPr>
                <w:rFonts w:ascii="宋体" w:hAnsi="宋体" w:cs="宋体"/>
                <w:color w:val="auto"/>
                <w:highlight w:val="none"/>
              </w:rPr>
            </w:pPr>
            <w:r>
              <w:rPr>
                <w:rFonts w:hint="eastAsia" w:ascii="宋体" w:hAnsi="宋体" w:cs="宋体"/>
                <w:color w:val="auto"/>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2064" w:type="dxa"/>
            <w:tcBorders>
              <w:top w:val="single" w:color="000000" w:sz="6" w:space="0"/>
              <w:left w:val="single" w:color="auto" w:sz="4" w:space="0"/>
            </w:tcBorders>
            <w:vAlign w:val="center"/>
          </w:tcPr>
          <w:p>
            <w:pPr>
              <w:wordWrap w:val="0"/>
              <w:topLinePun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463" w:type="dxa"/>
            <w:tcBorders>
              <w:top w:val="single" w:color="000000" w:sz="6" w:space="0"/>
              <w:right w:val="single" w:color="auto" w:sz="4" w:space="0"/>
            </w:tcBorders>
            <w:vAlign w:val="center"/>
          </w:tcPr>
          <w:p>
            <w:pPr>
              <w:wordWrap w:val="0"/>
              <w:topLinePunct/>
              <w:ind w:firstLine="480"/>
              <w:jc w:val="center"/>
              <w:rPr>
                <w:rFonts w:ascii="宋体" w:hAnsi="宋体" w:cs="宋体"/>
                <w:color w:val="auto"/>
                <w:highlight w:val="none"/>
              </w:rPr>
            </w:pPr>
          </w:p>
        </w:tc>
        <w:tc>
          <w:tcPr>
            <w:tcW w:w="1412" w:type="dxa"/>
            <w:vMerge w:val="restart"/>
            <w:tcBorders>
              <w:top w:val="single" w:color="000000" w:sz="6" w:space="0"/>
              <w:left w:val="single" w:color="auto" w:sz="4" w:space="0"/>
              <w:bottom w:val="single" w:color="auto" w:sz="4" w:space="0"/>
              <w:right w:val="single" w:color="auto" w:sz="4" w:space="0"/>
            </w:tcBorders>
            <w:vAlign w:val="center"/>
          </w:tcPr>
          <w:p>
            <w:pPr>
              <w:wordWrap w:val="0"/>
              <w:topLinePunct/>
              <w:ind w:firstLine="480"/>
              <w:jc w:val="center"/>
              <w:rPr>
                <w:rFonts w:ascii="宋体" w:hAnsi="宋体" w:cs="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74" w:hRule="atLeast"/>
          <w:jc w:val="center"/>
        </w:trPr>
        <w:tc>
          <w:tcPr>
            <w:tcW w:w="2064" w:type="dxa"/>
            <w:tcBorders>
              <w:top w:val="single" w:color="auto" w:sz="4" w:space="0"/>
              <w:left w:val="single" w:color="auto" w:sz="4" w:space="0"/>
              <w:bottom w:val="single" w:color="auto" w:sz="4" w:space="0"/>
              <w:right w:val="single" w:color="auto" w:sz="4" w:space="0"/>
            </w:tcBorders>
            <w:vAlign w:val="center"/>
          </w:tcPr>
          <w:p>
            <w:pPr>
              <w:topLinePunct/>
              <w:jc w:val="center"/>
              <w:rPr>
                <w:rFonts w:hint="eastAsia" w:ascii="宋体" w:hAnsi="宋体" w:cs="宋体"/>
                <w:color w:val="auto"/>
                <w:sz w:val="24"/>
                <w:highlight w:val="none"/>
              </w:rPr>
            </w:pPr>
            <w:r>
              <w:rPr>
                <w:rFonts w:hint="eastAsia" w:ascii="宋体" w:hAnsi="宋体" w:cs="宋体"/>
                <w:color w:val="auto"/>
                <w:sz w:val="24"/>
                <w:highlight w:val="none"/>
              </w:rPr>
              <w:t>报价</w:t>
            </w:r>
          </w:p>
          <w:p>
            <w:pPr>
              <w:topLinePunct/>
              <w:jc w:val="center"/>
              <w:rPr>
                <w:rFonts w:ascii="宋体" w:hAnsi="宋体" w:cs="宋体"/>
                <w:color w:val="auto"/>
                <w:sz w:val="24"/>
                <w:highlight w:val="none"/>
              </w:rPr>
            </w:pPr>
            <w:r>
              <w:rPr>
                <w:rFonts w:hint="eastAsia" w:ascii="宋体" w:hAnsi="宋体" w:cs="宋体"/>
                <w:color w:val="auto"/>
                <w:sz w:val="24"/>
                <w:highlight w:val="none"/>
              </w:rPr>
              <w:t>（统一下浮率）</w:t>
            </w:r>
          </w:p>
        </w:tc>
        <w:tc>
          <w:tcPr>
            <w:tcW w:w="6463" w:type="dxa"/>
            <w:tcBorders>
              <w:top w:val="single" w:color="auto" w:sz="4" w:space="0"/>
              <w:bottom w:val="single" w:color="auto" w:sz="4" w:space="0"/>
              <w:right w:val="single" w:color="auto" w:sz="4" w:space="0"/>
            </w:tcBorders>
            <w:vAlign w:val="center"/>
          </w:tcPr>
          <w:p>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p>
          <w:p>
            <w:pPr>
              <w:wordWrap w:val="0"/>
              <w:topLinePunct/>
              <w:spacing w:line="360" w:lineRule="auto"/>
              <w:rPr>
                <w:rFonts w:ascii="宋体" w:hAnsi="宋体" w:cs="宋体"/>
                <w:color w:val="auto"/>
                <w:sz w:val="22"/>
                <w:szCs w:val="22"/>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color w:val="auto"/>
                <w:sz w:val="24"/>
                <w:highlight w:val="none"/>
              </w:rPr>
            </w:pPr>
          </w:p>
        </w:tc>
      </w:tr>
    </w:tbl>
    <w:p>
      <w:pPr>
        <w:spacing w:line="460" w:lineRule="exact"/>
        <w:ind w:firstLine="430" w:firstLineChars="200"/>
        <w:rPr>
          <w:rFonts w:hint="eastAsia" w:ascii="宋体" w:hAnsi="宋体" w:cs="宋体"/>
          <w:color w:val="auto"/>
          <w:kern w:val="0"/>
          <w:highlight w:val="none"/>
          <w:lang w:bidi="ar"/>
        </w:rPr>
      </w:pPr>
      <w:r>
        <w:rPr>
          <w:rFonts w:hint="eastAsia" w:ascii="宋体" w:hAnsi="宋体" w:cs="宋体"/>
          <w:color w:val="auto"/>
          <w:kern w:val="0"/>
          <w:highlight w:val="none"/>
          <w:lang w:bidi="ar"/>
        </w:rPr>
        <w:t xml:space="preserve">注：应综合考虑包括货物生产、加工、人工、运输、保险、税费和售后服务等完成本项目所需的一切费用后进行项目报价。 </w:t>
      </w:r>
    </w:p>
    <w:p>
      <w:pPr>
        <w:pStyle w:val="2"/>
        <w:rPr>
          <w:rFonts w:hint="eastAsia" w:ascii="宋体" w:hAnsi="宋体" w:cs="宋体"/>
          <w:color w:val="auto"/>
          <w:kern w:val="0"/>
          <w:highlight w:val="none"/>
          <w:lang w:bidi="ar"/>
        </w:rPr>
      </w:pPr>
    </w:p>
    <w:p>
      <w:pPr>
        <w:pStyle w:val="2"/>
        <w:rPr>
          <w:rFonts w:hint="eastAsia" w:ascii="宋体" w:hAnsi="宋体" w:cs="宋体"/>
          <w:color w:val="auto"/>
          <w:kern w:val="0"/>
          <w:highlight w:val="none"/>
          <w:lang w:bidi="ar"/>
        </w:rPr>
      </w:pPr>
    </w:p>
    <w:p>
      <w:pPr>
        <w:pStyle w:val="2"/>
        <w:rPr>
          <w:rFonts w:hint="eastAsia" w:ascii="宋体" w:hAnsi="宋体" w:cs="宋体"/>
          <w:color w:val="auto"/>
          <w:kern w:val="0"/>
          <w:highlight w:val="none"/>
          <w:lang w:bidi="ar"/>
        </w:rPr>
      </w:pPr>
    </w:p>
    <w:p>
      <w:pPr>
        <w:rPr>
          <w:rFonts w:ascii="宋体" w:hAnsi="宋体" w:eastAsia="宋体" w:cs="宋体"/>
          <w:color w:val="auto"/>
          <w:highlight w:val="none"/>
        </w:rPr>
      </w:pPr>
    </w:p>
    <w:p>
      <w:pPr>
        <w:pStyle w:val="2"/>
        <w:rPr>
          <w:color w:val="auto"/>
          <w:highlight w:val="none"/>
        </w:rPr>
      </w:pPr>
    </w:p>
    <w:p>
      <w:pPr>
        <w:tabs>
          <w:tab w:val="left" w:pos="1080"/>
        </w:tabs>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360" w:lineRule="auto"/>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jc w:val="center"/>
        <w:rPr>
          <w:rFonts w:ascii="宋体" w:hAnsi="宋体" w:cs="宋体"/>
          <w:color w:val="auto"/>
          <w:sz w:val="32"/>
          <w:szCs w:val="32"/>
          <w:highlight w:val="none"/>
        </w:rPr>
      </w:pPr>
      <w:r>
        <w:rPr>
          <w:rFonts w:hint="eastAsia" w:ascii="宋体" w:hAnsi="宋体" w:cs="宋体"/>
          <w:b w:val="0"/>
          <w:color w:val="auto"/>
          <w:sz w:val="32"/>
          <w:szCs w:val="32"/>
          <w:highlight w:val="none"/>
        </w:rPr>
        <w:br w:type="page"/>
      </w:r>
      <w:r>
        <w:rPr>
          <w:rFonts w:hint="eastAsia" w:ascii="宋体" w:hAnsi="宋体" w:cs="宋体"/>
          <w:color w:val="auto"/>
          <w:sz w:val="28"/>
          <w:highlight w:val="none"/>
          <w:lang w:val="zh-CN"/>
        </w:rPr>
        <w:t>（三）供应商基本情况表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供应商名称</w:t>
            </w:r>
          </w:p>
        </w:tc>
        <w:tc>
          <w:tcPr>
            <w:tcW w:w="7560" w:type="dxa"/>
            <w:gridSpan w:val="11"/>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注册地址</w:t>
            </w:r>
          </w:p>
        </w:tc>
        <w:tc>
          <w:tcPr>
            <w:tcW w:w="4680" w:type="dxa"/>
            <w:gridSpan w:val="6"/>
            <w:vAlign w:val="center"/>
          </w:tcPr>
          <w:p>
            <w:pPr>
              <w:jc w:val="center"/>
              <w:rPr>
                <w:rFonts w:ascii="宋体" w:hAnsi="宋体" w:cs="宋体"/>
                <w:bCs/>
                <w:color w:val="auto"/>
                <w:szCs w:val="21"/>
                <w:highlight w:val="none"/>
              </w:rPr>
            </w:pPr>
          </w:p>
        </w:tc>
        <w:tc>
          <w:tcPr>
            <w:tcW w:w="126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邮政编码</w:t>
            </w:r>
          </w:p>
        </w:tc>
        <w:tc>
          <w:tcPr>
            <w:tcW w:w="1620" w:type="dxa"/>
            <w:gridSpan w:val="2"/>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联系方式</w:t>
            </w:r>
          </w:p>
        </w:tc>
        <w:tc>
          <w:tcPr>
            <w:tcW w:w="108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联系人</w:t>
            </w:r>
          </w:p>
        </w:tc>
        <w:tc>
          <w:tcPr>
            <w:tcW w:w="3600" w:type="dxa"/>
            <w:gridSpan w:val="5"/>
            <w:vAlign w:val="center"/>
          </w:tcPr>
          <w:p>
            <w:pPr>
              <w:jc w:val="center"/>
              <w:rPr>
                <w:rFonts w:ascii="宋体" w:hAnsi="宋体" w:cs="宋体"/>
                <w:bCs/>
                <w:color w:val="auto"/>
                <w:szCs w:val="21"/>
                <w:highlight w:val="none"/>
              </w:rPr>
            </w:pPr>
          </w:p>
        </w:tc>
        <w:tc>
          <w:tcPr>
            <w:tcW w:w="126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1620" w:type="dxa"/>
            <w:gridSpan w:val="2"/>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宋体"/>
                <w:bCs/>
                <w:color w:val="auto"/>
                <w:szCs w:val="21"/>
                <w:highlight w:val="none"/>
              </w:rPr>
            </w:pPr>
          </w:p>
        </w:tc>
        <w:tc>
          <w:tcPr>
            <w:tcW w:w="108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传真</w:t>
            </w:r>
          </w:p>
        </w:tc>
        <w:tc>
          <w:tcPr>
            <w:tcW w:w="3600" w:type="dxa"/>
            <w:gridSpan w:val="5"/>
            <w:vAlign w:val="center"/>
          </w:tcPr>
          <w:p>
            <w:pPr>
              <w:jc w:val="center"/>
              <w:rPr>
                <w:rFonts w:ascii="宋体" w:hAnsi="宋体" w:cs="宋体"/>
                <w:bCs/>
                <w:color w:val="auto"/>
                <w:szCs w:val="21"/>
                <w:highlight w:val="none"/>
              </w:rPr>
            </w:pPr>
          </w:p>
        </w:tc>
        <w:tc>
          <w:tcPr>
            <w:tcW w:w="126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网址</w:t>
            </w:r>
          </w:p>
        </w:tc>
        <w:tc>
          <w:tcPr>
            <w:tcW w:w="1620" w:type="dxa"/>
            <w:gridSpan w:val="2"/>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组织结构</w:t>
            </w:r>
          </w:p>
        </w:tc>
        <w:tc>
          <w:tcPr>
            <w:tcW w:w="7560" w:type="dxa"/>
            <w:gridSpan w:val="11"/>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1260"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260" w:type="dxa"/>
            <w:vAlign w:val="center"/>
          </w:tcPr>
          <w:p>
            <w:pPr>
              <w:jc w:val="center"/>
              <w:rPr>
                <w:rFonts w:ascii="宋体" w:hAnsi="宋体" w:cs="宋体"/>
                <w:bCs/>
                <w:color w:val="auto"/>
                <w:szCs w:val="21"/>
                <w:highlight w:val="none"/>
              </w:rPr>
            </w:pPr>
          </w:p>
        </w:tc>
        <w:tc>
          <w:tcPr>
            <w:tcW w:w="126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技术职称</w:t>
            </w:r>
          </w:p>
        </w:tc>
        <w:tc>
          <w:tcPr>
            <w:tcW w:w="1260" w:type="dxa"/>
            <w:gridSpan w:val="3"/>
            <w:vAlign w:val="center"/>
          </w:tcPr>
          <w:p>
            <w:pPr>
              <w:jc w:val="center"/>
              <w:rPr>
                <w:rFonts w:ascii="宋体" w:hAnsi="宋体" w:cs="宋体"/>
                <w:bCs/>
                <w:color w:val="auto"/>
                <w:szCs w:val="21"/>
                <w:highlight w:val="none"/>
              </w:rPr>
            </w:pPr>
          </w:p>
        </w:tc>
        <w:tc>
          <w:tcPr>
            <w:tcW w:w="126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1260" w:type="dxa"/>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技术负责人</w:t>
            </w:r>
          </w:p>
        </w:tc>
        <w:tc>
          <w:tcPr>
            <w:tcW w:w="1260"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260" w:type="dxa"/>
            <w:vAlign w:val="center"/>
          </w:tcPr>
          <w:p>
            <w:pPr>
              <w:jc w:val="center"/>
              <w:rPr>
                <w:rFonts w:ascii="宋体" w:hAnsi="宋体" w:cs="宋体"/>
                <w:bCs/>
                <w:color w:val="auto"/>
                <w:szCs w:val="21"/>
                <w:highlight w:val="none"/>
              </w:rPr>
            </w:pPr>
          </w:p>
        </w:tc>
        <w:tc>
          <w:tcPr>
            <w:tcW w:w="126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技术职称</w:t>
            </w:r>
          </w:p>
        </w:tc>
        <w:tc>
          <w:tcPr>
            <w:tcW w:w="1260" w:type="dxa"/>
            <w:gridSpan w:val="3"/>
            <w:vAlign w:val="center"/>
          </w:tcPr>
          <w:p>
            <w:pPr>
              <w:jc w:val="center"/>
              <w:rPr>
                <w:rFonts w:ascii="宋体" w:hAnsi="宋体" w:cs="宋体"/>
                <w:bCs/>
                <w:color w:val="auto"/>
                <w:szCs w:val="21"/>
                <w:highlight w:val="none"/>
              </w:rPr>
            </w:pPr>
          </w:p>
        </w:tc>
        <w:tc>
          <w:tcPr>
            <w:tcW w:w="126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1260" w:type="dxa"/>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成立时间</w:t>
            </w:r>
          </w:p>
        </w:tc>
        <w:tc>
          <w:tcPr>
            <w:tcW w:w="2520" w:type="dxa"/>
            <w:gridSpan w:val="3"/>
            <w:vAlign w:val="center"/>
          </w:tcPr>
          <w:p>
            <w:pPr>
              <w:jc w:val="center"/>
              <w:rPr>
                <w:rFonts w:ascii="宋体" w:hAnsi="宋体" w:cs="宋体"/>
                <w:bCs/>
                <w:color w:val="auto"/>
                <w:szCs w:val="21"/>
                <w:highlight w:val="none"/>
              </w:rPr>
            </w:pPr>
          </w:p>
        </w:tc>
        <w:tc>
          <w:tcPr>
            <w:tcW w:w="5040" w:type="dxa"/>
            <w:gridSpan w:val="8"/>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企业资质等级</w:t>
            </w:r>
          </w:p>
        </w:tc>
        <w:tc>
          <w:tcPr>
            <w:tcW w:w="2520" w:type="dxa"/>
            <w:gridSpan w:val="3"/>
            <w:vAlign w:val="center"/>
          </w:tcPr>
          <w:p>
            <w:pPr>
              <w:jc w:val="center"/>
              <w:rPr>
                <w:rFonts w:ascii="宋体" w:hAnsi="宋体" w:cs="宋体"/>
                <w:bCs/>
                <w:color w:val="auto"/>
                <w:szCs w:val="21"/>
                <w:highlight w:val="none"/>
              </w:rPr>
            </w:pPr>
          </w:p>
        </w:tc>
        <w:tc>
          <w:tcPr>
            <w:tcW w:w="1680" w:type="dxa"/>
            <w:gridSpan w:val="2"/>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其中</w:t>
            </w:r>
          </w:p>
        </w:tc>
        <w:tc>
          <w:tcPr>
            <w:tcW w:w="168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项目经理</w:t>
            </w:r>
          </w:p>
        </w:tc>
        <w:tc>
          <w:tcPr>
            <w:tcW w:w="1680" w:type="dxa"/>
            <w:gridSpan w:val="3"/>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营业执照</w:t>
            </w:r>
            <w:r>
              <w:rPr>
                <w:rFonts w:hint="eastAsia" w:ascii="宋体" w:hAnsi="宋体" w:cs="宋体"/>
                <w:color w:val="auto"/>
                <w:highlight w:val="none"/>
              </w:rPr>
              <w:t>号</w:t>
            </w:r>
          </w:p>
        </w:tc>
        <w:tc>
          <w:tcPr>
            <w:tcW w:w="2520" w:type="dxa"/>
            <w:gridSpan w:val="3"/>
            <w:vAlign w:val="center"/>
          </w:tcPr>
          <w:p>
            <w:pPr>
              <w:jc w:val="center"/>
              <w:rPr>
                <w:rFonts w:ascii="宋体" w:hAnsi="宋体" w:cs="宋体"/>
                <w:bCs/>
                <w:color w:val="auto"/>
                <w:szCs w:val="21"/>
                <w:highlight w:val="none"/>
              </w:rPr>
            </w:pPr>
          </w:p>
        </w:tc>
        <w:tc>
          <w:tcPr>
            <w:tcW w:w="1680" w:type="dxa"/>
            <w:gridSpan w:val="2"/>
            <w:vMerge w:val="continue"/>
            <w:vAlign w:val="center"/>
          </w:tcPr>
          <w:p>
            <w:pPr>
              <w:jc w:val="center"/>
              <w:rPr>
                <w:rFonts w:ascii="宋体" w:hAnsi="宋体" w:cs="宋体"/>
                <w:bCs/>
                <w:color w:val="auto"/>
                <w:szCs w:val="21"/>
                <w:highlight w:val="none"/>
              </w:rPr>
            </w:pPr>
          </w:p>
        </w:tc>
        <w:tc>
          <w:tcPr>
            <w:tcW w:w="168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高级职称人员</w:t>
            </w:r>
          </w:p>
        </w:tc>
        <w:tc>
          <w:tcPr>
            <w:tcW w:w="1680" w:type="dxa"/>
            <w:gridSpan w:val="3"/>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注册资金</w:t>
            </w:r>
          </w:p>
        </w:tc>
        <w:tc>
          <w:tcPr>
            <w:tcW w:w="2520" w:type="dxa"/>
            <w:gridSpan w:val="3"/>
            <w:vAlign w:val="center"/>
          </w:tcPr>
          <w:p>
            <w:pPr>
              <w:jc w:val="center"/>
              <w:rPr>
                <w:rFonts w:ascii="宋体" w:hAnsi="宋体" w:cs="宋体"/>
                <w:bCs/>
                <w:color w:val="auto"/>
                <w:szCs w:val="21"/>
                <w:highlight w:val="none"/>
              </w:rPr>
            </w:pPr>
          </w:p>
        </w:tc>
        <w:tc>
          <w:tcPr>
            <w:tcW w:w="1680" w:type="dxa"/>
            <w:gridSpan w:val="2"/>
            <w:vMerge w:val="continue"/>
            <w:vAlign w:val="center"/>
          </w:tcPr>
          <w:p>
            <w:pPr>
              <w:jc w:val="center"/>
              <w:rPr>
                <w:rFonts w:ascii="宋体" w:hAnsi="宋体" w:cs="宋体"/>
                <w:bCs/>
                <w:color w:val="auto"/>
                <w:szCs w:val="21"/>
                <w:highlight w:val="none"/>
              </w:rPr>
            </w:pPr>
          </w:p>
        </w:tc>
        <w:tc>
          <w:tcPr>
            <w:tcW w:w="168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中级职称人员</w:t>
            </w:r>
          </w:p>
        </w:tc>
        <w:tc>
          <w:tcPr>
            <w:tcW w:w="1680" w:type="dxa"/>
            <w:gridSpan w:val="3"/>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开户银行</w:t>
            </w:r>
          </w:p>
        </w:tc>
        <w:tc>
          <w:tcPr>
            <w:tcW w:w="2520" w:type="dxa"/>
            <w:gridSpan w:val="3"/>
            <w:vAlign w:val="center"/>
          </w:tcPr>
          <w:p>
            <w:pPr>
              <w:jc w:val="center"/>
              <w:rPr>
                <w:rFonts w:ascii="宋体" w:hAnsi="宋体" w:cs="宋体"/>
                <w:bCs/>
                <w:color w:val="auto"/>
                <w:szCs w:val="21"/>
                <w:highlight w:val="none"/>
              </w:rPr>
            </w:pPr>
          </w:p>
        </w:tc>
        <w:tc>
          <w:tcPr>
            <w:tcW w:w="1680" w:type="dxa"/>
            <w:gridSpan w:val="2"/>
            <w:vMerge w:val="continue"/>
            <w:vAlign w:val="center"/>
          </w:tcPr>
          <w:p>
            <w:pPr>
              <w:jc w:val="center"/>
              <w:rPr>
                <w:rFonts w:ascii="宋体" w:hAnsi="宋体" w:cs="宋体"/>
                <w:bCs/>
                <w:color w:val="auto"/>
                <w:szCs w:val="21"/>
                <w:highlight w:val="none"/>
              </w:rPr>
            </w:pPr>
          </w:p>
        </w:tc>
        <w:tc>
          <w:tcPr>
            <w:tcW w:w="168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初级职称人员</w:t>
            </w:r>
          </w:p>
        </w:tc>
        <w:tc>
          <w:tcPr>
            <w:tcW w:w="1680" w:type="dxa"/>
            <w:gridSpan w:val="3"/>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账号</w:t>
            </w:r>
          </w:p>
        </w:tc>
        <w:tc>
          <w:tcPr>
            <w:tcW w:w="2520" w:type="dxa"/>
            <w:gridSpan w:val="3"/>
            <w:vAlign w:val="center"/>
          </w:tcPr>
          <w:p>
            <w:pPr>
              <w:jc w:val="center"/>
              <w:rPr>
                <w:rFonts w:ascii="宋体" w:hAnsi="宋体" w:cs="宋体"/>
                <w:bCs/>
                <w:color w:val="auto"/>
                <w:szCs w:val="21"/>
                <w:highlight w:val="none"/>
              </w:rPr>
            </w:pPr>
          </w:p>
        </w:tc>
        <w:tc>
          <w:tcPr>
            <w:tcW w:w="1680" w:type="dxa"/>
            <w:gridSpan w:val="2"/>
            <w:vMerge w:val="continue"/>
            <w:vAlign w:val="center"/>
          </w:tcPr>
          <w:p>
            <w:pPr>
              <w:jc w:val="center"/>
              <w:rPr>
                <w:rFonts w:ascii="宋体" w:hAnsi="宋体" w:cs="宋体"/>
                <w:bCs/>
                <w:color w:val="auto"/>
                <w:szCs w:val="21"/>
                <w:highlight w:val="none"/>
              </w:rPr>
            </w:pPr>
          </w:p>
        </w:tc>
        <w:tc>
          <w:tcPr>
            <w:tcW w:w="1680" w:type="dxa"/>
            <w:gridSpan w:val="3"/>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技工</w:t>
            </w:r>
          </w:p>
        </w:tc>
        <w:tc>
          <w:tcPr>
            <w:tcW w:w="1680" w:type="dxa"/>
            <w:gridSpan w:val="3"/>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经营范围</w:t>
            </w:r>
          </w:p>
        </w:tc>
        <w:tc>
          <w:tcPr>
            <w:tcW w:w="7560" w:type="dxa"/>
            <w:gridSpan w:val="11"/>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备注</w:t>
            </w:r>
          </w:p>
        </w:tc>
        <w:tc>
          <w:tcPr>
            <w:tcW w:w="7560" w:type="dxa"/>
            <w:gridSpan w:val="11"/>
            <w:vAlign w:val="center"/>
          </w:tcPr>
          <w:p>
            <w:pPr>
              <w:jc w:val="center"/>
              <w:rPr>
                <w:rFonts w:ascii="宋体" w:hAnsi="宋体" w:cs="宋体"/>
                <w:bCs/>
                <w:color w:val="auto"/>
                <w:szCs w:val="21"/>
                <w:highlight w:val="none"/>
              </w:rPr>
            </w:pPr>
          </w:p>
        </w:tc>
      </w:tr>
    </w:tbl>
    <w:p>
      <w:pPr>
        <w:adjustRightInd w:val="0"/>
        <w:spacing w:line="400" w:lineRule="exact"/>
        <w:jc w:val="left"/>
        <w:rPr>
          <w:rFonts w:ascii="宋体" w:hAnsi="宋体" w:cs="宋体"/>
          <w:color w:val="auto"/>
          <w:sz w:val="24"/>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32"/>
          <w:szCs w:val="32"/>
          <w:highlight w:val="none"/>
        </w:rPr>
        <w:br w:type="page"/>
      </w:r>
      <w:r>
        <w:rPr>
          <w:rFonts w:hint="eastAsia" w:ascii="宋体" w:hAnsi="宋体" w:cs="宋体"/>
          <w:color w:val="auto"/>
          <w:sz w:val="28"/>
          <w:highlight w:val="none"/>
          <w:lang w:val="zh-CN"/>
        </w:rPr>
        <w:t>（</w:t>
      </w:r>
      <w:r>
        <w:rPr>
          <w:rFonts w:hint="eastAsia" w:ascii="宋体" w:hAnsi="宋体" w:cs="宋体"/>
          <w:color w:val="auto"/>
          <w:sz w:val="28"/>
          <w:highlight w:val="none"/>
        </w:rPr>
        <w:t>四</w:t>
      </w:r>
      <w:r>
        <w:rPr>
          <w:rFonts w:hint="eastAsia" w:ascii="宋体" w:hAnsi="宋体" w:cs="宋体"/>
          <w:color w:val="auto"/>
          <w:sz w:val="28"/>
          <w:highlight w:val="none"/>
          <w:lang w:val="zh-CN"/>
        </w:rPr>
        <w:t>）</w:t>
      </w:r>
      <w:r>
        <w:rPr>
          <w:rFonts w:hint="eastAsia" w:ascii="宋体" w:hAnsi="宋体" w:cs="宋体"/>
          <w:color w:val="auto"/>
          <w:sz w:val="28"/>
          <w:highlight w:val="none"/>
        </w:rPr>
        <w:t>配送食材</w:t>
      </w:r>
      <w:r>
        <w:rPr>
          <w:rFonts w:hint="eastAsia" w:ascii="宋体" w:hAnsi="宋体" w:cs="宋体"/>
          <w:color w:val="auto"/>
          <w:sz w:val="28"/>
          <w:highlight w:val="none"/>
          <w:lang w:val="zh-CN"/>
        </w:rPr>
        <w:t>情况表</w:t>
      </w:r>
    </w:p>
    <w:p>
      <w:pPr>
        <w:pStyle w:val="12"/>
        <w:ind w:firstLine="0"/>
        <w:rPr>
          <w:rFonts w:ascii="宋体" w:hAnsi="宋体" w:eastAsia="宋体" w:cs="宋体"/>
          <w:color w:val="auto"/>
          <w:sz w:val="21"/>
          <w:szCs w:val="21"/>
          <w:highlight w:val="none"/>
        </w:rPr>
      </w:pPr>
    </w:p>
    <w:tbl>
      <w:tblPr>
        <w:tblStyle w:val="2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35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3748" w:type="dxa"/>
            <w:vAlign w:val="center"/>
          </w:tcPr>
          <w:p>
            <w:pPr>
              <w:spacing w:line="400" w:lineRule="exact"/>
              <w:jc w:val="center"/>
              <w:rPr>
                <w:rFonts w:ascii="宋体" w:hAnsi="宋体" w:cs="宋体"/>
                <w:color w:val="auto"/>
                <w:sz w:val="26"/>
                <w:szCs w:val="26"/>
                <w:highlight w:val="none"/>
              </w:rPr>
            </w:pPr>
            <w:r>
              <w:rPr>
                <w:rFonts w:hint="eastAsia" w:ascii="宋体" w:hAnsi="宋体" w:cs="宋体"/>
                <w:color w:val="auto"/>
                <w:sz w:val="26"/>
                <w:szCs w:val="26"/>
                <w:highlight w:val="none"/>
              </w:rPr>
              <w:t>配送内容</w:t>
            </w:r>
          </w:p>
        </w:tc>
        <w:tc>
          <w:tcPr>
            <w:tcW w:w="3525" w:type="dxa"/>
            <w:vAlign w:val="center"/>
          </w:tcPr>
          <w:p>
            <w:pPr>
              <w:spacing w:line="400" w:lineRule="exact"/>
              <w:jc w:val="center"/>
              <w:rPr>
                <w:rFonts w:ascii="宋体" w:hAnsi="宋体" w:cs="宋体"/>
                <w:color w:val="auto"/>
                <w:sz w:val="26"/>
                <w:szCs w:val="26"/>
                <w:highlight w:val="none"/>
              </w:rPr>
            </w:pPr>
            <w:r>
              <w:rPr>
                <w:rFonts w:hint="eastAsia" w:ascii="宋体" w:hAnsi="宋体" w:cs="宋体"/>
                <w:color w:val="auto"/>
                <w:sz w:val="26"/>
                <w:szCs w:val="26"/>
                <w:highlight w:val="none"/>
              </w:rPr>
              <w:t>品牌/生产商</w:t>
            </w:r>
          </w:p>
        </w:tc>
        <w:tc>
          <w:tcPr>
            <w:tcW w:w="2535" w:type="dxa"/>
            <w:vAlign w:val="center"/>
          </w:tcPr>
          <w:p>
            <w:pPr>
              <w:spacing w:line="400" w:lineRule="exact"/>
              <w:jc w:val="center"/>
              <w:rPr>
                <w:rFonts w:ascii="宋体" w:hAnsi="宋体" w:cs="宋体"/>
                <w:color w:val="auto"/>
                <w:sz w:val="26"/>
                <w:szCs w:val="26"/>
                <w:highlight w:val="none"/>
              </w:rPr>
            </w:pPr>
            <w:r>
              <w:rPr>
                <w:rFonts w:hint="eastAsia" w:ascii="宋体" w:hAnsi="宋体" w:cs="宋体"/>
                <w:color w:val="auto"/>
                <w:sz w:val="26"/>
                <w:szCs w:val="26"/>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748" w:type="dxa"/>
            <w:vAlign w:val="center"/>
          </w:tcPr>
          <w:p>
            <w:pPr>
              <w:spacing w:line="540" w:lineRule="exact"/>
              <w:jc w:val="center"/>
              <w:rPr>
                <w:rFonts w:ascii="宋体" w:hAnsi="宋体" w:cs="宋体"/>
                <w:color w:val="auto"/>
                <w:sz w:val="26"/>
                <w:szCs w:val="26"/>
                <w:highlight w:val="none"/>
              </w:rPr>
            </w:pPr>
          </w:p>
        </w:tc>
        <w:tc>
          <w:tcPr>
            <w:tcW w:w="3525" w:type="dxa"/>
            <w:vAlign w:val="center"/>
          </w:tcPr>
          <w:p>
            <w:pPr>
              <w:spacing w:line="400" w:lineRule="exact"/>
              <w:jc w:val="center"/>
              <w:rPr>
                <w:rFonts w:ascii="宋体" w:hAnsi="宋体" w:cs="宋体"/>
                <w:color w:val="auto"/>
                <w:sz w:val="26"/>
                <w:szCs w:val="26"/>
                <w:highlight w:val="none"/>
              </w:rPr>
            </w:pPr>
          </w:p>
        </w:tc>
        <w:tc>
          <w:tcPr>
            <w:tcW w:w="2535" w:type="dxa"/>
            <w:vAlign w:val="center"/>
          </w:tcPr>
          <w:p>
            <w:pPr>
              <w:spacing w:line="400" w:lineRule="exact"/>
              <w:jc w:val="center"/>
              <w:rPr>
                <w:rFonts w:ascii="宋体" w:hAnsi="宋体" w:cs="宋体"/>
                <w:color w:val="auto"/>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748" w:type="dxa"/>
            <w:vAlign w:val="center"/>
          </w:tcPr>
          <w:p>
            <w:pPr>
              <w:spacing w:line="540" w:lineRule="exact"/>
              <w:jc w:val="center"/>
              <w:rPr>
                <w:rFonts w:ascii="宋体" w:hAnsi="宋体" w:cs="宋体"/>
                <w:color w:val="auto"/>
                <w:sz w:val="26"/>
                <w:szCs w:val="26"/>
                <w:highlight w:val="none"/>
              </w:rPr>
            </w:pPr>
          </w:p>
        </w:tc>
        <w:tc>
          <w:tcPr>
            <w:tcW w:w="3525" w:type="dxa"/>
            <w:vAlign w:val="center"/>
          </w:tcPr>
          <w:p>
            <w:pPr>
              <w:spacing w:line="400" w:lineRule="exact"/>
              <w:jc w:val="center"/>
              <w:rPr>
                <w:rFonts w:ascii="宋体" w:hAnsi="宋体" w:cs="宋体"/>
                <w:color w:val="auto"/>
                <w:sz w:val="26"/>
                <w:szCs w:val="26"/>
                <w:highlight w:val="none"/>
              </w:rPr>
            </w:pPr>
          </w:p>
        </w:tc>
        <w:tc>
          <w:tcPr>
            <w:tcW w:w="2535" w:type="dxa"/>
            <w:vAlign w:val="center"/>
          </w:tcPr>
          <w:p>
            <w:pPr>
              <w:spacing w:line="400" w:lineRule="exact"/>
              <w:jc w:val="center"/>
              <w:rPr>
                <w:rFonts w:ascii="宋体" w:hAnsi="宋体" w:cs="宋体"/>
                <w:color w:val="auto"/>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748" w:type="dxa"/>
            <w:vAlign w:val="center"/>
          </w:tcPr>
          <w:p>
            <w:pPr>
              <w:spacing w:line="540" w:lineRule="exact"/>
              <w:jc w:val="center"/>
              <w:rPr>
                <w:rFonts w:ascii="宋体" w:hAnsi="宋体" w:cs="宋体"/>
                <w:color w:val="auto"/>
                <w:sz w:val="26"/>
                <w:szCs w:val="26"/>
                <w:highlight w:val="none"/>
              </w:rPr>
            </w:pPr>
          </w:p>
        </w:tc>
        <w:tc>
          <w:tcPr>
            <w:tcW w:w="3525" w:type="dxa"/>
            <w:vAlign w:val="center"/>
          </w:tcPr>
          <w:p>
            <w:pPr>
              <w:spacing w:line="400" w:lineRule="exact"/>
              <w:jc w:val="center"/>
              <w:rPr>
                <w:rFonts w:ascii="宋体" w:hAnsi="宋体" w:cs="宋体"/>
                <w:color w:val="auto"/>
                <w:sz w:val="26"/>
                <w:szCs w:val="26"/>
                <w:highlight w:val="none"/>
              </w:rPr>
            </w:pPr>
          </w:p>
        </w:tc>
        <w:tc>
          <w:tcPr>
            <w:tcW w:w="2535" w:type="dxa"/>
            <w:vAlign w:val="center"/>
          </w:tcPr>
          <w:p>
            <w:pPr>
              <w:spacing w:line="400" w:lineRule="exact"/>
              <w:jc w:val="center"/>
              <w:rPr>
                <w:rFonts w:ascii="宋体" w:hAnsi="宋体" w:cs="宋体"/>
                <w:color w:val="auto"/>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748" w:type="dxa"/>
            <w:vAlign w:val="center"/>
          </w:tcPr>
          <w:p>
            <w:pPr>
              <w:spacing w:line="540" w:lineRule="exact"/>
              <w:jc w:val="center"/>
              <w:rPr>
                <w:rFonts w:ascii="宋体" w:hAnsi="宋体" w:cs="宋体"/>
                <w:color w:val="auto"/>
                <w:sz w:val="26"/>
                <w:szCs w:val="26"/>
                <w:highlight w:val="none"/>
              </w:rPr>
            </w:pPr>
          </w:p>
        </w:tc>
        <w:tc>
          <w:tcPr>
            <w:tcW w:w="3525" w:type="dxa"/>
            <w:vAlign w:val="center"/>
          </w:tcPr>
          <w:p>
            <w:pPr>
              <w:spacing w:line="400" w:lineRule="exact"/>
              <w:jc w:val="center"/>
              <w:rPr>
                <w:rFonts w:ascii="宋体" w:hAnsi="宋体" w:cs="宋体"/>
                <w:color w:val="auto"/>
                <w:sz w:val="26"/>
                <w:szCs w:val="26"/>
                <w:highlight w:val="none"/>
              </w:rPr>
            </w:pPr>
          </w:p>
        </w:tc>
        <w:tc>
          <w:tcPr>
            <w:tcW w:w="2535" w:type="dxa"/>
            <w:vAlign w:val="center"/>
          </w:tcPr>
          <w:p>
            <w:pPr>
              <w:spacing w:line="400" w:lineRule="exact"/>
              <w:jc w:val="center"/>
              <w:rPr>
                <w:rFonts w:ascii="宋体" w:hAnsi="宋体" w:cs="宋体"/>
                <w:color w:val="auto"/>
                <w:sz w:val="26"/>
                <w:szCs w:val="2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48" w:type="dxa"/>
            <w:vAlign w:val="center"/>
          </w:tcPr>
          <w:p>
            <w:pPr>
              <w:spacing w:line="540" w:lineRule="exact"/>
              <w:jc w:val="center"/>
              <w:rPr>
                <w:rFonts w:ascii="宋体" w:hAnsi="宋体" w:cs="宋体"/>
                <w:color w:val="auto"/>
                <w:sz w:val="26"/>
                <w:szCs w:val="26"/>
                <w:highlight w:val="none"/>
              </w:rPr>
            </w:pPr>
            <w:r>
              <w:rPr>
                <w:rFonts w:hint="eastAsia" w:ascii="宋体" w:hAnsi="宋体" w:cs="宋体"/>
                <w:color w:val="auto"/>
                <w:sz w:val="26"/>
                <w:szCs w:val="26"/>
                <w:highlight w:val="none"/>
              </w:rPr>
              <w:t>..</w:t>
            </w:r>
          </w:p>
        </w:tc>
        <w:tc>
          <w:tcPr>
            <w:tcW w:w="3525" w:type="dxa"/>
            <w:vAlign w:val="center"/>
          </w:tcPr>
          <w:p>
            <w:pPr>
              <w:spacing w:line="400" w:lineRule="exact"/>
              <w:jc w:val="center"/>
              <w:rPr>
                <w:rFonts w:ascii="宋体" w:hAnsi="宋体" w:cs="宋体"/>
                <w:color w:val="auto"/>
                <w:sz w:val="26"/>
                <w:szCs w:val="26"/>
                <w:highlight w:val="none"/>
              </w:rPr>
            </w:pPr>
            <w:r>
              <w:rPr>
                <w:rFonts w:hint="eastAsia" w:ascii="宋体" w:hAnsi="宋体" w:cs="宋体"/>
                <w:color w:val="auto"/>
                <w:sz w:val="26"/>
                <w:szCs w:val="26"/>
                <w:highlight w:val="none"/>
              </w:rPr>
              <w:t>..</w:t>
            </w:r>
          </w:p>
        </w:tc>
        <w:tc>
          <w:tcPr>
            <w:tcW w:w="2535" w:type="dxa"/>
            <w:vAlign w:val="center"/>
          </w:tcPr>
          <w:p>
            <w:pPr>
              <w:spacing w:line="400" w:lineRule="exact"/>
              <w:jc w:val="center"/>
              <w:rPr>
                <w:rFonts w:ascii="宋体" w:hAnsi="宋体" w:cs="宋体"/>
                <w:color w:val="auto"/>
                <w:sz w:val="26"/>
                <w:szCs w:val="26"/>
                <w:highlight w:val="none"/>
              </w:rPr>
            </w:pPr>
            <w:r>
              <w:rPr>
                <w:rFonts w:hint="eastAsia" w:ascii="宋体" w:hAnsi="宋体" w:cs="宋体"/>
                <w:color w:val="auto"/>
                <w:sz w:val="26"/>
                <w:szCs w:val="26"/>
                <w:highlight w:val="none"/>
              </w:rPr>
              <w:t>..</w:t>
            </w:r>
          </w:p>
        </w:tc>
      </w:tr>
    </w:tbl>
    <w:p>
      <w:pPr>
        <w:pStyle w:val="51"/>
        <w:ind w:left="-144" w:leftChars="-67"/>
        <w:rPr>
          <w:rFonts w:ascii="宋体" w:hAnsi="宋体" w:cs="宋体"/>
          <w:color w:val="auto"/>
          <w:highlight w:val="none"/>
        </w:rPr>
      </w:pP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注：1、投标人将食材情况填入此表，无品牌的产品可填写生产商。</w:t>
      </w:r>
    </w:p>
    <w:p>
      <w:pPr>
        <w:widowControl/>
        <w:spacing w:line="360" w:lineRule="auto"/>
        <w:ind w:firstLine="490" w:firstLineChars="200"/>
        <w:jc w:val="left"/>
        <w:rPr>
          <w:rFonts w:ascii="宋体" w:hAnsi="宋体" w:cs="宋体"/>
          <w:color w:val="auto"/>
          <w:sz w:val="24"/>
          <w:highlight w:val="none"/>
        </w:rPr>
      </w:pPr>
      <w:r>
        <w:rPr>
          <w:rFonts w:hint="eastAsia" w:ascii="宋体" w:hAnsi="宋体" w:cs="宋体"/>
          <w:color w:val="auto"/>
          <w:sz w:val="24"/>
          <w:highlight w:val="none"/>
        </w:rPr>
        <w:t>2、本项格式也可自行拟定。</w:t>
      </w:r>
    </w:p>
    <w:p>
      <w:pPr>
        <w:tabs>
          <w:tab w:val="left" w:pos="1080"/>
        </w:tabs>
        <w:autoSpaceDE w:val="0"/>
        <w:autoSpaceDN w:val="0"/>
        <w:adjustRightInd w:val="0"/>
        <w:spacing w:line="440" w:lineRule="exact"/>
        <w:jc w:val="left"/>
        <w:rPr>
          <w:rFonts w:ascii="宋体" w:hAnsi="宋体" w:cs="宋体"/>
          <w:color w:val="auto"/>
          <w:sz w:val="24"/>
          <w:highlight w:val="none"/>
        </w:rPr>
      </w:pPr>
    </w:p>
    <w:p>
      <w:pPr>
        <w:tabs>
          <w:tab w:val="left" w:pos="1080"/>
        </w:tabs>
        <w:autoSpaceDE w:val="0"/>
        <w:autoSpaceDN w:val="0"/>
        <w:adjustRightInd w:val="0"/>
        <w:spacing w:line="440" w:lineRule="exact"/>
        <w:jc w:val="left"/>
        <w:rPr>
          <w:rFonts w:ascii="宋体" w:hAnsi="宋体" w:cs="宋体"/>
          <w:color w:val="auto"/>
          <w:sz w:val="24"/>
          <w:highlight w:val="none"/>
          <w:lang w:val="zh-CN"/>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b w:val="0"/>
          <w:color w:val="auto"/>
          <w:sz w:val="32"/>
          <w:szCs w:val="32"/>
          <w:highlight w:val="none"/>
        </w:rPr>
        <w:br w:type="page"/>
      </w:r>
      <w:r>
        <w:rPr>
          <w:rFonts w:hint="eastAsia" w:ascii="宋体" w:hAnsi="宋体" w:cs="宋体"/>
          <w:color w:val="auto"/>
          <w:sz w:val="28"/>
          <w:highlight w:val="none"/>
          <w:lang w:val="zh-CN"/>
        </w:rPr>
        <w:t>（五）技术、服务条款偏离表</w:t>
      </w:r>
    </w:p>
    <w:p>
      <w:pPr>
        <w:ind w:firstLine="215" w:firstLineChars="100"/>
        <w:rPr>
          <w:rFonts w:ascii="宋体" w:hAnsi="宋体" w:cs="宋体"/>
          <w:color w:val="auto"/>
          <w:highlight w:val="none"/>
        </w:rPr>
      </w:pPr>
    </w:p>
    <w:p>
      <w:pPr>
        <w:ind w:firstLine="245" w:firstLineChars="100"/>
        <w:rPr>
          <w:rFonts w:ascii="宋体" w:hAnsi="宋体" w:cs="宋体"/>
          <w:color w:val="auto"/>
          <w:highlight w:val="none"/>
          <w:u w:val="single"/>
          <w:lang w:val="zh-CN"/>
        </w:rPr>
      </w:pPr>
      <w:r>
        <w:rPr>
          <w:rFonts w:hint="eastAsia" w:ascii="宋体" w:hAnsi="宋体" w:cs="宋体"/>
          <w:color w:val="auto"/>
          <w:sz w:val="24"/>
          <w:szCs w:val="32"/>
          <w:highlight w:val="none"/>
        </w:rPr>
        <w:t>项目编号：</w:t>
      </w:r>
    </w:p>
    <w:tbl>
      <w:tblPr>
        <w:tblStyle w:val="23"/>
        <w:tblW w:w="0" w:type="auto"/>
        <w:tblInd w:w="108" w:type="dxa"/>
        <w:tblLayout w:type="fixed"/>
        <w:tblCellMar>
          <w:top w:w="0" w:type="dxa"/>
          <w:left w:w="108" w:type="dxa"/>
          <w:bottom w:w="0" w:type="dxa"/>
          <w:right w:w="108" w:type="dxa"/>
        </w:tblCellMar>
      </w:tblPr>
      <w:tblGrid>
        <w:gridCol w:w="723"/>
        <w:gridCol w:w="3996"/>
        <w:gridCol w:w="2980"/>
        <w:gridCol w:w="1547"/>
      </w:tblGrid>
      <w:tr>
        <w:tblPrEx>
          <w:tblCellMar>
            <w:top w:w="0" w:type="dxa"/>
            <w:left w:w="108" w:type="dxa"/>
            <w:bottom w:w="0" w:type="dxa"/>
            <w:right w:w="108" w:type="dxa"/>
          </w:tblCellMar>
        </w:tblPrEx>
        <w:trPr>
          <w:trHeight w:val="1105" w:hRule="exact"/>
        </w:trPr>
        <w:tc>
          <w:tcPr>
            <w:tcW w:w="723"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rPr>
              <w:t>序号</w:t>
            </w:r>
          </w:p>
        </w:tc>
        <w:tc>
          <w:tcPr>
            <w:tcW w:w="3996"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lang w:val="zh-CN"/>
              </w:rPr>
              <w:t>磋商文件技术、服务条款</w:t>
            </w:r>
            <w:r>
              <w:rPr>
                <w:rFonts w:hint="eastAsia" w:ascii="宋体" w:hAnsi="宋体" w:cs="宋体"/>
                <w:color w:val="auto"/>
                <w:highlight w:val="none"/>
              </w:rPr>
              <w:t>要求</w:t>
            </w:r>
          </w:p>
        </w:tc>
        <w:tc>
          <w:tcPr>
            <w:tcW w:w="2980"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rPr>
              <w:t>投标响应</w:t>
            </w:r>
          </w:p>
        </w:tc>
        <w:tc>
          <w:tcPr>
            <w:tcW w:w="1547"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rPr>
              <w:t>偏离说明</w:t>
            </w: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99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298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double" w:color="auto" w:sz="4"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996" w:type="dxa"/>
            <w:tcBorders>
              <w:top w:val="single" w:color="auto" w:sz="6" w:space="0"/>
              <w:left w:val="single" w:color="auto" w:sz="6" w:space="0"/>
              <w:bottom w:val="double" w:color="auto" w:sz="4"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2980"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auto"/>
                <w:highlight w:val="none"/>
              </w:rPr>
            </w:pPr>
          </w:p>
        </w:tc>
      </w:tr>
    </w:tbl>
    <w:p>
      <w:pPr>
        <w:spacing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注：1、本表只填写响应文件中与磋商文件有偏离（包括正偏离和负偏离）的内容，响应文件中技术、服务条款响应与磋商文件技术、服务要求完全一致的，可以不用在此表中列出。若供应商此表不填写，则视作供应商完全响应磋商文件技术、服务要求。</w:t>
      </w:r>
    </w:p>
    <w:p>
      <w:pPr>
        <w:spacing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 xml:space="preserve">    2、供应商须据实填写，不得虚假响应。</w:t>
      </w:r>
    </w:p>
    <w:p>
      <w:pPr>
        <w:pStyle w:val="12"/>
        <w:ind w:firstLine="0"/>
        <w:rPr>
          <w:rFonts w:ascii="宋体" w:hAnsi="宋体" w:eastAsia="宋体" w:cs="宋体"/>
          <w:color w:val="auto"/>
          <w:sz w:val="40"/>
          <w:szCs w:val="32"/>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b w:val="0"/>
          <w:bCs w:val="0"/>
          <w:color w:val="auto"/>
          <w:sz w:val="32"/>
          <w:szCs w:val="32"/>
          <w:highlight w:val="none"/>
        </w:rPr>
        <w:br w:type="page"/>
      </w:r>
      <w:r>
        <w:rPr>
          <w:rFonts w:hint="eastAsia" w:ascii="宋体" w:hAnsi="宋体" w:cs="宋体"/>
          <w:color w:val="auto"/>
          <w:sz w:val="28"/>
          <w:highlight w:val="none"/>
          <w:lang w:val="zh-CN"/>
        </w:rPr>
        <w:t>（</w:t>
      </w:r>
      <w:r>
        <w:rPr>
          <w:rFonts w:hint="eastAsia" w:ascii="宋体" w:hAnsi="宋体" w:cs="宋体"/>
          <w:color w:val="auto"/>
          <w:sz w:val="28"/>
          <w:highlight w:val="none"/>
        </w:rPr>
        <w:t>六</w:t>
      </w:r>
      <w:r>
        <w:rPr>
          <w:rFonts w:hint="eastAsia" w:ascii="宋体" w:hAnsi="宋体" w:cs="宋体"/>
          <w:color w:val="auto"/>
          <w:sz w:val="28"/>
          <w:highlight w:val="none"/>
          <w:lang w:val="zh-CN"/>
        </w:rPr>
        <w:t>）商务</w:t>
      </w:r>
      <w:r>
        <w:rPr>
          <w:rFonts w:hint="eastAsia" w:ascii="宋体" w:hAnsi="宋体" w:cs="宋体"/>
          <w:color w:val="auto"/>
          <w:sz w:val="28"/>
          <w:highlight w:val="none"/>
        </w:rPr>
        <w:t>条款</w:t>
      </w:r>
      <w:r>
        <w:rPr>
          <w:rFonts w:hint="eastAsia" w:ascii="宋体" w:hAnsi="宋体" w:cs="宋体"/>
          <w:color w:val="auto"/>
          <w:sz w:val="28"/>
          <w:highlight w:val="none"/>
          <w:lang w:val="zh-CN"/>
        </w:rPr>
        <w:t>应答表</w:t>
      </w:r>
    </w:p>
    <w:p>
      <w:pPr>
        <w:ind w:firstLine="245" w:firstLineChars="100"/>
        <w:rPr>
          <w:rFonts w:ascii="宋体" w:hAnsi="宋体" w:cs="宋体"/>
          <w:color w:val="auto"/>
          <w:sz w:val="24"/>
          <w:szCs w:val="32"/>
          <w:highlight w:val="none"/>
        </w:rPr>
      </w:pPr>
    </w:p>
    <w:p>
      <w:pPr>
        <w:ind w:firstLine="245" w:firstLineChars="100"/>
        <w:rPr>
          <w:rFonts w:ascii="宋体" w:hAnsi="宋体" w:cs="宋体"/>
          <w:color w:val="auto"/>
          <w:highlight w:val="none"/>
          <w:u w:val="single"/>
          <w:lang w:val="zh-CN"/>
        </w:rPr>
      </w:pPr>
      <w:r>
        <w:rPr>
          <w:rFonts w:hint="eastAsia" w:ascii="宋体" w:hAnsi="宋体" w:cs="宋体"/>
          <w:color w:val="auto"/>
          <w:sz w:val="24"/>
          <w:szCs w:val="32"/>
          <w:highlight w:val="none"/>
        </w:rPr>
        <w:t>项目编号：</w:t>
      </w:r>
    </w:p>
    <w:tbl>
      <w:tblPr>
        <w:tblStyle w:val="23"/>
        <w:tblW w:w="0" w:type="auto"/>
        <w:tblInd w:w="108" w:type="dxa"/>
        <w:tblLayout w:type="fixed"/>
        <w:tblCellMar>
          <w:top w:w="0" w:type="dxa"/>
          <w:left w:w="108" w:type="dxa"/>
          <w:bottom w:w="0" w:type="dxa"/>
          <w:right w:w="108" w:type="dxa"/>
        </w:tblCellMar>
      </w:tblPr>
      <w:tblGrid>
        <w:gridCol w:w="723"/>
        <w:gridCol w:w="3756"/>
        <w:gridCol w:w="3220"/>
        <w:gridCol w:w="1547"/>
      </w:tblGrid>
      <w:tr>
        <w:tblPrEx>
          <w:tblCellMar>
            <w:top w:w="0" w:type="dxa"/>
            <w:left w:w="108" w:type="dxa"/>
            <w:bottom w:w="0" w:type="dxa"/>
            <w:right w:w="108" w:type="dxa"/>
          </w:tblCellMar>
        </w:tblPrEx>
        <w:trPr>
          <w:trHeight w:val="1105" w:hRule="exact"/>
        </w:trPr>
        <w:tc>
          <w:tcPr>
            <w:tcW w:w="723"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rPr>
              <w:t>序号</w:t>
            </w:r>
          </w:p>
        </w:tc>
        <w:tc>
          <w:tcPr>
            <w:tcW w:w="3756"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lang w:val="zh-CN"/>
              </w:rPr>
              <w:t>磋商文件的商务要求</w:t>
            </w:r>
          </w:p>
        </w:tc>
        <w:tc>
          <w:tcPr>
            <w:tcW w:w="3220"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rPr>
              <w:t>投标响应</w:t>
            </w:r>
          </w:p>
        </w:tc>
        <w:tc>
          <w:tcPr>
            <w:tcW w:w="1547"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宋体"/>
                <w:color w:val="auto"/>
                <w:highlight w:val="none"/>
                <w:lang w:val="zh-CN"/>
              </w:rPr>
            </w:pPr>
            <w:r>
              <w:rPr>
                <w:rFonts w:hint="eastAsia" w:ascii="宋体" w:hAnsi="宋体" w:cs="宋体"/>
                <w:color w:val="auto"/>
                <w:highlight w:val="none"/>
              </w:rPr>
              <w:t>偏离说明</w:t>
            </w: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auto"/>
                <w:highlight w:val="none"/>
                <w:lang w:val="zh-CN"/>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jc w:val="center"/>
              <w:rPr>
                <w:rFonts w:ascii="宋体" w:hAnsi="宋体" w:cs="宋体"/>
                <w:color w:val="auto"/>
                <w:highlight w:val="none"/>
                <w:lang w:val="zh-CN"/>
              </w:rPr>
            </w:pPr>
          </w:p>
        </w:tc>
      </w:tr>
      <w:tr>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r>
      <w:tr>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756" w:type="dxa"/>
            <w:tcBorders>
              <w:top w:val="single" w:color="auto" w:sz="6" w:space="0"/>
              <w:left w:val="single" w:color="auto" w:sz="6" w:space="0"/>
              <w:bottom w:val="single" w:color="auto" w:sz="6"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220"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single" w:color="auto" w:sz="6" w:space="0"/>
              <w:right w:val="double" w:color="auto" w:sz="4" w:space="0"/>
            </w:tcBorders>
          </w:tcPr>
          <w:p>
            <w:pPr>
              <w:autoSpaceDE w:val="0"/>
              <w:autoSpaceDN w:val="0"/>
              <w:adjustRightInd w:val="0"/>
              <w:ind w:firstLine="480"/>
              <w:jc w:val="left"/>
              <w:rPr>
                <w:rFonts w:ascii="宋体" w:hAnsi="宋体" w:cs="宋体"/>
                <w:color w:val="auto"/>
                <w:highlight w:val="none"/>
              </w:rPr>
            </w:pPr>
          </w:p>
        </w:tc>
      </w:tr>
      <w:tr>
        <w:tblPrEx>
          <w:tblCellMar>
            <w:top w:w="0" w:type="dxa"/>
            <w:left w:w="108" w:type="dxa"/>
            <w:bottom w:w="0" w:type="dxa"/>
            <w:right w:w="108" w:type="dxa"/>
          </w:tblCellMar>
        </w:tblPrEx>
        <w:trPr>
          <w:trHeight w:val="900" w:hRule="exact"/>
        </w:trPr>
        <w:tc>
          <w:tcPr>
            <w:tcW w:w="723" w:type="dxa"/>
            <w:tcBorders>
              <w:top w:val="single" w:color="auto" w:sz="6" w:space="0"/>
              <w:left w:val="double" w:color="auto" w:sz="4" w:space="0"/>
              <w:bottom w:val="double" w:color="auto" w:sz="4"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756" w:type="dxa"/>
            <w:tcBorders>
              <w:top w:val="single" w:color="auto" w:sz="6" w:space="0"/>
              <w:left w:val="single" w:color="auto" w:sz="6" w:space="0"/>
              <w:bottom w:val="double" w:color="auto" w:sz="4" w:space="0"/>
              <w:right w:val="single" w:color="auto" w:sz="6" w:space="0"/>
            </w:tcBorders>
          </w:tcPr>
          <w:p>
            <w:pPr>
              <w:autoSpaceDE w:val="0"/>
              <w:autoSpaceDN w:val="0"/>
              <w:adjustRightInd w:val="0"/>
              <w:ind w:firstLine="480"/>
              <w:jc w:val="left"/>
              <w:rPr>
                <w:rFonts w:ascii="宋体" w:hAnsi="宋体" w:cs="宋体"/>
                <w:color w:val="auto"/>
                <w:highlight w:val="none"/>
              </w:rPr>
            </w:pPr>
          </w:p>
        </w:tc>
        <w:tc>
          <w:tcPr>
            <w:tcW w:w="3220"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auto"/>
                <w:highlight w:val="none"/>
              </w:rPr>
            </w:pPr>
          </w:p>
        </w:tc>
        <w:tc>
          <w:tcPr>
            <w:tcW w:w="1547" w:type="dxa"/>
            <w:tcBorders>
              <w:top w:val="single" w:color="auto" w:sz="6" w:space="0"/>
              <w:left w:val="single" w:color="auto" w:sz="6" w:space="0"/>
              <w:bottom w:val="double" w:color="auto" w:sz="4" w:space="0"/>
              <w:right w:val="double" w:color="auto" w:sz="4" w:space="0"/>
            </w:tcBorders>
          </w:tcPr>
          <w:p>
            <w:pPr>
              <w:autoSpaceDE w:val="0"/>
              <w:autoSpaceDN w:val="0"/>
              <w:adjustRightInd w:val="0"/>
              <w:ind w:firstLine="480"/>
              <w:jc w:val="left"/>
              <w:rPr>
                <w:rFonts w:ascii="宋体" w:hAnsi="宋体" w:cs="宋体"/>
                <w:color w:val="auto"/>
                <w:highlight w:val="none"/>
              </w:rPr>
            </w:pPr>
          </w:p>
        </w:tc>
      </w:tr>
    </w:tbl>
    <w:p>
      <w:pPr>
        <w:spacing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注：1、本表只填写响应文件中与磋商文件有偏离（包括正偏离和负偏离）的内容，响应文件中商务条款响应与磋商文件商务要求完全一致的，可以不用在此表中列出。若供应商此表不填写，则视作供应商完全响应磋商文件技术、服务要求。</w:t>
      </w:r>
    </w:p>
    <w:p>
      <w:pPr>
        <w:spacing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 xml:space="preserve">   2、供应商须据实填写，不得虚假响应。</w:t>
      </w:r>
    </w:p>
    <w:p>
      <w:pPr>
        <w:pStyle w:val="12"/>
        <w:ind w:firstLine="0"/>
        <w:rPr>
          <w:rFonts w:ascii="宋体" w:hAnsi="宋体" w:eastAsia="宋体" w:cs="宋体"/>
          <w:color w:val="auto"/>
          <w:sz w:val="40"/>
          <w:szCs w:val="32"/>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8"/>
          <w:highlight w:val="none"/>
          <w:lang w:val="zh-CN"/>
        </w:rPr>
        <w:t>（</w:t>
      </w:r>
      <w:r>
        <w:rPr>
          <w:rFonts w:hint="eastAsia" w:ascii="宋体" w:hAnsi="宋体" w:cs="宋体"/>
          <w:color w:val="auto"/>
          <w:sz w:val="28"/>
          <w:highlight w:val="none"/>
        </w:rPr>
        <w:t>七</w:t>
      </w:r>
      <w:r>
        <w:rPr>
          <w:rFonts w:hint="eastAsia" w:ascii="宋体" w:hAnsi="宋体" w:cs="宋体"/>
          <w:color w:val="auto"/>
          <w:sz w:val="28"/>
          <w:highlight w:val="none"/>
          <w:lang w:val="zh-CN"/>
        </w:rPr>
        <w:t>）</w:t>
      </w:r>
      <w:r>
        <w:rPr>
          <w:rFonts w:hint="eastAsia" w:ascii="宋体" w:hAnsi="宋体" w:cs="宋体"/>
          <w:color w:val="auto"/>
          <w:sz w:val="28"/>
          <w:highlight w:val="none"/>
        </w:rPr>
        <w:t>供应商</w:t>
      </w:r>
      <w:r>
        <w:rPr>
          <w:rFonts w:hint="eastAsia" w:ascii="宋体" w:hAnsi="宋体" w:cs="宋体"/>
          <w:color w:val="auto"/>
          <w:sz w:val="28"/>
          <w:highlight w:val="none"/>
          <w:lang w:val="zh-CN"/>
        </w:rPr>
        <w:t>本项目管理、配送及其他服务人员情况表</w:t>
      </w:r>
    </w:p>
    <w:p>
      <w:pPr>
        <w:ind w:firstLine="215" w:firstLineChars="100"/>
        <w:rPr>
          <w:rFonts w:ascii="宋体" w:hAnsi="宋体" w:cs="宋体"/>
          <w:color w:val="auto"/>
          <w:highlight w:val="none"/>
        </w:rPr>
      </w:pPr>
    </w:p>
    <w:p>
      <w:pPr>
        <w:ind w:firstLine="245" w:firstLineChars="100"/>
        <w:rPr>
          <w:rFonts w:ascii="宋体" w:hAnsi="宋体" w:cs="宋体"/>
          <w:color w:val="auto"/>
          <w:sz w:val="24"/>
          <w:szCs w:val="32"/>
          <w:highlight w:val="none"/>
        </w:rPr>
      </w:pPr>
      <w:r>
        <w:rPr>
          <w:rFonts w:hint="eastAsia" w:ascii="宋体" w:hAnsi="宋体" w:cs="宋体"/>
          <w:color w:val="auto"/>
          <w:sz w:val="24"/>
          <w:szCs w:val="32"/>
          <w:highlight w:val="none"/>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82"/>
        <w:gridCol w:w="2082"/>
        <w:gridCol w:w="208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double" w:color="auto" w:sz="4" w:space="0"/>
              <w:left w:val="double" w:color="auto" w:sz="4" w:space="0"/>
              <w:bottom w:val="single" w:color="auto" w:sz="4" w:space="0"/>
              <w:right w:val="single" w:color="auto" w:sz="4" w:space="0"/>
            </w:tcBorders>
            <w:vAlign w:val="center"/>
          </w:tcPr>
          <w:p>
            <w:pPr>
              <w:autoSpaceDE w:val="0"/>
              <w:autoSpaceDN w:val="0"/>
              <w:adjustRightInd w:val="0"/>
              <w:spacing w:after="120"/>
              <w:jc w:val="center"/>
              <w:rPr>
                <w:rFonts w:ascii="宋体" w:hAnsi="宋体" w:cs="宋体"/>
                <w:color w:val="auto"/>
                <w:highlight w:val="none"/>
                <w:lang w:val="zh-CN"/>
              </w:rPr>
            </w:pPr>
            <w:r>
              <w:rPr>
                <w:rFonts w:hint="eastAsia" w:ascii="宋体" w:hAnsi="宋体" w:cs="宋体"/>
                <w:color w:val="auto"/>
                <w:highlight w:val="none"/>
                <w:lang w:val="zh-CN"/>
              </w:rPr>
              <w:t>序 号</w:t>
            </w:r>
          </w:p>
        </w:tc>
        <w:tc>
          <w:tcPr>
            <w:tcW w:w="2082"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pacing w:after="120"/>
              <w:ind w:firstLine="215" w:firstLineChars="100"/>
              <w:jc w:val="center"/>
              <w:rPr>
                <w:rFonts w:ascii="宋体" w:hAnsi="宋体" w:cs="宋体"/>
                <w:color w:val="auto"/>
                <w:highlight w:val="none"/>
                <w:lang w:val="zh-CN"/>
              </w:rPr>
            </w:pPr>
            <w:r>
              <w:rPr>
                <w:rFonts w:hint="eastAsia" w:ascii="宋体" w:hAnsi="宋体" w:cs="宋体"/>
                <w:color w:val="auto"/>
                <w:highlight w:val="none"/>
                <w:lang w:val="zh-CN"/>
              </w:rPr>
              <w:t>姓 名</w:t>
            </w:r>
          </w:p>
        </w:tc>
        <w:tc>
          <w:tcPr>
            <w:tcW w:w="2082"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pacing w:after="120"/>
              <w:ind w:firstLine="215" w:firstLineChars="100"/>
              <w:jc w:val="center"/>
              <w:rPr>
                <w:rFonts w:ascii="宋体" w:hAnsi="宋体" w:cs="宋体"/>
                <w:color w:val="auto"/>
                <w:highlight w:val="none"/>
                <w:lang w:val="zh-CN"/>
              </w:rPr>
            </w:pPr>
            <w:r>
              <w:rPr>
                <w:rFonts w:hint="eastAsia" w:ascii="宋体" w:hAnsi="宋体" w:cs="宋体"/>
                <w:color w:val="auto"/>
                <w:highlight w:val="none"/>
                <w:lang w:val="zh-CN"/>
              </w:rPr>
              <w:t>职  务</w:t>
            </w:r>
          </w:p>
        </w:tc>
        <w:tc>
          <w:tcPr>
            <w:tcW w:w="2082" w:type="dxa"/>
            <w:tcBorders>
              <w:top w:val="double" w:color="auto" w:sz="4" w:space="0"/>
              <w:left w:val="single" w:color="auto" w:sz="4" w:space="0"/>
              <w:bottom w:val="single" w:color="auto" w:sz="4" w:space="0"/>
              <w:right w:val="single" w:color="auto" w:sz="4" w:space="0"/>
            </w:tcBorders>
            <w:vAlign w:val="center"/>
          </w:tcPr>
          <w:p>
            <w:pPr>
              <w:autoSpaceDE w:val="0"/>
              <w:autoSpaceDN w:val="0"/>
              <w:adjustRightInd w:val="0"/>
              <w:spacing w:after="120"/>
              <w:ind w:firstLine="215" w:firstLineChars="100"/>
              <w:jc w:val="center"/>
              <w:rPr>
                <w:rFonts w:ascii="宋体" w:hAnsi="宋体" w:cs="宋体"/>
                <w:color w:val="auto"/>
                <w:highlight w:val="none"/>
                <w:lang w:val="zh-CN"/>
              </w:rPr>
            </w:pPr>
            <w:r>
              <w:rPr>
                <w:rFonts w:hint="eastAsia" w:ascii="宋体" w:hAnsi="宋体" w:cs="宋体"/>
                <w:color w:val="auto"/>
                <w:highlight w:val="none"/>
                <w:lang w:val="zh-CN"/>
              </w:rPr>
              <w:t>证件名称</w:t>
            </w:r>
          </w:p>
        </w:tc>
        <w:tc>
          <w:tcPr>
            <w:tcW w:w="2083" w:type="dxa"/>
            <w:tcBorders>
              <w:top w:val="double" w:color="auto" w:sz="4" w:space="0"/>
              <w:left w:val="single" w:color="auto" w:sz="4" w:space="0"/>
              <w:bottom w:val="single" w:color="auto" w:sz="4" w:space="0"/>
              <w:right w:val="double" w:color="auto" w:sz="4" w:space="0"/>
            </w:tcBorders>
            <w:vAlign w:val="center"/>
          </w:tcPr>
          <w:p>
            <w:pPr>
              <w:autoSpaceDE w:val="0"/>
              <w:autoSpaceDN w:val="0"/>
              <w:adjustRightInd w:val="0"/>
              <w:spacing w:after="120"/>
              <w:ind w:firstLine="215" w:firstLineChars="100"/>
              <w:jc w:val="center"/>
              <w:rPr>
                <w:rFonts w:ascii="宋体" w:hAnsi="宋体" w:cs="宋体"/>
                <w:color w:val="auto"/>
                <w:highlight w:val="none"/>
                <w:lang w:val="zh-CN"/>
              </w:rPr>
            </w:pPr>
            <w:r>
              <w:rPr>
                <w:rFonts w:hint="eastAsia" w:ascii="宋体" w:hAnsi="宋体" w:cs="宋体"/>
                <w:color w:val="auto"/>
                <w:highlight w:val="none"/>
                <w:lang w:val="zh-CN"/>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sing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9" w:type="dxa"/>
            <w:tcBorders>
              <w:top w:val="single" w:color="auto" w:sz="4" w:space="0"/>
              <w:left w:val="doub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2" w:type="dxa"/>
            <w:tcBorders>
              <w:top w:val="single" w:color="auto" w:sz="4" w:space="0"/>
              <w:left w:val="single" w:color="auto" w:sz="4" w:space="0"/>
              <w:bottom w:val="double" w:color="auto" w:sz="4" w:space="0"/>
              <w:right w:val="sing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c>
          <w:tcPr>
            <w:tcW w:w="2083" w:type="dxa"/>
            <w:tcBorders>
              <w:top w:val="single" w:color="auto" w:sz="4" w:space="0"/>
              <w:left w:val="single" w:color="auto" w:sz="4" w:space="0"/>
              <w:bottom w:val="double" w:color="auto" w:sz="4" w:space="0"/>
              <w:right w:val="double" w:color="auto" w:sz="4" w:space="0"/>
            </w:tcBorders>
          </w:tcPr>
          <w:p>
            <w:pPr>
              <w:autoSpaceDE w:val="0"/>
              <w:autoSpaceDN w:val="0"/>
              <w:adjustRightInd w:val="0"/>
              <w:spacing w:after="120"/>
              <w:ind w:firstLine="480"/>
              <w:jc w:val="left"/>
              <w:rPr>
                <w:rFonts w:ascii="宋体" w:hAnsi="宋体" w:cs="宋体"/>
                <w:color w:val="auto"/>
                <w:highlight w:val="none"/>
                <w:lang w:val="zh-CN"/>
              </w:rPr>
            </w:pPr>
          </w:p>
        </w:tc>
      </w:tr>
    </w:tbl>
    <w:p>
      <w:pPr>
        <w:spacing w:line="360" w:lineRule="auto"/>
        <w:ind w:firstLine="490" w:firstLineChars="200"/>
        <w:rPr>
          <w:rFonts w:ascii="宋体" w:hAnsi="宋体" w:cs="宋体"/>
          <w:color w:val="auto"/>
          <w:sz w:val="24"/>
          <w:szCs w:val="32"/>
          <w:highlight w:val="none"/>
        </w:rPr>
      </w:pPr>
      <w:r>
        <w:rPr>
          <w:rFonts w:hint="eastAsia" w:ascii="宋体" w:hAnsi="宋体" w:cs="宋体"/>
          <w:color w:val="auto"/>
          <w:sz w:val="24"/>
          <w:szCs w:val="32"/>
          <w:highlight w:val="none"/>
        </w:rPr>
        <w:t>注：1、供应商在此表中填报拟用于本项目的人员配备情况。</w:t>
      </w:r>
    </w:p>
    <w:p>
      <w:pPr>
        <w:spacing w:line="360" w:lineRule="auto"/>
        <w:ind w:firstLine="480"/>
        <w:rPr>
          <w:rFonts w:ascii="宋体" w:hAnsi="宋体" w:cs="宋体"/>
          <w:color w:val="auto"/>
          <w:sz w:val="24"/>
          <w:szCs w:val="32"/>
          <w:highlight w:val="none"/>
        </w:rPr>
      </w:pPr>
      <w:r>
        <w:rPr>
          <w:rFonts w:hint="eastAsia" w:ascii="宋体" w:hAnsi="宋体" w:cs="宋体"/>
          <w:color w:val="auto"/>
          <w:sz w:val="24"/>
          <w:szCs w:val="32"/>
          <w:highlight w:val="none"/>
        </w:rPr>
        <w:t xml:space="preserve">    2、如未提供人员的相关证明材料可能会影响供应商的得分,但并不影响响应文件的有效性。</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b/>
          <w:bCs/>
          <w:color w:val="auto"/>
          <w:sz w:val="28"/>
          <w:szCs w:val="28"/>
          <w:highlight w:val="none"/>
        </w:rPr>
        <w:sectPr>
          <w:footerReference r:id="rId10" w:type="default"/>
          <w:pgSz w:w="11849" w:h="16781"/>
          <w:pgMar w:top="1440" w:right="1083" w:bottom="1440" w:left="1083" w:header="851" w:footer="992" w:gutter="0"/>
          <w:cols w:space="720" w:num="1"/>
          <w:titlePg/>
          <w:docGrid w:type="linesAndChars" w:linePitch="312" w:charSpace="1060"/>
        </w:sect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8"/>
          <w:highlight w:val="none"/>
          <w:lang w:val="zh-CN"/>
        </w:rPr>
        <w:t>（</w:t>
      </w:r>
      <w:r>
        <w:rPr>
          <w:rFonts w:hint="eastAsia" w:ascii="宋体" w:hAnsi="宋体" w:cs="宋体"/>
          <w:color w:val="auto"/>
          <w:sz w:val="28"/>
          <w:highlight w:val="none"/>
        </w:rPr>
        <w:t>八</w:t>
      </w:r>
      <w:r>
        <w:rPr>
          <w:rFonts w:hint="eastAsia" w:ascii="宋体" w:hAnsi="宋体" w:cs="宋体"/>
          <w:color w:val="auto"/>
          <w:sz w:val="28"/>
          <w:highlight w:val="none"/>
          <w:lang w:val="zh-CN"/>
        </w:rPr>
        <w:t>）供应商类似项目业绩一览表</w:t>
      </w:r>
    </w:p>
    <w:p>
      <w:pPr>
        <w:spacing w:line="400" w:lineRule="exact"/>
        <w:rPr>
          <w:rFonts w:ascii="宋体" w:hAnsi="宋体" w:cs="宋体"/>
          <w:color w:val="auto"/>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93"/>
        <w:gridCol w:w="1793"/>
        <w:gridCol w:w="1642"/>
        <w:gridCol w:w="1698"/>
        <w:gridCol w:w="1524"/>
        <w:gridCol w:w="1714"/>
        <w:gridCol w:w="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6" w:hRule="atLeast"/>
          <w:jc w:val="center"/>
        </w:trPr>
        <w:tc>
          <w:tcPr>
            <w:tcW w:w="893" w:type="dxa"/>
            <w:tcBorders>
              <w:top w:val="single" w:color="auto" w:sz="4" w:space="0"/>
            </w:tcBorders>
            <w:vAlign w:val="center"/>
          </w:tcPr>
          <w:p>
            <w:pPr>
              <w:spacing w:line="400" w:lineRule="exact"/>
              <w:ind w:firstLine="107" w:firstLineChars="50"/>
              <w:jc w:val="center"/>
              <w:rPr>
                <w:rFonts w:ascii="宋体" w:hAnsi="宋体" w:cs="宋体"/>
                <w:b/>
                <w:color w:val="auto"/>
                <w:highlight w:val="none"/>
              </w:rPr>
            </w:pPr>
            <w:r>
              <w:rPr>
                <w:rFonts w:hint="eastAsia" w:ascii="宋体" w:hAnsi="宋体" w:cs="宋体"/>
                <w:b/>
                <w:color w:val="auto"/>
                <w:highlight w:val="none"/>
              </w:rPr>
              <w:t>年份</w:t>
            </w:r>
          </w:p>
        </w:tc>
        <w:tc>
          <w:tcPr>
            <w:tcW w:w="1793" w:type="dxa"/>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lang w:val="en-US" w:eastAsia="zh-CN"/>
              </w:rPr>
              <w:t>业主</w:t>
            </w:r>
            <w:r>
              <w:rPr>
                <w:rFonts w:hint="eastAsia" w:ascii="宋体" w:hAnsi="宋体" w:cs="宋体"/>
                <w:b/>
                <w:color w:val="auto"/>
                <w:highlight w:val="none"/>
              </w:rPr>
              <w:t>名称</w:t>
            </w:r>
          </w:p>
        </w:tc>
        <w:tc>
          <w:tcPr>
            <w:tcW w:w="1642" w:type="dxa"/>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项目名称</w:t>
            </w:r>
          </w:p>
        </w:tc>
        <w:tc>
          <w:tcPr>
            <w:tcW w:w="1698" w:type="dxa"/>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lang w:val="en-US" w:eastAsia="zh-CN"/>
              </w:rPr>
              <w:t>合同签订</w:t>
            </w:r>
            <w:r>
              <w:rPr>
                <w:rFonts w:hint="eastAsia" w:ascii="宋体" w:hAnsi="宋体" w:cs="宋体"/>
                <w:b/>
                <w:color w:val="auto"/>
                <w:highlight w:val="none"/>
              </w:rPr>
              <w:t>时间</w:t>
            </w:r>
          </w:p>
        </w:tc>
        <w:tc>
          <w:tcPr>
            <w:tcW w:w="1524" w:type="dxa"/>
            <w:vAlign w:val="center"/>
          </w:tcPr>
          <w:p>
            <w:pPr>
              <w:spacing w:line="400" w:lineRule="exact"/>
              <w:ind w:firstLine="107" w:firstLineChars="50"/>
              <w:jc w:val="center"/>
              <w:rPr>
                <w:rFonts w:ascii="宋体" w:hAnsi="宋体" w:cs="宋体"/>
                <w:b/>
                <w:color w:val="auto"/>
                <w:highlight w:val="none"/>
              </w:rPr>
            </w:pPr>
            <w:r>
              <w:rPr>
                <w:rFonts w:hint="eastAsia" w:ascii="宋体" w:hAnsi="宋体" w:cs="宋体"/>
                <w:b/>
                <w:color w:val="auto"/>
                <w:highlight w:val="none"/>
              </w:rPr>
              <w:t>完成质量</w:t>
            </w:r>
          </w:p>
        </w:tc>
        <w:tc>
          <w:tcPr>
            <w:tcW w:w="1728" w:type="dxa"/>
            <w:gridSpan w:val="2"/>
            <w:tcBorders>
              <w:left w:val="single" w:color="auto" w:sz="4" w:space="0"/>
            </w:tcBorders>
            <w:vAlign w:val="center"/>
          </w:tcPr>
          <w:p>
            <w:pPr>
              <w:spacing w:line="400" w:lineRule="exact"/>
              <w:jc w:val="center"/>
              <w:rPr>
                <w:rFonts w:ascii="宋体" w:hAnsi="宋体" w:cs="宋体"/>
                <w:b/>
                <w:color w:val="auto"/>
                <w:highlight w:val="none"/>
              </w:rPr>
            </w:pPr>
            <w:r>
              <w:rPr>
                <w:rFonts w:hint="eastAsia" w:ascii="宋体"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jc w:val="center"/>
              <w:rPr>
                <w:rFonts w:ascii="宋体" w:hAnsi="宋体" w:cs="宋体"/>
                <w:color w:val="auto"/>
                <w:highlight w:val="none"/>
              </w:rPr>
            </w:pPr>
          </w:p>
        </w:tc>
        <w:tc>
          <w:tcPr>
            <w:tcW w:w="1793" w:type="dxa"/>
            <w:vAlign w:val="center"/>
          </w:tcPr>
          <w:p>
            <w:pPr>
              <w:spacing w:line="400" w:lineRule="exact"/>
              <w:jc w:val="center"/>
              <w:rPr>
                <w:rFonts w:ascii="宋体" w:hAnsi="宋体" w:cs="宋体"/>
                <w:color w:val="auto"/>
                <w:highlight w:val="none"/>
              </w:rPr>
            </w:pPr>
          </w:p>
        </w:tc>
        <w:tc>
          <w:tcPr>
            <w:tcW w:w="1642" w:type="dxa"/>
            <w:vAlign w:val="center"/>
          </w:tcPr>
          <w:p>
            <w:pPr>
              <w:spacing w:line="400" w:lineRule="exact"/>
              <w:jc w:val="center"/>
              <w:rPr>
                <w:rFonts w:ascii="宋体" w:hAnsi="宋体" w:cs="宋体"/>
                <w:color w:val="auto"/>
                <w:highlight w:val="none"/>
              </w:rPr>
            </w:pPr>
          </w:p>
        </w:tc>
        <w:tc>
          <w:tcPr>
            <w:tcW w:w="1698" w:type="dxa"/>
            <w:vAlign w:val="center"/>
          </w:tcPr>
          <w:p>
            <w:pPr>
              <w:spacing w:line="400" w:lineRule="exact"/>
              <w:jc w:val="center"/>
              <w:rPr>
                <w:rFonts w:ascii="宋体" w:hAnsi="宋体" w:cs="宋体"/>
                <w:color w:val="auto"/>
                <w:highlight w:val="none"/>
              </w:rPr>
            </w:pPr>
          </w:p>
        </w:tc>
        <w:tc>
          <w:tcPr>
            <w:tcW w:w="1524" w:type="dxa"/>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jc w:val="center"/>
              <w:rPr>
                <w:rFonts w:ascii="宋体" w:hAnsi="宋体" w:cs="宋体"/>
                <w:color w:val="auto"/>
                <w:highlight w:val="none"/>
              </w:rPr>
            </w:pPr>
          </w:p>
        </w:tc>
        <w:tc>
          <w:tcPr>
            <w:tcW w:w="1793" w:type="dxa"/>
            <w:vAlign w:val="center"/>
          </w:tcPr>
          <w:p>
            <w:pPr>
              <w:spacing w:line="400" w:lineRule="exact"/>
              <w:jc w:val="center"/>
              <w:rPr>
                <w:rFonts w:ascii="宋体" w:hAnsi="宋体" w:cs="宋体"/>
                <w:color w:val="auto"/>
                <w:highlight w:val="none"/>
              </w:rPr>
            </w:pPr>
          </w:p>
        </w:tc>
        <w:tc>
          <w:tcPr>
            <w:tcW w:w="1642" w:type="dxa"/>
            <w:vAlign w:val="center"/>
          </w:tcPr>
          <w:p>
            <w:pPr>
              <w:spacing w:line="400" w:lineRule="exact"/>
              <w:jc w:val="center"/>
              <w:rPr>
                <w:rFonts w:ascii="宋体" w:hAnsi="宋体" w:cs="宋体"/>
                <w:color w:val="auto"/>
                <w:highlight w:val="none"/>
              </w:rPr>
            </w:pPr>
          </w:p>
        </w:tc>
        <w:tc>
          <w:tcPr>
            <w:tcW w:w="1698" w:type="dxa"/>
            <w:vAlign w:val="center"/>
          </w:tcPr>
          <w:p>
            <w:pPr>
              <w:spacing w:line="400" w:lineRule="exact"/>
              <w:jc w:val="center"/>
              <w:rPr>
                <w:rFonts w:ascii="宋体" w:hAnsi="宋体" w:cs="宋体"/>
                <w:color w:val="auto"/>
                <w:highlight w:val="none"/>
              </w:rPr>
            </w:pPr>
          </w:p>
        </w:tc>
        <w:tc>
          <w:tcPr>
            <w:tcW w:w="1524" w:type="dxa"/>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jc w:val="center"/>
              <w:rPr>
                <w:rFonts w:ascii="宋体" w:hAnsi="宋体" w:cs="宋体"/>
                <w:color w:val="auto"/>
                <w:highlight w:val="none"/>
              </w:rPr>
            </w:pPr>
          </w:p>
        </w:tc>
        <w:tc>
          <w:tcPr>
            <w:tcW w:w="1793" w:type="dxa"/>
            <w:vAlign w:val="center"/>
          </w:tcPr>
          <w:p>
            <w:pPr>
              <w:spacing w:line="400" w:lineRule="exact"/>
              <w:jc w:val="center"/>
              <w:rPr>
                <w:rFonts w:ascii="宋体" w:hAnsi="宋体" w:cs="宋体"/>
                <w:color w:val="auto"/>
                <w:highlight w:val="none"/>
              </w:rPr>
            </w:pPr>
          </w:p>
        </w:tc>
        <w:tc>
          <w:tcPr>
            <w:tcW w:w="1642" w:type="dxa"/>
            <w:vAlign w:val="center"/>
          </w:tcPr>
          <w:p>
            <w:pPr>
              <w:spacing w:line="400" w:lineRule="exact"/>
              <w:jc w:val="center"/>
              <w:rPr>
                <w:rFonts w:ascii="宋体" w:hAnsi="宋体" w:cs="宋体"/>
                <w:color w:val="auto"/>
                <w:highlight w:val="none"/>
              </w:rPr>
            </w:pPr>
          </w:p>
        </w:tc>
        <w:tc>
          <w:tcPr>
            <w:tcW w:w="1698" w:type="dxa"/>
            <w:vAlign w:val="center"/>
          </w:tcPr>
          <w:p>
            <w:pPr>
              <w:spacing w:line="400" w:lineRule="exact"/>
              <w:jc w:val="center"/>
              <w:rPr>
                <w:rFonts w:ascii="宋体" w:hAnsi="宋体" w:cs="宋体"/>
                <w:color w:val="auto"/>
                <w:highlight w:val="none"/>
              </w:rPr>
            </w:pPr>
          </w:p>
        </w:tc>
        <w:tc>
          <w:tcPr>
            <w:tcW w:w="1524" w:type="dxa"/>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jc w:val="center"/>
              <w:rPr>
                <w:rFonts w:ascii="宋体" w:hAnsi="宋体" w:cs="宋体"/>
                <w:color w:val="auto"/>
                <w:highlight w:val="none"/>
              </w:rPr>
            </w:pPr>
          </w:p>
        </w:tc>
        <w:tc>
          <w:tcPr>
            <w:tcW w:w="1793" w:type="dxa"/>
            <w:tcBorders>
              <w:right w:val="single" w:color="auto" w:sz="4" w:space="0"/>
            </w:tcBorders>
            <w:vAlign w:val="center"/>
          </w:tcPr>
          <w:p>
            <w:pPr>
              <w:spacing w:line="400" w:lineRule="exact"/>
              <w:jc w:val="center"/>
              <w:rPr>
                <w:rFonts w:ascii="宋体" w:hAnsi="宋体" w:cs="宋体"/>
                <w:color w:val="auto"/>
                <w:highlight w:val="none"/>
              </w:rPr>
            </w:pPr>
          </w:p>
        </w:tc>
        <w:tc>
          <w:tcPr>
            <w:tcW w:w="1642" w:type="dxa"/>
            <w:tcBorders>
              <w:left w:val="single" w:color="auto" w:sz="4" w:space="0"/>
            </w:tcBorders>
            <w:vAlign w:val="center"/>
          </w:tcPr>
          <w:p>
            <w:pPr>
              <w:spacing w:line="400" w:lineRule="exact"/>
              <w:jc w:val="center"/>
              <w:rPr>
                <w:rFonts w:ascii="宋体" w:hAnsi="宋体" w:cs="宋体"/>
                <w:color w:val="auto"/>
                <w:highlight w:val="none"/>
              </w:rPr>
            </w:pPr>
          </w:p>
        </w:tc>
        <w:tc>
          <w:tcPr>
            <w:tcW w:w="1698" w:type="dxa"/>
            <w:vAlign w:val="center"/>
          </w:tcPr>
          <w:p>
            <w:pPr>
              <w:spacing w:line="400" w:lineRule="exact"/>
              <w:jc w:val="center"/>
              <w:rPr>
                <w:rFonts w:ascii="宋体" w:hAnsi="宋体" w:cs="宋体"/>
                <w:color w:val="auto"/>
                <w:highlight w:val="none"/>
              </w:rPr>
            </w:pPr>
          </w:p>
        </w:tc>
        <w:tc>
          <w:tcPr>
            <w:tcW w:w="1524" w:type="dxa"/>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4" w:type="dxa"/>
          <w:cantSplit/>
          <w:trHeight w:val="594" w:hRule="atLeast"/>
          <w:jc w:val="center"/>
        </w:trPr>
        <w:tc>
          <w:tcPr>
            <w:tcW w:w="893" w:type="dxa"/>
            <w:tcBorders>
              <w:right w:val="single" w:color="auto" w:sz="4" w:space="0"/>
            </w:tcBorders>
            <w:vAlign w:val="center"/>
          </w:tcPr>
          <w:p>
            <w:pPr>
              <w:spacing w:line="400" w:lineRule="exact"/>
              <w:rPr>
                <w:rFonts w:ascii="宋体" w:hAnsi="宋体" w:cs="宋体"/>
                <w:color w:val="auto"/>
                <w:highlight w:val="none"/>
              </w:rPr>
            </w:pPr>
          </w:p>
        </w:tc>
        <w:tc>
          <w:tcPr>
            <w:tcW w:w="1793" w:type="dxa"/>
            <w:tcBorders>
              <w:left w:val="single" w:color="auto" w:sz="4" w:space="0"/>
              <w:right w:val="single" w:color="auto" w:sz="4" w:space="0"/>
            </w:tcBorders>
            <w:vAlign w:val="center"/>
          </w:tcPr>
          <w:p>
            <w:pPr>
              <w:spacing w:line="400" w:lineRule="exact"/>
              <w:rPr>
                <w:rFonts w:ascii="宋体" w:hAnsi="宋体" w:cs="宋体"/>
                <w:color w:val="auto"/>
                <w:highlight w:val="none"/>
              </w:rPr>
            </w:pPr>
          </w:p>
        </w:tc>
        <w:tc>
          <w:tcPr>
            <w:tcW w:w="1642" w:type="dxa"/>
            <w:tcBorders>
              <w:left w:val="single" w:color="auto" w:sz="4" w:space="0"/>
              <w:right w:val="single" w:color="auto" w:sz="4" w:space="0"/>
            </w:tcBorders>
            <w:vAlign w:val="center"/>
          </w:tcPr>
          <w:p>
            <w:pPr>
              <w:spacing w:line="400" w:lineRule="exact"/>
              <w:rPr>
                <w:rFonts w:ascii="宋体" w:hAnsi="宋体" w:cs="宋体"/>
                <w:color w:val="auto"/>
                <w:highlight w:val="none"/>
              </w:rPr>
            </w:pPr>
          </w:p>
        </w:tc>
        <w:tc>
          <w:tcPr>
            <w:tcW w:w="1698" w:type="dxa"/>
            <w:tcBorders>
              <w:left w:val="single" w:color="auto" w:sz="4" w:space="0"/>
              <w:right w:val="single" w:color="auto" w:sz="4" w:space="0"/>
            </w:tcBorders>
            <w:vAlign w:val="center"/>
          </w:tcPr>
          <w:p>
            <w:pPr>
              <w:spacing w:line="400" w:lineRule="exact"/>
              <w:rPr>
                <w:rFonts w:ascii="宋体" w:hAnsi="宋体" w:cs="宋体"/>
                <w:color w:val="auto"/>
                <w:highlight w:val="none"/>
              </w:rPr>
            </w:pPr>
          </w:p>
        </w:tc>
        <w:tc>
          <w:tcPr>
            <w:tcW w:w="1524" w:type="dxa"/>
            <w:tcBorders>
              <w:left w:val="single" w:color="auto" w:sz="4" w:space="0"/>
              <w:right w:val="single" w:color="auto" w:sz="4" w:space="0"/>
            </w:tcBorders>
            <w:vAlign w:val="center"/>
          </w:tcPr>
          <w:p>
            <w:pPr>
              <w:spacing w:line="400" w:lineRule="exact"/>
              <w:rPr>
                <w:rFonts w:ascii="宋体" w:hAnsi="宋体" w:cs="宋体"/>
                <w:color w:val="auto"/>
                <w:highlight w:val="none"/>
              </w:rPr>
            </w:pPr>
          </w:p>
        </w:tc>
        <w:tc>
          <w:tcPr>
            <w:tcW w:w="1714" w:type="dxa"/>
            <w:tcBorders>
              <w:left w:val="single" w:color="auto" w:sz="4" w:space="0"/>
            </w:tcBorders>
            <w:vAlign w:val="center"/>
          </w:tcPr>
          <w:p>
            <w:pPr>
              <w:spacing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rPr>
                <w:rFonts w:ascii="宋体" w:hAnsi="宋体" w:cs="宋体"/>
                <w:color w:val="auto"/>
                <w:highlight w:val="none"/>
              </w:rPr>
            </w:pPr>
          </w:p>
        </w:tc>
        <w:tc>
          <w:tcPr>
            <w:tcW w:w="1793" w:type="dxa"/>
            <w:vAlign w:val="center"/>
          </w:tcPr>
          <w:p>
            <w:pPr>
              <w:spacing w:line="400" w:lineRule="exact"/>
              <w:rPr>
                <w:rFonts w:ascii="宋体" w:hAnsi="宋体" w:cs="宋体"/>
                <w:color w:val="auto"/>
                <w:highlight w:val="none"/>
              </w:rPr>
            </w:pPr>
          </w:p>
        </w:tc>
        <w:tc>
          <w:tcPr>
            <w:tcW w:w="1642" w:type="dxa"/>
            <w:vAlign w:val="center"/>
          </w:tcPr>
          <w:p>
            <w:pPr>
              <w:spacing w:line="400" w:lineRule="exact"/>
              <w:rPr>
                <w:rFonts w:ascii="宋体" w:hAnsi="宋体" w:cs="宋体"/>
                <w:color w:val="auto"/>
                <w:highlight w:val="none"/>
              </w:rPr>
            </w:pPr>
          </w:p>
        </w:tc>
        <w:tc>
          <w:tcPr>
            <w:tcW w:w="1698" w:type="dxa"/>
            <w:vAlign w:val="center"/>
          </w:tcPr>
          <w:p>
            <w:pPr>
              <w:spacing w:line="400" w:lineRule="exact"/>
              <w:rPr>
                <w:rFonts w:ascii="宋体" w:hAnsi="宋体" w:cs="宋体"/>
                <w:color w:val="auto"/>
                <w:highlight w:val="none"/>
              </w:rPr>
            </w:pPr>
          </w:p>
        </w:tc>
        <w:tc>
          <w:tcPr>
            <w:tcW w:w="1524" w:type="dxa"/>
            <w:tcBorders>
              <w:right w:val="single" w:color="auto" w:sz="4" w:space="0"/>
            </w:tcBorders>
            <w:vAlign w:val="center"/>
          </w:tcPr>
          <w:p>
            <w:pPr>
              <w:spacing w:line="400" w:lineRule="exact"/>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jc w:val="center"/>
              <w:rPr>
                <w:rFonts w:ascii="宋体" w:hAnsi="宋体" w:cs="宋体"/>
                <w:color w:val="auto"/>
                <w:highlight w:val="none"/>
              </w:rPr>
            </w:pPr>
          </w:p>
        </w:tc>
        <w:tc>
          <w:tcPr>
            <w:tcW w:w="1793" w:type="dxa"/>
            <w:vAlign w:val="center"/>
          </w:tcPr>
          <w:p>
            <w:pPr>
              <w:spacing w:line="400" w:lineRule="exact"/>
              <w:jc w:val="center"/>
              <w:rPr>
                <w:rFonts w:ascii="宋体" w:hAnsi="宋体" w:cs="宋体"/>
                <w:color w:val="auto"/>
                <w:highlight w:val="none"/>
              </w:rPr>
            </w:pPr>
          </w:p>
        </w:tc>
        <w:tc>
          <w:tcPr>
            <w:tcW w:w="1642" w:type="dxa"/>
            <w:vAlign w:val="center"/>
          </w:tcPr>
          <w:p>
            <w:pPr>
              <w:spacing w:line="400" w:lineRule="exact"/>
              <w:jc w:val="center"/>
              <w:rPr>
                <w:rFonts w:ascii="宋体" w:hAnsi="宋体" w:cs="宋体"/>
                <w:color w:val="auto"/>
                <w:highlight w:val="none"/>
              </w:rPr>
            </w:pPr>
          </w:p>
        </w:tc>
        <w:tc>
          <w:tcPr>
            <w:tcW w:w="1698" w:type="dxa"/>
            <w:vAlign w:val="center"/>
          </w:tcPr>
          <w:p>
            <w:pPr>
              <w:spacing w:line="400" w:lineRule="exact"/>
              <w:jc w:val="center"/>
              <w:rPr>
                <w:rFonts w:ascii="宋体" w:hAnsi="宋体" w:cs="宋体"/>
                <w:color w:val="auto"/>
                <w:highlight w:val="none"/>
              </w:rPr>
            </w:pPr>
          </w:p>
        </w:tc>
        <w:tc>
          <w:tcPr>
            <w:tcW w:w="1524" w:type="dxa"/>
            <w:tcBorders>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4" w:hRule="atLeast"/>
          <w:jc w:val="center"/>
        </w:trPr>
        <w:tc>
          <w:tcPr>
            <w:tcW w:w="893" w:type="dxa"/>
            <w:vAlign w:val="center"/>
          </w:tcPr>
          <w:p>
            <w:pPr>
              <w:spacing w:line="400" w:lineRule="exact"/>
              <w:jc w:val="center"/>
              <w:rPr>
                <w:rFonts w:ascii="宋体" w:hAnsi="宋体" w:cs="宋体"/>
                <w:color w:val="auto"/>
                <w:highlight w:val="none"/>
              </w:rPr>
            </w:pPr>
          </w:p>
        </w:tc>
        <w:tc>
          <w:tcPr>
            <w:tcW w:w="1793" w:type="dxa"/>
            <w:vAlign w:val="center"/>
          </w:tcPr>
          <w:p>
            <w:pPr>
              <w:spacing w:line="400" w:lineRule="exact"/>
              <w:jc w:val="center"/>
              <w:rPr>
                <w:rFonts w:ascii="宋体" w:hAnsi="宋体" w:cs="宋体"/>
                <w:color w:val="auto"/>
                <w:highlight w:val="none"/>
              </w:rPr>
            </w:pPr>
          </w:p>
        </w:tc>
        <w:tc>
          <w:tcPr>
            <w:tcW w:w="1642" w:type="dxa"/>
            <w:vAlign w:val="center"/>
          </w:tcPr>
          <w:p>
            <w:pPr>
              <w:spacing w:line="400" w:lineRule="exact"/>
              <w:jc w:val="center"/>
              <w:rPr>
                <w:rFonts w:ascii="宋体" w:hAnsi="宋体" w:cs="宋体"/>
                <w:color w:val="auto"/>
                <w:highlight w:val="none"/>
              </w:rPr>
            </w:pPr>
          </w:p>
        </w:tc>
        <w:tc>
          <w:tcPr>
            <w:tcW w:w="1698" w:type="dxa"/>
            <w:vAlign w:val="center"/>
          </w:tcPr>
          <w:p>
            <w:pPr>
              <w:spacing w:line="400" w:lineRule="exact"/>
              <w:jc w:val="center"/>
              <w:rPr>
                <w:rFonts w:ascii="宋体" w:hAnsi="宋体" w:cs="宋体"/>
                <w:color w:val="auto"/>
                <w:highlight w:val="none"/>
              </w:rPr>
            </w:pPr>
          </w:p>
        </w:tc>
        <w:tc>
          <w:tcPr>
            <w:tcW w:w="1524" w:type="dxa"/>
            <w:tcBorders>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4" w:hRule="atLeast"/>
          <w:jc w:val="center"/>
        </w:trPr>
        <w:tc>
          <w:tcPr>
            <w:tcW w:w="893" w:type="dxa"/>
            <w:tcBorders>
              <w:bottom w:val="single" w:color="auto" w:sz="4" w:space="0"/>
            </w:tcBorders>
            <w:vAlign w:val="center"/>
          </w:tcPr>
          <w:p>
            <w:pPr>
              <w:spacing w:line="400" w:lineRule="exact"/>
              <w:jc w:val="center"/>
              <w:rPr>
                <w:rFonts w:ascii="宋体" w:hAnsi="宋体" w:cs="宋体"/>
                <w:color w:val="auto"/>
                <w:highlight w:val="none"/>
              </w:rPr>
            </w:pPr>
          </w:p>
        </w:tc>
        <w:tc>
          <w:tcPr>
            <w:tcW w:w="1793" w:type="dxa"/>
            <w:tcBorders>
              <w:bottom w:val="single" w:color="auto" w:sz="4" w:space="0"/>
            </w:tcBorders>
            <w:vAlign w:val="center"/>
          </w:tcPr>
          <w:p>
            <w:pPr>
              <w:spacing w:line="400" w:lineRule="exact"/>
              <w:jc w:val="center"/>
              <w:rPr>
                <w:rFonts w:ascii="宋体" w:hAnsi="宋体" w:cs="宋体"/>
                <w:color w:val="auto"/>
                <w:highlight w:val="none"/>
              </w:rPr>
            </w:pPr>
          </w:p>
        </w:tc>
        <w:tc>
          <w:tcPr>
            <w:tcW w:w="1642" w:type="dxa"/>
            <w:tcBorders>
              <w:bottom w:val="single" w:color="auto" w:sz="4" w:space="0"/>
            </w:tcBorders>
            <w:vAlign w:val="center"/>
          </w:tcPr>
          <w:p>
            <w:pPr>
              <w:spacing w:line="400" w:lineRule="exact"/>
              <w:jc w:val="center"/>
              <w:rPr>
                <w:rFonts w:ascii="宋体" w:hAnsi="宋体" w:cs="宋体"/>
                <w:color w:val="auto"/>
                <w:highlight w:val="none"/>
              </w:rPr>
            </w:pPr>
          </w:p>
        </w:tc>
        <w:tc>
          <w:tcPr>
            <w:tcW w:w="1698" w:type="dxa"/>
            <w:tcBorders>
              <w:bottom w:val="single" w:color="auto" w:sz="4" w:space="0"/>
            </w:tcBorders>
            <w:vAlign w:val="center"/>
          </w:tcPr>
          <w:p>
            <w:pPr>
              <w:spacing w:line="400" w:lineRule="exact"/>
              <w:jc w:val="center"/>
              <w:rPr>
                <w:rFonts w:ascii="宋体" w:hAnsi="宋体" w:cs="宋体"/>
                <w:color w:val="auto"/>
                <w:highlight w:val="none"/>
              </w:rPr>
            </w:pPr>
          </w:p>
        </w:tc>
        <w:tc>
          <w:tcPr>
            <w:tcW w:w="1524" w:type="dxa"/>
            <w:tcBorders>
              <w:bottom w:val="single" w:color="auto" w:sz="4" w:space="0"/>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left w:val="single" w:color="auto" w:sz="4" w:space="0"/>
              <w:bottom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8" w:hRule="atLeast"/>
          <w:jc w:val="center"/>
        </w:trPr>
        <w:tc>
          <w:tcPr>
            <w:tcW w:w="893"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793"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642"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698"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524"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8" w:hRule="atLeast"/>
          <w:jc w:val="center"/>
        </w:trPr>
        <w:tc>
          <w:tcPr>
            <w:tcW w:w="893"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793"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642"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698"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524"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41" w:hRule="atLeast"/>
          <w:jc w:val="center"/>
        </w:trPr>
        <w:tc>
          <w:tcPr>
            <w:tcW w:w="893"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793"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642"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698" w:type="dxa"/>
            <w:tcBorders>
              <w:top w:val="single" w:color="auto" w:sz="4" w:space="0"/>
              <w:bottom w:val="single" w:color="auto" w:sz="4" w:space="0"/>
            </w:tcBorders>
            <w:vAlign w:val="center"/>
          </w:tcPr>
          <w:p>
            <w:pPr>
              <w:spacing w:line="400" w:lineRule="exact"/>
              <w:jc w:val="center"/>
              <w:rPr>
                <w:rFonts w:ascii="宋体" w:hAnsi="宋体" w:cs="宋体"/>
                <w:color w:val="auto"/>
                <w:highlight w:val="none"/>
              </w:rPr>
            </w:pPr>
          </w:p>
        </w:tc>
        <w:tc>
          <w:tcPr>
            <w:tcW w:w="1524"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6" w:hRule="atLeast"/>
          <w:jc w:val="center"/>
        </w:trPr>
        <w:tc>
          <w:tcPr>
            <w:tcW w:w="893" w:type="dxa"/>
            <w:tcBorders>
              <w:top w:val="single" w:color="auto" w:sz="4" w:space="0"/>
            </w:tcBorders>
            <w:vAlign w:val="center"/>
          </w:tcPr>
          <w:p>
            <w:pPr>
              <w:spacing w:line="400" w:lineRule="exact"/>
              <w:jc w:val="center"/>
              <w:rPr>
                <w:rFonts w:ascii="宋体" w:hAnsi="宋体" w:cs="宋体"/>
                <w:color w:val="auto"/>
                <w:highlight w:val="none"/>
              </w:rPr>
            </w:pPr>
          </w:p>
        </w:tc>
        <w:tc>
          <w:tcPr>
            <w:tcW w:w="1793" w:type="dxa"/>
            <w:tcBorders>
              <w:top w:val="single" w:color="auto" w:sz="4" w:space="0"/>
            </w:tcBorders>
            <w:vAlign w:val="center"/>
          </w:tcPr>
          <w:p>
            <w:pPr>
              <w:spacing w:line="400" w:lineRule="exact"/>
              <w:jc w:val="center"/>
              <w:rPr>
                <w:rFonts w:ascii="宋体" w:hAnsi="宋体" w:cs="宋体"/>
                <w:color w:val="auto"/>
                <w:highlight w:val="none"/>
              </w:rPr>
            </w:pPr>
          </w:p>
        </w:tc>
        <w:tc>
          <w:tcPr>
            <w:tcW w:w="1642" w:type="dxa"/>
            <w:tcBorders>
              <w:top w:val="single" w:color="auto" w:sz="4" w:space="0"/>
            </w:tcBorders>
            <w:vAlign w:val="center"/>
          </w:tcPr>
          <w:p>
            <w:pPr>
              <w:spacing w:line="400" w:lineRule="exact"/>
              <w:jc w:val="center"/>
              <w:rPr>
                <w:rFonts w:ascii="宋体" w:hAnsi="宋体" w:cs="宋体"/>
                <w:color w:val="auto"/>
                <w:highlight w:val="none"/>
              </w:rPr>
            </w:pPr>
          </w:p>
        </w:tc>
        <w:tc>
          <w:tcPr>
            <w:tcW w:w="1698" w:type="dxa"/>
            <w:tcBorders>
              <w:top w:val="single" w:color="auto" w:sz="4" w:space="0"/>
            </w:tcBorders>
            <w:vAlign w:val="center"/>
          </w:tcPr>
          <w:p>
            <w:pPr>
              <w:spacing w:line="400" w:lineRule="exact"/>
              <w:jc w:val="center"/>
              <w:rPr>
                <w:rFonts w:ascii="宋体" w:hAnsi="宋体" w:cs="宋体"/>
                <w:color w:val="auto"/>
                <w:highlight w:val="none"/>
              </w:rPr>
            </w:pPr>
          </w:p>
        </w:tc>
        <w:tc>
          <w:tcPr>
            <w:tcW w:w="1524" w:type="dxa"/>
            <w:tcBorders>
              <w:top w:val="single" w:color="auto" w:sz="4" w:space="0"/>
              <w:right w:val="single" w:color="auto" w:sz="4" w:space="0"/>
            </w:tcBorders>
            <w:vAlign w:val="center"/>
          </w:tcPr>
          <w:p>
            <w:pPr>
              <w:spacing w:line="400" w:lineRule="exact"/>
              <w:jc w:val="center"/>
              <w:rPr>
                <w:rFonts w:ascii="宋体" w:hAnsi="宋体" w:cs="宋体"/>
                <w:color w:val="auto"/>
                <w:highlight w:val="none"/>
              </w:rPr>
            </w:pPr>
          </w:p>
        </w:tc>
        <w:tc>
          <w:tcPr>
            <w:tcW w:w="1728" w:type="dxa"/>
            <w:gridSpan w:val="2"/>
            <w:tcBorders>
              <w:top w:val="single" w:color="auto" w:sz="4" w:space="0"/>
              <w:left w:val="single" w:color="auto" w:sz="4" w:space="0"/>
            </w:tcBorders>
            <w:vAlign w:val="center"/>
          </w:tcPr>
          <w:p>
            <w:pPr>
              <w:spacing w:line="400" w:lineRule="exact"/>
              <w:jc w:val="center"/>
              <w:rPr>
                <w:rFonts w:ascii="宋体" w:hAnsi="宋体" w:cs="宋体"/>
                <w:color w:val="auto"/>
                <w:highlight w:val="none"/>
              </w:rPr>
            </w:pPr>
          </w:p>
        </w:tc>
      </w:tr>
    </w:tbl>
    <w:p>
      <w:pPr>
        <w:spacing w:line="360" w:lineRule="auto"/>
        <w:ind w:firstLine="430" w:firstLineChars="200"/>
        <w:rPr>
          <w:rFonts w:ascii="宋体" w:hAnsi="宋体" w:cs="宋体"/>
          <w:color w:val="auto"/>
          <w:highlight w:val="none"/>
        </w:rPr>
      </w:pPr>
      <w:r>
        <w:rPr>
          <w:rFonts w:hint="eastAsia" w:ascii="宋体" w:hAnsi="宋体" w:cs="宋体"/>
          <w:color w:val="auto"/>
          <w:highlight w:val="none"/>
        </w:rPr>
        <w:t>注：1、供应商以上业绩需提供有关书面证明材料。（以综合评分表要求为准）；</w:t>
      </w:r>
    </w:p>
    <w:p>
      <w:pPr>
        <w:spacing w:line="360" w:lineRule="auto"/>
        <w:ind w:firstLine="860" w:firstLineChars="400"/>
        <w:rPr>
          <w:rFonts w:ascii="宋体" w:hAnsi="宋体" w:cs="宋体"/>
          <w:color w:val="auto"/>
          <w:sz w:val="24"/>
          <w:highlight w:val="none"/>
        </w:rPr>
      </w:pPr>
      <w:r>
        <w:rPr>
          <w:rFonts w:hint="eastAsia" w:ascii="宋体" w:hAnsi="宋体" w:cs="宋体"/>
          <w:color w:val="auto"/>
          <w:highlight w:val="none"/>
        </w:rPr>
        <w:t>2、如未提供业绩的相关证明材料可能会影响供应商的得分,但并不影响响应文件的有效性。</w:t>
      </w:r>
    </w:p>
    <w:p>
      <w:pPr>
        <w:jc w:val="left"/>
        <w:rPr>
          <w:rFonts w:ascii="宋体" w:hAnsi="宋体" w:cs="宋体"/>
          <w:color w:val="auto"/>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jc w:val="left"/>
        <w:rPr>
          <w:rFonts w:ascii="宋体" w:hAnsi="宋体" w:cs="宋体"/>
          <w:color w:val="auto"/>
          <w:sz w:val="24"/>
          <w:highlight w:val="none"/>
        </w:rPr>
      </w:pPr>
    </w:p>
    <w:p>
      <w:pPr>
        <w:spacing w:line="360" w:lineRule="auto"/>
        <w:rPr>
          <w:rFonts w:ascii="宋体" w:hAnsi="宋体" w:cs="宋体"/>
          <w:color w:val="auto"/>
          <w:highlight w:val="none"/>
        </w:rPr>
      </w:pPr>
      <w:bookmarkStart w:id="79" w:name="_Toc436410129"/>
      <w:bookmarkStart w:id="80" w:name="_Toc436404120"/>
      <w:bookmarkStart w:id="81" w:name="_Toc436385992"/>
      <w:bookmarkStart w:id="82" w:name="_Toc436820890"/>
      <w:bookmarkStart w:id="83" w:name="_Toc307564880"/>
    </w:p>
    <w:bookmarkEnd w:id="79"/>
    <w:bookmarkEnd w:id="80"/>
    <w:bookmarkEnd w:id="81"/>
    <w:bookmarkEnd w:id="82"/>
    <w:bookmarkEnd w:id="83"/>
    <w:p>
      <w:pPr>
        <w:spacing w:line="360" w:lineRule="auto"/>
        <w:rPr>
          <w:rFonts w:ascii="宋体" w:hAnsi="宋体" w:cs="宋体"/>
          <w:color w:val="auto"/>
          <w:highlight w:val="none"/>
        </w:rPr>
      </w:pP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8"/>
          <w:highlight w:val="none"/>
          <w:lang w:val="zh-CN"/>
        </w:rPr>
        <w:t>（</w:t>
      </w:r>
      <w:r>
        <w:rPr>
          <w:rFonts w:hint="eastAsia" w:ascii="宋体" w:hAnsi="宋体" w:cs="宋体"/>
          <w:color w:val="auto"/>
          <w:sz w:val="28"/>
          <w:highlight w:val="none"/>
        </w:rPr>
        <w:t>九</w:t>
      </w:r>
      <w:r>
        <w:rPr>
          <w:rFonts w:hint="eastAsia" w:ascii="宋体" w:hAnsi="宋体" w:cs="宋体"/>
          <w:color w:val="auto"/>
          <w:sz w:val="28"/>
          <w:highlight w:val="none"/>
          <w:lang w:val="zh-CN"/>
        </w:rPr>
        <w:t>）项目</w:t>
      </w:r>
      <w:r>
        <w:rPr>
          <w:rFonts w:hint="eastAsia" w:ascii="宋体" w:hAnsi="宋体" w:cs="宋体"/>
          <w:color w:val="auto"/>
          <w:sz w:val="28"/>
          <w:highlight w:val="none"/>
          <w:lang w:val="en-US" w:eastAsia="zh-CN"/>
        </w:rPr>
        <w:t>实施</w:t>
      </w:r>
      <w:r>
        <w:rPr>
          <w:rFonts w:hint="eastAsia" w:ascii="宋体" w:hAnsi="宋体" w:cs="宋体"/>
          <w:color w:val="auto"/>
          <w:sz w:val="28"/>
          <w:highlight w:val="none"/>
          <w:lang w:val="zh-CN"/>
        </w:rPr>
        <w:t>方案</w:t>
      </w:r>
    </w:p>
    <w:p>
      <w:pPr>
        <w:jc w:val="both"/>
        <w:rPr>
          <w:rFonts w:ascii="宋体" w:hAnsi="宋体" w:cs="宋体"/>
          <w:b/>
          <w:bCs/>
          <w:color w:val="auto"/>
          <w:sz w:val="32"/>
          <w:szCs w:val="32"/>
          <w:highlight w:val="none"/>
        </w:rPr>
      </w:pPr>
    </w:p>
    <w:p>
      <w:pPr>
        <w:rPr>
          <w:rFonts w:ascii="宋体" w:hAnsi="宋体" w:cs="宋体"/>
          <w:color w:val="auto"/>
          <w:sz w:val="24"/>
          <w:highlight w:val="none"/>
        </w:rPr>
      </w:pPr>
      <w:r>
        <w:rPr>
          <w:rFonts w:hint="eastAsia" w:ascii="宋体" w:hAnsi="宋体" w:cs="宋体"/>
          <w:color w:val="auto"/>
          <w:sz w:val="24"/>
          <w:highlight w:val="none"/>
        </w:rPr>
        <w:t>说明：本项格式自拟。</w:t>
      </w:r>
    </w:p>
    <w:p>
      <w:pPr>
        <w:jc w:val="both"/>
        <w:rPr>
          <w:rFonts w:ascii="宋体" w:hAnsi="宋体" w:cs="宋体"/>
          <w:color w:val="auto"/>
          <w:sz w:val="24"/>
          <w:highlight w:val="none"/>
        </w:rPr>
      </w:pPr>
    </w:p>
    <w:p>
      <w:pPr>
        <w:rPr>
          <w:rFonts w:ascii="宋体" w:hAnsi="宋体" w:cs="宋体"/>
          <w:b/>
          <w:color w:val="auto"/>
          <w:sz w:val="32"/>
          <w:szCs w:val="32"/>
          <w:highlight w:val="none"/>
          <w:lang w:val="zh-CN"/>
        </w:rPr>
      </w:pPr>
    </w:p>
    <w:p>
      <w:pPr>
        <w:pStyle w:val="6"/>
        <w:spacing w:line="240" w:lineRule="auto"/>
        <w:jc w:val="center"/>
        <w:rPr>
          <w:rFonts w:ascii="宋体" w:hAnsi="宋体" w:cs="宋体"/>
          <w:color w:val="auto"/>
          <w:sz w:val="28"/>
          <w:highlight w:val="none"/>
          <w:lang w:val="zh-CN"/>
        </w:rPr>
      </w:pPr>
      <w:r>
        <w:rPr>
          <w:rFonts w:hint="eastAsia" w:ascii="宋体" w:hAnsi="宋体" w:cs="宋体"/>
          <w:b w:val="0"/>
          <w:color w:val="auto"/>
          <w:sz w:val="32"/>
          <w:szCs w:val="32"/>
          <w:highlight w:val="none"/>
          <w:lang w:val="zh-CN"/>
        </w:rPr>
        <w:br w:type="page"/>
      </w:r>
      <w:r>
        <w:rPr>
          <w:rFonts w:hint="eastAsia" w:ascii="宋体" w:hAnsi="宋体" w:cs="宋体"/>
          <w:color w:val="auto"/>
          <w:sz w:val="28"/>
          <w:highlight w:val="none"/>
          <w:lang w:val="zh-CN"/>
        </w:rPr>
        <w:t>（</w:t>
      </w:r>
      <w:r>
        <w:rPr>
          <w:rFonts w:hint="eastAsia" w:ascii="宋体" w:hAnsi="宋体" w:cs="宋体"/>
          <w:color w:val="auto"/>
          <w:sz w:val="28"/>
          <w:highlight w:val="none"/>
        </w:rPr>
        <w:t>十</w:t>
      </w:r>
      <w:r>
        <w:rPr>
          <w:rFonts w:hint="eastAsia" w:ascii="宋体" w:hAnsi="宋体" w:cs="宋体"/>
          <w:color w:val="auto"/>
          <w:sz w:val="28"/>
          <w:highlight w:val="none"/>
          <w:lang w:val="zh-CN"/>
        </w:rPr>
        <w:t>）供应商诚信情况的声明函</w:t>
      </w:r>
    </w:p>
    <w:p>
      <w:pPr>
        <w:spacing w:line="360" w:lineRule="auto"/>
        <w:rPr>
          <w:rFonts w:ascii="宋体" w:hAnsi="宋体" w:cs="宋体"/>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成都怡建工程咨询代理有限公司</w:t>
      </w:r>
      <w:r>
        <w:rPr>
          <w:rFonts w:hint="eastAsia" w:ascii="宋体" w:hAnsi="宋体" w:cs="宋体"/>
          <w:bCs/>
          <w:color w:val="auto"/>
          <w:sz w:val="24"/>
          <w:highlight w:val="none"/>
        </w:rPr>
        <w:t xml:space="preserve">： </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我方</w:t>
      </w:r>
      <w:r>
        <w:rPr>
          <w:rFonts w:hint="eastAsia" w:ascii="宋体" w:hAnsi="宋体" w:cs="宋体"/>
          <w:bCs/>
          <w:color w:val="auto"/>
          <w:sz w:val="24"/>
          <w:highlight w:val="none"/>
          <w:u w:val="single"/>
        </w:rPr>
        <w:t xml:space="preserve">                   （供应商名称）</w:t>
      </w:r>
      <w:r>
        <w:rPr>
          <w:rFonts w:hint="eastAsia" w:ascii="宋体" w:hAnsi="宋体" w:cs="宋体"/>
          <w:bCs/>
          <w:color w:val="auto"/>
          <w:sz w:val="24"/>
          <w:highlight w:val="none"/>
        </w:rPr>
        <w:t xml:space="preserve">参加 </w:t>
      </w:r>
      <w:r>
        <w:rPr>
          <w:rFonts w:hint="eastAsia" w:ascii="宋体" w:hAnsi="宋体" w:cs="宋体"/>
          <w:bCs/>
          <w:color w:val="auto"/>
          <w:sz w:val="24"/>
          <w:highlight w:val="none"/>
          <w:u w:val="single"/>
        </w:rPr>
        <w:t xml:space="preserve">                （项目名称及项目编号）</w:t>
      </w:r>
      <w:r>
        <w:rPr>
          <w:rFonts w:hint="eastAsia" w:ascii="宋体" w:hAnsi="宋体" w:cs="宋体"/>
          <w:bCs/>
          <w:color w:val="auto"/>
          <w:sz w:val="24"/>
          <w:highlight w:val="none"/>
        </w:rPr>
        <w:t>的政府采购活动，</w:t>
      </w:r>
      <w:r>
        <w:rPr>
          <w:rFonts w:hint="eastAsia" w:ascii="宋体" w:hAnsi="宋体" w:cs="宋体"/>
          <w:color w:val="auto"/>
          <w:sz w:val="24"/>
          <w:highlight w:val="none"/>
        </w:rPr>
        <w:t>现根据《四川省政府采购当事人诚信管理办法》川财采〔2015〕33号的相关规定，针</w:t>
      </w:r>
      <w:r>
        <w:rPr>
          <w:rFonts w:hint="eastAsia" w:ascii="宋体" w:hAnsi="宋体" w:cs="宋体"/>
          <w:bCs/>
          <w:color w:val="auto"/>
          <w:sz w:val="24"/>
          <w:highlight w:val="none"/>
        </w:rPr>
        <w:t>对本单位的诚信情况作出以下承诺：</w:t>
      </w:r>
    </w:p>
    <w:p>
      <w:pPr>
        <w:spacing w:line="360" w:lineRule="auto"/>
        <w:ind w:firstLine="490" w:firstLineChars="200"/>
        <w:rPr>
          <w:rFonts w:ascii="宋体" w:hAnsi="宋体" w:cs="宋体"/>
          <w:color w:val="auto"/>
          <w:sz w:val="24"/>
          <w:highlight w:val="none"/>
        </w:rPr>
      </w:pPr>
      <w:r>
        <w:rPr>
          <w:rFonts w:hint="eastAsia" w:ascii="宋体" w:hAnsi="宋体" w:cs="宋体"/>
          <w:bCs/>
          <w:color w:val="auto"/>
          <w:sz w:val="24"/>
          <w:highlight w:val="none"/>
        </w:rPr>
        <w:t>我方具有</w:t>
      </w:r>
      <w:r>
        <w:rPr>
          <w:rFonts w:hint="eastAsia" w:ascii="宋体" w:hAnsi="宋体" w:cs="宋体"/>
          <w:color w:val="auto"/>
          <w:sz w:val="24"/>
          <w:highlight w:val="none"/>
        </w:rPr>
        <w:t>《四川省政府采购当事人诚信管理办法》（川财采[2015]33号）所规定的失信行为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次（填写失信行为的次数时，建议使用大写数字，如零、壹、贰、叁、肆等）（仅限投标截止当日仍在有效期的次数），且上述失信行为未受到行政处罚或司法惩处。</w:t>
      </w:r>
    </w:p>
    <w:p>
      <w:pPr>
        <w:spacing w:line="360" w:lineRule="auto"/>
        <w:ind w:firstLine="490" w:firstLineChars="200"/>
        <w:rPr>
          <w:rFonts w:ascii="宋体" w:hAnsi="宋体" w:cs="宋体"/>
          <w:color w:val="auto"/>
          <w:sz w:val="24"/>
          <w:highlight w:val="none"/>
        </w:rPr>
      </w:pPr>
      <w:r>
        <w:rPr>
          <w:rFonts w:hint="eastAsia" w:ascii="宋体" w:hAnsi="宋体" w:cs="宋体"/>
          <w:bCs/>
          <w:color w:val="auto"/>
          <w:sz w:val="24"/>
          <w:highlight w:val="none"/>
        </w:rPr>
        <w:t>我方</w:t>
      </w:r>
      <w:r>
        <w:rPr>
          <w:rFonts w:hint="eastAsia" w:ascii="宋体" w:hAnsi="宋体" w:cs="宋体"/>
          <w:color w:val="auto"/>
          <w:sz w:val="24"/>
          <w:highlight w:val="none"/>
        </w:rPr>
        <w:t>对以上填写信息的真实性负责。如有不实，</w:t>
      </w:r>
      <w:r>
        <w:rPr>
          <w:rFonts w:hint="eastAsia" w:ascii="宋体" w:hAnsi="宋体" w:cs="宋体"/>
          <w:bCs/>
          <w:color w:val="auto"/>
          <w:sz w:val="24"/>
          <w:highlight w:val="none"/>
        </w:rPr>
        <w:t>我方</w:t>
      </w:r>
      <w:r>
        <w:rPr>
          <w:rFonts w:hint="eastAsia" w:ascii="宋体" w:hAnsi="宋体" w:cs="宋体"/>
          <w:color w:val="auto"/>
          <w:sz w:val="24"/>
          <w:highlight w:val="none"/>
        </w:rPr>
        <w:t>愿承担由此产生的一切法律责任和后果。</w:t>
      </w:r>
    </w:p>
    <w:p>
      <w:pPr>
        <w:spacing w:line="360" w:lineRule="auto"/>
        <w:rPr>
          <w:rFonts w:ascii="宋体" w:hAnsi="宋体" w:cs="宋体"/>
          <w:bCs/>
          <w:color w:val="auto"/>
          <w:sz w:val="24"/>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rPr>
          <w:rFonts w:ascii="宋体" w:hAnsi="宋体" w:cs="宋体"/>
          <w:bCs/>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pacing w:line="360" w:lineRule="auto"/>
        <w:ind w:firstLine="450" w:firstLineChars="200"/>
        <w:rPr>
          <w:rFonts w:ascii="宋体" w:hAnsi="宋体" w:cs="宋体"/>
          <w:color w:val="auto"/>
          <w:sz w:val="22"/>
          <w:szCs w:val="22"/>
          <w:highlight w:val="none"/>
        </w:rPr>
      </w:pPr>
      <w:r>
        <w:rPr>
          <w:rFonts w:hint="eastAsia" w:ascii="宋体" w:hAnsi="宋体" w:cs="宋体"/>
          <w:color w:val="auto"/>
          <w:sz w:val="22"/>
          <w:szCs w:val="22"/>
          <w:highlight w:val="none"/>
        </w:rPr>
        <w:t>注：1、财政部门对政府采购当事人的失信行为依法进行处罚、处理后，应当在四川政府采购网向社会公告，并记入诚信档案，有效期为1年。工商/市场监督部门、税务部门、审判机关及其他有关部门单位认定供应商的失信行为明确了有效期的，不再重复计算。</w:t>
      </w:r>
    </w:p>
    <w:p>
      <w:pPr>
        <w:spacing w:line="360" w:lineRule="auto"/>
        <w:ind w:firstLine="45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2、供应商应如实填写此声明函。对记入诚信档案的且在有效期内的供应商，在综合评分中实行直接从总分中扣除5分/次，且供应商失信行为惩戒实行无限制累加制，直至总分扣完为止。</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2"/>
          <w:szCs w:val="22"/>
          <w:highlight w:val="none"/>
        </w:rPr>
        <w:br w:type="page"/>
      </w:r>
      <w:r>
        <w:rPr>
          <w:rFonts w:hint="eastAsia" w:ascii="宋体" w:hAnsi="宋体" w:cs="宋体"/>
          <w:color w:val="auto"/>
          <w:sz w:val="28"/>
          <w:highlight w:val="none"/>
          <w:lang w:val="zh-CN"/>
        </w:rPr>
        <w:t>（</w:t>
      </w:r>
      <w:r>
        <w:rPr>
          <w:rFonts w:hint="eastAsia" w:ascii="宋体" w:hAnsi="宋体" w:cs="宋体"/>
          <w:color w:val="auto"/>
          <w:sz w:val="28"/>
          <w:highlight w:val="none"/>
        </w:rPr>
        <w:t>十一</w:t>
      </w:r>
      <w:r>
        <w:rPr>
          <w:rFonts w:hint="eastAsia" w:ascii="宋体" w:hAnsi="宋体" w:cs="宋体"/>
          <w:color w:val="auto"/>
          <w:sz w:val="28"/>
          <w:highlight w:val="none"/>
          <w:lang w:val="zh-CN"/>
        </w:rPr>
        <w:t>）知识产权的声明函</w:t>
      </w:r>
    </w:p>
    <w:p>
      <w:pPr>
        <w:pStyle w:val="13"/>
        <w:spacing w:line="360" w:lineRule="auto"/>
        <w:ind w:firstLine="480"/>
        <w:rPr>
          <w:rFonts w:ascii="宋体" w:hAnsi="宋体" w:cs="宋体"/>
          <w:color w:val="auto"/>
          <w:sz w:val="24"/>
          <w:szCs w:val="24"/>
          <w:highlight w:val="none"/>
        </w:rPr>
      </w:pPr>
    </w:p>
    <w:p>
      <w:pPr>
        <w:spacing w:line="480" w:lineRule="auto"/>
        <w:rPr>
          <w:rFonts w:ascii="宋体" w:hAnsi="宋体" w:cs="宋体"/>
          <w:color w:val="auto"/>
          <w:sz w:val="24"/>
          <w:highlight w:val="none"/>
        </w:rPr>
      </w:pPr>
      <w:r>
        <w:rPr>
          <w:rFonts w:hint="eastAsia" w:ascii="宋体" w:hAnsi="宋体" w:cs="宋体"/>
          <w:color w:val="auto"/>
          <w:sz w:val="24"/>
          <w:highlight w:val="none"/>
          <w:lang w:eastAsia="zh-CN"/>
        </w:rPr>
        <w:t>成都怡建工程咨询代理有限公司</w:t>
      </w:r>
      <w:r>
        <w:rPr>
          <w:rFonts w:hint="eastAsia" w:ascii="宋体" w:hAnsi="宋体" w:cs="宋体"/>
          <w:color w:val="auto"/>
          <w:sz w:val="24"/>
          <w:highlight w:val="none"/>
        </w:rPr>
        <w:t xml:space="preserve"> ：</w:t>
      </w:r>
    </w:p>
    <w:p>
      <w:pPr>
        <w:spacing w:line="480" w:lineRule="auto"/>
        <w:ind w:firstLine="480"/>
        <w:rPr>
          <w:rFonts w:ascii="宋体" w:hAnsi="宋体" w:cs="宋体"/>
          <w:color w:val="auto"/>
          <w:sz w:val="24"/>
          <w:highlight w:val="none"/>
        </w:rPr>
      </w:pPr>
      <w:r>
        <w:rPr>
          <w:rFonts w:hint="eastAsia" w:ascii="宋体" w:hAnsi="宋体" w:cs="宋体"/>
          <w:color w:val="auto"/>
          <w:sz w:val="24"/>
          <w:highlight w:val="none"/>
          <w:lang w:val="zh-CN"/>
        </w:rPr>
        <w:t>作为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项目的供应商，我方声明如下：</w:t>
      </w:r>
    </w:p>
    <w:p>
      <w:pPr>
        <w:pStyle w:val="13"/>
        <w:spacing w:line="48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我单位保证在本项目中使用的任何产品和服务（包括部分使用），不会产生因第三方提出侵犯其专利权、商标权或其它知识产权而引起的法律和经济纠纷，如因专利权、商标权或其它知识产权而引起法律和经济纠纷，由我单位承担所有相关责任。</w:t>
      </w:r>
    </w:p>
    <w:p>
      <w:pPr>
        <w:pStyle w:val="13"/>
        <w:spacing w:line="48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2、采购人享有本项目实施过程中产生的知识成果及知识产权。</w:t>
      </w:r>
    </w:p>
    <w:p>
      <w:pPr>
        <w:spacing w:line="480" w:lineRule="auto"/>
        <w:ind w:firstLine="480"/>
        <w:rPr>
          <w:rFonts w:ascii="宋体" w:hAnsi="宋体" w:cs="宋体"/>
          <w:color w:val="auto"/>
          <w:sz w:val="24"/>
          <w:highlight w:val="none"/>
        </w:rPr>
      </w:pPr>
      <w:r>
        <w:rPr>
          <w:rFonts w:hint="eastAsia" w:ascii="宋体" w:hAnsi="宋体" w:cs="宋体"/>
          <w:color w:val="auto"/>
          <w:sz w:val="24"/>
          <w:highlight w:val="none"/>
        </w:rPr>
        <w:t>3、如我单位将在采购项目实施过程中采用自有或者第三方知识成果的，在响应文件中载明，并提供相关知识产权证明文件。使用该知识成果后，我单位将提供开发接口和开发手册等技术资料，并承诺提供无限期支持，采购人享有使用权（含采购人委托第三方在该项目后续开发的使用权）。</w:t>
      </w:r>
    </w:p>
    <w:p>
      <w:pPr>
        <w:spacing w:line="480" w:lineRule="auto"/>
        <w:ind w:firstLine="480"/>
        <w:rPr>
          <w:rFonts w:ascii="宋体" w:hAnsi="宋体" w:cs="宋体"/>
          <w:color w:val="auto"/>
          <w:sz w:val="24"/>
          <w:highlight w:val="none"/>
        </w:rPr>
      </w:pPr>
      <w:r>
        <w:rPr>
          <w:rFonts w:hint="eastAsia" w:ascii="宋体" w:hAnsi="宋体" w:cs="宋体"/>
          <w:color w:val="auto"/>
          <w:sz w:val="24"/>
          <w:highlight w:val="none"/>
        </w:rPr>
        <w:t>4、如采用我单位所不拥有的知识产权，则在报价中包括合法获取该知识产权的相关费用。</w:t>
      </w:r>
    </w:p>
    <w:p>
      <w:pPr>
        <w:rPr>
          <w:rFonts w:ascii="宋体" w:hAnsi="宋体" w:cs="宋体"/>
          <w:color w:val="auto"/>
          <w:highlight w:val="none"/>
        </w:rPr>
      </w:pPr>
    </w:p>
    <w:p>
      <w:pPr>
        <w:rPr>
          <w:rFonts w:ascii="宋体" w:hAnsi="宋体" w:cs="宋体"/>
          <w:color w:val="auto"/>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供应商名称：_________________________（加盖公章）</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6"/>
        <w:spacing w:line="240" w:lineRule="auto"/>
        <w:jc w:val="center"/>
        <w:rPr>
          <w:rFonts w:ascii="宋体" w:hAnsi="宋体" w:cs="宋体"/>
          <w:color w:val="auto"/>
          <w:sz w:val="28"/>
          <w:highlight w:val="none"/>
          <w:lang w:val="zh-CN"/>
        </w:rPr>
      </w:pPr>
      <w:r>
        <w:rPr>
          <w:rFonts w:hint="eastAsia" w:ascii="宋体" w:hAnsi="宋体" w:cs="宋体"/>
          <w:color w:val="auto"/>
          <w:sz w:val="24"/>
          <w:szCs w:val="24"/>
          <w:highlight w:val="none"/>
          <w:lang w:val="zh-CN"/>
        </w:rPr>
        <w:br w:type="page"/>
      </w:r>
      <w:r>
        <w:rPr>
          <w:rFonts w:hint="eastAsia" w:ascii="宋体" w:hAnsi="宋体" w:cs="宋体"/>
          <w:color w:val="auto"/>
          <w:sz w:val="28"/>
          <w:highlight w:val="none"/>
          <w:lang w:val="zh-CN"/>
        </w:rPr>
        <w:t>（</w:t>
      </w:r>
      <w:r>
        <w:rPr>
          <w:rFonts w:hint="eastAsia" w:ascii="宋体" w:hAnsi="宋体" w:cs="宋体"/>
          <w:color w:val="auto"/>
          <w:sz w:val="28"/>
          <w:highlight w:val="none"/>
        </w:rPr>
        <w:t>十二</w:t>
      </w:r>
      <w:r>
        <w:rPr>
          <w:rFonts w:hint="eastAsia" w:ascii="宋体" w:hAnsi="宋体" w:cs="宋体"/>
          <w:color w:val="auto"/>
          <w:sz w:val="28"/>
          <w:highlight w:val="none"/>
          <w:lang w:val="zh-CN"/>
        </w:rPr>
        <w:t>）供应商认为应当提供的其他材料（如有，格式自拟）</w:t>
      </w:r>
    </w:p>
    <w:p>
      <w:pPr>
        <w:spacing w:line="480" w:lineRule="auto"/>
        <w:ind w:firstLine="490" w:firstLineChars="200"/>
        <w:jc w:val="both"/>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注：</w:t>
      </w:r>
      <w:r>
        <w:rPr>
          <w:rFonts w:hint="eastAsia" w:ascii="宋体" w:hAnsi="宋体" w:cs="宋体"/>
          <w:b/>
          <w:color w:val="auto"/>
          <w:sz w:val="24"/>
          <w:highlight w:val="none"/>
        </w:rPr>
        <w:t>如有</w:t>
      </w:r>
      <w:r>
        <w:rPr>
          <w:rFonts w:hint="eastAsia" w:ascii="宋体" w:hAnsi="宋体" w:cs="宋体"/>
          <w:b/>
          <w:color w:val="auto"/>
          <w:sz w:val="24"/>
          <w:highlight w:val="none"/>
          <w:lang w:val="en-US" w:eastAsia="zh-CN"/>
        </w:rPr>
        <w:t>相关材料</w:t>
      </w:r>
      <w:r>
        <w:rPr>
          <w:rFonts w:hint="eastAsia" w:ascii="宋体" w:hAnsi="宋体" w:cs="宋体"/>
          <w:b/>
          <w:color w:val="auto"/>
          <w:sz w:val="24"/>
          <w:highlight w:val="none"/>
        </w:rPr>
        <w:t>，格式自拟</w:t>
      </w:r>
      <w:r>
        <w:rPr>
          <w:rFonts w:hint="eastAsia" w:ascii="宋体" w:hAnsi="宋体" w:cs="宋体"/>
          <w:b/>
          <w:color w:val="auto"/>
          <w:sz w:val="24"/>
          <w:highlight w:val="none"/>
          <w:lang w:eastAsia="zh-CN"/>
        </w:rPr>
        <w:t>。</w:t>
      </w:r>
    </w:p>
    <w:p>
      <w:pPr>
        <w:spacing w:line="360" w:lineRule="auto"/>
        <w:jc w:val="center"/>
        <w:outlineLvl w:val="1"/>
        <w:rPr>
          <w:rFonts w:ascii="宋体" w:hAnsi="宋体" w:cs="宋体"/>
          <w:b/>
          <w:color w:val="auto"/>
          <w:sz w:val="32"/>
          <w:highlight w:val="none"/>
        </w:rPr>
      </w:pPr>
      <w:r>
        <w:rPr>
          <w:rFonts w:hint="eastAsia" w:ascii="宋体" w:hAnsi="宋体" w:cs="宋体"/>
          <w:color w:val="auto"/>
          <w:sz w:val="24"/>
          <w:highlight w:val="none"/>
        </w:rPr>
        <w:br w:type="page"/>
      </w:r>
      <w:r>
        <w:rPr>
          <w:rFonts w:hint="eastAsia" w:ascii="宋体" w:hAnsi="宋体" w:cs="宋体"/>
          <w:b/>
          <w:color w:val="auto"/>
          <w:sz w:val="32"/>
          <w:highlight w:val="none"/>
        </w:rPr>
        <w:t>三、多轮磋商报价表格式</w:t>
      </w:r>
    </w:p>
    <w:p>
      <w:pPr>
        <w:spacing w:line="480" w:lineRule="auto"/>
        <w:ind w:firstLine="480"/>
        <w:rPr>
          <w:rFonts w:ascii="宋体" w:hAnsi="宋体" w:cs="宋体"/>
          <w:color w:val="auto"/>
          <w:sz w:val="24"/>
          <w:highlight w:val="none"/>
        </w:rPr>
      </w:pPr>
      <w:r>
        <w:rPr>
          <w:rFonts w:hint="eastAsia" w:ascii="宋体" w:hAnsi="宋体" w:cs="宋体"/>
          <w:color w:val="auto"/>
          <w:sz w:val="24"/>
          <w:highlight w:val="none"/>
        </w:rPr>
        <w:t>（本表由供应商自行准备空白页备用，在需要多轮磋商报价时填写递交）</w:t>
      </w:r>
    </w:p>
    <w:p>
      <w:pPr>
        <w:rPr>
          <w:rFonts w:ascii="宋体" w:hAnsi="宋体" w:cs="宋体"/>
          <w:color w:val="auto"/>
          <w:highlight w:val="none"/>
          <w:lang w:val="zh-CN"/>
        </w:rPr>
      </w:pPr>
    </w:p>
    <w:tbl>
      <w:tblPr>
        <w:tblStyle w:val="23"/>
        <w:tblW w:w="99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6463"/>
        <w:gridCol w:w="14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8" w:hRule="atLeast"/>
          <w:jc w:val="center"/>
        </w:trPr>
        <w:tc>
          <w:tcPr>
            <w:tcW w:w="9939" w:type="dxa"/>
            <w:gridSpan w:val="3"/>
            <w:tcBorders>
              <w:top w:val="single" w:color="auto" w:sz="4" w:space="0"/>
              <w:left w:val="single" w:color="auto" w:sz="4" w:space="0"/>
              <w:bottom w:val="single" w:color="000000" w:sz="6" w:space="0"/>
              <w:right w:val="single" w:color="auto" w:sz="4" w:space="0"/>
            </w:tcBorders>
            <w:vAlign w:val="center"/>
          </w:tcPr>
          <w:p>
            <w:pPr>
              <w:wordWrap w:val="0"/>
              <w:topLinePunct/>
              <w:jc w:val="center"/>
              <w:rPr>
                <w:rFonts w:ascii="宋体" w:hAnsi="宋体" w:cs="宋体"/>
                <w:color w:val="auto"/>
                <w:highlight w:val="none"/>
              </w:rPr>
            </w:pPr>
            <w:r>
              <w:rPr>
                <w:rFonts w:hint="eastAsia" w:ascii="宋体" w:hAnsi="宋体" w:cs="宋体"/>
                <w:b/>
                <w:bCs/>
                <w:color w:val="auto"/>
                <w:sz w:val="28"/>
                <w:szCs w:val="36"/>
                <w:highlight w:val="none"/>
              </w:rPr>
              <w:t>第</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轮报价表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8" w:hRule="atLeast"/>
          <w:jc w:val="center"/>
        </w:trPr>
        <w:tc>
          <w:tcPr>
            <w:tcW w:w="2064" w:type="dxa"/>
            <w:tcBorders>
              <w:top w:val="single" w:color="auto" w:sz="4" w:space="0"/>
              <w:left w:val="single" w:color="auto" w:sz="4" w:space="0"/>
              <w:bottom w:val="single" w:color="000000" w:sz="6" w:space="0"/>
            </w:tcBorders>
            <w:vAlign w:val="center"/>
          </w:tcPr>
          <w:p>
            <w:pPr>
              <w:wordWrap w:val="0"/>
              <w:topLinePun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463" w:type="dxa"/>
            <w:tcBorders>
              <w:top w:val="single" w:color="auto" w:sz="4" w:space="0"/>
              <w:bottom w:val="single" w:color="000000" w:sz="6" w:space="0"/>
              <w:right w:val="single" w:color="auto" w:sz="4" w:space="0"/>
            </w:tcBorders>
            <w:vAlign w:val="center"/>
          </w:tcPr>
          <w:p>
            <w:pPr>
              <w:wordWrap w:val="0"/>
              <w:topLinePunct/>
              <w:jc w:val="center"/>
              <w:rPr>
                <w:rFonts w:ascii="宋体" w:hAnsi="宋体" w:cs="宋体"/>
                <w:color w:val="auto"/>
                <w:highlight w:val="none"/>
              </w:rPr>
            </w:pPr>
          </w:p>
        </w:tc>
        <w:tc>
          <w:tcPr>
            <w:tcW w:w="1412" w:type="dxa"/>
            <w:tcBorders>
              <w:top w:val="single" w:color="auto" w:sz="4" w:space="0"/>
              <w:left w:val="single" w:color="auto" w:sz="4" w:space="0"/>
              <w:bottom w:val="single" w:color="000000" w:sz="6" w:space="0"/>
              <w:right w:val="single" w:color="auto" w:sz="4" w:space="0"/>
            </w:tcBorders>
            <w:vAlign w:val="center"/>
          </w:tcPr>
          <w:p>
            <w:pPr>
              <w:wordWrap w:val="0"/>
              <w:topLinePunct/>
              <w:jc w:val="center"/>
              <w:rPr>
                <w:rFonts w:ascii="宋体" w:hAnsi="宋体" w:cs="宋体"/>
                <w:color w:val="auto"/>
                <w:highlight w:val="none"/>
              </w:rPr>
            </w:pPr>
            <w:r>
              <w:rPr>
                <w:rFonts w:hint="eastAsia" w:ascii="宋体" w:hAnsi="宋体" w:cs="宋体"/>
                <w:color w:val="auto"/>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2064" w:type="dxa"/>
            <w:tcBorders>
              <w:top w:val="single" w:color="000000" w:sz="6" w:space="0"/>
              <w:left w:val="single" w:color="auto" w:sz="4" w:space="0"/>
            </w:tcBorders>
            <w:vAlign w:val="center"/>
          </w:tcPr>
          <w:p>
            <w:pPr>
              <w:wordWrap w:val="0"/>
              <w:topLinePun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463" w:type="dxa"/>
            <w:tcBorders>
              <w:top w:val="single" w:color="000000" w:sz="6" w:space="0"/>
              <w:right w:val="single" w:color="auto" w:sz="4" w:space="0"/>
            </w:tcBorders>
            <w:vAlign w:val="center"/>
          </w:tcPr>
          <w:p>
            <w:pPr>
              <w:wordWrap w:val="0"/>
              <w:topLinePunct/>
              <w:ind w:firstLine="480"/>
              <w:jc w:val="center"/>
              <w:rPr>
                <w:rFonts w:ascii="宋体" w:hAnsi="宋体" w:cs="宋体"/>
                <w:color w:val="auto"/>
                <w:highlight w:val="none"/>
              </w:rPr>
            </w:pPr>
          </w:p>
        </w:tc>
        <w:tc>
          <w:tcPr>
            <w:tcW w:w="1412" w:type="dxa"/>
            <w:vMerge w:val="restart"/>
            <w:tcBorders>
              <w:top w:val="single" w:color="000000" w:sz="6" w:space="0"/>
              <w:left w:val="single" w:color="auto" w:sz="4" w:space="0"/>
              <w:bottom w:val="single" w:color="auto" w:sz="4" w:space="0"/>
              <w:right w:val="single" w:color="auto" w:sz="4" w:space="0"/>
            </w:tcBorders>
            <w:vAlign w:val="center"/>
          </w:tcPr>
          <w:p>
            <w:pPr>
              <w:wordWrap w:val="0"/>
              <w:topLinePunct/>
              <w:ind w:firstLine="480"/>
              <w:jc w:val="center"/>
              <w:rPr>
                <w:rFonts w:ascii="宋体" w:hAnsi="宋体" w:cs="宋体"/>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74" w:hRule="atLeast"/>
          <w:jc w:val="center"/>
        </w:trPr>
        <w:tc>
          <w:tcPr>
            <w:tcW w:w="2064" w:type="dxa"/>
            <w:tcBorders>
              <w:top w:val="single" w:color="auto" w:sz="4" w:space="0"/>
              <w:left w:val="single" w:color="auto" w:sz="4" w:space="0"/>
              <w:bottom w:val="single" w:color="auto" w:sz="4" w:space="0"/>
              <w:right w:val="single" w:color="auto" w:sz="4" w:space="0"/>
            </w:tcBorders>
            <w:vAlign w:val="center"/>
          </w:tcPr>
          <w:p>
            <w:pPr>
              <w:topLinePunct/>
              <w:jc w:val="center"/>
              <w:rPr>
                <w:rFonts w:hint="eastAsia" w:ascii="宋体" w:hAnsi="宋体" w:cs="宋体"/>
                <w:color w:val="auto"/>
                <w:sz w:val="24"/>
                <w:highlight w:val="none"/>
              </w:rPr>
            </w:pPr>
            <w:r>
              <w:rPr>
                <w:rFonts w:hint="eastAsia" w:ascii="宋体" w:hAnsi="宋体" w:cs="宋体"/>
                <w:color w:val="auto"/>
                <w:sz w:val="24"/>
                <w:highlight w:val="none"/>
              </w:rPr>
              <w:t>报价</w:t>
            </w:r>
          </w:p>
          <w:p>
            <w:pPr>
              <w:wordWrap w:val="0"/>
              <w:topLinePunct/>
              <w:jc w:val="center"/>
              <w:rPr>
                <w:rFonts w:ascii="宋体" w:hAnsi="宋体" w:cs="宋体"/>
                <w:color w:val="auto"/>
                <w:sz w:val="24"/>
                <w:highlight w:val="none"/>
              </w:rPr>
            </w:pPr>
            <w:r>
              <w:rPr>
                <w:rFonts w:hint="eastAsia" w:ascii="宋体" w:hAnsi="宋体" w:cs="宋体"/>
                <w:color w:val="auto"/>
                <w:sz w:val="24"/>
                <w:highlight w:val="none"/>
              </w:rPr>
              <w:t>（统一下浮率）</w:t>
            </w:r>
          </w:p>
        </w:tc>
        <w:tc>
          <w:tcPr>
            <w:tcW w:w="6463" w:type="dxa"/>
            <w:tcBorders>
              <w:top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2"/>
                <w:szCs w:val="22"/>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color w:val="auto"/>
                <w:sz w:val="24"/>
                <w:highlight w:val="none"/>
              </w:rPr>
            </w:pPr>
          </w:p>
        </w:tc>
      </w:tr>
    </w:tbl>
    <w:p>
      <w:pPr>
        <w:spacing w:line="360" w:lineRule="auto"/>
        <w:ind w:firstLine="49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注：1、应综合考虑包括货物生产、加工、人工、运输、保险、税费和售后服务等完成本项目所需的一切费用后进行项目报价。 </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2、本表格式自行复制2-3份，用于多轮磋商报价。</w:t>
      </w:r>
    </w:p>
    <w:p>
      <w:pPr>
        <w:spacing w:line="360" w:lineRule="auto"/>
        <w:rPr>
          <w:rFonts w:ascii="宋体" w:hAnsi="宋体" w:cs="宋体"/>
          <w:b/>
          <w:bCs/>
          <w:color w:val="auto"/>
          <w:kern w:val="0"/>
          <w:sz w:val="24"/>
          <w:szCs w:val="20"/>
          <w:highlight w:val="none"/>
        </w:rPr>
      </w:pPr>
    </w:p>
    <w:p>
      <w:pPr>
        <w:pStyle w:val="2"/>
        <w:rPr>
          <w:color w:val="auto"/>
          <w:highlight w:val="none"/>
        </w:rPr>
      </w:pPr>
    </w:p>
    <w:p>
      <w:pPr>
        <w:tabs>
          <w:tab w:val="left" w:pos="1080"/>
        </w:tabs>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供应商名称：_________________________</w:t>
      </w:r>
    </w:p>
    <w:p>
      <w:pPr>
        <w:autoSpaceDE w:val="0"/>
        <w:autoSpaceDN w:val="0"/>
        <w:adjustRightInd w:val="0"/>
        <w:spacing w:line="440" w:lineRule="exact"/>
        <w:ind w:firstLine="480"/>
        <w:jc w:val="left"/>
        <w:rPr>
          <w:rFonts w:ascii="宋体" w:hAnsi="宋体" w:cs="宋体"/>
          <w:color w:val="auto"/>
          <w:sz w:val="24"/>
          <w:highlight w:val="none"/>
          <w:lang w:val="zh-CN"/>
        </w:rPr>
      </w:pPr>
      <w:r>
        <w:rPr>
          <w:rFonts w:hint="eastAsia" w:ascii="宋体" w:hAnsi="宋体" w:cs="宋体"/>
          <w:color w:val="auto"/>
          <w:sz w:val="24"/>
          <w:highlight w:val="none"/>
          <w:lang w:val="zh-CN"/>
        </w:rPr>
        <w:t>法定代表人或代理人：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（签字）</w:t>
      </w:r>
    </w:p>
    <w:p>
      <w:pPr>
        <w:autoSpaceDE w:val="0"/>
        <w:autoSpaceDN w:val="0"/>
        <w:adjustRightIn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日</w:t>
      </w:r>
    </w:p>
    <w:p>
      <w:pPr>
        <w:pStyle w:val="3"/>
        <w:keepNext w:val="0"/>
        <w:keepLines w:val="0"/>
        <w:spacing w:before="0" w:after="0" w:line="240" w:lineRule="auto"/>
        <w:jc w:val="center"/>
        <w:rPr>
          <w:rFonts w:ascii="宋体" w:hAnsi="宋体" w:cs="宋体"/>
          <w:color w:val="auto"/>
          <w:sz w:val="36"/>
          <w:szCs w:val="36"/>
          <w:highlight w:val="none"/>
        </w:rPr>
      </w:pPr>
      <w:r>
        <w:rPr>
          <w:rFonts w:hint="eastAsia" w:ascii="宋体" w:hAnsi="宋体" w:cs="宋体"/>
          <w:color w:val="auto"/>
          <w:sz w:val="24"/>
          <w:highlight w:val="none"/>
        </w:rPr>
        <w:br w:type="page"/>
      </w:r>
      <w:bookmarkStart w:id="84" w:name="_Toc41920664"/>
      <w:r>
        <w:rPr>
          <w:rFonts w:hint="eastAsia" w:ascii="宋体" w:hAnsi="宋体" w:cs="宋体"/>
          <w:color w:val="auto"/>
          <w:sz w:val="36"/>
          <w:szCs w:val="36"/>
          <w:highlight w:val="none"/>
        </w:rPr>
        <w:t>第七章  评审方法</w:t>
      </w:r>
      <w:bookmarkEnd w:id="84"/>
    </w:p>
    <w:p>
      <w:pPr>
        <w:pStyle w:val="4"/>
        <w:keepNext w:val="0"/>
        <w:keepLines w:val="0"/>
        <w:spacing w:before="0" w:after="0" w:line="360" w:lineRule="auto"/>
        <w:ind w:firstLine="490" w:firstLineChars="200"/>
        <w:rPr>
          <w:rFonts w:ascii="宋体" w:hAnsi="宋体" w:eastAsia="宋体" w:cs="宋体"/>
          <w:color w:val="auto"/>
          <w:sz w:val="24"/>
          <w:szCs w:val="24"/>
          <w:highlight w:val="none"/>
        </w:rPr>
      </w:pPr>
      <w:bookmarkStart w:id="85" w:name="_Toc101174146"/>
      <w:bookmarkStart w:id="86" w:name="_Toc101250640"/>
      <w:bookmarkStart w:id="87" w:name="_Toc209847065"/>
      <w:bookmarkStart w:id="88" w:name="_Toc101338358"/>
      <w:bookmarkStart w:id="89" w:name="_Toc430773924"/>
      <w:r>
        <w:rPr>
          <w:rFonts w:hint="eastAsia" w:ascii="宋体" w:hAnsi="宋体" w:eastAsia="宋体" w:cs="宋体"/>
          <w:color w:val="auto"/>
          <w:sz w:val="24"/>
          <w:szCs w:val="24"/>
          <w:highlight w:val="none"/>
        </w:rPr>
        <w:t>1.总则</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1.2 磋商工作由采购人/采购代理机构负责组织，具体磋商由采购人/采购代理机构依法组建的磋商小组负责。</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1.3 磋商工作应遵循公平、公正、科学及择优的原则，并以相同的磋商程序和标准对待所有的供应商。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1.4 磋商小组按照磋商文件规定的磋商程序、评分方法和标准进行评审，并独立履行下列职责：</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（二）审查供应商响应文件是否满足磋商文件要求，并作出公正评价；</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（三）根据需要要求供应商对响应文件中含义不明确、同类问题表述不一致或者有明显文字和计算错误的内容等作出必要的澄清、说明或者更正；</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（四）推荐成交供应商，或者受采购人委托确定成交供应商；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（五）起草评审报告并进行签署；</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（六）向采购人/采购代理机构、财政部门或者其他监督部门报告非法干预评审工作的行为；</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（七）法律、法规和规章规定的其他职责。</w:t>
      </w:r>
    </w:p>
    <w:p>
      <w:pPr>
        <w:spacing w:line="360" w:lineRule="auto"/>
        <w:ind w:firstLine="490" w:firstLineChars="200"/>
        <w:rPr>
          <w:rFonts w:ascii="宋体" w:hAnsi="宋体" w:cs="宋体"/>
          <w:color w:val="auto"/>
          <w:highlight w:val="none"/>
        </w:rPr>
      </w:pPr>
      <w:r>
        <w:rPr>
          <w:rFonts w:hint="eastAsia" w:ascii="宋体" w:hAnsi="宋体" w:cs="宋体"/>
          <w:color w:val="auto"/>
          <w:sz w:val="24"/>
          <w:highlight w:val="none"/>
        </w:rPr>
        <w:t>1.5 （实质性要求）磋商过程独立、保密。供应商非法干预磋商过程的，其响应文件作无效处理。</w:t>
      </w:r>
    </w:p>
    <w:p>
      <w:pPr>
        <w:pStyle w:val="4"/>
        <w:keepNext w:val="0"/>
        <w:keepLines w:val="0"/>
        <w:spacing w:before="0" w:after="0" w:line="360" w:lineRule="auto"/>
        <w:ind w:firstLine="49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2.磋商程序</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2.1审查磋商文件和停止评审。</w:t>
      </w:r>
    </w:p>
    <w:p>
      <w:pPr>
        <w:spacing w:line="360" w:lineRule="auto"/>
        <w:ind w:firstLine="490" w:firstLineChars="200"/>
        <w:rPr>
          <w:rFonts w:ascii="宋体" w:hAnsi="宋体" w:cs="宋体"/>
          <w:b/>
          <w:color w:val="auto"/>
          <w:sz w:val="24"/>
          <w:highlight w:val="none"/>
        </w:rPr>
      </w:pPr>
      <w:r>
        <w:rPr>
          <w:rFonts w:hint="eastAsia" w:ascii="宋体" w:hAnsi="宋体" w:cs="宋体"/>
          <w:color w:val="auto"/>
          <w:sz w:val="24"/>
          <w:highlight w:val="none"/>
        </w:rPr>
        <w:t>2.1.1 磋商小组正式评审前，应当对磋商文件进行熟悉和理解，内容主要包括磋商文件中供应商资格条件要求、采购项目技术、服务和商务要求、磋商办法和标准、政府采购</w:t>
      </w:r>
      <w:r>
        <w:rPr>
          <w:rFonts w:hint="eastAsia" w:ascii="宋体" w:hAnsi="宋体" w:cs="宋体"/>
          <w:b/>
          <w:color w:val="auto"/>
          <w:sz w:val="24"/>
          <w:highlight w:val="none"/>
        </w:rPr>
        <w:t>政策要求以及政府采购合同主要条款等。</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2.1.2 本磋商文件有下列情形之一的，磋商小组应当停止评审：</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（1）磋商文件的规定存在歧义、重大缺陷的；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（2）磋商文件明显以不合理条件对供应商实行差别待遇或者歧视待遇的；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（3）采购项目属于国家规定的优先、强制采购范围，但是磋商文件未依法体现优先、强制采购相关规定的；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（4）采购项目属于政府采购促进中小企业发展的范围，但是磋商文件未依法体现促进中小企业发展相关规定的；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（5）磋商文件将供应商的资格条件列为评分因素的；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（6）磋商文件载明的成交原则不合法的；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（7）磋商文件有违反国家其他有关强制性规定的情形。</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2.1.3 出现本条2.1.2规定应当停止评审情形的，磋商小组应当向采购人书面说明情况。除本条规定的情形外，磋商小组不得以任何方式和理由停止评审。</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2.2资格性审查。</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2.2.1本项目需要磋商小组进行资格性检查。</w:t>
      </w:r>
    </w:p>
    <w:p>
      <w:pPr>
        <w:spacing w:line="360" w:lineRule="auto"/>
        <w:ind w:firstLine="490" w:firstLineChars="200"/>
        <w:rPr>
          <w:rFonts w:ascii="宋体" w:hAnsi="宋体" w:cs="宋体"/>
          <w:b/>
          <w:color w:val="auto"/>
          <w:sz w:val="24"/>
          <w:highlight w:val="none"/>
        </w:rPr>
      </w:pPr>
      <w:r>
        <w:rPr>
          <w:rFonts w:hint="eastAsia" w:ascii="宋体" w:hAnsi="宋体" w:cs="宋体"/>
          <w:b/>
          <w:color w:val="auto"/>
          <w:sz w:val="24"/>
          <w:highlight w:val="none"/>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2.2.2资格性审查结束后，磋商小组应当出具资格性审查报告，没有通过资格审查的供应商，磋商小组应当在资格审查报告中说明原因。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2.2.3磋商小组应依据磋商文件规定的实质性要求，对符合资格的响应文件进行有效性、完整性和响应程度审查，以确定参加磋商的供应商名单。</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2.2.4采购人或者采购代理机构宣布未通过资格性审查的供应商名单时，应当告知供应商未通过审查的原因。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2.3 通过资格性审查的供应商不足3家的，终止本次采购活动，并发布终止采购活动公告。</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2.4磋商。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2.4.2每轮磋商开始前，磋商小组应根据磋商文件的规定，并结合各供应商的响应文件拟定磋商内容。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2.4.4对磋商文件作出的实质性变动是磋商文件的有效组成部分，磋商小组应当及时以书面形式同时通知所有参加磋商的供应商。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2.4.6磋商过程中，磋商的任何一方不得透露与磋商有关的其他供应商的技术资料、价格和其他信息。</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2.4.7磋商过程中，磋商小组发现或者知晓供应商存在违法、违纪行为的，磋商小组应当将该供应商响应文件作无效处理，不允许其提交最后报价。</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2.4.8磋商完成后，磋商小组应出具磋商情况记录表，磋商情况记录表需包含磋商内容、磋商意见、实质性变动内容等。</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2.5最后报价。</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及以上供应商，并要求其在规定时间内提交最后报价。</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2.5.3供应商最后报价应当由法定代表人/主要负责人/本人或其授权代表签字确认或加盖公章。最后报价是供应商响应文件的有效组成部分。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2.6比较与评价。由磋商小组采用综合评分法对提交最后报价的供应商的响应文件和最后报价进行综合评分，具体要求详见本章综合评分部分。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2.7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且最后报价且技术指标分项得分均相同的，成交候选供应商并列。如项目涉及政府采购优先采购节能、环境标志、无线局域网的产品：排名并列的优先选择提供节能、环境标志、无线局域网产品的供应商，如排名并列的供应商存在多个为提供节能、环境标志、无线局域网产品的供应商，由采购人在排名并列的提供节能、环境标志、无线局域网产品的供应商中自主采取随机抽取的方式选择成交供应商。如项目不涉及政府采购优先采购节能、环境标志、无线局域网的产品：由采购人在排名并列的供应商中采取随机抽取的方式选择成交供应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2.9采购组织单位现场复核评审结果。</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（1）资格性审查认定错误的；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（2）分值汇总计算错误的；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（3）分项评分超出评分标准范围的；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（4）客观评分不一致的。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采购人/采购代理机构复核过程中，磋商小组成员不得离开评审现场。</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2.9.2有下列情形之一的，不得现场修改评审结果：</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（1）磋商小组已经出具磋商报告并且离开评审现场的；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（2）采购人/采购代理机构现场复核时，复核工作人员数量不足的；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（3）采购人/采购代理机构现场复核时，没有采购监督人员现场监督的；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（4）采购人/采购代理机构现场复核内容超出规定范围的；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（5）采购人/采购代理机构未提供书面建议的。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2.10编写磋商报告。磋商小组推荐成交候选供应商后，应向采购人/采购代理机构出具磋商报告。磋商报告应当包括以下主要内容：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（1）邀请供应商参加采购活动的具体方式和相关情况；</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（2）响应文件开启日期和地点；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（3）获取磋商文件的供应商名单和磋商小组成员名单；</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（4）评审情况记录和说明，包括对供应商的资格审查情况、供应商响应文件审查情况、磋商情况、报价情况等；</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（5）提出的成交候选供应商的排序名单及理由。</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2.12供应商澄清、说明</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2.13终止磋商采购活动。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出现下列情形之一的，采购人或者采购代理机构应当终止竞争性磋商采购活动，发布项目终止公告并说明原因，重新开展采购活动：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ind w:firstLine="490" w:firstLineChars="200"/>
        <w:rPr>
          <w:rFonts w:ascii="宋体" w:hAnsi="宋体" w:cs="宋体"/>
          <w:b/>
          <w:color w:val="auto"/>
          <w:sz w:val="24"/>
          <w:highlight w:val="none"/>
        </w:rPr>
      </w:pPr>
      <w:r>
        <w:rPr>
          <w:rFonts w:hint="eastAsia" w:ascii="宋体" w:hAnsi="宋体" w:cs="宋体"/>
          <w:color w:val="auto"/>
          <w:sz w:val="24"/>
          <w:highlight w:val="none"/>
        </w:rPr>
        <w:t>（3）在采购过程中符合要求的供应商或者报价未超过采购预算的供应商不足3家的。</w:t>
      </w:r>
    </w:p>
    <w:p>
      <w:pPr>
        <w:pStyle w:val="4"/>
        <w:keepNext w:val="0"/>
        <w:keepLines w:val="0"/>
        <w:spacing w:before="0" w:after="0" w:line="360" w:lineRule="auto"/>
        <w:ind w:firstLine="49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3.综合评分</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3.1本次综合评分的因素详见综合评分明细表。</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 除价格因素外，磋商小组成员应当根据自身专业情况独立对每个有效供应商的响应文件进行评价、打分。技术、与技术有关的服务及其他技术类评分因素由抽取的技术方面磋商小组成员独立评分。采购人代表原则上对技术、与技术有关的服务及其他技术类评分因素独立评分。价格及其他不能明确区分的评分因素由磋商小组成员共同评分。磋商小组评分以小组成员自身专业情况并依据综合评分明细表中规定进行。</w:t>
      </w:r>
    </w:p>
    <w:p>
      <w:pPr>
        <w:tabs>
          <w:tab w:val="left" w:pos="600"/>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3.3综合评分明细表</w:t>
      </w:r>
    </w:p>
    <w:p>
      <w:pPr>
        <w:tabs>
          <w:tab w:val="left" w:pos="600"/>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3.3.1综合评分明细表的制定以科学合理、降低评委会自由裁量权为原则。</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3.3.2综合评分明细表</w:t>
      </w:r>
    </w:p>
    <w:tbl>
      <w:tblPr>
        <w:tblStyle w:val="23"/>
        <w:tblpPr w:leftFromText="180" w:rightFromText="180" w:vertAnchor="text" w:horzAnchor="page" w:tblpX="1187" w:tblpY="438"/>
        <w:tblOverlap w:val="never"/>
        <w:tblW w:w="9663" w:type="dxa"/>
        <w:tblInd w:w="0" w:type="dxa"/>
        <w:tblLayout w:type="fixed"/>
        <w:tblCellMar>
          <w:top w:w="0" w:type="dxa"/>
          <w:left w:w="108" w:type="dxa"/>
          <w:bottom w:w="0" w:type="dxa"/>
          <w:right w:w="108" w:type="dxa"/>
        </w:tblCellMar>
      </w:tblPr>
      <w:tblGrid>
        <w:gridCol w:w="653"/>
        <w:gridCol w:w="2265"/>
        <w:gridCol w:w="690"/>
        <w:gridCol w:w="4600"/>
        <w:gridCol w:w="1455"/>
      </w:tblGrid>
      <w:tr>
        <w:tblPrEx>
          <w:tblCellMar>
            <w:top w:w="0" w:type="dxa"/>
            <w:left w:w="108" w:type="dxa"/>
            <w:bottom w:w="0" w:type="dxa"/>
            <w:right w:w="108" w:type="dxa"/>
          </w:tblCellMar>
        </w:tblPrEx>
        <w:trPr>
          <w:trHeight w:val="582" w:hRule="atLeast"/>
        </w:trPr>
        <w:tc>
          <w:tcPr>
            <w:tcW w:w="653" w:type="dxa"/>
            <w:tcBorders>
              <w:top w:val="single" w:color="000000" w:sz="4" w:space="0"/>
              <w:left w:val="single" w:color="000000" w:sz="4" w:space="0"/>
              <w:bottom w:val="single" w:color="auto" w:sz="4" w:space="0"/>
              <w:right w:val="single" w:color="000000"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65" w:type="dxa"/>
            <w:tcBorders>
              <w:top w:val="single" w:color="000000" w:sz="4" w:space="0"/>
              <w:left w:val="nil"/>
              <w:bottom w:val="single" w:color="auto" w:sz="4" w:space="0"/>
              <w:right w:val="single" w:color="000000"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评分因素及权重</w:t>
            </w:r>
          </w:p>
        </w:tc>
        <w:tc>
          <w:tcPr>
            <w:tcW w:w="690" w:type="dxa"/>
            <w:tcBorders>
              <w:top w:val="single" w:color="000000" w:sz="4" w:space="0"/>
              <w:left w:val="nil"/>
              <w:bottom w:val="single" w:color="auto" w:sz="4" w:space="0"/>
              <w:right w:val="single" w:color="000000"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4600" w:type="dxa"/>
            <w:tcBorders>
              <w:top w:val="single" w:color="000000" w:sz="4" w:space="0"/>
              <w:left w:val="nil"/>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1455" w:type="dxa"/>
            <w:tcBorders>
              <w:top w:val="single" w:color="000000" w:sz="4" w:space="0"/>
              <w:left w:val="nil"/>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说明</w:t>
            </w:r>
          </w:p>
        </w:tc>
      </w:tr>
      <w:tr>
        <w:tblPrEx>
          <w:tblCellMar>
            <w:top w:w="0" w:type="dxa"/>
            <w:left w:w="108" w:type="dxa"/>
            <w:bottom w:w="0" w:type="dxa"/>
            <w:right w:w="108" w:type="dxa"/>
          </w:tblCellMar>
        </w:tblPrEx>
        <w:trPr>
          <w:trHeight w:val="1655"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5" w:type="dxa"/>
            <w:tcBorders>
              <w:top w:val="single" w:color="auto" w:sz="4" w:space="0"/>
              <w:left w:val="nil"/>
              <w:bottom w:val="single" w:color="auto"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报价30%</w:t>
            </w:r>
          </w:p>
          <w:p>
            <w:pPr>
              <w:jc w:val="center"/>
              <w:rPr>
                <w:rFonts w:ascii="宋体" w:hAnsi="宋体" w:cs="宋体"/>
                <w:color w:val="auto"/>
                <w:kern w:val="0"/>
                <w:szCs w:val="21"/>
                <w:highlight w:val="none"/>
              </w:rPr>
            </w:pPr>
            <w:r>
              <w:rPr>
                <w:rFonts w:hint="eastAsia" w:ascii="宋体" w:hAnsi="宋体" w:cs="宋体"/>
                <w:color w:val="auto"/>
                <w:szCs w:val="21"/>
                <w:highlight w:val="none"/>
              </w:rPr>
              <w:t>（共同评分因素）</w:t>
            </w:r>
          </w:p>
        </w:tc>
        <w:tc>
          <w:tcPr>
            <w:tcW w:w="690" w:type="dxa"/>
            <w:tcBorders>
              <w:top w:val="single" w:color="auto" w:sz="4" w:space="0"/>
              <w:left w:val="nil"/>
              <w:bottom w:val="single" w:color="auto" w:sz="4" w:space="0"/>
              <w:right w:val="single" w:color="000000" w:sz="4" w:space="0"/>
            </w:tcBorders>
            <w:vAlign w:val="center"/>
          </w:tcPr>
          <w:p>
            <w:pPr>
              <w:jc w:val="center"/>
              <w:rPr>
                <w:rFonts w:ascii="宋体" w:hAnsi="宋体" w:cs="宋体"/>
                <w:color w:val="auto"/>
                <w:kern w:val="0"/>
                <w:szCs w:val="21"/>
                <w:highlight w:val="none"/>
              </w:rPr>
            </w:pPr>
            <w:r>
              <w:rPr>
                <w:rFonts w:hint="eastAsia" w:ascii="宋体" w:hAnsi="宋体" w:cs="宋体"/>
                <w:color w:val="auto"/>
                <w:szCs w:val="21"/>
                <w:highlight w:val="none"/>
              </w:rPr>
              <w:t>30分</w:t>
            </w:r>
          </w:p>
        </w:tc>
        <w:tc>
          <w:tcPr>
            <w:tcW w:w="4600"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以满足磋商文件要求的最大统一下浮率下浮后的价格为基准价，其报价为满分。其他磋商报价得分统一按照下列公式计算：</w:t>
            </w:r>
          </w:p>
          <w:p>
            <w:pPr>
              <w:pStyle w:val="12"/>
              <w:spacing w:before="0" w:after="0" w:line="240" w:lineRule="auto"/>
              <w:ind w:firstLine="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报价得分=(1-最大的统一下浮率）／（1-投标统一下浮率)×分值。</w:t>
            </w:r>
          </w:p>
        </w:tc>
        <w:tc>
          <w:tcPr>
            <w:tcW w:w="1455"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1244"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5" w:type="dxa"/>
            <w:tcBorders>
              <w:top w:val="single" w:color="auto" w:sz="4" w:space="0"/>
              <w:left w:val="nil"/>
              <w:bottom w:val="single" w:color="auto"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服务配置12%</w:t>
            </w:r>
          </w:p>
          <w:p>
            <w:pPr>
              <w:jc w:val="center"/>
              <w:rPr>
                <w:rFonts w:ascii="宋体" w:hAnsi="宋体" w:cs="宋体"/>
                <w:color w:val="auto"/>
                <w:szCs w:val="21"/>
                <w:highlight w:val="none"/>
              </w:rPr>
            </w:pPr>
            <w:r>
              <w:rPr>
                <w:rFonts w:hint="eastAsia" w:ascii="宋体" w:hAnsi="宋体" w:cs="宋体"/>
                <w:color w:val="auto"/>
                <w:szCs w:val="21"/>
                <w:highlight w:val="none"/>
              </w:rPr>
              <w:t>（技术类评分因素）</w:t>
            </w:r>
          </w:p>
        </w:tc>
        <w:tc>
          <w:tcPr>
            <w:tcW w:w="690" w:type="dxa"/>
            <w:tcBorders>
              <w:top w:val="single" w:color="auto" w:sz="4" w:space="0"/>
              <w:left w:val="nil"/>
              <w:bottom w:val="single" w:color="auto"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12分</w:t>
            </w:r>
          </w:p>
        </w:tc>
        <w:tc>
          <w:tcPr>
            <w:tcW w:w="4600" w:type="dxa"/>
            <w:tcBorders>
              <w:top w:val="single" w:color="auto" w:sz="4" w:space="0"/>
              <w:left w:val="nil"/>
              <w:bottom w:val="single" w:color="auto" w:sz="4" w:space="0"/>
              <w:right w:val="single" w:color="000000" w:sz="4" w:space="0"/>
            </w:tcBorders>
            <w:vAlign w:val="center"/>
          </w:tcPr>
          <w:p>
            <w:pPr>
              <w:pStyle w:val="12"/>
              <w:spacing w:before="0" w:after="0" w:line="24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针对采购文件第五章中▲号项要求响应的服务</w:t>
            </w:r>
            <w:r>
              <w:rPr>
                <w:rFonts w:hint="eastAsia" w:ascii="宋体" w:hAnsi="宋体" w:eastAsia="宋体" w:cs="宋体"/>
                <w:color w:val="auto"/>
                <w:sz w:val="21"/>
                <w:szCs w:val="21"/>
                <w:highlight w:val="none"/>
              </w:rPr>
              <w:t>配置完全满足或优于</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rPr>
              <w:t>要求的得12分，每有一项▲号项负偏离扣3分。</w:t>
            </w:r>
          </w:p>
        </w:tc>
        <w:tc>
          <w:tcPr>
            <w:tcW w:w="1455"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以技术、服务条款偏离表为准</w:t>
            </w:r>
          </w:p>
        </w:tc>
      </w:tr>
      <w:tr>
        <w:tblPrEx>
          <w:tblCellMar>
            <w:top w:w="0" w:type="dxa"/>
            <w:left w:w="108" w:type="dxa"/>
            <w:bottom w:w="0" w:type="dxa"/>
            <w:right w:w="108" w:type="dxa"/>
          </w:tblCellMar>
        </w:tblPrEx>
        <w:trPr>
          <w:trHeight w:val="1177"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业绩6%</w:t>
            </w:r>
          </w:p>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（共同评分因素）</w:t>
            </w:r>
          </w:p>
        </w:tc>
        <w:tc>
          <w:tcPr>
            <w:tcW w:w="69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6分</w:t>
            </w:r>
          </w:p>
        </w:tc>
        <w:tc>
          <w:tcPr>
            <w:tcW w:w="4600" w:type="dxa"/>
            <w:tcBorders>
              <w:top w:val="single" w:color="auto" w:sz="4" w:space="0"/>
              <w:left w:val="nil"/>
              <w:bottom w:val="single" w:color="auto" w:sz="4" w:space="0"/>
              <w:right w:val="single" w:color="000000" w:sz="4" w:space="0"/>
            </w:tcBorders>
            <w:vAlign w:val="center"/>
          </w:tcPr>
          <w:p>
            <w:pPr>
              <w:tabs>
                <w:tab w:val="left" w:pos="360"/>
              </w:tabs>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供应商201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年1月1日（含）以来每有一个</w:t>
            </w:r>
            <w:r>
              <w:rPr>
                <w:rFonts w:hint="eastAsia" w:ascii="宋体" w:hAnsi="宋体" w:cs="宋体"/>
                <w:color w:val="auto"/>
                <w:kern w:val="0"/>
                <w:szCs w:val="21"/>
                <w:highlight w:val="none"/>
                <w:lang w:val="en-US" w:eastAsia="zh-CN"/>
              </w:rPr>
              <w:t>类似项目</w:t>
            </w:r>
            <w:r>
              <w:rPr>
                <w:rFonts w:hint="eastAsia" w:ascii="宋体" w:hAnsi="宋体" w:cs="宋体"/>
                <w:color w:val="auto"/>
                <w:kern w:val="0"/>
                <w:szCs w:val="21"/>
                <w:highlight w:val="none"/>
              </w:rPr>
              <w:t>业绩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指食材采购及配送类项目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得1.5分，最多得6分。</w:t>
            </w:r>
          </w:p>
        </w:tc>
        <w:tc>
          <w:tcPr>
            <w:tcW w:w="1455" w:type="dxa"/>
            <w:tcBorders>
              <w:top w:val="single" w:color="auto" w:sz="4" w:space="0"/>
              <w:left w:val="nil"/>
              <w:bottom w:val="single" w:color="auto" w:sz="4" w:space="0"/>
              <w:right w:val="single" w:color="000000"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时间以合同签订时间为准，</w:t>
            </w:r>
            <w:r>
              <w:rPr>
                <w:rFonts w:hint="eastAsia" w:ascii="宋体" w:hAnsi="宋体" w:cs="宋体"/>
                <w:color w:val="auto"/>
                <w:sz w:val="18"/>
                <w:szCs w:val="18"/>
                <w:highlight w:val="none"/>
              </w:rPr>
              <w:t>提供合同复印件，未提供不得分</w:t>
            </w:r>
          </w:p>
        </w:tc>
      </w:tr>
      <w:tr>
        <w:tblPrEx>
          <w:tblCellMar>
            <w:top w:w="0" w:type="dxa"/>
            <w:left w:w="108" w:type="dxa"/>
            <w:bottom w:w="0" w:type="dxa"/>
            <w:right w:w="108" w:type="dxa"/>
          </w:tblCellMar>
        </w:tblPrEx>
        <w:trPr>
          <w:trHeight w:val="1543"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265" w:type="dxa"/>
            <w:tcBorders>
              <w:top w:val="single" w:color="auto" w:sz="4" w:space="0"/>
              <w:left w:val="nil"/>
              <w:bottom w:val="single" w:color="auto" w:sz="4" w:space="0"/>
              <w:right w:val="single" w:color="000000" w:sz="4" w:space="0"/>
            </w:tcBorders>
            <w:vAlign w:val="center"/>
          </w:tcPr>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送货方案12%</w:t>
            </w:r>
          </w:p>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（技术类评分因素）</w:t>
            </w:r>
          </w:p>
        </w:tc>
        <w:tc>
          <w:tcPr>
            <w:tcW w:w="69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12分</w:t>
            </w:r>
          </w:p>
        </w:tc>
        <w:tc>
          <w:tcPr>
            <w:tcW w:w="460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lang w:val="en-US" w:eastAsia="zh-CN"/>
              </w:rPr>
              <w:t>提出</w:t>
            </w:r>
            <w:r>
              <w:rPr>
                <w:rFonts w:hint="eastAsia" w:ascii="宋体" w:hAnsi="宋体" w:cs="宋体"/>
                <w:color w:val="auto"/>
                <w:kern w:val="0"/>
                <w:szCs w:val="21"/>
                <w:highlight w:val="none"/>
              </w:rPr>
              <w:t>的送货方案包括“</w:t>
            </w:r>
            <w:r>
              <w:rPr>
                <w:rFonts w:hint="eastAsia" w:ascii="宋体" w:hAnsi="宋体" w:eastAsia="宋体" w:cs="宋体"/>
                <w:color w:val="auto"/>
                <w:highlight w:val="none"/>
                <w:lang w:val="en-US" w:eastAsia="zh-CN" w:bidi="ar"/>
              </w:rPr>
              <w:t>配送服务组织机构</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项目配送流程</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运输安全保障措施</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瑕疵产品退换货措施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上述四个要素满足项目要求的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分，每缺少一项</w:t>
            </w:r>
            <w:r>
              <w:rPr>
                <w:rFonts w:hint="eastAsia" w:ascii="宋体" w:hAnsi="宋体" w:cs="宋体"/>
                <w:color w:val="auto"/>
                <w:kern w:val="0"/>
                <w:szCs w:val="21"/>
                <w:highlight w:val="none"/>
                <w:lang w:val="en-US" w:eastAsia="zh-CN"/>
              </w:rPr>
              <w:t>要素或每有一项要素不符合项目要求的扣3分，扣完为止</w:t>
            </w:r>
            <w:r>
              <w:rPr>
                <w:rFonts w:hint="eastAsia" w:ascii="宋体" w:hAnsi="宋体" w:cs="宋体"/>
                <w:color w:val="auto"/>
                <w:kern w:val="0"/>
                <w:szCs w:val="21"/>
                <w:highlight w:val="none"/>
              </w:rPr>
              <w:t>。</w:t>
            </w:r>
          </w:p>
        </w:tc>
        <w:tc>
          <w:tcPr>
            <w:tcW w:w="1455" w:type="dxa"/>
            <w:tcBorders>
              <w:top w:val="single" w:color="auto" w:sz="4" w:space="0"/>
              <w:left w:val="nil"/>
              <w:bottom w:val="single" w:color="auto" w:sz="4" w:space="0"/>
              <w:right w:val="single" w:color="000000" w:sz="4" w:space="0"/>
            </w:tcBorders>
            <w:vAlign w:val="center"/>
          </w:tcPr>
          <w:p>
            <w:pPr>
              <w:widowControl/>
              <w:ind w:firstLine="370" w:firstLineChars="200"/>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1557"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265" w:type="dxa"/>
            <w:tcBorders>
              <w:top w:val="single" w:color="auto" w:sz="4" w:space="0"/>
              <w:left w:val="nil"/>
              <w:bottom w:val="single" w:color="auto" w:sz="4" w:space="0"/>
              <w:right w:val="single" w:color="000000" w:sz="4" w:space="0"/>
            </w:tcBorders>
            <w:vAlign w:val="center"/>
          </w:tcPr>
          <w:p>
            <w:pPr>
              <w:tabs>
                <w:tab w:val="left" w:pos="360"/>
              </w:tabs>
              <w:jc w:val="center"/>
              <w:rPr>
                <w:rFonts w:ascii="宋体" w:hAnsi="宋体" w:cs="宋体"/>
                <w:color w:val="auto"/>
                <w:kern w:val="0"/>
                <w:szCs w:val="21"/>
                <w:highlight w:val="none"/>
              </w:rPr>
            </w:pPr>
            <w:r>
              <w:rPr>
                <w:rFonts w:hint="eastAsia" w:ascii="宋体" w:hAnsi="宋体" w:eastAsia="宋体" w:cs="宋体"/>
                <w:color w:val="auto"/>
                <w:highlight w:val="none"/>
                <w:lang w:val="en-US" w:eastAsia="zh-CN" w:bidi="ar"/>
              </w:rPr>
              <w:t>食品安全卫生保障措施</w:t>
            </w:r>
            <w:r>
              <w:rPr>
                <w:rFonts w:hint="eastAsia" w:ascii="宋体" w:hAnsi="宋体" w:cs="宋体"/>
                <w:color w:val="auto"/>
                <w:kern w:val="0"/>
                <w:szCs w:val="21"/>
                <w:highlight w:val="none"/>
              </w:rPr>
              <w:t>12%</w:t>
            </w:r>
          </w:p>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（技术类评分因素）</w:t>
            </w:r>
          </w:p>
        </w:tc>
        <w:tc>
          <w:tcPr>
            <w:tcW w:w="69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12分</w:t>
            </w:r>
          </w:p>
        </w:tc>
        <w:tc>
          <w:tcPr>
            <w:tcW w:w="460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lang w:val="en-US" w:eastAsia="zh-CN"/>
              </w:rPr>
              <w:t>提出的</w:t>
            </w:r>
            <w:r>
              <w:rPr>
                <w:rFonts w:hint="eastAsia" w:ascii="宋体" w:hAnsi="宋体" w:eastAsia="宋体" w:cs="宋体"/>
                <w:color w:val="auto"/>
                <w:highlight w:val="none"/>
                <w:lang w:val="en-US" w:eastAsia="zh-CN" w:bidi="ar"/>
              </w:rPr>
              <w:t>食品安全卫生保障措施</w:t>
            </w:r>
            <w:r>
              <w:rPr>
                <w:rFonts w:hint="eastAsia" w:ascii="宋体" w:hAnsi="宋体" w:cs="宋体"/>
                <w:color w:val="auto"/>
                <w:kern w:val="0"/>
                <w:szCs w:val="21"/>
                <w:highlight w:val="none"/>
              </w:rPr>
              <w:t>包括“食品卫生及安全自查措施”、“</w:t>
            </w:r>
            <w:r>
              <w:rPr>
                <w:rFonts w:hint="eastAsia" w:ascii="宋体" w:hAnsi="宋体" w:eastAsia="宋体" w:cs="宋体"/>
                <w:color w:val="auto"/>
                <w:highlight w:val="none"/>
                <w:lang w:val="en-US" w:eastAsia="zh-CN" w:bidi="ar"/>
              </w:rPr>
              <w:t>食品留样管理措施</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产品溯源方法及措施</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不合格食材销毁措施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上述四个要素满足项目要求的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12</w:t>
            </w:r>
            <w:r>
              <w:rPr>
                <w:rFonts w:hint="eastAsia" w:ascii="宋体" w:hAnsi="宋体" w:cs="宋体"/>
                <w:color w:val="auto"/>
                <w:kern w:val="0"/>
                <w:szCs w:val="21"/>
                <w:highlight w:val="none"/>
              </w:rPr>
              <w:t>分，每缺少一项</w:t>
            </w:r>
            <w:r>
              <w:rPr>
                <w:rFonts w:hint="eastAsia" w:ascii="宋体" w:hAnsi="宋体" w:cs="宋体"/>
                <w:color w:val="auto"/>
                <w:kern w:val="0"/>
                <w:szCs w:val="21"/>
                <w:highlight w:val="none"/>
                <w:lang w:val="en-US" w:eastAsia="zh-CN"/>
              </w:rPr>
              <w:t>要素或每有一项要素不符合项目要求的扣3分，扣完为止</w:t>
            </w:r>
            <w:r>
              <w:rPr>
                <w:rFonts w:hint="eastAsia" w:ascii="宋体" w:hAnsi="宋体" w:cs="宋体"/>
                <w:color w:val="auto"/>
                <w:kern w:val="0"/>
                <w:szCs w:val="21"/>
                <w:highlight w:val="none"/>
              </w:rPr>
              <w:t>。</w:t>
            </w:r>
          </w:p>
        </w:tc>
        <w:tc>
          <w:tcPr>
            <w:tcW w:w="1455" w:type="dxa"/>
            <w:tcBorders>
              <w:top w:val="single" w:color="auto" w:sz="4" w:space="0"/>
              <w:left w:val="nil"/>
              <w:bottom w:val="single" w:color="auto" w:sz="4" w:space="0"/>
              <w:right w:val="single" w:color="000000" w:sz="4" w:space="0"/>
            </w:tcBorders>
            <w:vAlign w:val="center"/>
          </w:tcPr>
          <w:p>
            <w:pPr>
              <w:widowControl/>
              <w:ind w:firstLine="370" w:firstLineChars="200"/>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1886"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26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szCs w:val="21"/>
                <w:highlight w:val="none"/>
              </w:rPr>
            </w:pPr>
            <w:r>
              <w:rPr>
                <w:rFonts w:hint="eastAsia"/>
                <w:color w:val="auto"/>
                <w:highlight w:val="none"/>
              </w:rPr>
              <w:t>项</w:t>
            </w:r>
            <w:r>
              <w:rPr>
                <w:rFonts w:hint="eastAsia" w:ascii="宋体" w:hAnsi="宋体" w:cs="宋体"/>
                <w:color w:val="auto"/>
                <w:szCs w:val="21"/>
                <w:highlight w:val="none"/>
              </w:rPr>
              <w:t>目管理制度15%</w:t>
            </w:r>
          </w:p>
          <w:p>
            <w:pPr>
              <w:widowControl/>
              <w:jc w:val="center"/>
              <w:rPr>
                <w:rFonts w:ascii="Calibri" w:hAnsi="Calibri"/>
                <w:color w:val="auto"/>
                <w:highlight w:val="none"/>
              </w:rPr>
            </w:pPr>
            <w:r>
              <w:rPr>
                <w:rFonts w:hint="eastAsia" w:ascii="宋体" w:hAnsi="宋体" w:cs="宋体"/>
                <w:color w:val="auto"/>
                <w:szCs w:val="21"/>
                <w:highlight w:val="none"/>
              </w:rPr>
              <w:t>（技术类评分因素</w:t>
            </w:r>
            <w:r>
              <w:rPr>
                <w:rFonts w:hint="eastAsia" w:ascii="宋体" w:hAnsi="宋体" w:cs="宋体"/>
                <w:color w:val="auto"/>
                <w:kern w:val="0"/>
                <w:szCs w:val="21"/>
                <w:highlight w:val="none"/>
              </w:rPr>
              <w:t>）</w:t>
            </w:r>
          </w:p>
        </w:tc>
        <w:tc>
          <w:tcPr>
            <w:tcW w:w="69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15分</w:t>
            </w:r>
          </w:p>
        </w:tc>
        <w:tc>
          <w:tcPr>
            <w:tcW w:w="460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lang w:val="en-US" w:eastAsia="zh-CN"/>
              </w:rPr>
              <w:t>提出</w:t>
            </w:r>
            <w:r>
              <w:rPr>
                <w:rFonts w:hint="eastAsia" w:ascii="宋体" w:hAnsi="宋体" w:cs="宋体"/>
                <w:color w:val="auto"/>
                <w:kern w:val="0"/>
                <w:szCs w:val="21"/>
                <w:highlight w:val="none"/>
              </w:rPr>
              <w:t>的</w:t>
            </w:r>
            <w:r>
              <w:rPr>
                <w:rFonts w:hint="eastAsia" w:ascii="宋体" w:hAnsi="宋体" w:eastAsia="宋体" w:cs="宋体"/>
                <w:color w:val="auto"/>
                <w:highlight w:val="none"/>
                <w:lang w:val="en-US" w:eastAsia="zh-CN" w:bidi="ar"/>
              </w:rPr>
              <w:t>项目管理制度</w:t>
            </w:r>
            <w:r>
              <w:rPr>
                <w:rFonts w:hint="eastAsia" w:ascii="宋体" w:hAnsi="宋体" w:cs="宋体"/>
                <w:color w:val="auto"/>
                <w:kern w:val="0"/>
                <w:szCs w:val="21"/>
                <w:highlight w:val="none"/>
              </w:rPr>
              <w:t>包括“</w:t>
            </w:r>
            <w:r>
              <w:rPr>
                <w:rFonts w:hint="eastAsia" w:ascii="宋体" w:hAnsi="宋体" w:eastAsia="宋体" w:cs="宋体"/>
                <w:color w:val="auto"/>
                <w:highlight w:val="none"/>
                <w:lang w:val="en-US" w:eastAsia="zh-CN" w:bidi="ar"/>
              </w:rPr>
              <w:t>食品采购管理制度</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食品库存管理制度</w:t>
            </w:r>
            <w:r>
              <w:rPr>
                <w:rFonts w:hint="eastAsia" w:ascii="宋体" w:hAnsi="宋体" w:cs="宋体"/>
                <w:color w:val="auto"/>
                <w:kern w:val="0"/>
                <w:szCs w:val="21"/>
                <w:highlight w:val="none"/>
              </w:rPr>
              <w:t>”、“配送车辆使用及管理制度”、“</w:t>
            </w:r>
            <w:r>
              <w:rPr>
                <w:rFonts w:hint="eastAsia" w:ascii="宋体" w:hAnsi="宋体" w:eastAsia="宋体" w:cs="宋体"/>
                <w:color w:val="auto"/>
                <w:highlight w:val="none"/>
                <w:lang w:val="en-US" w:eastAsia="zh-CN" w:bidi="ar"/>
              </w:rPr>
              <w:t>项目人员管理制度</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售后服务管理制度</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上述五个要素满足项目要求的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分，每缺少一项</w:t>
            </w:r>
            <w:r>
              <w:rPr>
                <w:rFonts w:hint="eastAsia" w:ascii="宋体" w:hAnsi="宋体" w:cs="宋体"/>
                <w:color w:val="auto"/>
                <w:kern w:val="0"/>
                <w:szCs w:val="21"/>
                <w:highlight w:val="none"/>
                <w:lang w:val="en-US" w:eastAsia="zh-CN"/>
              </w:rPr>
              <w:t>要素或每有一项要素不符合项目要求的扣3分，扣完为止</w:t>
            </w:r>
            <w:r>
              <w:rPr>
                <w:rFonts w:hint="eastAsia" w:ascii="宋体" w:hAnsi="宋体" w:cs="宋体"/>
                <w:color w:val="auto"/>
                <w:kern w:val="0"/>
                <w:szCs w:val="21"/>
                <w:highlight w:val="none"/>
              </w:rPr>
              <w:t>。</w:t>
            </w:r>
          </w:p>
        </w:tc>
        <w:tc>
          <w:tcPr>
            <w:tcW w:w="1455" w:type="dxa"/>
            <w:tcBorders>
              <w:top w:val="single" w:color="auto" w:sz="4" w:space="0"/>
              <w:left w:val="nil"/>
              <w:bottom w:val="single" w:color="auto" w:sz="4" w:space="0"/>
              <w:right w:val="single" w:color="000000" w:sz="4" w:space="0"/>
            </w:tcBorders>
            <w:vAlign w:val="center"/>
          </w:tcPr>
          <w:p>
            <w:pPr>
              <w:widowControl/>
              <w:ind w:firstLine="370" w:firstLineChars="200"/>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1759"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26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szCs w:val="21"/>
                <w:highlight w:val="none"/>
              </w:rPr>
            </w:pPr>
            <w:r>
              <w:rPr>
                <w:rFonts w:hint="eastAsia" w:ascii="宋体" w:hAnsi="宋体" w:eastAsia="宋体" w:cs="宋体"/>
                <w:color w:val="auto"/>
                <w:highlight w:val="none"/>
                <w:lang w:val="en-US" w:eastAsia="zh-CN" w:bidi="ar"/>
              </w:rPr>
              <w:t>应急预案</w:t>
            </w:r>
            <w:r>
              <w:rPr>
                <w:rFonts w:hint="eastAsia" w:ascii="宋体" w:hAnsi="宋体" w:cs="宋体"/>
                <w:color w:val="auto"/>
                <w:szCs w:val="21"/>
                <w:highlight w:val="none"/>
              </w:rPr>
              <w:t xml:space="preserve">6% </w:t>
            </w:r>
          </w:p>
          <w:p>
            <w:pPr>
              <w:widowControl/>
              <w:jc w:val="center"/>
              <w:rPr>
                <w:rFonts w:ascii="Calibri" w:hAnsi="Calibri"/>
                <w:color w:val="auto"/>
                <w:highlight w:val="none"/>
              </w:rPr>
            </w:pPr>
            <w:r>
              <w:rPr>
                <w:rFonts w:hint="eastAsia" w:ascii="宋体" w:hAnsi="宋体" w:cs="宋体"/>
                <w:color w:val="auto"/>
                <w:szCs w:val="21"/>
                <w:highlight w:val="none"/>
              </w:rPr>
              <w:t>（技术类评分因素）</w:t>
            </w:r>
          </w:p>
        </w:tc>
        <w:tc>
          <w:tcPr>
            <w:tcW w:w="69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6分</w:t>
            </w:r>
          </w:p>
        </w:tc>
        <w:tc>
          <w:tcPr>
            <w:tcW w:w="460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lang w:val="en-US" w:eastAsia="zh-CN"/>
              </w:rPr>
              <w:t>提出的</w:t>
            </w:r>
            <w:r>
              <w:rPr>
                <w:rFonts w:hint="eastAsia" w:ascii="宋体" w:hAnsi="宋体" w:eastAsia="宋体" w:cs="宋体"/>
                <w:color w:val="auto"/>
                <w:highlight w:val="none"/>
                <w:lang w:val="en-US" w:eastAsia="zh-CN" w:bidi="ar"/>
              </w:rPr>
              <w:t>应急预案</w:t>
            </w:r>
            <w:r>
              <w:rPr>
                <w:rFonts w:hint="eastAsia" w:ascii="宋体" w:hAnsi="宋体" w:cs="宋体"/>
                <w:color w:val="auto"/>
                <w:kern w:val="0"/>
                <w:szCs w:val="21"/>
                <w:highlight w:val="none"/>
              </w:rPr>
              <w:t>包括“</w:t>
            </w:r>
            <w:r>
              <w:rPr>
                <w:rFonts w:hint="eastAsia" w:ascii="宋体" w:hAnsi="宋体" w:eastAsia="宋体" w:cs="宋体"/>
                <w:color w:val="auto"/>
                <w:highlight w:val="none"/>
                <w:lang w:val="en-US" w:eastAsia="zh-CN" w:bidi="ar"/>
              </w:rPr>
              <w:t>临时追加送货应急措施</w:t>
            </w:r>
            <w:r>
              <w:rPr>
                <w:rFonts w:hint="eastAsia" w:ascii="宋体" w:hAnsi="宋体" w:cs="宋体"/>
                <w:color w:val="auto"/>
                <w:kern w:val="0"/>
                <w:szCs w:val="21"/>
                <w:highlight w:val="none"/>
              </w:rPr>
              <w:t>”、“</w:t>
            </w:r>
            <w:r>
              <w:rPr>
                <w:rFonts w:hint="eastAsia" w:ascii="宋体" w:hAnsi="宋体" w:eastAsia="宋体" w:cs="宋体"/>
                <w:color w:val="auto"/>
                <w:highlight w:val="none"/>
                <w:lang w:val="en-US" w:eastAsia="zh-CN" w:bidi="ar"/>
              </w:rPr>
              <w:t>食品安全卫生事故应急措施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上述两个要素满足项目要求的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分，每缺少一项</w:t>
            </w:r>
            <w:r>
              <w:rPr>
                <w:rFonts w:hint="eastAsia" w:ascii="宋体" w:hAnsi="宋体" w:cs="宋体"/>
                <w:color w:val="auto"/>
                <w:kern w:val="0"/>
                <w:szCs w:val="21"/>
                <w:highlight w:val="none"/>
                <w:lang w:val="en-US" w:eastAsia="zh-CN"/>
              </w:rPr>
              <w:t>要素或每有一项要素不符合项目要求的扣3分，扣完为止</w:t>
            </w:r>
            <w:r>
              <w:rPr>
                <w:rFonts w:hint="eastAsia" w:ascii="宋体" w:hAnsi="宋体" w:cs="宋体"/>
                <w:color w:val="auto"/>
                <w:kern w:val="0"/>
                <w:szCs w:val="21"/>
                <w:highlight w:val="none"/>
              </w:rPr>
              <w:t>。</w:t>
            </w:r>
          </w:p>
        </w:tc>
        <w:tc>
          <w:tcPr>
            <w:tcW w:w="1455" w:type="dxa"/>
            <w:tcBorders>
              <w:top w:val="single" w:color="auto" w:sz="4" w:space="0"/>
              <w:left w:val="nil"/>
              <w:bottom w:val="single" w:color="auto" w:sz="4" w:space="0"/>
              <w:right w:val="single" w:color="000000" w:sz="4" w:space="0"/>
            </w:tcBorders>
            <w:vAlign w:val="center"/>
          </w:tcPr>
          <w:p>
            <w:pPr>
              <w:widowControl/>
              <w:ind w:firstLine="370" w:firstLineChars="200"/>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20" w:hRule="atLeast"/>
        </w:trPr>
        <w:tc>
          <w:tcPr>
            <w:tcW w:w="65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265" w:type="dxa"/>
            <w:tcBorders>
              <w:top w:val="single" w:color="000000" w:sz="4" w:space="0"/>
              <w:left w:val="nil"/>
              <w:bottom w:val="single" w:color="auto" w:sz="4" w:space="0"/>
              <w:right w:val="single" w:color="000000" w:sz="4" w:space="0"/>
            </w:tcBorders>
            <w:vAlign w:val="center"/>
          </w:tcPr>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配送车辆配置3%</w:t>
            </w:r>
          </w:p>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（共同评分因素）</w:t>
            </w:r>
          </w:p>
        </w:tc>
        <w:tc>
          <w:tcPr>
            <w:tcW w:w="690" w:type="dxa"/>
            <w:tcBorders>
              <w:top w:val="single" w:color="000000" w:sz="4" w:space="0"/>
              <w:left w:val="nil"/>
              <w:bottom w:val="single" w:color="auto" w:sz="4" w:space="0"/>
              <w:right w:val="single" w:color="000000" w:sz="4" w:space="0"/>
            </w:tcBorders>
            <w:vAlign w:val="center"/>
          </w:tcPr>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3分</w:t>
            </w:r>
          </w:p>
        </w:tc>
        <w:tc>
          <w:tcPr>
            <w:tcW w:w="4600" w:type="dxa"/>
            <w:tcBorders>
              <w:top w:val="single" w:color="000000"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供应商针对本项目拟配备的自有或租赁的固定配送车辆：在满足基本要求（配备一辆固定配送车辆，车辆为厢式货车或其他封闭式车辆）的基础上，每增加 1辆为厢式货车或其他封闭式车辆的配送车辆加3分，最多加3分。本项共3分。</w:t>
            </w:r>
          </w:p>
        </w:tc>
        <w:tc>
          <w:tcPr>
            <w:tcW w:w="1455" w:type="dxa"/>
            <w:tcBorders>
              <w:top w:val="single" w:color="000000" w:sz="4" w:space="0"/>
              <w:left w:val="nil"/>
              <w:bottom w:val="single" w:color="auto" w:sz="4" w:space="0"/>
              <w:right w:val="single" w:color="000000" w:sz="4" w:space="0"/>
            </w:tcBorders>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自有车辆仅提供行驶证复印件和车辆照片，</w:t>
            </w:r>
            <w:r>
              <w:rPr>
                <w:rFonts w:hint="eastAsia" w:ascii="宋体" w:hAnsi="宋体" w:cs="宋体"/>
                <w:color w:val="auto"/>
                <w:kern w:val="0"/>
                <w:sz w:val="18"/>
                <w:szCs w:val="18"/>
                <w:highlight w:val="none"/>
                <w:lang w:val="en-US" w:eastAsia="zh-CN"/>
              </w:rPr>
              <w:t>租赁</w:t>
            </w:r>
            <w:r>
              <w:rPr>
                <w:rFonts w:hint="eastAsia" w:ascii="宋体" w:hAnsi="宋体" w:cs="宋体"/>
                <w:color w:val="auto"/>
                <w:kern w:val="0"/>
                <w:sz w:val="18"/>
                <w:szCs w:val="18"/>
                <w:highlight w:val="none"/>
              </w:rPr>
              <w:t>车辆提供行驶证复印件、车辆照片和车辆租赁协议复印件。</w:t>
            </w:r>
          </w:p>
        </w:tc>
      </w:tr>
      <w:tr>
        <w:tblPrEx>
          <w:tblCellMar>
            <w:top w:w="0" w:type="dxa"/>
            <w:left w:w="108" w:type="dxa"/>
            <w:bottom w:w="0" w:type="dxa"/>
            <w:right w:w="108" w:type="dxa"/>
          </w:tblCellMar>
        </w:tblPrEx>
        <w:trPr>
          <w:trHeight w:val="1139" w:hRule="atLeast"/>
        </w:trPr>
        <w:tc>
          <w:tcPr>
            <w:tcW w:w="65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265" w:type="dxa"/>
            <w:tcBorders>
              <w:top w:val="single" w:color="auto" w:sz="4" w:space="0"/>
              <w:left w:val="nil"/>
              <w:bottom w:val="single" w:color="000000" w:sz="4" w:space="0"/>
              <w:right w:val="single" w:color="000000" w:sz="4" w:space="0"/>
            </w:tcBorders>
            <w:vAlign w:val="center"/>
          </w:tcPr>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扶持不发达地区、少数民族地区的供应商1%</w:t>
            </w:r>
          </w:p>
          <w:p>
            <w:pPr>
              <w:tabs>
                <w:tab w:val="left" w:pos="360"/>
              </w:tabs>
              <w:jc w:val="center"/>
              <w:rPr>
                <w:rFonts w:ascii="宋体" w:hAnsi="宋体" w:cs="宋体"/>
                <w:color w:val="auto"/>
                <w:kern w:val="0"/>
                <w:szCs w:val="21"/>
                <w:highlight w:val="none"/>
              </w:rPr>
            </w:pPr>
            <w:r>
              <w:rPr>
                <w:rFonts w:hint="eastAsia" w:ascii="宋体" w:hAnsi="宋体" w:cs="宋体"/>
                <w:color w:val="auto"/>
                <w:szCs w:val="21"/>
                <w:highlight w:val="none"/>
              </w:rPr>
              <w:t>（共同评分因素）</w:t>
            </w:r>
          </w:p>
        </w:tc>
        <w:tc>
          <w:tcPr>
            <w:tcW w:w="690" w:type="dxa"/>
            <w:tcBorders>
              <w:top w:val="single" w:color="auto" w:sz="4" w:space="0"/>
              <w:left w:val="nil"/>
              <w:bottom w:val="single" w:color="000000" w:sz="4" w:space="0"/>
              <w:right w:val="single" w:color="000000" w:sz="4" w:space="0"/>
            </w:tcBorders>
            <w:vAlign w:val="center"/>
          </w:tcPr>
          <w:p>
            <w:pPr>
              <w:tabs>
                <w:tab w:val="left" w:pos="360"/>
              </w:tabs>
              <w:jc w:val="center"/>
              <w:rPr>
                <w:rFonts w:ascii="宋体" w:hAnsi="宋体" w:cs="宋体"/>
                <w:color w:val="auto"/>
                <w:kern w:val="0"/>
                <w:szCs w:val="21"/>
                <w:highlight w:val="none"/>
              </w:rPr>
            </w:pPr>
            <w:r>
              <w:rPr>
                <w:rFonts w:hint="eastAsia" w:ascii="宋体" w:hAnsi="宋体" w:cs="宋体"/>
                <w:color w:val="auto"/>
                <w:kern w:val="0"/>
                <w:szCs w:val="21"/>
                <w:highlight w:val="none"/>
              </w:rPr>
              <w:t>1分</w:t>
            </w:r>
          </w:p>
        </w:tc>
        <w:tc>
          <w:tcPr>
            <w:tcW w:w="4600" w:type="dxa"/>
            <w:tcBorders>
              <w:top w:val="single" w:color="auto" w:sz="4" w:space="0"/>
              <w:left w:val="nil"/>
              <w:bottom w:val="single" w:color="000000"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供应商属于不发达地区或少数民族地区供应商得1分。（指供应商注册地在民族自治州、自治县、自治乡等不发达地区或少数民族地区，供应商应在其他响应文件中自行提供属于不发达地区或少数民族地区供应商的声明，否则不得分）</w:t>
            </w:r>
          </w:p>
        </w:tc>
        <w:tc>
          <w:tcPr>
            <w:tcW w:w="1455" w:type="dxa"/>
            <w:tcBorders>
              <w:top w:val="single" w:color="auto" w:sz="4" w:space="0"/>
              <w:left w:val="nil"/>
              <w:bottom w:val="single" w:color="000000" w:sz="4" w:space="0"/>
              <w:right w:val="single" w:color="000000" w:sz="4" w:space="0"/>
            </w:tcBorders>
            <w:vAlign w:val="center"/>
          </w:tcPr>
          <w:p>
            <w:pPr>
              <w:tabs>
                <w:tab w:val="left" w:pos="360"/>
              </w:tabs>
              <w:rPr>
                <w:rFonts w:ascii="宋体" w:hAnsi="宋体" w:cs="宋体"/>
                <w:color w:val="auto"/>
                <w:sz w:val="18"/>
                <w:szCs w:val="18"/>
                <w:highlight w:val="none"/>
              </w:rPr>
            </w:pPr>
          </w:p>
        </w:tc>
      </w:tr>
      <w:tr>
        <w:tblPrEx>
          <w:tblCellMar>
            <w:top w:w="0" w:type="dxa"/>
            <w:left w:w="108" w:type="dxa"/>
            <w:bottom w:w="0" w:type="dxa"/>
            <w:right w:w="108" w:type="dxa"/>
          </w:tblCellMar>
        </w:tblPrEx>
        <w:trPr>
          <w:trHeight w:val="839" w:hRule="atLeast"/>
        </w:trPr>
        <w:tc>
          <w:tcPr>
            <w:tcW w:w="65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26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响应文件的规范性3%</w:t>
            </w:r>
          </w:p>
          <w:p>
            <w:pPr>
              <w:widowControl/>
              <w:jc w:val="center"/>
              <w:rPr>
                <w:rFonts w:ascii="宋体" w:hAnsi="宋体" w:cs="宋体"/>
                <w:color w:val="auto"/>
                <w:kern w:val="0"/>
                <w:szCs w:val="21"/>
                <w:highlight w:val="none"/>
              </w:rPr>
            </w:pPr>
            <w:r>
              <w:rPr>
                <w:rFonts w:hint="eastAsia" w:ascii="宋体" w:hAnsi="宋体" w:cs="宋体"/>
                <w:color w:val="auto"/>
                <w:szCs w:val="21"/>
                <w:highlight w:val="none"/>
              </w:rPr>
              <w:t>（共同评分因素）</w:t>
            </w:r>
          </w:p>
        </w:tc>
        <w:tc>
          <w:tcPr>
            <w:tcW w:w="69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3分</w:t>
            </w:r>
          </w:p>
        </w:tc>
        <w:tc>
          <w:tcPr>
            <w:tcW w:w="4600" w:type="dxa"/>
            <w:tcBorders>
              <w:top w:val="single" w:color="auto" w:sz="4" w:space="0"/>
              <w:left w:val="nil"/>
              <w:bottom w:val="single" w:color="auto" w:sz="4" w:space="0"/>
              <w:right w:val="single" w:color="000000" w:sz="4" w:space="0"/>
            </w:tcBorders>
            <w:vAlign w:val="center"/>
          </w:tcPr>
          <w:p>
            <w:pPr>
              <w:tabs>
                <w:tab w:val="left" w:pos="360"/>
              </w:tabs>
              <w:rPr>
                <w:rFonts w:ascii="宋体" w:hAnsi="宋体" w:cs="宋体"/>
                <w:color w:val="auto"/>
                <w:kern w:val="0"/>
                <w:szCs w:val="21"/>
                <w:highlight w:val="none"/>
              </w:rPr>
            </w:pPr>
            <w:r>
              <w:rPr>
                <w:rFonts w:hint="eastAsia" w:ascii="宋体" w:hAnsi="宋体" w:cs="宋体"/>
                <w:color w:val="auto"/>
                <w:kern w:val="0"/>
                <w:szCs w:val="21"/>
                <w:highlight w:val="none"/>
              </w:rPr>
              <w:t>响应文件制作规范，没有细微偏差情形的得3分；有一项细微偏差扣1分，直至该项分值扣完为止。</w:t>
            </w:r>
          </w:p>
        </w:tc>
        <w:tc>
          <w:tcPr>
            <w:tcW w:w="1455" w:type="dxa"/>
            <w:tcBorders>
              <w:top w:val="single" w:color="auto" w:sz="4" w:space="0"/>
              <w:left w:val="nil"/>
              <w:bottom w:val="single" w:color="auto" w:sz="4" w:space="0"/>
              <w:right w:val="single" w:color="000000" w:sz="4" w:space="0"/>
            </w:tcBorders>
            <w:vAlign w:val="center"/>
          </w:tcPr>
          <w:p>
            <w:pPr>
              <w:widowControl/>
              <w:ind w:firstLine="430" w:firstLineChars="200"/>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839" w:hRule="atLeast"/>
        </w:trPr>
        <w:tc>
          <w:tcPr>
            <w:tcW w:w="9663" w:type="dxa"/>
            <w:gridSpan w:val="5"/>
            <w:tcBorders>
              <w:top w:val="single" w:color="auto"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lang w:val="zh-CN"/>
              </w:rPr>
              <w:t>对按照《四川省政府采购当事人诚信管理办法》（川财采[2015]33号）记入诚信档案的且在有效期内的失信供应商，在参加政府采购活动中实行直接从总分中扣除</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分/次，且供应商失信行为惩戒实行无限制累加制，直至总分扣完为止。</w:t>
            </w:r>
          </w:p>
        </w:tc>
      </w:tr>
    </w:tbl>
    <w:p>
      <w:pPr>
        <w:spacing w:line="360" w:lineRule="auto"/>
        <w:ind w:firstLine="490" w:firstLineChars="200"/>
        <w:rPr>
          <w:rFonts w:ascii="宋体" w:hAnsi="宋体" w:cs="宋体"/>
          <w:b/>
          <w:color w:val="auto"/>
          <w:sz w:val="24"/>
          <w:highlight w:val="none"/>
        </w:rPr>
      </w:pPr>
      <w:r>
        <w:rPr>
          <w:rFonts w:hint="eastAsia" w:ascii="宋体" w:hAnsi="宋体" w:cs="宋体"/>
          <w:b/>
          <w:color w:val="auto"/>
          <w:sz w:val="24"/>
          <w:highlight w:val="none"/>
        </w:rPr>
        <w:t>注：评分的取值按四舍五入法，保留小数点后两位。</w:t>
      </w:r>
    </w:p>
    <w:bookmarkEnd w:id="85"/>
    <w:bookmarkEnd w:id="86"/>
    <w:bookmarkEnd w:id="87"/>
    <w:bookmarkEnd w:id="88"/>
    <w:p>
      <w:pPr>
        <w:spacing w:line="360" w:lineRule="auto"/>
        <w:ind w:firstLine="490" w:firstLineChars="200"/>
        <w:rPr>
          <w:rFonts w:ascii="宋体" w:hAnsi="宋体" w:cs="宋体"/>
          <w:b/>
          <w:color w:val="auto"/>
          <w:sz w:val="24"/>
          <w:highlight w:val="none"/>
        </w:rPr>
      </w:pPr>
      <w:r>
        <w:rPr>
          <w:rFonts w:hint="eastAsia" w:ascii="宋体" w:hAnsi="宋体" w:cs="宋体"/>
          <w:b/>
          <w:color w:val="auto"/>
          <w:sz w:val="24"/>
          <w:highlight w:val="none"/>
        </w:rPr>
        <w:t>4.磋商纪律及注意事项</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4.1磋商小组内部讨论的情况和意见必须保密，任何人不得以任何形式透露给供应商或与供应商有关的单位或个人。</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4.2在磋商过程中，供应商不得以任何形式对磋商小组成员进行旨在影响谈判结果的私下接触，否则将取消其参与磋商的资格。</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4.3对各供应商的商业秘密，磋商小组成员应予以保密，不得泄露给其他供应商。</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4.4 磋商小组独立评判，推荐成交候选人，并写出书面报告。</w:t>
      </w:r>
    </w:p>
    <w:p>
      <w:pPr>
        <w:tabs>
          <w:tab w:val="left" w:pos="851"/>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4.5 磋商小组可根据需要对供应商进行实地考察。</w:t>
      </w:r>
    </w:p>
    <w:p>
      <w:pPr>
        <w:spacing w:line="360" w:lineRule="auto"/>
        <w:ind w:firstLine="490" w:firstLineChars="200"/>
        <w:rPr>
          <w:rFonts w:ascii="宋体" w:hAnsi="宋体" w:cs="宋体"/>
          <w:color w:val="auto"/>
          <w:sz w:val="24"/>
          <w:highlight w:val="none"/>
        </w:rPr>
      </w:pPr>
    </w:p>
    <w:p>
      <w:pPr>
        <w:tabs>
          <w:tab w:val="left" w:pos="7665"/>
        </w:tabs>
        <w:spacing w:line="360" w:lineRule="auto"/>
        <w:ind w:firstLine="490" w:firstLineChars="200"/>
        <w:rPr>
          <w:rFonts w:ascii="宋体" w:hAnsi="宋体" w:cs="宋体"/>
          <w:b/>
          <w:color w:val="auto"/>
          <w:sz w:val="24"/>
          <w:highlight w:val="none"/>
        </w:rPr>
      </w:pPr>
      <w:r>
        <w:rPr>
          <w:rFonts w:hint="eastAsia" w:ascii="宋体" w:hAnsi="宋体" w:cs="宋体"/>
          <w:color w:val="auto"/>
          <w:sz w:val="24"/>
          <w:highlight w:val="none"/>
        </w:rPr>
        <w:t>5.</w:t>
      </w:r>
      <w:bookmarkEnd w:id="89"/>
      <w:r>
        <w:rPr>
          <w:rFonts w:hint="eastAsia" w:ascii="宋体" w:hAnsi="宋体" w:cs="宋体"/>
          <w:b/>
          <w:color w:val="auto"/>
          <w:sz w:val="24"/>
          <w:highlight w:val="none"/>
        </w:rPr>
        <w:t>磋商小组在政府采购活动中承担以下义务：</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（一）遵守评审工作纪律；</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（二）按照客观、公正、审慎的原则，根据磋商文件规定的评审程序、评审方法和评审标准进行独立评审；</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（六）及时向财政、监察等部门举报在评审过程中受到非法干预的情况；</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（七）配合答复处理供应商的询问、质疑和投诉等事项；</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（八）法律、法规和规章规定的其他义务。</w:t>
      </w:r>
    </w:p>
    <w:p>
      <w:pPr>
        <w:tabs>
          <w:tab w:val="left" w:pos="7665"/>
        </w:tabs>
        <w:spacing w:line="360" w:lineRule="auto"/>
        <w:ind w:firstLine="490" w:firstLineChars="200"/>
        <w:rPr>
          <w:rFonts w:ascii="宋体" w:hAnsi="宋体" w:cs="宋体"/>
          <w:b/>
          <w:color w:val="auto"/>
          <w:sz w:val="24"/>
          <w:highlight w:val="none"/>
        </w:rPr>
      </w:pPr>
      <w:r>
        <w:rPr>
          <w:rFonts w:hint="eastAsia" w:ascii="宋体" w:hAnsi="宋体" w:cs="宋体"/>
          <w:b/>
          <w:color w:val="auto"/>
          <w:sz w:val="24"/>
          <w:highlight w:val="none"/>
        </w:rPr>
        <w:t>6.评审专家在政府采购活动中应当遵守以下工作纪律：</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（二）评审前，应当将通讯工具或者相关电子设备交由采购代理机构统一保管；</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（三）评审过程中，不得与外界联系，因发生不可预见情况，确实需要与外界联系的，应当在监督人员监督之下办理；</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（五）在评审过程中和评审结束后，不得记录、复制或带走任何评审资料，不得向外界透露评审内容；</w:t>
      </w:r>
    </w:p>
    <w:p>
      <w:pPr>
        <w:tabs>
          <w:tab w:val="left" w:pos="7665"/>
        </w:tabs>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（六）评审现场服从采购代理机构工作人员的管理，接受现场监督人员的合法监督；</w:t>
      </w:r>
    </w:p>
    <w:p>
      <w:pPr>
        <w:tabs>
          <w:tab w:val="left" w:pos="7665"/>
        </w:tabs>
        <w:spacing w:line="360" w:lineRule="auto"/>
        <w:ind w:firstLine="490" w:firstLineChars="200"/>
        <w:rPr>
          <w:rFonts w:ascii="宋体" w:hAnsi="宋体" w:cs="宋体"/>
          <w:b/>
          <w:color w:val="auto"/>
          <w:sz w:val="32"/>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（七）遵守有关廉洁自律规定，不得私下接触供应商，不得收受供应商及有关业务单位和个人的财物或好处，不得接受采购代理机构的请托。</w:t>
      </w:r>
    </w:p>
    <w:p>
      <w:pPr>
        <w:tabs>
          <w:tab w:val="left" w:pos="7665"/>
        </w:tabs>
        <w:spacing w:line="400" w:lineRule="exact"/>
        <w:jc w:val="center"/>
        <w:rPr>
          <w:rFonts w:ascii="宋体" w:hAnsi="宋体" w:cs="宋体"/>
          <w:b/>
          <w:color w:val="auto"/>
          <w:sz w:val="32"/>
          <w:highlight w:val="none"/>
        </w:rPr>
      </w:pPr>
    </w:p>
    <w:p>
      <w:pPr>
        <w:pStyle w:val="3"/>
        <w:keepNext w:val="0"/>
        <w:keepLines w:val="0"/>
        <w:tabs>
          <w:tab w:val="left" w:pos="7665"/>
        </w:tabs>
        <w:spacing w:before="0" w:after="0" w:line="240" w:lineRule="auto"/>
        <w:jc w:val="center"/>
        <w:rPr>
          <w:rFonts w:ascii="宋体" w:hAnsi="宋体" w:cs="宋体"/>
          <w:color w:val="auto"/>
          <w:sz w:val="36"/>
          <w:szCs w:val="36"/>
          <w:highlight w:val="none"/>
        </w:rPr>
      </w:pPr>
      <w:r>
        <w:rPr>
          <w:rFonts w:hint="eastAsia" w:ascii="宋体" w:hAnsi="宋体" w:cs="宋体"/>
          <w:b w:val="0"/>
          <w:color w:val="auto"/>
          <w:sz w:val="32"/>
          <w:highlight w:val="none"/>
        </w:rPr>
        <w:br w:type="page"/>
      </w:r>
      <w:bookmarkStart w:id="90" w:name="_Toc41920665"/>
      <w:r>
        <w:rPr>
          <w:rFonts w:hint="eastAsia" w:ascii="宋体" w:hAnsi="宋体" w:cs="宋体"/>
          <w:color w:val="auto"/>
          <w:sz w:val="36"/>
          <w:szCs w:val="36"/>
          <w:highlight w:val="none"/>
        </w:rPr>
        <w:t>第八章  政府采购合同（草案）</w:t>
      </w:r>
      <w:bookmarkEnd w:id="90"/>
    </w:p>
    <w:bookmarkEnd w:id="72"/>
    <w:bookmarkEnd w:id="73"/>
    <w:bookmarkEnd w:id="74"/>
    <w:p>
      <w:pPr>
        <w:spacing w:line="360" w:lineRule="auto"/>
        <w:ind w:firstLine="490" w:firstLineChars="200"/>
        <w:rPr>
          <w:rFonts w:ascii="宋体" w:hAnsi="宋体" w:cs="宋体"/>
          <w:b/>
          <w:bCs/>
          <w:color w:val="auto"/>
          <w:sz w:val="24"/>
          <w:highlight w:val="none"/>
        </w:rPr>
      </w:pPr>
      <w:bookmarkStart w:id="91" w:name="_Hlt101846155"/>
      <w:bookmarkEnd w:id="91"/>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Cs w:val="21"/>
          <w:highlight w:val="none"/>
        </w:rPr>
        <w:t>XXXX。</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签订地点：</w:t>
      </w:r>
      <w:r>
        <w:rPr>
          <w:rFonts w:hint="eastAsia" w:ascii="宋体" w:hAnsi="宋体" w:cs="宋体"/>
          <w:color w:val="auto"/>
          <w:szCs w:val="21"/>
          <w:highlight w:val="none"/>
        </w:rPr>
        <w:t>XXXX。</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Cs w:val="21"/>
          <w:highlight w:val="none"/>
        </w:rPr>
        <w:t>XXXX</w:t>
      </w:r>
      <w:r>
        <w:rPr>
          <w:rFonts w:hint="eastAsia" w:ascii="宋体" w:hAnsi="宋体" w:cs="宋体"/>
          <w:color w:val="auto"/>
          <w:sz w:val="24"/>
          <w:highlight w:val="none"/>
        </w:rPr>
        <w:t>年</w:t>
      </w:r>
      <w:r>
        <w:rPr>
          <w:rFonts w:hint="eastAsia" w:ascii="宋体" w:hAnsi="宋体" w:cs="宋体"/>
          <w:color w:val="auto"/>
          <w:szCs w:val="21"/>
          <w:highlight w:val="none"/>
        </w:rPr>
        <w:t>XX</w:t>
      </w:r>
      <w:r>
        <w:rPr>
          <w:rFonts w:hint="eastAsia" w:ascii="宋体" w:hAnsi="宋体" w:cs="宋体"/>
          <w:color w:val="auto"/>
          <w:sz w:val="24"/>
          <w:highlight w:val="none"/>
        </w:rPr>
        <w:t>月</w:t>
      </w:r>
      <w:r>
        <w:rPr>
          <w:rFonts w:hint="eastAsia" w:ascii="宋体" w:hAnsi="宋体" w:cs="宋体"/>
          <w:color w:val="auto"/>
          <w:szCs w:val="21"/>
          <w:highlight w:val="none"/>
        </w:rPr>
        <w:t>XX</w:t>
      </w:r>
      <w:r>
        <w:rPr>
          <w:rFonts w:hint="eastAsia" w:ascii="宋体" w:hAnsi="宋体" w:cs="宋体"/>
          <w:color w:val="auto"/>
          <w:sz w:val="24"/>
          <w:highlight w:val="none"/>
        </w:rPr>
        <w:t>日。</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采购人（甲方）：</w:t>
      </w:r>
    </w:p>
    <w:p>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供应商（乙方）：</w:t>
      </w:r>
    </w:p>
    <w:p>
      <w:pPr>
        <w:spacing w:line="400" w:lineRule="exact"/>
        <w:rPr>
          <w:rFonts w:ascii="宋体" w:hAnsi="宋体" w:cs="宋体"/>
          <w:color w:val="auto"/>
          <w:sz w:val="24"/>
          <w:highlight w:val="none"/>
        </w:rPr>
      </w:pPr>
    </w:p>
    <w:p>
      <w:pPr>
        <w:pStyle w:val="55"/>
        <w:ind w:firstLine="490"/>
        <w:rPr>
          <w:rFonts w:ascii="宋体" w:hAnsi="宋体"/>
          <w:color w:val="auto"/>
          <w:highlight w:val="none"/>
        </w:rPr>
      </w:pPr>
      <w:r>
        <w:rPr>
          <w:rFonts w:hint="eastAsia" w:ascii="宋体" w:hAnsi="宋体"/>
          <w:color w:val="auto"/>
          <w:highlight w:val="none"/>
        </w:rPr>
        <w:t>根据《中华人民共和国政府采购法》、《中华人民共和国</w:t>
      </w:r>
      <w:r>
        <w:rPr>
          <w:rFonts w:hint="eastAsia" w:ascii="宋体" w:hAnsi="宋体"/>
          <w:color w:val="auto"/>
          <w:highlight w:val="none"/>
          <w:lang w:val="en-US" w:eastAsia="zh-CN"/>
        </w:rPr>
        <w:t>民法典</w:t>
      </w:r>
      <w:r>
        <w:rPr>
          <w:rFonts w:hint="eastAsia" w:ascii="宋体" w:hAnsi="宋体"/>
          <w:color w:val="auto"/>
          <w:highlight w:val="none"/>
        </w:rPr>
        <w:t>》及</w:t>
      </w:r>
      <w:r>
        <w:rPr>
          <w:rFonts w:hint="eastAsia" w:ascii="宋体" w:hAnsi="宋体"/>
          <w:color w:val="auto"/>
          <w:szCs w:val="21"/>
          <w:highlight w:val="none"/>
        </w:rPr>
        <w:t>XXXX</w:t>
      </w:r>
      <w:r>
        <w:rPr>
          <w:rFonts w:hint="eastAsia" w:ascii="宋体" w:hAnsi="宋体"/>
          <w:color w:val="auto"/>
          <w:highlight w:val="none"/>
        </w:rPr>
        <w:t>采购项目（项目编号：</w:t>
      </w:r>
      <w:r>
        <w:rPr>
          <w:rFonts w:hint="eastAsia" w:ascii="宋体" w:hAnsi="宋体"/>
          <w:color w:val="auto"/>
          <w:szCs w:val="21"/>
          <w:highlight w:val="none"/>
        </w:rPr>
        <w:t>XX</w:t>
      </w:r>
      <w:r>
        <w:rPr>
          <w:rFonts w:hint="eastAsia" w:ascii="宋体" w:hAnsi="宋体"/>
          <w:color w:val="auto"/>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55"/>
        <w:spacing w:line="360" w:lineRule="auto"/>
        <w:ind w:firstLine="0" w:firstLineChars="0"/>
        <w:rPr>
          <w:rFonts w:ascii="宋体" w:hAnsi="宋体"/>
          <w:b/>
          <w:bCs/>
          <w:color w:val="auto"/>
          <w:highlight w:val="none"/>
        </w:rPr>
      </w:pPr>
      <w:r>
        <w:rPr>
          <w:rFonts w:hint="eastAsia" w:ascii="宋体" w:hAnsi="宋体"/>
          <w:b/>
          <w:bCs/>
          <w:color w:val="auto"/>
          <w:highlight w:val="none"/>
        </w:rPr>
        <w:t>一、合同标的</w:t>
      </w:r>
    </w:p>
    <w:tbl>
      <w:tblPr>
        <w:tblStyle w:val="23"/>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6"/>
        <w:gridCol w:w="4201"/>
        <w:gridCol w:w="26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876"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采购品名</w:t>
            </w:r>
          </w:p>
        </w:tc>
        <w:tc>
          <w:tcPr>
            <w:tcW w:w="4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品牌/生产商</w:t>
            </w: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876"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4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76"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4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pStyle w:val="55"/>
        <w:spacing w:line="360" w:lineRule="auto"/>
        <w:ind w:firstLine="0" w:firstLineChars="0"/>
        <w:rPr>
          <w:rFonts w:hint="eastAsia" w:ascii="宋体" w:hAnsi="宋体"/>
          <w:b/>
          <w:bCs/>
          <w:color w:val="auto"/>
          <w:highlight w:val="none"/>
        </w:rPr>
      </w:pPr>
    </w:p>
    <w:p>
      <w:pPr>
        <w:pStyle w:val="55"/>
        <w:spacing w:line="360" w:lineRule="auto"/>
        <w:ind w:firstLine="0" w:firstLineChars="0"/>
        <w:rPr>
          <w:rFonts w:ascii="宋体" w:hAnsi="宋体"/>
          <w:b/>
          <w:bCs/>
          <w:color w:val="auto"/>
          <w:highlight w:val="none"/>
        </w:rPr>
      </w:pPr>
      <w:r>
        <w:rPr>
          <w:rFonts w:hint="eastAsia" w:ascii="宋体" w:hAnsi="宋体"/>
          <w:b/>
          <w:bCs/>
          <w:color w:val="auto"/>
          <w:highlight w:val="none"/>
        </w:rPr>
        <w:t>二、价格确定、货款结算方式及付款方式</w:t>
      </w:r>
    </w:p>
    <w:p>
      <w:pPr>
        <w:pStyle w:val="2"/>
        <w:spacing w:line="360" w:lineRule="auto"/>
        <w:ind w:firstLine="490" w:firstLineChars="200"/>
        <w:rPr>
          <w:rFonts w:ascii="宋体" w:hAnsi="宋体" w:eastAsia="宋体" w:cs="宋体"/>
          <w:color w:val="auto"/>
          <w:highlight w:val="none"/>
          <w:lang w:bidi="ar"/>
        </w:rPr>
      </w:pPr>
      <w:r>
        <w:rPr>
          <w:rFonts w:hint="eastAsia" w:ascii="宋体" w:hAnsi="宋体" w:eastAsia="宋体" w:cs="宋体"/>
          <w:color w:val="auto"/>
          <w:highlight w:val="none"/>
          <w:lang w:bidi="ar"/>
        </w:rPr>
        <w:t>1、当月执行价格=当月市场平均零售价*（1-成交统一下浮率），当月结算金额=当月执行价格*当月实际供货量。</w:t>
      </w:r>
    </w:p>
    <w:p>
      <w:pPr>
        <w:pStyle w:val="2"/>
        <w:spacing w:line="360" w:lineRule="auto"/>
        <w:ind w:firstLine="490" w:firstLineChars="200"/>
        <w:rPr>
          <w:rFonts w:ascii="宋体" w:hAnsi="宋体" w:eastAsia="宋体" w:cs="宋体"/>
          <w:color w:val="auto"/>
          <w:highlight w:val="none"/>
          <w:lang w:bidi="ar"/>
        </w:rPr>
      </w:pPr>
      <w:r>
        <w:rPr>
          <w:rFonts w:hint="eastAsia" w:ascii="宋体" w:hAnsi="宋体" w:eastAsia="宋体" w:cs="宋体"/>
          <w:color w:val="auto"/>
          <w:highlight w:val="none"/>
          <w:lang w:bidi="ar"/>
        </w:rPr>
        <w:t>2、市场平均零售价的确定方式：</w:t>
      </w:r>
    </w:p>
    <w:p>
      <w:pPr>
        <w:pStyle w:val="2"/>
        <w:spacing w:line="360" w:lineRule="auto"/>
        <w:ind w:firstLine="490" w:firstLineChars="200"/>
        <w:rPr>
          <w:rFonts w:ascii="宋体" w:hAnsi="宋体" w:cs="宋体"/>
          <w:color w:val="auto"/>
          <w:highlight w:val="none"/>
        </w:rPr>
      </w:pPr>
      <w:r>
        <w:rPr>
          <w:rFonts w:hint="eastAsia" w:ascii="宋体" w:hAnsi="宋体" w:eastAsia="宋体" w:cs="宋体"/>
          <w:color w:val="auto"/>
          <w:highlight w:val="none"/>
          <w:lang w:bidi="ar"/>
        </w:rPr>
        <w:t>由</w:t>
      </w:r>
      <w:r>
        <w:rPr>
          <w:rFonts w:hint="eastAsia" w:ascii="宋体" w:hAnsi="宋体" w:eastAsia="宋体" w:cs="宋体"/>
          <w:color w:val="auto"/>
          <w:highlight w:val="none"/>
          <w:lang w:val="en-US" w:eastAsia="zh-CN" w:bidi="ar"/>
        </w:rPr>
        <w:t>甲方</w:t>
      </w:r>
      <w:r>
        <w:rPr>
          <w:rFonts w:hint="eastAsia" w:ascii="宋体" w:hAnsi="宋体" w:eastAsia="宋体" w:cs="宋体"/>
          <w:color w:val="auto"/>
          <w:highlight w:val="none"/>
          <w:lang w:bidi="ar"/>
        </w:rPr>
        <w:t>和</w:t>
      </w:r>
      <w:r>
        <w:rPr>
          <w:rFonts w:hint="eastAsia" w:ascii="宋体" w:hAnsi="宋体" w:eastAsia="宋体" w:cs="宋体"/>
          <w:color w:val="auto"/>
          <w:highlight w:val="none"/>
          <w:lang w:val="en-US" w:eastAsia="zh-CN" w:bidi="ar"/>
        </w:rPr>
        <w:t>乙方</w:t>
      </w:r>
      <w:r>
        <w:rPr>
          <w:rFonts w:hint="eastAsia" w:ascii="宋体" w:hAnsi="宋体" w:eastAsia="宋体" w:cs="宋体"/>
          <w:color w:val="auto"/>
          <w:highlight w:val="none"/>
          <w:lang w:bidi="ar"/>
        </w:rPr>
        <w:t>共同参与市场询价确定，询价方式为一月一次，每次询价的市场点位不少于三个，价格取平均值，不得单方随意更改和提高。询价结果报</w:t>
      </w:r>
      <w:r>
        <w:rPr>
          <w:rFonts w:hint="eastAsia" w:ascii="宋体" w:hAnsi="宋体" w:eastAsia="宋体" w:cs="宋体"/>
          <w:color w:val="auto"/>
          <w:highlight w:val="none"/>
          <w:lang w:val="en-US" w:eastAsia="zh-CN" w:bidi="ar"/>
        </w:rPr>
        <w:t>甲方</w:t>
      </w:r>
      <w:r>
        <w:rPr>
          <w:rFonts w:hint="eastAsia" w:ascii="宋体" w:hAnsi="宋体" w:eastAsia="宋体" w:cs="宋体"/>
          <w:color w:val="auto"/>
          <w:highlight w:val="none"/>
          <w:lang w:bidi="ar"/>
        </w:rPr>
        <w:t>管理部门，根据区发改局、区农业局、区市场质量监督管理局的农产品市场零售指导价进行价格监控，发现市场平均零售价高于相关部门提供的市场零售指导价时，重新询价。</w:t>
      </w:r>
    </w:p>
    <w:p>
      <w:pPr>
        <w:spacing w:line="360" w:lineRule="auto"/>
        <w:ind w:firstLine="490" w:firstLineChars="200"/>
        <w:rPr>
          <w:rFonts w:ascii="宋体" w:hAnsi="宋体" w:cs="宋体"/>
          <w:color w:val="auto"/>
          <w:highlight w:val="none"/>
        </w:rPr>
      </w:pPr>
      <w:r>
        <w:rPr>
          <w:rFonts w:hint="eastAsia" w:ascii="宋体" w:hAnsi="宋体" w:cs="宋体"/>
          <w:color w:val="auto"/>
          <w:kern w:val="0"/>
          <w:sz w:val="24"/>
          <w:highlight w:val="none"/>
        </w:rPr>
        <w:t>3、付款方式及时间：</w:t>
      </w:r>
      <w:r>
        <w:rPr>
          <w:rFonts w:hint="eastAsia" w:ascii="宋体" w:hAnsi="宋体" w:cs="宋体"/>
          <w:color w:val="auto"/>
          <w:kern w:val="0"/>
          <w:sz w:val="24"/>
          <w:highlight w:val="none"/>
          <w:lang w:val="en-US" w:eastAsia="zh-CN" w:bidi="ar"/>
        </w:rPr>
        <w:t>甲方</w:t>
      </w:r>
      <w:r>
        <w:rPr>
          <w:rFonts w:hint="eastAsia" w:ascii="宋体" w:hAnsi="宋体" w:cs="宋体"/>
          <w:color w:val="auto"/>
          <w:kern w:val="0"/>
          <w:sz w:val="24"/>
          <w:highlight w:val="none"/>
          <w:lang w:bidi="ar"/>
        </w:rPr>
        <w:t>按月支付</w:t>
      </w:r>
      <w:r>
        <w:rPr>
          <w:rFonts w:hint="eastAsia" w:ascii="宋体" w:hAnsi="宋体" w:cs="宋体"/>
          <w:color w:val="auto"/>
          <w:kern w:val="0"/>
          <w:sz w:val="24"/>
          <w:highlight w:val="none"/>
          <w:lang w:val="en-US" w:eastAsia="zh-CN" w:bidi="ar"/>
        </w:rPr>
        <w:t>乙方</w:t>
      </w:r>
      <w:r>
        <w:rPr>
          <w:rFonts w:hint="eastAsia" w:ascii="宋体" w:hAnsi="宋体" w:cs="宋体"/>
          <w:color w:val="auto"/>
          <w:kern w:val="0"/>
          <w:sz w:val="24"/>
          <w:highlight w:val="none"/>
          <w:lang w:bidi="ar"/>
        </w:rPr>
        <w:t>月结算金额，经</w:t>
      </w:r>
      <w:r>
        <w:rPr>
          <w:rFonts w:hint="eastAsia" w:ascii="宋体" w:hAnsi="宋体" w:cs="宋体"/>
          <w:color w:val="auto"/>
          <w:kern w:val="0"/>
          <w:sz w:val="24"/>
          <w:highlight w:val="none"/>
          <w:lang w:val="en-US" w:eastAsia="zh-CN" w:bidi="ar"/>
        </w:rPr>
        <w:t>甲方</w:t>
      </w:r>
      <w:r>
        <w:rPr>
          <w:rFonts w:hint="eastAsia" w:ascii="宋体" w:hAnsi="宋体" w:cs="宋体"/>
          <w:color w:val="auto"/>
          <w:kern w:val="0"/>
          <w:sz w:val="24"/>
          <w:highlight w:val="none"/>
          <w:lang w:bidi="ar"/>
        </w:rPr>
        <w:t>确认后，当月中旬支付上个月的货款。</w:t>
      </w:r>
    </w:p>
    <w:p>
      <w:pPr>
        <w:pStyle w:val="55"/>
        <w:spacing w:line="360" w:lineRule="auto"/>
        <w:ind w:firstLine="0" w:firstLineChars="0"/>
        <w:rPr>
          <w:rFonts w:hint="eastAsia" w:ascii="宋体" w:hAnsi="宋体"/>
          <w:b/>
          <w:bCs/>
          <w:color w:val="auto"/>
          <w:highlight w:val="none"/>
        </w:rPr>
      </w:pPr>
      <w:bookmarkStart w:id="92" w:name="_Toc217446109"/>
    </w:p>
    <w:p>
      <w:pPr>
        <w:pStyle w:val="55"/>
        <w:spacing w:line="360" w:lineRule="auto"/>
        <w:ind w:firstLine="0" w:firstLineChars="0"/>
        <w:rPr>
          <w:rFonts w:ascii="宋体" w:hAnsi="宋体"/>
          <w:b/>
          <w:bCs/>
          <w:color w:val="auto"/>
          <w:highlight w:val="none"/>
        </w:rPr>
      </w:pPr>
      <w:r>
        <w:rPr>
          <w:rFonts w:hint="eastAsia" w:ascii="宋体" w:hAnsi="宋体"/>
          <w:b/>
          <w:bCs/>
          <w:color w:val="auto"/>
          <w:highlight w:val="none"/>
        </w:rPr>
        <w:t>三、质量及配送要求</w:t>
      </w:r>
      <w:bookmarkEnd w:id="92"/>
    </w:p>
    <w:p>
      <w:pPr>
        <w:pStyle w:val="55"/>
        <w:spacing w:line="360" w:lineRule="auto"/>
        <w:ind w:firstLine="490"/>
        <w:rPr>
          <w:rFonts w:ascii="宋体" w:hAnsi="宋体"/>
          <w:color w:val="auto"/>
          <w:highlight w:val="none"/>
        </w:rPr>
      </w:pPr>
      <w:bookmarkStart w:id="93" w:name="_Toc217446110"/>
      <w:r>
        <w:rPr>
          <w:rFonts w:hint="eastAsia" w:ascii="宋体" w:hAnsi="宋体"/>
          <w:color w:val="auto"/>
          <w:highlight w:val="none"/>
        </w:rPr>
        <w:t>......</w:t>
      </w:r>
    </w:p>
    <w:p>
      <w:pPr>
        <w:pStyle w:val="55"/>
        <w:spacing w:line="360" w:lineRule="auto"/>
        <w:ind w:firstLine="0" w:firstLineChars="0"/>
        <w:rPr>
          <w:rFonts w:ascii="宋体" w:hAnsi="宋体"/>
          <w:b/>
          <w:bCs/>
          <w:color w:val="auto"/>
          <w:highlight w:val="none"/>
        </w:rPr>
      </w:pPr>
    </w:p>
    <w:p>
      <w:pPr>
        <w:pStyle w:val="55"/>
        <w:spacing w:line="360" w:lineRule="auto"/>
        <w:ind w:firstLine="0" w:firstLineChars="0"/>
        <w:rPr>
          <w:rFonts w:ascii="宋体" w:hAnsi="宋体"/>
          <w:b/>
          <w:bCs/>
          <w:color w:val="auto"/>
          <w:highlight w:val="none"/>
        </w:rPr>
      </w:pPr>
      <w:r>
        <w:rPr>
          <w:rFonts w:hint="eastAsia" w:ascii="宋体" w:hAnsi="宋体"/>
          <w:b/>
          <w:bCs/>
          <w:color w:val="auto"/>
          <w:highlight w:val="none"/>
        </w:rPr>
        <w:t>四、交货及验收</w:t>
      </w:r>
      <w:bookmarkEnd w:id="93"/>
    </w:p>
    <w:p>
      <w:pPr>
        <w:spacing w:line="360" w:lineRule="auto"/>
        <w:ind w:firstLine="490" w:firstLineChars="200"/>
        <w:rPr>
          <w:rFonts w:ascii="宋体" w:hAnsi="宋体" w:cs="宋体"/>
          <w:color w:val="auto"/>
          <w:kern w:val="0"/>
          <w:sz w:val="24"/>
          <w:highlight w:val="none"/>
        </w:rPr>
      </w:pPr>
      <w:bookmarkStart w:id="94" w:name="_Toc217446111"/>
      <w:r>
        <w:rPr>
          <w:rFonts w:hint="eastAsia" w:ascii="宋体" w:hAnsi="宋体" w:cs="宋体"/>
          <w:color w:val="auto"/>
          <w:kern w:val="0"/>
          <w:sz w:val="24"/>
          <w:highlight w:val="none"/>
        </w:rPr>
        <w:t>1.</w:t>
      </w:r>
      <w:r>
        <w:rPr>
          <w:rFonts w:hint="eastAsia" w:ascii="宋体" w:hAnsi="宋体" w:cs="宋体"/>
          <w:color w:val="auto"/>
          <w:kern w:val="0"/>
          <w:sz w:val="24"/>
          <w:highlight w:val="none"/>
          <w:lang w:bidi="ar"/>
        </w:rPr>
        <w:t>日常食材的配送品种和数量按照</w:t>
      </w:r>
      <w:r>
        <w:rPr>
          <w:rFonts w:hint="eastAsia" w:ascii="宋体" w:hAnsi="宋体" w:cs="宋体"/>
          <w:color w:val="auto"/>
          <w:kern w:val="0"/>
          <w:sz w:val="24"/>
          <w:highlight w:val="none"/>
          <w:lang w:val="en-US" w:eastAsia="zh-CN" w:bidi="ar"/>
        </w:rPr>
        <w:t>甲方</w:t>
      </w:r>
      <w:r>
        <w:rPr>
          <w:rFonts w:hint="eastAsia" w:ascii="宋体" w:hAnsi="宋体" w:cs="宋体"/>
          <w:color w:val="auto"/>
          <w:kern w:val="0"/>
          <w:sz w:val="24"/>
          <w:highlight w:val="none"/>
          <w:lang w:bidi="ar"/>
        </w:rPr>
        <w:t>要求执行，按规定送至</w:t>
      </w:r>
      <w:r>
        <w:rPr>
          <w:rFonts w:hint="eastAsia" w:ascii="宋体" w:hAnsi="宋体" w:cs="宋体"/>
          <w:color w:val="auto"/>
          <w:kern w:val="0"/>
          <w:sz w:val="24"/>
          <w:highlight w:val="none"/>
          <w:lang w:val="en-US" w:eastAsia="zh-CN" w:bidi="ar"/>
        </w:rPr>
        <w:t>新都区范围内甲方</w:t>
      </w:r>
      <w:r>
        <w:rPr>
          <w:rFonts w:hint="eastAsia" w:ascii="宋体" w:hAnsi="宋体" w:cs="宋体"/>
          <w:color w:val="auto"/>
          <w:kern w:val="0"/>
          <w:sz w:val="24"/>
          <w:highlight w:val="none"/>
          <w:lang w:bidi="ar"/>
        </w:rPr>
        <w:t>指定地点</w:t>
      </w:r>
      <w:r>
        <w:rPr>
          <w:rFonts w:hint="eastAsia" w:ascii="宋体" w:hAnsi="宋体" w:cs="宋体"/>
          <w:color w:val="auto"/>
          <w:sz w:val="24"/>
          <w:highlight w:val="none"/>
        </w:rPr>
        <w:t>。</w:t>
      </w:r>
    </w:p>
    <w:p>
      <w:pPr>
        <w:spacing w:line="360" w:lineRule="auto"/>
        <w:ind w:firstLine="490" w:firstLineChars="200"/>
        <w:rPr>
          <w:rFonts w:ascii="宋体" w:hAnsi="宋体" w:cs="宋体"/>
          <w:b/>
          <w:bCs/>
          <w:color w:val="auto"/>
          <w:sz w:val="24"/>
          <w:highlight w:val="none"/>
        </w:rPr>
      </w:pPr>
      <w:r>
        <w:rPr>
          <w:rFonts w:hint="eastAsia" w:ascii="宋体" w:hAnsi="宋体" w:cs="宋体"/>
          <w:color w:val="auto"/>
          <w:kern w:val="0"/>
          <w:sz w:val="24"/>
          <w:highlight w:val="none"/>
        </w:rPr>
        <w:t>2.验收：</w:t>
      </w:r>
      <w:r>
        <w:rPr>
          <w:rFonts w:hint="eastAsia" w:ascii="宋体" w:hAnsi="宋体" w:eastAsia="宋体" w:cs="宋体"/>
          <w:color w:val="auto"/>
          <w:kern w:val="0"/>
          <w:sz w:val="24"/>
          <w:szCs w:val="24"/>
          <w:highlight w:val="none"/>
          <w:lang w:val="en-US" w:eastAsia="zh-CN" w:bidi="ar"/>
        </w:rPr>
        <w:t>（1）验收办法：乙方与甲方应严格按照</w:t>
      </w:r>
      <w:r>
        <w:rPr>
          <w:rFonts w:hint="eastAsia" w:ascii="宋体" w:hAnsi="宋体" w:cs="宋体"/>
          <w:color w:val="auto"/>
          <w:kern w:val="0"/>
          <w:sz w:val="24"/>
          <w:szCs w:val="24"/>
          <w:highlight w:val="none"/>
          <w:lang w:val="en-US" w:eastAsia="zh-CN" w:bidi="ar"/>
        </w:rPr>
        <w:t>政府采购相关法规规定</w:t>
      </w:r>
      <w:r>
        <w:rPr>
          <w:rFonts w:hint="eastAsia" w:ascii="宋体" w:hAnsi="宋体" w:eastAsia="宋体" w:cs="宋体"/>
          <w:color w:val="auto"/>
          <w:kern w:val="0"/>
          <w:sz w:val="24"/>
          <w:szCs w:val="24"/>
          <w:highlight w:val="none"/>
          <w:lang w:val="en-US" w:eastAsia="zh-CN" w:bidi="ar"/>
        </w:rPr>
        <w:t>要求进行验收；（2）验收标准：招标文件的质量要求和技术指标、乙方的响应文件及合同约定标准进行验收；（3）乙方应按甲方要求配送，且随货提供甲方要求的相关材料。由双方共同验收、签字确认完善交接手续，作为结算依据。未按照甲方要求配送和未按要求提供相应材料的，甲方有权拒收。</w:t>
      </w:r>
    </w:p>
    <w:bookmarkEnd w:id="94"/>
    <w:p>
      <w:pPr>
        <w:topLinePunct/>
        <w:spacing w:line="460" w:lineRule="exact"/>
        <w:rPr>
          <w:rFonts w:ascii="宋体" w:hAnsi="宋体" w:cs="宋体"/>
          <w:b/>
          <w:color w:val="auto"/>
          <w:sz w:val="24"/>
          <w:highlight w:val="none"/>
        </w:rPr>
      </w:pPr>
      <w:bookmarkStart w:id="95" w:name="_Toc217446113"/>
    </w:p>
    <w:p>
      <w:pPr>
        <w:topLinePunct/>
        <w:spacing w:line="460" w:lineRule="exact"/>
        <w:rPr>
          <w:rFonts w:ascii="宋体" w:hAnsi="宋体" w:cs="宋体"/>
          <w:color w:val="auto"/>
          <w:sz w:val="24"/>
          <w:highlight w:val="none"/>
        </w:rPr>
      </w:pPr>
      <w:r>
        <w:rPr>
          <w:rFonts w:hint="eastAsia" w:ascii="宋体" w:hAnsi="宋体" w:cs="宋体"/>
          <w:b/>
          <w:color w:val="auto"/>
          <w:sz w:val="24"/>
          <w:highlight w:val="none"/>
        </w:rPr>
        <w:t>五、知识产权</w:t>
      </w:r>
    </w:p>
    <w:p>
      <w:pPr>
        <w:tabs>
          <w:tab w:val="left" w:pos="144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乙方应保证所提供的</w:t>
      </w:r>
      <w:r>
        <w:rPr>
          <w:rFonts w:hint="eastAsia" w:ascii="宋体" w:hAnsi="宋体" w:cs="宋体"/>
          <w:color w:val="auto"/>
          <w:sz w:val="24"/>
          <w:highlight w:val="none"/>
          <w:lang w:val="en-US" w:eastAsia="zh-CN"/>
        </w:rPr>
        <w:t>货物或</w:t>
      </w:r>
      <w:r>
        <w:rPr>
          <w:rFonts w:hint="eastAsia" w:ascii="宋体" w:hAnsi="宋体" w:cs="宋体"/>
          <w:color w:val="auto"/>
          <w:sz w:val="24"/>
          <w:highlight w:val="none"/>
        </w:rPr>
        <w:t>其任何一部分均不会侵犯任何第三方的专利权、商标权或著作权。</w:t>
      </w:r>
    </w:p>
    <w:p>
      <w:pPr>
        <w:topLinePunct/>
        <w:spacing w:line="460" w:lineRule="exact"/>
        <w:rPr>
          <w:rFonts w:ascii="宋体" w:hAnsi="宋体" w:cs="宋体"/>
          <w:b/>
          <w:color w:val="auto"/>
          <w:sz w:val="24"/>
          <w:highlight w:val="none"/>
        </w:rPr>
      </w:pPr>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、无产权瑕疵条款</w:t>
      </w:r>
    </w:p>
    <w:p>
      <w:pPr>
        <w:tabs>
          <w:tab w:val="left" w:pos="144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乙方保证所提供的</w:t>
      </w:r>
      <w:r>
        <w:rPr>
          <w:rFonts w:hint="eastAsia" w:ascii="宋体" w:hAnsi="宋体" w:cs="宋体"/>
          <w:color w:val="auto"/>
          <w:sz w:val="24"/>
          <w:highlight w:val="none"/>
          <w:lang w:val="en-US" w:eastAsia="zh-CN"/>
        </w:rPr>
        <w:t>货物及项目涉及其他内容</w:t>
      </w:r>
      <w:r>
        <w:rPr>
          <w:rFonts w:hint="eastAsia" w:ascii="宋体" w:hAnsi="宋体" w:cs="宋体"/>
          <w:color w:val="auto"/>
          <w:sz w:val="24"/>
          <w:highlight w:val="none"/>
        </w:rPr>
        <w:t>的所有权完全属于乙方且无任何抵押、查封等产权瑕疵。如有产权瑕疵的，视为乙方违约。乙方应负担由此而产生的一切损失。</w:t>
      </w:r>
    </w:p>
    <w:p>
      <w:pPr>
        <w:topLinePunct/>
        <w:spacing w:line="460" w:lineRule="exact"/>
        <w:rPr>
          <w:rFonts w:ascii="宋体" w:hAnsi="宋体" w:cs="宋体"/>
          <w:b/>
          <w:color w:val="auto"/>
          <w:sz w:val="24"/>
          <w:highlight w:val="none"/>
        </w:rPr>
      </w:pPr>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、甲方的权利和义务</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1、甲方有权对合同规定范围内乙方的行为进行监督和检查，拥有监管权。有权定期核对乙方所配备的人员数量。对甲方认为不合理的部分有权下达整改通知书，并要求乙方限期整改。</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2、甲方有权对乙方提供的</w:t>
      </w:r>
      <w:r>
        <w:rPr>
          <w:rFonts w:hint="eastAsia" w:ascii="宋体" w:hAnsi="宋体" w:cs="宋体"/>
          <w:bCs/>
          <w:color w:val="auto"/>
          <w:sz w:val="24"/>
          <w:highlight w:val="none"/>
          <w:lang w:val="en-US" w:eastAsia="zh-CN"/>
        </w:rPr>
        <w:t>工作质量</w:t>
      </w:r>
      <w:r>
        <w:rPr>
          <w:rFonts w:hint="eastAsia" w:ascii="宋体" w:hAnsi="宋体" w:cs="宋体"/>
          <w:bCs/>
          <w:color w:val="auto"/>
          <w:sz w:val="24"/>
          <w:highlight w:val="none"/>
        </w:rPr>
        <w:t>进行定期考评。</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3、负责检查监督乙方管理工作的实施及制度的执行情况。</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4、根据本合同规定，按时向乙方支付应付</w:t>
      </w:r>
      <w:r>
        <w:rPr>
          <w:rFonts w:hint="eastAsia" w:ascii="宋体" w:hAnsi="宋体" w:cs="宋体"/>
          <w:bCs/>
          <w:color w:val="auto"/>
          <w:sz w:val="24"/>
          <w:highlight w:val="none"/>
          <w:lang w:val="en-US" w:eastAsia="zh-CN"/>
        </w:rPr>
        <w:t>项目</w:t>
      </w:r>
      <w:r>
        <w:rPr>
          <w:rFonts w:hint="eastAsia" w:ascii="宋体" w:hAnsi="宋体" w:cs="宋体"/>
          <w:bCs/>
          <w:color w:val="auto"/>
          <w:sz w:val="24"/>
          <w:highlight w:val="none"/>
        </w:rPr>
        <w:t>费用。</w:t>
      </w:r>
    </w:p>
    <w:p>
      <w:pPr>
        <w:topLinePunct/>
        <w:adjustRightInd w:val="0"/>
        <w:spacing w:line="460" w:lineRule="exact"/>
        <w:ind w:firstLine="490" w:firstLineChars="200"/>
        <w:jc w:val="left"/>
        <w:textAlignment w:val="baseline"/>
        <w:rPr>
          <w:rFonts w:ascii="宋体" w:hAnsi="宋体" w:cs="宋体"/>
          <w:b/>
          <w:color w:val="auto"/>
          <w:sz w:val="24"/>
          <w:highlight w:val="none"/>
        </w:rPr>
      </w:pPr>
      <w:r>
        <w:rPr>
          <w:rFonts w:hint="eastAsia" w:ascii="宋体" w:hAnsi="宋体" w:cs="宋体"/>
          <w:bCs/>
          <w:color w:val="auto"/>
          <w:sz w:val="24"/>
          <w:highlight w:val="none"/>
        </w:rPr>
        <w:t>5、国家法律、法规所规定由甲方承担的其它责任。</w:t>
      </w:r>
    </w:p>
    <w:p>
      <w:pPr>
        <w:topLinePunct/>
        <w:spacing w:line="460" w:lineRule="exact"/>
        <w:rPr>
          <w:rFonts w:ascii="宋体" w:hAnsi="宋体" w:cs="宋体"/>
          <w:b/>
          <w:color w:val="auto"/>
          <w:sz w:val="24"/>
          <w:highlight w:val="none"/>
        </w:rPr>
      </w:pPr>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、乙方的权利和义务</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1、对本合同规定的委托</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范围内的项目享有管理权及</w:t>
      </w:r>
      <w:r>
        <w:rPr>
          <w:rFonts w:hint="eastAsia" w:ascii="宋体" w:hAnsi="宋体" w:cs="宋体"/>
          <w:bCs/>
          <w:color w:val="auto"/>
          <w:sz w:val="24"/>
          <w:highlight w:val="none"/>
          <w:lang w:val="en-US" w:eastAsia="zh-CN"/>
        </w:rPr>
        <w:t>工作</w:t>
      </w:r>
      <w:r>
        <w:rPr>
          <w:rFonts w:hint="eastAsia" w:ascii="宋体" w:hAnsi="宋体" w:cs="宋体"/>
          <w:bCs/>
          <w:color w:val="auto"/>
          <w:sz w:val="24"/>
          <w:highlight w:val="none"/>
        </w:rPr>
        <w:t>义务。</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2、根据本合同的规定向甲方收取相关</w:t>
      </w:r>
      <w:r>
        <w:rPr>
          <w:rFonts w:hint="eastAsia" w:ascii="宋体" w:hAnsi="宋体" w:cs="宋体"/>
          <w:bCs/>
          <w:color w:val="auto"/>
          <w:sz w:val="24"/>
          <w:highlight w:val="none"/>
          <w:lang w:val="en-US" w:eastAsia="zh-CN"/>
        </w:rPr>
        <w:t>项目</w:t>
      </w:r>
      <w:r>
        <w:rPr>
          <w:rFonts w:hint="eastAsia" w:ascii="宋体" w:hAnsi="宋体" w:cs="宋体"/>
          <w:bCs/>
          <w:color w:val="auto"/>
          <w:sz w:val="24"/>
          <w:highlight w:val="none"/>
        </w:rPr>
        <w:t>费用，并有权在本项目管理范围内管理及合理使用。</w:t>
      </w:r>
    </w:p>
    <w:p>
      <w:pPr>
        <w:topLinePunct/>
        <w:adjustRightInd w:val="0"/>
        <w:spacing w:line="460" w:lineRule="exact"/>
        <w:ind w:firstLine="49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3、及时向甲方通告本项目</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范围内有关</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的重大事项，及时配合处理投诉。</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接受项目行业管理部门及政府有关部门的指导，接受甲方的监督。</w:t>
      </w:r>
    </w:p>
    <w:p>
      <w:pPr>
        <w:topLinePunct/>
        <w:adjustRightInd w:val="0"/>
        <w:spacing w:line="460" w:lineRule="exact"/>
        <w:ind w:firstLine="490" w:firstLineChars="200"/>
        <w:jc w:val="left"/>
        <w:textAlignment w:val="baseline"/>
        <w:rPr>
          <w:rFonts w:ascii="宋体" w:hAnsi="宋体" w:cs="宋体"/>
          <w:b/>
          <w:color w:val="auto"/>
          <w:sz w:val="24"/>
          <w:highlight w:val="none"/>
        </w:rPr>
      </w:pPr>
      <w:r>
        <w:rPr>
          <w:rFonts w:hint="eastAsia" w:ascii="宋体" w:hAnsi="宋体" w:cs="宋体"/>
          <w:bCs/>
          <w:color w:val="auto"/>
          <w:sz w:val="24"/>
          <w:highlight w:val="none"/>
        </w:rPr>
        <w:t>5、国家法律、法规所规定由乙方承担的其它责任。</w:t>
      </w:r>
    </w:p>
    <w:p>
      <w:pPr>
        <w:topLinePunct/>
        <w:spacing w:line="460" w:lineRule="exact"/>
        <w:rPr>
          <w:rFonts w:ascii="宋体" w:hAnsi="宋体" w:cs="宋体"/>
          <w:b/>
          <w:color w:val="auto"/>
          <w:sz w:val="24"/>
          <w:highlight w:val="none"/>
        </w:rPr>
      </w:pPr>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、违约责任</w:t>
      </w:r>
    </w:p>
    <w:p>
      <w:pPr>
        <w:topLinePunct/>
        <w:adjustRightInd w:val="0"/>
        <w:spacing w:line="460" w:lineRule="exact"/>
        <w:ind w:firstLine="49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1、甲乙双方必须遵守本合同并执行合同中的各项规定，保证本合同的正常履行。</w:t>
      </w:r>
    </w:p>
    <w:p>
      <w:pPr>
        <w:topLinePunct/>
        <w:adjustRightInd w:val="0"/>
        <w:spacing w:line="460" w:lineRule="exact"/>
        <w:ind w:firstLine="490" w:firstLineChars="200"/>
        <w:jc w:val="left"/>
        <w:textAlignment w:val="baseline"/>
        <w:rPr>
          <w:rFonts w:ascii="宋体" w:hAnsi="宋体" w:cs="宋体"/>
          <w:b/>
          <w:color w:val="auto"/>
          <w:sz w:val="24"/>
          <w:highlight w:val="none"/>
        </w:rPr>
      </w:pPr>
      <w:r>
        <w:rPr>
          <w:rFonts w:hint="eastAsia" w:ascii="宋体" w:hAnsi="宋体" w:cs="宋体"/>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opLinePunct/>
        <w:spacing w:line="460" w:lineRule="exact"/>
        <w:rPr>
          <w:rFonts w:ascii="宋体" w:hAnsi="宋体" w:cs="宋体"/>
          <w:b/>
          <w:color w:val="auto"/>
          <w:sz w:val="24"/>
          <w:highlight w:val="none"/>
        </w:rPr>
      </w:pPr>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rPr>
        <w:t>十、不可抗力事件处理</w:t>
      </w:r>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3、不可抗力事件延续30天以上，双方应通过友好协商，确定是否继续履行合同。</w:t>
      </w:r>
      <w:bookmarkStart w:id="96" w:name="_Toc247334846"/>
      <w:bookmarkStart w:id="97" w:name="_Toc239233919"/>
      <w:bookmarkStart w:id="98" w:name="_Toc239568423"/>
      <w:bookmarkStart w:id="99" w:name="_Toc251768867"/>
      <w:bookmarkStart w:id="100" w:name="_Toc212019599"/>
      <w:bookmarkStart w:id="101" w:name="_Toc185395254"/>
      <w:bookmarkStart w:id="102" w:name="_Toc225654649"/>
      <w:bookmarkStart w:id="103" w:name="_Toc232492933"/>
      <w:bookmarkStart w:id="104" w:name="_Toc241833908"/>
      <w:bookmarkStart w:id="105" w:name="_Toc237145411"/>
      <w:bookmarkStart w:id="106" w:name="_Toc225670756"/>
      <w:bookmarkStart w:id="107" w:name="_Toc225244857"/>
      <w:bookmarkStart w:id="108" w:name="_Toc211911353"/>
      <w:bookmarkStart w:id="109" w:name="_Toc211854454"/>
      <w:bookmarkStart w:id="110" w:name="_Toc238984980"/>
      <w:bookmarkStart w:id="111" w:name="_Toc286993792"/>
    </w:p>
    <w:p>
      <w:pPr>
        <w:topLinePunct/>
        <w:spacing w:line="460" w:lineRule="exact"/>
        <w:rPr>
          <w:rFonts w:ascii="宋体" w:hAnsi="宋体" w:cs="宋体"/>
          <w:b/>
          <w:color w:val="auto"/>
          <w:sz w:val="24"/>
          <w:highlight w:val="none"/>
        </w:rPr>
      </w:pPr>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、解决合同纠纷的方式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1、在执行本合同中发生的或与本合同有关的争端，双方应通过友好协商解决，经协商在60天内不能达成协议时，应提交成都仲裁委员会仲裁。</w:t>
      </w:r>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2、仲裁裁决应为最终决定，并对双方具有约束力。</w:t>
      </w:r>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3、除另有裁决外，仲裁费应由败诉方负担。</w:t>
      </w:r>
    </w:p>
    <w:p>
      <w:pPr>
        <w:tabs>
          <w:tab w:val="left" w:pos="0"/>
        </w:tabs>
        <w:topLinePunct/>
        <w:spacing w:line="460" w:lineRule="exact"/>
        <w:ind w:firstLine="490" w:firstLineChars="200"/>
        <w:rPr>
          <w:rFonts w:ascii="宋体" w:hAnsi="宋体" w:cs="宋体"/>
          <w:color w:val="auto"/>
          <w:sz w:val="24"/>
          <w:highlight w:val="none"/>
        </w:rPr>
      </w:pPr>
      <w:r>
        <w:rPr>
          <w:rFonts w:hint="eastAsia" w:ascii="宋体" w:hAnsi="宋体" w:cs="宋体"/>
          <w:color w:val="auto"/>
          <w:sz w:val="24"/>
          <w:highlight w:val="none"/>
        </w:rPr>
        <w:t>4、在仲裁期间，除正在进行仲裁部分外，合同其他部分继续执行。</w:t>
      </w:r>
    </w:p>
    <w:p>
      <w:pPr>
        <w:topLinePunct/>
        <w:spacing w:line="460" w:lineRule="exact"/>
        <w:rPr>
          <w:rFonts w:ascii="宋体" w:hAnsi="宋体" w:cs="宋体"/>
          <w:b/>
          <w:color w:val="auto"/>
          <w:sz w:val="24"/>
          <w:highlight w:val="none"/>
        </w:rPr>
      </w:pPr>
      <w:bookmarkStart w:id="112" w:name="_Toc283019219"/>
      <w:bookmarkStart w:id="113" w:name="_Toc282696231"/>
      <w:bookmarkStart w:id="114" w:name="_Toc211911354"/>
      <w:bookmarkStart w:id="115" w:name="_Toc225244858"/>
      <w:bookmarkStart w:id="116" w:name="_Toc247334847"/>
      <w:bookmarkStart w:id="117" w:name="_Toc251768868"/>
      <w:bookmarkStart w:id="118" w:name="_Toc239568424"/>
      <w:bookmarkStart w:id="119" w:name="_Toc241833909"/>
      <w:bookmarkStart w:id="120" w:name="_Toc238984981"/>
      <w:bookmarkStart w:id="121" w:name="_Toc225654650"/>
      <w:bookmarkStart w:id="122" w:name="_Toc212019600"/>
      <w:bookmarkStart w:id="123" w:name="_Toc286993793"/>
      <w:bookmarkStart w:id="124" w:name="_Toc232492934"/>
      <w:bookmarkStart w:id="125" w:name="_Toc185395255"/>
      <w:bookmarkStart w:id="126" w:name="_Toc225670757"/>
      <w:bookmarkStart w:id="127" w:name="_Toc211854455"/>
      <w:bookmarkStart w:id="128" w:name="_Toc239233920"/>
      <w:bookmarkStart w:id="129" w:name="_Toc237145412"/>
    </w:p>
    <w:p>
      <w:pPr>
        <w:topLinePunct/>
        <w:spacing w:line="460" w:lineRule="exac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color w:val="auto"/>
          <w:sz w:val="24"/>
          <w:highlight w:val="none"/>
        </w:rPr>
        <w:t>生效及其他</w:t>
      </w:r>
    </w:p>
    <w:p>
      <w:pPr>
        <w:pStyle w:val="52"/>
        <w:topLinePunct/>
        <w:spacing w:line="460" w:lineRule="exact"/>
        <w:ind w:firstLine="490"/>
        <w:rPr>
          <w:rFonts w:ascii="宋体" w:hAnsi="宋体" w:cs="宋体"/>
          <w:color w:val="auto"/>
          <w:sz w:val="24"/>
          <w:highlight w:val="none"/>
        </w:rPr>
      </w:pPr>
      <w:r>
        <w:rPr>
          <w:rFonts w:hint="eastAsia" w:ascii="宋体" w:hAnsi="宋体" w:cs="宋体"/>
          <w:color w:val="auto"/>
          <w:sz w:val="24"/>
          <w:highlight w:val="none"/>
        </w:rPr>
        <w:t>1、合同经双方法定代表人或授权委托代理人签字并加盖单位公章后生效。</w:t>
      </w:r>
    </w:p>
    <w:p>
      <w:pPr>
        <w:pStyle w:val="52"/>
        <w:topLinePunct/>
        <w:spacing w:line="460" w:lineRule="exact"/>
        <w:ind w:firstLine="49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2、合同执行中涉及采购资金和采购内容修改或补充的，须经监管部门审批，并签书面补充协议报监督管理部门备案，方可作为主合同不可分割的一部分。</w:t>
      </w:r>
    </w:p>
    <w:p>
      <w:pPr>
        <w:pStyle w:val="52"/>
        <w:topLinePunct/>
        <w:spacing w:line="460" w:lineRule="exact"/>
        <w:ind w:firstLine="490"/>
        <w:rPr>
          <w:rFonts w:ascii="宋体" w:hAnsi="宋体" w:cs="宋体"/>
          <w:color w:val="auto"/>
          <w:sz w:val="24"/>
          <w:highlight w:val="none"/>
        </w:rPr>
      </w:pPr>
      <w:r>
        <w:rPr>
          <w:rFonts w:hint="eastAsia" w:ascii="宋体" w:hAnsi="宋体" w:cs="宋体"/>
          <w:color w:val="auto"/>
          <w:sz w:val="24"/>
          <w:highlight w:val="none"/>
        </w:rPr>
        <w:t>3、本合同一式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份，自双方签章之日起起效。甲方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份，招标采购代理机构壹份，上级主管部门备案一份，具有同等法律效力。</w:t>
      </w:r>
    </w:p>
    <w:p>
      <w:pPr>
        <w:pStyle w:val="55"/>
        <w:spacing w:line="360" w:lineRule="auto"/>
        <w:ind w:firstLine="0" w:firstLineChars="0"/>
        <w:rPr>
          <w:rFonts w:ascii="宋体" w:hAnsi="宋体"/>
          <w:b/>
          <w:bCs/>
          <w:color w:val="auto"/>
          <w:highlight w:val="none"/>
        </w:rPr>
      </w:pPr>
    </w:p>
    <w:bookmarkEnd w:id="95"/>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甲方：   （盖章）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乙方：   （盖章）</w:t>
      </w:r>
    </w:p>
    <w:p>
      <w:pPr>
        <w:spacing w:line="400" w:lineRule="exact"/>
        <w:rPr>
          <w:rFonts w:ascii="宋体" w:hAnsi="宋体" w:cs="宋体"/>
          <w:color w:val="auto"/>
          <w:sz w:val="24"/>
          <w:highlight w:val="none"/>
        </w:rPr>
      </w:pPr>
      <w:r>
        <w:rPr>
          <w:rFonts w:hint="eastAsia" w:ascii="宋体" w:hAnsi="宋体" w:cs="宋体"/>
          <w:color w:val="auto"/>
          <w:sz w:val="24"/>
          <w:highlight w:val="none"/>
        </w:rPr>
        <w:t>法定代表人/单位负责人（授权代表）：  法定代表人/单位负责人（授权代表）：</w:t>
      </w:r>
    </w:p>
    <w:p>
      <w:pPr>
        <w:spacing w:line="400" w:lineRule="exact"/>
        <w:rPr>
          <w:rFonts w:ascii="宋体" w:hAnsi="宋体" w:cs="宋体"/>
          <w:color w:val="auto"/>
          <w:sz w:val="24"/>
          <w:highlight w:val="none"/>
        </w:rPr>
      </w:pPr>
      <w:r>
        <w:rPr>
          <w:rFonts w:hint="eastAsia" w:ascii="宋体" w:hAnsi="宋体" w:cs="宋体"/>
          <w:color w:val="auto"/>
          <w:sz w:val="24"/>
          <w:highlight w:val="none"/>
        </w:rPr>
        <w:t>地    址：                           地    址：</w:t>
      </w:r>
    </w:p>
    <w:p>
      <w:pPr>
        <w:spacing w:line="400" w:lineRule="exact"/>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400" w:lineRule="exact"/>
        <w:rPr>
          <w:rFonts w:ascii="宋体" w:hAnsi="宋体" w:cs="宋体"/>
          <w:color w:val="auto"/>
          <w:sz w:val="24"/>
          <w:highlight w:val="none"/>
        </w:rPr>
      </w:pPr>
      <w:r>
        <w:rPr>
          <w:rFonts w:hint="eastAsia" w:ascii="宋体" w:hAnsi="宋体" w:cs="宋体"/>
          <w:color w:val="auto"/>
          <w:sz w:val="24"/>
          <w:highlight w:val="none"/>
        </w:rPr>
        <w:t>账号：                               账号：</w:t>
      </w:r>
    </w:p>
    <w:p>
      <w:pPr>
        <w:spacing w:line="400" w:lineRule="exact"/>
        <w:rPr>
          <w:rFonts w:ascii="宋体" w:hAnsi="宋体" w:cs="宋体"/>
          <w:color w:val="auto"/>
          <w:sz w:val="24"/>
          <w:highlight w:val="none"/>
        </w:rPr>
      </w:pPr>
      <w:r>
        <w:rPr>
          <w:rFonts w:hint="eastAsia" w:ascii="宋体" w:hAnsi="宋体" w:cs="宋体"/>
          <w:color w:val="auto"/>
          <w:sz w:val="24"/>
          <w:highlight w:val="none"/>
        </w:rPr>
        <w:t>电    话：                           电    话：</w:t>
      </w:r>
    </w:p>
    <w:p>
      <w:pPr>
        <w:spacing w:line="400" w:lineRule="exact"/>
        <w:rPr>
          <w:rFonts w:ascii="宋体" w:hAnsi="宋体" w:cs="宋体"/>
          <w:color w:val="auto"/>
          <w:sz w:val="24"/>
          <w:highlight w:val="none"/>
        </w:rPr>
      </w:pPr>
      <w:r>
        <w:rPr>
          <w:rFonts w:hint="eastAsia" w:ascii="宋体" w:hAnsi="宋体" w:cs="宋体"/>
          <w:color w:val="auto"/>
          <w:sz w:val="24"/>
          <w:highlight w:val="none"/>
        </w:rPr>
        <w:t>传    真：                           传    真：</w:t>
      </w:r>
    </w:p>
    <w:p>
      <w:pPr>
        <w:numPr>
          <w:ilvl w:val="255"/>
          <w:numId w:val="0"/>
        </w:numPr>
        <w:spacing w:line="400" w:lineRule="exact"/>
        <w:rPr>
          <w:rFonts w:ascii="宋体" w:hAnsi="宋体" w:cs="宋体"/>
          <w:color w:val="auto"/>
          <w:sz w:val="24"/>
          <w:highlight w:val="none"/>
        </w:rPr>
      </w:pPr>
      <w:r>
        <w:rPr>
          <w:rFonts w:hint="eastAsia" w:ascii="宋体" w:hAnsi="宋体" w:cs="宋体"/>
          <w:color w:val="auto"/>
          <w:sz w:val="24"/>
          <w:highlight w:val="none"/>
        </w:rPr>
        <w:t xml:space="preserve">签约日期：XX年XX月XX日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签约日期：XX年XX月XX日</w:t>
      </w:r>
    </w:p>
    <w:p>
      <w:pPr>
        <w:spacing w:line="400" w:lineRule="exact"/>
        <w:rPr>
          <w:rFonts w:ascii="宋体" w:hAnsi="宋体" w:cs="宋体"/>
          <w:color w:val="auto"/>
          <w:highlight w:val="none"/>
        </w:rPr>
      </w:pPr>
    </w:p>
    <w:sectPr>
      <w:footerReference r:id="rId11" w:type="default"/>
      <w:pgSz w:w="11849" w:h="16781"/>
      <w:pgMar w:top="1440" w:right="1083" w:bottom="1440" w:left="1083" w:header="851" w:footer="992" w:gutter="0"/>
      <w:cols w:space="720" w:num="1"/>
      <w:titlePg/>
      <w:docGrid w:type="linesAndChars" w:linePitch="312"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40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48</w:t>
    </w:r>
    <w:r>
      <w:rPr>
        <w:lang w:val="zh-CN"/>
      </w:rP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47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53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2783"/>
      </w:tabs>
      <w:jc w:val="left"/>
      <w:rPr>
        <w:rFonts w:hint="eastAsia" w:ascii="隶书" w:hAnsi="隶书" w:eastAsia="隶书" w:cs="隶书"/>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9671E"/>
    <w:multiLevelType w:val="multilevel"/>
    <w:tmpl w:val="0689671E"/>
    <w:lvl w:ilvl="0" w:tentative="0">
      <w:start w:val="1"/>
      <w:numFmt w:val="chineseCountingThousand"/>
      <w:lvlText w:val="%1."/>
      <w:lvlJc w:val="left"/>
      <w:pPr>
        <w:tabs>
          <w:tab w:val="left" w:pos="567"/>
        </w:tabs>
        <w:ind w:left="567" w:hanging="425"/>
      </w:pPr>
      <w:rPr>
        <w:rFonts w:hint="eastAsia" w:ascii="黑体" w:eastAsia="黑体"/>
        <w:sz w:val="32"/>
        <w:szCs w:val="32"/>
      </w:rPr>
    </w:lvl>
    <w:lvl w:ilvl="1" w:tentative="0">
      <w:start w:val="1"/>
      <w:numFmt w:val="decimal"/>
      <w:pStyle w:val="59"/>
      <w:isLgl/>
      <w:lvlText w:val="%1.%2."/>
      <w:lvlJc w:val="left"/>
      <w:pPr>
        <w:tabs>
          <w:tab w:val="left" w:pos="709"/>
        </w:tabs>
        <w:ind w:left="709" w:hanging="567"/>
      </w:pPr>
      <w:rPr>
        <w:rFonts w:hint="eastAsia"/>
      </w:rPr>
    </w:lvl>
    <w:lvl w:ilvl="2" w:tentative="0">
      <w:start w:val="1"/>
      <w:numFmt w:val="decimal"/>
      <w:isLgl/>
      <w:lvlText w:val="%1.%2.%3."/>
      <w:lvlJc w:val="left"/>
      <w:pPr>
        <w:tabs>
          <w:tab w:val="left" w:pos="1419"/>
        </w:tabs>
        <w:ind w:left="1419" w:hanging="709"/>
      </w:pPr>
      <w:rPr>
        <w:rFonts w:hint="eastAsia"/>
      </w:rPr>
    </w:lvl>
    <w:lvl w:ilvl="3" w:tentative="0">
      <w:start w:val="1"/>
      <w:numFmt w:val="decimal"/>
      <w:isLgl/>
      <w:lvlText w:val="%1.%2.%3.%4."/>
      <w:lvlJc w:val="left"/>
      <w:pPr>
        <w:tabs>
          <w:tab w:val="left" w:pos="753"/>
        </w:tabs>
        <w:ind w:left="753" w:hanging="851"/>
      </w:pPr>
      <w:rPr>
        <w:rFonts w:hint="eastAsia"/>
      </w:rPr>
    </w:lvl>
    <w:lvl w:ilvl="4" w:tentative="0">
      <w:start w:val="1"/>
      <w:numFmt w:val="decimal"/>
      <w:lvlText w:val="%1.%2.%3.%4.%5."/>
      <w:lvlJc w:val="left"/>
      <w:pPr>
        <w:tabs>
          <w:tab w:val="left" w:pos="894"/>
        </w:tabs>
        <w:ind w:left="894" w:hanging="992"/>
      </w:pPr>
      <w:rPr>
        <w:rFonts w:hint="eastAsia"/>
      </w:rPr>
    </w:lvl>
    <w:lvl w:ilvl="5" w:tentative="0">
      <w:start w:val="1"/>
      <w:numFmt w:val="decimal"/>
      <w:lvlText w:val="%1.%2.%3.%4.%5.%6."/>
      <w:lvlJc w:val="left"/>
      <w:pPr>
        <w:tabs>
          <w:tab w:val="left" w:pos="1036"/>
        </w:tabs>
        <w:ind w:left="1036" w:hanging="1134"/>
      </w:pPr>
      <w:rPr>
        <w:rFonts w:hint="eastAsia"/>
      </w:rPr>
    </w:lvl>
    <w:lvl w:ilvl="6" w:tentative="0">
      <w:start w:val="1"/>
      <w:numFmt w:val="decimal"/>
      <w:lvlText w:val="%1.%2.%3.%4.%5.%6.%7."/>
      <w:lvlJc w:val="left"/>
      <w:pPr>
        <w:tabs>
          <w:tab w:val="left" w:pos="1178"/>
        </w:tabs>
        <w:ind w:left="1178" w:hanging="1276"/>
      </w:pPr>
      <w:rPr>
        <w:rFonts w:hint="eastAsia"/>
      </w:rPr>
    </w:lvl>
    <w:lvl w:ilvl="7" w:tentative="0">
      <w:start w:val="1"/>
      <w:numFmt w:val="decimal"/>
      <w:lvlText w:val="%1.%2.%3.%4.%5.%6.%7.%8."/>
      <w:lvlJc w:val="left"/>
      <w:pPr>
        <w:tabs>
          <w:tab w:val="left" w:pos="1320"/>
        </w:tabs>
        <w:ind w:left="1320" w:hanging="1418"/>
      </w:pPr>
      <w:rPr>
        <w:rFonts w:hint="eastAsia"/>
      </w:rPr>
    </w:lvl>
    <w:lvl w:ilvl="8" w:tentative="0">
      <w:start w:val="1"/>
      <w:numFmt w:val="decimal"/>
      <w:lvlText w:val="%1.%2.%3.%4.%5.%6.%7.%8.%9."/>
      <w:lvlJc w:val="left"/>
      <w:pPr>
        <w:tabs>
          <w:tab w:val="left" w:pos="1461"/>
        </w:tabs>
        <w:ind w:left="1461" w:hanging="1559"/>
      </w:pPr>
      <w:rPr>
        <w:rFonts w:hint="eastAsia"/>
      </w:rPr>
    </w:lvl>
  </w:abstractNum>
  <w:abstractNum w:abstractNumId="1">
    <w:nsid w:val="5A72F919"/>
    <w:multiLevelType w:val="singleLevel"/>
    <w:tmpl w:val="5A72F919"/>
    <w:lvl w:ilvl="0" w:tentative="0">
      <w:start w:val="1"/>
      <w:numFmt w:val="decimal"/>
      <w:suff w:val="nothing"/>
      <w:lvlText w:val="（%1）"/>
      <w:lvlJc w:val="left"/>
    </w:lvl>
  </w:abstractNum>
  <w:abstractNum w:abstractNumId="2">
    <w:nsid w:val="5AAA1758"/>
    <w:multiLevelType w:val="singleLevel"/>
    <w:tmpl w:val="5AAA1758"/>
    <w:lvl w:ilvl="0" w:tentative="0">
      <w:start w:val="1"/>
      <w:numFmt w:val="decimal"/>
      <w:suff w:val="nothing"/>
      <w:lvlText w:val="%1、"/>
      <w:lvlJc w:val="left"/>
    </w:lvl>
  </w:abstractNum>
  <w:abstractNum w:abstractNumId="3">
    <w:nsid w:val="5AAA17F5"/>
    <w:multiLevelType w:val="singleLevel"/>
    <w:tmpl w:val="5AAA17F5"/>
    <w:lvl w:ilvl="0" w:tentative="0">
      <w:start w:val="5"/>
      <w:numFmt w:val="decimal"/>
      <w:suff w:val="nothing"/>
      <w:lvlText w:val="%1、"/>
      <w:lvlJc w:val="left"/>
    </w:lvl>
  </w:abstractNum>
  <w:abstractNum w:abstractNumId="4">
    <w:nsid w:val="6B10D6ED"/>
    <w:multiLevelType w:val="singleLevel"/>
    <w:tmpl w:val="6B10D6ED"/>
    <w:lvl w:ilvl="0" w:tentative="0">
      <w:start w:val="2"/>
      <w:numFmt w:val="chineseCounting"/>
      <w:suff w:val="nothing"/>
      <w:lvlText w:val="%1、"/>
      <w:lvlJc w:val="left"/>
      <w:rPr>
        <w:rFonts w:hint="eastAsia"/>
      </w:rPr>
    </w:lvl>
  </w:abstractNum>
  <w:abstractNum w:abstractNumId="5">
    <w:nsid w:val="74A228DC"/>
    <w:multiLevelType w:val="multilevel"/>
    <w:tmpl w:val="74A228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rawingGridHorizontalSpacing w:val="10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2CC"/>
    <w:rsid w:val="00001660"/>
    <w:rsid w:val="00004B89"/>
    <w:rsid w:val="0000753B"/>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140"/>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75C4C"/>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5821"/>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6DD"/>
    <w:rsid w:val="000E0A69"/>
    <w:rsid w:val="000E583C"/>
    <w:rsid w:val="000E6476"/>
    <w:rsid w:val="000E6CD7"/>
    <w:rsid w:val="000F1A9B"/>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272AC"/>
    <w:rsid w:val="00131F14"/>
    <w:rsid w:val="001329EB"/>
    <w:rsid w:val="001345C8"/>
    <w:rsid w:val="0013590F"/>
    <w:rsid w:val="00136485"/>
    <w:rsid w:val="00136D53"/>
    <w:rsid w:val="0013701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025F"/>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785"/>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D68"/>
    <w:rsid w:val="002C67ED"/>
    <w:rsid w:val="002C7DDE"/>
    <w:rsid w:val="002D2A3C"/>
    <w:rsid w:val="002D44CE"/>
    <w:rsid w:val="002D5D7E"/>
    <w:rsid w:val="002D6435"/>
    <w:rsid w:val="002D73AE"/>
    <w:rsid w:val="002E1456"/>
    <w:rsid w:val="002E2016"/>
    <w:rsid w:val="002E3230"/>
    <w:rsid w:val="002E372F"/>
    <w:rsid w:val="002E38A1"/>
    <w:rsid w:val="002E53EC"/>
    <w:rsid w:val="002E7B45"/>
    <w:rsid w:val="002F0D48"/>
    <w:rsid w:val="002F3919"/>
    <w:rsid w:val="002F5A38"/>
    <w:rsid w:val="002F7453"/>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BEC"/>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4782"/>
    <w:rsid w:val="00375F76"/>
    <w:rsid w:val="0037714C"/>
    <w:rsid w:val="00381E2B"/>
    <w:rsid w:val="00382A01"/>
    <w:rsid w:val="00383BFA"/>
    <w:rsid w:val="00384FE6"/>
    <w:rsid w:val="003851CE"/>
    <w:rsid w:val="00385AB6"/>
    <w:rsid w:val="00386948"/>
    <w:rsid w:val="003924E0"/>
    <w:rsid w:val="00394101"/>
    <w:rsid w:val="00395323"/>
    <w:rsid w:val="00395A66"/>
    <w:rsid w:val="0039654A"/>
    <w:rsid w:val="0039658A"/>
    <w:rsid w:val="00396685"/>
    <w:rsid w:val="003A44B1"/>
    <w:rsid w:val="003B035C"/>
    <w:rsid w:val="003B07A2"/>
    <w:rsid w:val="003B0FE8"/>
    <w:rsid w:val="003B18B7"/>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3CC4"/>
    <w:rsid w:val="003F4247"/>
    <w:rsid w:val="003F4F88"/>
    <w:rsid w:val="003F7462"/>
    <w:rsid w:val="00400273"/>
    <w:rsid w:val="00400415"/>
    <w:rsid w:val="00400F8F"/>
    <w:rsid w:val="00401075"/>
    <w:rsid w:val="00403397"/>
    <w:rsid w:val="00404202"/>
    <w:rsid w:val="00405597"/>
    <w:rsid w:val="004056A0"/>
    <w:rsid w:val="004065C5"/>
    <w:rsid w:val="00406C2F"/>
    <w:rsid w:val="004071DA"/>
    <w:rsid w:val="0041210C"/>
    <w:rsid w:val="004142F8"/>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2832"/>
    <w:rsid w:val="004440D6"/>
    <w:rsid w:val="0044451B"/>
    <w:rsid w:val="00446C23"/>
    <w:rsid w:val="00447598"/>
    <w:rsid w:val="00447BD4"/>
    <w:rsid w:val="00447F5D"/>
    <w:rsid w:val="00450C35"/>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28D"/>
    <w:rsid w:val="004A2B4F"/>
    <w:rsid w:val="004A6596"/>
    <w:rsid w:val="004A7A3A"/>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06C"/>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3BBC"/>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79D"/>
    <w:rsid w:val="005B4B72"/>
    <w:rsid w:val="005B52B1"/>
    <w:rsid w:val="005B5AEB"/>
    <w:rsid w:val="005C08FA"/>
    <w:rsid w:val="005C0B06"/>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067"/>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173C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5CDB"/>
    <w:rsid w:val="006A66F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4355"/>
    <w:rsid w:val="00706597"/>
    <w:rsid w:val="007068BA"/>
    <w:rsid w:val="00707A0B"/>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3D14"/>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787"/>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4385"/>
    <w:rsid w:val="007B5FA8"/>
    <w:rsid w:val="007B6900"/>
    <w:rsid w:val="007B7884"/>
    <w:rsid w:val="007C0294"/>
    <w:rsid w:val="007C12CC"/>
    <w:rsid w:val="007C307B"/>
    <w:rsid w:val="007C3B0F"/>
    <w:rsid w:val="007C563E"/>
    <w:rsid w:val="007C6221"/>
    <w:rsid w:val="007D2B50"/>
    <w:rsid w:val="007D39E5"/>
    <w:rsid w:val="007D425A"/>
    <w:rsid w:val="007D54E9"/>
    <w:rsid w:val="007D5A19"/>
    <w:rsid w:val="007D6CCB"/>
    <w:rsid w:val="007E193D"/>
    <w:rsid w:val="007E31A6"/>
    <w:rsid w:val="007E37B8"/>
    <w:rsid w:val="007E4D85"/>
    <w:rsid w:val="007E4F90"/>
    <w:rsid w:val="007F00ED"/>
    <w:rsid w:val="007F2474"/>
    <w:rsid w:val="007F4386"/>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BCD"/>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3ABE"/>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47860"/>
    <w:rsid w:val="00951C0F"/>
    <w:rsid w:val="00953320"/>
    <w:rsid w:val="00954A78"/>
    <w:rsid w:val="0095527F"/>
    <w:rsid w:val="009618EC"/>
    <w:rsid w:val="00961BBD"/>
    <w:rsid w:val="0096295D"/>
    <w:rsid w:val="0096344C"/>
    <w:rsid w:val="00964479"/>
    <w:rsid w:val="00966E0E"/>
    <w:rsid w:val="00970D90"/>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2A40"/>
    <w:rsid w:val="009B520F"/>
    <w:rsid w:val="009B6998"/>
    <w:rsid w:val="009C17E0"/>
    <w:rsid w:val="009C1F4D"/>
    <w:rsid w:val="009C21A8"/>
    <w:rsid w:val="009C2ADE"/>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5E0F"/>
    <w:rsid w:val="009F60DF"/>
    <w:rsid w:val="00A030EA"/>
    <w:rsid w:val="00A04C2D"/>
    <w:rsid w:val="00A04DCF"/>
    <w:rsid w:val="00A066BF"/>
    <w:rsid w:val="00A068EB"/>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3D93"/>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50EB"/>
    <w:rsid w:val="00AD7006"/>
    <w:rsid w:val="00AD7780"/>
    <w:rsid w:val="00AD782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13B5"/>
    <w:rsid w:val="00BA3397"/>
    <w:rsid w:val="00BA606B"/>
    <w:rsid w:val="00BA78B0"/>
    <w:rsid w:val="00BA7DC3"/>
    <w:rsid w:val="00BB07B2"/>
    <w:rsid w:val="00BB3ECA"/>
    <w:rsid w:val="00BB40B8"/>
    <w:rsid w:val="00BB471C"/>
    <w:rsid w:val="00BB5F5E"/>
    <w:rsid w:val="00BB61E6"/>
    <w:rsid w:val="00BB62E8"/>
    <w:rsid w:val="00BB6415"/>
    <w:rsid w:val="00BB767C"/>
    <w:rsid w:val="00BC045F"/>
    <w:rsid w:val="00BC12CD"/>
    <w:rsid w:val="00BC144C"/>
    <w:rsid w:val="00BC1574"/>
    <w:rsid w:val="00BC1890"/>
    <w:rsid w:val="00BC229A"/>
    <w:rsid w:val="00BC507C"/>
    <w:rsid w:val="00BC5C4C"/>
    <w:rsid w:val="00BC6B83"/>
    <w:rsid w:val="00BC6DAD"/>
    <w:rsid w:val="00BD1145"/>
    <w:rsid w:val="00BD2189"/>
    <w:rsid w:val="00BD2936"/>
    <w:rsid w:val="00BD40F4"/>
    <w:rsid w:val="00BD5772"/>
    <w:rsid w:val="00BD7565"/>
    <w:rsid w:val="00BE174B"/>
    <w:rsid w:val="00BE2A3D"/>
    <w:rsid w:val="00BE2FED"/>
    <w:rsid w:val="00BE3611"/>
    <w:rsid w:val="00BE5099"/>
    <w:rsid w:val="00BE53FC"/>
    <w:rsid w:val="00BE573A"/>
    <w:rsid w:val="00BE63C9"/>
    <w:rsid w:val="00BE79E6"/>
    <w:rsid w:val="00BF26EE"/>
    <w:rsid w:val="00BF2A99"/>
    <w:rsid w:val="00BF2B76"/>
    <w:rsid w:val="00BF303D"/>
    <w:rsid w:val="00BF3D62"/>
    <w:rsid w:val="00BF3FF4"/>
    <w:rsid w:val="00BF5678"/>
    <w:rsid w:val="00BF6518"/>
    <w:rsid w:val="00BF7FC6"/>
    <w:rsid w:val="00C01DA2"/>
    <w:rsid w:val="00C020F9"/>
    <w:rsid w:val="00C0383A"/>
    <w:rsid w:val="00C03FE1"/>
    <w:rsid w:val="00C048B1"/>
    <w:rsid w:val="00C0520D"/>
    <w:rsid w:val="00C0539B"/>
    <w:rsid w:val="00C056EE"/>
    <w:rsid w:val="00C05C8D"/>
    <w:rsid w:val="00C07B14"/>
    <w:rsid w:val="00C1063E"/>
    <w:rsid w:val="00C10713"/>
    <w:rsid w:val="00C117A2"/>
    <w:rsid w:val="00C131FB"/>
    <w:rsid w:val="00C15341"/>
    <w:rsid w:val="00C20E1F"/>
    <w:rsid w:val="00C21258"/>
    <w:rsid w:val="00C215E3"/>
    <w:rsid w:val="00C22E94"/>
    <w:rsid w:val="00C234E3"/>
    <w:rsid w:val="00C37429"/>
    <w:rsid w:val="00C411E5"/>
    <w:rsid w:val="00C417AD"/>
    <w:rsid w:val="00C452B7"/>
    <w:rsid w:val="00C45A12"/>
    <w:rsid w:val="00C46DC8"/>
    <w:rsid w:val="00C500B1"/>
    <w:rsid w:val="00C500DE"/>
    <w:rsid w:val="00C51B02"/>
    <w:rsid w:val="00C51F56"/>
    <w:rsid w:val="00C53753"/>
    <w:rsid w:val="00C53BA5"/>
    <w:rsid w:val="00C53E7F"/>
    <w:rsid w:val="00C53F5E"/>
    <w:rsid w:val="00C543EA"/>
    <w:rsid w:val="00C56C4B"/>
    <w:rsid w:val="00C577CE"/>
    <w:rsid w:val="00C60BB5"/>
    <w:rsid w:val="00C62FBC"/>
    <w:rsid w:val="00C630C0"/>
    <w:rsid w:val="00C65FAA"/>
    <w:rsid w:val="00C6749A"/>
    <w:rsid w:val="00C7141C"/>
    <w:rsid w:val="00C7317A"/>
    <w:rsid w:val="00C74A60"/>
    <w:rsid w:val="00C76857"/>
    <w:rsid w:val="00C77B4B"/>
    <w:rsid w:val="00C77FD7"/>
    <w:rsid w:val="00C81ECD"/>
    <w:rsid w:val="00C827FF"/>
    <w:rsid w:val="00C84EF2"/>
    <w:rsid w:val="00C8530A"/>
    <w:rsid w:val="00C8595C"/>
    <w:rsid w:val="00C87CFF"/>
    <w:rsid w:val="00C91EEF"/>
    <w:rsid w:val="00C92B04"/>
    <w:rsid w:val="00C93302"/>
    <w:rsid w:val="00C937F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168"/>
    <w:rsid w:val="00CC02B6"/>
    <w:rsid w:val="00CC038A"/>
    <w:rsid w:val="00CC0515"/>
    <w:rsid w:val="00CC0BA0"/>
    <w:rsid w:val="00CC1EDA"/>
    <w:rsid w:val="00CC218A"/>
    <w:rsid w:val="00CC3230"/>
    <w:rsid w:val="00CC4394"/>
    <w:rsid w:val="00CC44AE"/>
    <w:rsid w:val="00CC5671"/>
    <w:rsid w:val="00CC68F4"/>
    <w:rsid w:val="00CC770D"/>
    <w:rsid w:val="00CD1E58"/>
    <w:rsid w:val="00CD27D3"/>
    <w:rsid w:val="00CD3365"/>
    <w:rsid w:val="00CD471E"/>
    <w:rsid w:val="00CD482D"/>
    <w:rsid w:val="00CD48A2"/>
    <w:rsid w:val="00CD4FD0"/>
    <w:rsid w:val="00CD7A14"/>
    <w:rsid w:val="00CE0E5F"/>
    <w:rsid w:val="00CE2FCF"/>
    <w:rsid w:val="00CE318F"/>
    <w:rsid w:val="00CE5461"/>
    <w:rsid w:val="00CE6B10"/>
    <w:rsid w:val="00CE6C4B"/>
    <w:rsid w:val="00CF2A3C"/>
    <w:rsid w:val="00CF36D8"/>
    <w:rsid w:val="00CF43C8"/>
    <w:rsid w:val="00CF46D5"/>
    <w:rsid w:val="00CF4736"/>
    <w:rsid w:val="00CF7ADB"/>
    <w:rsid w:val="00D0033D"/>
    <w:rsid w:val="00D006B0"/>
    <w:rsid w:val="00D00BE4"/>
    <w:rsid w:val="00D02560"/>
    <w:rsid w:val="00D04121"/>
    <w:rsid w:val="00D051E7"/>
    <w:rsid w:val="00D05DD3"/>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30B"/>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3D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30C"/>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DF7AF6"/>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5A3E"/>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695B"/>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5232"/>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0A97"/>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4FC"/>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A80"/>
    <w:rsid w:val="00F77C8E"/>
    <w:rsid w:val="00F80464"/>
    <w:rsid w:val="00F8342E"/>
    <w:rsid w:val="00F83D75"/>
    <w:rsid w:val="00F8456D"/>
    <w:rsid w:val="00F847C6"/>
    <w:rsid w:val="00F87CC2"/>
    <w:rsid w:val="00F9063F"/>
    <w:rsid w:val="00F90B81"/>
    <w:rsid w:val="00F912E2"/>
    <w:rsid w:val="00F91DD6"/>
    <w:rsid w:val="00F9528D"/>
    <w:rsid w:val="00F96261"/>
    <w:rsid w:val="00F96F2A"/>
    <w:rsid w:val="00F97818"/>
    <w:rsid w:val="00FA1933"/>
    <w:rsid w:val="00FA271F"/>
    <w:rsid w:val="00FA5C81"/>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0E6D34"/>
    <w:rsid w:val="011C202A"/>
    <w:rsid w:val="014903F9"/>
    <w:rsid w:val="01922A36"/>
    <w:rsid w:val="01C67325"/>
    <w:rsid w:val="01E53746"/>
    <w:rsid w:val="01FD3EB8"/>
    <w:rsid w:val="020C0328"/>
    <w:rsid w:val="020D5957"/>
    <w:rsid w:val="02124566"/>
    <w:rsid w:val="02237557"/>
    <w:rsid w:val="026435F6"/>
    <w:rsid w:val="026A46B5"/>
    <w:rsid w:val="028E67B6"/>
    <w:rsid w:val="02A24DD0"/>
    <w:rsid w:val="02B90D98"/>
    <w:rsid w:val="02C03BF0"/>
    <w:rsid w:val="02FE6E47"/>
    <w:rsid w:val="03201B75"/>
    <w:rsid w:val="0323337A"/>
    <w:rsid w:val="0326079A"/>
    <w:rsid w:val="032F6F2C"/>
    <w:rsid w:val="03384F8E"/>
    <w:rsid w:val="03437491"/>
    <w:rsid w:val="034A31D4"/>
    <w:rsid w:val="03542C0B"/>
    <w:rsid w:val="03880AFC"/>
    <w:rsid w:val="039C4A75"/>
    <w:rsid w:val="03A7050F"/>
    <w:rsid w:val="03BB024E"/>
    <w:rsid w:val="03CB2589"/>
    <w:rsid w:val="04001AA6"/>
    <w:rsid w:val="04006717"/>
    <w:rsid w:val="04506235"/>
    <w:rsid w:val="045752D5"/>
    <w:rsid w:val="04841B7B"/>
    <w:rsid w:val="04EC7652"/>
    <w:rsid w:val="052623C2"/>
    <w:rsid w:val="05274886"/>
    <w:rsid w:val="05330099"/>
    <w:rsid w:val="053522AC"/>
    <w:rsid w:val="05356F9B"/>
    <w:rsid w:val="0552727C"/>
    <w:rsid w:val="055E7AD0"/>
    <w:rsid w:val="056173FF"/>
    <w:rsid w:val="058F477A"/>
    <w:rsid w:val="05984056"/>
    <w:rsid w:val="05B16777"/>
    <w:rsid w:val="05DA1620"/>
    <w:rsid w:val="05F04A85"/>
    <w:rsid w:val="06166C59"/>
    <w:rsid w:val="061F79BA"/>
    <w:rsid w:val="0627615B"/>
    <w:rsid w:val="062A6E9E"/>
    <w:rsid w:val="06386255"/>
    <w:rsid w:val="063D06F0"/>
    <w:rsid w:val="063D4CF5"/>
    <w:rsid w:val="065B5641"/>
    <w:rsid w:val="06A1517A"/>
    <w:rsid w:val="06C851AE"/>
    <w:rsid w:val="06C91A4C"/>
    <w:rsid w:val="06D54EBC"/>
    <w:rsid w:val="077836E6"/>
    <w:rsid w:val="07AB2899"/>
    <w:rsid w:val="081C0276"/>
    <w:rsid w:val="08296B8B"/>
    <w:rsid w:val="08371A93"/>
    <w:rsid w:val="08440AF0"/>
    <w:rsid w:val="08490712"/>
    <w:rsid w:val="084A4065"/>
    <w:rsid w:val="084F3450"/>
    <w:rsid w:val="08654F0F"/>
    <w:rsid w:val="08C71E96"/>
    <w:rsid w:val="08D64D25"/>
    <w:rsid w:val="08F73396"/>
    <w:rsid w:val="09045BDB"/>
    <w:rsid w:val="09067CF9"/>
    <w:rsid w:val="092A2FCE"/>
    <w:rsid w:val="092B2642"/>
    <w:rsid w:val="092C5D49"/>
    <w:rsid w:val="0960477C"/>
    <w:rsid w:val="09742D76"/>
    <w:rsid w:val="09930134"/>
    <w:rsid w:val="099311C7"/>
    <w:rsid w:val="09EF30DB"/>
    <w:rsid w:val="09F36F52"/>
    <w:rsid w:val="09F40A58"/>
    <w:rsid w:val="0A096C0B"/>
    <w:rsid w:val="0A3A2531"/>
    <w:rsid w:val="0A481597"/>
    <w:rsid w:val="0A4F0371"/>
    <w:rsid w:val="0A950CF5"/>
    <w:rsid w:val="0AC84BF1"/>
    <w:rsid w:val="0AD46E82"/>
    <w:rsid w:val="0AD66857"/>
    <w:rsid w:val="0B204F7C"/>
    <w:rsid w:val="0B3502E7"/>
    <w:rsid w:val="0B3A12C6"/>
    <w:rsid w:val="0B4637BE"/>
    <w:rsid w:val="0B587788"/>
    <w:rsid w:val="0B5F5DBF"/>
    <w:rsid w:val="0B90631E"/>
    <w:rsid w:val="0B90723E"/>
    <w:rsid w:val="0BF75D40"/>
    <w:rsid w:val="0BFE1D46"/>
    <w:rsid w:val="0C121516"/>
    <w:rsid w:val="0C2B4001"/>
    <w:rsid w:val="0C4D2604"/>
    <w:rsid w:val="0C527AF3"/>
    <w:rsid w:val="0C87557C"/>
    <w:rsid w:val="0C9E37E6"/>
    <w:rsid w:val="0CC36517"/>
    <w:rsid w:val="0CC779B0"/>
    <w:rsid w:val="0CC85632"/>
    <w:rsid w:val="0CCE5410"/>
    <w:rsid w:val="0CDC2FDC"/>
    <w:rsid w:val="0CE12F34"/>
    <w:rsid w:val="0CE86C02"/>
    <w:rsid w:val="0D3006E3"/>
    <w:rsid w:val="0D662A27"/>
    <w:rsid w:val="0D7627D1"/>
    <w:rsid w:val="0DB64438"/>
    <w:rsid w:val="0DC524F0"/>
    <w:rsid w:val="0DEB29A3"/>
    <w:rsid w:val="0DFC1D83"/>
    <w:rsid w:val="0E120F3A"/>
    <w:rsid w:val="0E1E386C"/>
    <w:rsid w:val="0EBE5754"/>
    <w:rsid w:val="0EC83236"/>
    <w:rsid w:val="0ECC3D0B"/>
    <w:rsid w:val="0ECE29F6"/>
    <w:rsid w:val="0F094B7B"/>
    <w:rsid w:val="0F0C4E7B"/>
    <w:rsid w:val="0F3A5892"/>
    <w:rsid w:val="0F400D0D"/>
    <w:rsid w:val="0F4D5A89"/>
    <w:rsid w:val="0F5E4541"/>
    <w:rsid w:val="0F681C5F"/>
    <w:rsid w:val="0F986B08"/>
    <w:rsid w:val="0FA17C81"/>
    <w:rsid w:val="0FA47D8D"/>
    <w:rsid w:val="0FDA15FE"/>
    <w:rsid w:val="100145F8"/>
    <w:rsid w:val="100D1B5B"/>
    <w:rsid w:val="101611DE"/>
    <w:rsid w:val="10207C03"/>
    <w:rsid w:val="10235424"/>
    <w:rsid w:val="10973A9C"/>
    <w:rsid w:val="10AE4FCD"/>
    <w:rsid w:val="10D051FD"/>
    <w:rsid w:val="111F65A2"/>
    <w:rsid w:val="11376513"/>
    <w:rsid w:val="118C0436"/>
    <w:rsid w:val="118C0A82"/>
    <w:rsid w:val="119C2FAD"/>
    <w:rsid w:val="11F87B65"/>
    <w:rsid w:val="12050D55"/>
    <w:rsid w:val="122B0030"/>
    <w:rsid w:val="124373C7"/>
    <w:rsid w:val="125016B7"/>
    <w:rsid w:val="12533CCA"/>
    <w:rsid w:val="1267479B"/>
    <w:rsid w:val="12AD4CEA"/>
    <w:rsid w:val="12B52700"/>
    <w:rsid w:val="12B67142"/>
    <w:rsid w:val="13287D5B"/>
    <w:rsid w:val="132C67E6"/>
    <w:rsid w:val="13341918"/>
    <w:rsid w:val="13445F5C"/>
    <w:rsid w:val="13743EF3"/>
    <w:rsid w:val="138C3BA9"/>
    <w:rsid w:val="138E01CD"/>
    <w:rsid w:val="13A355DC"/>
    <w:rsid w:val="13AF3D65"/>
    <w:rsid w:val="13F15301"/>
    <w:rsid w:val="140B0167"/>
    <w:rsid w:val="145A1A72"/>
    <w:rsid w:val="14BC044C"/>
    <w:rsid w:val="14BF7BEC"/>
    <w:rsid w:val="14C31775"/>
    <w:rsid w:val="14C42E33"/>
    <w:rsid w:val="14DD493A"/>
    <w:rsid w:val="14E64D51"/>
    <w:rsid w:val="1502023F"/>
    <w:rsid w:val="15386086"/>
    <w:rsid w:val="15704EF6"/>
    <w:rsid w:val="15B21CC1"/>
    <w:rsid w:val="15DA2536"/>
    <w:rsid w:val="15DA4E49"/>
    <w:rsid w:val="161606D1"/>
    <w:rsid w:val="162B0014"/>
    <w:rsid w:val="164546CF"/>
    <w:rsid w:val="16542101"/>
    <w:rsid w:val="167830FB"/>
    <w:rsid w:val="167F5CEF"/>
    <w:rsid w:val="16BB3D1A"/>
    <w:rsid w:val="16BE5118"/>
    <w:rsid w:val="16C267DE"/>
    <w:rsid w:val="16FD33EB"/>
    <w:rsid w:val="1701398E"/>
    <w:rsid w:val="170D612B"/>
    <w:rsid w:val="1711341D"/>
    <w:rsid w:val="17232595"/>
    <w:rsid w:val="173B57F8"/>
    <w:rsid w:val="178A599D"/>
    <w:rsid w:val="17977688"/>
    <w:rsid w:val="17A44C04"/>
    <w:rsid w:val="17A52FE0"/>
    <w:rsid w:val="17BC17EA"/>
    <w:rsid w:val="17BD5535"/>
    <w:rsid w:val="17E21151"/>
    <w:rsid w:val="17F861D3"/>
    <w:rsid w:val="180151FD"/>
    <w:rsid w:val="181C1455"/>
    <w:rsid w:val="182D433E"/>
    <w:rsid w:val="1848672A"/>
    <w:rsid w:val="1852538E"/>
    <w:rsid w:val="18812D7C"/>
    <w:rsid w:val="18885C38"/>
    <w:rsid w:val="18905BFE"/>
    <w:rsid w:val="18A13D45"/>
    <w:rsid w:val="19486184"/>
    <w:rsid w:val="19660F78"/>
    <w:rsid w:val="196E503F"/>
    <w:rsid w:val="197424C5"/>
    <w:rsid w:val="198001E5"/>
    <w:rsid w:val="198E5CAE"/>
    <w:rsid w:val="19A154BA"/>
    <w:rsid w:val="19CC068C"/>
    <w:rsid w:val="19E0090D"/>
    <w:rsid w:val="1A162B3E"/>
    <w:rsid w:val="1A452A3C"/>
    <w:rsid w:val="1A4A476F"/>
    <w:rsid w:val="1A5474FF"/>
    <w:rsid w:val="1A5576F2"/>
    <w:rsid w:val="1A6505DF"/>
    <w:rsid w:val="1A784BC1"/>
    <w:rsid w:val="1AD0669D"/>
    <w:rsid w:val="1AF515B3"/>
    <w:rsid w:val="1B0D5AD3"/>
    <w:rsid w:val="1B2741C2"/>
    <w:rsid w:val="1B391768"/>
    <w:rsid w:val="1B6333B9"/>
    <w:rsid w:val="1B664B1E"/>
    <w:rsid w:val="1B773105"/>
    <w:rsid w:val="1B777563"/>
    <w:rsid w:val="1B7E6441"/>
    <w:rsid w:val="1B822906"/>
    <w:rsid w:val="1B9F42CA"/>
    <w:rsid w:val="1BA40DA4"/>
    <w:rsid w:val="1BAE74E7"/>
    <w:rsid w:val="1BB33A7D"/>
    <w:rsid w:val="1BDA7ABD"/>
    <w:rsid w:val="1BE71BCE"/>
    <w:rsid w:val="1C0616D1"/>
    <w:rsid w:val="1C0717F9"/>
    <w:rsid w:val="1C313074"/>
    <w:rsid w:val="1C322833"/>
    <w:rsid w:val="1C3826E2"/>
    <w:rsid w:val="1C3C7C2A"/>
    <w:rsid w:val="1C3E7085"/>
    <w:rsid w:val="1C6D53E6"/>
    <w:rsid w:val="1C904650"/>
    <w:rsid w:val="1C9A6F63"/>
    <w:rsid w:val="1CA34FA4"/>
    <w:rsid w:val="1CBD5259"/>
    <w:rsid w:val="1CBE644C"/>
    <w:rsid w:val="1CC55646"/>
    <w:rsid w:val="1CC903BB"/>
    <w:rsid w:val="1D045795"/>
    <w:rsid w:val="1D1120F1"/>
    <w:rsid w:val="1D156A9F"/>
    <w:rsid w:val="1D232721"/>
    <w:rsid w:val="1D394389"/>
    <w:rsid w:val="1D655790"/>
    <w:rsid w:val="1D6D625D"/>
    <w:rsid w:val="1D7D0D28"/>
    <w:rsid w:val="1D8243C3"/>
    <w:rsid w:val="1DA00EEE"/>
    <w:rsid w:val="1DA978E3"/>
    <w:rsid w:val="1DC12E8E"/>
    <w:rsid w:val="1DD40620"/>
    <w:rsid w:val="1DDB484B"/>
    <w:rsid w:val="1DFE7BD5"/>
    <w:rsid w:val="1DFF7D6A"/>
    <w:rsid w:val="1E0B6F30"/>
    <w:rsid w:val="1E0B72AA"/>
    <w:rsid w:val="1E2546BB"/>
    <w:rsid w:val="1E5D38AB"/>
    <w:rsid w:val="1E7A662A"/>
    <w:rsid w:val="1E9E1725"/>
    <w:rsid w:val="1EAB72FF"/>
    <w:rsid w:val="1EC86370"/>
    <w:rsid w:val="1EF73D00"/>
    <w:rsid w:val="1F0526DE"/>
    <w:rsid w:val="1F092265"/>
    <w:rsid w:val="1F901715"/>
    <w:rsid w:val="1FC009D4"/>
    <w:rsid w:val="200007F7"/>
    <w:rsid w:val="2011136A"/>
    <w:rsid w:val="201958BB"/>
    <w:rsid w:val="202F42BA"/>
    <w:rsid w:val="20376A17"/>
    <w:rsid w:val="20435328"/>
    <w:rsid w:val="20505046"/>
    <w:rsid w:val="20935E83"/>
    <w:rsid w:val="20A52965"/>
    <w:rsid w:val="20AE73F4"/>
    <w:rsid w:val="20B42BD9"/>
    <w:rsid w:val="20DF446B"/>
    <w:rsid w:val="20F31062"/>
    <w:rsid w:val="21175510"/>
    <w:rsid w:val="215F43C0"/>
    <w:rsid w:val="218B1A8C"/>
    <w:rsid w:val="21AB17E9"/>
    <w:rsid w:val="21B516EC"/>
    <w:rsid w:val="21B942F6"/>
    <w:rsid w:val="21BA1F4F"/>
    <w:rsid w:val="21C34F1A"/>
    <w:rsid w:val="21CD012F"/>
    <w:rsid w:val="21CE41D0"/>
    <w:rsid w:val="21CF1583"/>
    <w:rsid w:val="22147335"/>
    <w:rsid w:val="22182F0A"/>
    <w:rsid w:val="221A72AA"/>
    <w:rsid w:val="223B58B1"/>
    <w:rsid w:val="225A28D5"/>
    <w:rsid w:val="22821606"/>
    <w:rsid w:val="22C95FBF"/>
    <w:rsid w:val="22DA7904"/>
    <w:rsid w:val="22EB2C9D"/>
    <w:rsid w:val="22F93624"/>
    <w:rsid w:val="23194F56"/>
    <w:rsid w:val="23354EED"/>
    <w:rsid w:val="23411FF9"/>
    <w:rsid w:val="235A5828"/>
    <w:rsid w:val="23733AE8"/>
    <w:rsid w:val="237B7BF0"/>
    <w:rsid w:val="239B0B18"/>
    <w:rsid w:val="23AD2162"/>
    <w:rsid w:val="23BC1286"/>
    <w:rsid w:val="23BD3A7B"/>
    <w:rsid w:val="23CE316E"/>
    <w:rsid w:val="23D0215E"/>
    <w:rsid w:val="23D2268D"/>
    <w:rsid w:val="23E86116"/>
    <w:rsid w:val="24091565"/>
    <w:rsid w:val="244C76BC"/>
    <w:rsid w:val="246607A8"/>
    <w:rsid w:val="24664989"/>
    <w:rsid w:val="248B3896"/>
    <w:rsid w:val="24BE474B"/>
    <w:rsid w:val="250E43C5"/>
    <w:rsid w:val="25174CA8"/>
    <w:rsid w:val="255964C9"/>
    <w:rsid w:val="257244DE"/>
    <w:rsid w:val="25770400"/>
    <w:rsid w:val="25B00E9A"/>
    <w:rsid w:val="26050A77"/>
    <w:rsid w:val="2625345C"/>
    <w:rsid w:val="263B06DB"/>
    <w:rsid w:val="26476E9C"/>
    <w:rsid w:val="26963B7A"/>
    <w:rsid w:val="26D96E41"/>
    <w:rsid w:val="26F222D8"/>
    <w:rsid w:val="26F817A2"/>
    <w:rsid w:val="27027DFD"/>
    <w:rsid w:val="27213DC0"/>
    <w:rsid w:val="27280AF8"/>
    <w:rsid w:val="27831B69"/>
    <w:rsid w:val="27B34C0D"/>
    <w:rsid w:val="27CA13CE"/>
    <w:rsid w:val="27D369CB"/>
    <w:rsid w:val="28847104"/>
    <w:rsid w:val="2888202C"/>
    <w:rsid w:val="289E0137"/>
    <w:rsid w:val="294649D5"/>
    <w:rsid w:val="295B40E1"/>
    <w:rsid w:val="29640927"/>
    <w:rsid w:val="298207CE"/>
    <w:rsid w:val="29920884"/>
    <w:rsid w:val="29A633E9"/>
    <w:rsid w:val="29B308FA"/>
    <w:rsid w:val="29C93ADC"/>
    <w:rsid w:val="29D6323A"/>
    <w:rsid w:val="29FB4F1F"/>
    <w:rsid w:val="2A0C014D"/>
    <w:rsid w:val="2A184BC1"/>
    <w:rsid w:val="2A1E125D"/>
    <w:rsid w:val="2A26533D"/>
    <w:rsid w:val="2A3D6977"/>
    <w:rsid w:val="2A7D3CA5"/>
    <w:rsid w:val="2A8D0D94"/>
    <w:rsid w:val="2A9A60E1"/>
    <w:rsid w:val="2AC34862"/>
    <w:rsid w:val="2AEB29A7"/>
    <w:rsid w:val="2B05533A"/>
    <w:rsid w:val="2B1B6103"/>
    <w:rsid w:val="2B1D2AD9"/>
    <w:rsid w:val="2B1E14EA"/>
    <w:rsid w:val="2B22564C"/>
    <w:rsid w:val="2B2F7853"/>
    <w:rsid w:val="2BBC63FF"/>
    <w:rsid w:val="2BCF38CD"/>
    <w:rsid w:val="2BE20962"/>
    <w:rsid w:val="2BF214A0"/>
    <w:rsid w:val="2BFD341A"/>
    <w:rsid w:val="2C0B0FBB"/>
    <w:rsid w:val="2C6F073C"/>
    <w:rsid w:val="2CA84471"/>
    <w:rsid w:val="2CAB4F86"/>
    <w:rsid w:val="2CBF28BA"/>
    <w:rsid w:val="2CC2015A"/>
    <w:rsid w:val="2CDD4C69"/>
    <w:rsid w:val="2CE84CDE"/>
    <w:rsid w:val="2CEC20FD"/>
    <w:rsid w:val="2D28158B"/>
    <w:rsid w:val="2D930085"/>
    <w:rsid w:val="2D9C481B"/>
    <w:rsid w:val="2DA01E52"/>
    <w:rsid w:val="2DB21009"/>
    <w:rsid w:val="2DD9585E"/>
    <w:rsid w:val="2DEA4C28"/>
    <w:rsid w:val="2DF91024"/>
    <w:rsid w:val="2E021B81"/>
    <w:rsid w:val="2E232707"/>
    <w:rsid w:val="2E2B2AAB"/>
    <w:rsid w:val="2E7E1F4C"/>
    <w:rsid w:val="2E8E37B6"/>
    <w:rsid w:val="2E8E7D03"/>
    <w:rsid w:val="2E9B5862"/>
    <w:rsid w:val="2EA06B29"/>
    <w:rsid w:val="2EB037A5"/>
    <w:rsid w:val="2EBD6B35"/>
    <w:rsid w:val="2EC175AA"/>
    <w:rsid w:val="2EDC7688"/>
    <w:rsid w:val="2F063D43"/>
    <w:rsid w:val="2F1838DF"/>
    <w:rsid w:val="2F1E525A"/>
    <w:rsid w:val="2F4506AE"/>
    <w:rsid w:val="2F8B3C2B"/>
    <w:rsid w:val="2FC52139"/>
    <w:rsid w:val="2FD9434A"/>
    <w:rsid w:val="2FFC3B50"/>
    <w:rsid w:val="30027793"/>
    <w:rsid w:val="30236861"/>
    <w:rsid w:val="30541B2F"/>
    <w:rsid w:val="305957A5"/>
    <w:rsid w:val="30B518F6"/>
    <w:rsid w:val="30C12367"/>
    <w:rsid w:val="30F837C8"/>
    <w:rsid w:val="30FE1815"/>
    <w:rsid w:val="31102393"/>
    <w:rsid w:val="31254604"/>
    <w:rsid w:val="314E58B8"/>
    <w:rsid w:val="31914C8E"/>
    <w:rsid w:val="31994A6D"/>
    <w:rsid w:val="31B25EAD"/>
    <w:rsid w:val="31D77000"/>
    <w:rsid w:val="31F97C04"/>
    <w:rsid w:val="322B22F1"/>
    <w:rsid w:val="32363BBA"/>
    <w:rsid w:val="3237077C"/>
    <w:rsid w:val="32484A73"/>
    <w:rsid w:val="325877BC"/>
    <w:rsid w:val="325D0E9B"/>
    <w:rsid w:val="329B7F5D"/>
    <w:rsid w:val="32EC4D69"/>
    <w:rsid w:val="330077F5"/>
    <w:rsid w:val="33083699"/>
    <w:rsid w:val="330A1F4A"/>
    <w:rsid w:val="331C3542"/>
    <w:rsid w:val="331F3172"/>
    <w:rsid w:val="336A2764"/>
    <w:rsid w:val="33754D83"/>
    <w:rsid w:val="33791520"/>
    <w:rsid w:val="33976ABE"/>
    <w:rsid w:val="33B60818"/>
    <w:rsid w:val="33C5278B"/>
    <w:rsid w:val="33E46392"/>
    <w:rsid w:val="33F5462B"/>
    <w:rsid w:val="341C399C"/>
    <w:rsid w:val="341F4EF7"/>
    <w:rsid w:val="342353DC"/>
    <w:rsid w:val="342A06AA"/>
    <w:rsid w:val="342A1040"/>
    <w:rsid w:val="34330EAF"/>
    <w:rsid w:val="343B3AE1"/>
    <w:rsid w:val="344A7A05"/>
    <w:rsid w:val="34587F6B"/>
    <w:rsid w:val="34722339"/>
    <w:rsid w:val="34733466"/>
    <w:rsid w:val="349B1C67"/>
    <w:rsid w:val="34C1095D"/>
    <w:rsid w:val="34C32704"/>
    <w:rsid w:val="3505772D"/>
    <w:rsid w:val="35151DB2"/>
    <w:rsid w:val="354536F9"/>
    <w:rsid w:val="35481869"/>
    <w:rsid w:val="359555CA"/>
    <w:rsid w:val="35B35AEA"/>
    <w:rsid w:val="36127702"/>
    <w:rsid w:val="36190CB8"/>
    <w:rsid w:val="36193860"/>
    <w:rsid w:val="3622557C"/>
    <w:rsid w:val="36675654"/>
    <w:rsid w:val="366771E7"/>
    <w:rsid w:val="366A3695"/>
    <w:rsid w:val="36A931EC"/>
    <w:rsid w:val="36AF1848"/>
    <w:rsid w:val="36B34940"/>
    <w:rsid w:val="36BA61F9"/>
    <w:rsid w:val="36C142B1"/>
    <w:rsid w:val="36E7306B"/>
    <w:rsid w:val="36F74059"/>
    <w:rsid w:val="36F80D83"/>
    <w:rsid w:val="370450E7"/>
    <w:rsid w:val="37333BEF"/>
    <w:rsid w:val="37B7101E"/>
    <w:rsid w:val="37BB4DC0"/>
    <w:rsid w:val="37FA62B6"/>
    <w:rsid w:val="382A4EDB"/>
    <w:rsid w:val="383A34DB"/>
    <w:rsid w:val="389637BA"/>
    <w:rsid w:val="38F87D2C"/>
    <w:rsid w:val="38FF585D"/>
    <w:rsid w:val="39051698"/>
    <w:rsid w:val="39380466"/>
    <w:rsid w:val="39541E27"/>
    <w:rsid w:val="397468FD"/>
    <w:rsid w:val="397B001E"/>
    <w:rsid w:val="399C2BA6"/>
    <w:rsid w:val="39BC78CE"/>
    <w:rsid w:val="39C03363"/>
    <w:rsid w:val="39C36320"/>
    <w:rsid w:val="39DE1C38"/>
    <w:rsid w:val="39EB784A"/>
    <w:rsid w:val="39EC69BD"/>
    <w:rsid w:val="3A074A97"/>
    <w:rsid w:val="3A146266"/>
    <w:rsid w:val="3A201DCB"/>
    <w:rsid w:val="3A321B22"/>
    <w:rsid w:val="3A6A3483"/>
    <w:rsid w:val="3A736507"/>
    <w:rsid w:val="3A890307"/>
    <w:rsid w:val="3AF3721B"/>
    <w:rsid w:val="3AF46441"/>
    <w:rsid w:val="3B0069FA"/>
    <w:rsid w:val="3B365876"/>
    <w:rsid w:val="3B411C20"/>
    <w:rsid w:val="3B49673B"/>
    <w:rsid w:val="3B54230F"/>
    <w:rsid w:val="3B597B9E"/>
    <w:rsid w:val="3B9D0A78"/>
    <w:rsid w:val="3BA06371"/>
    <w:rsid w:val="3BA432FC"/>
    <w:rsid w:val="3BD61B7F"/>
    <w:rsid w:val="3BF404BE"/>
    <w:rsid w:val="3C014AE3"/>
    <w:rsid w:val="3C193885"/>
    <w:rsid w:val="3C214DF0"/>
    <w:rsid w:val="3C3914C7"/>
    <w:rsid w:val="3C410F4A"/>
    <w:rsid w:val="3C703778"/>
    <w:rsid w:val="3C826294"/>
    <w:rsid w:val="3C842EEF"/>
    <w:rsid w:val="3CD4717E"/>
    <w:rsid w:val="3CD56D64"/>
    <w:rsid w:val="3CE0503F"/>
    <w:rsid w:val="3D0955C6"/>
    <w:rsid w:val="3D1115F8"/>
    <w:rsid w:val="3D120C23"/>
    <w:rsid w:val="3D3F1A66"/>
    <w:rsid w:val="3D71385B"/>
    <w:rsid w:val="3D9412BC"/>
    <w:rsid w:val="3DB54AA4"/>
    <w:rsid w:val="3DBB67A5"/>
    <w:rsid w:val="3DCB70F8"/>
    <w:rsid w:val="3E1B5EA5"/>
    <w:rsid w:val="3E2F62CC"/>
    <w:rsid w:val="3E33653B"/>
    <w:rsid w:val="3E3F7C85"/>
    <w:rsid w:val="3E48680B"/>
    <w:rsid w:val="3E54585D"/>
    <w:rsid w:val="3E5B1AD8"/>
    <w:rsid w:val="3E906397"/>
    <w:rsid w:val="3EB11BDC"/>
    <w:rsid w:val="3EC00F3B"/>
    <w:rsid w:val="3EC07437"/>
    <w:rsid w:val="3EE5217D"/>
    <w:rsid w:val="3EFD1F55"/>
    <w:rsid w:val="3F0B1C79"/>
    <w:rsid w:val="3F1A5F26"/>
    <w:rsid w:val="3FC6005D"/>
    <w:rsid w:val="3FD12631"/>
    <w:rsid w:val="3FF57550"/>
    <w:rsid w:val="4002577E"/>
    <w:rsid w:val="40266A53"/>
    <w:rsid w:val="40345808"/>
    <w:rsid w:val="4044068B"/>
    <w:rsid w:val="404D6CFC"/>
    <w:rsid w:val="40571D08"/>
    <w:rsid w:val="407B0764"/>
    <w:rsid w:val="40AA60A0"/>
    <w:rsid w:val="40C03FC4"/>
    <w:rsid w:val="40D47BA5"/>
    <w:rsid w:val="40E157AA"/>
    <w:rsid w:val="413B5305"/>
    <w:rsid w:val="415B4149"/>
    <w:rsid w:val="41646619"/>
    <w:rsid w:val="4199798D"/>
    <w:rsid w:val="41BB7DC2"/>
    <w:rsid w:val="41DE14EE"/>
    <w:rsid w:val="42067B5D"/>
    <w:rsid w:val="42292E98"/>
    <w:rsid w:val="423F4136"/>
    <w:rsid w:val="42447EE6"/>
    <w:rsid w:val="42485835"/>
    <w:rsid w:val="42753C75"/>
    <w:rsid w:val="427C18A6"/>
    <w:rsid w:val="427E6758"/>
    <w:rsid w:val="42906919"/>
    <w:rsid w:val="42B66367"/>
    <w:rsid w:val="42E24F9E"/>
    <w:rsid w:val="43435656"/>
    <w:rsid w:val="43763C56"/>
    <w:rsid w:val="439366D7"/>
    <w:rsid w:val="44006EEA"/>
    <w:rsid w:val="444E71F0"/>
    <w:rsid w:val="44543436"/>
    <w:rsid w:val="44545260"/>
    <w:rsid w:val="446B28C6"/>
    <w:rsid w:val="446F0B47"/>
    <w:rsid w:val="447E3F95"/>
    <w:rsid w:val="44864BB4"/>
    <w:rsid w:val="44C82A7D"/>
    <w:rsid w:val="44FB5D36"/>
    <w:rsid w:val="45046E04"/>
    <w:rsid w:val="450E79F0"/>
    <w:rsid w:val="452E0D6A"/>
    <w:rsid w:val="45807DDB"/>
    <w:rsid w:val="459820BA"/>
    <w:rsid w:val="45A06B98"/>
    <w:rsid w:val="45A12709"/>
    <w:rsid w:val="45AB50A5"/>
    <w:rsid w:val="45D450C1"/>
    <w:rsid w:val="45D63403"/>
    <w:rsid w:val="45EE53DA"/>
    <w:rsid w:val="45FE10A4"/>
    <w:rsid w:val="46021087"/>
    <w:rsid w:val="460665DB"/>
    <w:rsid w:val="461362BE"/>
    <w:rsid w:val="46167BF2"/>
    <w:rsid w:val="46342C04"/>
    <w:rsid w:val="46495486"/>
    <w:rsid w:val="464E7A4D"/>
    <w:rsid w:val="464F0F77"/>
    <w:rsid w:val="46542BA0"/>
    <w:rsid w:val="4668606F"/>
    <w:rsid w:val="46C644A8"/>
    <w:rsid w:val="46DC15DF"/>
    <w:rsid w:val="46E20826"/>
    <w:rsid w:val="46FF4353"/>
    <w:rsid w:val="47230CBC"/>
    <w:rsid w:val="47266CA8"/>
    <w:rsid w:val="472B5ED1"/>
    <w:rsid w:val="47960FBC"/>
    <w:rsid w:val="479723B6"/>
    <w:rsid w:val="47BC59FE"/>
    <w:rsid w:val="47C725C6"/>
    <w:rsid w:val="47D84D73"/>
    <w:rsid w:val="48144B3D"/>
    <w:rsid w:val="482D0102"/>
    <w:rsid w:val="48351F56"/>
    <w:rsid w:val="485266A8"/>
    <w:rsid w:val="485603D8"/>
    <w:rsid w:val="486D112F"/>
    <w:rsid w:val="487A12E4"/>
    <w:rsid w:val="488516A8"/>
    <w:rsid w:val="48920788"/>
    <w:rsid w:val="489B784A"/>
    <w:rsid w:val="48B0446D"/>
    <w:rsid w:val="48CD5234"/>
    <w:rsid w:val="48FC0F15"/>
    <w:rsid w:val="49000848"/>
    <w:rsid w:val="49026D89"/>
    <w:rsid w:val="490D0318"/>
    <w:rsid w:val="493C1348"/>
    <w:rsid w:val="497E2D64"/>
    <w:rsid w:val="49A15A5B"/>
    <w:rsid w:val="49B6344E"/>
    <w:rsid w:val="49C4751E"/>
    <w:rsid w:val="49CB6709"/>
    <w:rsid w:val="49D22587"/>
    <w:rsid w:val="49E866B5"/>
    <w:rsid w:val="4A10702D"/>
    <w:rsid w:val="4A221FA7"/>
    <w:rsid w:val="4A26123E"/>
    <w:rsid w:val="4A575F8B"/>
    <w:rsid w:val="4A674CBD"/>
    <w:rsid w:val="4A935C9C"/>
    <w:rsid w:val="4A9E25AC"/>
    <w:rsid w:val="4A9F78E4"/>
    <w:rsid w:val="4AA55257"/>
    <w:rsid w:val="4B1F2F97"/>
    <w:rsid w:val="4B2C3E25"/>
    <w:rsid w:val="4B367E70"/>
    <w:rsid w:val="4B426D36"/>
    <w:rsid w:val="4B65269A"/>
    <w:rsid w:val="4B9F5457"/>
    <w:rsid w:val="4BA741A7"/>
    <w:rsid w:val="4C1703F2"/>
    <w:rsid w:val="4C1C2F7B"/>
    <w:rsid w:val="4C1F0728"/>
    <w:rsid w:val="4C1F38D9"/>
    <w:rsid w:val="4C20238F"/>
    <w:rsid w:val="4C4975D2"/>
    <w:rsid w:val="4C566549"/>
    <w:rsid w:val="4C632709"/>
    <w:rsid w:val="4C7C1CC3"/>
    <w:rsid w:val="4CB510D5"/>
    <w:rsid w:val="4CC90C2F"/>
    <w:rsid w:val="4CD568F4"/>
    <w:rsid w:val="4D0A548B"/>
    <w:rsid w:val="4D353E83"/>
    <w:rsid w:val="4D3C1BFB"/>
    <w:rsid w:val="4D6E2A04"/>
    <w:rsid w:val="4D916644"/>
    <w:rsid w:val="4DAF1D4E"/>
    <w:rsid w:val="4DAF441A"/>
    <w:rsid w:val="4DB27D16"/>
    <w:rsid w:val="4DE06DA3"/>
    <w:rsid w:val="4E216BDF"/>
    <w:rsid w:val="4E753642"/>
    <w:rsid w:val="4E845B37"/>
    <w:rsid w:val="4EC559E7"/>
    <w:rsid w:val="4F345119"/>
    <w:rsid w:val="4F393286"/>
    <w:rsid w:val="4F522F8D"/>
    <w:rsid w:val="4F6931CD"/>
    <w:rsid w:val="4F81295B"/>
    <w:rsid w:val="4F9850C6"/>
    <w:rsid w:val="4F993F00"/>
    <w:rsid w:val="4F9B3399"/>
    <w:rsid w:val="4FBD7C77"/>
    <w:rsid w:val="4FCA4C05"/>
    <w:rsid w:val="4FF55AE1"/>
    <w:rsid w:val="4FFB7B42"/>
    <w:rsid w:val="500C66F8"/>
    <w:rsid w:val="502E4B4A"/>
    <w:rsid w:val="50547330"/>
    <w:rsid w:val="506E1575"/>
    <w:rsid w:val="50971561"/>
    <w:rsid w:val="50C91F90"/>
    <w:rsid w:val="5115202B"/>
    <w:rsid w:val="51277F99"/>
    <w:rsid w:val="512B3837"/>
    <w:rsid w:val="51302C2F"/>
    <w:rsid w:val="51354015"/>
    <w:rsid w:val="51406172"/>
    <w:rsid w:val="51522B9C"/>
    <w:rsid w:val="518B0541"/>
    <w:rsid w:val="51BC5C5E"/>
    <w:rsid w:val="51C562E4"/>
    <w:rsid w:val="51D44AB7"/>
    <w:rsid w:val="51E8593C"/>
    <w:rsid w:val="520A34AC"/>
    <w:rsid w:val="520F4A0D"/>
    <w:rsid w:val="521D5C86"/>
    <w:rsid w:val="5229101D"/>
    <w:rsid w:val="52293430"/>
    <w:rsid w:val="52315816"/>
    <w:rsid w:val="52511202"/>
    <w:rsid w:val="525316EB"/>
    <w:rsid w:val="52535FD9"/>
    <w:rsid w:val="52633EE1"/>
    <w:rsid w:val="52C22485"/>
    <w:rsid w:val="52D54673"/>
    <w:rsid w:val="52D95543"/>
    <w:rsid w:val="530B2B8A"/>
    <w:rsid w:val="531D3E0E"/>
    <w:rsid w:val="531E4E78"/>
    <w:rsid w:val="53827915"/>
    <w:rsid w:val="53857315"/>
    <w:rsid w:val="53B36F3A"/>
    <w:rsid w:val="53DC1EC1"/>
    <w:rsid w:val="54306D23"/>
    <w:rsid w:val="543F01ED"/>
    <w:rsid w:val="54A048FB"/>
    <w:rsid w:val="54C14E78"/>
    <w:rsid w:val="54C41C5F"/>
    <w:rsid w:val="54EA3BE9"/>
    <w:rsid w:val="54F54166"/>
    <w:rsid w:val="550521EF"/>
    <w:rsid w:val="550A1FB0"/>
    <w:rsid w:val="550F6E10"/>
    <w:rsid w:val="551E2BFC"/>
    <w:rsid w:val="554D0141"/>
    <w:rsid w:val="555936AB"/>
    <w:rsid w:val="55612EB6"/>
    <w:rsid w:val="556C6AC1"/>
    <w:rsid w:val="559210F4"/>
    <w:rsid w:val="559E1DC7"/>
    <w:rsid w:val="55BA5661"/>
    <w:rsid w:val="55C01AA5"/>
    <w:rsid w:val="55DB401F"/>
    <w:rsid w:val="55DB4574"/>
    <w:rsid w:val="55F0796C"/>
    <w:rsid w:val="56142485"/>
    <w:rsid w:val="561F39DE"/>
    <w:rsid w:val="56566876"/>
    <w:rsid w:val="56663B90"/>
    <w:rsid w:val="56825A4F"/>
    <w:rsid w:val="56950611"/>
    <w:rsid w:val="56CC37C1"/>
    <w:rsid w:val="56E76ADA"/>
    <w:rsid w:val="56F81B69"/>
    <w:rsid w:val="56FE6742"/>
    <w:rsid w:val="571B2409"/>
    <w:rsid w:val="571D4215"/>
    <w:rsid w:val="57356303"/>
    <w:rsid w:val="574B2A7F"/>
    <w:rsid w:val="57533409"/>
    <w:rsid w:val="57606737"/>
    <w:rsid w:val="577F45DA"/>
    <w:rsid w:val="57820941"/>
    <w:rsid w:val="57A92932"/>
    <w:rsid w:val="57AE0F5A"/>
    <w:rsid w:val="57B64C4E"/>
    <w:rsid w:val="57BD44AC"/>
    <w:rsid w:val="57CC7B26"/>
    <w:rsid w:val="582C49C4"/>
    <w:rsid w:val="585D5DE6"/>
    <w:rsid w:val="585E1C7F"/>
    <w:rsid w:val="587420E9"/>
    <w:rsid w:val="58796935"/>
    <w:rsid w:val="58D3771E"/>
    <w:rsid w:val="58ED1BEE"/>
    <w:rsid w:val="590E6527"/>
    <w:rsid w:val="591A4CBA"/>
    <w:rsid w:val="59220D51"/>
    <w:rsid w:val="59271254"/>
    <w:rsid w:val="592B39D0"/>
    <w:rsid w:val="593D0F80"/>
    <w:rsid w:val="594E083F"/>
    <w:rsid w:val="5983090C"/>
    <w:rsid w:val="599B0382"/>
    <w:rsid w:val="59D6073E"/>
    <w:rsid w:val="59D83B9A"/>
    <w:rsid w:val="59F5279B"/>
    <w:rsid w:val="5A151A9D"/>
    <w:rsid w:val="5A1674EA"/>
    <w:rsid w:val="5A175725"/>
    <w:rsid w:val="5A3E7AC8"/>
    <w:rsid w:val="5A7E79C3"/>
    <w:rsid w:val="5A7F2FF5"/>
    <w:rsid w:val="5A895053"/>
    <w:rsid w:val="5AAF53B8"/>
    <w:rsid w:val="5ABC4E86"/>
    <w:rsid w:val="5AD85F72"/>
    <w:rsid w:val="5AEE1556"/>
    <w:rsid w:val="5B2218C1"/>
    <w:rsid w:val="5B33202B"/>
    <w:rsid w:val="5B34597D"/>
    <w:rsid w:val="5B4918CF"/>
    <w:rsid w:val="5B6353CB"/>
    <w:rsid w:val="5B7B6B21"/>
    <w:rsid w:val="5B801241"/>
    <w:rsid w:val="5B8018F6"/>
    <w:rsid w:val="5B932B40"/>
    <w:rsid w:val="5B93413E"/>
    <w:rsid w:val="5BA82BDB"/>
    <w:rsid w:val="5BEC5075"/>
    <w:rsid w:val="5BF4563C"/>
    <w:rsid w:val="5C9D7384"/>
    <w:rsid w:val="5CAB6C3B"/>
    <w:rsid w:val="5CDF0070"/>
    <w:rsid w:val="5CEB767E"/>
    <w:rsid w:val="5CF71202"/>
    <w:rsid w:val="5CFA4F13"/>
    <w:rsid w:val="5D0A37B7"/>
    <w:rsid w:val="5D2E0BF8"/>
    <w:rsid w:val="5D3F14BF"/>
    <w:rsid w:val="5D4034D2"/>
    <w:rsid w:val="5D5A11C2"/>
    <w:rsid w:val="5D5D2EDF"/>
    <w:rsid w:val="5D6002B5"/>
    <w:rsid w:val="5D661808"/>
    <w:rsid w:val="5D724055"/>
    <w:rsid w:val="5DCF4807"/>
    <w:rsid w:val="5DCF54EC"/>
    <w:rsid w:val="5DDC6A66"/>
    <w:rsid w:val="5E0F2B56"/>
    <w:rsid w:val="5E43241E"/>
    <w:rsid w:val="5E794806"/>
    <w:rsid w:val="5E8071F9"/>
    <w:rsid w:val="5E8A1A7C"/>
    <w:rsid w:val="5E923AC8"/>
    <w:rsid w:val="5EA113CF"/>
    <w:rsid w:val="5EC77690"/>
    <w:rsid w:val="5F1A42AA"/>
    <w:rsid w:val="5F1E3246"/>
    <w:rsid w:val="5F2530DC"/>
    <w:rsid w:val="5F456B68"/>
    <w:rsid w:val="5F625898"/>
    <w:rsid w:val="5F951CFA"/>
    <w:rsid w:val="5FBC1EE4"/>
    <w:rsid w:val="5FBE6807"/>
    <w:rsid w:val="5FC031D7"/>
    <w:rsid w:val="5FC074F4"/>
    <w:rsid w:val="5FF6387D"/>
    <w:rsid w:val="600B7004"/>
    <w:rsid w:val="602949F4"/>
    <w:rsid w:val="602F2424"/>
    <w:rsid w:val="607C62A2"/>
    <w:rsid w:val="607D48E4"/>
    <w:rsid w:val="60974488"/>
    <w:rsid w:val="60AD3913"/>
    <w:rsid w:val="60C040D6"/>
    <w:rsid w:val="60CF1EED"/>
    <w:rsid w:val="60D55ED7"/>
    <w:rsid w:val="61192E47"/>
    <w:rsid w:val="612E45E5"/>
    <w:rsid w:val="6132748F"/>
    <w:rsid w:val="61393F2B"/>
    <w:rsid w:val="61532DB6"/>
    <w:rsid w:val="61535D48"/>
    <w:rsid w:val="615E766F"/>
    <w:rsid w:val="61747165"/>
    <w:rsid w:val="618A56C6"/>
    <w:rsid w:val="619C181D"/>
    <w:rsid w:val="61B343C9"/>
    <w:rsid w:val="61FE7B71"/>
    <w:rsid w:val="621A1760"/>
    <w:rsid w:val="6226258E"/>
    <w:rsid w:val="623062A0"/>
    <w:rsid w:val="625F0891"/>
    <w:rsid w:val="625F2C25"/>
    <w:rsid w:val="627D303B"/>
    <w:rsid w:val="629C36AD"/>
    <w:rsid w:val="62AC110F"/>
    <w:rsid w:val="62AD25EE"/>
    <w:rsid w:val="62C91A52"/>
    <w:rsid w:val="62D473A6"/>
    <w:rsid w:val="62E62354"/>
    <w:rsid w:val="62F13C7C"/>
    <w:rsid w:val="632E64AB"/>
    <w:rsid w:val="635A40AF"/>
    <w:rsid w:val="638866D0"/>
    <w:rsid w:val="63A0413C"/>
    <w:rsid w:val="6430790B"/>
    <w:rsid w:val="6438525F"/>
    <w:rsid w:val="64573C41"/>
    <w:rsid w:val="64581506"/>
    <w:rsid w:val="646A6B41"/>
    <w:rsid w:val="64A41AEB"/>
    <w:rsid w:val="64AA7F0A"/>
    <w:rsid w:val="64B04103"/>
    <w:rsid w:val="64DF54C0"/>
    <w:rsid w:val="64F27ABC"/>
    <w:rsid w:val="6500639B"/>
    <w:rsid w:val="65010062"/>
    <w:rsid w:val="650B0B5E"/>
    <w:rsid w:val="651D6B1A"/>
    <w:rsid w:val="659C237C"/>
    <w:rsid w:val="65A04234"/>
    <w:rsid w:val="65AA6FA4"/>
    <w:rsid w:val="65B315F9"/>
    <w:rsid w:val="65B9668D"/>
    <w:rsid w:val="65BD4361"/>
    <w:rsid w:val="65C32EDF"/>
    <w:rsid w:val="65E25329"/>
    <w:rsid w:val="65FA5E96"/>
    <w:rsid w:val="662616A6"/>
    <w:rsid w:val="662C2BBB"/>
    <w:rsid w:val="663B101B"/>
    <w:rsid w:val="664B2A31"/>
    <w:rsid w:val="66C67037"/>
    <w:rsid w:val="66CA2D58"/>
    <w:rsid w:val="67000CC4"/>
    <w:rsid w:val="671E62D1"/>
    <w:rsid w:val="67236732"/>
    <w:rsid w:val="67271ECA"/>
    <w:rsid w:val="672D45E9"/>
    <w:rsid w:val="67603B4E"/>
    <w:rsid w:val="67805538"/>
    <w:rsid w:val="678E3890"/>
    <w:rsid w:val="679529FF"/>
    <w:rsid w:val="67A32F1D"/>
    <w:rsid w:val="67CA62CC"/>
    <w:rsid w:val="67E0573D"/>
    <w:rsid w:val="680B4971"/>
    <w:rsid w:val="683806E1"/>
    <w:rsid w:val="684C6D82"/>
    <w:rsid w:val="68553E14"/>
    <w:rsid w:val="68673DAA"/>
    <w:rsid w:val="687A7558"/>
    <w:rsid w:val="68910273"/>
    <w:rsid w:val="689768B0"/>
    <w:rsid w:val="689A51D3"/>
    <w:rsid w:val="689E4351"/>
    <w:rsid w:val="689E675B"/>
    <w:rsid w:val="68CC2E00"/>
    <w:rsid w:val="68EB566C"/>
    <w:rsid w:val="68EC631A"/>
    <w:rsid w:val="68F759D7"/>
    <w:rsid w:val="69064E1F"/>
    <w:rsid w:val="693A4844"/>
    <w:rsid w:val="6963464C"/>
    <w:rsid w:val="6979600B"/>
    <w:rsid w:val="69D20872"/>
    <w:rsid w:val="69F84EF3"/>
    <w:rsid w:val="6A271073"/>
    <w:rsid w:val="6A3A26DD"/>
    <w:rsid w:val="6A431624"/>
    <w:rsid w:val="6A4412E9"/>
    <w:rsid w:val="6A54447F"/>
    <w:rsid w:val="6A6C04DE"/>
    <w:rsid w:val="6A8428CF"/>
    <w:rsid w:val="6AAE4EA1"/>
    <w:rsid w:val="6AB3342D"/>
    <w:rsid w:val="6AB57680"/>
    <w:rsid w:val="6AF57F99"/>
    <w:rsid w:val="6B464A26"/>
    <w:rsid w:val="6B9709B6"/>
    <w:rsid w:val="6BB979F3"/>
    <w:rsid w:val="6BE433C5"/>
    <w:rsid w:val="6BEB5CAF"/>
    <w:rsid w:val="6BF03BA1"/>
    <w:rsid w:val="6BF65C3A"/>
    <w:rsid w:val="6BFC570F"/>
    <w:rsid w:val="6C120E88"/>
    <w:rsid w:val="6C1A0485"/>
    <w:rsid w:val="6C4003DC"/>
    <w:rsid w:val="6C443970"/>
    <w:rsid w:val="6C4B2C8B"/>
    <w:rsid w:val="6C747623"/>
    <w:rsid w:val="6C982D1D"/>
    <w:rsid w:val="6CD60470"/>
    <w:rsid w:val="6CD607A0"/>
    <w:rsid w:val="6CDA739E"/>
    <w:rsid w:val="6CE30CF7"/>
    <w:rsid w:val="6D040BD9"/>
    <w:rsid w:val="6D301FF3"/>
    <w:rsid w:val="6D3F7C50"/>
    <w:rsid w:val="6D5C193C"/>
    <w:rsid w:val="6D855ED3"/>
    <w:rsid w:val="6D9E2BC7"/>
    <w:rsid w:val="6DAE38A4"/>
    <w:rsid w:val="6DB34768"/>
    <w:rsid w:val="6DBF0137"/>
    <w:rsid w:val="6DC55F99"/>
    <w:rsid w:val="6E012EA8"/>
    <w:rsid w:val="6E1F179E"/>
    <w:rsid w:val="6E592BF4"/>
    <w:rsid w:val="6E6803C8"/>
    <w:rsid w:val="6E820E47"/>
    <w:rsid w:val="6E890F27"/>
    <w:rsid w:val="6E9045F7"/>
    <w:rsid w:val="6E977764"/>
    <w:rsid w:val="6E9B205C"/>
    <w:rsid w:val="6EF132E8"/>
    <w:rsid w:val="6F2063F9"/>
    <w:rsid w:val="6F2E3CA5"/>
    <w:rsid w:val="6F5337CF"/>
    <w:rsid w:val="6F840CB0"/>
    <w:rsid w:val="6F95403E"/>
    <w:rsid w:val="70160D55"/>
    <w:rsid w:val="701A162B"/>
    <w:rsid w:val="70216187"/>
    <w:rsid w:val="702216B1"/>
    <w:rsid w:val="70234AB5"/>
    <w:rsid w:val="702F0604"/>
    <w:rsid w:val="70596096"/>
    <w:rsid w:val="7062269F"/>
    <w:rsid w:val="706A142C"/>
    <w:rsid w:val="707715A4"/>
    <w:rsid w:val="70A379C7"/>
    <w:rsid w:val="70B43CE5"/>
    <w:rsid w:val="70CD2302"/>
    <w:rsid w:val="70EA3FD1"/>
    <w:rsid w:val="70FD75B6"/>
    <w:rsid w:val="71416904"/>
    <w:rsid w:val="7157608A"/>
    <w:rsid w:val="715B640F"/>
    <w:rsid w:val="7164451D"/>
    <w:rsid w:val="71791721"/>
    <w:rsid w:val="717D0F18"/>
    <w:rsid w:val="71A21EE8"/>
    <w:rsid w:val="71AA7DEB"/>
    <w:rsid w:val="71B67F65"/>
    <w:rsid w:val="71C728B3"/>
    <w:rsid w:val="71E07021"/>
    <w:rsid w:val="71F07A75"/>
    <w:rsid w:val="722455B9"/>
    <w:rsid w:val="7233740B"/>
    <w:rsid w:val="724572FC"/>
    <w:rsid w:val="72597141"/>
    <w:rsid w:val="726614A3"/>
    <w:rsid w:val="726D740B"/>
    <w:rsid w:val="728B0C2E"/>
    <w:rsid w:val="7295798E"/>
    <w:rsid w:val="72FE45B1"/>
    <w:rsid w:val="7303436D"/>
    <w:rsid w:val="7358703C"/>
    <w:rsid w:val="73697122"/>
    <w:rsid w:val="737811BD"/>
    <w:rsid w:val="73970DFA"/>
    <w:rsid w:val="73F42A3D"/>
    <w:rsid w:val="743B0AAD"/>
    <w:rsid w:val="74461D2F"/>
    <w:rsid w:val="744875E4"/>
    <w:rsid w:val="74572085"/>
    <w:rsid w:val="74A96776"/>
    <w:rsid w:val="74C71835"/>
    <w:rsid w:val="74D15FD4"/>
    <w:rsid w:val="74D859A3"/>
    <w:rsid w:val="74FA3609"/>
    <w:rsid w:val="7500467D"/>
    <w:rsid w:val="7500516A"/>
    <w:rsid w:val="7527661C"/>
    <w:rsid w:val="753D52E9"/>
    <w:rsid w:val="754D0CBA"/>
    <w:rsid w:val="757D3311"/>
    <w:rsid w:val="75921F74"/>
    <w:rsid w:val="759F5470"/>
    <w:rsid w:val="75D03CF0"/>
    <w:rsid w:val="75D94553"/>
    <w:rsid w:val="75DB5760"/>
    <w:rsid w:val="76421C71"/>
    <w:rsid w:val="767D6227"/>
    <w:rsid w:val="76DB7D84"/>
    <w:rsid w:val="76DB7F89"/>
    <w:rsid w:val="76FF014D"/>
    <w:rsid w:val="77222B55"/>
    <w:rsid w:val="77243942"/>
    <w:rsid w:val="77313E3E"/>
    <w:rsid w:val="77514571"/>
    <w:rsid w:val="77553DE9"/>
    <w:rsid w:val="776F3CFE"/>
    <w:rsid w:val="77A10B49"/>
    <w:rsid w:val="77C61F9E"/>
    <w:rsid w:val="77C76122"/>
    <w:rsid w:val="77EA5DDF"/>
    <w:rsid w:val="78280366"/>
    <w:rsid w:val="783F2904"/>
    <w:rsid w:val="78402489"/>
    <w:rsid w:val="78746319"/>
    <w:rsid w:val="78754045"/>
    <w:rsid w:val="78754F85"/>
    <w:rsid w:val="787F4FE4"/>
    <w:rsid w:val="7881449F"/>
    <w:rsid w:val="78961CEB"/>
    <w:rsid w:val="78A441B6"/>
    <w:rsid w:val="78B506DD"/>
    <w:rsid w:val="78E2376F"/>
    <w:rsid w:val="79062E84"/>
    <w:rsid w:val="79257561"/>
    <w:rsid w:val="792D04A8"/>
    <w:rsid w:val="793D2E43"/>
    <w:rsid w:val="79511979"/>
    <w:rsid w:val="7959313F"/>
    <w:rsid w:val="799D2CEE"/>
    <w:rsid w:val="79B73AA8"/>
    <w:rsid w:val="79D05036"/>
    <w:rsid w:val="79FB59FC"/>
    <w:rsid w:val="7A3E51A6"/>
    <w:rsid w:val="7A9A3080"/>
    <w:rsid w:val="7A9F67D9"/>
    <w:rsid w:val="7AD769F5"/>
    <w:rsid w:val="7ADA67DE"/>
    <w:rsid w:val="7AF64D80"/>
    <w:rsid w:val="7B131760"/>
    <w:rsid w:val="7B476449"/>
    <w:rsid w:val="7B582E26"/>
    <w:rsid w:val="7B887D78"/>
    <w:rsid w:val="7BAB67ED"/>
    <w:rsid w:val="7BF3724C"/>
    <w:rsid w:val="7C085B00"/>
    <w:rsid w:val="7C355E66"/>
    <w:rsid w:val="7C3B566E"/>
    <w:rsid w:val="7C9C3A70"/>
    <w:rsid w:val="7CDF7B3A"/>
    <w:rsid w:val="7CFB075D"/>
    <w:rsid w:val="7D0042A7"/>
    <w:rsid w:val="7D3E403A"/>
    <w:rsid w:val="7D490576"/>
    <w:rsid w:val="7D5F2AFE"/>
    <w:rsid w:val="7D6137EC"/>
    <w:rsid w:val="7DB04EF5"/>
    <w:rsid w:val="7DCE3853"/>
    <w:rsid w:val="7DD450F7"/>
    <w:rsid w:val="7DF35139"/>
    <w:rsid w:val="7DFB50F0"/>
    <w:rsid w:val="7DFC3F20"/>
    <w:rsid w:val="7E05625F"/>
    <w:rsid w:val="7E1B7DFC"/>
    <w:rsid w:val="7E1D049F"/>
    <w:rsid w:val="7E3C2372"/>
    <w:rsid w:val="7E644CB7"/>
    <w:rsid w:val="7E8D60A6"/>
    <w:rsid w:val="7E9474B4"/>
    <w:rsid w:val="7ED607AA"/>
    <w:rsid w:val="7EDB0200"/>
    <w:rsid w:val="7EE0375C"/>
    <w:rsid w:val="7EF20A91"/>
    <w:rsid w:val="7F141D4F"/>
    <w:rsid w:val="7F1B250F"/>
    <w:rsid w:val="7F4A28F8"/>
    <w:rsid w:val="7F86490D"/>
    <w:rsid w:val="7F9B3D78"/>
    <w:rsid w:val="7F9E10EB"/>
    <w:rsid w:val="7FBD4071"/>
    <w:rsid w:val="7FC81ACD"/>
    <w:rsid w:val="7FD47996"/>
    <w:rsid w:val="7FF87789"/>
    <w:rsid w:val="7FFE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7">
    <w:name w:val="heading 5"/>
    <w:basedOn w:val="1"/>
    <w:next w:val="1"/>
    <w:qFormat/>
    <w:uiPriority w:val="0"/>
    <w:pPr>
      <w:ind w:left="138"/>
      <w:outlineLvl w:val="4"/>
    </w:pPr>
    <w:rPr>
      <w:rFonts w:ascii="宋体" w:hAnsi="宋体"/>
      <w:b/>
      <w:bCs/>
      <w:sz w:val="28"/>
      <w:szCs w:val="28"/>
    </w:rPr>
  </w:style>
  <w:style w:type="paragraph" w:styleId="8">
    <w:name w:val="heading 7"/>
    <w:basedOn w:val="1"/>
    <w:next w:val="1"/>
    <w:qFormat/>
    <w:uiPriority w:val="0"/>
    <w:pPr>
      <w:ind w:left="138"/>
      <w:outlineLvl w:val="6"/>
    </w:pPr>
    <w:rPr>
      <w:rFonts w:ascii="宋体" w:hAnsi="宋体"/>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9">
    <w:name w:val="index 8"/>
    <w:basedOn w:val="1"/>
    <w:next w:val="1"/>
    <w:qFormat/>
    <w:uiPriority w:val="0"/>
    <w:pPr>
      <w:spacing w:line="276" w:lineRule="auto"/>
      <w:jc w:val="left"/>
    </w:pPr>
    <w:rPr>
      <w:rFonts w:ascii="宋体" w:hAnsi="宋体"/>
      <w:color w:val="FF0000"/>
      <w:szCs w:val="21"/>
    </w:rPr>
  </w:style>
  <w:style w:type="paragraph" w:styleId="10">
    <w:name w:val="Normal Indent"/>
    <w:basedOn w:val="1"/>
    <w:link w:val="42"/>
    <w:qFormat/>
    <w:uiPriority w:val="0"/>
    <w:pPr>
      <w:ind w:firstLine="420" w:firstLineChars="200"/>
    </w:pPr>
  </w:style>
  <w:style w:type="paragraph" w:styleId="11">
    <w:name w:val="annotation text"/>
    <w:basedOn w:val="1"/>
    <w:link w:val="34"/>
    <w:qFormat/>
    <w:uiPriority w:val="0"/>
    <w:pPr>
      <w:jc w:val="left"/>
    </w:pPr>
    <w:rPr>
      <w:sz w:val="18"/>
      <w:szCs w:val="20"/>
    </w:rPr>
  </w:style>
  <w:style w:type="paragraph" w:styleId="12">
    <w:name w:val="Body Text"/>
    <w:basedOn w:val="1"/>
    <w:next w:val="1"/>
    <w:link w:val="66"/>
    <w:qFormat/>
    <w:uiPriority w:val="99"/>
    <w:pPr>
      <w:spacing w:before="60" w:after="60" w:line="360" w:lineRule="auto"/>
      <w:ind w:firstLine="200"/>
    </w:pPr>
    <w:rPr>
      <w:rFonts w:eastAsia="仿宋_GB2312"/>
      <w:sz w:val="32"/>
    </w:rPr>
  </w:style>
  <w:style w:type="paragraph" w:styleId="13">
    <w:name w:val="Body Text Indent"/>
    <w:basedOn w:val="1"/>
    <w:link w:val="48"/>
    <w:qFormat/>
    <w:uiPriority w:val="0"/>
    <w:pPr>
      <w:ind w:firstLine="630"/>
    </w:pPr>
    <w:rPr>
      <w:sz w:val="32"/>
      <w:szCs w:val="20"/>
    </w:rPr>
  </w:style>
  <w:style w:type="paragraph" w:styleId="14">
    <w:name w:val="Plain Text"/>
    <w:basedOn w:val="1"/>
    <w:link w:val="49"/>
    <w:qFormat/>
    <w:uiPriority w:val="0"/>
    <w:pPr>
      <w:autoSpaceDE w:val="0"/>
      <w:autoSpaceDN w:val="0"/>
      <w:adjustRightInd w:val="0"/>
    </w:pPr>
    <w:rPr>
      <w:rFonts w:ascii="宋体" w:hAnsi="Tms Rmn"/>
      <w:kern w:val="0"/>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6"/>
    <w:qFormat/>
    <w:uiPriority w:val="99"/>
    <w:pPr>
      <w:tabs>
        <w:tab w:val="center" w:pos="4153"/>
        <w:tab w:val="right" w:pos="8306"/>
      </w:tabs>
      <w:snapToGrid w:val="0"/>
      <w:jc w:val="left"/>
    </w:pPr>
    <w:rPr>
      <w:sz w:val="18"/>
      <w:szCs w:val="20"/>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style>
  <w:style w:type="paragraph" w:styleId="20">
    <w:name w:val="Body Text Indent 3"/>
    <w:basedOn w:val="1"/>
    <w:link w:val="41"/>
    <w:qFormat/>
    <w:uiPriority w:val="0"/>
    <w:pPr>
      <w:spacing w:after="120"/>
      <w:ind w:left="420" w:leftChars="200"/>
    </w:pPr>
    <w:rPr>
      <w:sz w:val="16"/>
      <w:szCs w:val="16"/>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annotation subject"/>
    <w:basedOn w:val="11"/>
    <w:next w:val="11"/>
    <w:link w:val="39"/>
    <w:qFormat/>
    <w:uiPriority w:val="0"/>
    <w:rPr>
      <w:b/>
      <w:bCs/>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qFormat/>
    <w:uiPriority w:val="0"/>
    <w:rPr>
      <w:color w:val="303030"/>
      <w:u w:val="none"/>
    </w:rPr>
  </w:style>
  <w:style w:type="character" w:styleId="29">
    <w:name w:val="Emphasis"/>
    <w:qFormat/>
    <w:uiPriority w:val="0"/>
    <w:rPr>
      <w:color w:val="CC0000"/>
    </w:rPr>
  </w:style>
  <w:style w:type="character" w:styleId="30">
    <w:name w:val="HTML Acronym"/>
    <w:basedOn w:val="25"/>
    <w:qFormat/>
    <w:uiPriority w:val="0"/>
  </w:style>
  <w:style w:type="character" w:styleId="31">
    <w:name w:val="Hyperlink"/>
    <w:qFormat/>
    <w:uiPriority w:val="99"/>
    <w:rPr>
      <w:color w:val="303030"/>
      <w:u w:val="none"/>
    </w:rPr>
  </w:style>
  <w:style w:type="character" w:styleId="32">
    <w:name w:val="annotation reference"/>
    <w:qFormat/>
    <w:uiPriority w:val="0"/>
    <w:rPr>
      <w:sz w:val="21"/>
      <w:szCs w:val="21"/>
    </w:rPr>
  </w:style>
  <w:style w:type="character" w:styleId="33">
    <w:name w:val="HTML Cite"/>
    <w:qFormat/>
    <w:uiPriority w:val="0"/>
    <w:rPr>
      <w:color w:val="008000"/>
    </w:rPr>
  </w:style>
  <w:style w:type="character" w:customStyle="1" w:styleId="34">
    <w:name w:val="批注文字 Char"/>
    <w:link w:val="11"/>
    <w:qFormat/>
    <w:uiPriority w:val="0"/>
    <w:rPr>
      <w:kern w:val="2"/>
      <w:sz w:val="18"/>
      <w:lang w:bidi="ar-SA"/>
    </w:rPr>
  </w:style>
  <w:style w:type="character" w:customStyle="1" w:styleId="35">
    <w:name w:val="（符号）邀请函中一、"/>
    <w:qFormat/>
    <w:uiPriority w:val="0"/>
    <w:rPr>
      <w:rFonts w:ascii="黑体" w:hAnsi="黑体" w:eastAsia="黑体"/>
      <w:b/>
      <w:bCs/>
      <w:sz w:val="24"/>
    </w:rPr>
  </w:style>
  <w:style w:type="character" w:customStyle="1" w:styleId="36">
    <w:name w:val="blue"/>
    <w:basedOn w:val="25"/>
    <w:qFormat/>
    <w:uiPriority w:val="0"/>
  </w:style>
  <w:style w:type="character" w:customStyle="1" w:styleId="37">
    <w:name w:val="列出段落 Char"/>
    <w:link w:val="38"/>
    <w:qFormat/>
    <w:uiPriority w:val="0"/>
    <w:rPr>
      <w:rFonts w:eastAsia="宋体"/>
      <w:kern w:val="2"/>
      <w:sz w:val="21"/>
      <w:szCs w:val="24"/>
      <w:lang w:val="en-US" w:eastAsia="zh-CN" w:bidi="ar-SA"/>
    </w:rPr>
  </w:style>
  <w:style w:type="paragraph" w:styleId="38">
    <w:name w:val="List Paragraph"/>
    <w:basedOn w:val="1"/>
    <w:link w:val="37"/>
    <w:qFormat/>
    <w:uiPriority w:val="0"/>
    <w:pPr>
      <w:ind w:firstLine="420" w:firstLineChars="200"/>
    </w:pPr>
  </w:style>
  <w:style w:type="character" w:customStyle="1" w:styleId="39">
    <w:name w:val="批注主题 Char"/>
    <w:link w:val="22"/>
    <w:qFormat/>
    <w:uiPriority w:val="0"/>
    <w:rPr>
      <w:b/>
      <w:bCs/>
      <w:kern w:val="2"/>
      <w:sz w:val="21"/>
      <w:szCs w:val="24"/>
      <w:lang w:bidi="ar-SA"/>
    </w:rPr>
  </w:style>
  <w:style w:type="character" w:customStyle="1" w:styleId="40">
    <w:name w:val="页眉 Char"/>
    <w:link w:val="18"/>
    <w:qFormat/>
    <w:uiPriority w:val="0"/>
    <w:rPr>
      <w:rFonts w:eastAsia="宋体"/>
      <w:kern w:val="2"/>
      <w:sz w:val="18"/>
      <w:lang w:val="en-US" w:eastAsia="zh-CN" w:bidi="ar-SA"/>
    </w:rPr>
  </w:style>
  <w:style w:type="character" w:customStyle="1" w:styleId="41">
    <w:name w:val="正文文本缩进 3 Char"/>
    <w:link w:val="20"/>
    <w:qFormat/>
    <w:uiPriority w:val="0"/>
    <w:rPr>
      <w:kern w:val="2"/>
      <w:sz w:val="16"/>
      <w:szCs w:val="16"/>
    </w:rPr>
  </w:style>
  <w:style w:type="character" w:customStyle="1" w:styleId="42">
    <w:name w:val="正文缩进 Char"/>
    <w:link w:val="10"/>
    <w:qFormat/>
    <w:uiPriority w:val="0"/>
    <w:rPr>
      <w:rFonts w:eastAsia="宋体"/>
      <w:kern w:val="2"/>
      <w:sz w:val="21"/>
      <w:szCs w:val="24"/>
      <w:lang w:val="en-US" w:eastAsia="zh-CN" w:bidi="ar-SA"/>
    </w:rPr>
  </w:style>
  <w:style w:type="character" w:customStyle="1" w:styleId="43">
    <w:name w:val="GW-正文 Char"/>
    <w:link w:val="44"/>
    <w:qFormat/>
    <w:uiPriority w:val="0"/>
    <w:rPr>
      <w:rFonts w:eastAsia="仿宋_GB2312"/>
      <w:kern w:val="2"/>
      <w:sz w:val="24"/>
      <w:szCs w:val="24"/>
      <w:lang w:val="en-US" w:eastAsia="zh-CN" w:bidi="ar-SA"/>
    </w:rPr>
  </w:style>
  <w:style w:type="paragraph" w:customStyle="1" w:styleId="44">
    <w:name w:val="GW-正文"/>
    <w:basedOn w:val="1"/>
    <w:link w:val="43"/>
    <w:qFormat/>
    <w:uiPriority w:val="0"/>
    <w:pPr>
      <w:spacing w:line="360" w:lineRule="auto"/>
      <w:ind w:firstLine="200" w:firstLineChars="200"/>
    </w:pPr>
    <w:rPr>
      <w:rFonts w:eastAsia="仿宋_GB2312"/>
      <w:sz w:val="24"/>
    </w:rPr>
  </w:style>
  <w:style w:type="character" w:customStyle="1" w:styleId="45">
    <w:name w:val="批注文字 Char1"/>
    <w:qFormat/>
    <w:uiPriority w:val="0"/>
    <w:rPr>
      <w:kern w:val="2"/>
      <w:sz w:val="18"/>
      <w:lang w:bidi="ar-SA"/>
    </w:rPr>
  </w:style>
  <w:style w:type="character" w:customStyle="1" w:styleId="46">
    <w:name w:val="页脚 Char"/>
    <w:link w:val="17"/>
    <w:qFormat/>
    <w:uiPriority w:val="99"/>
    <w:rPr>
      <w:rFonts w:eastAsia="宋体"/>
      <w:kern w:val="2"/>
      <w:sz w:val="18"/>
      <w:lang w:val="en-US" w:eastAsia="zh-CN" w:bidi="ar-SA"/>
    </w:rPr>
  </w:style>
  <w:style w:type="character" w:customStyle="1" w:styleId="47">
    <w:name w:val="Char Char9"/>
    <w:qFormat/>
    <w:uiPriority w:val="0"/>
    <w:rPr>
      <w:kern w:val="2"/>
      <w:sz w:val="21"/>
    </w:rPr>
  </w:style>
  <w:style w:type="character" w:customStyle="1" w:styleId="48">
    <w:name w:val="正文文本缩进 Char"/>
    <w:link w:val="13"/>
    <w:qFormat/>
    <w:uiPriority w:val="0"/>
    <w:rPr>
      <w:rFonts w:eastAsia="宋体"/>
      <w:kern w:val="2"/>
      <w:sz w:val="32"/>
      <w:lang w:val="en-US" w:eastAsia="zh-CN" w:bidi="ar-SA"/>
    </w:rPr>
  </w:style>
  <w:style w:type="character" w:customStyle="1" w:styleId="49">
    <w:name w:val="纯文本 Char"/>
    <w:link w:val="14"/>
    <w:unhideWhenUsed/>
    <w:qFormat/>
    <w:uiPriority w:val="0"/>
    <w:rPr>
      <w:rFonts w:ascii="宋体" w:hAnsi="Tms Rmn" w:eastAsia="宋体"/>
      <w:sz w:val="21"/>
      <w:lang w:val="en-US" w:eastAsia="zh-CN" w:bidi="ar-SA"/>
    </w:rPr>
  </w:style>
  <w:style w:type="paragraph" w:customStyle="1" w:styleId="50">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1">
    <w:name w:val="表格"/>
    <w:basedOn w:val="1"/>
    <w:qFormat/>
    <w:uiPriority w:val="0"/>
    <w:pPr>
      <w:spacing w:line="400" w:lineRule="exact"/>
    </w:pPr>
    <w:rPr>
      <w:sz w:val="24"/>
    </w:rPr>
  </w:style>
  <w:style w:type="paragraph" w:customStyle="1" w:styleId="52">
    <w:name w:val="列出段落1"/>
    <w:basedOn w:val="1"/>
    <w:qFormat/>
    <w:uiPriority w:val="99"/>
    <w:pPr>
      <w:ind w:firstLine="420" w:firstLineChars="200"/>
    </w:pPr>
  </w:style>
  <w:style w:type="paragraph" w:customStyle="1" w:styleId="53">
    <w:name w:val="样式"/>
    <w:link w:val="67"/>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
    <w:name w:val="msonormalcxspmiddle"/>
    <w:basedOn w:val="1"/>
    <w:qFormat/>
    <w:uiPriority w:val="99"/>
    <w:pPr>
      <w:spacing w:before="100" w:beforeAutospacing="1" w:after="100" w:afterAutospacing="1"/>
      <w:jc w:val="left"/>
    </w:pPr>
    <w:rPr>
      <w:kern w:val="0"/>
      <w:sz w:val="24"/>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57">
    <w:name w:val="Char1"/>
    <w:basedOn w:val="1"/>
    <w:next w:val="1"/>
    <w:qFormat/>
    <w:uiPriority w:val="99"/>
    <w:pPr>
      <w:spacing w:line="240" w:lineRule="atLeast"/>
      <w:ind w:left="420" w:firstLine="420"/>
      <w:jc w:val="left"/>
    </w:pPr>
    <w:rPr>
      <w:kern w:val="0"/>
      <w:szCs w:val="21"/>
    </w:rPr>
  </w:style>
  <w:style w:type="paragraph" w:customStyle="1" w:styleId="58">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paragraph" w:customStyle="1" w:styleId="59">
    <w:name w:val="样式 节标题1 + 段前: 0.5 行 段后: 0.5 行"/>
    <w:basedOn w:val="1"/>
    <w:qFormat/>
    <w:uiPriority w:val="0"/>
    <w:pPr>
      <w:numPr>
        <w:ilvl w:val="1"/>
        <w:numId w:val="1"/>
      </w:numPr>
      <w:spacing w:before="163" w:beforeLines="50" w:after="163" w:afterLines="50"/>
    </w:pPr>
    <w:rPr>
      <w:rFonts w:cs="宋体"/>
      <w:b/>
      <w:bCs/>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Table Paragraph"/>
    <w:basedOn w:val="1"/>
    <w:qFormat/>
    <w:uiPriority w:val="1"/>
  </w:style>
  <w:style w:type="paragraph" w:customStyle="1" w:styleId="62">
    <w:name w:val="Char Char Char Char Char Char Char Char Char Char Char Char Char Char1 Char Char Char Char"/>
    <w:basedOn w:val="1"/>
    <w:qFormat/>
    <w:uiPriority w:val="0"/>
    <w:rPr>
      <w:szCs w:val="21"/>
    </w:rPr>
  </w:style>
  <w:style w:type="paragraph" w:customStyle="1" w:styleId="6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列出段落2"/>
    <w:basedOn w:val="1"/>
    <w:qFormat/>
    <w:uiPriority w:val="0"/>
    <w:pPr>
      <w:ind w:firstLine="420" w:firstLineChars="200"/>
    </w:pPr>
    <w:rPr>
      <w:rFonts w:ascii="Calibri" w:hAnsi="Calibri"/>
      <w:szCs w:val="21"/>
    </w:rPr>
  </w:style>
  <w:style w:type="paragraph" w:customStyle="1" w:styleId="65">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66">
    <w:name w:val="正文文本 Char"/>
    <w:link w:val="12"/>
    <w:qFormat/>
    <w:uiPriority w:val="99"/>
    <w:rPr>
      <w:rFonts w:ascii="Times New Roman" w:hAnsi="Times New Roman" w:eastAsia="仿宋_GB2312"/>
      <w:kern w:val="2"/>
      <w:sz w:val="32"/>
      <w:szCs w:val="24"/>
    </w:rPr>
  </w:style>
  <w:style w:type="character" w:customStyle="1" w:styleId="67">
    <w:name w:val="样式 Char Char"/>
    <w:link w:val="53"/>
    <w:qFormat/>
    <w:locked/>
    <w:uiPriority w:val="0"/>
    <w:rPr>
      <w:rFonts w:ascii="宋体" w:hAnsi="宋体" w:cs="宋体"/>
      <w:sz w:val="24"/>
      <w:szCs w:val="24"/>
    </w:rPr>
  </w:style>
  <w:style w:type="character" w:customStyle="1" w:styleId="68">
    <w:name w:val="标题 1 Char"/>
    <w:link w:val="3"/>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E8918-DA6F-4552-AEF5-BD86D63CB42C}">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71</Pages>
  <Words>6426</Words>
  <Characters>36632</Characters>
  <Lines>305</Lines>
  <Paragraphs>85</Paragraphs>
  <TotalTime>10</TotalTime>
  <ScaleCrop>false</ScaleCrop>
  <LinksUpToDate>false</LinksUpToDate>
  <CharactersWithSpaces>42973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2020-06-01T08:18:00Z</dcterms:created>
  <dc:creator>吴正新</dc:creator>
  <cp:lastModifiedBy>杨艺</cp:lastModifiedBy>
  <cp:lastPrinted>2020-06-01T08:18:00Z</cp:lastPrinted>
  <dcterms:modified xsi:type="dcterms:W3CDTF">2021-04-28T09:17:05Z</dcterms:modified>
  <dc:title>招标编号：xx政采招[xxxx] xxx号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B278040AE0DF4DAAA57C9D4C4D70AD5A</vt:lpwstr>
  </property>
</Properties>
</file>