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sz w:val="52"/>
          <w:szCs w:val="52"/>
          <w:highlight w:val="none"/>
        </w:rPr>
      </w:pPr>
      <w:r>
        <w:rPr>
          <w:rFonts w:hint="eastAsia"/>
          <w:b/>
          <w:color w:val="000000"/>
          <w:sz w:val="52"/>
          <w:szCs w:val="52"/>
          <w:highlight w:val="none"/>
        </w:rPr>
        <w:t>采购编号：510105202100040号</w:t>
      </w:r>
    </w:p>
    <w:p>
      <w:pPr>
        <w:jc w:val="center"/>
        <w:rPr>
          <w:b/>
          <w:color w:val="000000"/>
          <w:sz w:val="52"/>
          <w:szCs w:val="52"/>
          <w:highlight w:val="none"/>
        </w:rPr>
      </w:pPr>
    </w:p>
    <w:p>
      <w:pPr>
        <w:jc w:val="center"/>
        <w:rPr>
          <w:b/>
          <w:color w:val="000000"/>
          <w:sz w:val="52"/>
          <w:szCs w:val="52"/>
          <w:highlight w:val="none"/>
        </w:rPr>
      </w:pPr>
    </w:p>
    <w:p>
      <w:pPr>
        <w:jc w:val="center"/>
        <w:rPr>
          <w:rFonts w:hAnsi="Times New Roman"/>
          <w:b/>
          <w:color w:val="000000"/>
          <w:sz w:val="52"/>
          <w:szCs w:val="52"/>
          <w:highlight w:val="none"/>
        </w:rPr>
      </w:pPr>
      <w:r>
        <w:rPr>
          <w:rFonts w:hint="eastAsia" w:hAnsi="Times New Roman"/>
          <w:b/>
          <w:color w:val="000000"/>
          <w:sz w:val="52"/>
          <w:szCs w:val="52"/>
          <w:highlight w:val="none"/>
        </w:rPr>
        <w:t>成都市青羊区国有资产监督管理局</w:t>
      </w:r>
    </w:p>
    <w:p>
      <w:pPr>
        <w:jc w:val="center"/>
        <w:rPr>
          <w:rFonts w:hint="eastAsia" w:hAnsi="Times New Roman" w:eastAsia="宋体"/>
          <w:b/>
          <w:color w:val="000000"/>
          <w:sz w:val="52"/>
          <w:szCs w:val="52"/>
          <w:highlight w:val="none"/>
          <w:lang w:eastAsia="zh-CN"/>
        </w:rPr>
      </w:pPr>
      <w:r>
        <w:rPr>
          <w:rFonts w:hint="eastAsia" w:hAnsi="Times New Roman"/>
          <w:b/>
          <w:color w:val="000000"/>
          <w:sz w:val="52"/>
          <w:szCs w:val="52"/>
          <w:highlight w:val="none"/>
        </w:rPr>
        <w:t>青羊区国资国企改革发展第十四个五年规划（2021-2025年）编制服务项目</w:t>
      </w:r>
      <w:r>
        <w:rPr>
          <w:rFonts w:hint="eastAsia" w:hAnsi="Times New Roman"/>
          <w:b/>
          <w:color w:val="000000"/>
          <w:sz w:val="52"/>
          <w:szCs w:val="52"/>
          <w:highlight w:val="none"/>
          <w:lang w:eastAsia="zh-CN"/>
        </w:rPr>
        <w:t>第二次</w:t>
      </w:r>
    </w:p>
    <w:p>
      <w:pPr>
        <w:jc w:val="center"/>
        <w:rPr>
          <w:b/>
          <w:color w:val="000000"/>
          <w:sz w:val="52"/>
          <w:szCs w:val="52"/>
          <w:highlight w:val="none"/>
        </w:rPr>
      </w:pPr>
    </w:p>
    <w:p>
      <w:pPr>
        <w:jc w:val="center"/>
        <w:rPr>
          <w:b/>
          <w:color w:val="000000"/>
          <w:sz w:val="52"/>
          <w:szCs w:val="52"/>
          <w:highlight w:val="none"/>
        </w:rPr>
      </w:pPr>
    </w:p>
    <w:p>
      <w:pPr>
        <w:jc w:val="center"/>
        <w:rPr>
          <w:b/>
          <w:color w:val="000000"/>
          <w:sz w:val="52"/>
          <w:szCs w:val="52"/>
          <w:highlight w:val="none"/>
        </w:rPr>
      </w:pPr>
      <w:r>
        <w:rPr>
          <w:rFonts w:hint="eastAsia"/>
          <w:b/>
          <w:color w:val="000000"/>
          <w:sz w:val="52"/>
          <w:szCs w:val="52"/>
          <w:highlight w:val="none"/>
        </w:rPr>
        <w:t>竞</w:t>
      </w:r>
    </w:p>
    <w:p>
      <w:pPr>
        <w:jc w:val="center"/>
        <w:rPr>
          <w:b/>
          <w:color w:val="000000"/>
          <w:sz w:val="52"/>
          <w:szCs w:val="52"/>
          <w:highlight w:val="none"/>
        </w:rPr>
      </w:pPr>
      <w:r>
        <w:rPr>
          <w:rFonts w:hint="eastAsia"/>
          <w:b/>
          <w:color w:val="000000"/>
          <w:sz w:val="52"/>
          <w:szCs w:val="52"/>
          <w:highlight w:val="none"/>
        </w:rPr>
        <w:t>争</w:t>
      </w:r>
    </w:p>
    <w:p>
      <w:pPr>
        <w:jc w:val="center"/>
        <w:rPr>
          <w:b/>
          <w:color w:val="000000"/>
          <w:sz w:val="52"/>
          <w:szCs w:val="52"/>
          <w:highlight w:val="none"/>
        </w:rPr>
      </w:pPr>
      <w:r>
        <w:rPr>
          <w:rFonts w:hint="eastAsia"/>
          <w:b/>
          <w:color w:val="000000"/>
          <w:sz w:val="52"/>
          <w:szCs w:val="52"/>
          <w:highlight w:val="none"/>
        </w:rPr>
        <w:t>性</w:t>
      </w:r>
    </w:p>
    <w:p>
      <w:pPr>
        <w:jc w:val="center"/>
        <w:rPr>
          <w:b/>
          <w:color w:val="000000"/>
          <w:sz w:val="52"/>
          <w:szCs w:val="52"/>
          <w:highlight w:val="none"/>
        </w:rPr>
      </w:pPr>
      <w:r>
        <w:rPr>
          <w:rFonts w:hint="eastAsia"/>
          <w:b/>
          <w:color w:val="000000"/>
          <w:sz w:val="52"/>
          <w:szCs w:val="52"/>
          <w:highlight w:val="none"/>
        </w:rPr>
        <w:t>磋</w:t>
      </w:r>
    </w:p>
    <w:p>
      <w:pPr>
        <w:jc w:val="center"/>
        <w:rPr>
          <w:b/>
          <w:color w:val="000000"/>
          <w:sz w:val="52"/>
          <w:szCs w:val="52"/>
          <w:highlight w:val="none"/>
        </w:rPr>
      </w:pPr>
      <w:r>
        <w:rPr>
          <w:rFonts w:hint="eastAsia"/>
          <w:b/>
          <w:color w:val="000000"/>
          <w:sz w:val="52"/>
          <w:szCs w:val="52"/>
          <w:highlight w:val="none"/>
        </w:rPr>
        <w:t>商</w:t>
      </w:r>
    </w:p>
    <w:p>
      <w:pPr>
        <w:jc w:val="center"/>
        <w:rPr>
          <w:b/>
          <w:color w:val="000000"/>
          <w:sz w:val="52"/>
          <w:szCs w:val="52"/>
          <w:highlight w:val="none"/>
        </w:rPr>
      </w:pPr>
      <w:r>
        <w:rPr>
          <w:rFonts w:hint="eastAsia"/>
          <w:b/>
          <w:color w:val="000000"/>
          <w:sz w:val="52"/>
          <w:szCs w:val="52"/>
          <w:highlight w:val="none"/>
        </w:rPr>
        <w:t>文</w:t>
      </w:r>
    </w:p>
    <w:p>
      <w:pPr>
        <w:jc w:val="center"/>
        <w:rPr>
          <w:b/>
          <w:color w:val="000000"/>
          <w:sz w:val="52"/>
          <w:szCs w:val="52"/>
          <w:highlight w:val="none"/>
        </w:rPr>
      </w:pPr>
      <w:r>
        <w:rPr>
          <w:rFonts w:hint="eastAsia"/>
          <w:b/>
          <w:color w:val="000000"/>
          <w:sz w:val="52"/>
          <w:szCs w:val="52"/>
          <w:highlight w:val="none"/>
        </w:rPr>
        <w:t>件</w:t>
      </w:r>
    </w:p>
    <w:p>
      <w:pPr>
        <w:jc w:val="center"/>
        <w:rPr>
          <w:b/>
          <w:color w:val="000000"/>
          <w:sz w:val="52"/>
          <w:szCs w:val="52"/>
          <w:highlight w:val="none"/>
        </w:rPr>
      </w:pPr>
    </w:p>
    <w:p>
      <w:pPr>
        <w:jc w:val="center"/>
        <w:rPr>
          <w:b/>
          <w:color w:val="000000"/>
          <w:sz w:val="52"/>
          <w:szCs w:val="52"/>
          <w:highlight w:val="none"/>
        </w:rPr>
      </w:pPr>
    </w:p>
    <w:p>
      <w:pPr>
        <w:spacing w:line="360" w:lineRule="auto"/>
        <w:jc w:val="center"/>
        <w:rPr>
          <w:b/>
          <w:sz w:val="32"/>
          <w:szCs w:val="32"/>
          <w:highlight w:val="none"/>
        </w:rPr>
      </w:pPr>
      <w:r>
        <w:rPr>
          <w:rFonts w:hint="eastAsia" w:hAnsi="Times New Roman"/>
          <w:b/>
          <w:sz w:val="30"/>
          <w:szCs w:val="30"/>
          <w:highlight w:val="none"/>
        </w:rPr>
        <w:t>成都市青羊区国有资产监督管理局</w:t>
      </w:r>
    </w:p>
    <w:p>
      <w:pPr>
        <w:spacing w:line="360" w:lineRule="auto"/>
        <w:jc w:val="center"/>
        <w:rPr>
          <w:b/>
          <w:sz w:val="32"/>
          <w:szCs w:val="32"/>
          <w:highlight w:val="none"/>
        </w:rPr>
      </w:pPr>
      <w:r>
        <w:rPr>
          <w:rFonts w:hint="eastAsia"/>
          <w:b/>
          <w:sz w:val="30"/>
          <w:szCs w:val="30"/>
          <w:highlight w:val="none"/>
        </w:rPr>
        <w:t>四川汇合源招投标代理有限公司共同</w:t>
      </w:r>
      <w:r>
        <w:rPr>
          <w:rFonts w:hint="eastAsia"/>
          <w:b/>
          <w:sz w:val="32"/>
          <w:szCs w:val="32"/>
          <w:highlight w:val="none"/>
        </w:rPr>
        <w:t>编制</w:t>
      </w:r>
    </w:p>
    <w:p>
      <w:pPr>
        <w:spacing w:line="360" w:lineRule="auto"/>
        <w:jc w:val="center"/>
        <w:rPr>
          <w:b/>
          <w:bCs/>
          <w:color w:val="000000"/>
          <w:sz w:val="32"/>
          <w:szCs w:val="32"/>
          <w:highlight w:val="none"/>
          <w:lang w:val="zh-CN"/>
        </w:rPr>
      </w:pPr>
      <w:r>
        <w:rPr>
          <w:rFonts w:hint="eastAsia"/>
          <w:b/>
          <w:sz w:val="30"/>
          <w:szCs w:val="30"/>
          <w:highlight w:val="none"/>
        </w:rPr>
        <w:t>2021</w:t>
      </w:r>
      <w:r>
        <w:rPr>
          <w:b/>
          <w:bCs/>
          <w:sz w:val="32"/>
          <w:szCs w:val="32"/>
          <w:highlight w:val="none"/>
          <w:lang w:val="zh-CN"/>
        </w:rPr>
        <w:t>年</w:t>
      </w:r>
      <w:r>
        <w:rPr>
          <w:rFonts w:hint="eastAsia"/>
          <w:b/>
          <w:bCs/>
          <w:sz w:val="32"/>
          <w:szCs w:val="32"/>
          <w:highlight w:val="none"/>
          <w:lang w:val="en-US" w:eastAsia="zh-CN"/>
        </w:rPr>
        <w:t>7</w:t>
      </w:r>
      <w:r>
        <w:rPr>
          <w:b/>
          <w:bCs/>
          <w:sz w:val="32"/>
          <w:szCs w:val="32"/>
          <w:highlight w:val="none"/>
          <w:lang w:val="zh-CN"/>
        </w:rPr>
        <w:t>月</w:t>
      </w:r>
    </w:p>
    <w:p>
      <w:pPr>
        <w:spacing w:line="400" w:lineRule="exact"/>
        <w:rPr>
          <w:rFonts w:hAnsi="宋体"/>
          <w:color w:val="000000"/>
          <w:sz w:val="32"/>
          <w:highlight w:val="none"/>
        </w:rPr>
        <w:sectPr>
          <w:footerReference r:id="rId7" w:type="first"/>
          <w:headerReference r:id="rId3" w:type="default"/>
          <w:footerReference r:id="rId5" w:type="default"/>
          <w:headerReference r:id="rId4" w:type="even"/>
          <w:footerReference r:id="rId6" w:type="even"/>
          <w:pgSz w:w="11905" w:h="16838"/>
          <w:pgMar w:top="1440" w:right="1083" w:bottom="1440" w:left="1083" w:header="851" w:footer="992" w:gutter="0"/>
          <w:pgNumType w:fmt="numberInDash" w:start="1"/>
          <w:cols w:space="0" w:num="1"/>
          <w:rtlGutter w:val="0"/>
          <w:docGrid w:linePitch="312" w:charSpace="0"/>
        </w:sectPr>
      </w:pPr>
    </w:p>
    <w:p>
      <w:pPr>
        <w:pStyle w:val="4"/>
        <w:keepNext w:val="0"/>
        <w:keepLines w:val="0"/>
        <w:spacing w:line="360" w:lineRule="exact"/>
        <w:jc w:val="center"/>
        <w:rPr>
          <w:rFonts w:ascii="宋体" w:eastAsia="宋体"/>
          <w:b w:val="0"/>
          <w:bCs w:val="0"/>
          <w:color w:val="000000"/>
          <w:sz w:val="36"/>
          <w:highlight w:val="none"/>
        </w:rPr>
      </w:pPr>
      <w:bookmarkStart w:id="0" w:name="_Hlt101233737"/>
      <w:bookmarkEnd w:id="0"/>
      <w:bookmarkStart w:id="1" w:name="_Hlt101843627"/>
      <w:bookmarkEnd w:id="1"/>
    </w:p>
    <w:p>
      <w:pPr>
        <w:pStyle w:val="4"/>
        <w:keepNext w:val="0"/>
        <w:keepLines w:val="0"/>
        <w:spacing w:line="360" w:lineRule="exact"/>
        <w:jc w:val="center"/>
        <w:rPr>
          <w:rFonts w:ascii="宋体" w:eastAsia="宋体"/>
          <w:bCs w:val="0"/>
          <w:color w:val="000000"/>
          <w:sz w:val="36"/>
          <w:highlight w:val="none"/>
        </w:rPr>
      </w:pPr>
      <w:r>
        <w:rPr>
          <w:rFonts w:hint="eastAsia" w:ascii="宋体" w:eastAsia="宋体"/>
          <w:bCs w:val="0"/>
          <w:color w:val="000000"/>
          <w:sz w:val="36"/>
          <w:highlight w:val="none"/>
        </w:rPr>
        <w:t>目    录</w:t>
      </w:r>
    </w:p>
    <w:p>
      <w:pPr>
        <w:rPr>
          <w:color w:val="000000"/>
          <w:highlight w:val="none"/>
        </w:rPr>
      </w:pP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highlight w:val="none"/>
        </w:rPr>
        <w:fldChar w:fldCharType="begin"/>
      </w:r>
      <w:r>
        <w:rPr>
          <w:highlight w:val="none"/>
        </w:rPr>
        <w:instrText xml:space="preserve">TOC \o "1-1" \h \u </w:instrText>
      </w:r>
      <w:r>
        <w:rPr>
          <w:highlight w:val="none"/>
        </w:rPr>
        <w:fldChar w:fldCharType="separate"/>
      </w:r>
      <w:r>
        <w:rPr>
          <w:b/>
          <w:bCs/>
          <w:sz w:val="28"/>
          <w:szCs w:val="28"/>
          <w:highlight w:val="none"/>
        </w:rPr>
        <w:fldChar w:fldCharType="begin"/>
      </w:r>
      <w:r>
        <w:rPr>
          <w:b/>
          <w:bCs/>
          <w:sz w:val="28"/>
          <w:szCs w:val="28"/>
          <w:highlight w:val="none"/>
        </w:rPr>
        <w:instrText xml:space="preserve"> HYPERLINK \l _Toc28968 </w:instrText>
      </w:r>
      <w:r>
        <w:rPr>
          <w:b/>
          <w:bCs/>
          <w:sz w:val="28"/>
          <w:szCs w:val="28"/>
          <w:highlight w:val="none"/>
        </w:rPr>
        <w:fldChar w:fldCharType="separate"/>
      </w:r>
      <w:r>
        <w:rPr>
          <w:rFonts w:hint="eastAsia"/>
          <w:b/>
          <w:bCs/>
          <w:sz w:val="28"/>
          <w:szCs w:val="28"/>
          <w:highlight w:val="none"/>
        </w:rPr>
        <w:t>第一章  磋商邀请</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_Toc28968 \h </w:instrText>
      </w:r>
      <w:r>
        <w:rPr>
          <w:b/>
          <w:bCs/>
          <w:sz w:val="28"/>
          <w:szCs w:val="28"/>
          <w:highlight w:val="none"/>
        </w:rPr>
        <w:fldChar w:fldCharType="separate"/>
      </w:r>
      <w:r>
        <w:rPr>
          <w:b/>
          <w:bCs/>
          <w:sz w:val="28"/>
          <w:szCs w:val="28"/>
          <w:highlight w:val="none"/>
        </w:rPr>
        <w:t>- 3 -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_Toc28014 </w:instrText>
      </w:r>
      <w:r>
        <w:rPr>
          <w:b/>
          <w:bCs/>
          <w:sz w:val="28"/>
          <w:szCs w:val="28"/>
          <w:highlight w:val="none"/>
        </w:rPr>
        <w:fldChar w:fldCharType="separate"/>
      </w:r>
      <w:r>
        <w:rPr>
          <w:rFonts w:hint="eastAsia"/>
          <w:b/>
          <w:bCs/>
          <w:sz w:val="28"/>
          <w:szCs w:val="28"/>
          <w:highlight w:val="none"/>
        </w:rPr>
        <w:t>第二章  磋商须知</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_Toc28014 \h </w:instrText>
      </w:r>
      <w:r>
        <w:rPr>
          <w:b/>
          <w:bCs/>
          <w:sz w:val="28"/>
          <w:szCs w:val="28"/>
          <w:highlight w:val="none"/>
        </w:rPr>
        <w:fldChar w:fldCharType="separate"/>
      </w:r>
      <w:r>
        <w:rPr>
          <w:b/>
          <w:bCs/>
          <w:sz w:val="28"/>
          <w:szCs w:val="28"/>
          <w:highlight w:val="none"/>
        </w:rPr>
        <w:t>- 6 -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_Toc21198 </w:instrText>
      </w:r>
      <w:r>
        <w:rPr>
          <w:b/>
          <w:bCs/>
          <w:sz w:val="28"/>
          <w:szCs w:val="28"/>
          <w:highlight w:val="none"/>
        </w:rPr>
        <w:fldChar w:fldCharType="separate"/>
      </w:r>
      <w:r>
        <w:rPr>
          <w:rFonts w:hint="eastAsia"/>
          <w:b/>
          <w:bCs/>
          <w:sz w:val="28"/>
          <w:szCs w:val="28"/>
          <w:highlight w:val="none"/>
        </w:rPr>
        <w:t>第三章  供应商资格条件要求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_Toc21198 \h </w:instrText>
      </w:r>
      <w:r>
        <w:rPr>
          <w:b/>
          <w:bCs/>
          <w:sz w:val="28"/>
          <w:szCs w:val="28"/>
          <w:highlight w:val="none"/>
        </w:rPr>
        <w:fldChar w:fldCharType="separate"/>
      </w:r>
      <w:r>
        <w:rPr>
          <w:b/>
          <w:bCs/>
          <w:sz w:val="28"/>
          <w:szCs w:val="28"/>
          <w:highlight w:val="none"/>
        </w:rPr>
        <w:t>- 19 -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_Toc839 </w:instrText>
      </w:r>
      <w:r>
        <w:rPr>
          <w:b/>
          <w:bCs/>
          <w:sz w:val="28"/>
          <w:szCs w:val="28"/>
          <w:highlight w:val="none"/>
        </w:rPr>
        <w:fldChar w:fldCharType="separate"/>
      </w:r>
      <w:r>
        <w:rPr>
          <w:rFonts w:hint="eastAsia"/>
          <w:b/>
          <w:bCs/>
          <w:sz w:val="28"/>
          <w:szCs w:val="28"/>
          <w:highlight w:val="none"/>
        </w:rPr>
        <w:t>第四章  供应商资格证明材料</w:t>
      </w:r>
      <w:r>
        <w:rPr>
          <w:b/>
          <w:bCs/>
          <w:sz w:val="28"/>
          <w:szCs w:val="28"/>
          <w:highlight w:val="none"/>
        </w:rPr>
        <w:tab/>
      </w:r>
      <w:r>
        <w:rPr>
          <w:b/>
          <w:bCs/>
          <w:sz w:val="28"/>
          <w:szCs w:val="28"/>
          <w:highlight w:val="none"/>
        </w:rPr>
        <w:fldChar w:fldCharType="begin"/>
      </w:r>
      <w:r>
        <w:rPr>
          <w:b/>
          <w:bCs/>
          <w:sz w:val="28"/>
          <w:szCs w:val="28"/>
          <w:highlight w:val="none"/>
        </w:rPr>
        <w:instrText xml:space="preserve"> PAGEREF _Toc839 \h </w:instrText>
      </w:r>
      <w:r>
        <w:rPr>
          <w:b/>
          <w:bCs/>
          <w:sz w:val="28"/>
          <w:szCs w:val="28"/>
          <w:highlight w:val="none"/>
        </w:rPr>
        <w:fldChar w:fldCharType="separate"/>
      </w:r>
      <w:r>
        <w:rPr>
          <w:b/>
          <w:bCs/>
          <w:sz w:val="28"/>
          <w:szCs w:val="28"/>
          <w:highlight w:val="none"/>
        </w:rPr>
        <w:t>- 19 -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_Toc17022 </w:instrText>
      </w:r>
      <w:r>
        <w:rPr>
          <w:b/>
          <w:bCs/>
          <w:sz w:val="28"/>
          <w:szCs w:val="28"/>
          <w:highlight w:val="none"/>
        </w:rPr>
        <w:fldChar w:fldCharType="separate"/>
      </w:r>
      <w:r>
        <w:rPr>
          <w:rFonts w:hint="eastAsia"/>
          <w:b/>
          <w:bCs/>
          <w:sz w:val="28"/>
          <w:szCs w:val="28"/>
          <w:highlight w:val="none"/>
        </w:rPr>
        <w:t>第五章  采购项目技术、服务、政府采购合同内容条款及其他商务要求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_Toc17022 \h </w:instrText>
      </w:r>
      <w:r>
        <w:rPr>
          <w:b/>
          <w:bCs/>
          <w:sz w:val="28"/>
          <w:szCs w:val="28"/>
          <w:highlight w:val="none"/>
        </w:rPr>
        <w:fldChar w:fldCharType="separate"/>
      </w:r>
      <w:r>
        <w:rPr>
          <w:b/>
          <w:bCs/>
          <w:sz w:val="28"/>
          <w:szCs w:val="28"/>
          <w:highlight w:val="none"/>
        </w:rPr>
        <w:t>- 21 -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_Toc31649 </w:instrText>
      </w:r>
      <w:r>
        <w:rPr>
          <w:b/>
          <w:bCs/>
          <w:sz w:val="28"/>
          <w:szCs w:val="28"/>
          <w:highlight w:val="none"/>
        </w:rPr>
        <w:fldChar w:fldCharType="separate"/>
      </w:r>
      <w:r>
        <w:rPr>
          <w:rFonts w:hint="eastAsia"/>
          <w:b/>
          <w:bCs/>
          <w:sz w:val="28"/>
          <w:szCs w:val="28"/>
          <w:highlight w:val="none"/>
        </w:rPr>
        <w:t>第六章  采购项目实质性要求</w:t>
      </w:r>
      <w:r>
        <w:rPr>
          <w:b/>
          <w:bCs/>
          <w:sz w:val="28"/>
          <w:szCs w:val="28"/>
          <w:highlight w:val="none"/>
        </w:rPr>
        <w:tab/>
      </w:r>
      <w:r>
        <w:rPr>
          <w:b/>
          <w:bCs/>
          <w:sz w:val="28"/>
          <w:szCs w:val="28"/>
          <w:highlight w:val="none"/>
        </w:rPr>
        <w:fldChar w:fldCharType="begin"/>
      </w:r>
      <w:r>
        <w:rPr>
          <w:b/>
          <w:bCs/>
          <w:sz w:val="28"/>
          <w:szCs w:val="28"/>
          <w:highlight w:val="none"/>
        </w:rPr>
        <w:instrText xml:space="preserve"> PAGEREF _Toc31649 \h </w:instrText>
      </w:r>
      <w:r>
        <w:rPr>
          <w:b/>
          <w:bCs/>
          <w:sz w:val="28"/>
          <w:szCs w:val="28"/>
          <w:highlight w:val="none"/>
        </w:rPr>
        <w:fldChar w:fldCharType="separate"/>
      </w:r>
      <w:r>
        <w:rPr>
          <w:b/>
          <w:bCs/>
          <w:sz w:val="28"/>
          <w:szCs w:val="28"/>
          <w:highlight w:val="none"/>
        </w:rPr>
        <w:t>- 25 -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_Toc29134 </w:instrText>
      </w:r>
      <w:r>
        <w:rPr>
          <w:b/>
          <w:bCs/>
          <w:sz w:val="28"/>
          <w:szCs w:val="28"/>
          <w:highlight w:val="none"/>
        </w:rPr>
        <w:fldChar w:fldCharType="separate"/>
      </w:r>
      <w:r>
        <w:rPr>
          <w:rFonts w:hint="eastAsia"/>
          <w:b/>
          <w:bCs/>
          <w:sz w:val="28"/>
          <w:szCs w:val="28"/>
          <w:highlight w:val="none"/>
        </w:rPr>
        <w:t>第七章  磋商内容、磋商过程中可实质性变动的内容</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_Toc29134 \h </w:instrText>
      </w:r>
      <w:r>
        <w:rPr>
          <w:b/>
          <w:bCs/>
          <w:sz w:val="28"/>
          <w:szCs w:val="28"/>
          <w:highlight w:val="none"/>
        </w:rPr>
        <w:fldChar w:fldCharType="separate"/>
      </w:r>
      <w:r>
        <w:rPr>
          <w:b/>
          <w:bCs/>
          <w:sz w:val="28"/>
          <w:szCs w:val="28"/>
          <w:highlight w:val="none"/>
        </w:rPr>
        <w:t>- 26 -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_Toc22710 </w:instrText>
      </w:r>
      <w:r>
        <w:rPr>
          <w:b/>
          <w:bCs/>
          <w:sz w:val="28"/>
          <w:szCs w:val="28"/>
          <w:highlight w:val="none"/>
        </w:rPr>
        <w:fldChar w:fldCharType="separate"/>
      </w:r>
      <w:r>
        <w:rPr>
          <w:rFonts w:hint="eastAsia"/>
          <w:b/>
          <w:bCs/>
          <w:sz w:val="28"/>
          <w:szCs w:val="28"/>
          <w:highlight w:val="none"/>
        </w:rPr>
        <w:t>第八章  响应文件格式</w:t>
      </w:r>
      <w:r>
        <w:rPr>
          <w:b/>
          <w:bCs/>
          <w:sz w:val="28"/>
          <w:szCs w:val="28"/>
          <w:highlight w:val="none"/>
        </w:rPr>
        <w:tab/>
      </w:r>
      <w:r>
        <w:rPr>
          <w:b/>
          <w:bCs/>
          <w:sz w:val="28"/>
          <w:szCs w:val="28"/>
          <w:highlight w:val="none"/>
        </w:rPr>
        <w:fldChar w:fldCharType="begin"/>
      </w:r>
      <w:r>
        <w:rPr>
          <w:b/>
          <w:bCs/>
          <w:sz w:val="28"/>
          <w:szCs w:val="28"/>
          <w:highlight w:val="none"/>
        </w:rPr>
        <w:instrText xml:space="preserve"> PAGEREF _Toc22710 \h </w:instrText>
      </w:r>
      <w:r>
        <w:rPr>
          <w:b/>
          <w:bCs/>
          <w:sz w:val="28"/>
          <w:szCs w:val="28"/>
          <w:highlight w:val="none"/>
        </w:rPr>
        <w:fldChar w:fldCharType="separate"/>
      </w:r>
      <w:r>
        <w:rPr>
          <w:b/>
          <w:bCs/>
          <w:sz w:val="28"/>
          <w:szCs w:val="28"/>
          <w:highlight w:val="none"/>
        </w:rPr>
        <w:t>- 27 -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b/>
          <w:bCs/>
          <w:sz w:val="28"/>
          <w:szCs w:val="28"/>
          <w:highlight w:val="none"/>
        </w:rPr>
      </w:pPr>
      <w:r>
        <w:rPr>
          <w:b/>
          <w:bCs/>
          <w:sz w:val="28"/>
          <w:szCs w:val="28"/>
          <w:highlight w:val="none"/>
        </w:rPr>
        <w:fldChar w:fldCharType="begin"/>
      </w:r>
      <w:r>
        <w:rPr>
          <w:b/>
          <w:bCs/>
          <w:sz w:val="28"/>
          <w:szCs w:val="28"/>
          <w:highlight w:val="none"/>
        </w:rPr>
        <w:instrText xml:space="preserve"> HYPERLINK \l _Toc32035 </w:instrText>
      </w:r>
      <w:r>
        <w:rPr>
          <w:b/>
          <w:bCs/>
          <w:sz w:val="28"/>
          <w:szCs w:val="28"/>
          <w:highlight w:val="none"/>
        </w:rPr>
        <w:fldChar w:fldCharType="separate"/>
      </w:r>
      <w:r>
        <w:rPr>
          <w:rFonts w:hint="eastAsia"/>
          <w:b/>
          <w:bCs/>
          <w:sz w:val="28"/>
          <w:szCs w:val="28"/>
          <w:highlight w:val="none"/>
        </w:rPr>
        <w:t>第九章  评审方法</w:t>
      </w:r>
      <w:r>
        <w:rPr>
          <w:b/>
          <w:bCs/>
          <w:sz w:val="28"/>
          <w:szCs w:val="28"/>
          <w:highlight w:val="none"/>
        </w:rPr>
        <w:tab/>
      </w:r>
      <w:r>
        <w:rPr>
          <w:b/>
          <w:bCs/>
          <w:sz w:val="28"/>
          <w:szCs w:val="28"/>
          <w:highlight w:val="none"/>
        </w:rPr>
        <w:fldChar w:fldCharType="begin"/>
      </w:r>
      <w:r>
        <w:rPr>
          <w:b/>
          <w:bCs/>
          <w:sz w:val="28"/>
          <w:szCs w:val="28"/>
          <w:highlight w:val="none"/>
        </w:rPr>
        <w:instrText xml:space="preserve"> PAGEREF _Toc32035 \h </w:instrText>
      </w:r>
      <w:r>
        <w:rPr>
          <w:b/>
          <w:bCs/>
          <w:sz w:val="28"/>
          <w:szCs w:val="28"/>
          <w:highlight w:val="none"/>
        </w:rPr>
        <w:fldChar w:fldCharType="separate"/>
      </w:r>
      <w:r>
        <w:rPr>
          <w:b/>
          <w:bCs/>
          <w:sz w:val="28"/>
          <w:szCs w:val="28"/>
          <w:highlight w:val="none"/>
        </w:rPr>
        <w:t>- 40 -</w:t>
      </w:r>
      <w:r>
        <w:rPr>
          <w:b/>
          <w:bCs/>
          <w:sz w:val="28"/>
          <w:szCs w:val="28"/>
          <w:highlight w:val="none"/>
        </w:rPr>
        <w:fldChar w:fldCharType="end"/>
      </w:r>
      <w:r>
        <w:rPr>
          <w:b/>
          <w:bCs/>
          <w:sz w:val="28"/>
          <w:szCs w:val="28"/>
          <w:highlight w:val="none"/>
        </w:rPr>
        <w:fldChar w:fldCharType="end"/>
      </w:r>
    </w:p>
    <w:p>
      <w:pPr>
        <w:pStyle w:val="14"/>
        <w:keepNext w:val="0"/>
        <w:keepLines w:val="0"/>
        <w:pageBreakBefore w:val="0"/>
        <w:widowControl w:val="0"/>
        <w:tabs>
          <w:tab w:val="right" w:leader="dot" w:pos="9739"/>
        </w:tabs>
        <w:kinsoku/>
        <w:wordWrap/>
        <w:overflowPunct/>
        <w:topLinePunct w:val="0"/>
        <w:autoSpaceDE/>
        <w:autoSpaceDN/>
        <w:bidi w:val="0"/>
        <w:adjustRightInd/>
        <w:snapToGrid/>
        <w:spacing w:line="800" w:lineRule="exact"/>
        <w:textAlignment w:val="auto"/>
        <w:rPr>
          <w:highlight w:val="none"/>
        </w:rPr>
      </w:pPr>
      <w:r>
        <w:rPr>
          <w:b/>
          <w:bCs/>
          <w:sz w:val="28"/>
          <w:szCs w:val="28"/>
          <w:highlight w:val="none"/>
        </w:rPr>
        <w:fldChar w:fldCharType="begin"/>
      </w:r>
      <w:r>
        <w:rPr>
          <w:b/>
          <w:bCs/>
          <w:sz w:val="28"/>
          <w:szCs w:val="28"/>
          <w:highlight w:val="none"/>
        </w:rPr>
        <w:instrText xml:space="preserve"> HYPERLINK \l _Toc9248 </w:instrText>
      </w:r>
      <w:r>
        <w:rPr>
          <w:b/>
          <w:bCs/>
          <w:sz w:val="28"/>
          <w:szCs w:val="28"/>
          <w:highlight w:val="none"/>
        </w:rPr>
        <w:fldChar w:fldCharType="separate"/>
      </w:r>
      <w:r>
        <w:rPr>
          <w:rFonts w:hint="eastAsia"/>
          <w:b/>
          <w:bCs/>
          <w:sz w:val="28"/>
          <w:szCs w:val="28"/>
          <w:highlight w:val="none"/>
        </w:rPr>
        <w:t>第十章  政府采购合同（草案）</w:t>
      </w:r>
      <w:r>
        <w:rPr>
          <w:b/>
          <w:bCs/>
          <w:sz w:val="28"/>
          <w:szCs w:val="28"/>
          <w:highlight w:val="none"/>
        </w:rPr>
        <w:tab/>
      </w:r>
      <w:r>
        <w:rPr>
          <w:b/>
          <w:bCs/>
          <w:sz w:val="28"/>
          <w:szCs w:val="28"/>
          <w:highlight w:val="none"/>
        </w:rPr>
        <w:fldChar w:fldCharType="begin"/>
      </w:r>
      <w:r>
        <w:rPr>
          <w:b/>
          <w:bCs/>
          <w:sz w:val="28"/>
          <w:szCs w:val="28"/>
          <w:highlight w:val="none"/>
        </w:rPr>
        <w:instrText xml:space="preserve"> PAGEREF _Toc9248 \h </w:instrText>
      </w:r>
      <w:r>
        <w:rPr>
          <w:b/>
          <w:bCs/>
          <w:sz w:val="28"/>
          <w:szCs w:val="28"/>
          <w:highlight w:val="none"/>
        </w:rPr>
        <w:fldChar w:fldCharType="separate"/>
      </w:r>
      <w:r>
        <w:rPr>
          <w:b/>
          <w:bCs/>
          <w:sz w:val="28"/>
          <w:szCs w:val="28"/>
          <w:highlight w:val="none"/>
        </w:rPr>
        <w:t>- 48 -</w:t>
      </w:r>
      <w:r>
        <w:rPr>
          <w:b/>
          <w:bCs/>
          <w:sz w:val="28"/>
          <w:szCs w:val="28"/>
          <w:highlight w:val="none"/>
        </w:rPr>
        <w:fldChar w:fldCharType="end"/>
      </w:r>
      <w:r>
        <w:rPr>
          <w:b/>
          <w:bCs/>
          <w:sz w:val="28"/>
          <w:szCs w:val="28"/>
          <w:highlight w:val="none"/>
        </w:rPr>
        <w:fldChar w:fldCharType="end"/>
      </w:r>
    </w:p>
    <w:p>
      <w:pPr>
        <w:rPr>
          <w:highlight w:val="none"/>
        </w:rPr>
      </w:pPr>
      <w:r>
        <w:rPr>
          <w:highlight w:val="none"/>
        </w:rPr>
        <w:fldChar w:fldCharType="end"/>
      </w:r>
    </w:p>
    <w:p>
      <w:pPr>
        <w:pStyle w:val="4"/>
        <w:keepNext w:val="0"/>
        <w:keepLines w:val="0"/>
        <w:spacing w:line="360" w:lineRule="exact"/>
        <w:jc w:val="center"/>
        <w:rPr>
          <w:rFonts w:ascii="宋体" w:eastAsia="宋体"/>
          <w:bCs w:val="0"/>
          <w:color w:val="000000"/>
          <w:sz w:val="36"/>
          <w:highlight w:val="none"/>
        </w:rPr>
      </w:pPr>
      <w:r>
        <w:rPr>
          <w:rStyle w:val="35"/>
          <w:rFonts w:hint="eastAsia"/>
          <w:b w:val="0"/>
          <w:bCs w:val="0"/>
          <w:highlight w:val="none"/>
        </w:rPr>
        <w:br w:type="page"/>
      </w:r>
      <w:bookmarkStart w:id="2" w:name="_Toc29782"/>
      <w:bookmarkStart w:id="3" w:name="_Toc28968"/>
      <w:bookmarkStart w:id="4" w:name="_Toc13592"/>
      <w:bookmarkStart w:id="5" w:name="_Toc213397009"/>
      <w:bookmarkStart w:id="6" w:name="_Toc217446031"/>
      <w:bookmarkStart w:id="7" w:name="_Toc213396759"/>
      <w:bookmarkStart w:id="8" w:name="_Toc213496267"/>
      <w:bookmarkStart w:id="9" w:name="_Toc213396945"/>
      <w:r>
        <w:rPr>
          <w:rStyle w:val="35"/>
          <w:rFonts w:hint="eastAsia"/>
          <w:b/>
          <w:bCs/>
          <w:highlight w:val="none"/>
        </w:rPr>
        <w:t>第一章  磋商邀请</w:t>
      </w:r>
      <w:bookmarkEnd w:id="2"/>
      <w:bookmarkEnd w:id="3"/>
      <w:bookmarkEnd w:id="4"/>
    </w:p>
    <w:p>
      <w:pPr>
        <w:spacing w:line="440" w:lineRule="exact"/>
        <w:ind w:firstLine="720" w:firstLineChars="300"/>
        <w:jc w:val="left"/>
        <w:rPr>
          <w:rFonts w:hAnsi="宋体"/>
          <w:color w:val="000000"/>
          <w:sz w:val="24"/>
          <w:szCs w:val="28"/>
          <w:highlight w:val="none"/>
        </w:rPr>
      </w:pPr>
      <w:r>
        <w:rPr>
          <w:rFonts w:hint="eastAsia" w:hAnsi="宋体"/>
          <w:color w:val="000000"/>
          <w:sz w:val="24"/>
          <w:szCs w:val="32"/>
          <w:highlight w:val="none"/>
          <w:u w:val="single"/>
        </w:rPr>
        <w:t>四川汇合源招投标代理有限公司</w:t>
      </w:r>
      <w:r>
        <w:rPr>
          <w:rFonts w:hint="eastAsia" w:hAnsi="宋体"/>
          <w:color w:val="000000"/>
          <w:sz w:val="24"/>
          <w:szCs w:val="32"/>
          <w:highlight w:val="none"/>
        </w:rPr>
        <w:t>（采购代理机构）受</w:t>
      </w:r>
      <w:r>
        <w:rPr>
          <w:rFonts w:hint="eastAsia" w:hAnsi="宋体"/>
          <w:color w:val="000000"/>
          <w:sz w:val="24"/>
          <w:szCs w:val="32"/>
          <w:highlight w:val="none"/>
          <w:u w:val="single"/>
        </w:rPr>
        <w:t>成都市青羊区国有资产监督管理局</w:t>
      </w:r>
      <w:r>
        <w:rPr>
          <w:rFonts w:hint="eastAsia" w:hAnsi="宋体"/>
          <w:color w:val="000000"/>
          <w:sz w:val="24"/>
          <w:szCs w:val="32"/>
          <w:highlight w:val="none"/>
        </w:rPr>
        <w:t>（采购人）委托，拟对</w:t>
      </w:r>
      <w:r>
        <w:rPr>
          <w:rFonts w:hint="eastAsia" w:hAnsi="宋体"/>
          <w:color w:val="000000"/>
          <w:sz w:val="24"/>
          <w:szCs w:val="32"/>
          <w:highlight w:val="none"/>
          <w:u w:val="single"/>
          <w:lang w:eastAsia="zh-CN"/>
        </w:rPr>
        <w:t>成都市青羊区国有资产监督管理局青羊区国资国企改革发展第十四个五年规划（2021-2025年）编制服务项目第二次</w:t>
      </w:r>
      <w:r>
        <w:rPr>
          <w:rFonts w:hint="eastAsia" w:hAnsi="宋体"/>
          <w:color w:val="000000"/>
          <w:sz w:val="24"/>
          <w:szCs w:val="32"/>
          <w:highlight w:val="none"/>
        </w:rPr>
        <w:t>采用竞争性磋商方式</w:t>
      </w:r>
      <w:r>
        <w:rPr>
          <w:rFonts w:hint="eastAsia" w:hAnsi="宋体"/>
          <w:color w:val="000000"/>
          <w:sz w:val="24"/>
          <w:highlight w:val="none"/>
        </w:rPr>
        <w:t>进行采购，特</w:t>
      </w:r>
      <w:r>
        <w:rPr>
          <w:rFonts w:hint="eastAsia" w:hAnsi="宋体"/>
          <w:color w:val="000000"/>
          <w:sz w:val="24"/>
          <w:szCs w:val="28"/>
          <w:highlight w:val="none"/>
        </w:rPr>
        <w:t>邀请符合本次采购要求的供应商参加</w:t>
      </w:r>
      <w:r>
        <w:rPr>
          <w:rFonts w:hint="eastAsia" w:hAnsi="宋体"/>
          <w:color w:val="000000"/>
          <w:sz w:val="24"/>
          <w:highlight w:val="none"/>
        </w:rPr>
        <w:t>本项目的竞争性磋商</w:t>
      </w:r>
      <w:r>
        <w:rPr>
          <w:rFonts w:hint="eastAsia" w:hAnsi="宋体"/>
          <w:color w:val="000000"/>
          <w:sz w:val="24"/>
          <w:szCs w:val="28"/>
          <w:highlight w:val="none"/>
        </w:rPr>
        <w:t>。</w:t>
      </w:r>
    </w:p>
    <w:p>
      <w:pPr>
        <w:spacing w:line="440" w:lineRule="exact"/>
        <w:ind w:firstLine="480" w:firstLineChars="200"/>
        <w:rPr>
          <w:rFonts w:ascii="黑体" w:hAnsi="宋体" w:eastAsia="黑体"/>
          <w:color w:val="000000"/>
          <w:sz w:val="24"/>
          <w:highlight w:val="none"/>
        </w:rPr>
      </w:pPr>
      <w:r>
        <w:rPr>
          <w:rFonts w:hint="eastAsia" w:ascii="黑体" w:hAnsi="宋体" w:eastAsia="黑体"/>
          <w:color w:val="000000"/>
          <w:sz w:val="24"/>
          <w:highlight w:val="none"/>
        </w:rPr>
        <w:t>一、采购项目基本情况</w:t>
      </w:r>
    </w:p>
    <w:p>
      <w:pPr>
        <w:spacing w:line="440" w:lineRule="exact"/>
        <w:ind w:firstLine="480" w:firstLineChars="200"/>
        <w:rPr>
          <w:rFonts w:hAnsi="宋体"/>
          <w:color w:val="000000"/>
          <w:sz w:val="24"/>
          <w:highlight w:val="none"/>
        </w:rPr>
      </w:pPr>
      <w:r>
        <w:rPr>
          <w:rFonts w:hint="eastAsia" w:hAnsi="宋体"/>
          <w:color w:val="000000"/>
          <w:sz w:val="24"/>
          <w:highlight w:val="none"/>
        </w:rPr>
        <w:t>1.项目编号：</w:t>
      </w:r>
      <w:r>
        <w:rPr>
          <w:rFonts w:ascii="微软雅黑" w:hAnsi="微软雅黑" w:eastAsia="微软雅黑" w:cs="微软雅黑"/>
          <w:i w:val="0"/>
          <w:iCs w:val="0"/>
          <w:caps w:val="0"/>
          <w:color w:val="333333"/>
          <w:spacing w:val="0"/>
          <w:sz w:val="21"/>
          <w:szCs w:val="21"/>
          <w:shd w:val="clear" w:fill="FFFFFF"/>
        </w:rPr>
        <w:t>510105202100040</w:t>
      </w:r>
      <w:r>
        <w:rPr>
          <w:rFonts w:hint="eastAsia" w:hAnsi="宋体"/>
          <w:color w:val="000000"/>
          <w:sz w:val="24"/>
          <w:highlight w:val="none"/>
        </w:rPr>
        <w:t>号</w:t>
      </w:r>
    </w:p>
    <w:p>
      <w:pPr>
        <w:spacing w:line="440" w:lineRule="exact"/>
        <w:ind w:firstLine="480" w:firstLineChars="200"/>
        <w:rPr>
          <w:rFonts w:hint="eastAsia" w:hAnsi="宋体" w:eastAsia="宋体"/>
          <w:color w:val="000000"/>
          <w:sz w:val="24"/>
          <w:highlight w:val="none"/>
          <w:lang w:eastAsia="zh-CN"/>
        </w:rPr>
      </w:pPr>
      <w:r>
        <w:rPr>
          <w:rFonts w:hint="eastAsia" w:hAnsi="宋体"/>
          <w:color w:val="000000"/>
          <w:sz w:val="24"/>
          <w:highlight w:val="none"/>
        </w:rPr>
        <w:t>2.采购项目名称：</w:t>
      </w:r>
      <w:r>
        <w:rPr>
          <w:rFonts w:hint="eastAsia" w:hAnsi="宋体"/>
          <w:color w:val="000000"/>
          <w:sz w:val="24"/>
          <w:highlight w:val="none"/>
          <w:lang w:eastAsia="zh-CN"/>
        </w:rPr>
        <w:t>成都市青羊区国有资产监督管理局青羊区国资国企改革发展第十四个五年规划（2021-2025年）编制服务项目第二次</w:t>
      </w:r>
    </w:p>
    <w:p>
      <w:pPr>
        <w:spacing w:line="440" w:lineRule="exact"/>
        <w:ind w:firstLine="480" w:firstLineChars="200"/>
        <w:rPr>
          <w:rFonts w:hint="eastAsia" w:hAnsi="宋体"/>
          <w:color w:val="000000"/>
          <w:sz w:val="24"/>
          <w:highlight w:val="none"/>
        </w:rPr>
      </w:pPr>
      <w:r>
        <w:rPr>
          <w:rFonts w:hint="eastAsia" w:hAnsi="宋体"/>
          <w:color w:val="000000"/>
          <w:sz w:val="24"/>
          <w:highlight w:val="none"/>
        </w:rPr>
        <w:t>3.采购人：成都市青羊区国有资产监督管理局</w:t>
      </w:r>
    </w:p>
    <w:p>
      <w:pPr>
        <w:spacing w:line="440" w:lineRule="exact"/>
        <w:ind w:firstLine="480" w:firstLineChars="200"/>
        <w:rPr>
          <w:rFonts w:hint="eastAsia" w:hAnsi="宋体"/>
          <w:color w:val="000000"/>
          <w:sz w:val="24"/>
          <w:highlight w:val="none"/>
        </w:rPr>
      </w:pPr>
      <w:r>
        <w:rPr>
          <w:rFonts w:hint="eastAsia" w:hAnsi="宋体"/>
          <w:color w:val="000000"/>
          <w:sz w:val="24"/>
          <w:highlight w:val="none"/>
        </w:rPr>
        <w:t>4.采购代理机构：四川汇合源招投标代理有限公司</w:t>
      </w:r>
    </w:p>
    <w:p>
      <w:pPr>
        <w:spacing w:line="440" w:lineRule="exact"/>
        <w:ind w:firstLine="480" w:firstLineChars="200"/>
        <w:rPr>
          <w:rFonts w:ascii="黑体" w:hAnsi="宋体" w:eastAsia="黑体"/>
          <w:color w:val="000000"/>
          <w:sz w:val="24"/>
          <w:highlight w:val="none"/>
        </w:rPr>
      </w:pPr>
      <w:r>
        <w:rPr>
          <w:rFonts w:hint="eastAsia" w:ascii="黑体" w:hAnsi="宋体" w:eastAsia="黑体"/>
          <w:color w:val="000000"/>
          <w:sz w:val="24"/>
          <w:highlight w:val="none"/>
        </w:rPr>
        <w:t>二、资金情况</w:t>
      </w:r>
    </w:p>
    <w:p>
      <w:pPr>
        <w:spacing w:line="440" w:lineRule="exact"/>
        <w:ind w:right="51" w:rightChars="15" w:firstLine="480" w:firstLineChars="200"/>
        <w:rPr>
          <w:rFonts w:hAnsi="宋体"/>
          <w:b/>
          <w:bCs/>
          <w:color w:val="000000"/>
          <w:sz w:val="24"/>
          <w:highlight w:val="none"/>
        </w:rPr>
      </w:pPr>
      <w:r>
        <w:rPr>
          <w:rFonts w:hint="eastAsia" w:hAnsi="宋体"/>
          <w:color w:val="000000"/>
          <w:sz w:val="24"/>
          <w:highlight w:val="none"/>
        </w:rPr>
        <w:t>资金来源及金额：财政性资金</w:t>
      </w:r>
      <w:r>
        <w:rPr>
          <w:rFonts w:hint="eastAsia" w:hAnsi="宋体"/>
          <w:color w:val="000000"/>
          <w:sz w:val="24"/>
          <w:highlight w:val="none"/>
          <w:lang w:val="en-US" w:eastAsia="zh-CN"/>
        </w:rPr>
        <w:t>50</w:t>
      </w:r>
      <w:r>
        <w:rPr>
          <w:rFonts w:hint="eastAsia" w:hAnsi="宋体"/>
          <w:color w:val="000000"/>
          <w:sz w:val="24"/>
          <w:highlight w:val="none"/>
        </w:rPr>
        <w:t>万元。</w:t>
      </w:r>
    </w:p>
    <w:p>
      <w:pPr>
        <w:spacing w:line="440" w:lineRule="exact"/>
        <w:ind w:firstLine="480" w:firstLineChars="200"/>
        <w:rPr>
          <w:rFonts w:hAnsi="宋体"/>
          <w:color w:val="000000"/>
          <w:sz w:val="24"/>
          <w:highlight w:val="none"/>
        </w:rPr>
      </w:pPr>
      <w:r>
        <w:rPr>
          <w:rFonts w:hint="eastAsia" w:hAnsi="宋体"/>
          <w:b/>
          <w:color w:val="000000"/>
          <w:sz w:val="24"/>
          <w:highlight w:val="none"/>
        </w:rPr>
        <w:t>三</w:t>
      </w:r>
      <w:r>
        <w:rPr>
          <w:rFonts w:hint="eastAsia" w:hAnsi="宋体"/>
          <w:b/>
          <w:bCs/>
          <w:color w:val="000000"/>
          <w:sz w:val="24"/>
          <w:highlight w:val="none"/>
        </w:rPr>
        <w:t>、</w:t>
      </w:r>
      <w:r>
        <w:rPr>
          <w:rFonts w:hint="eastAsia" w:hAnsi="宋体"/>
          <w:b/>
          <w:color w:val="000000"/>
          <w:sz w:val="24"/>
          <w:highlight w:val="none"/>
        </w:rPr>
        <w:t>采购项目简介：</w:t>
      </w:r>
    </w:p>
    <w:p>
      <w:pPr>
        <w:spacing w:after="120" w:line="440" w:lineRule="exact"/>
        <w:ind w:firstLine="480" w:firstLineChars="200"/>
        <w:rPr>
          <w:rFonts w:hAnsi="宋体"/>
          <w:color w:val="000000"/>
          <w:sz w:val="24"/>
          <w:szCs w:val="28"/>
          <w:highlight w:val="none"/>
        </w:rPr>
      </w:pPr>
      <w:r>
        <w:rPr>
          <w:rFonts w:hint="eastAsia" w:hAnsi="宋体"/>
          <w:color w:val="000000"/>
          <w:sz w:val="24"/>
          <w:szCs w:val="28"/>
          <w:highlight w:val="none"/>
        </w:rPr>
        <w:t>（详见磋商文件第</w:t>
      </w:r>
      <w:r>
        <w:rPr>
          <w:rFonts w:hint="eastAsia" w:hAnsi="宋体"/>
          <w:b/>
          <w:bCs/>
          <w:color w:val="000000"/>
          <w:sz w:val="24"/>
          <w:highlight w:val="none"/>
        </w:rPr>
        <w:t>五</w:t>
      </w:r>
      <w:r>
        <w:rPr>
          <w:rFonts w:hint="eastAsia" w:hAnsi="宋体"/>
          <w:color w:val="000000"/>
          <w:sz w:val="24"/>
          <w:szCs w:val="28"/>
          <w:highlight w:val="none"/>
        </w:rPr>
        <w:t>章）</w:t>
      </w:r>
    </w:p>
    <w:p>
      <w:pPr>
        <w:spacing w:after="120" w:line="440" w:lineRule="exact"/>
        <w:ind w:firstLine="480" w:firstLineChars="200"/>
        <w:rPr>
          <w:rFonts w:hAnsi="宋体"/>
          <w:b/>
          <w:bCs/>
          <w:color w:val="000000"/>
          <w:sz w:val="24"/>
          <w:highlight w:val="none"/>
        </w:rPr>
      </w:pPr>
      <w:r>
        <w:rPr>
          <w:rFonts w:hint="eastAsia" w:hAnsi="宋体"/>
          <w:b/>
          <w:bCs/>
          <w:color w:val="000000"/>
          <w:sz w:val="24"/>
          <w:highlight w:val="none"/>
        </w:rPr>
        <w:t>四、供应商邀请方式</w:t>
      </w:r>
    </w:p>
    <w:p>
      <w:pPr>
        <w:spacing w:after="120" w:line="440" w:lineRule="exact"/>
        <w:ind w:firstLine="480" w:firstLineChars="200"/>
        <w:rPr>
          <w:rFonts w:hAnsi="宋体"/>
          <w:bCs/>
          <w:color w:val="000000"/>
          <w:sz w:val="24"/>
          <w:highlight w:val="none"/>
        </w:rPr>
      </w:pPr>
      <w:r>
        <w:rPr>
          <w:rFonts w:hint="eastAsia" w:hAnsi="宋体"/>
          <w:bCs/>
          <w:color w:val="000000"/>
          <w:sz w:val="24"/>
          <w:highlight w:val="none"/>
        </w:rPr>
        <w:t>公告方式：本次竞争性磋商邀请在四川政府采购网（www.ccgp-sichuan.gov.cn）上以公告形式发布。</w:t>
      </w:r>
    </w:p>
    <w:p>
      <w:pPr>
        <w:spacing w:after="120" w:line="440" w:lineRule="exact"/>
        <w:ind w:firstLine="480" w:firstLineChars="200"/>
        <w:rPr>
          <w:rFonts w:hAnsi="宋体"/>
          <w:b/>
          <w:bCs/>
          <w:color w:val="000000"/>
          <w:sz w:val="24"/>
          <w:highlight w:val="none"/>
        </w:rPr>
      </w:pPr>
      <w:r>
        <w:rPr>
          <w:rFonts w:hint="eastAsia" w:hAnsi="宋体"/>
          <w:b/>
          <w:bCs/>
          <w:color w:val="000000"/>
          <w:sz w:val="24"/>
          <w:highlight w:val="none"/>
        </w:rPr>
        <w:t>五、供应商参加本次政府采购活动应具备下列条件</w:t>
      </w:r>
    </w:p>
    <w:p>
      <w:pPr>
        <w:pStyle w:val="50"/>
        <w:spacing w:line="440" w:lineRule="exact"/>
        <w:ind w:firstLine="600" w:firstLineChars="250"/>
        <w:rPr>
          <w:color w:val="000000"/>
          <w:sz w:val="24"/>
          <w:highlight w:val="none"/>
        </w:rPr>
      </w:pPr>
      <w:r>
        <w:rPr>
          <w:rFonts w:hint="eastAsia"/>
          <w:color w:val="000000"/>
          <w:sz w:val="24"/>
          <w:highlight w:val="none"/>
        </w:rPr>
        <w:t>1.具有独立承担民事责任的能力；</w:t>
      </w:r>
    </w:p>
    <w:p>
      <w:pPr>
        <w:tabs>
          <w:tab w:val="left" w:pos="7665"/>
        </w:tabs>
        <w:spacing w:line="440" w:lineRule="exact"/>
        <w:ind w:firstLine="600" w:firstLineChars="250"/>
        <w:rPr>
          <w:color w:val="000000"/>
          <w:sz w:val="24"/>
          <w:highlight w:val="none"/>
        </w:rPr>
      </w:pPr>
      <w:r>
        <w:rPr>
          <w:rFonts w:hint="eastAsia"/>
          <w:color w:val="000000"/>
          <w:sz w:val="24"/>
          <w:highlight w:val="none"/>
        </w:rPr>
        <w:t>2.具有良好的商业信誉和健全的财务会计制度；</w:t>
      </w:r>
    </w:p>
    <w:p>
      <w:pPr>
        <w:tabs>
          <w:tab w:val="left" w:pos="7665"/>
        </w:tabs>
        <w:spacing w:line="440" w:lineRule="exact"/>
        <w:ind w:firstLine="600" w:firstLineChars="250"/>
        <w:rPr>
          <w:color w:val="000000"/>
          <w:sz w:val="24"/>
          <w:highlight w:val="none"/>
        </w:rPr>
      </w:pPr>
      <w:r>
        <w:rPr>
          <w:rFonts w:hint="eastAsia"/>
          <w:color w:val="000000"/>
          <w:sz w:val="24"/>
          <w:highlight w:val="none"/>
        </w:rPr>
        <w:t>3.具有履行合同所必须的设备和专业技术能力；</w:t>
      </w:r>
    </w:p>
    <w:p>
      <w:pPr>
        <w:tabs>
          <w:tab w:val="left" w:pos="7665"/>
        </w:tabs>
        <w:spacing w:line="440" w:lineRule="exact"/>
        <w:ind w:firstLine="600" w:firstLineChars="250"/>
        <w:rPr>
          <w:color w:val="000000"/>
          <w:sz w:val="24"/>
          <w:highlight w:val="none"/>
        </w:rPr>
      </w:pPr>
      <w:r>
        <w:rPr>
          <w:rFonts w:hint="eastAsia"/>
          <w:color w:val="000000"/>
          <w:sz w:val="24"/>
          <w:highlight w:val="none"/>
        </w:rPr>
        <w:t>4.具有依法缴纳税收和社会保障资金的良好记录；</w:t>
      </w:r>
    </w:p>
    <w:p>
      <w:pPr>
        <w:tabs>
          <w:tab w:val="left" w:pos="7665"/>
        </w:tabs>
        <w:spacing w:line="440" w:lineRule="exact"/>
        <w:ind w:firstLine="600" w:firstLineChars="250"/>
        <w:rPr>
          <w:color w:val="000000"/>
          <w:sz w:val="24"/>
          <w:highlight w:val="none"/>
        </w:rPr>
      </w:pPr>
      <w:r>
        <w:rPr>
          <w:rFonts w:hint="eastAsia"/>
          <w:color w:val="000000"/>
          <w:sz w:val="24"/>
          <w:highlight w:val="none"/>
        </w:rPr>
        <w:t>5.参加本次政府采购活动前三年内，在经营活动中没有重大违法记录；</w:t>
      </w:r>
    </w:p>
    <w:p>
      <w:pPr>
        <w:pStyle w:val="50"/>
        <w:spacing w:line="440" w:lineRule="exact"/>
        <w:ind w:firstLine="600" w:firstLineChars="250"/>
        <w:rPr>
          <w:rFonts w:hint="eastAsia" w:eastAsia="宋体"/>
          <w:color w:val="000000"/>
          <w:sz w:val="24"/>
          <w:highlight w:val="none"/>
          <w:lang w:eastAsia="zh-CN"/>
        </w:rPr>
      </w:pPr>
      <w:r>
        <w:rPr>
          <w:rFonts w:hint="eastAsia"/>
          <w:color w:val="000000"/>
          <w:sz w:val="24"/>
          <w:highlight w:val="none"/>
        </w:rPr>
        <w:t>6.法律、行政法规规定的其他条件</w:t>
      </w:r>
      <w:r>
        <w:rPr>
          <w:rFonts w:hint="eastAsia"/>
          <w:color w:val="000000"/>
          <w:sz w:val="24"/>
          <w:highlight w:val="none"/>
          <w:lang w:eastAsia="zh-CN"/>
        </w:rPr>
        <w:t>。</w:t>
      </w:r>
    </w:p>
    <w:p>
      <w:pPr>
        <w:spacing w:line="440" w:lineRule="exact"/>
        <w:ind w:firstLine="480" w:firstLineChars="200"/>
        <w:rPr>
          <w:rFonts w:hAnsi="宋体"/>
          <w:b/>
          <w:color w:val="000000"/>
          <w:sz w:val="24"/>
          <w:highlight w:val="none"/>
        </w:rPr>
      </w:pPr>
      <w:r>
        <w:rPr>
          <w:rFonts w:hint="eastAsia" w:hAnsi="宋体"/>
          <w:b/>
          <w:color w:val="000000"/>
          <w:sz w:val="24"/>
          <w:highlight w:val="none"/>
        </w:rPr>
        <w:t>六、禁止参加本次采购活动的供应商</w:t>
      </w:r>
    </w:p>
    <w:p>
      <w:pPr>
        <w:spacing w:line="440" w:lineRule="exact"/>
        <w:ind w:firstLine="480" w:firstLineChars="200"/>
        <w:rPr>
          <w:rFonts w:hAnsi="宋体"/>
          <w:color w:val="000000"/>
          <w:sz w:val="24"/>
          <w:highlight w:val="none"/>
        </w:rPr>
      </w:pPr>
      <w:r>
        <w:rPr>
          <w:rFonts w:hint="eastAsia" w:hAnsi="宋体"/>
          <w:color w:val="000000"/>
          <w:sz w:val="24"/>
          <w:highlight w:val="none"/>
        </w:rPr>
        <w:t>1.根据《关于在政府采购活动中查询及使用信用记录有关问题的通知》（财库〔2016〕125号）的要求，采购人/采购代理机构将通过“信用中国”网站（www.creditchina.gov.cn）、“中国政府采购网”网站（www.ccgp.gov.cn）等渠道查询供应商在参加政府采购活动前的信用记录并保存信用记录结果网页截图，</w:t>
      </w:r>
      <w:r>
        <w:rPr>
          <w:rFonts w:hint="eastAsia" w:hAnsi="宋体"/>
          <w:sz w:val="24"/>
          <w:highlight w:val="none"/>
        </w:rPr>
        <w:t>拒绝列入</w:t>
      </w:r>
      <w:r>
        <w:rPr>
          <w:rFonts w:hint="eastAsia" w:hAnsi="宋体"/>
          <w:color w:val="000000"/>
          <w:sz w:val="24"/>
          <w:highlight w:val="none"/>
        </w:rPr>
        <w:t>失信被执行人名单、重大税收违法案件当事人名单、政府采购严重违法失信行为记录名单中的供应商报名参加本项目的采购活动。</w:t>
      </w:r>
    </w:p>
    <w:p>
      <w:pPr>
        <w:spacing w:line="440" w:lineRule="exact"/>
        <w:ind w:firstLine="480" w:firstLineChars="200"/>
        <w:rPr>
          <w:rFonts w:hAnsi="宋体"/>
          <w:color w:val="000000"/>
          <w:sz w:val="24"/>
          <w:highlight w:val="none"/>
        </w:rPr>
      </w:pPr>
      <w:r>
        <w:rPr>
          <w:rFonts w:hint="eastAsia" w:hAnsi="宋体"/>
          <w:color w:val="000000"/>
          <w:sz w:val="24"/>
          <w:highlight w:val="none"/>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spacing w:line="440" w:lineRule="exact"/>
        <w:ind w:firstLine="480" w:firstLineChars="200"/>
        <w:rPr>
          <w:rFonts w:hAnsi="宋体"/>
          <w:b/>
          <w:color w:val="000000"/>
          <w:sz w:val="24"/>
          <w:highlight w:val="none"/>
        </w:rPr>
      </w:pPr>
      <w:r>
        <w:rPr>
          <w:rFonts w:hint="eastAsia" w:hAnsi="宋体"/>
          <w:b/>
          <w:color w:val="000000"/>
          <w:sz w:val="24"/>
          <w:highlight w:val="none"/>
        </w:rPr>
        <w:t>七、磋商文件获取方式、时间、地点：</w:t>
      </w:r>
    </w:p>
    <w:p>
      <w:pPr>
        <w:spacing w:line="440" w:lineRule="exact"/>
        <w:ind w:firstLine="480" w:firstLineChars="200"/>
        <w:rPr>
          <w:rFonts w:hint="eastAsia" w:hAnsi="宋体" w:eastAsia="宋体"/>
          <w:color w:val="000000"/>
          <w:sz w:val="24"/>
          <w:highlight w:val="none"/>
          <w:lang w:eastAsia="zh-CN"/>
        </w:rPr>
      </w:pPr>
      <w:r>
        <w:rPr>
          <w:rFonts w:hint="eastAsia" w:hAnsi="宋体"/>
          <w:color w:val="000000"/>
          <w:sz w:val="24"/>
          <w:highlight w:val="none"/>
        </w:rPr>
        <w:t>磋商文件自2021年</w:t>
      </w:r>
      <w:r>
        <w:rPr>
          <w:rFonts w:hint="eastAsia" w:hAnsi="宋体"/>
          <w:color w:val="000000"/>
          <w:sz w:val="24"/>
          <w:highlight w:val="none"/>
          <w:lang w:val="en-US" w:eastAsia="zh-CN"/>
        </w:rPr>
        <w:t>7</w:t>
      </w:r>
      <w:r>
        <w:rPr>
          <w:rFonts w:hint="eastAsia" w:hAnsi="宋体"/>
          <w:color w:val="000000"/>
          <w:sz w:val="24"/>
          <w:highlight w:val="none"/>
        </w:rPr>
        <w:t>月</w:t>
      </w:r>
      <w:r>
        <w:rPr>
          <w:rFonts w:hint="eastAsia" w:hAnsi="宋体"/>
          <w:color w:val="000000"/>
          <w:sz w:val="24"/>
          <w:highlight w:val="none"/>
          <w:lang w:val="en-US" w:eastAsia="zh-CN"/>
        </w:rPr>
        <w:t>3</w:t>
      </w:r>
      <w:r>
        <w:rPr>
          <w:rFonts w:hint="eastAsia" w:hAnsi="宋体"/>
          <w:color w:val="000000"/>
          <w:sz w:val="24"/>
          <w:highlight w:val="none"/>
        </w:rPr>
        <w:t>日至2021年</w:t>
      </w:r>
      <w:r>
        <w:rPr>
          <w:rFonts w:hint="eastAsia" w:hAnsi="宋体"/>
          <w:color w:val="000000"/>
          <w:sz w:val="24"/>
          <w:highlight w:val="none"/>
          <w:lang w:val="en-US" w:eastAsia="zh-CN"/>
        </w:rPr>
        <w:t>7</w:t>
      </w:r>
      <w:r>
        <w:rPr>
          <w:rFonts w:hint="eastAsia" w:hAnsi="宋体"/>
          <w:color w:val="000000"/>
          <w:sz w:val="24"/>
          <w:highlight w:val="none"/>
        </w:rPr>
        <w:t>月</w:t>
      </w:r>
      <w:r>
        <w:rPr>
          <w:rFonts w:hint="eastAsia" w:hAnsi="宋体"/>
          <w:color w:val="000000"/>
          <w:sz w:val="24"/>
          <w:highlight w:val="none"/>
          <w:lang w:val="en-US" w:eastAsia="zh-CN"/>
        </w:rPr>
        <w:t>9</w:t>
      </w:r>
      <w:r>
        <w:rPr>
          <w:rFonts w:hint="eastAsia" w:hAnsi="宋体"/>
          <w:color w:val="000000"/>
          <w:sz w:val="24"/>
          <w:highlight w:val="none"/>
        </w:rPr>
        <w:t>日，每日09:00-17:00（北京时间，法定节假日除外）在成都市武侯区太平园中四路（星狮路818）大合仓星商界4栋4单元3楼302号四川汇合源招投标代理有限公司（地址）获取。磋商资格不能转让</w:t>
      </w:r>
      <w:r>
        <w:rPr>
          <w:rFonts w:hint="eastAsia" w:hAnsi="宋体"/>
          <w:color w:val="000000"/>
          <w:sz w:val="24"/>
          <w:highlight w:val="none"/>
          <w:lang w:eastAsia="zh-CN"/>
        </w:rPr>
        <w:t>。</w:t>
      </w:r>
    </w:p>
    <w:p>
      <w:pPr>
        <w:spacing w:line="440" w:lineRule="exact"/>
        <w:ind w:firstLine="480" w:firstLineChars="200"/>
        <w:rPr>
          <w:rFonts w:hAnsi="宋体"/>
          <w:color w:val="000000"/>
          <w:sz w:val="24"/>
          <w:highlight w:val="none"/>
        </w:rPr>
      </w:pPr>
      <w:r>
        <w:rPr>
          <w:rFonts w:hint="eastAsia" w:hAnsi="宋体"/>
          <w:color w:val="000000"/>
          <w:sz w:val="24"/>
          <w:highlight w:val="none"/>
        </w:rPr>
        <w:t>获取磋商文件方式:</w:t>
      </w:r>
    </w:p>
    <w:p>
      <w:pPr>
        <w:spacing w:line="440" w:lineRule="exact"/>
        <w:ind w:firstLine="480" w:firstLineChars="200"/>
        <w:rPr>
          <w:rFonts w:hAnsi="宋体"/>
          <w:color w:val="000000"/>
          <w:sz w:val="24"/>
          <w:highlight w:val="none"/>
        </w:rPr>
      </w:pPr>
      <w:r>
        <w:rPr>
          <w:rFonts w:hint="eastAsia" w:hAnsi="宋体"/>
          <w:color w:val="000000"/>
          <w:sz w:val="24"/>
          <w:highlight w:val="none"/>
        </w:rPr>
        <w:t>1、现场办理：现场办理购买采购文件时，经办人员当场提交以下资料：供应商为法人或者其他组织的，只需提供单位介绍信、经办人身份证明（均加盖单位公章（鲜章））；供应商为自然人的，只需提供本人身份证明。</w:t>
      </w:r>
    </w:p>
    <w:p>
      <w:pPr>
        <w:spacing w:line="440" w:lineRule="exact"/>
        <w:ind w:firstLine="480" w:firstLineChars="200"/>
        <w:rPr>
          <w:rFonts w:hAnsi="宋体"/>
          <w:color w:val="000000"/>
          <w:sz w:val="24"/>
          <w:highlight w:val="none"/>
        </w:rPr>
      </w:pPr>
      <w:r>
        <w:rPr>
          <w:rFonts w:hint="eastAsia" w:hAnsi="宋体"/>
          <w:color w:val="000000"/>
          <w:sz w:val="24"/>
          <w:highlight w:val="none"/>
        </w:rPr>
        <w:t>2、网上(远程)办理：</w:t>
      </w:r>
    </w:p>
    <w:p>
      <w:pPr>
        <w:spacing w:line="440" w:lineRule="exact"/>
        <w:ind w:firstLine="480" w:firstLineChars="200"/>
        <w:rPr>
          <w:rFonts w:hAnsi="宋体"/>
          <w:color w:val="000000"/>
          <w:sz w:val="24"/>
          <w:highlight w:val="none"/>
        </w:rPr>
      </w:pPr>
      <w:r>
        <w:rPr>
          <w:rFonts w:hint="eastAsia" w:hAnsi="宋体"/>
          <w:color w:val="000000"/>
          <w:sz w:val="24"/>
          <w:highlight w:val="none"/>
        </w:rPr>
        <w:t>(1)供应商网上(远程)办理购买采购文件时，请先自行下载公告附件中的《供应商线上报名信息登记表》、《介绍信》，并按相关要求填写信息(单位名称、经办人姓名、经办人手机号、单位座机及传真号、电子邮箱、包号等)。</w:t>
      </w:r>
    </w:p>
    <w:p>
      <w:pPr>
        <w:spacing w:line="440" w:lineRule="exact"/>
        <w:ind w:firstLine="480" w:firstLineChars="200"/>
        <w:rPr>
          <w:rFonts w:hAnsi="宋体"/>
          <w:color w:val="000000"/>
          <w:sz w:val="24"/>
          <w:highlight w:val="none"/>
        </w:rPr>
      </w:pPr>
      <w:r>
        <w:rPr>
          <w:rFonts w:hint="eastAsia" w:hAnsi="宋体"/>
          <w:color w:val="000000"/>
          <w:sz w:val="24"/>
          <w:highlight w:val="none"/>
        </w:rPr>
        <w:t>(2)将已填写的《供应商线上报名信息登记表》、《介绍信》(附经办人身份证复印件)均加盖供应商单位公章后扫描成图片发送至2417434314@qq.com。注：《供应商线上报名信息登记表》、《介绍信》(附经办人身份证复印件)均加盖单位公章的原件请于采购活动组织当日交至四川汇合源招投标代理有限公司采购文件发售办理处。</w:t>
      </w:r>
    </w:p>
    <w:p>
      <w:pPr>
        <w:spacing w:line="440" w:lineRule="exact"/>
        <w:ind w:firstLine="480" w:firstLineChars="200"/>
        <w:rPr>
          <w:rFonts w:hAnsi="宋体"/>
          <w:color w:val="000000"/>
          <w:sz w:val="24"/>
          <w:highlight w:val="none"/>
        </w:rPr>
      </w:pPr>
      <w:r>
        <w:rPr>
          <w:rFonts w:hint="eastAsia" w:hAnsi="宋体"/>
          <w:color w:val="000000"/>
          <w:sz w:val="24"/>
          <w:highlight w:val="none"/>
        </w:rPr>
        <w:t>（3）报名咨询电话：028-85256572。供应商购买采购文件时须如实认真填写项目信息及供应商信息；若因供应商提供的错误信息，对其参加后续采购活动造成影响的，由供应商自行承担所有责任(若供应商需变更报名信息，请于获取采购文件截止之日前到采购代理机构重新登记）。</w:t>
      </w:r>
    </w:p>
    <w:p>
      <w:pPr>
        <w:spacing w:after="120" w:line="440" w:lineRule="exact"/>
        <w:ind w:firstLine="480" w:firstLineChars="200"/>
        <w:rPr>
          <w:rFonts w:hAnsi="宋体"/>
          <w:color w:val="000000"/>
          <w:sz w:val="24"/>
          <w:szCs w:val="28"/>
          <w:highlight w:val="none"/>
        </w:rPr>
      </w:pPr>
      <w:r>
        <w:rPr>
          <w:rFonts w:hint="eastAsia" w:hAnsi="宋体"/>
          <w:b/>
          <w:color w:val="000000"/>
          <w:sz w:val="24"/>
          <w:szCs w:val="28"/>
          <w:highlight w:val="none"/>
        </w:rPr>
        <w:t>八、递交响应文件</w:t>
      </w:r>
      <w:r>
        <w:rPr>
          <w:rFonts w:hint="eastAsia" w:hAnsi="宋体"/>
          <w:b/>
          <w:color w:val="000000"/>
          <w:sz w:val="24"/>
          <w:highlight w:val="none"/>
        </w:rPr>
        <w:t>截止时间：</w:t>
      </w:r>
      <w:r>
        <w:rPr>
          <w:rFonts w:hint="eastAsia" w:hAnsi="宋体"/>
          <w:bCs/>
          <w:color w:val="000000"/>
          <w:sz w:val="24"/>
          <w:highlight w:val="none"/>
        </w:rPr>
        <w:t>2021年</w:t>
      </w:r>
      <w:r>
        <w:rPr>
          <w:rFonts w:hint="eastAsia" w:hAnsi="宋体"/>
          <w:bCs/>
          <w:color w:val="000000"/>
          <w:sz w:val="24"/>
          <w:highlight w:val="none"/>
          <w:lang w:val="en-US" w:eastAsia="zh-CN"/>
        </w:rPr>
        <w:t>7</w:t>
      </w:r>
      <w:r>
        <w:rPr>
          <w:rFonts w:hint="eastAsia" w:hAnsi="宋体"/>
          <w:bCs/>
          <w:color w:val="000000"/>
          <w:sz w:val="24"/>
          <w:highlight w:val="none"/>
        </w:rPr>
        <w:t>月</w:t>
      </w:r>
      <w:r>
        <w:rPr>
          <w:rFonts w:hint="eastAsia" w:hAnsi="宋体"/>
          <w:bCs/>
          <w:color w:val="000000"/>
          <w:sz w:val="24"/>
          <w:highlight w:val="none"/>
          <w:lang w:val="en-US" w:eastAsia="zh-CN"/>
        </w:rPr>
        <w:t>13</w:t>
      </w:r>
      <w:r>
        <w:rPr>
          <w:rFonts w:hint="eastAsia" w:hAnsi="宋体"/>
          <w:bCs/>
          <w:color w:val="000000"/>
          <w:sz w:val="24"/>
          <w:highlight w:val="none"/>
        </w:rPr>
        <w:t>日11</w:t>
      </w:r>
      <w:r>
        <w:rPr>
          <w:rFonts w:hAnsi="宋体"/>
          <w:bCs/>
          <w:color w:val="000000"/>
          <w:sz w:val="24"/>
          <w:highlight w:val="none"/>
        </w:rPr>
        <w:t>:</w:t>
      </w:r>
      <w:r>
        <w:rPr>
          <w:rFonts w:hint="eastAsia" w:hAnsi="宋体"/>
          <w:bCs/>
          <w:color w:val="000000"/>
          <w:sz w:val="24"/>
          <w:highlight w:val="none"/>
        </w:rPr>
        <w:t>00</w:t>
      </w:r>
      <w:r>
        <w:rPr>
          <w:rFonts w:hAnsi="宋体"/>
          <w:color w:val="000000"/>
          <w:sz w:val="24"/>
          <w:szCs w:val="28"/>
          <w:highlight w:val="none"/>
        </w:rPr>
        <w:t>（北京时间）</w:t>
      </w:r>
      <w:r>
        <w:rPr>
          <w:rFonts w:hint="eastAsia" w:hAnsi="宋体"/>
          <w:color w:val="000000"/>
          <w:sz w:val="24"/>
          <w:szCs w:val="28"/>
          <w:highlight w:val="none"/>
        </w:rPr>
        <w:t>。</w:t>
      </w:r>
    </w:p>
    <w:p>
      <w:pPr>
        <w:spacing w:after="120" w:line="440" w:lineRule="exact"/>
        <w:ind w:firstLine="480" w:firstLineChars="200"/>
        <w:rPr>
          <w:rStyle w:val="32"/>
          <w:rFonts w:hAnsi="宋体"/>
          <w:color w:val="000000"/>
          <w:sz w:val="24"/>
          <w:szCs w:val="28"/>
          <w:highlight w:val="none"/>
        </w:rPr>
      </w:pPr>
      <w:r>
        <w:rPr>
          <w:rStyle w:val="32"/>
          <w:rFonts w:hAnsi="宋体"/>
          <w:b/>
          <w:color w:val="000000"/>
          <w:sz w:val="24"/>
          <w:szCs w:val="28"/>
          <w:highlight w:val="none"/>
        </w:rPr>
        <w:t>九</w:t>
      </w:r>
      <w:r>
        <w:rPr>
          <w:rStyle w:val="32"/>
          <w:rFonts w:hAnsi="宋体"/>
          <w:b/>
          <w:color w:val="000000"/>
          <w:sz w:val="24"/>
          <w:highlight w:val="none"/>
        </w:rPr>
        <w:t>、递交响应文件地点：</w:t>
      </w:r>
      <w:r>
        <w:rPr>
          <w:rStyle w:val="32"/>
          <w:rFonts w:hAnsi="宋体"/>
          <w:sz w:val="24"/>
          <w:highlight w:val="none"/>
        </w:rPr>
        <w:t>响应文件必须在递交响应文件截止时间前密封送达</w:t>
      </w:r>
      <w:r>
        <w:rPr>
          <w:rStyle w:val="32"/>
          <w:bCs/>
          <w:color w:val="000000"/>
          <w:sz w:val="24"/>
          <w:highlight w:val="none"/>
        </w:rPr>
        <w:t>四川省成都市武侯区太平园中四路（星狮路818号）大合仓星商界4栋4单元</w:t>
      </w:r>
      <w:r>
        <w:rPr>
          <w:rStyle w:val="32"/>
          <w:rFonts w:hint="eastAsia"/>
          <w:bCs/>
          <w:color w:val="000000"/>
          <w:sz w:val="24"/>
          <w:highlight w:val="none"/>
        </w:rPr>
        <w:t>4</w:t>
      </w:r>
      <w:r>
        <w:rPr>
          <w:rStyle w:val="32"/>
          <w:bCs/>
          <w:color w:val="000000"/>
          <w:sz w:val="24"/>
          <w:highlight w:val="none"/>
        </w:rPr>
        <w:t>楼</w:t>
      </w:r>
      <w:r>
        <w:rPr>
          <w:rStyle w:val="32"/>
          <w:rFonts w:hint="eastAsia"/>
          <w:bCs/>
          <w:color w:val="000000"/>
          <w:sz w:val="24"/>
          <w:highlight w:val="none"/>
        </w:rPr>
        <w:t>402</w:t>
      </w:r>
      <w:r>
        <w:rPr>
          <w:rStyle w:val="32"/>
          <w:bCs/>
          <w:color w:val="000000"/>
          <w:sz w:val="24"/>
          <w:highlight w:val="none"/>
        </w:rPr>
        <w:t>四川汇合源招投标代理有限公司</w:t>
      </w:r>
      <w:r>
        <w:rPr>
          <w:rStyle w:val="32"/>
          <w:rFonts w:hint="eastAsia"/>
          <w:bCs/>
          <w:color w:val="000000"/>
          <w:sz w:val="24"/>
          <w:highlight w:val="none"/>
        </w:rPr>
        <w:t>开标大厅</w:t>
      </w:r>
      <w:r>
        <w:rPr>
          <w:rStyle w:val="32"/>
          <w:rFonts w:hAnsi="宋体"/>
          <w:sz w:val="24"/>
          <w:highlight w:val="none"/>
        </w:rPr>
        <w:t>。逾期送达的响应文件不予接收。本次采购不接收邮寄的响应文件。</w:t>
      </w:r>
    </w:p>
    <w:p>
      <w:pPr>
        <w:spacing w:after="120" w:line="440" w:lineRule="exact"/>
        <w:ind w:firstLine="480" w:firstLineChars="200"/>
        <w:rPr>
          <w:rStyle w:val="32"/>
          <w:rFonts w:hAnsi="宋体"/>
          <w:color w:val="000000"/>
          <w:sz w:val="24"/>
          <w:szCs w:val="28"/>
          <w:highlight w:val="none"/>
        </w:rPr>
      </w:pPr>
      <w:r>
        <w:rPr>
          <w:rStyle w:val="32"/>
          <w:rFonts w:hAnsi="宋体"/>
          <w:b/>
          <w:color w:val="000000"/>
          <w:sz w:val="24"/>
          <w:szCs w:val="28"/>
          <w:highlight w:val="none"/>
        </w:rPr>
        <w:t>十、响应文件开启时间：</w:t>
      </w:r>
      <w:r>
        <w:rPr>
          <w:rStyle w:val="32"/>
          <w:rFonts w:hAnsi="宋体"/>
          <w:bCs/>
          <w:color w:val="000000"/>
          <w:sz w:val="24"/>
          <w:highlight w:val="none"/>
        </w:rPr>
        <w:t>202</w:t>
      </w:r>
      <w:r>
        <w:rPr>
          <w:rStyle w:val="32"/>
          <w:rFonts w:hint="eastAsia" w:hAnsi="宋体"/>
          <w:bCs/>
          <w:color w:val="000000"/>
          <w:sz w:val="24"/>
          <w:highlight w:val="none"/>
        </w:rPr>
        <w:t>1</w:t>
      </w:r>
      <w:r>
        <w:rPr>
          <w:rStyle w:val="32"/>
          <w:rFonts w:hAnsi="宋体"/>
          <w:bCs/>
          <w:color w:val="000000"/>
          <w:sz w:val="24"/>
          <w:highlight w:val="none"/>
        </w:rPr>
        <w:t>年</w:t>
      </w:r>
      <w:r>
        <w:rPr>
          <w:rStyle w:val="32"/>
          <w:rFonts w:hint="eastAsia" w:hAnsi="宋体"/>
          <w:bCs/>
          <w:color w:val="000000"/>
          <w:sz w:val="24"/>
          <w:highlight w:val="none"/>
          <w:lang w:val="en-US" w:eastAsia="zh-CN"/>
        </w:rPr>
        <w:t>7</w:t>
      </w:r>
      <w:r>
        <w:rPr>
          <w:rStyle w:val="32"/>
          <w:rFonts w:hAnsi="宋体"/>
          <w:bCs/>
          <w:color w:val="000000"/>
          <w:sz w:val="24"/>
          <w:highlight w:val="none"/>
        </w:rPr>
        <w:t>月</w:t>
      </w:r>
      <w:r>
        <w:rPr>
          <w:rStyle w:val="32"/>
          <w:rFonts w:hint="eastAsia" w:hAnsi="宋体"/>
          <w:bCs/>
          <w:color w:val="000000"/>
          <w:sz w:val="24"/>
          <w:highlight w:val="none"/>
          <w:lang w:val="en-US" w:eastAsia="zh-CN"/>
        </w:rPr>
        <w:t>13</w:t>
      </w:r>
      <w:bookmarkStart w:id="164" w:name="_GoBack"/>
      <w:bookmarkEnd w:id="164"/>
      <w:r>
        <w:rPr>
          <w:rStyle w:val="32"/>
          <w:rFonts w:hAnsi="宋体"/>
          <w:bCs/>
          <w:color w:val="000000"/>
          <w:sz w:val="24"/>
          <w:highlight w:val="none"/>
        </w:rPr>
        <w:t>日</w:t>
      </w:r>
      <w:r>
        <w:rPr>
          <w:rStyle w:val="32"/>
          <w:rFonts w:hint="eastAsia" w:hAnsi="宋体"/>
          <w:bCs/>
          <w:color w:val="000000"/>
          <w:sz w:val="24"/>
          <w:highlight w:val="none"/>
        </w:rPr>
        <w:t>11</w:t>
      </w:r>
      <w:r>
        <w:rPr>
          <w:rStyle w:val="32"/>
          <w:rFonts w:hAnsi="宋体"/>
          <w:bCs/>
          <w:color w:val="000000"/>
          <w:sz w:val="24"/>
          <w:highlight w:val="none"/>
        </w:rPr>
        <w:t>:</w:t>
      </w:r>
      <w:r>
        <w:rPr>
          <w:rStyle w:val="32"/>
          <w:rFonts w:hint="eastAsia" w:hAnsi="宋体"/>
          <w:bCs/>
          <w:color w:val="000000"/>
          <w:sz w:val="24"/>
          <w:highlight w:val="none"/>
        </w:rPr>
        <w:t>00</w:t>
      </w:r>
      <w:r>
        <w:rPr>
          <w:rStyle w:val="32"/>
          <w:rFonts w:hAnsi="宋体"/>
          <w:color w:val="000000"/>
          <w:sz w:val="24"/>
          <w:szCs w:val="28"/>
          <w:highlight w:val="none"/>
        </w:rPr>
        <w:t>（北京时间）在磋商地点开启。</w:t>
      </w:r>
    </w:p>
    <w:p>
      <w:pPr>
        <w:spacing w:line="440" w:lineRule="exact"/>
        <w:ind w:firstLine="487" w:firstLineChars="203"/>
        <w:rPr>
          <w:rStyle w:val="32"/>
          <w:rFonts w:hAnsi="宋体"/>
          <w:color w:val="000000"/>
          <w:sz w:val="24"/>
          <w:szCs w:val="28"/>
          <w:highlight w:val="none"/>
        </w:rPr>
      </w:pPr>
      <w:r>
        <w:rPr>
          <w:rStyle w:val="32"/>
          <w:rFonts w:hAnsi="宋体"/>
          <w:b/>
          <w:color w:val="000000"/>
          <w:sz w:val="24"/>
          <w:szCs w:val="28"/>
          <w:highlight w:val="none"/>
        </w:rPr>
        <w:t>十一、磋商地点：</w:t>
      </w:r>
      <w:r>
        <w:rPr>
          <w:rStyle w:val="32"/>
          <w:bCs/>
          <w:color w:val="000000"/>
          <w:sz w:val="24"/>
          <w:highlight w:val="none"/>
        </w:rPr>
        <w:t>四川省成都市武侯区太平园中四路（星狮路818号）大合仓星商界4栋4单元3楼302号四川汇合源招投标代理有限公司</w:t>
      </w:r>
      <w:r>
        <w:rPr>
          <w:rStyle w:val="32"/>
          <w:rFonts w:hint="eastAsia"/>
          <w:bCs/>
          <w:color w:val="000000"/>
          <w:sz w:val="24"/>
          <w:highlight w:val="none"/>
        </w:rPr>
        <w:t>评审室</w:t>
      </w:r>
      <w:r>
        <w:rPr>
          <w:rStyle w:val="32"/>
          <w:rFonts w:hAnsi="宋体"/>
          <w:color w:val="000000"/>
          <w:sz w:val="24"/>
          <w:szCs w:val="28"/>
          <w:highlight w:val="none"/>
        </w:rPr>
        <w:t>。</w:t>
      </w:r>
    </w:p>
    <w:p>
      <w:pPr>
        <w:pStyle w:val="51"/>
        <w:spacing w:line="440" w:lineRule="exact"/>
        <w:ind w:firstLine="482"/>
        <w:rPr>
          <w:rStyle w:val="32"/>
          <w:b/>
          <w:color w:val="000000"/>
          <w:sz w:val="24"/>
          <w:highlight w:val="none"/>
        </w:rPr>
      </w:pPr>
      <w:r>
        <w:rPr>
          <w:rStyle w:val="32"/>
          <w:b/>
          <w:color w:val="000000"/>
          <w:sz w:val="24"/>
          <w:highlight w:val="none"/>
        </w:rPr>
        <w:t>十二、联系方式</w:t>
      </w:r>
    </w:p>
    <w:p>
      <w:pPr>
        <w:pStyle w:val="50"/>
        <w:spacing w:line="420" w:lineRule="exact"/>
        <w:ind w:firstLine="482"/>
        <w:rPr>
          <w:rFonts w:hint="eastAsia"/>
          <w:b/>
          <w:sz w:val="24"/>
          <w:highlight w:val="none"/>
        </w:rPr>
      </w:pPr>
      <w:r>
        <w:rPr>
          <w:rFonts w:hint="eastAsia"/>
          <w:b/>
          <w:sz w:val="24"/>
          <w:highlight w:val="none"/>
        </w:rPr>
        <w:t>采购人：成都市青羊区国有资产监督管理局</w:t>
      </w:r>
    </w:p>
    <w:p>
      <w:pPr>
        <w:pStyle w:val="50"/>
        <w:spacing w:line="420" w:lineRule="exact"/>
        <w:ind w:firstLine="480"/>
        <w:rPr>
          <w:bCs/>
          <w:sz w:val="24"/>
          <w:highlight w:val="none"/>
        </w:rPr>
      </w:pPr>
      <w:r>
        <w:rPr>
          <w:rFonts w:hint="eastAsia"/>
          <w:bCs/>
          <w:sz w:val="24"/>
          <w:highlight w:val="none"/>
        </w:rPr>
        <w:t>地    址：</w:t>
      </w:r>
      <w:r>
        <w:rPr>
          <w:rFonts w:hint="eastAsia"/>
          <w:bCs/>
          <w:sz w:val="24"/>
          <w:highlight w:val="none"/>
          <w:lang w:eastAsia="zh-CN"/>
        </w:rPr>
        <w:t>四川省成都市青羊区西华门街</w:t>
      </w:r>
      <w:r>
        <w:rPr>
          <w:rFonts w:hint="eastAsia"/>
          <w:bCs/>
          <w:sz w:val="24"/>
          <w:highlight w:val="none"/>
          <w:lang w:val="en-US" w:eastAsia="zh-CN"/>
        </w:rPr>
        <w:t>19号</w:t>
      </w:r>
      <w:r>
        <w:rPr>
          <w:rFonts w:hint="eastAsia"/>
          <w:bCs/>
          <w:sz w:val="24"/>
          <w:highlight w:val="none"/>
        </w:rPr>
        <w:t xml:space="preserve"> </w:t>
      </w:r>
    </w:p>
    <w:p>
      <w:pPr>
        <w:pStyle w:val="50"/>
        <w:spacing w:line="420" w:lineRule="exact"/>
        <w:ind w:firstLine="480"/>
        <w:rPr>
          <w:bCs/>
          <w:sz w:val="24"/>
          <w:highlight w:val="none"/>
        </w:rPr>
      </w:pPr>
      <w:r>
        <w:rPr>
          <w:rFonts w:hint="eastAsia"/>
          <w:bCs/>
          <w:sz w:val="24"/>
          <w:highlight w:val="none"/>
        </w:rPr>
        <w:t>联 系 人：</w:t>
      </w:r>
      <w:r>
        <w:rPr>
          <w:rFonts w:hint="eastAsia"/>
          <w:bCs/>
          <w:sz w:val="24"/>
          <w:highlight w:val="none"/>
          <w:lang w:eastAsia="zh-CN"/>
        </w:rPr>
        <w:t>孟老师</w:t>
      </w:r>
      <w:r>
        <w:rPr>
          <w:rFonts w:hint="eastAsia"/>
          <w:bCs/>
          <w:sz w:val="24"/>
          <w:highlight w:val="none"/>
        </w:rPr>
        <w:t xml:space="preserve"> </w:t>
      </w:r>
    </w:p>
    <w:p>
      <w:pPr>
        <w:pStyle w:val="50"/>
        <w:spacing w:line="420" w:lineRule="exact"/>
        <w:ind w:firstLine="480"/>
        <w:rPr>
          <w:bCs/>
          <w:sz w:val="24"/>
          <w:highlight w:val="none"/>
        </w:rPr>
      </w:pPr>
      <w:r>
        <w:rPr>
          <w:rFonts w:hint="eastAsia"/>
          <w:bCs/>
          <w:sz w:val="24"/>
          <w:highlight w:val="none"/>
        </w:rPr>
        <w:t>联系电话：</w:t>
      </w:r>
      <w:r>
        <w:rPr>
          <w:rFonts w:hint="eastAsia"/>
          <w:bCs/>
          <w:sz w:val="24"/>
          <w:highlight w:val="none"/>
          <w:lang w:val="en-US" w:eastAsia="zh-CN"/>
        </w:rPr>
        <w:t>028-</w:t>
      </w:r>
      <w:r>
        <w:rPr>
          <w:rFonts w:hint="eastAsia"/>
          <w:bCs/>
          <w:sz w:val="24"/>
          <w:highlight w:val="none"/>
        </w:rPr>
        <w:t>86127315</w:t>
      </w:r>
    </w:p>
    <w:p>
      <w:pPr>
        <w:pStyle w:val="50"/>
        <w:spacing w:line="420" w:lineRule="exact"/>
        <w:ind w:firstLine="482"/>
        <w:rPr>
          <w:b/>
          <w:sz w:val="24"/>
          <w:highlight w:val="none"/>
        </w:rPr>
      </w:pPr>
      <w:r>
        <w:rPr>
          <w:rFonts w:hint="eastAsia"/>
          <w:b/>
          <w:sz w:val="24"/>
          <w:highlight w:val="none"/>
        </w:rPr>
        <w:t>采购代理机构：四川汇合源招投标代理有限公司</w:t>
      </w:r>
    </w:p>
    <w:p>
      <w:pPr>
        <w:pStyle w:val="50"/>
        <w:spacing w:line="420" w:lineRule="exact"/>
        <w:ind w:firstLine="480"/>
        <w:rPr>
          <w:bCs/>
          <w:sz w:val="24"/>
          <w:highlight w:val="none"/>
        </w:rPr>
      </w:pPr>
      <w:r>
        <w:rPr>
          <w:rFonts w:hint="eastAsia"/>
          <w:bCs/>
          <w:sz w:val="24"/>
          <w:highlight w:val="none"/>
        </w:rPr>
        <w:t>地    址：四川省成都市武侯区太平园中四路（星狮路818号）大合仓星商界4栋4单元3楼302号</w:t>
      </w:r>
    </w:p>
    <w:p>
      <w:pPr>
        <w:pStyle w:val="50"/>
        <w:spacing w:line="420" w:lineRule="exact"/>
        <w:ind w:firstLine="480"/>
        <w:rPr>
          <w:bCs/>
          <w:sz w:val="24"/>
          <w:highlight w:val="none"/>
        </w:rPr>
      </w:pPr>
      <w:r>
        <w:rPr>
          <w:rFonts w:hint="eastAsia"/>
          <w:bCs/>
          <w:sz w:val="24"/>
          <w:highlight w:val="none"/>
        </w:rPr>
        <w:t>联 系 人：</w:t>
      </w:r>
      <w:r>
        <w:rPr>
          <w:rFonts w:hint="eastAsia"/>
          <w:bCs/>
          <w:sz w:val="24"/>
          <w:highlight w:val="none"/>
          <w:lang w:eastAsia="zh-CN"/>
        </w:rPr>
        <w:t>曹</w:t>
      </w:r>
      <w:r>
        <w:rPr>
          <w:rFonts w:hint="eastAsia"/>
          <w:bCs/>
          <w:sz w:val="24"/>
          <w:highlight w:val="none"/>
        </w:rPr>
        <w:t xml:space="preserve">先生 </w:t>
      </w:r>
    </w:p>
    <w:p>
      <w:pPr>
        <w:pStyle w:val="50"/>
        <w:spacing w:line="420" w:lineRule="exact"/>
        <w:ind w:firstLine="480"/>
        <w:rPr>
          <w:bCs/>
          <w:sz w:val="24"/>
          <w:highlight w:val="none"/>
        </w:rPr>
      </w:pPr>
      <w:r>
        <w:rPr>
          <w:rFonts w:hint="eastAsia"/>
          <w:bCs/>
          <w:sz w:val="24"/>
          <w:highlight w:val="none"/>
        </w:rPr>
        <w:t>联系电话：028</w:t>
      </w:r>
      <w:r>
        <w:rPr>
          <w:rFonts w:hint="eastAsia"/>
          <w:bCs/>
          <w:sz w:val="24"/>
          <w:highlight w:val="none"/>
          <w:lang w:val="en-US" w:eastAsia="zh-CN"/>
        </w:rPr>
        <w:t>-</w:t>
      </w:r>
      <w:r>
        <w:rPr>
          <w:rFonts w:hint="eastAsia"/>
          <w:bCs/>
          <w:sz w:val="24"/>
          <w:highlight w:val="none"/>
        </w:rPr>
        <w:t>87774949</w:t>
      </w:r>
    </w:p>
    <w:p>
      <w:pPr>
        <w:pStyle w:val="50"/>
        <w:spacing w:line="420" w:lineRule="exact"/>
        <w:ind w:firstLine="482"/>
        <w:rPr>
          <w:b/>
          <w:sz w:val="24"/>
          <w:highlight w:val="none"/>
        </w:rPr>
      </w:pPr>
      <w:r>
        <w:rPr>
          <w:rFonts w:hint="eastAsia"/>
          <w:b/>
          <w:sz w:val="24"/>
          <w:highlight w:val="none"/>
        </w:rPr>
        <w:tab/>
      </w:r>
    </w:p>
    <w:p>
      <w:pPr>
        <w:pStyle w:val="3"/>
        <w:keepNext w:val="0"/>
        <w:keepLines w:val="0"/>
        <w:spacing w:line="240" w:lineRule="atLeast"/>
        <w:rPr>
          <w:color w:val="000000"/>
          <w:sz w:val="36"/>
          <w:szCs w:val="36"/>
          <w:highlight w:val="none"/>
        </w:rPr>
      </w:pPr>
      <w:r>
        <w:rPr>
          <w:rFonts w:hint="eastAsia"/>
          <w:color w:val="000000"/>
          <w:sz w:val="24"/>
          <w:szCs w:val="24"/>
          <w:highlight w:val="none"/>
        </w:rPr>
        <w:br w:type="page"/>
      </w:r>
      <w:bookmarkEnd w:id="5"/>
      <w:bookmarkEnd w:id="6"/>
      <w:bookmarkEnd w:id="7"/>
      <w:bookmarkEnd w:id="8"/>
      <w:bookmarkEnd w:id="9"/>
      <w:bookmarkStart w:id="10" w:name="_Toc28787"/>
      <w:bookmarkStart w:id="11" w:name="_Toc19215"/>
      <w:bookmarkStart w:id="12" w:name="_Toc28014"/>
      <w:r>
        <w:rPr>
          <w:rStyle w:val="35"/>
          <w:rFonts w:hint="eastAsia"/>
          <w:b/>
          <w:bCs/>
          <w:highlight w:val="none"/>
        </w:rPr>
        <w:t>第二章  磋商须知</w:t>
      </w:r>
      <w:bookmarkEnd w:id="10"/>
      <w:bookmarkEnd w:id="11"/>
      <w:bookmarkEnd w:id="12"/>
    </w:p>
    <w:p>
      <w:pPr>
        <w:pStyle w:val="4"/>
        <w:keepNext w:val="0"/>
        <w:keepLines w:val="0"/>
        <w:spacing w:line="240" w:lineRule="atLeast"/>
        <w:jc w:val="center"/>
        <w:rPr>
          <w:color w:val="000000"/>
          <w:highlight w:val="none"/>
        </w:rPr>
      </w:pPr>
      <w:r>
        <w:rPr>
          <w:rFonts w:hint="eastAsia"/>
          <w:color w:val="000000"/>
          <w:highlight w:val="none"/>
        </w:rPr>
        <w:t>一、供应商须知附表</w:t>
      </w:r>
    </w:p>
    <w:tbl>
      <w:tblPr>
        <w:tblStyle w:val="20"/>
        <w:tblW w:w="9783"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41"/>
        <w:gridCol w:w="2478"/>
        <w:gridCol w:w="626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51" w:hRule="exact"/>
          <w:tblHeader/>
          <w:jc w:val="center"/>
        </w:trPr>
        <w:tc>
          <w:tcPr>
            <w:tcW w:w="1041" w:type="dxa"/>
            <w:vAlign w:val="center"/>
          </w:tcPr>
          <w:p>
            <w:pPr>
              <w:pStyle w:val="49"/>
              <w:ind w:left="9"/>
              <w:jc w:val="center"/>
              <w:rPr>
                <w:color w:val="000000"/>
                <w:highlight w:val="none"/>
                <w:lang w:val="zh-CN"/>
              </w:rPr>
            </w:pPr>
            <w:r>
              <w:rPr>
                <w:rFonts w:hint="eastAsia"/>
                <w:color w:val="000000"/>
                <w:highlight w:val="none"/>
                <w:lang w:val="zh-CN"/>
              </w:rPr>
              <w:t xml:space="preserve">序号 </w:t>
            </w:r>
          </w:p>
        </w:tc>
        <w:tc>
          <w:tcPr>
            <w:tcW w:w="2478" w:type="dxa"/>
            <w:vAlign w:val="center"/>
          </w:tcPr>
          <w:p>
            <w:pPr>
              <w:pStyle w:val="49"/>
              <w:ind w:left="38"/>
              <w:jc w:val="center"/>
              <w:rPr>
                <w:color w:val="000000"/>
                <w:highlight w:val="none"/>
                <w:lang w:val="zh-CN"/>
              </w:rPr>
            </w:pPr>
            <w:r>
              <w:rPr>
                <w:rFonts w:hint="eastAsia"/>
                <w:color w:val="000000"/>
                <w:highlight w:val="none"/>
                <w:lang w:val="zh-CN"/>
              </w:rPr>
              <w:t xml:space="preserve">应知事项 </w:t>
            </w:r>
          </w:p>
        </w:tc>
        <w:tc>
          <w:tcPr>
            <w:tcW w:w="6264" w:type="dxa"/>
            <w:vAlign w:val="center"/>
          </w:tcPr>
          <w:p>
            <w:pPr>
              <w:pStyle w:val="49"/>
              <w:jc w:val="center"/>
              <w:rPr>
                <w:color w:val="000000"/>
                <w:highlight w:val="none"/>
                <w:lang w:val="zh-CN"/>
              </w:rPr>
            </w:pPr>
            <w:r>
              <w:rPr>
                <w:rFonts w:hint="eastAsia"/>
                <w:color w:val="000000"/>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3"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1</w:t>
            </w:r>
          </w:p>
        </w:tc>
        <w:tc>
          <w:tcPr>
            <w:tcW w:w="2478" w:type="dxa"/>
            <w:vAlign w:val="center"/>
          </w:tcPr>
          <w:p>
            <w:pPr>
              <w:pStyle w:val="49"/>
              <w:ind w:left="38"/>
              <w:jc w:val="center"/>
              <w:rPr>
                <w:color w:val="000000"/>
                <w:highlight w:val="none"/>
                <w:lang w:val="zh-CN"/>
              </w:rPr>
            </w:pPr>
            <w:r>
              <w:rPr>
                <w:rFonts w:hint="eastAsia"/>
                <w:color w:val="000000"/>
                <w:highlight w:val="none"/>
                <w:lang w:val="zh-CN"/>
              </w:rPr>
              <w:t>确定邀请磋商的供应商数量和方式</w:t>
            </w:r>
          </w:p>
        </w:tc>
        <w:tc>
          <w:tcPr>
            <w:tcW w:w="6264" w:type="dxa"/>
            <w:vAlign w:val="center"/>
          </w:tcPr>
          <w:p>
            <w:pPr>
              <w:pStyle w:val="55"/>
              <w:ind w:firstLine="240" w:firstLineChars="100"/>
              <w:jc w:val="both"/>
              <w:rPr>
                <w:rStyle w:val="32"/>
                <w:rFonts w:hint="eastAsia" w:ascii="宋体" w:hAnsi="宋体" w:eastAsia="宋体" w:cs="宋体"/>
                <w:color w:val="000000"/>
                <w:highlight w:val="none"/>
                <w:lang w:val="zh-CN"/>
              </w:rPr>
            </w:pPr>
            <w:r>
              <w:rPr>
                <w:rStyle w:val="32"/>
                <w:rFonts w:hint="eastAsia" w:ascii="宋体" w:hAnsi="宋体" w:eastAsia="宋体" w:cs="宋体"/>
                <w:color w:val="000000"/>
                <w:highlight w:val="none"/>
                <w:lang w:val="zh-CN"/>
              </w:rPr>
              <w:t>本次磋商邀请的供应商数量：不少于三家</w:t>
            </w:r>
          </w:p>
          <w:p>
            <w:pPr>
              <w:pStyle w:val="49"/>
              <w:ind w:firstLine="240" w:firstLineChars="100"/>
              <w:jc w:val="both"/>
              <w:rPr>
                <w:rFonts w:hint="eastAsia" w:ascii="宋体" w:hAnsi="宋体" w:eastAsia="宋体" w:cs="宋体"/>
                <w:color w:val="000000"/>
                <w:highlight w:val="none"/>
                <w:lang w:val="zh-CN"/>
              </w:rPr>
            </w:pPr>
            <w:r>
              <w:rPr>
                <w:rStyle w:val="32"/>
                <w:rFonts w:hint="eastAsia" w:ascii="宋体" w:hAnsi="宋体" w:eastAsia="宋体" w:cs="宋体"/>
                <w:color w:val="000000"/>
                <w:highlight w:val="none"/>
                <w:lang w:val="zh-CN"/>
              </w:rPr>
              <w:t>本次采购采取发布公告的方式邀请参加磋商的供应商</w:t>
            </w:r>
            <w:r>
              <w:rPr>
                <w:rFonts w:hint="eastAsia" w:ascii="宋体" w:hAnsi="宋体" w:eastAsia="宋体" w:cs="宋体"/>
                <w:color w:val="000000"/>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41"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2</w:t>
            </w:r>
          </w:p>
        </w:tc>
        <w:tc>
          <w:tcPr>
            <w:tcW w:w="2478" w:type="dxa"/>
            <w:vAlign w:val="center"/>
          </w:tcPr>
          <w:p>
            <w:pPr>
              <w:pStyle w:val="55"/>
              <w:ind w:left="38"/>
              <w:jc w:val="center"/>
              <w:rPr>
                <w:rStyle w:val="32"/>
                <w:rFonts w:cs="宋体"/>
                <w:b/>
                <w:bCs/>
                <w:color w:val="000000"/>
                <w:highlight w:val="none"/>
                <w:lang w:val="zh-CN"/>
              </w:rPr>
            </w:pPr>
            <w:r>
              <w:rPr>
                <w:rStyle w:val="32"/>
                <w:rFonts w:hint="eastAsia" w:cs="宋体"/>
                <w:b/>
                <w:bCs/>
                <w:color w:val="000000"/>
                <w:highlight w:val="none"/>
                <w:lang w:val="zh-CN"/>
              </w:rPr>
              <w:t>采购预算</w:t>
            </w:r>
          </w:p>
          <w:p>
            <w:pPr>
              <w:pStyle w:val="55"/>
              <w:ind w:left="38"/>
              <w:jc w:val="center"/>
              <w:rPr>
                <w:rFonts w:cs="宋体"/>
                <w:b/>
                <w:bCs/>
                <w:color w:val="000000"/>
                <w:highlight w:val="none"/>
                <w:lang w:val="zh-CN"/>
              </w:rPr>
            </w:pPr>
            <w:r>
              <w:rPr>
                <w:rStyle w:val="32"/>
                <w:rFonts w:hint="eastAsia" w:cs="宋体"/>
                <w:b/>
                <w:bCs/>
                <w:color w:val="000000"/>
                <w:highlight w:val="none"/>
                <w:lang w:val="zh-CN"/>
              </w:rPr>
              <w:t>（实质性要求）</w:t>
            </w:r>
          </w:p>
        </w:tc>
        <w:tc>
          <w:tcPr>
            <w:tcW w:w="6264" w:type="dxa"/>
          </w:tcPr>
          <w:p>
            <w:pPr>
              <w:pStyle w:val="55"/>
              <w:ind w:firstLine="240" w:firstLineChars="100"/>
              <w:jc w:val="both"/>
              <w:rPr>
                <w:rStyle w:val="32"/>
                <w:rFonts w:hint="eastAsia" w:ascii="宋体" w:hAnsi="宋体" w:eastAsia="宋体" w:cs="宋体"/>
                <w:color w:val="000000"/>
                <w:highlight w:val="none"/>
                <w:lang w:val="zh-CN"/>
              </w:rPr>
            </w:pPr>
            <w:r>
              <w:rPr>
                <w:rStyle w:val="32"/>
                <w:rFonts w:hint="eastAsia" w:ascii="宋体" w:hAnsi="宋体" w:eastAsia="宋体" w:cs="宋体"/>
                <w:color w:val="000000"/>
                <w:highlight w:val="none"/>
                <w:lang w:val="zh-CN"/>
              </w:rPr>
              <w:t>采购预算：</w:t>
            </w:r>
            <w:r>
              <w:rPr>
                <w:rStyle w:val="32"/>
                <w:rFonts w:hint="eastAsia" w:ascii="宋体" w:hAnsi="宋体" w:eastAsia="宋体" w:cs="宋体"/>
                <w:color w:val="000000"/>
                <w:highlight w:val="none"/>
                <w:lang w:val="en-US" w:eastAsia="zh-CN"/>
              </w:rPr>
              <w:t>50</w:t>
            </w:r>
            <w:r>
              <w:rPr>
                <w:rStyle w:val="32"/>
                <w:rFonts w:hint="eastAsia" w:ascii="宋体" w:hAnsi="宋体" w:eastAsia="宋体" w:cs="宋体"/>
                <w:color w:val="000000"/>
                <w:highlight w:val="none"/>
                <w:lang w:val="zh-CN"/>
              </w:rPr>
              <w:t>万元；</w:t>
            </w:r>
          </w:p>
          <w:p>
            <w:pPr>
              <w:pStyle w:val="55"/>
              <w:ind w:firstLine="240" w:firstLineChars="100"/>
              <w:jc w:val="both"/>
              <w:rPr>
                <w:rStyle w:val="32"/>
                <w:rFonts w:hint="eastAsia" w:ascii="宋体" w:hAnsi="宋体" w:eastAsia="宋体" w:cs="宋体"/>
                <w:color w:val="000000"/>
                <w:highlight w:val="none"/>
                <w:lang w:val="zh-CN"/>
              </w:rPr>
            </w:pPr>
            <w:r>
              <w:rPr>
                <w:rStyle w:val="32"/>
                <w:rFonts w:hint="eastAsia" w:ascii="宋体" w:hAnsi="宋体" w:eastAsia="宋体" w:cs="宋体"/>
                <w:color w:val="000000"/>
                <w:highlight w:val="none"/>
                <w:lang w:val="zh-CN"/>
              </w:rPr>
              <w:t>超过采购预算的报价无效。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7"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3</w:t>
            </w:r>
          </w:p>
        </w:tc>
        <w:tc>
          <w:tcPr>
            <w:tcW w:w="2478" w:type="dxa"/>
            <w:vAlign w:val="center"/>
          </w:tcPr>
          <w:p>
            <w:pPr>
              <w:pStyle w:val="55"/>
              <w:ind w:left="38"/>
              <w:jc w:val="center"/>
              <w:rPr>
                <w:rStyle w:val="32"/>
                <w:rFonts w:cs="宋体"/>
                <w:b/>
                <w:bCs/>
                <w:color w:val="000000"/>
                <w:highlight w:val="none"/>
                <w:lang w:val="zh-CN"/>
              </w:rPr>
            </w:pPr>
            <w:r>
              <w:rPr>
                <w:rStyle w:val="32"/>
                <w:rFonts w:hint="eastAsia" w:cs="宋体"/>
                <w:b/>
                <w:bCs/>
                <w:color w:val="000000"/>
                <w:highlight w:val="none"/>
                <w:lang w:val="zh-CN"/>
              </w:rPr>
              <w:t>最高限价</w:t>
            </w:r>
          </w:p>
          <w:p>
            <w:pPr>
              <w:pStyle w:val="55"/>
              <w:ind w:left="38"/>
              <w:jc w:val="center"/>
              <w:rPr>
                <w:rFonts w:cs="宋体"/>
                <w:b/>
                <w:bCs/>
                <w:color w:val="000000"/>
                <w:highlight w:val="none"/>
                <w:lang w:val="zh-CN"/>
              </w:rPr>
            </w:pPr>
            <w:r>
              <w:rPr>
                <w:rStyle w:val="32"/>
                <w:rFonts w:hint="eastAsia" w:cs="宋体"/>
                <w:b/>
                <w:bCs/>
                <w:color w:val="000000"/>
                <w:highlight w:val="none"/>
                <w:lang w:val="zh-CN"/>
              </w:rPr>
              <w:t>（实质性要求）</w:t>
            </w:r>
          </w:p>
        </w:tc>
        <w:tc>
          <w:tcPr>
            <w:tcW w:w="6264" w:type="dxa"/>
            <w:vAlign w:val="center"/>
          </w:tcPr>
          <w:p>
            <w:pPr>
              <w:pStyle w:val="55"/>
              <w:ind w:firstLine="240" w:firstLineChars="100"/>
              <w:jc w:val="both"/>
              <w:rPr>
                <w:rStyle w:val="32"/>
                <w:rFonts w:hint="eastAsia" w:ascii="宋体" w:hAnsi="宋体" w:eastAsia="宋体" w:cs="宋体"/>
                <w:color w:val="000000"/>
                <w:highlight w:val="none"/>
                <w:lang w:val="zh-CN"/>
              </w:rPr>
            </w:pPr>
            <w:r>
              <w:rPr>
                <w:rStyle w:val="32"/>
                <w:rFonts w:hint="eastAsia" w:ascii="宋体" w:hAnsi="宋体" w:eastAsia="宋体" w:cs="宋体"/>
                <w:color w:val="000000"/>
                <w:highlight w:val="none"/>
                <w:lang w:val="zh-CN"/>
              </w:rPr>
              <w:t>最高限价：</w:t>
            </w:r>
            <w:r>
              <w:rPr>
                <w:rStyle w:val="32"/>
                <w:rFonts w:hint="eastAsia" w:ascii="宋体" w:hAnsi="宋体" w:eastAsia="宋体" w:cs="宋体"/>
                <w:color w:val="000000"/>
                <w:highlight w:val="none"/>
                <w:lang w:val="en-US" w:eastAsia="zh-CN"/>
              </w:rPr>
              <w:t>50</w:t>
            </w:r>
            <w:r>
              <w:rPr>
                <w:rStyle w:val="32"/>
                <w:rFonts w:hint="eastAsia" w:ascii="宋体" w:hAnsi="宋体" w:eastAsia="宋体" w:cs="宋体"/>
                <w:color w:val="000000"/>
                <w:highlight w:val="none"/>
                <w:lang w:val="zh-CN"/>
              </w:rPr>
              <w:t>万元；</w:t>
            </w:r>
          </w:p>
          <w:p>
            <w:pPr>
              <w:pStyle w:val="55"/>
              <w:ind w:firstLine="240" w:firstLineChars="100"/>
              <w:jc w:val="both"/>
              <w:rPr>
                <w:rStyle w:val="32"/>
                <w:rFonts w:hint="eastAsia" w:ascii="宋体" w:hAnsi="宋体" w:eastAsia="宋体" w:cs="宋体"/>
                <w:color w:val="000000"/>
                <w:highlight w:val="none"/>
                <w:lang w:val="zh-CN"/>
              </w:rPr>
            </w:pPr>
            <w:r>
              <w:rPr>
                <w:rStyle w:val="32"/>
                <w:rFonts w:hint="eastAsia" w:ascii="宋体" w:hAnsi="宋体" w:eastAsia="宋体" w:cs="宋体"/>
                <w:color w:val="000000"/>
                <w:highlight w:val="none"/>
                <w:lang w:val="zh-CN"/>
              </w:rPr>
              <w:t>超过最高限价的报价无效。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16"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4</w:t>
            </w:r>
          </w:p>
        </w:tc>
        <w:tc>
          <w:tcPr>
            <w:tcW w:w="2478" w:type="dxa"/>
            <w:vAlign w:val="center"/>
          </w:tcPr>
          <w:p>
            <w:pPr>
              <w:pStyle w:val="55"/>
              <w:ind w:left="38"/>
              <w:jc w:val="center"/>
              <w:rPr>
                <w:rFonts w:cs="宋体"/>
                <w:color w:val="000000"/>
                <w:highlight w:val="none"/>
                <w:lang w:val="zh-CN"/>
              </w:rPr>
            </w:pPr>
            <w:r>
              <w:rPr>
                <w:rStyle w:val="32"/>
                <w:rFonts w:hint="eastAsia" w:cs="宋体"/>
                <w:b/>
                <w:bCs/>
                <w:color w:val="000000"/>
                <w:highlight w:val="none"/>
                <w:lang w:val="zh-CN"/>
              </w:rPr>
              <w:t>联合体磋商（实质性要求）</w:t>
            </w:r>
          </w:p>
        </w:tc>
        <w:tc>
          <w:tcPr>
            <w:tcW w:w="6264" w:type="dxa"/>
            <w:vAlign w:val="center"/>
          </w:tcPr>
          <w:p>
            <w:pPr>
              <w:pStyle w:val="55"/>
              <w:ind w:firstLine="240" w:firstLineChars="100"/>
              <w:jc w:val="both"/>
              <w:rPr>
                <w:rStyle w:val="32"/>
                <w:rFonts w:hint="eastAsia" w:ascii="宋体" w:hAnsi="宋体" w:eastAsia="宋体" w:cs="宋体"/>
                <w:color w:val="000000"/>
                <w:highlight w:val="none"/>
                <w:lang w:val="zh-CN"/>
              </w:rPr>
            </w:pPr>
            <w:r>
              <w:rPr>
                <w:rStyle w:val="32"/>
                <w:rFonts w:hint="eastAsia" w:ascii="宋体" w:hAnsi="宋体" w:eastAsia="宋体" w:cs="宋体"/>
                <w:color w:val="000000"/>
                <w:highlight w:val="none"/>
                <w:lang w:val="zh-CN"/>
              </w:rPr>
              <w:t>不允许联合体，以联合体参与磋商的响应文件作无效处理。磋商文件中其他关于联合体磋商的内容不适用于本项目。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6"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5</w:t>
            </w:r>
          </w:p>
        </w:tc>
        <w:tc>
          <w:tcPr>
            <w:tcW w:w="2478" w:type="dxa"/>
            <w:vAlign w:val="center"/>
          </w:tcPr>
          <w:p>
            <w:pPr>
              <w:pStyle w:val="55"/>
              <w:ind w:left="38"/>
              <w:jc w:val="center"/>
              <w:rPr>
                <w:rFonts w:cs="宋体"/>
                <w:color w:val="000000"/>
                <w:highlight w:val="none"/>
                <w:lang w:val="zh-CN"/>
              </w:rPr>
            </w:pPr>
            <w:r>
              <w:rPr>
                <w:rStyle w:val="32"/>
                <w:rFonts w:hint="eastAsia" w:cs="宋体"/>
                <w:b/>
                <w:bCs/>
                <w:color w:val="000000"/>
                <w:highlight w:val="none"/>
                <w:lang w:val="zh-CN"/>
              </w:rPr>
              <w:t>响应文件有效期（实质性要求）</w:t>
            </w:r>
          </w:p>
        </w:tc>
        <w:tc>
          <w:tcPr>
            <w:tcW w:w="6264" w:type="dxa"/>
            <w:vAlign w:val="center"/>
          </w:tcPr>
          <w:p>
            <w:pPr>
              <w:pStyle w:val="55"/>
              <w:ind w:firstLine="240" w:firstLineChars="100"/>
              <w:jc w:val="both"/>
              <w:rPr>
                <w:rStyle w:val="32"/>
                <w:rFonts w:cs="宋体"/>
                <w:color w:val="000000"/>
                <w:highlight w:val="none"/>
              </w:rPr>
            </w:pPr>
            <w:r>
              <w:rPr>
                <w:rStyle w:val="32"/>
                <w:rFonts w:hint="eastAsia" w:cs="宋体"/>
                <w:color w:val="000000"/>
                <w:highlight w:val="none"/>
                <w:lang w:val="zh-CN"/>
              </w:rPr>
              <w:t>递交磋商响应文件截止之日起</w:t>
            </w:r>
            <w:r>
              <w:rPr>
                <w:rStyle w:val="32"/>
                <w:rFonts w:hint="eastAsia" w:cs="宋体"/>
                <w:color w:val="000000"/>
                <w:highlight w:val="none"/>
              </w:rPr>
              <w:t>90</w:t>
            </w:r>
            <w:r>
              <w:rPr>
                <w:rStyle w:val="32"/>
                <w:rFonts w:hint="eastAsia" w:cs="宋体"/>
                <w:color w:val="000000"/>
                <w:highlight w:val="none"/>
                <w:lang w:val="zh-CN"/>
              </w:rPr>
              <w:t>天</w:t>
            </w:r>
            <w:r>
              <w:rPr>
                <w:rStyle w:val="32"/>
                <w:rFonts w:hint="eastAsia" w:cs="宋体"/>
                <w:color w:val="000000"/>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06"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6</w:t>
            </w:r>
          </w:p>
        </w:tc>
        <w:tc>
          <w:tcPr>
            <w:tcW w:w="2478" w:type="dxa"/>
            <w:vAlign w:val="center"/>
          </w:tcPr>
          <w:p>
            <w:pPr>
              <w:pStyle w:val="49"/>
              <w:ind w:left="38"/>
              <w:jc w:val="center"/>
              <w:rPr>
                <w:b/>
                <w:bCs/>
                <w:highlight w:val="none"/>
              </w:rPr>
            </w:pPr>
            <w:r>
              <w:rPr>
                <w:rFonts w:hint="eastAsia"/>
                <w:b/>
                <w:bCs/>
                <w:highlight w:val="none"/>
              </w:rPr>
              <w:t>低于成本价</w:t>
            </w:r>
          </w:p>
          <w:p>
            <w:pPr>
              <w:pStyle w:val="49"/>
              <w:ind w:left="38"/>
              <w:jc w:val="center"/>
              <w:rPr>
                <w:b/>
                <w:bCs/>
                <w:highlight w:val="none"/>
              </w:rPr>
            </w:pPr>
            <w:r>
              <w:rPr>
                <w:rFonts w:hint="eastAsia"/>
                <w:b/>
                <w:bCs/>
                <w:highlight w:val="none"/>
              </w:rPr>
              <w:t>不正当竞争预防措施</w:t>
            </w:r>
          </w:p>
          <w:p>
            <w:pPr>
              <w:pStyle w:val="49"/>
              <w:ind w:left="38"/>
              <w:jc w:val="center"/>
              <w:rPr>
                <w:b/>
                <w:bCs/>
                <w:highlight w:val="none"/>
              </w:rPr>
            </w:pPr>
            <w:r>
              <w:rPr>
                <w:rFonts w:hint="eastAsia"/>
                <w:b/>
                <w:bCs/>
                <w:highlight w:val="none"/>
              </w:rPr>
              <w:t>（实质性要求）</w:t>
            </w:r>
          </w:p>
        </w:tc>
        <w:tc>
          <w:tcPr>
            <w:tcW w:w="6264" w:type="dxa"/>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1. 磋商小组认为供应商的报价明显低于其他实质性响应供应商的报价，有可能影响产品质量或者不能诚信履约的，应当要求其在评审现场合理的时间内提供书面说明，必要时提交相关证明材料；供应商不能证明其报价合理性的，磋商小组应当将其作为无效响应处理。</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 xml:space="preserve">2. 供应商书面说明应当签字确认或者加盖公章，否则无效。书面说明的签字确认，由其法定代表人/主要负责人/本人或者其授权代表签字确认。 </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3.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57" w:hRule="atLeas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7</w:t>
            </w:r>
          </w:p>
          <w:p>
            <w:pPr>
              <w:pStyle w:val="49"/>
              <w:ind w:right="230"/>
              <w:jc w:val="center"/>
              <w:rPr>
                <w:color w:val="000000"/>
                <w:highlight w:val="none"/>
                <w:lang w:val="zh-CN"/>
              </w:rPr>
            </w:pPr>
          </w:p>
        </w:tc>
        <w:tc>
          <w:tcPr>
            <w:tcW w:w="2478" w:type="dxa"/>
            <w:vAlign w:val="center"/>
          </w:tcPr>
          <w:p>
            <w:pPr>
              <w:pStyle w:val="49"/>
              <w:ind w:left="38"/>
              <w:jc w:val="center"/>
              <w:rPr>
                <w:b/>
                <w:bCs/>
                <w:highlight w:val="none"/>
                <w:lang w:val="zh-CN"/>
              </w:rPr>
            </w:pPr>
            <w:r>
              <w:rPr>
                <w:rFonts w:hint="eastAsia"/>
                <w:b/>
                <w:bCs/>
                <w:kern w:val="2"/>
                <w:highlight w:val="none"/>
              </w:rPr>
              <w:t>小微企业（监狱企业视同小微企业）价格扣除、残疾人福利性单位价格扣除（实质性要求）</w:t>
            </w:r>
          </w:p>
        </w:tc>
        <w:tc>
          <w:tcPr>
            <w:tcW w:w="6264" w:type="dxa"/>
          </w:tcPr>
          <w:p>
            <w:pPr>
              <w:pStyle w:val="55"/>
              <w:ind w:firstLine="240" w:firstLineChars="100"/>
              <w:jc w:val="both"/>
              <w:rPr>
                <w:rStyle w:val="32"/>
                <w:rFonts w:hint="eastAsia" w:ascii="Calibri" w:hAnsi="Calibri" w:cs="宋体"/>
                <w:color w:val="000000"/>
                <w:kern w:val="2"/>
                <w:sz w:val="24"/>
                <w:szCs w:val="24"/>
                <w:highlight w:val="none"/>
                <w:lang w:val="zh-CN"/>
              </w:rPr>
            </w:pPr>
            <w:r>
              <w:rPr>
                <w:rStyle w:val="32"/>
                <w:rFonts w:hint="eastAsia" w:ascii="Calibri" w:hAnsi="Calibri" w:cs="宋体"/>
                <w:color w:val="000000"/>
                <w:kern w:val="2"/>
                <w:sz w:val="24"/>
                <w:szCs w:val="24"/>
                <w:highlight w:val="none"/>
                <w:lang w:val="zh-CN"/>
              </w:rPr>
              <w:t>1、根据《政府采购促进中小企业发展管理办法》（财库[2020]46号）的规定，本项目专门面向中小企业采购。</w:t>
            </w:r>
          </w:p>
          <w:p>
            <w:pPr>
              <w:pStyle w:val="55"/>
              <w:ind w:firstLine="240" w:firstLineChars="100"/>
              <w:jc w:val="both"/>
              <w:rPr>
                <w:rStyle w:val="32"/>
                <w:rFonts w:hint="eastAsia" w:ascii="Calibri" w:hAnsi="Calibri" w:cs="宋体"/>
                <w:color w:val="000000"/>
                <w:kern w:val="2"/>
                <w:sz w:val="24"/>
                <w:szCs w:val="24"/>
                <w:highlight w:val="none"/>
                <w:lang w:val="zh-CN"/>
              </w:rPr>
            </w:pPr>
            <w:r>
              <w:rPr>
                <w:rStyle w:val="32"/>
                <w:rFonts w:hint="eastAsia" w:ascii="Calibri" w:hAnsi="Calibri" w:cs="宋体"/>
                <w:color w:val="000000"/>
                <w:kern w:val="2"/>
                <w:sz w:val="24"/>
                <w:szCs w:val="24"/>
                <w:highlight w:val="none"/>
                <w:lang w:val="zh-CN"/>
              </w:rPr>
              <w:t>2、监狱企业、残疾人福利性单位视同小微企业。</w:t>
            </w:r>
          </w:p>
          <w:p>
            <w:pPr>
              <w:pStyle w:val="55"/>
              <w:ind w:firstLine="240" w:firstLineChars="100"/>
              <w:jc w:val="both"/>
              <w:rPr>
                <w:rStyle w:val="32"/>
                <w:rFonts w:hint="eastAsia" w:ascii="Calibri" w:hAnsi="Calibri" w:cs="宋体"/>
                <w:color w:val="000000"/>
                <w:kern w:val="2"/>
                <w:sz w:val="24"/>
                <w:szCs w:val="24"/>
                <w:highlight w:val="none"/>
                <w:lang w:val="zh-CN"/>
              </w:rPr>
            </w:pPr>
            <w:r>
              <w:rPr>
                <w:rStyle w:val="32"/>
                <w:rFonts w:hint="eastAsia" w:ascii="Calibri" w:hAnsi="Calibri" w:cs="宋体"/>
                <w:color w:val="000000"/>
                <w:kern w:val="2"/>
                <w:sz w:val="24"/>
                <w:szCs w:val="24"/>
                <w:highlight w:val="none"/>
                <w:lang w:val="zh-CN"/>
              </w:rPr>
              <w:t>3、参加政府采购活动的中小企业应当提供《中小企业声明函》原件。</w:t>
            </w:r>
          </w:p>
          <w:p>
            <w:pPr>
              <w:pStyle w:val="55"/>
              <w:ind w:firstLine="240" w:firstLineChars="100"/>
              <w:jc w:val="both"/>
              <w:rPr>
                <w:rStyle w:val="32"/>
                <w:rFonts w:hint="eastAsia" w:ascii="Calibri" w:hAnsi="Calibri" w:cs="宋体"/>
                <w:color w:val="000000"/>
                <w:kern w:val="2"/>
                <w:sz w:val="24"/>
                <w:szCs w:val="24"/>
                <w:highlight w:val="none"/>
                <w:lang w:val="zh-CN"/>
              </w:rPr>
            </w:pPr>
            <w:r>
              <w:rPr>
                <w:rStyle w:val="32"/>
                <w:rFonts w:hint="eastAsia" w:ascii="Calibri" w:hAnsi="Calibri" w:cs="宋体"/>
                <w:color w:val="000000"/>
                <w:kern w:val="2"/>
                <w:sz w:val="24"/>
                <w:szCs w:val="24"/>
                <w:highlight w:val="none"/>
                <w:lang w:val="zh-CN"/>
              </w:rPr>
              <w:t>4、监狱企业应当提供由省级以上监狱管理局、戒毒管理局（含新疆生产建设兵团）出具的属于监狱企业的证明文件。</w:t>
            </w:r>
          </w:p>
          <w:p>
            <w:pPr>
              <w:pStyle w:val="55"/>
              <w:ind w:firstLine="240" w:firstLineChars="100"/>
              <w:jc w:val="both"/>
              <w:rPr>
                <w:rStyle w:val="32"/>
                <w:rFonts w:hint="eastAsia" w:ascii="Calibri" w:hAnsi="Calibri" w:cs="宋体"/>
                <w:color w:val="000000"/>
                <w:kern w:val="2"/>
                <w:sz w:val="24"/>
                <w:szCs w:val="24"/>
                <w:highlight w:val="none"/>
                <w:lang w:val="zh-CN"/>
              </w:rPr>
            </w:pPr>
            <w:r>
              <w:rPr>
                <w:rStyle w:val="32"/>
                <w:rFonts w:hint="eastAsia" w:ascii="Calibri" w:hAnsi="Calibri" w:cs="宋体"/>
                <w:color w:val="000000"/>
                <w:kern w:val="2"/>
                <w:sz w:val="24"/>
                <w:szCs w:val="24"/>
                <w:highlight w:val="none"/>
                <w:lang w:val="zh-CN"/>
              </w:rPr>
              <w:t>5、符合条件的残疾人福利性单位在参加政府采购活动时，应当提供《残疾人福利性单位声明函》，并对声明的真实性负责。若为成交供应商，发布成交结果公告同时公告其《残疾人福利性单位声明函》。</w:t>
            </w:r>
          </w:p>
          <w:p>
            <w:pPr>
              <w:pStyle w:val="55"/>
              <w:ind w:firstLine="240" w:firstLineChars="100"/>
              <w:jc w:val="both"/>
              <w:rPr>
                <w:rStyle w:val="32"/>
                <w:rFonts w:hint="eastAsia" w:ascii="Calibri" w:hAnsi="Calibri" w:eastAsia="宋体" w:cs="宋体"/>
                <w:color w:val="000000"/>
                <w:kern w:val="2"/>
                <w:sz w:val="24"/>
                <w:szCs w:val="24"/>
                <w:highlight w:val="none"/>
                <w:lang w:val="zh-CN"/>
              </w:rPr>
            </w:pPr>
            <w:r>
              <w:rPr>
                <w:rStyle w:val="32"/>
                <w:rFonts w:hint="eastAsia" w:ascii="Calibri" w:hAnsi="Calibri" w:cs="宋体"/>
                <w:color w:val="000000"/>
                <w:kern w:val="2"/>
                <w:sz w:val="24"/>
                <w:szCs w:val="24"/>
                <w:highlight w:val="none"/>
                <w:lang w:val="zh-CN"/>
              </w:rPr>
              <w:t>6、本项目对应</w:t>
            </w:r>
            <w:r>
              <w:rPr>
                <w:rStyle w:val="32"/>
                <w:rFonts w:hint="eastAsia" w:ascii="Calibri" w:hAnsi="Calibri" w:eastAsia="宋体" w:cs="宋体"/>
                <w:color w:val="000000"/>
                <w:kern w:val="2"/>
                <w:sz w:val="24"/>
                <w:szCs w:val="24"/>
                <w:highlight w:val="none"/>
                <w:lang w:val="zh-CN"/>
              </w:rPr>
              <w:t xml:space="preserve">的中小企业划分标准所属行业为其他未列明行业。       </w:t>
            </w:r>
          </w:p>
          <w:p>
            <w:pPr>
              <w:pStyle w:val="55"/>
              <w:ind w:firstLine="240" w:firstLineChars="100"/>
              <w:jc w:val="both"/>
              <w:rPr>
                <w:rStyle w:val="32"/>
                <w:rFonts w:hint="eastAsia" w:ascii="Calibri" w:hAnsi="Calibri" w:cs="宋体"/>
                <w:color w:val="000000"/>
                <w:kern w:val="2"/>
                <w:highlight w:val="none"/>
                <w:lang w:val="zh-CN"/>
              </w:rPr>
            </w:pPr>
            <w:r>
              <w:rPr>
                <w:rStyle w:val="32"/>
                <w:rFonts w:hint="eastAsia" w:ascii="Calibri" w:hAnsi="Calibri" w:cs="宋体"/>
                <w:color w:val="000000"/>
                <w:kern w:val="2"/>
                <w:sz w:val="24"/>
                <w:szCs w:val="24"/>
                <w:highlight w:val="none"/>
                <w:lang w:val="zh-CN"/>
              </w:rPr>
              <w:t>依据《政府采购促进中小企业发展管理办法》规定享受扶持政策获得政府采购合同的，小微企业不得将合同分包给大中型企业，中型企业不得将合同分包给大型企业。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8</w:t>
            </w:r>
          </w:p>
        </w:tc>
        <w:tc>
          <w:tcPr>
            <w:tcW w:w="2478" w:type="dxa"/>
            <w:vAlign w:val="center"/>
          </w:tcPr>
          <w:p>
            <w:pPr>
              <w:pStyle w:val="49"/>
              <w:ind w:left="38"/>
              <w:jc w:val="center"/>
              <w:rPr>
                <w:color w:val="000000"/>
                <w:highlight w:val="none"/>
                <w:lang w:val="zh-CN"/>
              </w:rPr>
            </w:pPr>
            <w:r>
              <w:rPr>
                <w:rFonts w:hint="eastAsia"/>
                <w:color w:val="000000"/>
                <w:highlight w:val="none"/>
                <w:lang w:val="zh-CN"/>
              </w:rPr>
              <w:t>响应文件份数</w:t>
            </w:r>
          </w:p>
        </w:tc>
        <w:tc>
          <w:tcPr>
            <w:tcW w:w="6264" w:type="dxa"/>
          </w:tcPr>
          <w:p>
            <w:pPr>
              <w:pStyle w:val="55"/>
              <w:ind w:firstLine="240" w:firstLineChars="100"/>
              <w:jc w:val="both"/>
              <w:rPr>
                <w:rStyle w:val="32"/>
                <w:rFonts w:hint="eastAsia" w:ascii="Calibri" w:hAnsi="Calibri" w:cs="宋体"/>
                <w:color w:val="000000"/>
                <w:kern w:val="2"/>
                <w:highlight w:val="none"/>
                <w:lang w:val="zh-CN"/>
              </w:rPr>
            </w:pPr>
            <w:r>
              <w:rPr>
                <w:rStyle w:val="32"/>
                <w:rFonts w:hint="eastAsia" w:ascii="Calibri" w:hAnsi="Calibri" w:cs="宋体"/>
                <w:color w:val="000000"/>
                <w:kern w:val="2"/>
                <w:highlight w:val="none"/>
                <w:lang w:val="zh-CN"/>
              </w:rPr>
              <w:t>资格性响应文件正本一份；</w:t>
            </w:r>
          </w:p>
          <w:p>
            <w:pPr>
              <w:pStyle w:val="55"/>
              <w:ind w:firstLine="240" w:firstLineChars="100"/>
              <w:jc w:val="both"/>
              <w:rPr>
                <w:rStyle w:val="32"/>
                <w:rFonts w:hint="eastAsia" w:ascii="Calibri" w:hAnsi="Calibri" w:cs="宋体"/>
                <w:color w:val="000000"/>
                <w:kern w:val="2"/>
                <w:highlight w:val="none"/>
                <w:lang w:val="zh-CN"/>
              </w:rPr>
            </w:pPr>
            <w:r>
              <w:rPr>
                <w:rStyle w:val="32"/>
                <w:rFonts w:hint="eastAsia" w:ascii="Calibri" w:hAnsi="Calibri" w:cs="宋体"/>
                <w:color w:val="000000"/>
                <w:kern w:val="2"/>
                <w:highlight w:val="none"/>
                <w:lang w:val="zh-CN"/>
              </w:rPr>
              <w:t>其他响应文件正本一份，副本二份。</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93"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9</w:t>
            </w:r>
          </w:p>
        </w:tc>
        <w:tc>
          <w:tcPr>
            <w:tcW w:w="2478" w:type="dxa"/>
            <w:vAlign w:val="center"/>
          </w:tcPr>
          <w:p>
            <w:pPr>
              <w:pStyle w:val="49"/>
              <w:ind w:left="38"/>
              <w:jc w:val="center"/>
              <w:rPr>
                <w:color w:val="000000"/>
                <w:highlight w:val="none"/>
                <w:lang w:val="zh-CN"/>
              </w:rPr>
            </w:pPr>
            <w:r>
              <w:rPr>
                <w:rFonts w:hint="eastAsia"/>
                <w:color w:val="000000"/>
                <w:highlight w:val="none"/>
                <w:lang w:val="zh-CN"/>
              </w:rPr>
              <w:t>磋商情况公告</w:t>
            </w:r>
          </w:p>
        </w:tc>
        <w:tc>
          <w:tcPr>
            <w:tcW w:w="6264" w:type="dxa"/>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供应商资格审查情况、磋商情况、报价情况、磋商结果等在四川政府采购网上采购结果公告栏中予以公告。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22"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10</w:t>
            </w:r>
          </w:p>
        </w:tc>
        <w:tc>
          <w:tcPr>
            <w:tcW w:w="2478" w:type="dxa"/>
            <w:vAlign w:val="center"/>
          </w:tcPr>
          <w:p>
            <w:pPr>
              <w:pStyle w:val="49"/>
              <w:ind w:left="38"/>
              <w:jc w:val="center"/>
              <w:rPr>
                <w:color w:val="000000"/>
                <w:highlight w:val="none"/>
                <w:lang w:val="zh-CN"/>
              </w:rPr>
            </w:pPr>
            <w:r>
              <w:rPr>
                <w:rFonts w:hint="eastAsia"/>
                <w:color w:val="000000"/>
                <w:highlight w:val="none"/>
                <w:lang w:val="zh-CN"/>
              </w:rPr>
              <w:t>磋商保证金</w:t>
            </w:r>
          </w:p>
        </w:tc>
        <w:tc>
          <w:tcPr>
            <w:tcW w:w="6264" w:type="dxa"/>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本项目不收取磋商保证金，磋商文件中其他关于磋商保证金的内容不适用于本项目。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9"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11</w:t>
            </w:r>
          </w:p>
        </w:tc>
        <w:tc>
          <w:tcPr>
            <w:tcW w:w="2478" w:type="dxa"/>
            <w:vAlign w:val="center"/>
          </w:tcPr>
          <w:p>
            <w:pPr>
              <w:pStyle w:val="49"/>
              <w:ind w:left="38"/>
              <w:jc w:val="center"/>
              <w:rPr>
                <w:color w:val="000000"/>
                <w:highlight w:val="none"/>
                <w:lang w:val="zh-CN"/>
              </w:rPr>
            </w:pPr>
            <w:r>
              <w:rPr>
                <w:rFonts w:hint="eastAsia"/>
                <w:color w:val="000000"/>
                <w:highlight w:val="none"/>
                <w:lang w:val="zh-CN"/>
              </w:rPr>
              <w:t>履约保证金</w:t>
            </w:r>
          </w:p>
        </w:tc>
        <w:tc>
          <w:tcPr>
            <w:tcW w:w="6264" w:type="dxa"/>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本项目不收取履约保证金，磋商文件中其他关于履约保证金的内容不适用于本项目。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3"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12</w:t>
            </w:r>
          </w:p>
        </w:tc>
        <w:tc>
          <w:tcPr>
            <w:tcW w:w="2478" w:type="dxa"/>
            <w:vAlign w:val="center"/>
          </w:tcPr>
          <w:p>
            <w:pPr>
              <w:pStyle w:val="49"/>
              <w:ind w:left="38"/>
              <w:jc w:val="center"/>
              <w:rPr>
                <w:color w:val="000000"/>
                <w:highlight w:val="none"/>
                <w:lang w:val="zh-CN"/>
              </w:rPr>
            </w:pPr>
            <w:r>
              <w:rPr>
                <w:rFonts w:hint="eastAsia"/>
                <w:bCs/>
                <w:color w:val="000000"/>
                <w:highlight w:val="none"/>
              </w:rPr>
              <w:t>磋商</w:t>
            </w:r>
            <w:r>
              <w:rPr>
                <w:rFonts w:hint="eastAsia"/>
                <w:color w:val="000000"/>
                <w:highlight w:val="none"/>
                <w:lang w:val="zh-CN"/>
              </w:rPr>
              <w:t>文件咨询</w:t>
            </w:r>
          </w:p>
        </w:tc>
        <w:tc>
          <w:tcPr>
            <w:tcW w:w="6264" w:type="dxa"/>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联系人：曹先生         联系电话：</w:t>
            </w:r>
            <w:r>
              <w:rPr>
                <w:rStyle w:val="32"/>
                <w:rFonts w:hint="eastAsia" w:cs="宋体"/>
                <w:color w:val="000000"/>
                <w:highlight w:val="none"/>
              </w:rPr>
              <w:t>028-87774949</w:t>
            </w:r>
            <w:r>
              <w:rPr>
                <w:rStyle w:val="32"/>
                <w:rFonts w:hint="eastAsia" w:cs="宋体"/>
                <w:color w:val="000000"/>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8"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13</w:t>
            </w:r>
          </w:p>
        </w:tc>
        <w:tc>
          <w:tcPr>
            <w:tcW w:w="2478" w:type="dxa"/>
            <w:vAlign w:val="center"/>
          </w:tcPr>
          <w:p>
            <w:pPr>
              <w:pStyle w:val="49"/>
              <w:ind w:left="38"/>
              <w:jc w:val="center"/>
              <w:rPr>
                <w:color w:val="000000"/>
                <w:highlight w:val="none"/>
                <w:lang w:val="zh-CN"/>
              </w:rPr>
            </w:pPr>
            <w:r>
              <w:rPr>
                <w:rFonts w:hint="eastAsia"/>
                <w:color w:val="000000"/>
                <w:highlight w:val="none"/>
                <w:lang w:val="zh-CN"/>
              </w:rPr>
              <w:t>磋商过程、结果工作咨询</w:t>
            </w:r>
          </w:p>
        </w:tc>
        <w:tc>
          <w:tcPr>
            <w:tcW w:w="6264" w:type="dxa"/>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联系人：曹先生         联系电话：</w:t>
            </w:r>
            <w:r>
              <w:rPr>
                <w:rStyle w:val="32"/>
                <w:rFonts w:hint="eastAsia" w:cs="宋体"/>
                <w:color w:val="000000"/>
                <w:highlight w:val="none"/>
              </w:rPr>
              <w:t>028-87774949</w:t>
            </w:r>
            <w:r>
              <w:rPr>
                <w:rStyle w:val="32"/>
                <w:rFonts w:hint="eastAsia" w:cs="宋体"/>
                <w:color w:val="000000"/>
                <w:highlight w:val="none"/>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320"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14</w:t>
            </w:r>
          </w:p>
        </w:tc>
        <w:tc>
          <w:tcPr>
            <w:tcW w:w="2478" w:type="dxa"/>
            <w:vAlign w:val="center"/>
          </w:tcPr>
          <w:p>
            <w:pPr>
              <w:pStyle w:val="49"/>
              <w:ind w:left="38"/>
              <w:jc w:val="center"/>
              <w:rPr>
                <w:color w:val="000000"/>
                <w:highlight w:val="none"/>
                <w:lang w:val="zh-CN"/>
              </w:rPr>
            </w:pPr>
            <w:r>
              <w:rPr>
                <w:rFonts w:hint="eastAsia"/>
                <w:color w:val="000000"/>
                <w:highlight w:val="none"/>
                <w:lang w:val="zh-CN"/>
              </w:rPr>
              <w:t>成交通知书领取</w:t>
            </w:r>
          </w:p>
        </w:tc>
        <w:tc>
          <w:tcPr>
            <w:tcW w:w="6264" w:type="dxa"/>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采购结果公告在四川政府采购网上发布后，请成交供应商在通知时间内凭有效身份证明证件到四川汇合源招投标代理有限公司领取成交通知书。</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联系电话：85256572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44" w:hRule="exact"/>
          <w:jc w:val="center"/>
        </w:trPr>
        <w:tc>
          <w:tcPr>
            <w:tcW w:w="1041" w:type="dxa"/>
            <w:vAlign w:val="center"/>
          </w:tcPr>
          <w:p>
            <w:pPr>
              <w:pStyle w:val="49"/>
              <w:ind w:right="230"/>
              <w:jc w:val="center"/>
              <w:rPr>
                <w:color w:val="000000"/>
                <w:highlight w:val="none"/>
                <w:lang w:val="zh-CN"/>
              </w:rPr>
            </w:pPr>
            <w:r>
              <w:rPr>
                <w:rFonts w:hint="eastAsia"/>
                <w:color w:val="000000"/>
                <w:highlight w:val="none"/>
                <w:lang w:val="zh-CN"/>
              </w:rPr>
              <w:t>15</w:t>
            </w:r>
          </w:p>
        </w:tc>
        <w:tc>
          <w:tcPr>
            <w:tcW w:w="2478" w:type="dxa"/>
            <w:vAlign w:val="center"/>
          </w:tcPr>
          <w:p>
            <w:pPr>
              <w:pStyle w:val="49"/>
              <w:ind w:left="38"/>
              <w:jc w:val="center"/>
              <w:rPr>
                <w:color w:val="000000"/>
                <w:highlight w:val="none"/>
                <w:lang w:val="zh-CN"/>
              </w:rPr>
            </w:pPr>
            <w:r>
              <w:rPr>
                <w:rFonts w:hint="eastAsia"/>
                <w:color w:val="000000"/>
                <w:highlight w:val="none"/>
                <w:lang w:val="zh-CN"/>
              </w:rPr>
              <w:t>供应商询问</w:t>
            </w:r>
          </w:p>
        </w:tc>
        <w:tc>
          <w:tcPr>
            <w:tcW w:w="6264" w:type="dxa"/>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供应商询问由四川汇合源招投标代理有限公司负责答复。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41" w:type="dxa"/>
            <w:tcBorders>
              <w:top w:val="single" w:color="auto" w:sz="8" w:space="0"/>
              <w:left w:val="single" w:color="auto" w:sz="18" w:space="0"/>
              <w:bottom w:val="single" w:color="auto" w:sz="8" w:space="0"/>
              <w:right w:val="single" w:color="auto" w:sz="8" w:space="0"/>
            </w:tcBorders>
            <w:vAlign w:val="center"/>
          </w:tcPr>
          <w:p>
            <w:pPr>
              <w:pStyle w:val="49"/>
              <w:ind w:right="230"/>
              <w:jc w:val="center"/>
              <w:rPr>
                <w:color w:val="000000"/>
                <w:highlight w:val="none"/>
                <w:lang w:val="zh-CN"/>
              </w:rPr>
            </w:pPr>
            <w:r>
              <w:rPr>
                <w:rFonts w:hint="eastAsia"/>
                <w:color w:val="000000"/>
                <w:highlight w:val="none"/>
                <w:lang w:val="zh-CN"/>
              </w:rPr>
              <w:t>16</w:t>
            </w:r>
          </w:p>
        </w:tc>
        <w:tc>
          <w:tcPr>
            <w:tcW w:w="2478" w:type="dxa"/>
            <w:tcBorders>
              <w:top w:val="single" w:color="auto" w:sz="8" w:space="0"/>
              <w:left w:val="single" w:color="auto" w:sz="8" w:space="0"/>
              <w:bottom w:val="single" w:color="auto" w:sz="8" w:space="0"/>
              <w:right w:val="single" w:color="auto" w:sz="8" w:space="0"/>
            </w:tcBorders>
            <w:vAlign w:val="center"/>
          </w:tcPr>
          <w:p>
            <w:pPr>
              <w:pStyle w:val="49"/>
              <w:ind w:left="96"/>
              <w:jc w:val="center"/>
              <w:rPr>
                <w:color w:val="000000"/>
                <w:highlight w:val="none"/>
                <w:lang w:val="zh-CN"/>
              </w:rPr>
            </w:pPr>
            <w:r>
              <w:rPr>
                <w:rFonts w:hint="eastAsia"/>
                <w:color w:val="000000"/>
                <w:highlight w:val="none"/>
                <w:lang w:val="zh-CN"/>
              </w:rPr>
              <w:t>供应商质疑</w:t>
            </w:r>
          </w:p>
        </w:tc>
        <w:tc>
          <w:tcPr>
            <w:tcW w:w="6264" w:type="dxa"/>
            <w:tcBorders>
              <w:top w:val="single" w:color="auto" w:sz="8" w:space="0"/>
              <w:left w:val="single" w:color="auto" w:sz="8" w:space="0"/>
              <w:bottom w:val="single" w:color="auto" w:sz="8" w:space="0"/>
              <w:right w:val="single" w:color="auto" w:sz="18" w:space="0"/>
            </w:tcBorders>
            <w:vAlign w:val="center"/>
          </w:tcPr>
          <w:p>
            <w:pPr>
              <w:pStyle w:val="55"/>
              <w:spacing w:line="14" w:lineRule="auto"/>
              <w:ind w:firstLine="240" w:firstLineChars="100"/>
              <w:rPr>
                <w:rStyle w:val="32"/>
                <w:rFonts w:cs="宋体"/>
                <w:color w:val="000000"/>
                <w:highlight w:val="none"/>
                <w:lang w:val="zh-CN"/>
              </w:rPr>
            </w:pPr>
            <w:r>
              <w:rPr>
                <w:rStyle w:val="32"/>
                <w:rFonts w:hint="eastAsia" w:cs="宋体"/>
                <w:color w:val="000000"/>
                <w:highlight w:val="none"/>
                <w:lang w:val="zh-CN"/>
              </w:rPr>
              <w:t>接收方式：书面接收</w:t>
            </w:r>
          </w:p>
          <w:p>
            <w:pPr>
              <w:pStyle w:val="55"/>
              <w:spacing w:line="14" w:lineRule="auto"/>
              <w:ind w:firstLine="240" w:firstLineChars="100"/>
              <w:rPr>
                <w:rStyle w:val="32"/>
                <w:rFonts w:cs="宋体"/>
                <w:color w:val="000000"/>
                <w:highlight w:val="none"/>
                <w:lang w:val="zh-CN"/>
              </w:rPr>
            </w:pPr>
            <w:r>
              <w:rPr>
                <w:rStyle w:val="32"/>
                <w:rFonts w:hint="eastAsia" w:cs="宋体"/>
                <w:color w:val="000000"/>
                <w:highlight w:val="none"/>
                <w:lang w:val="zh-CN"/>
              </w:rPr>
              <w:t>联 系 人：杜鹏</w:t>
            </w:r>
          </w:p>
          <w:p>
            <w:pPr>
              <w:pStyle w:val="55"/>
              <w:spacing w:line="14" w:lineRule="auto"/>
              <w:ind w:firstLine="240" w:firstLineChars="100"/>
              <w:rPr>
                <w:rStyle w:val="32"/>
                <w:rFonts w:cs="宋体"/>
                <w:color w:val="000000"/>
                <w:highlight w:val="none"/>
                <w:lang w:val="zh-CN"/>
              </w:rPr>
            </w:pPr>
            <w:r>
              <w:rPr>
                <w:rStyle w:val="32"/>
                <w:rFonts w:hint="eastAsia" w:cs="宋体"/>
                <w:color w:val="000000"/>
                <w:highlight w:val="none"/>
                <w:lang w:val="zh-CN"/>
              </w:rPr>
              <w:t>联系电话：02887774949</w:t>
            </w:r>
          </w:p>
          <w:p>
            <w:pPr>
              <w:pStyle w:val="55"/>
              <w:spacing w:line="14" w:lineRule="auto"/>
              <w:ind w:firstLine="240" w:firstLineChars="100"/>
              <w:rPr>
                <w:rStyle w:val="32"/>
                <w:rFonts w:cs="宋体"/>
                <w:color w:val="000000"/>
                <w:highlight w:val="none"/>
                <w:lang w:val="zh-CN"/>
              </w:rPr>
            </w:pPr>
            <w:r>
              <w:rPr>
                <w:rStyle w:val="32"/>
                <w:rFonts w:hint="eastAsia" w:cs="宋体"/>
                <w:color w:val="000000"/>
                <w:highlight w:val="none"/>
                <w:lang w:val="zh-CN"/>
              </w:rPr>
              <w:t>地址：成都市武侯区太平园中四路（星狮路818号）大合仓星商界4栋4单元3楼302</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邮政编码：610000</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注：根据《中华人民共和国政府采购法》的规定，供应商质疑不得超出磋商文件、磋商过程、磋商结果的范围。</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供应商须在法定质疑期内一次性提出针对同一采购程序环节的质疑。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41" w:type="dxa"/>
            <w:tcBorders>
              <w:top w:val="single" w:color="auto" w:sz="8" w:space="0"/>
              <w:left w:val="single" w:color="auto" w:sz="18" w:space="0"/>
              <w:bottom w:val="single" w:color="auto" w:sz="8" w:space="0"/>
              <w:right w:val="single" w:color="auto" w:sz="8" w:space="0"/>
            </w:tcBorders>
            <w:vAlign w:val="center"/>
          </w:tcPr>
          <w:p>
            <w:pPr>
              <w:pStyle w:val="49"/>
              <w:ind w:right="230"/>
              <w:jc w:val="center"/>
              <w:rPr>
                <w:color w:val="000000"/>
                <w:highlight w:val="none"/>
                <w:lang w:val="zh-CN"/>
              </w:rPr>
            </w:pPr>
            <w:r>
              <w:rPr>
                <w:rFonts w:hint="eastAsia"/>
                <w:color w:val="000000"/>
                <w:highlight w:val="none"/>
                <w:lang w:val="zh-CN"/>
              </w:rPr>
              <w:t>17</w:t>
            </w:r>
          </w:p>
        </w:tc>
        <w:tc>
          <w:tcPr>
            <w:tcW w:w="2478" w:type="dxa"/>
            <w:tcBorders>
              <w:top w:val="single" w:color="auto" w:sz="8" w:space="0"/>
              <w:left w:val="single" w:color="auto" w:sz="8" w:space="0"/>
              <w:bottom w:val="single" w:color="auto" w:sz="8" w:space="0"/>
              <w:right w:val="single" w:color="auto" w:sz="8" w:space="0"/>
            </w:tcBorders>
            <w:vAlign w:val="center"/>
          </w:tcPr>
          <w:p>
            <w:pPr>
              <w:pStyle w:val="49"/>
              <w:ind w:left="96"/>
              <w:jc w:val="center"/>
              <w:rPr>
                <w:color w:val="000000"/>
                <w:highlight w:val="none"/>
                <w:lang w:val="zh-CN"/>
              </w:rPr>
            </w:pPr>
            <w:r>
              <w:rPr>
                <w:rFonts w:hint="eastAsia"/>
                <w:color w:val="000000"/>
                <w:highlight w:val="none"/>
                <w:lang w:val="zh-CN"/>
              </w:rPr>
              <w:t>供应商投诉</w:t>
            </w:r>
          </w:p>
        </w:tc>
        <w:tc>
          <w:tcPr>
            <w:tcW w:w="6264" w:type="dxa"/>
            <w:tcBorders>
              <w:top w:val="single" w:color="auto" w:sz="8" w:space="0"/>
              <w:left w:val="single" w:color="auto" w:sz="8" w:space="0"/>
              <w:bottom w:val="single" w:color="auto" w:sz="8" w:space="0"/>
              <w:right w:val="single" w:color="auto" w:sz="18" w:space="0"/>
            </w:tcBorders>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投诉受理单位：本项目同级财政部门，即青羊区财政局。</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联系地址：青羊区西华门街1</w:t>
            </w:r>
            <w:r>
              <w:rPr>
                <w:rStyle w:val="32"/>
                <w:rFonts w:cs="宋体"/>
                <w:color w:val="000000"/>
                <w:highlight w:val="none"/>
                <w:lang w:val="zh-CN"/>
              </w:rPr>
              <w:t>9</w:t>
            </w:r>
            <w:r>
              <w:rPr>
                <w:rStyle w:val="32"/>
                <w:rFonts w:hint="eastAsia" w:cs="宋体"/>
                <w:color w:val="000000"/>
                <w:highlight w:val="none"/>
                <w:lang w:val="zh-CN"/>
              </w:rPr>
              <w:t>号</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邮政编码：610</w:t>
            </w:r>
            <w:r>
              <w:rPr>
                <w:rStyle w:val="32"/>
                <w:rFonts w:cs="宋体"/>
                <w:color w:val="000000"/>
                <w:highlight w:val="none"/>
                <w:lang w:val="zh-CN"/>
              </w:rPr>
              <w:t>014</w:t>
            </w:r>
          </w:p>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41" w:type="dxa"/>
            <w:tcBorders>
              <w:top w:val="single" w:color="auto" w:sz="8" w:space="0"/>
              <w:left w:val="single" w:color="auto" w:sz="18" w:space="0"/>
              <w:bottom w:val="single" w:color="auto" w:sz="8" w:space="0"/>
              <w:right w:val="single" w:color="auto" w:sz="8" w:space="0"/>
            </w:tcBorders>
            <w:vAlign w:val="center"/>
          </w:tcPr>
          <w:p>
            <w:pPr>
              <w:pStyle w:val="49"/>
              <w:ind w:right="230"/>
              <w:jc w:val="center"/>
              <w:rPr>
                <w:color w:val="000000"/>
                <w:highlight w:val="none"/>
                <w:lang w:val="zh-CN"/>
              </w:rPr>
            </w:pPr>
            <w:r>
              <w:rPr>
                <w:rFonts w:hint="eastAsia"/>
                <w:color w:val="000000"/>
                <w:highlight w:val="none"/>
                <w:lang w:val="zh-CN"/>
              </w:rPr>
              <w:t>18</w:t>
            </w:r>
          </w:p>
        </w:tc>
        <w:tc>
          <w:tcPr>
            <w:tcW w:w="2478" w:type="dxa"/>
            <w:tcBorders>
              <w:top w:val="single" w:color="auto" w:sz="8" w:space="0"/>
              <w:left w:val="single" w:color="auto" w:sz="8" w:space="0"/>
              <w:bottom w:val="single" w:color="auto" w:sz="8" w:space="0"/>
              <w:right w:val="single" w:color="auto" w:sz="8" w:space="0"/>
            </w:tcBorders>
            <w:vAlign w:val="center"/>
          </w:tcPr>
          <w:p>
            <w:pPr>
              <w:pStyle w:val="49"/>
              <w:ind w:left="96"/>
              <w:jc w:val="center"/>
              <w:rPr>
                <w:color w:val="000000"/>
                <w:highlight w:val="none"/>
                <w:lang w:val="zh-CN"/>
              </w:rPr>
            </w:pPr>
            <w:r>
              <w:rPr>
                <w:rFonts w:hint="eastAsia"/>
                <w:color w:val="000000"/>
                <w:highlight w:val="none"/>
                <w:lang w:val="zh-CN"/>
              </w:rPr>
              <w:t>政府采购合同</w:t>
            </w:r>
          </w:p>
          <w:p>
            <w:pPr>
              <w:pStyle w:val="49"/>
              <w:ind w:left="96"/>
              <w:jc w:val="center"/>
              <w:rPr>
                <w:color w:val="000000"/>
                <w:highlight w:val="none"/>
                <w:lang w:val="zh-CN"/>
              </w:rPr>
            </w:pPr>
            <w:r>
              <w:rPr>
                <w:rFonts w:hint="eastAsia"/>
                <w:color w:val="000000"/>
                <w:highlight w:val="none"/>
                <w:lang w:val="zh-CN"/>
              </w:rPr>
              <w:t>公告备案</w:t>
            </w:r>
          </w:p>
        </w:tc>
        <w:tc>
          <w:tcPr>
            <w:tcW w:w="6264" w:type="dxa"/>
            <w:tcBorders>
              <w:top w:val="single" w:color="auto" w:sz="8" w:space="0"/>
              <w:left w:val="single" w:color="auto" w:sz="8" w:space="0"/>
              <w:bottom w:val="single" w:color="auto" w:sz="8" w:space="0"/>
              <w:right w:val="single" w:color="auto" w:sz="18" w:space="0"/>
            </w:tcBorders>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政府采购合同签订之日起2个工作日内，政府采购合同将在四川政府采购网公告；政府采购合同签订之日起七个工作日内，政府采购合同将向采购项目同级财政部门备案。</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41" w:type="dxa"/>
            <w:tcBorders>
              <w:top w:val="single" w:color="auto" w:sz="8" w:space="0"/>
              <w:left w:val="single" w:color="auto" w:sz="18" w:space="0"/>
              <w:bottom w:val="single" w:color="auto" w:sz="8" w:space="0"/>
              <w:right w:val="single" w:color="auto" w:sz="8" w:space="0"/>
            </w:tcBorders>
            <w:vAlign w:val="center"/>
          </w:tcPr>
          <w:p>
            <w:pPr>
              <w:pStyle w:val="49"/>
              <w:ind w:right="230"/>
              <w:jc w:val="center"/>
              <w:rPr>
                <w:color w:val="000000"/>
                <w:highlight w:val="none"/>
              </w:rPr>
            </w:pPr>
            <w:r>
              <w:rPr>
                <w:rFonts w:hint="eastAsia"/>
                <w:color w:val="000000"/>
                <w:highlight w:val="none"/>
              </w:rPr>
              <w:t>19</w:t>
            </w:r>
          </w:p>
        </w:tc>
        <w:tc>
          <w:tcPr>
            <w:tcW w:w="2478" w:type="dxa"/>
            <w:tcBorders>
              <w:top w:val="single" w:color="auto" w:sz="8" w:space="0"/>
              <w:left w:val="single" w:color="auto" w:sz="8" w:space="0"/>
              <w:bottom w:val="single" w:color="auto" w:sz="8" w:space="0"/>
              <w:right w:val="single" w:color="auto" w:sz="8" w:space="0"/>
            </w:tcBorders>
            <w:vAlign w:val="center"/>
          </w:tcPr>
          <w:p>
            <w:pPr>
              <w:ind w:firstLine="120" w:firstLineChars="50"/>
              <w:jc w:val="center"/>
              <w:rPr>
                <w:rFonts w:hAnsi="宋体" w:cs="宋体"/>
                <w:color w:val="000000"/>
                <w:sz w:val="24"/>
                <w:szCs w:val="24"/>
                <w:highlight w:val="none"/>
                <w:lang w:val="zh-CN"/>
              </w:rPr>
            </w:pPr>
            <w:r>
              <w:rPr>
                <w:rStyle w:val="32"/>
                <w:rFonts w:hint="eastAsia" w:hAnsi="宋体" w:cs="宋体"/>
                <w:color w:val="000000"/>
                <w:sz w:val="24"/>
                <w:szCs w:val="24"/>
                <w:highlight w:val="none"/>
                <w:lang w:val="zh-CN"/>
              </w:rPr>
              <w:t>扶持不发达地区和少数民族地区</w:t>
            </w:r>
          </w:p>
        </w:tc>
        <w:tc>
          <w:tcPr>
            <w:tcW w:w="6264" w:type="dxa"/>
            <w:tcBorders>
              <w:top w:val="single" w:color="auto" w:sz="8" w:space="0"/>
              <w:left w:val="single" w:color="auto" w:sz="8" w:space="0"/>
              <w:bottom w:val="single" w:color="auto" w:sz="8" w:space="0"/>
              <w:right w:val="single" w:color="auto" w:sz="18" w:space="0"/>
            </w:tcBorders>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得分相同的情况下，优先选择少数民族地区及欠发达地区供应商。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6" w:hRule="atLeast"/>
          <w:jc w:val="center"/>
        </w:trPr>
        <w:tc>
          <w:tcPr>
            <w:tcW w:w="1041" w:type="dxa"/>
            <w:tcBorders>
              <w:top w:val="single" w:color="auto" w:sz="8" w:space="0"/>
              <w:left w:val="single" w:color="auto" w:sz="18" w:space="0"/>
              <w:bottom w:val="single" w:color="auto" w:sz="8" w:space="0"/>
              <w:right w:val="single" w:color="auto" w:sz="8" w:space="0"/>
            </w:tcBorders>
            <w:vAlign w:val="center"/>
          </w:tcPr>
          <w:p>
            <w:pPr>
              <w:pStyle w:val="49"/>
              <w:ind w:right="230"/>
              <w:jc w:val="center"/>
              <w:rPr>
                <w:color w:val="000000"/>
                <w:highlight w:val="none"/>
              </w:rPr>
            </w:pPr>
            <w:r>
              <w:rPr>
                <w:rFonts w:hint="eastAsia"/>
                <w:color w:val="000000"/>
                <w:highlight w:val="none"/>
              </w:rPr>
              <w:t>20</w:t>
            </w:r>
          </w:p>
        </w:tc>
        <w:tc>
          <w:tcPr>
            <w:tcW w:w="2478" w:type="dxa"/>
            <w:tcBorders>
              <w:top w:val="single" w:color="auto" w:sz="8" w:space="0"/>
              <w:left w:val="single" w:color="auto" w:sz="8" w:space="0"/>
              <w:bottom w:val="single" w:color="auto" w:sz="8" w:space="0"/>
              <w:right w:val="single" w:color="auto" w:sz="8" w:space="0"/>
            </w:tcBorders>
            <w:vAlign w:val="center"/>
          </w:tcPr>
          <w:p>
            <w:pPr>
              <w:ind w:firstLine="120" w:firstLineChars="50"/>
              <w:jc w:val="center"/>
              <w:rPr>
                <w:rFonts w:hAnsi="宋体" w:cs="宋体"/>
                <w:color w:val="000000"/>
                <w:sz w:val="24"/>
                <w:szCs w:val="24"/>
                <w:highlight w:val="none"/>
                <w:lang w:val="zh-CN"/>
              </w:rPr>
            </w:pPr>
            <w:r>
              <w:rPr>
                <w:rStyle w:val="32"/>
                <w:rFonts w:hint="eastAsia" w:hAnsi="宋体" w:cs="宋体"/>
                <w:color w:val="000000"/>
                <w:sz w:val="24"/>
                <w:szCs w:val="24"/>
                <w:highlight w:val="none"/>
                <w:lang w:val="zh-CN"/>
              </w:rPr>
              <w:t>信用融资</w:t>
            </w:r>
          </w:p>
        </w:tc>
        <w:tc>
          <w:tcPr>
            <w:tcW w:w="6264" w:type="dxa"/>
            <w:tcBorders>
              <w:top w:val="single" w:color="auto" w:sz="8" w:space="0"/>
              <w:left w:val="single" w:color="auto" w:sz="8" w:space="0"/>
              <w:bottom w:val="single" w:color="auto" w:sz="8" w:space="0"/>
              <w:right w:val="single" w:color="auto" w:sz="18" w:space="0"/>
            </w:tcBorders>
            <w:vAlign w:val="center"/>
          </w:tcPr>
          <w:p>
            <w:pPr>
              <w:pStyle w:val="55"/>
              <w:ind w:firstLine="240" w:firstLineChars="100"/>
              <w:jc w:val="both"/>
              <w:rPr>
                <w:rStyle w:val="32"/>
                <w:rFonts w:cs="宋体"/>
                <w:color w:val="000000"/>
                <w:highlight w:val="none"/>
                <w:lang w:val="zh-CN"/>
              </w:rPr>
            </w:pPr>
            <w:r>
              <w:rPr>
                <w:rStyle w:val="32"/>
                <w:rFonts w:hint="eastAsia" w:cs="宋体"/>
                <w:color w:val="000000"/>
                <w:highlight w:val="none"/>
                <w:lang w:val="zh-CN"/>
              </w:rPr>
              <w:t>供应商可申请信用融资，相关要求详见《四川省财政厅关于推进四川省政府采购供应商信用融资工作的通知》（川财采【2018】123号）（川财采【2018】123号）、《成都市中小企业政府采购信用融资暂行办法》（成财采【2019】17号）等有关规定。</w:t>
            </w:r>
          </w:p>
        </w:tc>
      </w:tr>
    </w:tbl>
    <w:p>
      <w:pPr>
        <w:pStyle w:val="4"/>
        <w:keepNext w:val="0"/>
        <w:keepLines w:val="0"/>
        <w:spacing w:before="0" w:after="0" w:line="500" w:lineRule="exact"/>
        <w:jc w:val="center"/>
        <w:rPr>
          <w:rFonts w:ascii="宋体" w:hAnsi="宋体" w:eastAsia="宋体" w:cs="宋体"/>
          <w:color w:val="000000"/>
          <w:sz w:val="24"/>
          <w:highlight w:val="none"/>
        </w:rPr>
      </w:pPr>
      <w:r>
        <w:rPr>
          <w:rFonts w:hint="eastAsia" w:ascii="宋体" w:hAnsi="宋体" w:eastAsia="宋体" w:cs="宋体"/>
          <w:color w:val="000000"/>
          <w:highlight w:val="none"/>
        </w:rPr>
        <w:t>二、总  则</w:t>
      </w:r>
      <w:bookmarkStart w:id="13" w:name="_Toc183682342"/>
      <w:bookmarkStart w:id="14" w:name="_Toc183582205"/>
      <w:bookmarkStart w:id="15" w:name="_Toc217446034"/>
    </w:p>
    <w:p>
      <w:pPr>
        <w:pStyle w:val="5"/>
        <w:keepNext w:val="0"/>
        <w:keepLines w:val="0"/>
        <w:spacing w:before="0" w:after="0" w:line="500" w:lineRule="exact"/>
        <w:ind w:firstLine="480" w:firstLineChars="200"/>
        <w:rPr>
          <w:rFonts w:hAnsi="宋体" w:cs="宋体"/>
          <w:color w:val="000000"/>
          <w:sz w:val="24"/>
          <w:highlight w:val="none"/>
        </w:rPr>
      </w:pPr>
      <w:r>
        <w:rPr>
          <w:rFonts w:hint="eastAsia" w:hAnsi="宋体" w:cs="宋体"/>
          <w:color w:val="000000"/>
          <w:sz w:val="24"/>
          <w:highlight w:val="none"/>
        </w:rPr>
        <w:t>1.</w:t>
      </w:r>
      <w:bookmarkEnd w:id="13"/>
      <w:bookmarkEnd w:id="14"/>
      <w:r>
        <w:rPr>
          <w:rFonts w:hint="eastAsia" w:hAnsi="宋体" w:cs="宋体"/>
          <w:color w:val="000000"/>
          <w:sz w:val="24"/>
          <w:szCs w:val="24"/>
          <w:highlight w:val="none"/>
        </w:rPr>
        <w:t>适用范围</w:t>
      </w:r>
      <w:bookmarkEnd w:id="15"/>
    </w:p>
    <w:p>
      <w:pPr>
        <w:tabs>
          <w:tab w:val="left" w:pos="7665"/>
        </w:tabs>
        <w:spacing w:line="500" w:lineRule="exact"/>
        <w:ind w:firstLine="480" w:firstLineChars="200"/>
        <w:rPr>
          <w:rFonts w:hAnsi="宋体" w:cs="宋体"/>
          <w:sz w:val="24"/>
          <w:highlight w:val="none"/>
        </w:rPr>
      </w:pPr>
      <w:r>
        <w:rPr>
          <w:rFonts w:hint="eastAsia" w:hAnsi="宋体" w:cs="宋体"/>
          <w:color w:val="000000"/>
          <w:sz w:val="24"/>
          <w:highlight w:val="none"/>
        </w:rPr>
        <w:t>1.1 本磋商文件仅适用于本次磋商所叙述的</w:t>
      </w:r>
      <w:r>
        <w:rPr>
          <w:rFonts w:hint="eastAsia" w:hAnsi="宋体" w:cs="宋体"/>
          <w:sz w:val="24"/>
          <w:highlight w:val="none"/>
        </w:rPr>
        <w:t>服务采购。</w:t>
      </w:r>
    </w:p>
    <w:p>
      <w:pPr>
        <w:tabs>
          <w:tab w:val="left" w:pos="7665"/>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1.2 本磋商文件的解释权</w:t>
      </w:r>
      <w:r>
        <w:rPr>
          <w:rFonts w:hint="eastAsia" w:hAnsi="宋体" w:cs="宋体"/>
          <w:sz w:val="24"/>
          <w:highlight w:val="none"/>
        </w:rPr>
        <w:t>归</w:t>
      </w:r>
      <w:r>
        <w:rPr>
          <w:rFonts w:hint="eastAsia" w:hAnsi="宋体" w:cs="宋体"/>
          <w:color w:val="000000"/>
          <w:sz w:val="24"/>
          <w:highlight w:val="none"/>
        </w:rPr>
        <w:t>采购人和采购代理机构</w:t>
      </w:r>
      <w:r>
        <w:rPr>
          <w:rFonts w:hint="eastAsia" w:hAnsi="宋体" w:cs="宋体"/>
          <w:sz w:val="24"/>
          <w:highlight w:val="none"/>
        </w:rPr>
        <w:t>所有</w:t>
      </w:r>
      <w:r>
        <w:rPr>
          <w:rFonts w:hint="eastAsia" w:hAnsi="宋体" w:cs="宋体"/>
          <w:color w:val="000000"/>
          <w:sz w:val="24"/>
          <w:highlight w:val="none"/>
        </w:rPr>
        <w:t>。</w:t>
      </w:r>
    </w:p>
    <w:p>
      <w:pPr>
        <w:pStyle w:val="5"/>
        <w:keepNext w:val="0"/>
        <w:keepLines w:val="0"/>
        <w:spacing w:before="0" w:after="0" w:line="500" w:lineRule="exact"/>
        <w:ind w:firstLine="480" w:firstLineChars="200"/>
        <w:rPr>
          <w:rFonts w:hAnsi="宋体" w:cs="宋体"/>
          <w:color w:val="000000"/>
          <w:sz w:val="24"/>
          <w:highlight w:val="none"/>
        </w:rPr>
      </w:pPr>
      <w:bookmarkStart w:id="16" w:name="_Toc183582206"/>
      <w:bookmarkStart w:id="17" w:name="_Toc217446035"/>
      <w:bookmarkStart w:id="18" w:name="_Toc183682343"/>
      <w:r>
        <w:rPr>
          <w:rFonts w:hint="eastAsia" w:hAnsi="宋体" w:cs="宋体"/>
          <w:color w:val="000000"/>
          <w:sz w:val="24"/>
          <w:highlight w:val="none"/>
        </w:rPr>
        <w:t>2.</w:t>
      </w:r>
      <w:bookmarkEnd w:id="16"/>
      <w:bookmarkEnd w:id="17"/>
      <w:bookmarkEnd w:id="18"/>
      <w:r>
        <w:rPr>
          <w:rFonts w:hint="eastAsia" w:hAnsi="宋体" w:cs="宋体"/>
          <w:color w:val="000000"/>
          <w:sz w:val="24"/>
          <w:highlight w:val="none"/>
        </w:rPr>
        <w:t>采购主体</w:t>
      </w:r>
    </w:p>
    <w:p>
      <w:pPr>
        <w:tabs>
          <w:tab w:val="left" w:pos="7665"/>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2.1本次磋商的采购人是</w:t>
      </w:r>
      <w:r>
        <w:rPr>
          <w:rFonts w:hint="eastAsia" w:hAnsi="宋体" w:cs="宋体"/>
          <w:bCs/>
          <w:color w:val="000000"/>
          <w:sz w:val="24"/>
          <w:highlight w:val="none"/>
          <w:u w:val="single"/>
        </w:rPr>
        <w:t>成都市青羊区国有资产监督管理局</w:t>
      </w:r>
      <w:r>
        <w:rPr>
          <w:rFonts w:hint="eastAsia" w:hAnsi="宋体" w:cs="宋体"/>
          <w:color w:val="000000"/>
          <w:sz w:val="24"/>
          <w:highlight w:val="none"/>
        </w:rPr>
        <w:t>。</w:t>
      </w:r>
    </w:p>
    <w:p>
      <w:pPr>
        <w:tabs>
          <w:tab w:val="left" w:pos="7665"/>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2.2本次磋商的采购代理机构是</w:t>
      </w:r>
      <w:r>
        <w:rPr>
          <w:rFonts w:hint="eastAsia" w:hAnsi="宋体" w:cs="宋体"/>
          <w:color w:val="000000"/>
          <w:sz w:val="24"/>
          <w:highlight w:val="none"/>
          <w:u w:val="single"/>
        </w:rPr>
        <w:t>四川汇合源招投标代理有限公司</w:t>
      </w:r>
      <w:r>
        <w:rPr>
          <w:rFonts w:hint="eastAsia" w:hAnsi="宋体" w:cs="宋体"/>
          <w:color w:val="000000"/>
          <w:sz w:val="24"/>
          <w:highlight w:val="none"/>
        </w:rPr>
        <w:t>。</w:t>
      </w:r>
    </w:p>
    <w:p>
      <w:pPr>
        <w:pStyle w:val="5"/>
        <w:keepNext w:val="0"/>
        <w:keepLines w:val="0"/>
        <w:spacing w:before="0" w:after="0" w:line="500" w:lineRule="exact"/>
        <w:ind w:firstLine="480" w:firstLineChars="200"/>
        <w:rPr>
          <w:rFonts w:hAnsi="宋体" w:cs="宋体"/>
          <w:color w:val="000000"/>
          <w:sz w:val="24"/>
          <w:highlight w:val="none"/>
        </w:rPr>
      </w:pPr>
      <w:bookmarkStart w:id="19" w:name="_Toc183682344"/>
      <w:bookmarkStart w:id="20" w:name="_Toc217446036"/>
      <w:bookmarkStart w:id="21" w:name="_Toc183582207"/>
      <w:bookmarkStart w:id="22" w:name="_Toc217390843"/>
      <w:r>
        <w:rPr>
          <w:rFonts w:hint="eastAsia" w:hAnsi="宋体" w:cs="宋体"/>
          <w:color w:val="000000"/>
          <w:sz w:val="24"/>
          <w:highlight w:val="none"/>
        </w:rPr>
        <w:t>3.合格</w:t>
      </w:r>
      <w:bookmarkEnd w:id="19"/>
      <w:bookmarkEnd w:id="20"/>
      <w:bookmarkEnd w:id="21"/>
      <w:bookmarkEnd w:id="22"/>
      <w:r>
        <w:rPr>
          <w:rFonts w:hint="eastAsia" w:hAnsi="宋体" w:cs="宋体"/>
          <w:color w:val="000000"/>
          <w:sz w:val="24"/>
          <w:highlight w:val="none"/>
        </w:rPr>
        <w:t>供应商（实质性要求）</w:t>
      </w:r>
    </w:p>
    <w:p>
      <w:pPr>
        <w:tabs>
          <w:tab w:val="left" w:pos="7665"/>
        </w:tabs>
        <w:spacing w:line="500" w:lineRule="exact"/>
        <w:rPr>
          <w:rFonts w:hAnsi="宋体" w:cs="宋体"/>
          <w:color w:val="000000"/>
          <w:sz w:val="24"/>
          <w:highlight w:val="none"/>
        </w:rPr>
      </w:pPr>
      <w:r>
        <w:rPr>
          <w:rFonts w:hint="eastAsia" w:hAnsi="宋体" w:cs="宋体"/>
          <w:b/>
          <w:color w:val="000000"/>
          <w:sz w:val="24"/>
          <w:highlight w:val="none"/>
        </w:rPr>
        <w:t xml:space="preserve">    </w:t>
      </w:r>
      <w:r>
        <w:rPr>
          <w:rFonts w:hint="eastAsia" w:hAnsi="宋体" w:cs="宋体"/>
          <w:color w:val="000000"/>
          <w:sz w:val="24"/>
          <w:highlight w:val="none"/>
        </w:rPr>
        <w:t>合格供应商应具备以下条件：</w:t>
      </w:r>
    </w:p>
    <w:p>
      <w:pPr>
        <w:tabs>
          <w:tab w:val="left" w:pos="7665"/>
        </w:tabs>
        <w:spacing w:line="500" w:lineRule="exact"/>
        <w:ind w:firstLine="480" w:firstLineChars="200"/>
        <w:rPr>
          <w:rFonts w:hAnsi="宋体" w:cs="宋体"/>
          <w:color w:val="000000"/>
          <w:spacing w:val="-4"/>
          <w:sz w:val="24"/>
          <w:highlight w:val="none"/>
        </w:rPr>
      </w:pPr>
      <w:r>
        <w:rPr>
          <w:rFonts w:hint="eastAsia" w:hAnsi="宋体" w:cs="宋体"/>
          <w:color w:val="000000"/>
          <w:sz w:val="24"/>
          <w:highlight w:val="none"/>
        </w:rPr>
        <w:t>3.1具备法律法规和本采购文件规定的资格条件</w:t>
      </w:r>
      <w:r>
        <w:rPr>
          <w:rFonts w:hint="eastAsia" w:hAnsi="宋体" w:cs="宋体"/>
          <w:color w:val="000000"/>
          <w:spacing w:val="-4"/>
          <w:sz w:val="24"/>
          <w:highlight w:val="none"/>
        </w:rPr>
        <w:t>；</w:t>
      </w:r>
    </w:p>
    <w:p>
      <w:pPr>
        <w:tabs>
          <w:tab w:val="left" w:pos="7665"/>
        </w:tabs>
        <w:spacing w:line="500" w:lineRule="exact"/>
        <w:ind w:firstLine="464" w:firstLineChars="200"/>
        <w:rPr>
          <w:rFonts w:hAnsi="宋体" w:cs="宋体"/>
          <w:color w:val="000000"/>
          <w:spacing w:val="-4"/>
          <w:sz w:val="24"/>
          <w:highlight w:val="none"/>
        </w:rPr>
      </w:pPr>
      <w:r>
        <w:rPr>
          <w:rFonts w:hint="eastAsia" w:hAnsi="宋体" w:cs="宋体"/>
          <w:color w:val="000000"/>
          <w:spacing w:val="-4"/>
          <w:sz w:val="24"/>
          <w:highlight w:val="none"/>
        </w:rPr>
        <w:t>3.2 不属于禁止参加本项目采购活动的</w:t>
      </w:r>
      <w:r>
        <w:rPr>
          <w:rFonts w:hint="eastAsia" w:hAnsi="宋体" w:cs="宋体"/>
          <w:spacing w:val="-4"/>
          <w:sz w:val="24"/>
          <w:highlight w:val="none"/>
        </w:rPr>
        <w:t>供应商</w:t>
      </w:r>
      <w:r>
        <w:rPr>
          <w:rFonts w:hint="eastAsia" w:hAnsi="宋体" w:cs="宋体"/>
          <w:color w:val="000000"/>
          <w:spacing w:val="-4"/>
          <w:sz w:val="24"/>
          <w:highlight w:val="none"/>
        </w:rPr>
        <w:t>；</w:t>
      </w:r>
    </w:p>
    <w:p>
      <w:pPr>
        <w:tabs>
          <w:tab w:val="left" w:pos="7665"/>
        </w:tabs>
        <w:spacing w:line="500" w:lineRule="exact"/>
        <w:ind w:firstLine="464" w:firstLineChars="200"/>
        <w:rPr>
          <w:rFonts w:hAnsi="宋体" w:cs="宋体"/>
          <w:color w:val="000000"/>
          <w:sz w:val="24"/>
          <w:highlight w:val="none"/>
        </w:rPr>
      </w:pPr>
      <w:r>
        <w:rPr>
          <w:rFonts w:hint="eastAsia" w:hAnsi="宋体" w:cs="宋体"/>
          <w:color w:val="000000"/>
          <w:spacing w:val="-4"/>
          <w:sz w:val="24"/>
          <w:highlight w:val="none"/>
        </w:rPr>
        <w:t>3.3 按照规定</w:t>
      </w:r>
      <w:r>
        <w:rPr>
          <w:rFonts w:hint="eastAsia" w:hAnsi="宋体" w:cs="宋体"/>
          <w:color w:val="000000"/>
          <w:sz w:val="24"/>
          <w:highlight w:val="none"/>
        </w:rPr>
        <w:t>获取了磋商文件，属于实质性参加政府采购活动的供应商。</w:t>
      </w:r>
      <w:bookmarkStart w:id="23" w:name="_Toc183682345"/>
      <w:bookmarkStart w:id="24" w:name="_Toc217446037"/>
      <w:bookmarkStart w:id="25" w:name="_Toc183582208"/>
    </w:p>
    <w:p>
      <w:pPr>
        <w:pStyle w:val="5"/>
        <w:keepNext w:val="0"/>
        <w:keepLines w:val="0"/>
        <w:spacing w:before="0" w:after="0" w:line="500" w:lineRule="exact"/>
        <w:ind w:firstLine="480" w:firstLineChars="200"/>
        <w:rPr>
          <w:rFonts w:hAnsi="宋体" w:cs="宋体"/>
          <w:color w:val="000000"/>
          <w:sz w:val="24"/>
          <w:highlight w:val="none"/>
        </w:rPr>
      </w:pPr>
      <w:r>
        <w:rPr>
          <w:rFonts w:hint="eastAsia" w:hAnsi="宋体" w:cs="宋体"/>
          <w:color w:val="000000"/>
          <w:sz w:val="24"/>
          <w:highlight w:val="none"/>
        </w:rPr>
        <w:t>4.磋商费用</w:t>
      </w:r>
      <w:bookmarkEnd w:id="23"/>
      <w:bookmarkEnd w:id="24"/>
      <w:bookmarkEnd w:id="25"/>
    </w:p>
    <w:p>
      <w:pPr>
        <w:tabs>
          <w:tab w:val="left" w:pos="7665"/>
        </w:tabs>
        <w:spacing w:line="500" w:lineRule="exact"/>
        <w:ind w:firstLine="480"/>
        <w:rPr>
          <w:rFonts w:hAnsi="宋体" w:cs="宋体"/>
          <w:highlight w:val="none"/>
        </w:rPr>
      </w:pPr>
      <w:r>
        <w:rPr>
          <w:rFonts w:hint="eastAsia" w:hAnsi="宋体" w:cs="宋体"/>
          <w:color w:val="000000"/>
          <w:sz w:val="24"/>
          <w:highlight w:val="none"/>
        </w:rPr>
        <w:t>供应商应自行承担参加磋商活动的全部费用。</w:t>
      </w:r>
    </w:p>
    <w:p>
      <w:pPr>
        <w:pStyle w:val="48"/>
        <w:spacing w:line="500" w:lineRule="exact"/>
        <w:ind w:left="1" w:firstLine="480" w:firstLineChars="200"/>
        <w:rPr>
          <w:rFonts w:hAnsi="宋体" w:cs="宋体"/>
          <w:b/>
          <w:color w:val="000000"/>
          <w:sz w:val="24"/>
          <w:highlight w:val="none"/>
        </w:rPr>
      </w:pPr>
      <w:r>
        <w:rPr>
          <w:rFonts w:hint="eastAsia" w:hAnsi="宋体" w:cs="宋体"/>
          <w:b/>
          <w:color w:val="000000"/>
          <w:sz w:val="24"/>
          <w:highlight w:val="none"/>
        </w:rPr>
        <w:t>5.充分、公平竞争保障措施（实质性要求）</w:t>
      </w:r>
    </w:p>
    <w:p>
      <w:pPr>
        <w:pStyle w:val="48"/>
        <w:spacing w:line="500" w:lineRule="exact"/>
        <w:ind w:left="1" w:firstLine="480" w:firstLineChars="200"/>
        <w:rPr>
          <w:rFonts w:hAnsi="宋体" w:cs="宋体"/>
          <w:color w:val="FF0000"/>
          <w:sz w:val="28"/>
          <w:szCs w:val="28"/>
          <w:highlight w:val="none"/>
        </w:rPr>
      </w:pPr>
      <w:r>
        <w:rPr>
          <w:rFonts w:hint="eastAsia" w:hAnsi="宋体" w:cs="宋体"/>
          <w:color w:val="000000"/>
          <w:sz w:val="24"/>
          <w:highlight w:val="none"/>
        </w:rPr>
        <w:t>5.1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5.2利害关系授权代表处理。</w:t>
      </w:r>
      <w:r>
        <w:rPr>
          <w:rFonts w:hint="eastAsia" w:hAnsi="宋体" w:cs="宋体"/>
          <w:sz w:val="24"/>
          <w:highlight w:val="none"/>
        </w:rPr>
        <w:t>两</w:t>
      </w:r>
      <w:r>
        <w:rPr>
          <w:rFonts w:hint="eastAsia" w:hAnsi="宋体" w:cs="宋体"/>
          <w:color w:val="000000"/>
          <w:sz w:val="24"/>
          <w:highlight w:val="none"/>
        </w:rPr>
        <w:t>家以上的供应商不得在同一合同项下的采购项目中，委托同一个自然人、同一家庭的人员、同一单位的人员作为其授权代表，否则，其响应文件作为无效处理。</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5.3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5.4供应商实际控制人或者中高级管理人员，同时是采购代理机构工作人员，不得参与本项目政府采购活动。</w:t>
      </w:r>
    </w:p>
    <w:p>
      <w:pPr>
        <w:spacing w:line="500" w:lineRule="exact"/>
        <w:ind w:firstLine="480" w:firstLineChars="200"/>
        <w:rPr>
          <w:rFonts w:hAnsi="宋体" w:cs="宋体"/>
          <w:sz w:val="24"/>
          <w:highlight w:val="none"/>
        </w:rPr>
      </w:pPr>
      <w:r>
        <w:rPr>
          <w:rFonts w:hint="eastAsia" w:hAnsi="宋体" w:cs="宋体"/>
          <w:sz w:val="24"/>
          <w:highlight w:val="none"/>
        </w:rPr>
        <w:t>5.5同一母公司的两家以上的子公司只能组成联合体参加本项目同一合同项下的采购活动，不得以不同供应商身份同时参加本项目同一合同项下的采购活动。</w:t>
      </w:r>
    </w:p>
    <w:p>
      <w:pPr>
        <w:spacing w:line="500" w:lineRule="exact"/>
        <w:ind w:firstLine="480" w:firstLineChars="200"/>
        <w:rPr>
          <w:rFonts w:hAnsi="宋体" w:cs="宋体"/>
          <w:sz w:val="24"/>
          <w:highlight w:val="none"/>
        </w:rPr>
      </w:pPr>
      <w:r>
        <w:rPr>
          <w:rFonts w:hint="eastAsia" w:hAnsi="宋体" w:cs="宋体"/>
          <w:sz w:val="24"/>
          <w:highlight w:val="none"/>
        </w:rPr>
        <w:t>5.6供应商与采购代理机构存在关联关系，或者是采购代理机构的母公司或子公司，不得参加本项目政府采购活动。</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5.7回避。政府采购活动中，采购人员及相关人员与供应商有下列利害关系之一的，应当回避：</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（1）参加采购活动前3年内与供应商存在劳动关系；</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（2）参加采购活动前3年内担任供应商的董事、监事；</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（3）参加采购活动前3年内是供应商的控股股东或者实际控制人；</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（4）与供应商的法定代表人或者负责人有夫妻、直系血亲、三代以内旁系血亲或者近姻亲关系；</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（5）与供应商有其他可能影响政府采购活动公平、公正进行的关系。</w:t>
      </w:r>
    </w:p>
    <w:p>
      <w:pPr>
        <w:pStyle w:val="48"/>
        <w:spacing w:line="500" w:lineRule="exact"/>
        <w:ind w:left="1" w:firstLine="480" w:firstLineChars="200"/>
        <w:rPr>
          <w:rFonts w:hAnsi="宋体" w:cs="宋体"/>
          <w:color w:val="000000"/>
          <w:sz w:val="24"/>
          <w:highlight w:val="none"/>
        </w:rPr>
      </w:pPr>
      <w:r>
        <w:rPr>
          <w:rFonts w:hint="eastAsia" w:hAnsi="宋体" w:cs="宋体"/>
          <w:color w:val="000000"/>
          <w:sz w:val="24"/>
          <w:highlight w:val="none"/>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48"/>
        <w:spacing w:line="500" w:lineRule="exact"/>
        <w:ind w:left="1" w:firstLine="480" w:firstLineChars="200"/>
        <w:rPr>
          <w:rFonts w:hAnsi="宋体" w:cs="宋体"/>
          <w:b/>
          <w:color w:val="000000"/>
          <w:sz w:val="24"/>
          <w:highlight w:val="none"/>
        </w:rPr>
      </w:pPr>
      <w:r>
        <w:rPr>
          <w:rFonts w:hint="eastAsia" w:hAnsi="宋体" w:cs="宋体"/>
          <w:color w:val="000000"/>
          <w:sz w:val="24"/>
          <w:highlight w:val="none"/>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line="500" w:lineRule="exact"/>
        <w:ind w:firstLine="470" w:firstLineChars="196"/>
        <w:rPr>
          <w:rFonts w:hAnsi="宋体" w:cs="宋体"/>
          <w:b/>
          <w:color w:val="000000"/>
          <w:sz w:val="24"/>
          <w:highlight w:val="none"/>
        </w:rPr>
      </w:pPr>
      <w:r>
        <w:rPr>
          <w:rFonts w:hint="eastAsia" w:hAnsi="宋体" w:cs="宋体"/>
          <w:b/>
          <w:color w:val="000000"/>
          <w:sz w:val="24"/>
          <w:highlight w:val="none"/>
        </w:rPr>
        <w:t>6.响应文件有效期（实质性要求）</w:t>
      </w:r>
    </w:p>
    <w:p>
      <w:pPr>
        <w:spacing w:line="500" w:lineRule="exact"/>
        <w:ind w:firstLine="470" w:firstLineChars="196"/>
        <w:rPr>
          <w:rFonts w:hAnsi="宋体" w:cs="宋体"/>
          <w:color w:val="000000"/>
          <w:sz w:val="24"/>
          <w:highlight w:val="none"/>
        </w:rPr>
      </w:pPr>
      <w:r>
        <w:rPr>
          <w:rFonts w:hint="eastAsia" w:hAnsi="宋体" w:cs="宋体"/>
          <w:color w:val="000000"/>
          <w:sz w:val="24"/>
          <w:highlight w:val="none"/>
        </w:rPr>
        <w:t>供应商响应文件中必须明确响应文件有效期，响应文件中明确的响应文件有效期可以长于磋商文件规定的期限，但不得短于磋商文件规定的期限。否则，其响应文件将作为无效处理。</w:t>
      </w:r>
    </w:p>
    <w:p>
      <w:pPr>
        <w:pStyle w:val="8"/>
        <w:spacing w:line="500" w:lineRule="exact"/>
        <w:ind w:firstLine="480" w:firstLineChars="200"/>
        <w:rPr>
          <w:rFonts w:hAnsi="宋体" w:cs="宋体"/>
          <w:b/>
          <w:bCs/>
          <w:color w:val="000000"/>
          <w:sz w:val="24"/>
          <w:szCs w:val="24"/>
          <w:highlight w:val="none"/>
        </w:rPr>
      </w:pPr>
      <w:r>
        <w:rPr>
          <w:rFonts w:hint="eastAsia" w:hAnsi="宋体" w:cs="宋体"/>
          <w:b/>
          <w:color w:val="000000"/>
          <w:sz w:val="24"/>
          <w:highlight w:val="none"/>
        </w:rPr>
        <w:t>7.</w:t>
      </w:r>
      <w:r>
        <w:rPr>
          <w:rFonts w:hint="eastAsia" w:hAnsi="宋体" w:cs="宋体"/>
          <w:b/>
          <w:bCs/>
          <w:color w:val="000000"/>
          <w:sz w:val="24"/>
          <w:szCs w:val="24"/>
          <w:highlight w:val="none"/>
        </w:rPr>
        <w:t>知识产权（实质性要求）</w:t>
      </w:r>
    </w:p>
    <w:p>
      <w:pPr>
        <w:pStyle w:val="8"/>
        <w:spacing w:line="500" w:lineRule="exact"/>
        <w:ind w:firstLine="480" w:firstLineChars="200"/>
        <w:rPr>
          <w:rFonts w:hAnsi="宋体" w:cs="宋体"/>
          <w:color w:val="000000"/>
          <w:sz w:val="24"/>
          <w:szCs w:val="24"/>
          <w:highlight w:val="none"/>
        </w:rPr>
      </w:pPr>
      <w:r>
        <w:rPr>
          <w:rFonts w:hint="eastAsia" w:hAnsi="宋体" w:cs="宋体"/>
          <w:color w:val="000000"/>
          <w:sz w:val="24"/>
          <w:szCs w:val="24"/>
          <w:highlight w:val="none"/>
        </w:rPr>
        <w:t xml:space="preserve">7.1 </w:t>
      </w:r>
      <w:r>
        <w:rPr>
          <w:rFonts w:hint="eastAsia" w:hAnsi="宋体" w:cs="宋体"/>
          <w:color w:val="000000"/>
          <w:sz w:val="24"/>
          <w:highlight w:val="none"/>
        </w:rPr>
        <w:t>供应商</w:t>
      </w:r>
      <w:r>
        <w:rPr>
          <w:rFonts w:hint="eastAsia" w:hAnsi="宋体" w:cs="宋体"/>
          <w:color w:val="000000"/>
          <w:sz w:val="24"/>
          <w:szCs w:val="24"/>
          <w:highlight w:val="none"/>
        </w:rPr>
        <w:t>应保证在本项目</w:t>
      </w:r>
      <w:r>
        <w:rPr>
          <w:rFonts w:hint="eastAsia" w:hAnsi="宋体" w:cs="宋体"/>
          <w:sz w:val="24"/>
          <w:szCs w:val="24"/>
          <w:highlight w:val="none"/>
        </w:rPr>
        <w:t>中</w:t>
      </w:r>
      <w:r>
        <w:rPr>
          <w:rFonts w:hint="eastAsia" w:hAnsi="宋体" w:cs="宋体"/>
          <w:color w:val="000000"/>
          <w:sz w:val="24"/>
          <w:szCs w:val="24"/>
          <w:highlight w:val="none"/>
        </w:rPr>
        <w:t>使用的任何产品和服务（包括部分使用），不会产生因第三方提出侵犯其专利权、商标权或其它知识产权而引起的法律和经济纠纷，如因专利权、商标权或其它知识产权而引起法律和经济纠纷，由</w:t>
      </w:r>
      <w:r>
        <w:rPr>
          <w:rFonts w:hint="eastAsia" w:hAnsi="宋体" w:cs="宋体"/>
          <w:color w:val="000000"/>
          <w:sz w:val="24"/>
          <w:highlight w:val="none"/>
        </w:rPr>
        <w:t>供应商</w:t>
      </w:r>
      <w:r>
        <w:rPr>
          <w:rFonts w:hint="eastAsia" w:hAnsi="宋体" w:cs="宋体"/>
          <w:color w:val="000000"/>
          <w:sz w:val="24"/>
          <w:szCs w:val="24"/>
          <w:highlight w:val="none"/>
        </w:rPr>
        <w:t>承担所有相关责任。</w:t>
      </w:r>
    </w:p>
    <w:p>
      <w:pPr>
        <w:pStyle w:val="8"/>
        <w:spacing w:line="500" w:lineRule="exact"/>
        <w:ind w:firstLine="480" w:firstLineChars="200"/>
        <w:rPr>
          <w:rFonts w:hAnsi="宋体" w:cs="宋体"/>
          <w:color w:val="000000"/>
          <w:sz w:val="24"/>
          <w:szCs w:val="24"/>
          <w:highlight w:val="none"/>
        </w:rPr>
      </w:pPr>
      <w:r>
        <w:rPr>
          <w:rFonts w:hint="eastAsia" w:hAnsi="宋体" w:cs="宋体"/>
          <w:color w:val="000000"/>
          <w:sz w:val="24"/>
          <w:szCs w:val="24"/>
          <w:highlight w:val="none"/>
        </w:rPr>
        <w:t>7.2 除非磋商文件特别</w:t>
      </w:r>
      <w:r>
        <w:rPr>
          <w:rFonts w:hint="eastAsia" w:hAnsi="宋体" w:cs="宋体"/>
          <w:sz w:val="24"/>
          <w:szCs w:val="24"/>
          <w:highlight w:val="none"/>
        </w:rPr>
        <w:t>规定</w:t>
      </w:r>
      <w:r>
        <w:rPr>
          <w:rFonts w:hint="eastAsia" w:hAnsi="宋体" w:cs="宋体"/>
          <w:color w:val="000000"/>
          <w:sz w:val="24"/>
          <w:szCs w:val="24"/>
          <w:highlight w:val="none"/>
        </w:rPr>
        <w:t>，采购人享有本项目实施过程中产生的知识成果及知识产权。</w:t>
      </w:r>
    </w:p>
    <w:p>
      <w:pPr>
        <w:spacing w:line="500" w:lineRule="exact"/>
        <w:ind w:firstLine="480" w:firstLineChars="200"/>
        <w:rPr>
          <w:rFonts w:hAnsi="宋体" w:cs="宋体"/>
          <w:sz w:val="32"/>
          <w:szCs w:val="32"/>
          <w:highlight w:val="none"/>
        </w:rPr>
      </w:pPr>
      <w:r>
        <w:rPr>
          <w:rFonts w:hint="eastAsia" w:hAnsi="宋体" w:cs="宋体"/>
          <w:color w:val="000000"/>
          <w:sz w:val="24"/>
          <w:highlight w:val="none"/>
        </w:rPr>
        <w:t>7.3</w:t>
      </w:r>
      <w:r>
        <w:rPr>
          <w:rFonts w:hint="eastAsia" w:hAnsi="宋体" w:cs="宋体"/>
          <w:sz w:val="24"/>
          <w:highlight w:val="none"/>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spacing w:line="500" w:lineRule="exact"/>
        <w:ind w:firstLine="460" w:firstLineChars="192"/>
        <w:rPr>
          <w:rFonts w:hAnsi="宋体" w:cs="宋体"/>
          <w:bCs/>
          <w:color w:val="000000"/>
          <w:highlight w:val="none"/>
        </w:rPr>
      </w:pPr>
      <w:r>
        <w:rPr>
          <w:rFonts w:hint="eastAsia" w:hAnsi="宋体" w:cs="宋体"/>
          <w:color w:val="000000"/>
          <w:sz w:val="24"/>
          <w:highlight w:val="none"/>
        </w:rPr>
        <w:t xml:space="preserve">7.4 如采用供应商所不拥有的知识产权，则在报价中必须包括合法获取该知识产权的相关费用。 </w:t>
      </w:r>
      <w:bookmarkStart w:id="26" w:name="_Toc183582209"/>
      <w:bookmarkStart w:id="27" w:name="_Toc89075875"/>
      <w:bookmarkStart w:id="28" w:name="_Toc217446038"/>
      <w:bookmarkStart w:id="29" w:name="_Toc183682346"/>
      <w:bookmarkStart w:id="30" w:name="_Toc77400779"/>
    </w:p>
    <w:p>
      <w:pPr>
        <w:pStyle w:val="4"/>
        <w:keepNext w:val="0"/>
        <w:keepLines w:val="0"/>
        <w:spacing w:before="0" w:after="0" w:line="500" w:lineRule="exact"/>
        <w:jc w:val="center"/>
        <w:rPr>
          <w:rFonts w:ascii="宋体" w:hAnsi="宋体" w:eastAsia="宋体" w:cs="宋体"/>
          <w:color w:val="000000"/>
          <w:sz w:val="24"/>
          <w:highlight w:val="none"/>
        </w:rPr>
      </w:pPr>
      <w:r>
        <w:rPr>
          <w:rFonts w:hint="eastAsia" w:ascii="宋体" w:hAnsi="宋体" w:eastAsia="宋体" w:cs="宋体"/>
          <w:bCs w:val="0"/>
          <w:color w:val="000000"/>
          <w:highlight w:val="none"/>
        </w:rPr>
        <w:t>三、磋商文件</w:t>
      </w:r>
      <w:bookmarkEnd w:id="26"/>
      <w:bookmarkEnd w:id="27"/>
      <w:bookmarkEnd w:id="28"/>
      <w:bookmarkEnd w:id="29"/>
      <w:bookmarkEnd w:id="30"/>
      <w:bookmarkStart w:id="31" w:name="_Toc183682347"/>
      <w:bookmarkStart w:id="32" w:name="_Toc183582210"/>
      <w:bookmarkStart w:id="33" w:name="_Toc217446039"/>
    </w:p>
    <w:p>
      <w:pPr>
        <w:pStyle w:val="5"/>
        <w:keepNext w:val="0"/>
        <w:keepLines w:val="0"/>
        <w:spacing w:before="0" w:after="0" w:line="500" w:lineRule="exact"/>
        <w:ind w:firstLine="480" w:firstLineChars="200"/>
        <w:rPr>
          <w:rFonts w:hAnsi="宋体" w:cs="宋体"/>
          <w:color w:val="000000"/>
          <w:sz w:val="24"/>
          <w:highlight w:val="none"/>
        </w:rPr>
      </w:pPr>
      <w:r>
        <w:rPr>
          <w:rFonts w:hint="eastAsia" w:hAnsi="宋体" w:cs="宋体"/>
          <w:color w:val="000000"/>
          <w:sz w:val="24"/>
          <w:highlight w:val="none"/>
        </w:rPr>
        <w:t>8.磋商文件的构成</w:t>
      </w:r>
      <w:bookmarkEnd w:id="31"/>
      <w:bookmarkEnd w:id="32"/>
      <w:bookmarkEnd w:id="33"/>
    </w:p>
    <w:p>
      <w:pPr>
        <w:tabs>
          <w:tab w:val="left" w:pos="720"/>
        </w:tabs>
        <w:spacing w:line="500" w:lineRule="exact"/>
        <w:ind w:firstLine="480" w:firstLineChars="200"/>
        <w:rPr>
          <w:rFonts w:hAnsi="宋体" w:cs="宋体"/>
          <w:color w:val="FF0000"/>
          <w:sz w:val="24"/>
          <w:highlight w:val="none"/>
        </w:rPr>
      </w:pPr>
      <w:r>
        <w:rPr>
          <w:rFonts w:hint="eastAsia" w:hAnsi="宋体" w:cs="宋体"/>
          <w:color w:val="000000"/>
          <w:sz w:val="24"/>
          <w:highlight w:val="none"/>
        </w:rPr>
        <w:t>8</w:t>
      </w:r>
      <w:r>
        <w:rPr>
          <w:rFonts w:hint="eastAsia" w:hAnsi="宋体" w:cs="宋体"/>
          <w:b/>
          <w:bCs/>
          <w:color w:val="000000"/>
          <w:sz w:val="24"/>
          <w:highlight w:val="none"/>
        </w:rPr>
        <w:t>.</w:t>
      </w:r>
      <w:r>
        <w:rPr>
          <w:rFonts w:hint="eastAsia" w:hAnsi="宋体" w:cs="宋体"/>
          <w:color w:val="000000"/>
          <w:sz w:val="24"/>
          <w:highlight w:val="none"/>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8</w:t>
      </w:r>
      <w:r>
        <w:rPr>
          <w:rFonts w:hint="eastAsia" w:hAnsi="宋体" w:cs="宋体"/>
          <w:b/>
          <w:bCs/>
          <w:color w:val="000000"/>
          <w:sz w:val="24"/>
          <w:highlight w:val="none"/>
        </w:rPr>
        <w:t>.</w:t>
      </w:r>
      <w:r>
        <w:rPr>
          <w:rFonts w:hint="eastAsia" w:hAnsi="宋体" w:cs="宋体"/>
          <w:color w:val="000000"/>
          <w:sz w:val="24"/>
          <w:highlight w:val="none"/>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bookmarkStart w:id="34" w:name="_Toc183582211"/>
      <w:bookmarkStart w:id="35" w:name="_Toc183682348"/>
      <w:bookmarkStart w:id="36" w:name="_Toc217446040"/>
    </w:p>
    <w:p>
      <w:pPr>
        <w:pStyle w:val="5"/>
        <w:keepNext w:val="0"/>
        <w:keepLines w:val="0"/>
        <w:spacing w:before="0" w:after="0" w:line="500" w:lineRule="exact"/>
        <w:ind w:firstLine="480" w:firstLineChars="200"/>
        <w:rPr>
          <w:rFonts w:hAnsi="宋体" w:cs="宋体"/>
          <w:color w:val="000000"/>
          <w:sz w:val="24"/>
          <w:highlight w:val="none"/>
        </w:rPr>
      </w:pPr>
      <w:r>
        <w:rPr>
          <w:rFonts w:hint="eastAsia" w:hAnsi="宋体" w:cs="宋体"/>
          <w:color w:val="000000"/>
          <w:sz w:val="24"/>
          <w:highlight w:val="none"/>
        </w:rPr>
        <w:t>9.磋商文件的澄清</w:t>
      </w:r>
      <w:bookmarkEnd w:id="34"/>
      <w:bookmarkEnd w:id="35"/>
      <w:r>
        <w:rPr>
          <w:rFonts w:hint="eastAsia" w:hAnsi="宋体" w:cs="宋体"/>
          <w:color w:val="000000"/>
          <w:sz w:val="24"/>
          <w:highlight w:val="none"/>
        </w:rPr>
        <w:t>和修改</w:t>
      </w:r>
      <w:bookmarkEnd w:id="36"/>
    </w:p>
    <w:p>
      <w:pPr>
        <w:tabs>
          <w:tab w:val="left" w:pos="720"/>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9.1 在递交响应文件截止时间前，采购人、采购代理机构可以对磋商文件进行澄清或者修改。</w:t>
      </w:r>
    </w:p>
    <w:p>
      <w:pPr>
        <w:tabs>
          <w:tab w:val="left" w:pos="720"/>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9.2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hAnsi="宋体" w:cs="宋体"/>
          <w:sz w:val="24"/>
          <w:highlight w:val="none"/>
        </w:rPr>
        <w:t>之日起</w:t>
      </w:r>
      <w:r>
        <w:rPr>
          <w:rFonts w:hint="eastAsia" w:hAnsi="宋体" w:cs="宋体"/>
          <w:color w:val="000000"/>
          <w:sz w:val="24"/>
          <w:highlight w:val="none"/>
        </w:rPr>
        <w:t>3个工作日前；不足上述时间的，应当顺延递交响应文件的截止时间。</w:t>
      </w:r>
    </w:p>
    <w:p>
      <w:pPr>
        <w:pStyle w:val="5"/>
        <w:keepNext w:val="0"/>
        <w:keepLines w:val="0"/>
        <w:spacing w:before="0" w:after="0" w:line="500" w:lineRule="exact"/>
        <w:ind w:firstLine="480" w:firstLineChars="200"/>
        <w:rPr>
          <w:rFonts w:hAnsi="宋体" w:cs="宋体"/>
          <w:color w:val="000000"/>
          <w:sz w:val="24"/>
          <w:highlight w:val="none"/>
        </w:rPr>
      </w:pPr>
      <w:bookmarkStart w:id="37" w:name="_Toc208848971"/>
      <w:bookmarkStart w:id="38" w:name="_Toc217446041"/>
      <w:r>
        <w:rPr>
          <w:rFonts w:hint="eastAsia" w:hAnsi="宋体" w:cs="宋体"/>
          <w:color w:val="000000"/>
          <w:sz w:val="24"/>
          <w:highlight w:val="none"/>
        </w:rPr>
        <w:t>10.答疑会和现场考察</w:t>
      </w:r>
      <w:bookmarkEnd w:id="37"/>
      <w:bookmarkEnd w:id="38"/>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10.1 根据采购项目和具体情况，采购人、采购代理机构认为有必要，可以在磋商文件提供期限截止后响应文件提交截止前，组织已获取磋商文件的潜在供应商现场考察或者召开答疑会。</w:t>
      </w:r>
    </w:p>
    <w:p>
      <w:pPr>
        <w:spacing w:line="500" w:lineRule="exact"/>
        <w:ind w:firstLine="480" w:firstLineChars="200"/>
        <w:rPr>
          <w:rFonts w:hAnsi="宋体" w:cs="宋体"/>
          <w:sz w:val="24"/>
          <w:highlight w:val="none"/>
        </w:rPr>
      </w:pPr>
      <w:r>
        <w:rPr>
          <w:rFonts w:hint="eastAsia" w:hAnsi="宋体" w:cs="宋体"/>
          <w:color w:val="000000"/>
          <w:sz w:val="24"/>
          <w:highlight w:val="none"/>
        </w:rPr>
        <w:t>10.2采购人、采购代理机构组织现场考察或者召开答疑会的，将以书面形式通知所有获取磋商文件的潜在供应商。</w:t>
      </w:r>
      <w:r>
        <w:rPr>
          <w:rFonts w:hint="eastAsia" w:hAnsi="宋体" w:cs="宋体"/>
          <w:sz w:val="24"/>
          <w:highlight w:val="none"/>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spacing w:line="500" w:lineRule="exact"/>
        <w:ind w:firstLine="420" w:firstLineChars="175"/>
        <w:rPr>
          <w:rFonts w:hAnsi="宋体" w:cs="宋体"/>
          <w:bCs/>
          <w:color w:val="000000"/>
          <w:highlight w:val="none"/>
        </w:rPr>
      </w:pPr>
      <w:r>
        <w:rPr>
          <w:rFonts w:hint="eastAsia" w:hAnsi="宋体" w:cs="宋体"/>
          <w:color w:val="000000"/>
          <w:sz w:val="24"/>
          <w:highlight w:val="none"/>
        </w:rPr>
        <w:t>10.3 供应商考察现场或者参加答疑会所发生的一切费用由供应商自己承担。</w:t>
      </w:r>
      <w:bookmarkStart w:id="39" w:name="_Toc183682351"/>
      <w:bookmarkStart w:id="40" w:name="_Toc77400780"/>
      <w:bookmarkStart w:id="41" w:name="_Toc183582214"/>
      <w:bookmarkStart w:id="42" w:name="_Toc217446042"/>
      <w:bookmarkStart w:id="43" w:name="_Toc89075876"/>
    </w:p>
    <w:p>
      <w:pPr>
        <w:pStyle w:val="4"/>
        <w:keepNext w:val="0"/>
        <w:keepLines w:val="0"/>
        <w:spacing w:before="0" w:after="0" w:line="500" w:lineRule="exact"/>
        <w:jc w:val="center"/>
        <w:rPr>
          <w:rFonts w:ascii="宋体" w:hAnsi="宋体" w:eastAsia="宋体" w:cs="宋体"/>
          <w:highlight w:val="none"/>
        </w:rPr>
      </w:pPr>
      <w:r>
        <w:rPr>
          <w:rFonts w:hint="eastAsia" w:ascii="宋体" w:hAnsi="宋体" w:eastAsia="宋体" w:cs="宋体"/>
          <w:bCs w:val="0"/>
          <w:color w:val="000000"/>
          <w:highlight w:val="none"/>
        </w:rPr>
        <w:t>四、响应文件</w:t>
      </w:r>
      <w:bookmarkEnd w:id="39"/>
      <w:bookmarkEnd w:id="40"/>
      <w:bookmarkEnd w:id="41"/>
      <w:bookmarkEnd w:id="42"/>
      <w:bookmarkEnd w:id="43"/>
    </w:p>
    <w:p>
      <w:pPr>
        <w:pStyle w:val="5"/>
        <w:keepNext w:val="0"/>
        <w:keepLines w:val="0"/>
        <w:spacing w:before="0" w:after="0" w:line="500" w:lineRule="exact"/>
        <w:ind w:firstLine="480" w:firstLineChars="200"/>
        <w:rPr>
          <w:rFonts w:hAnsi="宋体" w:cs="宋体"/>
          <w:color w:val="000000"/>
          <w:sz w:val="24"/>
          <w:highlight w:val="none"/>
        </w:rPr>
      </w:pPr>
      <w:bookmarkStart w:id="44" w:name="_Toc183582215"/>
      <w:bookmarkStart w:id="45" w:name="_Toc183682352"/>
      <w:bookmarkStart w:id="46" w:name="_Toc217446043"/>
      <w:r>
        <w:rPr>
          <w:rFonts w:hint="eastAsia" w:hAnsi="宋体" w:cs="宋体"/>
          <w:color w:val="000000"/>
          <w:sz w:val="24"/>
          <w:highlight w:val="none"/>
        </w:rPr>
        <w:t>11.响应文件的组成</w:t>
      </w:r>
    </w:p>
    <w:p>
      <w:pPr>
        <w:spacing w:line="500" w:lineRule="exact"/>
        <w:ind w:left="3" w:leftChars="1" w:firstLine="480" w:firstLineChars="200"/>
        <w:rPr>
          <w:rFonts w:hAnsi="宋体" w:cs="宋体"/>
          <w:color w:val="000000"/>
          <w:sz w:val="24"/>
          <w:highlight w:val="none"/>
        </w:rPr>
      </w:pPr>
      <w:r>
        <w:rPr>
          <w:rFonts w:hint="eastAsia" w:hAnsi="宋体" w:cs="宋体"/>
          <w:color w:val="000000"/>
          <w:sz w:val="24"/>
          <w:highlight w:val="none"/>
        </w:rPr>
        <w:t>供应商应按照磋商文件的规定和要求编制响应文件。供应商编写的响应文件应包括资格性响应文件和其他响应文件两部分，分册装订。</w:t>
      </w:r>
    </w:p>
    <w:p>
      <w:pPr>
        <w:pStyle w:val="5"/>
        <w:keepNext w:val="0"/>
        <w:keepLines w:val="0"/>
        <w:spacing w:before="0" w:after="0" w:line="500" w:lineRule="exact"/>
        <w:ind w:firstLine="480" w:firstLineChars="200"/>
        <w:rPr>
          <w:rFonts w:hAnsi="宋体" w:cs="宋体"/>
          <w:bCs w:val="0"/>
          <w:color w:val="000000"/>
          <w:sz w:val="24"/>
          <w:highlight w:val="none"/>
        </w:rPr>
      </w:pPr>
      <w:r>
        <w:rPr>
          <w:rFonts w:hint="eastAsia" w:hAnsi="宋体" w:cs="宋体"/>
          <w:bCs w:val="0"/>
          <w:color w:val="000000"/>
          <w:sz w:val="24"/>
          <w:highlight w:val="none"/>
        </w:rPr>
        <w:t>12.响应文件的语言</w:t>
      </w:r>
      <w:bookmarkEnd w:id="44"/>
      <w:bookmarkEnd w:id="45"/>
      <w:bookmarkEnd w:id="46"/>
      <w:r>
        <w:rPr>
          <w:rFonts w:hint="eastAsia" w:hAnsi="宋体" w:cs="宋体"/>
          <w:bCs w:val="0"/>
          <w:color w:val="000000"/>
          <w:sz w:val="24"/>
          <w:highlight w:val="none"/>
        </w:rPr>
        <w:t>（实质性要求）</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12.1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12.2 翻译的中文资料与外文资料如果出现差异和矛盾，以中文为准。但不能故意错误翻译，否则，供应商的响应文件将作为无效处理。</w:t>
      </w:r>
      <w:bookmarkStart w:id="47" w:name="_Toc217446044"/>
      <w:bookmarkStart w:id="48" w:name="_Toc183582216"/>
      <w:bookmarkStart w:id="49" w:name="_Toc183682353"/>
    </w:p>
    <w:p>
      <w:pPr>
        <w:pStyle w:val="5"/>
        <w:keepNext w:val="0"/>
        <w:keepLines w:val="0"/>
        <w:spacing w:before="0" w:after="0" w:line="500" w:lineRule="exact"/>
        <w:ind w:firstLine="480" w:firstLineChars="200"/>
        <w:rPr>
          <w:rFonts w:hAnsi="宋体" w:cs="宋体"/>
          <w:color w:val="000000"/>
          <w:sz w:val="24"/>
          <w:highlight w:val="none"/>
        </w:rPr>
      </w:pPr>
      <w:r>
        <w:rPr>
          <w:rFonts w:hint="eastAsia" w:hAnsi="宋体" w:cs="宋体"/>
          <w:color w:val="000000"/>
          <w:sz w:val="24"/>
          <w:highlight w:val="none"/>
        </w:rPr>
        <w:t>13.计量单位</w:t>
      </w:r>
      <w:bookmarkEnd w:id="47"/>
      <w:bookmarkEnd w:id="48"/>
      <w:bookmarkEnd w:id="49"/>
      <w:r>
        <w:rPr>
          <w:rFonts w:hint="eastAsia" w:hAnsi="宋体" w:cs="宋体"/>
          <w:color w:val="000000"/>
          <w:sz w:val="24"/>
          <w:highlight w:val="none"/>
        </w:rPr>
        <w:t>（实质性要求）</w:t>
      </w:r>
    </w:p>
    <w:p>
      <w:pPr>
        <w:spacing w:line="500" w:lineRule="exact"/>
        <w:ind w:firstLine="470" w:firstLineChars="196"/>
        <w:rPr>
          <w:rFonts w:hAnsi="宋体" w:cs="宋体"/>
          <w:b/>
          <w:bCs/>
          <w:color w:val="000000"/>
          <w:sz w:val="24"/>
          <w:highlight w:val="none"/>
        </w:rPr>
      </w:pPr>
      <w:r>
        <w:rPr>
          <w:rFonts w:hint="eastAsia" w:hAnsi="宋体" w:cs="宋体"/>
          <w:color w:val="000000"/>
          <w:sz w:val="24"/>
          <w:highlight w:val="none"/>
        </w:rPr>
        <w:t>除磋商文件中另有规定外，本次采购项目所有合同项下的报价均采用国家法定的计量单位。</w:t>
      </w:r>
      <w:bookmarkStart w:id="50" w:name="_Toc217446045"/>
    </w:p>
    <w:p>
      <w:pPr>
        <w:spacing w:line="500" w:lineRule="exact"/>
        <w:ind w:firstLine="468" w:firstLineChars="195"/>
        <w:rPr>
          <w:rFonts w:hAnsi="宋体" w:cs="宋体"/>
          <w:b/>
          <w:bCs/>
          <w:color w:val="000000"/>
          <w:sz w:val="24"/>
          <w:highlight w:val="none"/>
        </w:rPr>
      </w:pPr>
      <w:r>
        <w:rPr>
          <w:rFonts w:hint="eastAsia" w:hAnsi="宋体" w:cs="宋体"/>
          <w:b/>
          <w:bCs/>
          <w:color w:val="000000"/>
          <w:sz w:val="24"/>
          <w:highlight w:val="none"/>
        </w:rPr>
        <w:t>14.</w:t>
      </w:r>
      <w:r>
        <w:rPr>
          <w:rFonts w:hint="eastAsia" w:hAnsi="宋体" w:cs="宋体"/>
          <w:b/>
          <w:color w:val="000000"/>
          <w:sz w:val="24"/>
          <w:highlight w:val="none"/>
        </w:rPr>
        <w:t>报价</w:t>
      </w:r>
      <w:r>
        <w:rPr>
          <w:rFonts w:hint="eastAsia" w:hAnsi="宋体" w:cs="宋体"/>
          <w:b/>
          <w:bCs/>
          <w:color w:val="000000"/>
          <w:sz w:val="24"/>
          <w:highlight w:val="none"/>
        </w:rPr>
        <w:t>货币（实质性要求）</w:t>
      </w:r>
    </w:p>
    <w:p>
      <w:pPr>
        <w:spacing w:line="500" w:lineRule="exact"/>
        <w:ind w:firstLine="468" w:firstLineChars="195"/>
        <w:rPr>
          <w:rFonts w:hAnsi="宋体" w:cs="宋体"/>
          <w:bCs/>
          <w:color w:val="000000"/>
          <w:sz w:val="24"/>
          <w:highlight w:val="none"/>
        </w:rPr>
      </w:pPr>
      <w:r>
        <w:rPr>
          <w:rFonts w:hint="eastAsia" w:hAnsi="宋体" w:cs="宋体"/>
          <w:bCs/>
          <w:color w:val="000000"/>
          <w:sz w:val="24"/>
          <w:highlight w:val="none"/>
        </w:rPr>
        <w:t>本次磋商项目的</w:t>
      </w:r>
      <w:r>
        <w:rPr>
          <w:rFonts w:hint="eastAsia" w:hAnsi="宋体" w:cs="宋体"/>
          <w:color w:val="000000"/>
          <w:sz w:val="24"/>
          <w:highlight w:val="none"/>
        </w:rPr>
        <w:t>报价货币为</w:t>
      </w:r>
      <w:r>
        <w:rPr>
          <w:rFonts w:hint="eastAsia" w:hAnsi="宋体" w:cs="宋体"/>
          <w:bCs/>
          <w:color w:val="000000"/>
          <w:sz w:val="24"/>
          <w:highlight w:val="none"/>
        </w:rPr>
        <w:t>人民币，报价以磋商文件规定为准。</w:t>
      </w:r>
    </w:p>
    <w:bookmarkEnd w:id="50"/>
    <w:p>
      <w:pPr>
        <w:spacing w:line="500" w:lineRule="exact"/>
        <w:ind w:left="3" w:leftChars="1" w:firstLine="480" w:firstLineChars="200"/>
        <w:rPr>
          <w:rFonts w:hAnsi="宋体" w:cs="宋体"/>
          <w:b/>
          <w:bCs/>
          <w:color w:val="000000"/>
          <w:sz w:val="24"/>
          <w:highlight w:val="none"/>
        </w:rPr>
      </w:pPr>
      <w:r>
        <w:rPr>
          <w:rFonts w:hint="eastAsia" w:hAnsi="宋体" w:cs="宋体"/>
          <w:b/>
          <w:bCs/>
          <w:color w:val="000000"/>
          <w:sz w:val="24"/>
          <w:highlight w:val="none"/>
        </w:rPr>
        <w:t>15.响应文件格式</w:t>
      </w:r>
    </w:p>
    <w:p>
      <w:pPr>
        <w:spacing w:line="500" w:lineRule="exact"/>
        <w:ind w:left="3" w:leftChars="1" w:firstLine="480" w:firstLineChars="200"/>
        <w:rPr>
          <w:rFonts w:hAnsi="宋体" w:cs="宋体"/>
          <w:bCs/>
          <w:color w:val="000000"/>
          <w:sz w:val="24"/>
          <w:highlight w:val="none"/>
        </w:rPr>
      </w:pPr>
      <w:r>
        <w:rPr>
          <w:rFonts w:hint="eastAsia" w:hAnsi="宋体" w:cs="宋体"/>
          <w:bCs/>
          <w:color w:val="000000"/>
          <w:sz w:val="24"/>
          <w:highlight w:val="none"/>
        </w:rPr>
        <w:t>15.1 供应商应执行磋商文件第八章的规定要求。</w:t>
      </w:r>
    </w:p>
    <w:p>
      <w:pPr>
        <w:spacing w:line="500" w:lineRule="exact"/>
        <w:ind w:left="3" w:leftChars="1" w:firstLine="480" w:firstLineChars="200"/>
        <w:rPr>
          <w:rFonts w:hAnsi="宋体" w:cs="宋体"/>
          <w:color w:val="000000"/>
          <w:sz w:val="24"/>
          <w:highlight w:val="none"/>
        </w:rPr>
      </w:pPr>
      <w:r>
        <w:rPr>
          <w:rFonts w:hint="eastAsia" w:hAnsi="宋体" w:cs="宋体"/>
          <w:color w:val="000000"/>
          <w:sz w:val="24"/>
          <w:highlight w:val="none"/>
        </w:rPr>
        <w:t>15.2 对于没有格式要求的磋商文件由供应商自行编写。</w:t>
      </w:r>
      <w:bookmarkStart w:id="51" w:name="_Toc217446051"/>
      <w:bookmarkStart w:id="52" w:name="_Toc183582224"/>
      <w:bookmarkStart w:id="53" w:name="_Toc183682361"/>
    </w:p>
    <w:p>
      <w:pPr>
        <w:spacing w:line="500" w:lineRule="exact"/>
        <w:ind w:firstLine="470" w:firstLineChars="196"/>
        <w:rPr>
          <w:rFonts w:hAnsi="宋体" w:cs="宋体"/>
          <w:b/>
          <w:color w:val="000000"/>
          <w:sz w:val="24"/>
          <w:highlight w:val="none"/>
        </w:rPr>
      </w:pPr>
      <w:r>
        <w:rPr>
          <w:rFonts w:hint="eastAsia" w:hAnsi="宋体" w:cs="宋体"/>
          <w:b/>
          <w:color w:val="000000"/>
          <w:sz w:val="24"/>
          <w:highlight w:val="none"/>
        </w:rPr>
        <w:t>16.响应文件的编制和签署</w:t>
      </w:r>
    </w:p>
    <w:p>
      <w:pPr>
        <w:spacing w:line="500" w:lineRule="exact"/>
        <w:ind w:firstLine="468" w:firstLineChars="195"/>
        <w:rPr>
          <w:rFonts w:hAnsi="宋体" w:cs="宋体"/>
          <w:bCs/>
          <w:color w:val="000000"/>
          <w:sz w:val="24"/>
          <w:highlight w:val="none"/>
        </w:rPr>
      </w:pPr>
      <w:r>
        <w:rPr>
          <w:rFonts w:hint="eastAsia" w:hAnsi="宋体" w:cs="宋体"/>
          <w:color w:val="000000"/>
          <w:sz w:val="24"/>
          <w:highlight w:val="none"/>
        </w:rPr>
        <w:t>16.1 资格性响应文件数量见“供应商须知附表”</w:t>
      </w:r>
      <w:r>
        <w:rPr>
          <w:rFonts w:hint="eastAsia" w:hAnsi="宋体" w:cs="宋体"/>
          <w:bCs/>
          <w:color w:val="000000"/>
          <w:sz w:val="24"/>
          <w:highlight w:val="none"/>
        </w:rPr>
        <w:t>，并在其封面上清楚地标明资格性响应文件、采购项目名称、采购项目编号、包件号（若有）、供应商名称以及“正本”或“副本”字样。若正本和副本有不一致的内容，以正本书面响应文件为准。</w:t>
      </w:r>
    </w:p>
    <w:p>
      <w:pPr>
        <w:spacing w:line="500" w:lineRule="exact"/>
        <w:ind w:firstLine="468" w:firstLineChars="195"/>
        <w:rPr>
          <w:rFonts w:hAnsi="宋体" w:cs="宋体"/>
          <w:bCs/>
          <w:color w:val="000000"/>
          <w:sz w:val="24"/>
          <w:highlight w:val="none"/>
        </w:rPr>
      </w:pPr>
      <w:r>
        <w:rPr>
          <w:rFonts w:hint="eastAsia" w:hAnsi="宋体" w:cs="宋体"/>
          <w:bCs/>
          <w:color w:val="000000"/>
          <w:sz w:val="24"/>
          <w:highlight w:val="none"/>
        </w:rPr>
        <w:t>16.2 其他响应文件</w:t>
      </w:r>
      <w:r>
        <w:rPr>
          <w:rFonts w:hint="eastAsia" w:hAnsi="宋体" w:cs="宋体"/>
          <w:color w:val="000000"/>
          <w:sz w:val="24"/>
          <w:highlight w:val="none"/>
        </w:rPr>
        <w:t>数量见“供应商须知附表”</w:t>
      </w:r>
      <w:r>
        <w:rPr>
          <w:rFonts w:hint="eastAsia" w:hAnsi="宋体" w:cs="宋体"/>
          <w:bCs/>
          <w:color w:val="000000"/>
          <w:sz w:val="24"/>
          <w:highlight w:val="none"/>
        </w:rPr>
        <w:t>，并在其封面上清楚地标明其他响应文件、采购项目名称、采购项目编号、包件号（若有）、供应商名称以及“正本”或“副本”字样。若正本和副本有不一致的内容，以正本书面响应文件为准。</w:t>
      </w:r>
    </w:p>
    <w:bookmarkEnd w:id="51"/>
    <w:bookmarkEnd w:id="52"/>
    <w:bookmarkEnd w:id="53"/>
    <w:p>
      <w:pPr>
        <w:spacing w:line="500" w:lineRule="exact"/>
        <w:ind w:firstLine="468" w:firstLineChars="195"/>
        <w:rPr>
          <w:rFonts w:hAnsi="宋体" w:cs="宋体"/>
          <w:bCs/>
          <w:color w:val="000000"/>
          <w:sz w:val="24"/>
          <w:highlight w:val="none"/>
        </w:rPr>
      </w:pPr>
      <w:r>
        <w:rPr>
          <w:rFonts w:hint="eastAsia" w:hAnsi="宋体" w:cs="宋体"/>
          <w:bCs/>
          <w:color w:val="000000"/>
          <w:sz w:val="24"/>
          <w:highlight w:val="none"/>
        </w:rPr>
        <w:t>16.3 响应文件正本和副本均需在规定签章处签字和盖章。响应文件副本可采用正本的复印件。</w:t>
      </w:r>
    </w:p>
    <w:p>
      <w:pPr>
        <w:spacing w:line="500" w:lineRule="exact"/>
        <w:ind w:firstLine="468" w:firstLineChars="195"/>
        <w:rPr>
          <w:rFonts w:hAnsi="宋体" w:cs="宋体"/>
          <w:bCs/>
          <w:color w:val="000000"/>
          <w:sz w:val="24"/>
          <w:highlight w:val="none"/>
        </w:rPr>
      </w:pPr>
      <w:r>
        <w:rPr>
          <w:rFonts w:hint="eastAsia" w:hAnsi="宋体" w:cs="宋体"/>
          <w:bCs/>
          <w:color w:val="000000"/>
          <w:sz w:val="24"/>
          <w:highlight w:val="none"/>
        </w:rPr>
        <w:t>16.4响应文件的打印和书写应清楚工整，任何行间插字、涂改或增删，应由供应商的法定代表人或其授权代表签字并盖供应商公章。</w:t>
      </w:r>
    </w:p>
    <w:p>
      <w:pPr>
        <w:spacing w:line="500" w:lineRule="exact"/>
        <w:ind w:firstLine="468" w:firstLineChars="195"/>
        <w:rPr>
          <w:rFonts w:hAnsi="宋体" w:cs="宋体"/>
          <w:b/>
          <w:color w:val="000000"/>
          <w:sz w:val="24"/>
          <w:highlight w:val="none"/>
        </w:rPr>
      </w:pPr>
      <w:r>
        <w:rPr>
          <w:rFonts w:hint="eastAsia" w:hAnsi="宋体" w:cs="宋体"/>
          <w:b/>
          <w:color w:val="000000"/>
          <w:sz w:val="24"/>
          <w:highlight w:val="none"/>
        </w:rPr>
        <w:t>16.5（实质性要求）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spacing w:line="500" w:lineRule="exact"/>
        <w:ind w:firstLine="468" w:firstLineChars="195"/>
        <w:rPr>
          <w:rFonts w:hAnsi="宋体" w:cs="宋体"/>
          <w:bCs/>
          <w:color w:val="000000"/>
          <w:sz w:val="24"/>
          <w:highlight w:val="none"/>
        </w:rPr>
      </w:pPr>
      <w:r>
        <w:rPr>
          <w:rFonts w:hint="eastAsia" w:hAnsi="宋体" w:cs="宋体"/>
          <w:bCs/>
          <w:color w:val="000000"/>
          <w:sz w:val="24"/>
          <w:highlight w:val="none"/>
        </w:rPr>
        <w:t>16.6响应文件正本和副本需要逐页编目编码。</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16.7响应文件正本和副本应当采用胶装方式装订成册，不得散装或者合页装订。</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16.8响应文件应根据磋商文件的要求制作，签署、盖章。（按照《四川省政府采购评审工作规程（修订）》规范）</w:t>
      </w:r>
    </w:p>
    <w:p>
      <w:pPr>
        <w:tabs>
          <w:tab w:val="left" w:pos="1080"/>
        </w:tabs>
        <w:spacing w:line="500" w:lineRule="exact"/>
        <w:ind w:firstLine="460" w:firstLineChars="192"/>
        <w:rPr>
          <w:rFonts w:hAnsi="宋体" w:cs="宋体"/>
          <w:b/>
          <w:color w:val="000000"/>
          <w:sz w:val="24"/>
          <w:highlight w:val="none"/>
        </w:rPr>
      </w:pPr>
      <w:r>
        <w:rPr>
          <w:rFonts w:hint="eastAsia" w:hAnsi="宋体" w:cs="宋体"/>
          <w:color w:val="000000"/>
          <w:sz w:val="24"/>
          <w:highlight w:val="none"/>
        </w:rPr>
        <w:t>16.9响应文件统一用A4幅面纸印制，除另有规定外。</w:t>
      </w:r>
      <w:bookmarkStart w:id="54" w:name="_Toc183682363"/>
      <w:bookmarkStart w:id="55" w:name="_Toc183582226"/>
      <w:bookmarkStart w:id="56" w:name="_Toc77400781"/>
      <w:bookmarkStart w:id="57" w:name="_Toc89075877"/>
      <w:bookmarkStart w:id="58" w:name="_Toc217446053"/>
    </w:p>
    <w:p>
      <w:pPr>
        <w:tabs>
          <w:tab w:val="left" w:pos="1080"/>
        </w:tabs>
        <w:spacing w:line="500" w:lineRule="exact"/>
        <w:ind w:firstLine="460" w:firstLineChars="192"/>
        <w:rPr>
          <w:rFonts w:hAnsi="宋体" w:cs="宋体"/>
          <w:b/>
          <w:color w:val="000000"/>
          <w:sz w:val="24"/>
          <w:highlight w:val="none"/>
        </w:rPr>
      </w:pPr>
      <w:r>
        <w:rPr>
          <w:rFonts w:hint="eastAsia" w:hAnsi="宋体" w:cs="宋体"/>
          <w:b/>
          <w:color w:val="000000"/>
          <w:sz w:val="24"/>
          <w:highlight w:val="none"/>
        </w:rPr>
        <w:t>17.响应文件的密封和标注（不属于本项目磋商小组评审范畴，由采购人、采购代理机构在接收响应文件时及时处理）</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17.1 响应文件可以单独密封包装，也可以所有响应文件密封包装在一个密封袋内。</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17.2 响应文件密封袋的最外层应清楚地标明采购项目名称、采购项目编号、文件内容名称、包件号（若有）、供应商名称。</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17.3 所有外层密封袋的封口处应粘贴牢固。</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17.4 未按以上要求进行密封和标注的响应文件，采购人、采购代理机构将拒收或者在时间允许的范围内，要求修改完善后接收。</w:t>
      </w:r>
    </w:p>
    <w:p>
      <w:pPr>
        <w:tabs>
          <w:tab w:val="left" w:pos="1080"/>
        </w:tabs>
        <w:spacing w:line="500" w:lineRule="exact"/>
        <w:ind w:firstLine="460" w:firstLineChars="192"/>
        <w:rPr>
          <w:rFonts w:hAnsi="宋体" w:cs="宋体"/>
          <w:b/>
          <w:color w:val="000000"/>
          <w:sz w:val="24"/>
          <w:highlight w:val="none"/>
        </w:rPr>
      </w:pPr>
      <w:r>
        <w:rPr>
          <w:rFonts w:hint="eastAsia" w:hAnsi="宋体" w:cs="宋体"/>
          <w:b/>
          <w:color w:val="000000"/>
          <w:sz w:val="24"/>
          <w:highlight w:val="none"/>
        </w:rPr>
        <w:t>18.响应文件的递交</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18.1 资格性响应文件和其他响应文件应于递交响应文件截止时间前送达指定地点，采购代理机构拒绝接收截止时间后送达的响应文件。</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18.2 采购代理机构将向通过资格审查的供应商发出磋商邀请；告知未通过资格审查的供应商未通过的原因。</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18.3 报价表在磋商后，磋商小组要求供应商进行最后报价时递交。</w:t>
      </w:r>
    </w:p>
    <w:p>
      <w:pPr>
        <w:tabs>
          <w:tab w:val="left" w:pos="1080"/>
        </w:tabs>
        <w:spacing w:line="500" w:lineRule="exact"/>
        <w:ind w:firstLine="460" w:firstLineChars="192"/>
        <w:rPr>
          <w:rFonts w:hAnsi="宋体" w:cs="宋体"/>
          <w:color w:val="000000"/>
          <w:sz w:val="24"/>
          <w:highlight w:val="none"/>
        </w:rPr>
      </w:pPr>
      <w:r>
        <w:rPr>
          <w:rFonts w:hint="eastAsia" w:hAnsi="宋体" w:cs="宋体"/>
          <w:color w:val="000000"/>
          <w:sz w:val="24"/>
          <w:highlight w:val="none"/>
        </w:rPr>
        <w:t>18.4 本次采购不接收邮寄的响应文件。</w:t>
      </w:r>
    </w:p>
    <w:bookmarkEnd w:id="54"/>
    <w:bookmarkEnd w:id="55"/>
    <w:bookmarkEnd w:id="56"/>
    <w:bookmarkEnd w:id="57"/>
    <w:bookmarkEnd w:id="58"/>
    <w:p>
      <w:pPr>
        <w:tabs>
          <w:tab w:val="left" w:pos="1080"/>
        </w:tabs>
        <w:spacing w:line="500" w:lineRule="exact"/>
        <w:ind w:firstLine="460" w:firstLineChars="192"/>
        <w:rPr>
          <w:rFonts w:hAnsi="宋体" w:cs="宋体"/>
          <w:b/>
          <w:color w:val="000000"/>
          <w:sz w:val="24"/>
          <w:highlight w:val="none"/>
        </w:rPr>
      </w:pPr>
      <w:bookmarkStart w:id="59" w:name="_Toc183582228"/>
      <w:bookmarkStart w:id="60" w:name="_Toc217446055"/>
      <w:bookmarkStart w:id="61" w:name="_Toc183682365"/>
      <w:r>
        <w:rPr>
          <w:rFonts w:hint="eastAsia" w:hAnsi="宋体" w:cs="宋体"/>
          <w:b/>
          <w:color w:val="000000"/>
          <w:sz w:val="24"/>
          <w:highlight w:val="none"/>
        </w:rPr>
        <w:t>19.响应文件的修改和撤回（补充、修改响应文件的密封和标注按照本章“19.响应文件的密封和标注”规定处理）</w:t>
      </w:r>
    </w:p>
    <w:p>
      <w:pPr>
        <w:pStyle w:val="6"/>
        <w:spacing w:line="500" w:lineRule="exact"/>
        <w:ind w:firstLine="480"/>
        <w:rPr>
          <w:rFonts w:hAnsi="宋体" w:cs="宋体"/>
          <w:color w:val="000000"/>
          <w:sz w:val="24"/>
          <w:highlight w:val="none"/>
        </w:rPr>
      </w:pPr>
      <w:r>
        <w:rPr>
          <w:rFonts w:hint="eastAsia" w:hAnsi="宋体" w:cs="宋体"/>
          <w:color w:val="000000"/>
          <w:sz w:val="24"/>
          <w:highlight w:val="none"/>
        </w:rPr>
        <w:t>19.1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500" w:lineRule="exact"/>
        <w:ind w:firstLine="480" w:firstLineChars="200"/>
        <w:rPr>
          <w:rFonts w:hAnsi="宋体" w:cs="宋体"/>
          <w:color w:val="000000"/>
          <w:sz w:val="24"/>
          <w:highlight w:val="none"/>
        </w:rPr>
      </w:pPr>
      <w:r>
        <w:rPr>
          <w:rFonts w:hint="eastAsia" w:hAnsi="宋体" w:cs="宋体"/>
          <w:color w:val="000000"/>
          <w:sz w:val="24"/>
          <w:highlight w:val="none"/>
        </w:rPr>
        <w:t>19.2供应商对响应文件修改的书面材料或撤回的通知应该按规定进行编写、密封、标注和递送，并注明“修改响应文件”字样。</w:t>
      </w:r>
    </w:p>
    <w:p>
      <w:pPr>
        <w:adjustRightInd w:val="0"/>
        <w:snapToGrid w:val="0"/>
        <w:spacing w:line="500" w:lineRule="exact"/>
        <w:ind w:firstLine="480" w:firstLineChars="200"/>
        <w:rPr>
          <w:rFonts w:hAnsi="宋体" w:cs="宋体"/>
          <w:color w:val="000000"/>
          <w:sz w:val="24"/>
          <w:highlight w:val="none"/>
        </w:rPr>
      </w:pPr>
      <w:r>
        <w:rPr>
          <w:rFonts w:hint="eastAsia" w:hAnsi="宋体" w:cs="宋体"/>
          <w:color w:val="000000"/>
          <w:sz w:val="24"/>
          <w:highlight w:val="none"/>
        </w:rPr>
        <w:t>19.3供应商不得在递交截止时间起至响应文件有效期期满前撤销其响应文件。</w:t>
      </w:r>
    </w:p>
    <w:p>
      <w:pPr>
        <w:spacing w:line="500" w:lineRule="exact"/>
        <w:ind w:firstLine="480"/>
        <w:rPr>
          <w:rFonts w:hAnsi="宋体" w:cs="宋体"/>
          <w:sz w:val="24"/>
          <w:highlight w:val="none"/>
        </w:rPr>
      </w:pPr>
      <w:r>
        <w:rPr>
          <w:rFonts w:hint="eastAsia" w:hAnsi="宋体" w:cs="宋体"/>
          <w:sz w:val="24"/>
          <w:highlight w:val="none"/>
        </w:rPr>
        <w:t>19.4 响应文件中报价如果出现下列不一致的，可按以下原则进行修改：</w:t>
      </w:r>
    </w:p>
    <w:p>
      <w:pPr>
        <w:spacing w:line="500" w:lineRule="exact"/>
        <w:ind w:firstLine="480"/>
        <w:rPr>
          <w:rFonts w:hAnsi="宋体" w:cs="宋体"/>
          <w:sz w:val="24"/>
          <w:highlight w:val="none"/>
        </w:rPr>
      </w:pPr>
      <w:r>
        <w:rPr>
          <w:rFonts w:hint="eastAsia" w:hAnsi="宋体" w:cs="宋体"/>
          <w:sz w:val="24"/>
          <w:highlight w:val="none"/>
        </w:rPr>
        <w:t>（一）大写金额和小写金额不一致的，以大写金额为准，但大写金额文字存在错误的，应当先对大写金额的文字错误进行澄清、说明或者更正，再行修正。</w:t>
      </w:r>
    </w:p>
    <w:p>
      <w:pPr>
        <w:spacing w:line="500" w:lineRule="exact"/>
        <w:ind w:firstLine="480"/>
        <w:rPr>
          <w:rFonts w:hAnsi="宋体" w:cs="宋体"/>
          <w:sz w:val="24"/>
          <w:highlight w:val="none"/>
        </w:rPr>
      </w:pPr>
      <w:r>
        <w:rPr>
          <w:rFonts w:hint="eastAsia" w:hAnsi="宋体" w:cs="宋体"/>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500" w:lineRule="exact"/>
        <w:ind w:firstLine="480"/>
        <w:rPr>
          <w:rFonts w:hAnsi="宋体" w:cs="宋体"/>
          <w:sz w:val="24"/>
          <w:highlight w:val="none"/>
        </w:rPr>
      </w:pPr>
      <w:r>
        <w:rPr>
          <w:rFonts w:hint="eastAsia" w:hAnsi="宋体" w:cs="宋体"/>
          <w:sz w:val="24"/>
          <w:highlight w:val="none"/>
        </w:rPr>
        <w:t>（三）单价金额小数点或者百分比有明显错位的，以总价为准，修正单价。</w:t>
      </w:r>
    </w:p>
    <w:p>
      <w:pPr>
        <w:spacing w:line="500" w:lineRule="exact"/>
        <w:ind w:firstLine="480" w:firstLineChars="200"/>
        <w:jc w:val="left"/>
        <w:rPr>
          <w:rFonts w:hAnsi="宋体" w:cs="宋体"/>
          <w:sz w:val="24"/>
          <w:highlight w:val="none"/>
        </w:rPr>
      </w:pPr>
      <w:r>
        <w:rPr>
          <w:rFonts w:hint="eastAsia" w:hAnsi="宋体" w:cs="宋体"/>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500" w:lineRule="exact"/>
        <w:ind w:firstLine="480"/>
        <w:rPr>
          <w:rFonts w:hAnsi="宋体" w:cs="宋体"/>
          <w:color w:val="000000"/>
          <w:sz w:val="24"/>
          <w:highlight w:val="none"/>
        </w:rPr>
      </w:pPr>
      <w:r>
        <w:rPr>
          <w:rFonts w:hint="eastAsia" w:hAnsi="宋体" w:cs="宋体"/>
          <w:color w:val="000000"/>
          <w:sz w:val="24"/>
          <w:highlight w:val="none"/>
        </w:rPr>
        <w:t>19.5供应商对其提交的响应文件的真实性、合法性承担法律责任。</w:t>
      </w:r>
      <w:bookmarkEnd w:id="59"/>
      <w:bookmarkEnd w:id="60"/>
      <w:bookmarkEnd w:id="61"/>
    </w:p>
    <w:p>
      <w:pPr>
        <w:pStyle w:val="4"/>
        <w:keepNext w:val="0"/>
        <w:keepLines w:val="0"/>
        <w:spacing w:before="0" w:after="0" w:line="500" w:lineRule="exact"/>
        <w:jc w:val="center"/>
        <w:rPr>
          <w:rFonts w:ascii="宋体" w:hAnsi="宋体" w:eastAsia="宋体" w:cs="宋体"/>
          <w:highlight w:val="none"/>
        </w:rPr>
      </w:pPr>
      <w:bookmarkStart w:id="62" w:name="_Toc89075878"/>
      <w:bookmarkStart w:id="63" w:name="_Toc77400782"/>
      <w:bookmarkStart w:id="64" w:name="_Toc183682368"/>
      <w:bookmarkStart w:id="65" w:name="_Toc217446056"/>
      <w:bookmarkStart w:id="66" w:name="_Toc183582231"/>
      <w:r>
        <w:rPr>
          <w:rFonts w:hint="eastAsia" w:ascii="宋体" w:hAnsi="宋体" w:eastAsia="宋体" w:cs="宋体"/>
          <w:color w:val="000000"/>
          <w:highlight w:val="none"/>
        </w:rPr>
        <w:t>五、评审</w:t>
      </w:r>
    </w:p>
    <w:p>
      <w:pPr>
        <w:pStyle w:val="4"/>
        <w:keepNext w:val="0"/>
        <w:keepLines w:val="0"/>
        <w:spacing w:before="0" w:after="0" w:line="500" w:lineRule="exact"/>
        <w:ind w:firstLine="480" w:firstLineChars="200"/>
        <w:rPr>
          <w:rFonts w:ascii="宋体" w:hAnsi="宋体" w:eastAsia="宋体" w:cs="宋体"/>
          <w:b w:val="0"/>
          <w:color w:val="000000"/>
          <w:sz w:val="24"/>
          <w:szCs w:val="24"/>
          <w:highlight w:val="none"/>
        </w:rPr>
      </w:pPr>
      <w:r>
        <w:rPr>
          <w:rFonts w:hint="eastAsia" w:ascii="宋体" w:hAnsi="宋体" w:eastAsia="宋体" w:cs="宋体"/>
          <w:color w:val="000000"/>
          <w:sz w:val="24"/>
          <w:szCs w:val="24"/>
          <w:highlight w:val="none"/>
        </w:rPr>
        <w:t>20.</w:t>
      </w:r>
      <w:r>
        <w:rPr>
          <w:rFonts w:hint="eastAsia" w:ascii="宋体" w:hAnsi="宋体" w:eastAsia="宋体" w:cs="宋体"/>
          <w:b w:val="0"/>
          <w:color w:val="000000"/>
          <w:sz w:val="24"/>
          <w:szCs w:val="24"/>
          <w:highlight w:val="none"/>
        </w:rPr>
        <w:t>磋商小组的组建及其评审工作按照有关法律制度和本文件第九章的规定进行。</w:t>
      </w:r>
    </w:p>
    <w:p>
      <w:pPr>
        <w:pStyle w:val="4"/>
        <w:keepNext w:val="0"/>
        <w:keepLines w:val="0"/>
        <w:spacing w:before="0" w:after="0" w:line="500" w:lineRule="exact"/>
        <w:jc w:val="center"/>
        <w:rPr>
          <w:rFonts w:ascii="宋体" w:hAnsi="宋体" w:eastAsia="宋体" w:cs="宋体"/>
          <w:highlight w:val="none"/>
        </w:rPr>
      </w:pPr>
      <w:r>
        <w:rPr>
          <w:rFonts w:hint="eastAsia" w:ascii="宋体" w:hAnsi="宋体" w:eastAsia="宋体" w:cs="宋体"/>
          <w:color w:val="000000"/>
          <w:highlight w:val="none"/>
        </w:rPr>
        <w:t>六、成交事项</w:t>
      </w:r>
    </w:p>
    <w:p>
      <w:pPr>
        <w:pStyle w:val="4"/>
        <w:keepNext w:val="0"/>
        <w:keepLines w:val="0"/>
        <w:spacing w:before="0" w:after="0" w:line="500" w:lineRule="exact"/>
        <w:ind w:firstLine="480" w:firstLineChars="200"/>
        <w:rPr>
          <w:rFonts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21.确定成交供应商</w:t>
      </w:r>
    </w:p>
    <w:p>
      <w:pPr>
        <w:pStyle w:val="4"/>
        <w:keepNext w:val="0"/>
        <w:keepLines w:val="0"/>
        <w:spacing w:before="0" w:after="0" w:line="500" w:lineRule="exact"/>
        <w:ind w:firstLine="480" w:firstLineChars="200"/>
        <w:rPr>
          <w:rFonts w:hint="eastAsia" w:ascii="宋体" w:hAnsi="宋体" w:eastAsia="宋体"/>
          <w:b w:val="0"/>
          <w:bCs w:val="0"/>
          <w:color w:val="FF0000"/>
          <w:sz w:val="24"/>
          <w:szCs w:val="24"/>
          <w:highlight w:val="none"/>
        </w:rPr>
      </w:pPr>
      <w:r>
        <w:rPr>
          <w:rFonts w:hint="eastAsia" w:ascii="宋体" w:hAnsi="宋体" w:eastAsia="宋体"/>
          <w:b w:val="0"/>
          <w:bCs w:val="0"/>
          <w:color w:val="auto"/>
          <w:sz w:val="24"/>
          <w:szCs w:val="24"/>
          <w:highlight w:val="none"/>
        </w:rPr>
        <w:t>采购人将按磋商小组推荐的成交候选供应商顺序确定成交供应商。</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23.1采购代理机构自评审结束后2个工作日内将磋商报告及有关资料送交采购人确定成交供应商。</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23.2采购人收到磋商报告及有关资料后，将在5个工作日内按照磋商报告中推荐的成交候选供应商顺序确定成交供应商。成交候选供应商并列的，采购人自主采取公平、择优的方式选择成交供应商。采购人逾期未确定成交供应商且不提出异议的，视为确定磋商报告提出的排序第一的供应商为成交供应商。</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23.3采购人确定成交供应商过程中，发现成交候选供应商有下列情形之一的，应当不予确定其为成交供应商：</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（1）发现成交候选供应商存在禁止参加本项目采购活动的违法行为的；</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（2）成交候选供应商因不可抗力，不能继续参加政府采购活动；</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（3）成交候选供应商无偿赠与或者低于成本价竞争；</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（4）成交候选供应商提供虚假材料；</w:t>
      </w:r>
    </w:p>
    <w:p>
      <w:pPr>
        <w:pStyle w:val="4"/>
        <w:keepNext w:val="0"/>
        <w:keepLines w:val="0"/>
        <w:spacing w:before="0" w:after="0" w:line="500" w:lineRule="exact"/>
        <w:ind w:firstLine="480" w:firstLineChars="200"/>
        <w:rPr>
          <w:rFonts w:hint="eastAsia" w:ascii="宋体" w:hAnsi="宋体" w:eastAsia="宋体" w:cs="宋体"/>
          <w:b w:val="0"/>
          <w:color w:val="000000"/>
          <w:sz w:val="24"/>
          <w:szCs w:val="24"/>
          <w:highlight w:val="none"/>
          <w:lang w:val="en-US" w:eastAsia="zh-CN"/>
        </w:rPr>
      </w:pPr>
      <w:r>
        <w:rPr>
          <w:rFonts w:hint="eastAsia" w:ascii="宋体" w:hAnsi="宋体" w:eastAsia="宋体" w:cs="宋体"/>
          <w:b w:val="0"/>
          <w:color w:val="000000"/>
          <w:sz w:val="24"/>
          <w:szCs w:val="24"/>
          <w:highlight w:val="none"/>
        </w:rPr>
        <w:t>（5）成交候选供应商恶意串通。</w:t>
      </w:r>
    </w:p>
    <w:p>
      <w:pPr>
        <w:pStyle w:val="4"/>
        <w:keepNext w:val="0"/>
        <w:keepLines w:val="0"/>
        <w:spacing w:before="0" w:after="0" w:line="500" w:lineRule="exact"/>
        <w:ind w:firstLine="480" w:firstLineChars="200"/>
        <w:rPr>
          <w:rFonts w:hint="eastAsia" w:ascii="宋体" w:hAnsi="宋体" w:eastAsia="宋体" w:cs="宋体"/>
          <w:highlight w:val="none"/>
        </w:rPr>
      </w:pPr>
      <w:r>
        <w:rPr>
          <w:rFonts w:hint="eastAsia" w:ascii="宋体" w:hAnsi="宋体" w:eastAsia="宋体" w:cs="宋体"/>
          <w:b w:val="0"/>
          <w:color w:val="000000"/>
          <w:sz w:val="24"/>
          <w:szCs w:val="24"/>
          <w:highlight w:val="none"/>
        </w:rPr>
        <w:t>成交候选供应商有本条情形之一的，采购人可以确定后一位成交候选供应商为成交供应商，依次类推。无法确定成交供应商的，应当重新组织采购。</w:t>
      </w:r>
    </w:p>
    <w:p>
      <w:pPr>
        <w:pStyle w:val="4"/>
        <w:keepNext w:val="0"/>
        <w:keepLines w:val="0"/>
        <w:spacing w:before="0" w:after="0" w:line="5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22.行贿犯罪（实质性要求）</w:t>
      </w:r>
    </w:p>
    <w:p>
      <w:pPr>
        <w:pStyle w:val="4"/>
        <w:keepNext w:val="0"/>
        <w:keepLines w:val="0"/>
        <w:spacing w:before="0" w:after="0" w:line="500" w:lineRule="exact"/>
        <w:ind w:firstLine="480" w:firstLineChars="200"/>
        <w:rPr>
          <w:rFonts w:ascii="宋体" w:hAnsi="宋体" w:eastAsia="宋体" w:cs="宋体"/>
          <w:highlight w:val="none"/>
        </w:rPr>
      </w:pPr>
      <w:r>
        <w:rPr>
          <w:rFonts w:hint="eastAsia" w:ascii="宋体" w:hAnsi="宋体" w:eastAsia="宋体" w:cs="宋体"/>
          <w:b w:val="0"/>
          <w:color w:val="000000"/>
          <w:sz w:val="24"/>
          <w:szCs w:val="24"/>
          <w:highlight w:val="none"/>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p>
    <w:p>
      <w:pPr>
        <w:pStyle w:val="4"/>
        <w:keepNext w:val="0"/>
        <w:keepLines w:val="0"/>
        <w:spacing w:before="0" w:after="0" w:line="5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23.成交结果</w:t>
      </w:r>
    </w:p>
    <w:p>
      <w:pPr>
        <w:pStyle w:val="4"/>
        <w:keepNext w:val="0"/>
        <w:keepLines w:val="0"/>
        <w:spacing w:before="0" w:after="0" w:line="500" w:lineRule="exact"/>
        <w:ind w:firstLine="480" w:firstLineChars="200"/>
        <w:rPr>
          <w:rFonts w:ascii="宋体" w:hAnsi="宋体" w:eastAsia="宋体" w:cs="宋体"/>
          <w:bCs w:val="0"/>
          <w:color w:val="000000"/>
          <w:sz w:val="24"/>
          <w:highlight w:val="none"/>
        </w:rPr>
      </w:pPr>
      <w:r>
        <w:rPr>
          <w:rFonts w:hint="eastAsia" w:ascii="宋体" w:hAnsi="宋体" w:eastAsia="宋体" w:cs="宋体"/>
          <w:b w:val="0"/>
          <w:color w:val="000000"/>
          <w:sz w:val="24"/>
          <w:szCs w:val="24"/>
          <w:highlight w:val="none"/>
        </w:rPr>
        <w:t>确定成交供应商后，采购代理机构发出成交通知书并发布成交结果公告。</w:t>
      </w:r>
    </w:p>
    <w:p>
      <w:pPr>
        <w:pStyle w:val="4"/>
        <w:keepNext w:val="0"/>
        <w:keepLines w:val="0"/>
        <w:spacing w:before="0" w:after="0" w:line="500" w:lineRule="exact"/>
        <w:ind w:firstLine="480" w:firstLineChars="200"/>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24.成交通知书</w:t>
      </w:r>
    </w:p>
    <w:p>
      <w:pPr>
        <w:pStyle w:val="4"/>
        <w:keepNext w:val="0"/>
        <w:keepLines w:val="0"/>
        <w:spacing w:before="0" w:after="0" w:line="500" w:lineRule="exact"/>
        <w:ind w:firstLine="480" w:firstLineChars="200"/>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24.1成交通知书为签订政府采购合同的依据之一，是合同的有效组成部分。</w:t>
      </w:r>
    </w:p>
    <w:p>
      <w:pPr>
        <w:pStyle w:val="4"/>
        <w:keepNext w:val="0"/>
        <w:keepLines w:val="0"/>
        <w:spacing w:before="0" w:after="0" w:line="500" w:lineRule="exact"/>
        <w:ind w:firstLine="480" w:firstLineChars="200"/>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24.2成交通知书对采购人和成交供应商均具有法律效力。成交通知书发出后，采购人无正当理由改变成交结果，或者成交供应商无正当理由放弃成交的，将承担相应的法律责任。</w:t>
      </w:r>
    </w:p>
    <w:p>
      <w:pPr>
        <w:pStyle w:val="4"/>
        <w:keepNext w:val="0"/>
        <w:keepLines w:val="0"/>
        <w:spacing w:before="0" w:after="0" w:line="500" w:lineRule="exact"/>
        <w:ind w:firstLine="480" w:firstLineChars="200"/>
        <w:rPr>
          <w:rFonts w:ascii="宋体" w:hAnsi="宋体" w:eastAsia="宋体" w:cs="宋体"/>
          <w:highlight w:val="none"/>
        </w:rPr>
      </w:pPr>
      <w:r>
        <w:rPr>
          <w:rFonts w:hint="eastAsia" w:ascii="宋体" w:hAnsi="宋体" w:eastAsia="宋体" w:cs="宋体"/>
          <w:b w:val="0"/>
          <w:color w:val="000000"/>
          <w:sz w:val="24"/>
          <w:szCs w:val="24"/>
          <w:highlight w:val="none"/>
        </w:rPr>
        <w:t>24.3成交供应商的响应文件作为无效响应文件处理或者有政府采购法律法规规章制度规定的成交无效情形的，采购人/采购代理机构在取得有权主体的认定以后，</w:t>
      </w:r>
      <w:r>
        <w:rPr>
          <w:rFonts w:hint="eastAsia" w:ascii="宋体" w:hAnsi="宋体" w:eastAsia="宋体" w:cs="宋体"/>
          <w:b w:val="0"/>
          <w:sz w:val="24"/>
          <w:szCs w:val="24"/>
          <w:highlight w:val="none"/>
        </w:rPr>
        <w:t>有权</w:t>
      </w:r>
      <w:r>
        <w:rPr>
          <w:rFonts w:hint="eastAsia" w:ascii="宋体" w:hAnsi="宋体" w:eastAsia="宋体" w:cs="宋体"/>
          <w:b w:val="0"/>
          <w:color w:val="000000"/>
          <w:sz w:val="24"/>
          <w:szCs w:val="24"/>
          <w:highlight w:val="none"/>
        </w:rPr>
        <w:t>宣布发出的成交通知书无效，并收回发出的成交通知书，依法重新确定成交供应商或者重新开展采购活动。</w:t>
      </w:r>
    </w:p>
    <w:p>
      <w:pPr>
        <w:pStyle w:val="4"/>
        <w:keepNext w:val="0"/>
        <w:keepLines w:val="0"/>
        <w:spacing w:before="0" w:after="0" w:line="500" w:lineRule="exact"/>
        <w:jc w:val="center"/>
        <w:rPr>
          <w:rFonts w:ascii="宋体" w:hAnsi="宋体" w:eastAsia="宋体" w:cs="宋体"/>
          <w:color w:val="000000"/>
          <w:sz w:val="24"/>
          <w:szCs w:val="24"/>
          <w:highlight w:val="none"/>
        </w:rPr>
      </w:pPr>
      <w:r>
        <w:rPr>
          <w:rFonts w:hint="eastAsia" w:ascii="宋体" w:hAnsi="宋体" w:eastAsia="宋体" w:cs="宋体"/>
          <w:color w:val="000000"/>
          <w:highlight w:val="none"/>
        </w:rPr>
        <w:t>七、合同事项</w:t>
      </w:r>
    </w:p>
    <w:p>
      <w:pPr>
        <w:pStyle w:val="4"/>
        <w:keepNext w:val="0"/>
        <w:keepLines w:val="0"/>
        <w:spacing w:before="0" w:after="0" w:line="500" w:lineRule="exact"/>
        <w:ind w:firstLine="470" w:firstLineChars="196"/>
        <w:rPr>
          <w:rFonts w:ascii="宋体" w:hAnsi="宋体" w:eastAsia="宋体" w:cs="宋体"/>
          <w:color w:val="000000"/>
          <w:sz w:val="24"/>
          <w:szCs w:val="24"/>
          <w:highlight w:val="none"/>
        </w:rPr>
      </w:pPr>
      <w:bookmarkStart w:id="67" w:name="_Toc101174151"/>
      <w:bookmarkStart w:id="68" w:name="_Toc209847069"/>
      <w:bookmarkStart w:id="69" w:name="_Toc101250646"/>
      <w:bookmarkStart w:id="70" w:name="_Toc101338364"/>
      <w:bookmarkStart w:id="71" w:name="_Toc430773927"/>
      <w:r>
        <w:rPr>
          <w:rFonts w:hint="eastAsia" w:ascii="宋体" w:hAnsi="宋体" w:eastAsia="宋体" w:cs="宋体"/>
          <w:color w:val="000000"/>
          <w:sz w:val="24"/>
          <w:szCs w:val="24"/>
          <w:highlight w:val="none"/>
        </w:rPr>
        <w:t>25.签订合同</w:t>
      </w:r>
      <w:bookmarkEnd w:id="67"/>
      <w:bookmarkEnd w:id="68"/>
      <w:bookmarkEnd w:id="69"/>
      <w:bookmarkEnd w:id="70"/>
      <w:bookmarkEnd w:id="71"/>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25.1 成交供应商应在成交通知书发出之日起三十日内与采购人签订采购合同。由于成交供应商的原因逾期未与采购人签订采购合同的，将视为放弃成交，取消其成交资格并将按相关规定进行处理。</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25.2 磋商文件、成交供应商的响应文件及双方确认的澄清文件等，均为有法律约束力的合同组成部分。</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25.3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25.4</w:t>
      </w:r>
      <w:r>
        <w:rPr>
          <w:rFonts w:hint="eastAsia"/>
          <w:sz w:val="24"/>
          <w:highlight w:val="none"/>
        </w:rPr>
        <w:t>成交人拒绝与采购人签订合同的，采购人可以按照评标报告推荐的成交候选人名单排序，确定下一候选人为成交供应商，也可以重新开展政府采购活动</w:t>
      </w:r>
      <w:r>
        <w:rPr>
          <w:rFonts w:hint="eastAsia" w:hAnsi="宋体" w:cs="宋体"/>
          <w:color w:val="000000"/>
          <w:sz w:val="24"/>
          <w:highlight w:val="none"/>
        </w:rPr>
        <w:t>。</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25.5竞争性磋商文件、成交供应商提交的响应文件、磋商中的最后报价、成交供应商承诺书、成交通知书等均称为有法律约束力的合同组成内容。</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26.合同分包（实质性要求）</w:t>
      </w:r>
    </w:p>
    <w:p>
      <w:pPr>
        <w:spacing w:line="500" w:lineRule="exact"/>
        <w:ind w:firstLine="480" w:firstLineChars="200"/>
        <w:rPr>
          <w:rFonts w:hint="eastAsia" w:hAnsi="宋体" w:cs="宋体"/>
          <w:color w:val="000000"/>
          <w:sz w:val="24"/>
          <w:highlight w:val="none"/>
        </w:rPr>
      </w:pPr>
      <w:r>
        <w:rPr>
          <w:rFonts w:hint="eastAsia" w:hAnsi="宋体" w:cs="宋体"/>
          <w:color w:val="000000"/>
          <w:sz w:val="24"/>
          <w:highlight w:val="none"/>
        </w:rPr>
        <w:t>本项目不接受合同分包。</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27.合同转包（实质性要求）</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成交供应商转包的，视同拒绝履行政府采购合同义务，将依法追究法律责任。</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28.补充合同</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29.履约保证金</w:t>
      </w:r>
    </w:p>
    <w:p>
      <w:pPr>
        <w:spacing w:line="500" w:lineRule="exact"/>
        <w:ind w:firstLine="480" w:firstLineChars="200"/>
        <w:rPr>
          <w:rFonts w:hAnsi="宋体" w:cs="宋体"/>
          <w:b/>
          <w:color w:val="000000"/>
          <w:sz w:val="24"/>
          <w:highlight w:val="none"/>
        </w:rPr>
      </w:pPr>
      <w:r>
        <w:rPr>
          <w:rFonts w:hint="eastAsia" w:hAnsi="宋体" w:cs="宋体"/>
          <w:bCs/>
          <w:color w:val="000000"/>
          <w:sz w:val="24"/>
          <w:highlight w:val="none"/>
        </w:rPr>
        <w:t>本项目不收取履约保证金。</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30.合同公告</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采购人应当自政府采购合同签订（双方当事人均已签字盖章）之日起2个工作日内，将政府采购合同在四川政府采购网上公告，但政府采购合同中涉及国家秘密、商业秘密的内容除外。</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31.合同备案</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采购人应当将政府采购合同副本自签订（双方当事人均已签字盖章）之日起七个工作日内通过四川政府采购网报同级财政部门备案。</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32.履行合同</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32.1 成交供应商与采购人签订合同后，合同双方应严格执行合同条款，履行合同规定的义务，保证合同的顺利完成。</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32.2 在合同履行过程中，如发生合同纠纷，合同双方应按照《中华人民共和国民法典》的有关规定进行处理。</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33.验收</w:t>
      </w:r>
    </w:p>
    <w:p>
      <w:pPr>
        <w:spacing w:line="500" w:lineRule="exact"/>
        <w:ind w:firstLine="480" w:firstLineChars="200"/>
        <w:rPr>
          <w:rFonts w:hAnsi="宋体" w:cs="宋体"/>
          <w:color w:val="000000"/>
          <w:sz w:val="24"/>
          <w:highlight w:val="none"/>
        </w:rPr>
      </w:pPr>
      <w:r>
        <w:rPr>
          <w:rFonts w:hint="eastAsia" w:hAnsi="宋体" w:cs="宋体"/>
          <w:color w:val="000000"/>
          <w:sz w:val="24"/>
          <w:highlight w:val="none"/>
        </w:rPr>
        <w:t>本项目采购人及其委托的采购代理机构将严格按照政府采购相关法律法规以及《财政部关于进一步加强政府采购需求和履约验收管理的指导意见》（财库〔2016〕205号）的要求进行验收。</w:t>
      </w:r>
    </w:p>
    <w:p>
      <w:pPr>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34.资金支付</w:t>
      </w:r>
    </w:p>
    <w:p>
      <w:pPr>
        <w:spacing w:line="500" w:lineRule="exact"/>
        <w:ind w:firstLine="480" w:firstLineChars="200"/>
        <w:rPr>
          <w:rFonts w:hAnsi="宋体" w:cs="宋体"/>
          <w:color w:val="000000"/>
          <w:highlight w:val="none"/>
        </w:rPr>
      </w:pPr>
      <w:r>
        <w:rPr>
          <w:rFonts w:hint="eastAsia" w:hAnsi="宋体" w:cs="宋体"/>
          <w:color w:val="000000"/>
          <w:sz w:val="24"/>
          <w:highlight w:val="none"/>
        </w:rPr>
        <w:t>采购人将按照政府采购合同规定，及时向成交供应商支付采购资金。本项目采购资金采取授权支付。</w:t>
      </w:r>
    </w:p>
    <w:p>
      <w:pPr>
        <w:pStyle w:val="4"/>
        <w:keepNext w:val="0"/>
        <w:keepLines w:val="0"/>
        <w:spacing w:before="0" w:after="0" w:line="500" w:lineRule="exact"/>
        <w:jc w:val="center"/>
        <w:rPr>
          <w:rFonts w:ascii="宋体" w:hAnsi="宋体" w:eastAsia="宋体" w:cs="宋体"/>
          <w:color w:val="000000"/>
          <w:sz w:val="24"/>
          <w:highlight w:val="none"/>
        </w:rPr>
      </w:pPr>
      <w:r>
        <w:rPr>
          <w:rFonts w:hint="eastAsia" w:ascii="宋体" w:hAnsi="宋体" w:eastAsia="宋体" w:cs="宋体"/>
          <w:color w:val="000000"/>
          <w:highlight w:val="none"/>
        </w:rPr>
        <w:t>八、磋商纪律要求</w:t>
      </w:r>
    </w:p>
    <w:p>
      <w:pPr>
        <w:tabs>
          <w:tab w:val="left" w:pos="851"/>
        </w:tabs>
        <w:spacing w:line="500" w:lineRule="exact"/>
        <w:ind w:firstLine="480" w:firstLineChars="200"/>
        <w:rPr>
          <w:rFonts w:hAnsi="宋体" w:cs="宋体"/>
          <w:b/>
          <w:color w:val="000000"/>
          <w:sz w:val="24"/>
          <w:highlight w:val="none"/>
        </w:rPr>
      </w:pPr>
      <w:r>
        <w:rPr>
          <w:rFonts w:hint="eastAsia" w:hAnsi="宋体" w:cs="宋体"/>
          <w:b/>
          <w:color w:val="000000"/>
          <w:sz w:val="24"/>
          <w:highlight w:val="none"/>
        </w:rPr>
        <w:t>35.供应商不得具有的情形</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供应商参加本项目磋商不得有下列情形：</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（1）提供虚假材料谋取成交；</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（2）采取不正当手段诋毁、排挤其他供应商；</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（3）与采购人、采购代理机构、或其他供应商恶意串通；</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（4）向采购人、采购代理机构、磋商小组成员行贿或者提供其他不正当利益；</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（5）在磋商过程中与采购人、采购代理机构进行协商；</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（6）成交后无正当理由拒不与采购人签订政府采购合同；</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（7）未按照磋商文件确定的事项签订政府采购合同；</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（8）将政府采购合同转包或者分包；</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（9）提供假冒伪劣产品；</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（10）擅自变更、中止或者终止政府采购合同；</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（11）拒绝有关部门的监督检查或者向监督检查部门提供虚假情况；</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（12）法律法规规定的其他情形。</w:t>
      </w:r>
    </w:p>
    <w:p>
      <w:pPr>
        <w:tabs>
          <w:tab w:val="left" w:pos="851"/>
        </w:tabs>
        <w:spacing w:line="500" w:lineRule="exact"/>
        <w:ind w:firstLine="480" w:firstLineChars="200"/>
        <w:rPr>
          <w:rFonts w:hAnsi="宋体" w:cs="宋体"/>
          <w:color w:val="000000"/>
          <w:sz w:val="24"/>
          <w:highlight w:val="none"/>
        </w:rPr>
      </w:pPr>
      <w:r>
        <w:rPr>
          <w:rFonts w:hint="eastAsia" w:hAnsi="宋体" w:cs="宋体"/>
          <w:color w:val="000000"/>
          <w:sz w:val="24"/>
          <w:highlight w:val="none"/>
        </w:rPr>
        <w:t>供应商有上述情形的，按照规定追究法律责任，具备（1）-（10）条情形之一的，同时将取消被确认为成交供应商的资格或者认定成交无效。</w:t>
      </w:r>
    </w:p>
    <w:p>
      <w:pPr>
        <w:tabs>
          <w:tab w:val="left" w:pos="851"/>
        </w:tabs>
        <w:spacing w:line="500" w:lineRule="exact"/>
        <w:jc w:val="center"/>
        <w:rPr>
          <w:rFonts w:hAnsi="宋体" w:cs="宋体"/>
          <w:color w:val="000000"/>
          <w:sz w:val="24"/>
          <w:highlight w:val="none"/>
        </w:rPr>
      </w:pPr>
      <w:r>
        <w:rPr>
          <w:rFonts w:hint="eastAsia" w:hAnsi="宋体" w:cs="宋体"/>
          <w:b/>
          <w:color w:val="000000"/>
          <w:sz w:val="32"/>
          <w:szCs w:val="32"/>
          <w:highlight w:val="none"/>
        </w:rPr>
        <w:t>九、询问、质疑和投诉</w:t>
      </w:r>
    </w:p>
    <w:p>
      <w:pPr>
        <w:tabs>
          <w:tab w:val="left" w:pos="851"/>
        </w:tabs>
        <w:spacing w:line="500" w:lineRule="exact"/>
        <w:ind w:firstLine="495"/>
        <w:rPr>
          <w:rFonts w:hAnsi="宋体" w:cs="宋体"/>
          <w:color w:val="000000"/>
          <w:sz w:val="24"/>
          <w:highlight w:val="none"/>
        </w:rPr>
      </w:pPr>
      <w:r>
        <w:rPr>
          <w:rFonts w:hint="eastAsia" w:hAnsi="宋体" w:cs="宋体"/>
          <w:color w:val="000000"/>
          <w:sz w:val="24"/>
          <w:highlight w:val="none"/>
        </w:rPr>
        <w:t>36.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tabs>
          <w:tab w:val="left" w:pos="851"/>
        </w:tabs>
        <w:spacing w:line="500" w:lineRule="exact"/>
        <w:jc w:val="center"/>
        <w:rPr>
          <w:rFonts w:hAnsi="宋体" w:cs="宋体"/>
          <w:color w:val="000000"/>
          <w:sz w:val="24"/>
          <w:highlight w:val="none"/>
        </w:rPr>
      </w:pPr>
      <w:r>
        <w:rPr>
          <w:rFonts w:hint="eastAsia" w:hAnsi="宋体" w:cs="宋体"/>
          <w:b/>
          <w:color w:val="000000"/>
          <w:sz w:val="32"/>
          <w:szCs w:val="32"/>
          <w:highlight w:val="none"/>
        </w:rPr>
        <w:t>十、其  他</w:t>
      </w:r>
    </w:p>
    <w:p>
      <w:pPr>
        <w:tabs>
          <w:tab w:val="left" w:pos="142"/>
        </w:tabs>
        <w:spacing w:line="500" w:lineRule="exact"/>
        <w:ind w:firstLine="480" w:firstLineChars="200"/>
        <w:jc w:val="left"/>
        <w:rPr>
          <w:rFonts w:hAnsi="宋体" w:cs="宋体"/>
          <w:color w:val="000000"/>
          <w:sz w:val="24"/>
          <w:highlight w:val="none"/>
        </w:rPr>
      </w:pPr>
      <w:r>
        <w:rPr>
          <w:rFonts w:hint="eastAsia" w:hAnsi="宋体" w:cs="宋体"/>
          <w:color w:val="000000"/>
          <w:sz w:val="24"/>
          <w:highlight w:val="none"/>
        </w:rPr>
        <w:t>37.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spacing w:line="500" w:lineRule="exact"/>
        <w:ind w:firstLine="480" w:firstLineChars="200"/>
        <w:rPr>
          <w:rFonts w:hAnsi="宋体" w:cs="宋体"/>
          <w:highlight w:val="none"/>
        </w:rPr>
      </w:pPr>
      <w:r>
        <w:rPr>
          <w:rFonts w:hint="eastAsia" w:hAnsi="宋体" w:cs="宋体"/>
          <w:color w:val="000000"/>
          <w:sz w:val="24"/>
          <w:highlight w:val="none"/>
        </w:rPr>
        <w:t>38.</w:t>
      </w:r>
      <w:r>
        <w:rPr>
          <w:rFonts w:hint="eastAsia" w:hAnsi="宋体" w:cs="宋体"/>
          <w:b/>
          <w:color w:val="000000"/>
          <w:sz w:val="24"/>
          <w:highlight w:val="none"/>
        </w:rPr>
        <w:t>（实质性要求）国家或行业主管部门对供应商和采购产品的技术标准、质量标准和资格资质条件等有强制性规定的，必须符合其要求</w:t>
      </w:r>
      <w:r>
        <w:rPr>
          <w:rFonts w:hint="eastAsia" w:hAnsi="宋体" w:cs="宋体"/>
          <w:color w:val="000000"/>
          <w:sz w:val="24"/>
          <w:highlight w:val="none"/>
        </w:rPr>
        <w:t>。</w:t>
      </w:r>
    </w:p>
    <w:p>
      <w:pPr>
        <w:tabs>
          <w:tab w:val="left" w:pos="851"/>
        </w:tabs>
        <w:spacing w:line="500" w:lineRule="exact"/>
        <w:jc w:val="center"/>
        <w:rPr>
          <w:rFonts w:hAnsi="宋体" w:cs="宋体"/>
          <w:b/>
          <w:color w:val="000000"/>
          <w:sz w:val="32"/>
          <w:szCs w:val="32"/>
          <w:highlight w:val="none"/>
        </w:rPr>
      </w:pPr>
      <w:bookmarkStart w:id="72" w:name="_Toc307564868"/>
      <w:bookmarkStart w:id="73" w:name="_Toc306956830"/>
      <w:r>
        <w:rPr>
          <w:rFonts w:hint="eastAsia" w:hAnsi="宋体" w:cs="宋体"/>
          <w:b/>
          <w:color w:val="000000"/>
          <w:sz w:val="32"/>
          <w:szCs w:val="32"/>
          <w:highlight w:val="none"/>
        </w:rPr>
        <w:t>十一、招标代理服务收费标准</w:t>
      </w:r>
      <w:bookmarkEnd w:id="72"/>
      <w:bookmarkEnd w:id="73"/>
    </w:p>
    <w:p>
      <w:pPr>
        <w:tabs>
          <w:tab w:val="left" w:pos="142"/>
        </w:tabs>
        <w:spacing w:line="500" w:lineRule="exact"/>
        <w:ind w:firstLine="480" w:firstLineChars="200"/>
        <w:jc w:val="left"/>
        <w:rPr>
          <w:rFonts w:hint="eastAsia" w:hAnsi="宋体" w:cs="宋体"/>
          <w:color w:val="000000"/>
          <w:sz w:val="24"/>
          <w:highlight w:val="none"/>
        </w:rPr>
      </w:pPr>
      <w:r>
        <w:rPr>
          <w:rFonts w:hint="eastAsia" w:hAnsi="宋体" w:cs="宋体"/>
          <w:b/>
          <w:sz w:val="24"/>
          <w:highlight w:val="none"/>
        </w:rPr>
        <w:t>39.</w:t>
      </w:r>
      <w:r>
        <w:rPr>
          <w:rFonts w:hint="eastAsia" w:hAnsi="宋体" w:cs="宋体"/>
          <w:color w:val="000000"/>
          <w:sz w:val="24"/>
          <w:highlight w:val="none"/>
        </w:rPr>
        <w:t>代理服务收费由成交供应商一次性支付，供应商在响应文件中提供“代理服务费承诺书”原件。本项目代理服务费根据成本加合理利润原则，</w:t>
      </w:r>
      <w:r>
        <w:rPr>
          <w:rFonts w:hint="eastAsia" w:hAnsi="宋体" w:cs="宋体"/>
          <w:color w:val="000000"/>
          <w:sz w:val="24"/>
          <w:highlight w:val="none"/>
          <w:lang w:eastAsia="zh-CN"/>
        </w:rPr>
        <w:t>参照2002年10月15日《国家计委关于印发(招标代理服务收费管理暂行办法)的通知》(计价格[2002]1980号)和2003年9月15日《国家发展改革委办公厅关于招标代理服务收费有关问题的通知》（发改办价格【2003】857号）规定的“招标代理服务收费标准”执行</w:t>
      </w:r>
      <w:r>
        <w:rPr>
          <w:rFonts w:hint="eastAsia" w:hAnsi="宋体" w:cs="宋体"/>
          <w:color w:val="000000"/>
          <w:sz w:val="24"/>
          <w:highlight w:val="none"/>
        </w:rPr>
        <w:t>。</w:t>
      </w:r>
    </w:p>
    <w:p>
      <w:pPr>
        <w:tabs>
          <w:tab w:val="left" w:pos="142"/>
        </w:tabs>
        <w:spacing w:line="500" w:lineRule="exact"/>
        <w:ind w:firstLine="480" w:firstLineChars="200"/>
        <w:jc w:val="left"/>
        <w:rPr>
          <w:rFonts w:hint="eastAsia" w:hAnsi="宋体" w:cs="宋体"/>
          <w:color w:val="000000"/>
          <w:sz w:val="24"/>
          <w:highlight w:val="none"/>
        </w:rPr>
      </w:pPr>
      <w:r>
        <w:rPr>
          <w:rFonts w:hint="eastAsia" w:hAnsi="宋体" w:cs="宋体"/>
          <w:color w:val="000000"/>
          <w:sz w:val="24"/>
          <w:highlight w:val="none"/>
        </w:rPr>
        <w:t xml:space="preserve">    收款单位：四川汇合源招投标代理有限公司</w:t>
      </w:r>
    </w:p>
    <w:p>
      <w:pPr>
        <w:tabs>
          <w:tab w:val="left" w:pos="142"/>
        </w:tabs>
        <w:spacing w:line="500" w:lineRule="exact"/>
        <w:ind w:firstLine="480" w:firstLineChars="200"/>
        <w:jc w:val="left"/>
        <w:rPr>
          <w:rFonts w:hint="eastAsia" w:hAnsi="宋体" w:cs="宋体"/>
          <w:color w:val="000000"/>
          <w:sz w:val="24"/>
          <w:highlight w:val="none"/>
        </w:rPr>
      </w:pPr>
      <w:r>
        <w:rPr>
          <w:rFonts w:hint="eastAsia" w:hAnsi="宋体" w:cs="宋体"/>
          <w:color w:val="000000"/>
          <w:sz w:val="24"/>
          <w:highlight w:val="none"/>
        </w:rPr>
        <w:t xml:space="preserve">    开户行：四川天府银行股份有限公司成都世纪城支行</w:t>
      </w:r>
    </w:p>
    <w:p>
      <w:pPr>
        <w:tabs>
          <w:tab w:val="left" w:pos="142"/>
        </w:tabs>
        <w:spacing w:line="500" w:lineRule="exact"/>
        <w:ind w:firstLine="480" w:firstLineChars="200"/>
        <w:jc w:val="left"/>
        <w:rPr>
          <w:rFonts w:hint="eastAsia" w:hAnsi="宋体" w:cs="宋体"/>
          <w:color w:val="000000"/>
          <w:sz w:val="24"/>
          <w:highlight w:val="none"/>
        </w:rPr>
      </w:pPr>
      <w:r>
        <w:rPr>
          <w:rFonts w:hint="eastAsia" w:hAnsi="宋体" w:cs="宋体"/>
          <w:color w:val="000000"/>
          <w:sz w:val="24"/>
          <w:highlight w:val="none"/>
        </w:rPr>
        <w:t xml:space="preserve">    银行账号：651001532000002162</w:t>
      </w:r>
    </w:p>
    <w:p>
      <w:pPr>
        <w:rPr>
          <w:rFonts w:hAnsi="宋体" w:cs="宋体"/>
          <w:highlight w:val="none"/>
        </w:rPr>
      </w:pPr>
    </w:p>
    <w:p>
      <w:pPr>
        <w:pStyle w:val="3"/>
        <w:spacing w:before="0" w:after="0" w:line="500" w:lineRule="exact"/>
        <w:rPr>
          <w:rFonts w:hAnsi="宋体" w:cs="宋体"/>
          <w:b w:val="0"/>
          <w:color w:val="000000"/>
          <w:szCs w:val="32"/>
          <w:highlight w:val="none"/>
        </w:rPr>
      </w:pPr>
      <w:r>
        <w:rPr>
          <w:rFonts w:hint="eastAsia"/>
          <w:highlight w:val="none"/>
        </w:rPr>
        <w:br w:type="page"/>
      </w:r>
      <w:bookmarkStart w:id="74" w:name="_Toc1443"/>
      <w:bookmarkStart w:id="75" w:name="_Toc21598"/>
      <w:bookmarkStart w:id="76" w:name="_Toc21198"/>
      <w:r>
        <w:rPr>
          <w:rStyle w:val="35"/>
          <w:rFonts w:hint="eastAsia"/>
          <w:b/>
          <w:bCs/>
          <w:highlight w:val="none"/>
        </w:rPr>
        <w:t>第三章  供应商资格条件要求</w:t>
      </w:r>
      <w:bookmarkEnd w:id="74"/>
      <w:bookmarkEnd w:id="75"/>
      <w:bookmarkEnd w:id="76"/>
    </w:p>
    <w:p>
      <w:pPr>
        <w:spacing w:line="360" w:lineRule="auto"/>
        <w:ind w:firstLine="540" w:firstLineChars="225"/>
        <w:rPr>
          <w:rFonts w:hAnsi="宋体"/>
          <w:color w:val="000000"/>
          <w:sz w:val="24"/>
          <w:highlight w:val="none"/>
        </w:rPr>
      </w:pPr>
      <w:r>
        <w:rPr>
          <w:rFonts w:hint="eastAsia" w:hAnsi="宋体"/>
          <w:color w:val="000000"/>
          <w:sz w:val="24"/>
          <w:highlight w:val="none"/>
        </w:rPr>
        <w:t>一、参加磋商的供应商应具备下列资格条件：</w:t>
      </w:r>
    </w:p>
    <w:p>
      <w:pPr>
        <w:spacing w:line="360" w:lineRule="auto"/>
        <w:ind w:firstLine="540" w:firstLineChars="225"/>
        <w:rPr>
          <w:rFonts w:hAnsi="宋体"/>
          <w:color w:val="000000"/>
          <w:sz w:val="24"/>
          <w:highlight w:val="none"/>
        </w:rPr>
      </w:pPr>
      <w:r>
        <w:rPr>
          <w:rFonts w:hint="eastAsia" w:hAnsi="宋体"/>
          <w:color w:val="000000"/>
          <w:sz w:val="24"/>
          <w:highlight w:val="none"/>
        </w:rPr>
        <w:t>（一）《中华人民共和国政府采购法》第二十二条第一款第1项至第5项规定的条件：</w:t>
      </w:r>
    </w:p>
    <w:p>
      <w:pPr>
        <w:spacing w:line="360" w:lineRule="auto"/>
        <w:ind w:firstLine="540" w:firstLineChars="225"/>
        <w:rPr>
          <w:rFonts w:hAnsi="宋体"/>
          <w:color w:val="000000"/>
          <w:sz w:val="24"/>
          <w:highlight w:val="none"/>
        </w:rPr>
      </w:pPr>
      <w:r>
        <w:rPr>
          <w:rFonts w:hint="eastAsia" w:hAnsi="宋体"/>
          <w:color w:val="000000"/>
          <w:sz w:val="24"/>
          <w:highlight w:val="none"/>
        </w:rPr>
        <w:t>1.具有独立承担民事责任的能力；</w:t>
      </w:r>
    </w:p>
    <w:p>
      <w:pPr>
        <w:spacing w:line="360" w:lineRule="auto"/>
        <w:ind w:firstLine="540" w:firstLineChars="225"/>
        <w:rPr>
          <w:rFonts w:hAnsi="宋体"/>
          <w:color w:val="000000"/>
          <w:sz w:val="24"/>
          <w:highlight w:val="none"/>
        </w:rPr>
      </w:pPr>
      <w:r>
        <w:rPr>
          <w:rFonts w:hint="eastAsia" w:hAnsi="宋体"/>
          <w:color w:val="000000"/>
          <w:sz w:val="24"/>
          <w:highlight w:val="none"/>
        </w:rPr>
        <w:t>2.具有良好的商业信誉和健全的财务会计制度；</w:t>
      </w:r>
    </w:p>
    <w:p>
      <w:pPr>
        <w:spacing w:line="360" w:lineRule="auto"/>
        <w:ind w:firstLine="540" w:firstLineChars="225"/>
        <w:rPr>
          <w:rFonts w:hAnsi="宋体"/>
          <w:color w:val="000000"/>
          <w:sz w:val="24"/>
          <w:highlight w:val="none"/>
        </w:rPr>
      </w:pPr>
      <w:r>
        <w:rPr>
          <w:rFonts w:hint="eastAsia" w:hAnsi="宋体"/>
          <w:color w:val="000000"/>
          <w:sz w:val="24"/>
          <w:highlight w:val="none"/>
        </w:rPr>
        <w:t>3.具有履行合同所必须的设备和专业技术能力；</w:t>
      </w:r>
    </w:p>
    <w:p>
      <w:pPr>
        <w:spacing w:line="360" w:lineRule="auto"/>
        <w:ind w:firstLine="540" w:firstLineChars="225"/>
        <w:rPr>
          <w:rFonts w:hAnsi="宋体"/>
          <w:color w:val="000000"/>
          <w:sz w:val="24"/>
          <w:highlight w:val="none"/>
        </w:rPr>
      </w:pPr>
      <w:r>
        <w:rPr>
          <w:rFonts w:hint="eastAsia" w:hAnsi="宋体"/>
          <w:color w:val="000000"/>
          <w:sz w:val="24"/>
          <w:highlight w:val="none"/>
        </w:rPr>
        <w:t>4.具有依法缴纳税收和社会保障资金的良好记录；</w:t>
      </w:r>
    </w:p>
    <w:p>
      <w:pPr>
        <w:spacing w:line="360" w:lineRule="auto"/>
        <w:ind w:firstLine="540" w:firstLineChars="225"/>
        <w:rPr>
          <w:rFonts w:hAnsi="宋体"/>
          <w:color w:val="000000"/>
          <w:sz w:val="24"/>
          <w:highlight w:val="none"/>
        </w:rPr>
      </w:pPr>
      <w:r>
        <w:rPr>
          <w:rFonts w:hint="eastAsia" w:hAnsi="宋体"/>
          <w:color w:val="000000"/>
          <w:sz w:val="24"/>
          <w:highlight w:val="none"/>
        </w:rPr>
        <w:t>5.参加本次政府采购活动前三年内，在经营活动中没有重大违法记录。</w:t>
      </w:r>
    </w:p>
    <w:p>
      <w:pPr>
        <w:spacing w:line="360" w:lineRule="auto"/>
        <w:ind w:firstLine="540" w:firstLineChars="225"/>
        <w:rPr>
          <w:rFonts w:hAnsi="宋体"/>
          <w:color w:val="000000"/>
          <w:sz w:val="24"/>
          <w:highlight w:val="none"/>
        </w:rPr>
      </w:pPr>
      <w:r>
        <w:rPr>
          <w:rFonts w:hint="eastAsia" w:hAnsi="宋体"/>
          <w:color w:val="000000"/>
          <w:sz w:val="24"/>
          <w:highlight w:val="none"/>
        </w:rPr>
        <w:t>（二）法律、行政法规规定的其他条件：</w:t>
      </w:r>
    </w:p>
    <w:p>
      <w:pPr>
        <w:spacing w:line="360" w:lineRule="auto"/>
        <w:ind w:firstLine="540" w:firstLineChars="225"/>
        <w:rPr>
          <w:rFonts w:hint="eastAsia" w:hAnsi="宋体"/>
          <w:color w:val="000000"/>
          <w:sz w:val="24"/>
          <w:highlight w:val="none"/>
        </w:rPr>
      </w:pPr>
      <w:r>
        <w:rPr>
          <w:rFonts w:hint="eastAsia" w:hAnsi="宋体"/>
          <w:color w:val="000000"/>
          <w:sz w:val="24"/>
          <w:highlight w:val="none"/>
        </w:rPr>
        <w:t>根据《关于在政府采购活动中查询及使用信用记录有关问题的通知》（财库〔2016〕125号）文件要求，采购代理机构将通过“信用中国”网站（www.creditchina.gov.cn）、中国政府采购网（www.ccgp.gov.cn）、四川政府采购网（www.ccgp-sichuan.gov.cn）等渠道查询供应商在参加政府采购活动前的信用记录，并保存信用记录结果网页截图，拒绝列入失信被执行人、重大税收违法案件当事人名单、政府采购严重违法失信行为记录名单中的供应商参与本项目的采购活动。</w:t>
      </w:r>
    </w:p>
    <w:p>
      <w:pPr>
        <w:spacing w:line="360" w:lineRule="auto"/>
        <w:ind w:firstLine="540" w:firstLineChars="225"/>
        <w:rPr>
          <w:rFonts w:hint="eastAsia" w:hAnsi="宋体"/>
          <w:color w:val="000000"/>
          <w:sz w:val="24"/>
          <w:highlight w:val="none"/>
        </w:rPr>
      </w:pPr>
      <w:r>
        <w:rPr>
          <w:rFonts w:hint="eastAsia" w:hAnsi="宋体"/>
          <w:color w:val="000000"/>
          <w:sz w:val="24"/>
          <w:highlight w:val="none"/>
        </w:rPr>
        <w:t>（三）根据采购项目提出的特殊条件：</w:t>
      </w:r>
    </w:p>
    <w:p>
      <w:pPr>
        <w:pStyle w:val="2"/>
        <w:rPr>
          <w:highlight w:val="none"/>
        </w:rPr>
      </w:pPr>
      <w:r>
        <w:rPr>
          <w:rFonts w:hint="eastAsia" w:hAnsi="宋体"/>
          <w:color w:val="000000"/>
          <w:sz w:val="24"/>
          <w:highlight w:val="none"/>
        </w:rPr>
        <w:t>（1）</w:t>
      </w:r>
      <w:r>
        <w:rPr>
          <w:rFonts w:hint="eastAsia" w:ascii="宋体" w:hAnsi="宋体"/>
          <w:color w:val="000000"/>
          <w:sz w:val="24"/>
          <w:highlight w:val="none"/>
        </w:rPr>
        <w:t>本项目专门面向中小企业采购（监狱企业、残疾人福利性单位视同小微企业），非中小企业不得参加本项目</w:t>
      </w:r>
      <w:r>
        <w:rPr>
          <w:rFonts w:hint="eastAsia" w:hAnsi="宋体"/>
          <w:color w:val="000000"/>
          <w:sz w:val="24"/>
          <w:highlight w:val="none"/>
        </w:rPr>
        <w:t>。</w:t>
      </w:r>
    </w:p>
    <w:p>
      <w:pPr>
        <w:spacing w:line="360" w:lineRule="auto"/>
        <w:ind w:firstLine="540" w:firstLineChars="225"/>
        <w:rPr>
          <w:rFonts w:hAnsi="宋体"/>
          <w:color w:val="000000"/>
          <w:sz w:val="24"/>
          <w:highlight w:val="none"/>
        </w:rPr>
      </w:pPr>
      <w:r>
        <w:rPr>
          <w:rFonts w:hint="eastAsia" w:hAnsi="宋体"/>
          <w:color w:val="000000"/>
          <w:sz w:val="24"/>
          <w:highlight w:val="none"/>
        </w:rPr>
        <w:t>注：1.</w:t>
      </w:r>
      <w:r>
        <w:rPr>
          <w:rFonts w:hAnsi="宋体" w:cs="宋体"/>
          <w:sz w:val="24"/>
          <w:highlight w:val="none"/>
        </w:rPr>
        <w:t>资格要求中“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r>
        <w:rPr>
          <w:rFonts w:hint="eastAsia" w:hAnsi="宋体"/>
          <w:color w:val="000000"/>
          <w:sz w:val="24"/>
          <w:highlight w:val="none"/>
        </w:rPr>
        <w:t>。</w:t>
      </w:r>
    </w:p>
    <w:p>
      <w:pPr>
        <w:spacing w:line="360" w:lineRule="auto"/>
        <w:ind w:firstLine="480" w:firstLineChars="200"/>
        <w:rPr>
          <w:rFonts w:hAnsi="宋体"/>
          <w:color w:val="000000"/>
          <w:sz w:val="24"/>
          <w:highlight w:val="none"/>
        </w:rPr>
      </w:pPr>
      <w:r>
        <w:rPr>
          <w:rFonts w:hint="eastAsia" w:hAnsi="宋体"/>
          <w:color w:val="000000"/>
          <w:sz w:val="24"/>
          <w:highlight w:val="none"/>
        </w:rPr>
        <w:t>2.供应商在参加政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pPr>
        <w:jc w:val="center"/>
        <w:rPr>
          <w:rFonts w:hAnsi="宋体" w:cs="宋体"/>
          <w:color w:val="000000"/>
          <w:sz w:val="24"/>
          <w:highlight w:val="none"/>
        </w:rPr>
      </w:pPr>
    </w:p>
    <w:p>
      <w:pPr>
        <w:jc w:val="center"/>
        <w:rPr>
          <w:rFonts w:hAnsi="宋体" w:cs="宋体"/>
          <w:color w:val="000000"/>
          <w:sz w:val="24"/>
          <w:highlight w:val="none"/>
        </w:rPr>
      </w:pPr>
    </w:p>
    <w:p>
      <w:pPr>
        <w:pStyle w:val="2"/>
      </w:pPr>
    </w:p>
    <w:p>
      <w:pPr>
        <w:spacing w:line="500" w:lineRule="exact"/>
        <w:jc w:val="center"/>
        <w:rPr>
          <w:rFonts w:hAnsi="宋体" w:cs="宋体"/>
          <w:color w:val="000000"/>
          <w:sz w:val="28"/>
          <w:szCs w:val="28"/>
          <w:highlight w:val="none"/>
        </w:rPr>
      </w:pPr>
      <w:bookmarkStart w:id="77" w:name="_Toc3526"/>
      <w:bookmarkStart w:id="78" w:name="_Toc839"/>
      <w:bookmarkStart w:id="79" w:name="_Toc28530"/>
      <w:r>
        <w:rPr>
          <w:rStyle w:val="35"/>
          <w:rFonts w:hint="eastAsia"/>
          <w:highlight w:val="none"/>
        </w:rPr>
        <w:t>第四章  供应商资格证明材料</w:t>
      </w:r>
      <w:bookmarkEnd w:id="77"/>
      <w:bookmarkEnd w:id="78"/>
      <w:bookmarkEnd w:id="79"/>
    </w:p>
    <w:p>
      <w:pPr>
        <w:ind w:firstLine="470" w:firstLineChars="196"/>
        <w:rPr>
          <w:rFonts w:hAnsi="宋体"/>
          <w:color w:val="000000"/>
          <w:sz w:val="24"/>
          <w:highlight w:val="none"/>
        </w:rPr>
      </w:pPr>
    </w:p>
    <w:p>
      <w:pPr>
        <w:ind w:firstLine="470" w:firstLineChars="196"/>
        <w:rPr>
          <w:rFonts w:hAnsi="宋体"/>
          <w:color w:val="000000"/>
          <w:sz w:val="24"/>
          <w:highlight w:val="none"/>
        </w:rPr>
      </w:pPr>
      <w:r>
        <w:rPr>
          <w:rFonts w:hAnsi="宋体"/>
          <w:color w:val="000000"/>
          <w:sz w:val="24"/>
          <w:highlight w:val="none"/>
        </w:rPr>
        <w:t>一、供应商应提交的资格证明材料</w:t>
      </w:r>
    </w:p>
    <w:p>
      <w:pPr>
        <w:spacing w:line="360" w:lineRule="auto"/>
        <w:ind w:firstLine="540" w:firstLineChars="225"/>
        <w:rPr>
          <w:rFonts w:hAnsi="宋体"/>
          <w:color w:val="000000"/>
          <w:sz w:val="24"/>
          <w:highlight w:val="none"/>
        </w:rPr>
      </w:pPr>
      <w:r>
        <w:rPr>
          <w:rFonts w:hint="eastAsia" w:hAnsi="宋体"/>
          <w:color w:val="000000"/>
          <w:sz w:val="24"/>
          <w:highlight w:val="none"/>
        </w:rPr>
        <w:t>1、供应商是企业的，提供营业执照（副本）复印件或扫描件，供应商是事业单位的，提供事业单位法人证书复印件或扫描件。（注：加盖供应商公章）</w:t>
      </w:r>
    </w:p>
    <w:p>
      <w:pPr>
        <w:spacing w:line="360" w:lineRule="auto"/>
        <w:ind w:firstLine="540" w:firstLineChars="225"/>
        <w:rPr>
          <w:rFonts w:hAnsi="宋体"/>
          <w:color w:val="000000"/>
          <w:sz w:val="24"/>
          <w:highlight w:val="none"/>
        </w:rPr>
      </w:pPr>
      <w:r>
        <w:rPr>
          <w:rFonts w:hint="eastAsia" w:hAnsi="宋体"/>
          <w:color w:val="000000"/>
          <w:sz w:val="24"/>
          <w:highlight w:val="none"/>
        </w:rPr>
        <w:t>2、法定代表人（负责人）身份证双面复印件或扫描件。（注：法定代表人（负责人）或非法定代表人（负责人）参加磋商时均需提供并加盖供应商公章）</w:t>
      </w:r>
    </w:p>
    <w:p>
      <w:pPr>
        <w:spacing w:line="360" w:lineRule="auto"/>
        <w:ind w:firstLine="540" w:firstLineChars="225"/>
        <w:rPr>
          <w:rFonts w:hAnsi="宋体"/>
          <w:color w:val="000000"/>
          <w:sz w:val="24"/>
          <w:highlight w:val="none"/>
        </w:rPr>
      </w:pPr>
      <w:r>
        <w:rPr>
          <w:rFonts w:hint="eastAsia" w:hAnsi="宋体"/>
          <w:color w:val="000000"/>
          <w:sz w:val="24"/>
          <w:highlight w:val="none"/>
        </w:rPr>
        <w:t>3、法定代表人（负责人）授权书原件（见格式），并附授权代表身份证双面复印件或扫描件。（注：非法定代表人（负责人）参加磋商时提供并加盖供应商公章）</w:t>
      </w:r>
    </w:p>
    <w:p>
      <w:pPr>
        <w:spacing w:line="360" w:lineRule="auto"/>
        <w:ind w:firstLine="540" w:firstLineChars="225"/>
        <w:rPr>
          <w:rFonts w:hAnsi="宋体"/>
          <w:color w:val="000000"/>
          <w:sz w:val="24"/>
          <w:highlight w:val="none"/>
        </w:rPr>
      </w:pPr>
      <w:r>
        <w:rPr>
          <w:rFonts w:hint="eastAsia" w:hAnsi="宋体"/>
          <w:color w:val="000000"/>
          <w:sz w:val="24"/>
          <w:highlight w:val="none"/>
        </w:rPr>
        <w:t>4、供应</w:t>
      </w:r>
      <w:r>
        <w:rPr>
          <w:rFonts w:hint="eastAsia"/>
          <w:sz w:val="24"/>
          <w:highlight w:val="none"/>
        </w:rPr>
        <w:t>商2018年一月至递交响应文件截止时间前任意一个月的缴纳税收的银行电子回单或者税务部门出具的纳税证明或完税证明或有效票据的复印件或扫描件；或依法缴纳税收的书面承诺函原件（格式自拟）</w:t>
      </w:r>
      <w:r>
        <w:rPr>
          <w:rFonts w:hint="eastAsia" w:hAnsi="宋体"/>
          <w:color w:val="000000"/>
          <w:sz w:val="24"/>
          <w:highlight w:val="none"/>
        </w:rPr>
        <w:t>。（注：加盖供应商公章）</w:t>
      </w:r>
    </w:p>
    <w:p>
      <w:pPr>
        <w:spacing w:line="360" w:lineRule="auto"/>
        <w:ind w:firstLine="540" w:firstLineChars="225"/>
        <w:rPr>
          <w:rFonts w:hAnsi="宋体"/>
          <w:color w:val="000000"/>
          <w:sz w:val="24"/>
          <w:highlight w:val="none"/>
        </w:rPr>
      </w:pPr>
      <w:r>
        <w:rPr>
          <w:rFonts w:hint="eastAsia" w:hAnsi="宋体"/>
          <w:color w:val="000000"/>
          <w:sz w:val="24"/>
          <w:highlight w:val="none"/>
        </w:rPr>
        <w:t>5、供应商</w:t>
      </w:r>
      <w:r>
        <w:rPr>
          <w:rFonts w:hint="eastAsia"/>
          <w:sz w:val="24"/>
          <w:highlight w:val="none"/>
        </w:rPr>
        <w:t>2018年一月至递交响应文件截止时间前任意一个月的缴纳社保的银行电子回单或社保部门出具缴纳证明材料或有效票据的复印件或扫描件；或依法缴纳社会保障资金的书面承诺函原件（格式自拟）</w:t>
      </w:r>
      <w:r>
        <w:rPr>
          <w:rFonts w:hint="eastAsia" w:hAnsi="宋体"/>
          <w:color w:val="000000"/>
          <w:sz w:val="24"/>
          <w:highlight w:val="none"/>
        </w:rPr>
        <w:t>。（注：加盖供应商公章）</w:t>
      </w:r>
    </w:p>
    <w:p>
      <w:pPr>
        <w:spacing w:line="360" w:lineRule="auto"/>
        <w:ind w:firstLine="540" w:firstLineChars="225"/>
        <w:rPr>
          <w:rFonts w:hAnsi="宋体"/>
          <w:color w:val="000000"/>
          <w:sz w:val="24"/>
          <w:highlight w:val="none"/>
        </w:rPr>
      </w:pPr>
      <w:r>
        <w:rPr>
          <w:rFonts w:hint="eastAsia" w:hAnsi="宋体"/>
          <w:color w:val="000000"/>
          <w:sz w:val="24"/>
          <w:highlight w:val="none"/>
        </w:rPr>
        <w:t>6、具备健全的财务会计制度的证明材料[企业提供2018年至今任一年度经审计的财务报告（包含审计报告和审计报告中所涉及的财务报表和报表附注，</w:t>
      </w:r>
      <w:r>
        <w:rPr>
          <w:rFonts w:hint="eastAsia"/>
          <w:sz w:val="24"/>
          <w:highlight w:val="none"/>
        </w:rPr>
        <w:t>不需要额外提供签署审计报告的注册会计师身份证明、主任会计师身份证明、合伙人身份证明</w:t>
      </w:r>
      <w:r>
        <w:rPr>
          <w:rFonts w:hint="eastAsia" w:hAnsi="宋体"/>
          <w:color w:val="000000"/>
          <w:sz w:val="24"/>
          <w:highlight w:val="none"/>
        </w:rPr>
        <w:t>）；事业单位提供银行出具的资信证明；供应商成立时间不足一年的，提供银行资信证明</w:t>
      </w:r>
      <w:r>
        <w:rPr>
          <w:rFonts w:hAnsi="宋体"/>
          <w:color w:val="000000"/>
          <w:sz w:val="24"/>
          <w:highlight w:val="none"/>
        </w:rPr>
        <w:t>]</w:t>
      </w:r>
      <w:r>
        <w:rPr>
          <w:rFonts w:hint="eastAsia" w:hAnsi="宋体"/>
          <w:color w:val="000000"/>
          <w:sz w:val="24"/>
          <w:highlight w:val="none"/>
        </w:rPr>
        <w:t>。（注：提供复印件或扫描件并加盖供应商公章）</w:t>
      </w:r>
    </w:p>
    <w:p>
      <w:pPr>
        <w:spacing w:line="360" w:lineRule="auto"/>
        <w:ind w:firstLine="540" w:firstLineChars="225"/>
        <w:rPr>
          <w:rFonts w:hint="eastAsia" w:hAnsi="宋体"/>
          <w:color w:val="000000"/>
          <w:sz w:val="24"/>
          <w:highlight w:val="none"/>
        </w:rPr>
      </w:pPr>
      <w:r>
        <w:rPr>
          <w:rFonts w:hint="eastAsia" w:hAnsi="宋体"/>
          <w:color w:val="000000"/>
          <w:sz w:val="24"/>
          <w:highlight w:val="none"/>
        </w:rPr>
        <w:t>7、满足《政府采购法》第二十二条规定的条件的承诺函原件（见格式）。（注：加盖供应商公章）</w:t>
      </w:r>
    </w:p>
    <w:p>
      <w:pPr>
        <w:spacing w:line="360" w:lineRule="auto"/>
        <w:ind w:firstLine="540" w:firstLineChars="225"/>
        <w:rPr>
          <w:rFonts w:hint="eastAsia" w:hAnsi="宋体"/>
          <w:color w:val="000000"/>
          <w:sz w:val="24"/>
          <w:highlight w:val="none"/>
          <w:lang w:eastAsia="zh-CN"/>
        </w:rPr>
      </w:pPr>
      <w:r>
        <w:rPr>
          <w:rFonts w:hint="eastAsia" w:hAnsi="宋体"/>
          <w:color w:val="000000"/>
          <w:sz w:val="24"/>
          <w:highlight w:val="none"/>
        </w:rPr>
        <w:t>8、本项目专门面向中小企业采购（监狱企业、残疾人福利性单位视同小微企业），非中小企业不得参加本项目；供应商是中小企业的须提供《中小企业声明函》原件（见格式）；供应商是残疾人福利性单位的须提供《残疾人福利性单位声明函》原件（见格式）；供应商是监狱企业的须提供</w:t>
      </w:r>
      <w:r>
        <w:rPr>
          <w:rFonts w:hint="eastAsia" w:hAnsi="宋体"/>
          <w:color w:val="000000"/>
          <w:sz w:val="24"/>
          <w:highlight w:val="none"/>
          <w:lang w:val="zh-CN"/>
        </w:rPr>
        <w:t>由省级以上监狱管理局、戒毒管理局（含新疆生产建设兵团）出具的属于监狱企业的证明文件</w:t>
      </w:r>
      <w:r>
        <w:rPr>
          <w:rFonts w:hint="eastAsia" w:hAnsi="宋体"/>
          <w:color w:val="000000"/>
          <w:sz w:val="24"/>
          <w:highlight w:val="none"/>
        </w:rPr>
        <w:t>复印件或扫描件。（注：加盖供应商公章；以上三项证明材料只须提供其中任意一项即视为满足本项目实质性要求）</w:t>
      </w:r>
    </w:p>
    <w:p>
      <w:pPr>
        <w:tabs>
          <w:tab w:val="left" w:pos="900"/>
          <w:tab w:val="left" w:pos="1080"/>
        </w:tabs>
        <w:spacing w:line="360" w:lineRule="auto"/>
        <w:ind w:firstLine="480" w:firstLineChars="200"/>
        <w:rPr>
          <w:rStyle w:val="32"/>
          <w:rFonts w:hAnsi="宋体"/>
          <w:b/>
          <w:color w:val="000000"/>
          <w:sz w:val="24"/>
          <w:highlight w:val="none"/>
        </w:rPr>
      </w:pPr>
      <w:r>
        <w:rPr>
          <w:rStyle w:val="32"/>
          <w:b/>
          <w:sz w:val="24"/>
          <w:highlight w:val="none"/>
        </w:rPr>
        <w:t>注：1、</w:t>
      </w:r>
      <w:r>
        <w:rPr>
          <w:rStyle w:val="32"/>
          <w:rFonts w:hAnsi="宋体"/>
          <w:b/>
          <w:color w:val="000000"/>
          <w:sz w:val="24"/>
          <w:highlight w:val="none"/>
        </w:rPr>
        <w:t>以上要求</w:t>
      </w:r>
      <w:r>
        <w:rPr>
          <w:rStyle w:val="32"/>
          <w:rFonts w:hint="eastAsia" w:hAnsi="宋体"/>
          <w:b/>
          <w:color w:val="000000"/>
          <w:sz w:val="24"/>
          <w:highlight w:val="none"/>
        </w:rPr>
        <w:t>供应商</w:t>
      </w:r>
      <w:r>
        <w:rPr>
          <w:rStyle w:val="32"/>
          <w:rFonts w:hAnsi="宋体"/>
          <w:b/>
          <w:color w:val="000000"/>
          <w:sz w:val="24"/>
          <w:highlight w:val="none"/>
        </w:rPr>
        <w:t>提供的证明材料必须加盖供应商公章（鲜章）。</w:t>
      </w:r>
    </w:p>
    <w:p>
      <w:pPr>
        <w:spacing w:line="360" w:lineRule="auto"/>
        <w:ind w:firstLine="480" w:firstLineChars="200"/>
        <w:rPr>
          <w:rStyle w:val="32"/>
          <w:b/>
          <w:color w:val="000000"/>
          <w:sz w:val="24"/>
          <w:highlight w:val="none"/>
        </w:rPr>
      </w:pPr>
      <w:r>
        <w:rPr>
          <w:rStyle w:val="32"/>
          <w:b/>
          <w:color w:val="000000"/>
          <w:sz w:val="24"/>
          <w:highlight w:val="none"/>
        </w:rPr>
        <w:t>2、以上证明材料一项不符合要求的，作为无效响应处理。</w:t>
      </w:r>
    </w:p>
    <w:p>
      <w:pPr>
        <w:ind w:firstLine="480" w:firstLineChars="200"/>
        <w:rPr>
          <w:rFonts w:hAnsi="宋体"/>
          <w:color w:val="000000"/>
          <w:sz w:val="24"/>
          <w:highlight w:val="none"/>
        </w:rPr>
      </w:pPr>
      <w:r>
        <w:rPr>
          <w:rStyle w:val="32"/>
          <w:b/>
          <w:color w:val="000000"/>
          <w:sz w:val="24"/>
          <w:highlight w:val="none"/>
        </w:rPr>
        <w:t>3、证明材料的扫描件与复印件具有同等效力</w:t>
      </w:r>
      <w:r>
        <w:rPr>
          <w:rStyle w:val="32"/>
          <w:rFonts w:hint="eastAsia"/>
          <w:b/>
          <w:color w:val="000000"/>
          <w:sz w:val="24"/>
          <w:highlight w:val="none"/>
        </w:rPr>
        <w:t>。</w:t>
      </w:r>
    </w:p>
    <w:p>
      <w:pPr>
        <w:rPr>
          <w:rFonts w:hAnsi="宋体"/>
          <w:color w:val="000000"/>
          <w:sz w:val="24"/>
          <w:highlight w:val="none"/>
        </w:rPr>
      </w:pPr>
    </w:p>
    <w:p>
      <w:pPr>
        <w:spacing w:line="500" w:lineRule="exact"/>
        <w:jc w:val="center"/>
        <w:rPr>
          <w:rFonts w:hAnsi="宋体" w:cs="宋体"/>
          <w:b/>
          <w:sz w:val="32"/>
          <w:szCs w:val="32"/>
          <w:highlight w:val="none"/>
        </w:rPr>
      </w:pPr>
      <w:r>
        <w:rPr>
          <w:rFonts w:hint="eastAsia" w:hAnsi="宋体" w:cs="宋体"/>
          <w:b/>
          <w:sz w:val="32"/>
          <w:szCs w:val="32"/>
          <w:highlight w:val="none"/>
        </w:rPr>
        <w:br w:type="page"/>
      </w:r>
      <w:bookmarkStart w:id="80" w:name="_Toc17022"/>
      <w:bookmarkStart w:id="81" w:name="_Toc30867"/>
      <w:bookmarkStart w:id="82" w:name="_Toc10311"/>
      <w:r>
        <w:rPr>
          <w:rStyle w:val="35"/>
          <w:rFonts w:hint="eastAsia"/>
          <w:highlight w:val="none"/>
        </w:rPr>
        <w:t>第五章  采购项目技术、服务、政府采购合同内容条款及其他商务要求</w:t>
      </w:r>
      <w:bookmarkEnd w:id="80"/>
      <w:bookmarkEnd w:id="81"/>
      <w:bookmarkEnd w:id="82"/>
    </w:p>
    <w:bookmarkEnd w:id="62"/>
    <w:bookmarkEnd w:id="63"/>
    <w:bookmarkEnd w:id="64"/>
    <w:bookmarkEnd w:id="65"/>
    <w:bookmarkEnd w:id="66"/>
    <w:p>
      <w:pPr>
        <w:spacing w:line="400" w:lineRule="exact"/>
        <w:jc w:val="center"/>
        <w:rPr>
          <w:rFonts w:hAnsi="宋体" w:cs="宋体"/>
          <w:b/>
          <w:color w:val="000000"/>
          <w:sz w:val="32"/>
          <w:szCs w:val="32"/>
          <w:highlight w:val="none"/>
        </w:rPr>
      </w:pPr>
      <w:bookmarkStart w:id="83" w:name="_Toc183582232"/>
      <w:bookmarkStart w:id="84" w:name="_Toc183682369"/>
      <w:bookmarkStart w:id="85" w:name="_Toc217446057"/>
    </w:p>
    <w:p>
      <w:pPr>
        <w:spacing w:line="360" w:lineRule="auto"/>
        <w:ind w:firstLine="540" w:firstLineChars="225"/>
        <w:rPr>
          <w:rFonts w:hAnsi="宋体"/>
          <w:color w:val="000000"/>
          <w:sz w:val="24"/>
          <w:highlight w:val="none"/>
        </w:rPr>
      </w:pPr>
      <w:bookmarkStart w:id="86" w:name="_Toc4083"/>
      <w:r>
        <w:rPr>
          <w:rFonts w:hint="eastAsia" w:hAnsi="宋体"/>
          <w:color w:val="000000"/>
          <w:sz w:val="24"/>
          <w:highlight w:val="none"/>
        </w:rPr>
        <w:t>一、项目概述</w:t>
      </w:r>
    </w:p>
    <w:p>
      <w:pPr>
        <w:spacing w:line="360" w:lineRule="auto"/>
        <w:ind w:firstLine="540" w:firstLineChars="225"/>
        <w:rPr>
          <w:rFonts w:hAnsi="宋体"/>
          <w:color w:val="000000"/>
          <w:sz w:val="24"/>
          <w:highlight w:val="none"/>
        </w:rPr>
      </w:pPr>
      <w:r>
        <w:rPr>
          <w:rFonts w:hAnsi="宋体"/>
          <w:color w:val="000000"/>
          <w:sz w:val="24"/>
          <w:highlight w:val="none"/>
        </w:rPr>
        <w:t>为统筹推动区属国有企业（以下简称企业）改革转型，实现高质量发展，顺利推进我区国资国企改革发展第十四个五年</w:t>
      </w:r>
      <w:r>
        <w:rPr>
          <w:rFonts w:hint="eastAsia" w:hAnsi="宋体"/>
          <w:color w:val="000000"/>
          <w:sz w:val="24"/>
          <w:highlight w:val="none"/>
        </w:rPr>
        <w:t>规</w:t>
      </w:r>
      <w:r>
        <w:rPr>
          <w:rFonts w:hAnsi="宋体"/>
          <w:color w:val="000000"/>
          <w:sz w:val="24"/>
          <w:highlight w:val="none"/>
        </w:rPr>
        <w:t>划的编制（以下简称“十四五”规划）</w:t>
      </w:r>
      <w:r>
        <w:rPr>
          <w:rFonts w:hint="eastAsia" w:hAnsi="宋体"/>
          <w:color w:val="000000"/>
          <w:sz w:val="24"/>
          <w:highlight w:val="none"/>
          <w:lang w:eastAsia="zh-CN"/>
        </w:rPr>
        <w:t>，</w:t>
      </w:r>
      <w:r>
        <w:rPr>
          <w:rFonts w:hint="eastAsia" w:hAnsi="宋体"/>
          <w:color w:val="000000"/>
          <w:sz w:val="24"/>
          <w:highlight w:val="none"/>
          <w:lang w:val="en-US" w:eastAsia="zh-CN"/>
        </w:rPr>
        <w:t>实施本次采购</w:t>
      </w:r>
      <w:r>
        <w:rPr>
          <w:rFonts w:hint="eastAsia" w:hAnsi="宋体"/>
          <w:color w:val="000000"/>
          <w:sz w:val="24"/>
          <w:highlight w:val="none"/>
        </w:rPr>
        <w:t>。</w:t>
      </w:r>
    </w:p>
    <w:p>
      <w:pPr>
        <w:spacing w:line="360" w:lineRule="auto"/>
        <w:ind w:firstLine="540" w:firstLineChars="225"/>
        <w:rPr>
          <w:rFonts w:hAnsi="宋体"/>
          <w:color w:val="000000"/>
          <w:sz w:val="24"/>
          <w:highlight w:val="none"/>
        </w:rPr>
      </w:pPr>
      <w:r>
        <w:rPr>
          <w:rFonts w:hint="eastAsia" w:hAnsi="宋体"/>
          <w:color w:val="000000"/>
          <w:sz w:val="24"/>
          <w:highlight w:val="none"/>
        </w:rPr>
        <w:t>二、项目背景</w:t>
      </w:r>
    </w:p>
    <w:p>
      <w:pPr>
        <w:pStyle w:val="2"/>
        <w:spacing w:line="360" w:lineRule="auto"/>
        <w:ind w:firstLine="480" w:firstLineChars="200"/>
        <w:rPr>
          <w:rFonts w:hAnsi="宋体"/>
          <w:color w:val="000000"/>
          <w:sz w:val="24"/>
          <w:highlight w:val="none"/>
        </w:rPr>
      </w:pPr>
      <w:r>
        <w:rPr>
          <w:rFonts w:hAnsi="宋体"/>
          <w:color w:val="000000"/>
          <w:sz w:val="24"/>
          <w:highlight w:val="none"/>
        </w:rPr>
        <w:t>2</w:t>
      </w:r>
      <w:r>
        <w:rPr>
          <w:rFonts w:hint="eastAsia" w:hAnsi="宋体"/>
          <w:color w:val="000000"/>
          <w:sz w:val="24"/>
          <w:highlight w:val="none"/>
        </w:rPr>
        <w:t>021</w:t>
      </w:r>
      <w:r>
        <w:rPr>
          <w:rFonts w:hAnsi="宋体"/>
          <w:color w:val="000000"/>
          <w:sz w:val="24"/>
          <w:highlight w:val="none"/>
        </w:rPr>
        <w:t>年是国民经济和社会发展“十四五”开局之年。</w:t>
      </w:r>
      <w:r>
        <w:rPr>
          <w:rFonts w:hint="eastAsia" w:hAnsi="宋体"/>
          <w:color w:val="000000"/>
          <w:sz w:val="24"/>
          <w:highlight w:val="none"/>
        </w:rPr>
        <w:t>为不断深化国资国企改革，进一步加强党对国资国企的领导，推进国有资本布局优化和结构调整，健全企业市场化经营机制，完善优化以管资本为主的国有资产监督管理体制，不断增强国有经济竞争力、创新力、控制力、影响力，做强做优做大国有资本和国有企业。</w:t>
      </w:r>
      <w:r>
        <w:rPr>
          <w:rFonts w:hAnsi="宋体"/>
          <w:color w:val="000000"/>
          <w:sz w:val="24"/>
          <w:highlight w:val="none"/>
        </w:rPr>
        <w:t>依据</w:t>
      </w:r>
      <w:r>
        <w:rPr>
          <w:rFonts w:hint="eastAsia" w:hAnsi="宋体"/>
          <w:color w:val="000000"/>
          <w:sz w:val="24"/>
          <w:highlight w:val="none"/>
        </w:rPr>
        <w:t>青羊</w:t>
      </w:r>
      <w:r>
        <w:rPr>
          <w:rFonts w:hAnsi="宋体"/>
          <w:color w:val="000000"/>
          <w:sz w:val="24"/>
          <w:highlight w:val="none"/>
        </w:rPr>
        <w:t>区经济社会发展“十四五”规划目标和精神，结合企业</w:t>
      </w:r>
      <w:r>
        <w:rPr>
          <w:rFonts w:hint="eastAsia" w:hAnsi="宋体"/>
          <w:color w:val="000000"/>
          <w:sz w:val="24"/>
          <w:highlight w:val="none"/>
        </w:rPr>
        <w:t>发展特点及服务城市战略、服务社会民生、参与市场竞争“三大定位”，谋划“十四五”期间青羊区区属国有企业发展方向和路径。</w:t>
      </w:r>
    </w:p>
    <w:p>
      <w:pPr>
        <w:pStyle w:val="2"/>
        <w:numPr>
          <w:ilvl w:val="0"/>
          <w:numId w:val="1"/>
        </w:numPr>
        <w:spacing w:line="360" w:lineRule="auto"/>
        <w:ind w:firstLine="480" w:firstLineChars="200"/>
        <w:rPr>
          <w:rFonts w:hAnsi="宋体"/>
          <w:color w:val="000000"/>
          <w:kern w:val="2"/>
          <w:sz w:val="24"/>
          <w:szCs w:val="24"/>
          <w:highlight w:val="none"/>
        </w:rPr>
      </w:pPr>
      <w:r>
        <w:rPr>
          <w:rFonts w:hint="eastAsia" w:hAnsi="宋体"/>
          <w:color w:val="000000"/>
          <w:kern w:val="2"/>
          <w:sz w:val="24"/>
          <w:szCs w:val="24"/>
          <w:highlight w:val="none"/>
        </w:rPr>
        <w:t>能力要求</w:t>
      </w:r>
    </w:p>
    <w:p>
      <w:pPr>
        <w:pStyle w:val="2"/>
        <w:spacing w:line="360" w:lineRule="auto"/>
        <w:ind w:firstLine="480" w:firstLineChars="200"/>
        <w:rPr>
          <w:rFonts w:hAnsi="宋体"/>
          <w:color w:val="000000"/>
          <w:sz w:val="24"/>
          <w:highlight w:val="none"/>
        </w:rPr>
      </w:pPr>
      <w:r>
        <w:rPr>
          <w:rFonts w:hAnsi="宋体"/>
          <w:color w:val="000000"/>
          <w:sz w:val="24"/>
          <w:highlight w:val="none"/>
        </w:rPr>
        <w:t>（一）具有较高理论研究水平；熟悉</w:t>
      </w:r>
      <w:r>
        <w:rPr>
          <w:rFonts w:hint="eastAsia" w:hAnsi="宋体"/>
          <w:color w:val="000000"/>
          <w:sz w:val="24"/>
          <w:highlight w:val="none"/>
        </w:rPr>
        <w:t>成都市、青羊区</w:t>
      </w:r>
      <w:r>
        <w:rPr>
          <w:rFonts w:hAnsi="宋体"/>
          <w:color w:val="000000"/>
          <w:sz w:val="24"/>
          <w:highlight w:val="none"/>
        </w:rPr>
        <w:t>发展战略及国资国企改革政策，对产业经济和国有经济有深入研究。</w:t>
      </w:r>
    </w:p>
    <w:p>
      <w:pPr>
        <w:pStyle w:val="2"/>
        <w:spacing w:line="360" w:lineRule="auto"/>
        <w:ind w:firstLine="480" w:firstLineChars="200"/>
        <w:rPr>
          <w:rFonts w:hAnsi="宋体"/>
          <w:color w:val="000000"/>
          <w:sz w:val="24"/>
          <w:highlight w:val="none"/>
        </w:rPr>
      </w:pPr>
      <w:r>
        <w:rPr>
          <w:rFonts w:hAnsi="宋体"/>
          <w:color w:val="000000"/>
          <w:sz w:val="24"/>
          <w:highlight w:val="none"/>
        </w:rPr>
        <w:t>（二）有丰富的国资国企改革课题研究、国有资本五年发展规划编制、代拟政府机构综合文稿等相关经验。</w:t>
      </w:r>
    </w:p>
    <w:p>
      <w:pPr>
        <w:pStyle w:val="2"/>
        <w:spacing w:line="360" w:lineRule="auto"/>
        <w:ind w:firstLine="480" w:firstLineChars="200"/>
        <w:rPr>
          <w:rFonts w:hAnsi="宋体"/>
          <w:color w:val="000000"/>
          <w:sz w:val="24"/>
          <w:highlight w:val="none"/>
        </w:rPr>
      </w:pPr>
      <w:r>
        <w:rPr>
          <w:rFonts w:hAnsi="宋体"/>
          <w:color w:val="000000"/>
          <w:sz w:val="24"/>
          <w:highlight w:val="none"/>
        </w:rPr>
        <w:t>（三）</w:t>
      </w:r>
      <w:r>
        <w:rPr>
          <w:rFonts w:hint="eastAsia" w:hAnsi="宋体"/>
          <w:color w:val="000000"/>
          <w:sz w:val="24"/>
          <w:highlight w:val="none"/>
        </w:rPr>
        <w:t>项目实施地</w:t>
      </w:r>
      <w:r>
        <w:rPr>
          <w:rFonts w:hAnsi="宋体"/>
          <w:color w:val="000000"/>
          <w:sz w:val="24"/>
          <w:highlight w:val="none"/>
        </w:rPr>
        <w:t>有稳定的专业团队支撑，具备与</w:t>
      </w:r>
      <w:r>
        <w:rPr>
          <w:rFonts w:hint="eastAsia" w:hAnsi="宋体"/>
          <w:color w:val="000000"/>
          <w:sz w:val="24"/>
          <w:highlight w:val="none"/>
        </w:rPr>
        <w:t>青羊区</w:t>
      </w:r>
      <w:r>
        <w:rPr>
          <w:rFonts w:hAnsi="宋体"/>
          <w:color w:val="000000"/>
          <w:sz w:val="24"/>
          <w:highlight w:val="none"/>
        </w:rPr>
        <w:t>国有资本“十四五”规划编制工作相关的专家资源，能长期持续跟踪服务成都国企改革发展工作。</w:t>
      </w:r>
    </w:p>
    <w:p>
      <w:pPr>
        <w:numPr>
          <w:ilvl w:val="0"/>
          <w:numId w:val="1"/>
        </w:numPr>
        <w:spacing w:line="360" w:lineRule="auto"/>
        <w:ind w:firstLine="480" w:firstLineChars="200"/>
        <w:rPr>
          <w:rFonts w:hAnsi="宋体"/>
          <w:color w:val="000000"/>
          <w:sz w:val="24"/>
          <w:highlight w:val="none"/>
        </w:rPr>
      </w:pPr>
      <w:r>
        <w:rPr>
          <w:rFonts w:hint="eastAsia" w:hAnsi="宋体"/>
          <w:color w:val="000000"/>
          <w:sz w:val="24"/>
          <w:highlight w:val="none"/>
        </w:rPr>
        <w:t>服务内容</w:t>
      </w:r>
    </w:p>
    <w:p>
      <w:pPr>
        <w:spacing w:line="360" w:lineRule="auto"/>
        <w:ind w:firstLine="480" w:firstLineChars="200"/>
        <w:rPr>
          <w:rFonts w:hAnsi="宋体"/>
          <w:color w:val="000000"/>
          <w:sz w:val="24"/>
          <w:highlight w:val="none"/>
        </w:rPr>
      </w:pPr>
      <w:r>
        <w:rPr>
          <w:rFonts w:hAnsi="宋体"/>
          <w:color w:val="000000"/>
          <w:sz w:val="24"/>
          <w:highlight w:val="none"/>
        </w:rPr>
        <w:t>深入解读国资国企改革有关文件精神，紧密围绕国家、省</w:t>
      </w:r>
      <w:r>
        <w:rPr>
          <w:rFonts w:hint="eastAsia" w:hAnsi="宋体"/>
          <w:color w:val="000000"/>
          <w:sz w:val="24"/>
          <w:highlight w:val="none"/>
        </w:rPr>
        <w:t>、市</w:t>
      </w:r>
      <w:r>
        <w:rPr>
          <w:rFonts w:hAnsi="宋体"/>
          <w:color w:val="000000"/>
          <w:sz w:val="24"/>
          <w:highlight w:val="none"/>
        </w:rPr>
        <w:t>重大战略和城市发展战略，基于</w:t>
      </w:r>
      <w:r>
        <w:rPr>
          <w:rFonts w:hint="eastAsia" w:hAnsi="宋体"/>
          <w:color w:val="000000"/>
          <w:sz w:val="24"/>
          <w:highlight w:val="none"/>
        </w:rPr>
        <w:t>青羊区</w:t>
      </w:r>
      <w:r>
        <w:rPr>
          <w:rFonts w:hAnsi="宋体"/>
          <w:color w:val="000000"/>
          <w:sz w:val="24"/>
          <w:highlight w:val="none"/>
        </w:rPr>
        <w:t>国有企业发展实际，明确新时期</w:t>
      </w:r>
      <w:r>
        <w:rPr>
          <w:rFonts w:hint="eastAsia" w:hAnsi="宋体"/>
          <w:color w:val="000000"/>
          <w:sz w:val="24"/>
          <w:highlight w:val="none"/>
        </w:rPr>
        <w:t>青羊区</w:t>
      </w:r>
      <w:r>
        <w:rPr>
          <w:rFonts w:hAnsi="宋体"/>
          <w:color w:val="000000"/>
          <w:sz w:val="24"/>
          <w:highlight w:val="none"/>
        </w:rPr>
        <w:t>国有企业的功能定位和职责使命，对影响</w:t>
      </w:r>
      <w:r>
        <w:rPr>
          <w:rFonts w:hint="eastAsia" w:hAnsi="宋体"/>
          <w:color w:val="000000"/>
          <w:sz w:val="24"/>
          <w:highlight w:val="none"/>
        </w:rPr>
        <w:t>青羊区</w:t>
      </w:r>
      <w:r>
        <w:rPr>
          <w:rFonts w:hAnsi="宋体"/>
          <w:color w:val="000000"/>
          <w:sz w:val="24"/>
          <w:highlight w:val="none"/>
        </w:rPr>
        <w:t>国资国企改革发展的重要因素</w:t>
      </w:r>
      <w:r>
        <w:rPr>
          <w:rFonts w:hint="eastAsia" w:hAnsi="宋体"/>
          <w:color w:val="000000"/>
          <w:sz w:val="24"/>
          <w:highlight w:val="none"/>
        </w:rPr>
        <w:t>，提炼重大问题和重点课题进行研究，</w:t>
      </w:r>
      <w:r>
        <w:rPr>
          <w:rFonts w:hAnsi="宋体"/>
          <w:color w:val="000000"/>
          <w:sz w:val="24"/>
          <w:highlight w:val="none"/>
        </w:rPr>
        <w:t>进行系统分析</w:t>
      </w:r>
      <w:r>
        <w:rPr>
          <w:rFonts w:hint="eastAsia" w:hAnsi="宋体"/>
          <w:color w:val="000000"/>
          <w:sz w:val="24"/>
          <w:highlight w:val="none"/>
        </w:rPr>
        <w:t>。</w:t>
      </w:r>
    </w:p>
    <w:p>
      <w:pPr>
        <w:spacing w:line="360" w:lineRule="auto"/>
        <w:ind w:firstLine="480" w:firstLineChars="200"/>
        <w:rPr>
          <w:rFonts w:hAnsi="宋体"/>
          <w:color w:val="000000"/>
          <w:sz w:val="24"/>
          <w:highlight w:val="none"/>
        </w:rPr>
      </w:pPr>
      <w:r>
        <w:rPr>
          <w:rFonts w:hAnsi="宋体"/>
          <w:color w:val="000000"/>
          <w:sz w:val="24"/>
          <w:highlight w:val="none"/>
        </w:rPr>
        <w:t>提出</w:t>
      </w:r>
      <w:r>
        <w:rPr>
          <w:rFonts w:hint="eastAsia" w:hAnsi="宋体"/>
          <w:color w:val="000000"/>
          <w:sz w:val="24"/>
          <w:highlight w:val="none"/>
        </w:rPr>
        <w:t>青羊区</w:t>
      </w:r>
      <w:r>
        <w:rPr>
          <w:rFonts w:hAnsi="宋体"/>
          <w:color w:val="000000"/>
          <w:sz w:val="24"/>
          <w:highlight w:val="none"/>
        </w:rPr>
        <w:t>国资国企改革发展的总体思路、发展目标、重点任务和关键举措，形成指导</w:t>
      </w:r>
      <w:r>
        <w:rPr>
          <w:rFonts w:hint="eastAsia" w:hAnsi="宋体"/>
          <w:color w:val="000000"/>
          <w:sz w:val="24"/>
          <w:highlight w:val="none"/>
        </w:rPr>
        <w:t>青羊区</w:t>
      </w:r>
      <w:r>
        <w:rPr>
          <w:rFonts w:hAnsi="宋体"/>
          <w:color w:val="000000"/>
          <w:sz w:val="24"/>
          <w:highlight w:val="none"/>
        </w:rPr>
        <w:t>国资国企工作的纲领性</w:t>
      </w:r>
      <w:r>
        <w:rPr>
          <w:rFonts w:hint="eastAsia" w:hAnsi="宋体"/>
          <w:color w:val="000000"/>
          <w:sz w:val="24"/>
          <w:highlight w:val="none"/>
        </w:rPr>
        <w:t>、指导性</w:t>
      </w:r>
      <w:r>
        <w:rPr>
          <w:rFonts w:hAnsi="宋体"/>
          <w:color w:val="000000"/>
          <w:sz w:val="24"/>
          <w:highlight w:val="none"/>
        </w:rPr>
        <w:t>文件，推动国有资本布局结构优化和资源高效配置，提高国有经济质量效益和整体功能。</w:t>
      </w:r>
    </w:p>
    <w:p>
      <w:pPr>
        <w:spacing w:line="360" w:lineRule="auto"/>
        <w:ind w:firstLine="540" w:firstLineChars="225"/>
        <w:rPr>
          <w:rFonts w:hAnsi="宋体"/>
          <w:color w:val="000000"/>
          <w:sz w:val="24"/>
          <w:highlight w:val="none"/>
        </w:rPr>
      </w:pPr>
      <w:r>
        <w:rPr>
          <w:rFonts w:hint="eastAsia" w:hAnsi="宋体"/>
          <w:color w:val="000000"/>
          <w:sz w:val="24"/>
          <w:highlight w:val="none"/>
        </w:rPr>
        <w:t>（一）编制</w:t>
      </w:r>
      <w:r>
        <w:rPr>
          <w:rFonts w:hAnsi="宋体"/>
          <w:color w:val="000000"/>
          <w:sz w:val="24"/>
          <w:highlight w:val="none"/>
        </w:rPr>
        <w:t>原则</w:t>
      </w:r>
    </w:p>
    <w:p>
      <w:pPr>
        <w:spacing w:line="360" w:lineRule="auto"/>
        <w:ind w:firstLine="540" w:firstLineChars="225"/>
        <w:rPr>
          <w:rFonts w:hAnsi="宋体"/>
          <w:color w:val="000000"/>
          <w:sz w:val="24"/>
          <w:highlight w:val="none"/>
        </w:rPr>
      </w:pPr>
      <w:r>
        <w:rPr>
          <w:rFonts w:hint="eastAsia" w:hAnsi="宋体"/>
          <w:color w:val="000000"/>
          <w:sz w:val="24"/>
          <w:highlight w:val="none"/>
        </w:rPr>
        <w:t>1.</w:t>
      </w:r>
      <w:r>
        <w:rPr>
          <w:rFonts w:hAnsi="宋体"/>
          <w:color w:val="000000"/>
          <w:sz w:val="24"/>
          <w:highlight w:val="none"/>
        </w:rPr>
        <w:t>坚持战略导向和问题导向相统一。“十四五”</w:t>
      </w:r>
      <w:r>
        <w:rPr>
          <w:rFonts w:hint="eastAsia" w:hAnsi="宋体"/>
          <w:color w:val="000000"/>
          <w:sz w:val="24"/>
          <w:highlight w:val="none"/>
        </w:rPr>
        <w:t>规划编制要紧扣青羊区区委区政府</w:t>
      </w:r>
      <w:r>
        <w:rPr>
          <w:rFonts w:hAnsi="宋体"/>
          <w:color w:val="000000"/>
          <w:sz w:val="24"/>
          <w:highlight w:val="none"/>
        </w:rPr>
        <w:t>“十四五”期间实现新作为、开创新局面的要求，</w:t>
      </w:r>
      <w:r>
        <w:rPr>
          <w:rFonts w:hint="eastAsia" w:hAnsi="宋体"/>
          <w:color w:val="000000"/>
          <w:sz w:val="24"/>
          <w:highlight w:val="none"/>
        </w:rPr>
        <w:t>落实</w:t>
      </w:r>
      <w:r>
        <w:rPr>
          <w:rFonts w:hAnsi="宋体"/>
          <w:color w:val="000000"/>
          <w:sz w:val="24"/>
          <w:highlight w:val="none"/>
        </w:rPr>
        <w:t>当前新形势下国资国企综合改革的工作要求</w:t>
      </w:r>
      <w:r>
        <w:rPr>
          <w:rFonts w:hint="eastAsia" w:hAnsi="宋体"/>
          <w:color w:val="000000"/>
          <w:sz w:val="24"/>
          <w:highlight w:val="none"/>
        </w:rPr>
        <w:t>；同时，要</w:t>
      </w:r>
      <w:r>
        <w:rPr>
          <w:rFonts w:hAnsi="宋体"/>
          <w:color w:val="000000"/>
          <w:sz w:val="24"/>
          <w:highlight w:val="none"/>
        </w:rPr>
        <w:t>立足</w:t>
      </w:r>
      <w:r>
        <w:rPr>
          <w:rFonts w:hint="eastAsia" w:hAnsi="宋体"/>
          <w:color w:val="000000"/>
          <w:sz w:val="24"/>
          <w:highlight w:val="none"/>
          <w:lang w:val="en-US" w:eastAsia="zh-CN"/>
        </w:rPr>
        <w:t>前期</w:t>
      </w:r>
      <w:r>
        <w:rPr>
          <w:rFonts w:hAnsi="宋体"/>
          <w:color w:val="000000"/>
          <w:sz w:val="24"/>
          <w:highlight w:val="none"/>
        </w:rPr>
        <w:t>发展基础，</w:t>
      </w:r>
      <w:r>
        <w:rPr>
          <w:rFonts w:hint="eastAsia" w:hAnsi="宋体"/>
          <w:color w:val="000000"/>
          <w:sz w:val="24"/>
          <w:highlight w:val="none"/>
        </w:rPr>
        <w:t>针对</w:t>
      </w:r>
      <w:r>
        <w:rPr>
          <w:rFonts w:hAnsi="宋体"/>
          <w:color w:val="000000"/>
          <w:sz w:val="24"/>
          <w:highlight w:val="none"/>
        </w:rPr>
        <w:t>问题短板，</w:t>
      </w:r>
      <w:r>
        <w:rPr>
          <w:rFonts w:hint="eastAsia" w:hAnsi="宋体"/>
          <w:color w:val="000000"/>
          <w:sz w:val="24"/>
          <w:highlight w:val="none"/>
        </w:rPr>
        <w:t>规划发展方向和路径，</w:t>
      </w:r>
      <w:r>
        <w:rPr>
          <w:rFonts w:hAnsi="宋体"/>
          <w:color w:val="000000"/>
          <w:sz w:val="24"/>
          <w:highlight w:val="none"/>
        </w:rPr>
        <w:t>抓重点</w:t>
      </w:r>
      <w:r>
        <w:rPr>
          <w:rFonts w:hint="eastAsia" w:hAnsi="宋体"/>
          <w:color w:val="000000"/>
          <w:sz w:val="24"/>
          <w:highlight w:val="none"/>
        </w:rPr>
        <w:t>、</w:t>
      </w:r>
      <w:r>
        <w:rPr>
          <w:rFonts w:hAnsi="宋体"/>
          <w:color w:val="000000"/>
          <w:sz w:val="24"/>
          <w:highlight w:val="none"/>
        </w:rPr>
        <w:t>补短板、强弱项，</w:t>
      </w:r>
      <w:r>
        <w:rPr>
          <w:rFonts w:hint="eastAsia" w:hAnsi="宋体"/>
          <w:color w:val="000000"/>
          <w:sz w:val="24"/>
          <w:highlight w:val="none"/>
        </w:rPr>
        <w:t>实现高质量发展</w:t>
      </w:r>
      <w:r>
        <w:rPr>
          <w:rFonts w:hAnsi="宋体"/>
          <w:color w:val="000000"/>
          <w:sz w:val="24"/>
          <w:highlight w:val="none"/>
        </w:rPr>
        <w:t>。</w:t>
      </w:r>
    </w:p>
    <w:p>
      <w:pPr>
        <w:spacing w:line="360" w:lineRule="auto"/>
        <w:ind w:firstLine="540" w:firstLineChars="225"/>
        <w:rPr>
          <w:rFonts w:hAnsi="宋体"/>
          <w:color w:val="000000"/>
          <w:sz w:val="24"/>
          <w:highlight w:val="none"/>
        </w:rPr>
      </w:pPr>
      <w:r>
        <w:rPr>
          <w:rFonts w:hint="eastAsia" w:hAnsi="宋体"/>
          <w:color w:val="000000"/>
          <w:sz w:val="24"/>
          <w:highlight w:val="none"/>
        </w:rPr>
        <w:t>2.坚持统筹推进</w:t>
      </w:r>
      <w:r>
        <w:rPr>
          <w:rFonts w:hAnsi="宋体"/>
          <w:color w:val="000000"/>
          <w:sz w:val="24"/>
          <w:highlight w:val="none"/>
        </w:rPr>
        <w:t>。“十四五”</w:t>
      </w:r>
      <w:r>
        <w:rPr>
          <w:rFonts w:hint="eastAsia" w:hAnsi="宋体"/>
          <w:color w:val="000000"/>
          <w:sz w:val="24"/>
          <w:highlight w:val="none"/>
        </w:rPr>
        <w:t>规划编制要在青羊区区委区政府的统一领导下实施。区国资局在</w:t>
      </w:r>
      <w:r>
        <w:rPr>
          <w:rFonts w:hAnsi="宋体"/>
          <w:color w:val="000000"/>
          <w:sz w:val="24"/>
          <w:highlight w:val="none"/>
        </w:rPr>
        <w:t>全面</w:t>
      </w:r>
      <w:r>
        <w:rPr>
          <w:rFonts w:hint="eastAsia" w:hAnsi="宋体"/>
          <w:color w:val="000000"/>
          <w:sz w:val="24"/>
          <w:highlight w:val="none"/>
        </w:rPr>
        <w:t>梳理分析全区</w:t>
      </w:r>
      <w:r>
        <w:rPr>
          <w:rFonts w:hAnsi="宋体"/>
          <w:color w:val="000000"/>
          <w:sz w:val="24"/>
          <w:highlight w:val="none"/>
        </w:rPr>
        <w:t>资源禀赋</w:t>
      </w:r>
      <w:r>
        <w:rPr>
          <w:rFonts w:hint="eastAsia" w:hAnsi="宋体"/>
          <w:color w:val="000000"/>
          <w:sz w:val="24"/>
          <w:highlight w:val="none"/>
        </w:rPr>
        <w:t>的基础上，统筹考虑全区国资国企改革发展，对“十四五”期间国资国企发展方向和路径提出顶层设计和安排。企业“十四五”战略规划原则上要在全区规划的框架内进行编制。</w:t>
      </w:r>
    </w:p>
    <w:p>
      <w:pPr>
        <w:spacing w:line="360" w:lineRule="auto"/>
        <w:ind w:firstLine="540" w:firstLineChars="225"/>
        <w:rPr>
          <w:rFonts w:hAnsi="宋体"/>
          <w:color w:val="000000"/>
          <w:sz w:val="24"/>
          <w:highlight w:val="none"/>
        </w:rPr>
      </w:pPr>
      <w:r>
        <w:rPr>
          <w:rFonts w:hint="eastAsia" w:hAnsi="宋体"/>
          <w:color w:val="000000"/>
          <w:sz w:val="24"/>
          <w:highlight w:val="none"/>
        </w:rPr>
        <w:t>3.坚持</w:t>
      </w:r>
      <w:r>
        <w:rPr>
          <w:rFonts w:hAnsi="宋体"/>
          <w:color w:val="000000"/>
          <w:sz w:val="24"/>
          <w:highlight w:val="none"/>
        </w:rPr>
        <w:t>科学</w:t>
      </w:r>
      <w:r>
        <w:rPr>
          <w:rFonts w:hint="eastAsia" w:hAnsi="宋体"/>
          <w:color w:val="000000"/>
          <w:sz w:val="24"/>
          <w:highlight w:val="none"/>
        </w:rPr>
        <w:t>规划</w:t>
      </w:r>
      <w:r>
        <w:rPr>
          <w:rFonts w:hAnsi="宋体"/>
          <w:color w:val="000000"/>
          <w:sz w:val="24"/>
          <w:highlight w:val="none"/>
        </w:rPr>
        <w:t>。</w:t>
      </w:r>
      <w:r>
        <w:rPr>
          <w:rFonts w:hint="eastAsia" w:hAnsi="宋体"/>
          <w:color w:val="000000"/>
          <w:sz w:val="24"/>
          <w:highlight w:val="none"/>
        </w:rPr>
        <w:t>用新思维、新方法、新技术引领</w:t>
      </w:r>
      <w:r>
        <w:rPr>
          <w:rFonts w:hAnsi="宋体"/>
          <w:color w:val="000000"/>
          <w:sz w:val="24"/>
          <w:highlight w:val="none"/>
        </w:rPr>
        <w:t>“十四五”</w:t>
      </w:r>
      <w:r>
        <w:rPr>
          <w:rFonts w:hint="eastAsia" w:hAnsi="宋体"/>
          <w:color w:val="000000"/>
          <w:sz w:val="24"/>
          <w:highlight w:val="none"/>
        </w:rPr>
        <w:t>规划编制；充分深入调研，在尊重企业实际的基础上，有针对性组织</w:t>
      </w:r>
      <w:r>
        <w:rPr>
          <w:rFonts w:hAnsi="宋体"/>
          <w:color w:val="000000"/>
          <w:sz w:val="24"/>
          <w:highlight w:val="none"/>
        </w:rPr>
        <w:t>“十四五”</w:t>
      </w:r>
      <w:r>
        <w:rPr>
          <w:rFonts w:hint="eastAsia" w:hAnsi="宋体"/>
          <w:color w:val="000000"/>
          <w:sz w:val="24"/>
          <w:highlight w:val="none"/>
        </w:rPr>
        <w:t>规划编制；</w:t>
      </w:r>
      <w:r>
        <w:rPr>
          <w:rFonts w:hAnsi="宋体"/>
          <w:color w:val="000000"/>
          <w:sz w:val="24"/>
          <w:highlight w:val="none"/>
        </w:rPr>
        <w:t>对发展目标描述和发展路径选择，</w:t>
      </w:r>
      <w:r>
        <w:rPr>
          <w:rFonts w:hint="eastAsia" w:hAnsi="宋体"/>
          <w:color w:val="000000"/>
          <w:sz w:val="24"/>
          <w:highlight w:val="none"/>
        </w:rPr>
        <w:t>要在摸清资源优势和问题短板的基础上提出，</w:t>
      </w:r>
      <w:r>
        <w:rPr>
          <w:rFonts w:hAnsi="宋体"/>
          <w:color w:val="000000"/>
          <w:sz w:val="24"/>
          <w:highlight w:val="none"/>
        </w:rPr>
        <w:t>强化量化分析和数据支撑</w:t>
      </w:r>
      <w:r>
        <w:rPr>
          <w:rFonts w:hint="eastAsia" w:hAnsi="宋体"/>
          <w:color w:val="000000"/>
          <w:sz w:val="24"/>
          <w:highlight w:val="none"/>
        </w:rPr>
        <w:t>，增强</w:t>
      </w:r>
      <w:r>
        <w:rPr>
          <w:rFonts w:hAnsi="宋体"/>
          <w:color w:val="000000"/>
          <w:sz w:val="24"/>
          <w:highlight w:val="none"/>
        </w:rPr>
        <w:t>“十四五”</w:t>
      </w:r>
      <w:r>
        <w:rPr>
          <w:rFonts w:hint="eastAsia" w:hAnsi="宋体"/>
          <w:color w:val="000000"/>
          <w:sz w:val="24"/>
          <w:highlight w:val="none"/>
        </w:rPr>
        <w:t>规划的可操作性以及可评价性</w:t>
      </w:r>
      <w:r>
        <w:rPr>
          <w:rFonts w:hAnsi="宋体"/>
          <w:color w:val="000000"/>
          <w:sz w:val="24"/>
          <w:highlight w:val="none"/>
        </w:rPr>
        <w:t>。</w:t>
      </w:r>
    </w:p>
    <w:p>
      <w:pPr>
        <w:spacing w:line="360" w:lineRule="auto"/>
        <w:ind w:firstLine="540" w:firstLineChars="225"/>
        <w:rPr>
          <w:rFonts w:hAnsi="宋体"/>
          <w:color w:val="000000"/>
          <w:sz w:val="24"/>
          <w:highlight w:val="none"/>
        </w:rPr>
      </w:pPr>
      <w:r>
        <w:rPr>
          <w:rFonts w:hint="eastAsia" w:hAnsi="宋体"/>
          <w:color w:val="000000"/>
          <w:sz w:val="24"/>
          <w:highlight w:val="none"/>
        </w:rPr>
        <w:t>（二）</w:t>
      </w:r>
      <w:r>
        <w:rPr>
          <w:rFonts w:hAnsi="宋体"/>
          <w:color w:val="000000"/>
          <w:sz w:val="24"/>
          <w:highlight w:val="none"/>
        </w:rPr>
        <w:t>主要任务</w:t>
      </w:r>
      <w:r>
        <w:rPr>
          <w:rFonts w:hint="eastAsia" w:hAnsi="宋体"/>
          <w:color w:val="000000"/>
          <w:sz w:val="24"/>
          <w:highlight w:val="none"/>
        </w:rPr>
        <w:t>目标</w:t>
      </w:r>
    </w:p>
    <w:p>
      <w:pPr>
        <w:spacing w:line="360" w:lineRule="auto"/>
        <w:ind w:firstLine="540" w:firstLineChars="225"/>
        <w:rPr>
          <w:rFonts w:hAnsi="宋体"/>
          <w:color w:val="000000"/>
          <w:sz w:val="24"/>
          <w:highlight w:val="none"/>
        </w:rPr>
      </w:pPr>
      <w:r>
        <w:rPr>
          <w:rFonts w:hint="eastAsia" w:hAnsi="宋体"/>
          <w:color w:val="000000"/>
          <w:sz w:val="24"/>
          <w:highlight w:val="none"/>
        </w:rPr>
        <w:t>1.</w:t>
      </w:r>
      <w:r>
        <w:rPr>
          <w:rFonts w:hAnsi="宋体"/>
          <w:color w:val="000000"/>
          <w:sz w:val="24"/>
          <w:highlight w:val="none"/>
        </w:rPr>
        <w:t>转变国资监管职能。</w:t>
      </w:r>
      <w:r>
        <w:rPr>
          <w:rFonts w:hint="eastAsia" w:hAnsi="宋体"/>
          <w:color w:val="000000"/>
          <w:sz w:val="24"/>
          <w:highlight w:val="none"/>
        </w:rPr>
        <w:t>优化</w:t>
      </w:r>
      <w:r>
        <w:rPr>
          <w:rFonts w:hAnsi="宋体"/>
          <w:color w:val="000000"/>
          <w:sz w:val="24"/>
          <w:highlight w:val="none"/>
        </w:rPr>
        <w:t>国资国企监管方式</w:t>
      </w:r>
      <w:r>
        <w:rPr>
          <w:rFonts w:hint="eastAsia" w:hAnsi="宋体"/>
          <w:color w:val="000000"/>
          <w:sz w:val="24"/>
          <w:highlight w:val="none"/>
        </w:rPr>
        <w:t>和手段</w:t>
      </w:r>
      <w:r>
        <w:rPr>
          <w:rFonts w:hAnsi="宋体"/>
          <w:color w:val="000000"/>
          <w:sz w:val="24"/>
          <w:highlight w:val="none"/>
        </w:rPr>
        <w:t>，逐步</w:t>
      </w:r>
      <w:r>
        <w:rPr>
          <w:rFonts w:hint="eastAsia" w:hAnsi="宋体"/>
          <w:color w:val="000000"/>
          <w:sz w:val="24"/>
          <w:highlight w:val="none"/>
        </w:rPr>
        <w:t>完善和</w:t>
      </w:r>
      <w:r>
        <w:rPr>
          <w:rFonts w:hAnsi="宋体"/>
          <w:color w:val="000000"/>
          <w:sz w:val="24"/>
          <w:highlight w:val="none"/>
        </w:rPr>
        <w:t>形成“管资本”为主的国资监管体系。</w:t>
      </w:r>
      <w:r>
        <w:rPr>
          <w:rFonts w:hint="eastAsia" w:hAnsi="宋体"/>
          <w:color w:val="000000"/>
          <w:sz w:val="24"/>
          <w:highlight w:val="none"/>
        </w:rPr>
        <w:t>建立健全投融资、资产、人员等企业经营管理各方面的国资监管制度，</w:t>
      </w:r>
      <w:r>
        <w:rPr>
          <w:rFonts w:hAnsi="宋体"/>
          <w:color w:val="000000"/>
          <w:sz w:val="24"/>
          <w:highlight w:val="none"/>
        </w:rPr>
        <w:t>完善以效率为导向的国资经营评价管理，增强</w:t>
      </w:r>
      <w:r>
        <w:rPr>
          <w:rFonts w:hint="eastAsia" w:hAnsi="宋体"/>
          <w:color w:val="000000"/>
          <w:sz w:val="24"/>
          <w:highlight w:val="none"/>
        </w:rPr>
        <w:t>科学</w:t>
      </w:r>
      <w:r>
        <w:rPr>
          <w:rFonts w:hAnsi="宋体"/>
          <w:color w:val="000000"/>
          <w:sz w:val="24"/>
          <w:highlight w:val="none"/>
        </w:rPr>
        <w:t>授权放权力度，</w:t>
      </w:r>
      <w:r>
        <w:rPr>
          <w:rFonts w:hint="eastAsia" w:hAnsi="宋体"/>
          <w:color w:val="000000"/>
          <w:sz w:val="24"/>
          <w:highlight w:val="none"/>
        </w:rPr>
        <w:t>优化企业考评方式</w:t>
      </w:r>
      <w:r>
        <w:rPr>
          <w:rFonts w:hAnsi="宋体"/>
          <w:color w:val="000000"/>
          <w:sz w:val="24"/>
          <w:highlight w:val="none"/>
        </w:rPr>
        <w:t>，</w:t>
      </w:r>
      <w:r>
        <w:rPr>
          <w:rFonts w:hint="eastAsia" w:hAnsi="宋体"/>
          <w:color w:val="000000"/>
          <w:sz w:val="24"/>
          <w:highlight w:val="none"/>
        </w:rPr>
        <w:t>进一步</w:t>
      </w:r>
      <w:r>
        <w:rPr>
          <w:rFonts w:hAnsi="宋体"/>
          <w:color w:val="000000"/>
          <w:sz w:val="24"/>
          <w:highlight w:val="none"/>
        </w:rPr>
        <w:t>厘清政府和企业权责边界，明确企业市场主体地位</w:t>
      </w:r>
      <w:r>
        <w:rPr>
          <w:rFonts w:hint="eastAsia" w:hAnsi="宋体"/>
          <w:color w:val="000000"/>
          <w:sz w:val="24"/>
          <w:highlight w:val="none"/>
        </w:rPr>
        <w:t>，释放企业经营管理活力</w:t>
      </w:r>
      <w:r>
        <w:rPr>
          <w:rFonts w:hAnsi="宋体"/>
          <w:color w:val="000000"/>
          <w:sz w:val="24"/>
          <w:highlight w:val="none"/>
        </w:rPr>
        <w:t>。</w:t>
      </w:r>
    </w:p>
    <w:p>
      <w:pPr>
        <w:spacing w:line="360" w:lineRule="auto"/>
        <w:ind w:firstLine="540" w:firstLineChars="225"/>
        <w:rPr>
          <w:rFonts w:hAnsi="宋体"/>
          <w:color w:val="000000"/>
          <w:sz w:val="24"/>
          <w:highlight w:val="none"/>
        </w:rPr>
      </w:pPr>
      <w:r>
        <w:rPr>
          <w:rFonts w:hint="eastAsia" w:hAnsi="宋体"/>
          <w:color w:val="000000"/>
          <w:sz w:val="24"/>
          <w:highlight w:val="none"/>
        </w:rPr>
        <w:t>2.</w:t>
      </w:r>
      <w:r>
        <w:rPr>
          <w:rFonts w:hAnsi="宋体"/>
          <w:color w:val="000000"/>
          <w:sz w:val="24"/>
          <w:highlight w:val="none"/>
        </w:rPr>
        <w:t>提升战略支撑能力、社会服务能力。</w:t>
      </w:r>
      <w:r>
        <w:rPr>
          <w:rFonts w:hint="eastAsia" w:hAnsi="宋体"/>
          <w:color w:val="000000"/>
          <w:sz w:val="24"/>
          <w:highlight w:val="none"/>
        </w:rPr>
        <w:t>围绕</w:t>
      </w:r>
      <w:r>
        <w:rPr>
          <w:rFonts w:hAnsi="宋体"/>
          <w:color w:val="000000"/>
          <w:sz w:val="24"/>
          <w:highlight w:val="none"/>
        </w:rPr>
        <w:t>“中优”</w:t>
      </w:r>
      <w:r>
        <w:rPr>
          <w:rFonts w:hint="eastAsia" w:hAnsi="宋体"/>
          <w:color w:val="000000"/>
          <w:sz w:val="24"/>
          <w:highlight w:val="none"/>
        </w:rPr>
        <w:t>发展</w:t>
      </w:r>
      <w:r>
        <w:rPr>
          <w:rFonts w:hAnsi="宋体"/>
          <w:color w:val="000000"/>
          <w:sz w:val="24"/>
          <w:highlight w:val="none"/>
        </w:rPr>
        <w:t>战略</w:t>
      </w:r>
      <w:r>
        <w:rPr>
          <w:rFonts w:hint="eastAsia" w:hAnsi="宋体"/>
          <w:color w:val="000000"/>
          <w:sz w:val="24"/>
          <w:highlight w:val="none"/>
        </w:rPr>
        <w:t>，持续实施“</w:t>
      </w:r>
      <w:r>
        <w:rPr>
          <w:rFonts w:hAnsi="宋体"/>
          <w:color w:val="000000"/>
          <w:sz w:val="24"/>
          <w:highlight w:val="none"/>
        </w:rPr>
        <w:t>双擎驱动</w:t>
      </w:r>
      <w:r>
        <w:rPr>
          <w:rFonts w:hint="eastAsia" w:hAnsi="宋体"/>
          <w:color w:val="000000"/>
          <w:sz w:val="24"/>
          <w:highlight w:val="none"/>
        </w:rPr>
        <w:t>”</w:t>
      </w:r>
      <w:r>
        <w:rPr>
          <w:rFonts w:hAnsi="宋体"/>
          <w:color w:val="000000"/>
          <w:sz w:val="24"/>
          <w:highlight w:val="none"/>
        </w:rPr>
        <w:t>发展，</w:t>
      </w:r>
      <w:r>
        <w:rPr>
          <w:rFonts w:hint="eastAsia" w:hAnsi="宋体"/>
          <w:color w:val="000000"/>
          <w:sz w:val="24"/>
          <w:highlight w:val="none"/>
        </w:rPr>
        <w:t>发挥企业在推动新城、源城一体化规划、一体化建设的支撑作用。</w:t>
      </w:r>
      <w:r>
        <w:rPr>
          <w:rFonts w:hAnsi="宋体"/>
          <w:color w:val="000000"/>
          <w:sz w:val="24"/>
          <w:highlight w:val="none"/>
        </w:rPr>
        <w:t>高质量实施“三个优先”、产业功能区建设、</w:t>
      </w:r>
      <w:r>
        <w:rPr>
          <w:rFonts w:hint="eastAsia" w:hAnsi="宋体"/>
          <w:color w:val="000000"/>
          <w:sz w:val="24"/>
          <w:highlight w:val="none"/>
        </w:rPr>
        <w:t>片区综合开发、</w:t>
      </w:r>
      <w:r>
        <w:rPr>
          <w:rFonts w:hAnsi="宋体"/>
          <w:color w:val="000000"/>
          <w:sz w:val="24"/>
          <w:highlight w:val="none"/>
        </w:rPr>
        <w:t>TOD</w:t>
      </w:r>
      <w:r>
        <w:rPr>
          <w:rFonts w:hint="eastAsia" w:hAnsi="宋体"/>
          <w:color w:val="000000"/>
          <w:sz w:val="24"/>
          <w:highlight w:val="none"/>
        </w:rPr>
        <w:t>综合开发</w:t>
      </w:r>
      <w:r>
        <w:rPr>
          <w:rFonts w:hAnsi="宋体"/>
          <w:color w:val="000000"/>
          <w:sz w:val="24"/>
          <w:highlight w:val="none"/>
        </w:rPr>
        <w:t>等战略性项目，</w:t>
      </w:r>
      <w:r>
        <w:rPr>
          <w:rFonts w:hint="eastAsia" w:hAnsi="宋体"/>
          <w:color w:val="000000"/>
          <w:sz w:val="24"/>
          <w:highlight w:val="none"/>
        </w:rPr>
        <w:t>构建产城融合、职住平衡的城市新空间，落实</w:t>
      </w:r>
      <w:r>
        <w:rPr>
          <w:rFonts w:hAnsi="宋体"/>
          <w:color w:val="000000"/>
          <w:sz w:val="24"/>
          <w:highlight w:val="none"/>
        </w:rPr>
        <w:t>企业</w:t>
      </w:r>
      <w:r>
        <w:rPr>
          <w:rFonts w:hint="eastAsia" w:hAnsi="宋体"/>
          <w:color w:val="000000"/>
          <w:sz w:val="24"/>
          <w:highlight w:val="none"/>
        </w:rPr>
        <w:t>在</w:t>
      </w:r>
      <w:r>
        <w:rPr>
          <w:rFonts w:hAnsi="宋体"/>
          <w:color w:val="000000"/>
          <w:sz w:val="24"/>
          <w:highlight w:val="none"/>
        </w:rPr>
        <w:t>提升城市品质、服务民生、维护社会稳定、促进区域发展</w:t>
      </w:r>
      <w:r>
        <w:rPr>
          <w:rFonts w:hint="eastAsia" w:hAnsi="宋体"/>
          <w:color w:val="000000"/>
          <w:sz w:val="24"/>
          <w:highlight w:val="none"/>
        </w:rPr>
        <w:t>中的责任和担当。</w:t>
      </w:r>
    </w:p>
    <w:p>
      <w:pPr>
        <w:spacing w:line="360" w:lineRule="auto"/>
        <w:ind w:firstLine="540" w:firstLineChars="225"/>
        <w:rPr>
          <w:rFonts w:hAnsi="宋体"/>
          <w:color w:val="000000"/>
          <w:sz w:val="24"/>
          <w:highlight w:val="none"/>
        </w:rPr>
      </w:pPr>
      <w:r>
        <w:rPr>
          <w:rFonts w:hint="eastAsia" w:hAnsi="宋体"/>
          <w:color w:val="000000"/>
          <w:sz w:val="24"/>
          <w:highlight w:val="none"/>
        </w:rPr>
        <w:t>3.提升市场经营能力及专业运作能力</w:t>
      </w:r>
      <w:r>
        <w:rPr>
          <w:rFonts w:hAnsi="宋体"/>
          <w:color w:val="000000"/>
          <w:sz w:val="24"/>
          <w:highlight w:val="none"/>
        </w:rPr>
        <w:t>。理顺企业股权关系，优化国有资本布局和结构，明确企业</w:t>
      </w:r>
      <w:r>
        <w:rPr>
          <w:rFonts w:hint="eastAsia" w:hAnsi="宋体"/>
          <w:color w:val="000000"/>
          <w:sz w:val="24"/>
          <w:highlight w:val="none"/>
        </w:rPr>
        <w:t>主业板块和范围；突出企业市场化主体地位，</w:t>
      </w:r>
      <w:r>
        <w:rPr>
          <w:rFonts w:hAnsi="宋体"/>
          <w:color w:val="000000"/>
          <w:sz w:val="24"/>
          <w:highlight w:val="none"/>
        </w:rPr>
        <w:t>推动企业</w:t>
      </w:r>
      <w:r>
        <w:rPr>
          <w:rFonts w:hint="eastAsia" w:hAnsi="宋体"/>
          <w:color w:val="000000"/>
          <w:sz w:val="24"/>
          <w:highlight w:val="none"/>
        </w:rPr>
        <w:t>运</w:t>
      </w:r>
      <w:r>
        <w:rPr>
          <w:rFonts w:hAnsi="宋体"/>
          <w:color w:val="000000"/>
          <w:sz w:val="24"/>
          <w:highlight w:val="none"/>
        </w:rPr>
        <w:t>用市场化思维、商业化逻辑、专业化人才，</w:t>
      </w:r>
      <w:r>
        <w:rPr>
          <w:rFonts w:hint="eastAsia" w:hAnsi="宋体"/>
          <w:color w:val="000000"/>
          <w:sz w:val="24"/>
          <w:highlight w:val="none"/>
        </w:rPr>
        <w:t>以</w:t>
      </w:r>
      <w:r>
        <w:rPr>
          <w:rFonts w:hAnsi="宋体"/>
          <w:color w:val="000000"/>
          <w:sz w:val="24"/>
          <w:highlight w:val="none"/>
        </w:rPr>
        <w:t>成渝地区双城经济圈建设、成德眉资同城化发展</w:t>
      </w:r>
      <w:r>
        <w:rPr>
          <w:rFonts w:hint="eastAsia" w:hAnsi="宋体"/>
          <w:color w:val="000000"/>
          <w:sz w:val="24"/>
          <w:highlight w:val="none"/>
        </w:rPr>
        <w:t>为</w:t>
      </w:r>
      <w:r>
        <w:rPr>
          <w:rFonts w:hAnsi="宋体"/>
          <w:color w:val="000000"/>
          <w:sz w:val="24"/>
          <w:highlight w:val="none"/>
        </w:rPr>
        <w:t>契机，</w:t>
      </w:r>
      <w:r>
        <w:rPr>
          <w:rFonts w:hint="eastAsia" w:hAnsi="宋体"/>
          <w:color w:val="000000"/>
          <w:sz w:val="24"/>
          <w:highlight w:val="none"/>
        </w:rPr>
        <w:t>聚焦主业竞争力增强和盈利水平提升，推动国有资本向主业集聚、向主业上下游延伸</w:t>
      </w:r>
      <w:r>
        <w:rPr>
          <w:rFonts w:hAnsi="宋体"/>
          <w:color w:val="000000"/>
          <w:sz w:val="24"/>
          <w:highlight w:val="none"/>
        </w:rPr>
        <w:t>，</w:t>
      </w:r>
      <w:r>
        <w:rPr>
          <w:rFonts w:hint="eastAsia" w:hAnsi="宋体"/>
          <w:color w:val="000000"/>
          <w:sz w:val="24"/>
          <w:highlight w:val="none"/>
        </w:rPr>
        <w:t>以</w:t>
      </w:r>
      <w:r>
        <w:rPr>
          <w:rFonts w:hAnsi="宋体"/>
          <w:color w:val="000000"/>
          <w:sz w:val="24"/>
          <w:highlight w:val="none"/>
        </w:rPr>
        <w:t>市场化</w:t>
      </w:r>
      <w:r>
        <w:rPr>
          <w:rFonts w:hint="eastAsia" w:hAnsi="宋体"/>
          <w:color w:val="000000"/>
          <w:sz w:val="24"/>
          <w:highlight w:val="none"/>
        </w:rPr>
        <w:t>方式参与</w:t>
      </w:r>
      <w:r>
        <w:rPr>
          <w:rFonts w:hAnsi="宋体"/>
          <w:color w:val="000000"/>
          <w:sz w:val="24"/>
          <w:highlight w:val="none"/>
        </w:rPr>
        <w:t>要素和资源配置，</w:t>
      </w:r>
      <w:r>
        <w:rPr>
          <w:rFonts w:hint="eastAsia" w:hAnsi="宋体"/>
          <w:color w:val="000000"/>
          <w:sz w:val="24"/>
          <w:highlight w:val="none"/>
        </w:rPr>
        <w:t>成为</w:t>
      </w:r>
      <w:r>
        <w:rPr>
          <w:rFonts w:hAnsi="宋体"/>
          <w:color w:val="000000"/>
          <w:sz w:val="24"/>
          <w:highlight w:val="none"/>
        </w:rPr>
        <w:t>自负盈亏、自担风险</w:t>
      </w:r>
      <w:r>
        <w:rPr>
          <w:rFonts w:hint="eastAsia" w:hAnsi="宋体"/>
          <w:color w:val="000000"/>
          <w:sz w:val="24"/>
          <w:highlight w:val="none"/>
        </w:rPr>
        <w:t>的市场主体</w:t>
      </w:r>
      <w:r>
        <w:rPr>
          <w:rFonts w:hAnsi="宋体"/>
          <w:color w:val="000000"/>
          <w:sz w:val="24"/>
          <w:highlight w:val="none"/>
        </w:rPr>
        <w:t>。</w:t>
      </w:r>
    </w:p>
    <w:p>
      <w:pPr>
        <w:spacing w:line="360" w:lineRule="auto"/>
        <w:ind w:firstLine="540" w:firstLineChars="225"/>
        <w:rPr>
          <w:rFonts w:hAnsi="宋体"/>
          <w:color w:val="000000"/>
          <w:sz w:val="24"/>
          <w:highlight w:val="none"/>
        </w:rPr>
      </w:pPr>
      <w:r>
        <w:rPr>
          <w:rFonts w:hint="eastAsia" w:hAnsi="宋体"/>
          <w:color w:val="000000"/>
          <w:sz w:val="24"/>
          <w:highlight w:val="none"/>
        </w:rPr>
        <w:t>4.</w:t>
      </w:r>
      <w:r>
        <w:rPr>
          <w:rFonts w:hAnsi="宋体"/>
          <w:color w:val="000000"/>
          <w:sz w:val="24"/>
          <w:highlight w:val="none"/>
        </w:rPr>
        <w:t>提升资本运营能力。分层分类推行“资本证券化”战略。利用国内外多层次的资本市场，“资产证券化”</w:t>
      </w:r>
      <w:r>
        <w:rPr>
          <w:rFonts w:hint="eastAsia" w:hAnsi="宋体"/>
          <w:color w:val="000000"/>
          <w:sz w:val="24"/>
          <w:highlight w:val="none"/>
        </w:rPr>
        <w:t>、</w:t>
      </w:r>
      <w:r>
        <w:rPr>
          <w:rFonts w:hAnsi="宋体"/>
          <w:color w:val="000000"/>
          <w:sz w:val="24"/>
          <w:highlight w:val="none"/>
        </w:rPr>
        <w:t>“混改”</w:t>
      </w:r>
      <w:r>
        <w:rPr>
          <w:rFonts w:hint="eastAsia" w:hAnsi="宋体"/>
          <w:color w:val="000000"/>
          <w:sz w:val="24"/>
          <w:highlight w:val="none"/>
        </w:rPr>
        <w:t>、</w:t>
      </w:r>
      <w:r>
        <w:rPr>
          <w:rFonts w:hAnsi="宋体"/>
          <w:color w:val="000000"/>
          <w:sz w:val="24"/>
          <w:highlight w:val="none"/>
        </w:rPr>
        <w:t>“借壳重组”</w:t>
      </w:r>
      <w:r>
        <w:rPr>
          <w:rFonts w:hint="eastAsia" w:hAnsi="宋体"/>
          <w:color w:val="000000"/>
          <w:sz w:val="24"/>
          <w:highlight w:val="none"/>
        </w:rPr>
        <w:t>、</w:t>
      </w:r>
      <w:r>
        <w:rPr>
          <w:rFonts w:hAnsi="宋体"/>
          <w:color w:val="000000"/>
          <w:sz w:val="24"/>
          <w:highlight w:val="none"/>
        </w:rPr>
        <w:t>“IPO发行”</w:t>
      </w:r>
      <w:r>
        <w:rPr>
          <w:rFonts w:hint="eastAsia" w:hAnsi="宋体"/>
          <w:color w:val="000000"/>
          <w:sz w:val="24"/>
          <w:highlight w:val="none"/>
        </w:rPr>
        <w:t>，探索设立国有资本投资、运营公司进行市场化投资</w:t>
      </w:r>
      <w:r>
        <w:rPr>
          <w:rFonts w:hAnsi="宋体"/>
          <w:color w:val="000000"/>
          <w:sz w:val="24"/>
          <w:highlight w:val="none"/>
        </w:rPr>
        <w:t>等多措并举，在总体风险可控的前提下，不断盘活、放大国有资本，实现资本保值增值。</w:t>
      </w:r>
    </w:p>
    <w:p>
      <w:pPr>
        <w:spacing w:line="360" w:lineRule="auto"/>
        <w:ind w:firstLine="540" w:firstLineChars="225"/>
        <w:rPr>
          <w:rFonts w:hAnsi="宋体"/>
          <w:color w:val="000000"/>
          <w:sz w:val="24"/>
          <w:highlight w:val="none"/>
        </w:rPr>
      </w:pPr>
      <w:r>
        <w:rPr>
          <w:rFonts w:hint="eastAsia" w:hAnsi="宋体"/>
          <w:color w:val="000000"/>
          <w:sz w:val="24"/>
          <w:highlight w:val="none"/>
        </w:rPr>
        <w:t>5.</w:t>
      </w:r>
      <w:r>
        <w:rPr>
          <w:rFonts w:hAnsi="宋体"/>
          <w:color w:val="000000"/>
          <w:sz w:val="24"/>
          <w:highlight w:val="none"/>
        </w:rPr>
        <w:t>提升现代治理能力。依法落实出资人有限责任，强化企业独立法人地位</w:t>
      </w:r>
      <w:r>
        <w:rPr>
          <w:rFonts w:hint="eastAsia" w:hAnsi="宋体"/>
          <w:color w:val="000000"/>
          <w:sz w:val="24"/>
          <w:highlight w:val="none"/>
        </w:rPr>
        <w:t>；完善企业法人治理结构，各部分各司其职、各负其责、协调运转、有效制衡的现代企业治理体系；</w:t>
      </w:r>
      <w:r>
        <w:rPr>
          <w:rFonts w:hAnsi="宋体"/>
          <w:color w:val="000000"/>
          <w:sz w:val="24"/>
          <w:highlight w:val="none"/>
        </w:rPr>
        <w:t>健全以企业章程为基础的其他内部制度体系，强化</w:t>
      </w:r>
      <w:r>
        <w:rPr>
          <w:rFonts w:hint="eastAsia" w:hAnsi="宋体"/>
          <w:color w:val="000000"/>
          <w:sz w:val="24"/>
          <w:highlight w:val="none"/>
        </w:rPr>
        <w:t>内部</w:t>
      </w:r>
      <w:r>
        <w:rPr>
          <w:rFonts w:hAnsi="宋体"/>
          <w:color w:val="000000"/>
          <w:sz w:val="24"/>
          <w:highlight w:val="none"/>
        </w:rPr>
        <w:t>制度执行和监督</w:t>
      </w:r>
      <w:r>
        <w:rPr>
          <w:rFonts w:hint="eastAsia" w:hAnsi="宋体"/>
          <w:color w:val="000000"/>
          <w:sz w:val="24"/>
          <w:highlight w:val="none"/>
        </w:rPr>
        <w:t>，</w:t>
      </w:r>
      <w:r>
        <w:rPr>
          <w:rFonts w:hAnsi="宋体"/>
          <w:color w:val="000000"/>
          <w:sz w:val="24"/>
          <w:highlight w:val="none"/>
        </w:rPr>
        <w:t>推动中国特色现代化企业制度的建立。</w:t>
      </w:r>
    </w:p>
    <w:p>
      <w:pPr>
        <w:spacing w:line="360" w:lineRule="auto"/>
        <w:ind w:firstLine="540" w:firstLineChars="225"/>
        <w:rPr>
          <w:rFonts w:hAnsi="宋体"/>
          <w:color w:val="000000"/>
          <w:sz w:val="24"/>
          <w:highlight w:val="none"/>
        </w:rPr>
      </w:pPr>
      <w:r>
        <w:rPr>
          <w:rFonts w:hint="eastAsia" w:hAnsi="宋体"/>
          <w:color w:val="000000"/>
          <w:sz w:val="24"/>
          <w:highlight w:val="none"/>
        </w:rPr>
        <w:t>6.</w:t>
      </w:r>
      <w:r>
        <w:rPr>
          <w:rFonts w:hAnsi="宋体"/>
          <w:color w:val="000000"/>
          <w:sz w:val="24"/>
          <w:highlight w:val="none"/>
        </w:rPr>
        <w:t>提升党建工作水平。坚持和加强党对企业的全面领导，</w:t>
      </w:r>
      <w:r>
        <w:rPr>
          <w:rFonts w:hint="eastAsia" w:hAnsi="宋体"/>
          <w:color w:val="000000"/>
          <w:sz w:val="24"/>
          <w:highlight w:val="none"/>
        </w:rPr>
        <w:t>推动党委全面融入公司治理。</w:t>
      </w:r>
      <w:r>
        <w:rPr>
          <w:rFonts w:hAnsi="宋体"/>
          <w:color w:val="000000"/>
          <w:sz w:val="24"/>
          <w:highlight w:val="none"/>
        </w:rPr>
        <w:t>加强企业党组织建设指导，配齐配强党组织力量</w:t>
      </w:r>
      <w:r>
        <w:rPr>
          <w:rFonts w:hint="eastAsia" w:hAnsi="宋体"/>
          <w:color w:val="000000"/>
          <w:sz w:val="24"/>
          <w:highlight w:val="none"/>
        </w:rPr>
        <w:t>，厘清党组织与其他治理主体的权责边界，</w:t>
      </w:r>
      <w:r>
        <w:rPr>
          <w:rFonts w:hAnsi="宋体"/>
          <w:color w:val="000000"/>
          <w:sz w:val="24"/>
          <w:highlight w:val="none"/>
        </w:rPr>
        <w:t>发挥党组织把方向、管大局、保落实的作用。</w:t>
      </w:r>
    </w:p>
    <w:p>
      <w:pPr>
        <w:spacing w:line="360" w:lineRule="auto"/>
        <w:ind w:firstLine="540" w:firstLineChars="225"/>
        <w:rPr>
          <w:rFonts w:hAnsi="宋体"/>
          <w:color w:val="000000"/>
          <w:sz w:val="24"/>
          <w:highlight w:val="none"/>
        </w:rPr>
      </w:pPr>
      <w:r>
        <w:rPr>
          <w:rFonts w:hint="eastAsia" w:hAnsi="宋体"/>
          <w:color w:val="000000"/>
          <w:sz w:val="24"/>
          <w:highlight w:val="none"/>
        </w:rPr>
        <w:t>五、</w:t>
      </w:r>
      <w:r>
        <w:rPr>
          <w:rFonts w:hAnsi="宋体"/>
          <w:color w:val="000000"/>
          <w:sz w:val="24"/>
          <w:highlight w:val="none"/>
        </w:rPr>
        <w:t>工作</w:t>
      </w:r>
      <w:r>
        <w:rPr>
          <w:rFonts w:hint="eastAsia" w:hAnsi="宋体"/>
          <w:color w:val="000000"/>
          <w:sz w:val="24"/>
          <w:highlight w:val="none"/>
        </w:rPr>
        <w:t>任务要求</w:t>
      </w:r>
    </w:p>
    <w:p>
      <w:pPr>
        <w:spacing w:line="360" w:lineRule="auto"/>
        <w:ind w:firstLine="540" w:firstLineChars="225"/>
        <w:rPr>
          <w:rFonts w:hAnsi="宋体"/>
          <w:color w:val="000000"/>
          <w:sz w:val="24"/>
          <w:highlight w:val="none"/>
        </w:rPr>
      </w:pPr>
      <w:r>
        <w:rPr>
          <w:rFonts w:hAnsi="宋体"/>
          <w:color w:val="000000"/>
          <w:sz w:val="24"/>
          <w:highlight w:val="none"/>
        </w:rPr>
        <w:t>“十四五”规划编制工作分为研究筹备、编制起草</w:t>
      </w:r>
      <w:r>
        <w:rPr>
          <w:rFonts w:hint="eastAsia" w:hAnsi="宋体"/>
          <w:color w:val="000000"/>
          <w:sz w:val="24"/>
          <w:highlight w:val="none"/>
        </w:rPr>
        <w:t>、</w:t>
      </w:r>
      <w:r>
        <w:rPr>
          <w:rFonts w:hAnsi="宋体"/>
          <w:color w:val="000000"/>
          <w:sz w:val="24"/>
          <w:highlight w:val="none"/>
        </w:rPr>
        <w:t>提请审议</w:t>
      </w:r>
      <w:r>
        <w:rPr>
          <w:rFonts w:hint="eastAsia" w:hAnsi="宋体"/>
          <w:color w:val="000000"/>
          <w:sz w:val="24"/>
          <w:highlight w:val="none"/>
        </w:rPr>
        <w:t>及指导实施等四</w:t>
      </w:r>
      <w:r>
        <w:rPr>
          <w:rFonts w:hAnsi="宋体"/>
          <w:color w:val="000000"/>
          <w:sz w:val="24"/>
          <w:highlight w:val="none"/>
        </w:rPr>
        <w:t>个阶段，具体任务如下。</w:t>
      </w:r>
    </w:p>
    <w:p>
      <w:pPr>
        <w:spacing w:line="360" w:lineRule="auto"/>
        <w:ind w:firstLine="540" w:firstLineChars="225"/>
        <w:rPr>
          <w:rFonts w:hAnsi="宋体"/>
          <w:color w:val="000000"/>
          <w:sz w:val="24"/>
          <w:highlight w:val="none"/>
        </w:rPr>
      </w:pPr>
      <w:r>
        <w:rPr>
          <w:rFonts w:hint="eastAsia" w:hAnsi="宋体"/>
          <w:color w:val="000000"/>
          <w:sz w:val="24"/>
          <w:highlight w:val="none"/>
        </w:rPr>
        <w:t>（一）</w:t>
      </w:r>
      <w:r>
        <w:rPr>
          <w:rFonts w:hAnsi="宋体"/>
          <w:color w:val="000000"/>
          <w:sz w:val="24"/>
          <w:highlight w:val="none"/>
        </w:rPr>
        <w:t>研究筹备。</w:t>
      </w:r>
    </w:p>
    <w:p>
      <w:pPr>
        <w:spacing w:line="360" w:lineRule="auto"/>
        <w:ind w:firstLine="540" w:firstLineChars="225"/>
        <w:rPr>
          <w:rFonts w:hAnsi="宋体"/>
          <w:color w:val="000000"/>
          <w:sz w:val="24"/>
          <w:highlight w:val="none"/>
        </w:rPr>
      </w:pPr>
      <w:r>
        <w:rPr>
          <w:rFonts w:hint="eastAsia" w:hAnsi="宋体"/>
          <w:color w:val="000000"/>
          <w:sz w:val="24"/>
          <w:highlight w:val="none"/>
        </w:rPr>
        <w:t>1. 动员部署。根据区国资局的工作安排，参加动员部署会，对“十四五”规划编制工作进行动员，配合区国资局对相关工作安排和要求进行宣传和部署，并提供必要的培训。</w:t>
      </w:r>
    </w:p>
    <w:p>
      <w:pPr>
        <w:spacing w:line="360" w:lineRule="auto"/>
        <w:ind w:firstLine="540" w:firstLineChars="225"/>
        <w:rPr>
          <w:rFonts w:hAnsi="宋体"/>
          <w:color w:val="000000"/>
          <w:sz w:val="24"/>
          <w:highlight w:val="none"/>
        </w:rPr>
      </w:pPr>
      <w:r>
        <w:rPr>
          <w:rFonts w:hint="eastAsia" w:hAnsi="宋体"/>
          <w:color w:val="000000"/>
          <w:sz w:val="24"/>
          <w:highlight w:val="none"/>
        </w:rPr>
        <w:t>2. 深入调研。对</w:t>
      </w:r>
      <w:r>
        <w:rPr>
          <w:rFonts w:hAnsi="宋体"/>
          <w:color w:val="000000"/>
          <w:sz w:val="24"/>
          <w:highlight w:val="none"/>
        </w:rPr>
        <w:t>重点关键人员访谈</w:t>
      </w:r>
      <w:r>
        <w:rPr>
          <w:rFonts w:hint="eastAsia" w:hAnsi="宋体"/>
          <w:color w:val="000000"/>
          <w:sz w:val="24"/>
          <w:highlight w:val="none"/>
        </w:rPr>
        <w:t>、实地走访</w:t>
      </w:r>
      <w:r>
        <w:rPr>
          <w:rFonts w:hAnsi="宋体"/>
          <w:color w:val="000000"/>
          <w:sz w:val="24"/>
          <w:highlight w:val="none"/>
        </w:rPr>
        <w:t>收集相关资料</w:t>
      </w:r>
      <w:r>
        <w:rPr>
          <w:rFonts w:hint="eastAsia" w:hAnsi="宋体"/>
          <w:color w:val="000000"/>
          <w:sz w:val="24"/>
          <w:highlight w:val="none"/>
        </w:rPr>
        <w:t>等方式开展</w:t>
      </w:r>
      <w:r>
        <w:rPr>
          <w:rFonts w:hAnsi="宋体"/>
          <w:color w:val="000000"/>
          <w:sz w:val="24"/>
          <w:highlight w:val="none"/>
        </w:rPr>
        <w:t>全面深度调研，</w:t>
      </w:r>
      <w:r>
        <w:rPr>
          <w:rFonts w:hint="eastAsia" w:hAnsi="宋体"/>
          <w:color w:val="000000"/>
          <w:sz w:val="24"/>
          <w:highlight w:val="none"/>
        </w:rPr>
        <w:t>找出企业发展短板、弱项，</w:t>
      </w:r>
      <w:r>
        <w:rPr>
          <w:rFonts w:hAnsi="宋体"/>
          <w:color w:val="000000"/>
          <w:sz w:val="24"/>
          <w:highlight w:val="none"/>
        </w:rPr>
        <w:t>深入梳理</w:t>
      </w:r>
      <w:r>
        <w:rPr>
          <w:rFonts w:hint="eastAsia" w:hAnsi="宋体"/>
          <w:color w:val="000000"/>
          <w:sz w:val="24"/>
          <w:highlight w:val="none"/>
        </w:rPr>
        <w:t>全区</w:t>
      </w:r>
      <w:r>
        <w:rPr>
          <w:rFonts w:hAnsi="宋体"/>
          <w:color w:val="000000"/>
          <w:sz w:val="24"/>
          <w:highlight w:val="none"/>
        </w:rPr>
        <w:t>资源禀赋，确定</w:t>
      </w:r>
      <w:r>
        <w:rPr>
          <w:rFonts w:hint="eastAsia" w:hAnsi="宋体"/>
          <w:color w:val="000000"/>
          <w:sz w:val="24"/>
          <w:highlight w:val="none"/>
        </w:rPr>
        <w:t>“</w:t>
      </w:r>
      <w:r>
        <w:rPr>
          <w:rFonts w:hAnsi="宋体"/>
          <w:color w:val="000000"/>
          <w:sz w:val="24"/>
          <w:highlight w:val="none"/>
        </w:rPr>
        <w:t>十四五</w:t>
      </w:r>
      <w:r>
        <w:rPr>
          <w:rFonts w:hint="eastAsia" w:hAnsi="宋体"/>
          <w:color w:val="000000"/>
          <w:sz w:val="24"/>
          <w:highlight w:val="none"/>
        </w:rPr>
        <w:t>”</w:t>
      </w:r>
      <w:r>
        <w:rPr>
          <w:rFonts w:hAnsi="宋体"/>
          <w:color w:val="000000"/>
          <w:sz w:val="24"/>
          <w:highlight w:val="none"/>
        </w:rPr>
        <w:t>规划编制的重点方向和基本思路。</w:t>
      </w:r>
    </w:p>
    <w:p>
      <w:pPr>
        <w:spacing w:line="360" w:lineRule="auto"/>
        <w:ind w:firstLine="540" w:firstLineChars="225"/>
        <w:rPr>
          <w:rFonts w:hAnsi="宋体"/>
          <w:color w:val="000000"/>
          <w:sz w:val="24"/>
          <w:highlight w:val="none"/>
        </w:rPr>
      </w:pPr>
      <w:r>
        <w:rPr>
          <w:rFonts w:hAnsi="宋体"/>
          <w:color w:val="000000"/>
          <w:sz w:val="24"/>
          <w:highlight w:val="none"/>
        </w:rPr>
        <w:t>（</w:t>
      </w:r>
      <w:r>
        <w:rPr>
          <w:rFonts w:hint="eastAsia" w:hAnsi="宋体"/>
          <w:color w:val="000000"/>
          <w:sz w:val="24"/>
          <w:highlight w:val="none"/>
        </w:rPr>
        <w:t>二</w:t>
      </w:r>
      <w:r>
        <w:rPr>
          <w:rFonts w:hAnsi="宋体"/>
          <w:color w:val="000000"/>
          <w:sz w:val="24"/>
          <w:highlight w:val="none"/>
        </w:rPr>
        <w:t>）编制起草。</w:t>
      </w:r>
    </w:p>
    <w:p>
      <w:pPr>
        <w:spacing w:line="360" w:lineRule="auto"/>
        <w:ind w:firstLine="540" w:firstLineChars="225"/>
        <w:rPr>
          <w:rFonts w:hAnsi="宋体"/>
          <w:color w:val="000000"/>
          <w:sz w:val="24"/>
          <w:highlight w:val="none"/>
        </w:rPr>
      </w:pPr>
      <w:r>
        <w:rPr>
          <w:rFonts w:hint="eastAsia" w:hAnsi="宋体"/>
          <w:color w:val="000000"/>
          <w:sz w:val="24"/>
          <w:highlight w:val="none"/>
        </w:rPr>
        <w:t>3. 形成策略建议。充分调研，结合全区发展战略规划，</w:t>
      </w:r>
      <w:r>
        <w:rPr>
          <w:rFonts w:hAnsi="宋体"/>
          <w:color w:val="000000"/>
          <w:sz w:val="24"/>
          <w:highlight w:val="none"/>
        </w:rPr>
        <w:t>形成调研报告和</w:t>
      </w:r>
      <w:r>
        <w:rPr>
          <w:rFonts w:hint="eastAsia" w:hAnsi="宋体"/>
          <w:color w:val="000000"/>
          <w:sz w:val="24"/>
          <w:highlight w:val="none"/>
        </w:rPr>
        <w:t>“</w:t>
      </w:r>
      <w:r>
        <w:rPr>
          <w:rFonts w:hAnsi="宋体"/>
          <w:color w:val="000000"/>
          <w:sz w:val="24"/>
          <w:highlight w:val="none"/>
        </w:rPr>
        <w:t>十四五</w:t>
      </w:r>
      <w:r>
        <w:rPr>
          <w:rFonts w:hint="eastAsia" w:hAnsi="宋体"/>
          <w:color w:val="000000"/>
          <w:sz w:val="24"/>
          <w:highlight w:val="none"/>
        </w:rPr>
        <w:t>”</w:t>
      </w:r>
      <w:r>
        <w:rPr>
          <w:rFonts w:hAnsi="宋体"/>
          <w:color w:val="000000"/>
          <w:sz w:val="24"/>
          <w:highlight w:val="none"/>
        </w:rPr>
        <w:t>规划策略建议</w:t>
      </w:r>
      <w:r>
        <w:rPr>
          <w:rFonts w:hint="eastAsia" w:hAnsi="宋体"/>
          <w:color w:val="000000"/>
          <w:sz w:val="24"/>
          <w:highlight w:val="none"/>
        </w:rPr>
        <w:t>。组织内部专家对</w:t>
      </w:r>
      <w:r>
        <w:rPr>
          <w:rFonts w:hAnsi="宋体"/>
          <w:color w:val="000000"/>
          <w:sz w:val="24"/>
          <w:highlight w:val="none"/>
        </w:rPr>
        <w:t>调研报告和策略建议进行充分讨论，</w:t>
      </w:r>
      <w:r>
        <w:rPr>
          <w:rFonts w:hint="eastAsia" w:hAnsi="宋体"/>
          <w:color w:val="000000"/>
          <w:sz w:val="24"/>
          <w:highlight w:val="none"/>
        </w:rPr>
        <w:t>并参与企业市场化改革专家小组、相关部门的讨论，对讨论的意见建议进行汇总、分析</w:t>
      </w:r>
      <w:r>
        <w:rPr>
          <w:rFonts w:hAnsi="宋体"/>
          <w:color w:val="000000"/>
          <w:sz w:val="24"/>
          <w:highlight w:val="none"/>
        </w:rPr>
        <w:t>。</w:t>
      </w:r>
    </w:p>
    <w:p>
      <w:pPr>
        <w:spacing w:line="360" w:lineRule="auto"/>
        <w:ind w:firstLine="540" w:firstLineChars="225"/>
        <w:rPr>
          <w:rFonts w:hAnsi="宋体"/>
          <w:color w:val="000000"/>
          <w:sz w:val="24"/>
          <w:highlight w:val="none"/>
        </w:rPr>
      </w:pPr>
      <w:r>
        <w:rPr>
          <w:rFonts w:hint="eastAsia" w:hAnsi="宋体"/>
          <w:color w:val="000000"/>
          <w:sz w:val="24"/>
          <w:highlight w:val="none"/>
        </w:rPr>
        <w:t>4. 形成规划</w:t>
      </w:r>
      <w:r>
        <w:rPr>
          <w:rFonts w:hAnsi="宋体"/>
          <w:color w:val="000000"/>
          <w:sz w:val="24"/>
          <w:highlight w:val="none"/>
        </w:rPr>
        <w:t>。</w:t>
      </w:r>
      <w:r>
        <w:rPr>
          <w:rFonts w:hint="eastAsia" w:hAnsi="宋体"/>
          <w:color w:val="000000"/>
          <w:sz w:val="24"/>
          <w:highlight w:val="none"/>
        </w:rPr>
        <w:t>结合各方意见建议</w:t>
      </w:r>
      <w:r>
        <w:rPr>
          <w:rFonts w:hAnsi="宋体"/>
          <w:color w:val="000000"/>
          <w:sz w:val="24"/>
          <w:highlight w:val="none"/>
        </w:rPr>
        <w:t>，最终</w:t>
      </w:r>
      <w:r>
        <w:rPr>
          <w:rFonts w:hint="eastAsia" w:hAnsi="宋体"/>
          <w:color w:val="000000"/>
          <w:sz w:val="24"/>
          <w:highlight w:val="none"/>
        </w:rPr>
        <w:t>完善</w:t>
      </w:r>
      <w:r>
        <w:rPr>
          <w:rFonts w:hAnsi="宋体"/>
          <w:color w:val="000000"/>
          <w:sz w:val="24"/>
          <w:highlight w:val="none"/>
        </w:rPr>
        <w:t>形成“十四五”规划</w:t>
      </w:r>
      <w:r>
        <w:rPr>
          <w:rFonts w:hint="eastAsia" w:hAnsi="宋体"/>
          <w:color w:val="000000"/>
          <w:sz w:val="24"/>
          <w:highlight w:val="none"/>
        </w:rPr>
        <w:t>（审议稿），“十四五”规划编制的成果内容包括不限于全区国有</w:t>
      </w:r>
      <w:r>
        <w:rPr>
          <w:rFonts w:hint="eastAsia" w:hAnsi="宋体" w:cs="宋体"/>
          <w:bCs/>
          <w:sz w:val="24"/>
          <w:highlight w:val="none"/>
        </w:rPr>
        <w:t>资本布局规划报告和各企业战略规划发展纲要以及重大课题研究报告</w:t>
      </w:r>
      <w:r>
        <w:rPr>
          <w:rFonts w:hAnsi="宋体"/>
          <w:color w:val="000000"/>
          <w:sz w:val="24"/>
          <w:highlight w:val="none"/>
        </w:rPr>
        <w:t>。</w:t>
      </w:r>
    </w:p>
    <w:p>
      <w:pPr>
        <w:spacing w:line="360" w:lineRule="auto"/>
        <w:ind w:firstLine="540" w:firstLineChars="225"/>
        <w:rPr>
          <w:rFonts w:hAnsi="宋体"/>
          <w:color w:val="000000"/>
          <w:sz w:val="24"/>
          <w:highlight w:val="none"/>
        </w:rPr>
      </w:pPr>
      <w:r>
        <w:rPr>
          <w:rFonts w:hAnsi="宋体"/>
          <w:color w:val="000000"/>
          <w:sz w:val="24"/>
          <w:highlight w:val="none"/>
        </w:rPr>
        <w:t>（</w:t>
      </w:r>
      <w:r>
        <w:rPr>
          <w:rFonts w:hint="eastAsia" w:hAnsi="宋体"/>
          <w:color w:val="000000"/>
          <w:sz w:val="24"/>
          <w:highlight w:val="none"/>
        </w:rPr>
        <w:t>三</w:t>
      </w:r>
      <w:r>
        <w:rPr>
          <w:rFonts w:hAnsi="宋体"/>
          <w:color w:val="000000"/>
          <w:sz w:val="24"/>
          <w:highlight w:val="none"/>
        </w:rPr>
        <w:t>）</w:t>
      </w:r>
      <w:r>
        <w:rPr>
          <w:rFonts w:hint="eastAsia" w:hAnsi="宋体"/>
          <w:color w:val="000000"/>
          <w:sz w:val="24"/>
          <w:highlight w:val="none"/>
        </w:rPr>
        <w:t>提请审议阶段。</w:t>
      </w:r>
    </w:p>
    <w:p>
      <w:pPr>
        <w:spacing w:line="360" w:lineRule="auto"/>
        <w:ind w:firstLine="540" w:firstLineChars="225"/>
        <w:rPr>
          <w:rFonts w:hAnsi="宋体"/>
          <w:color w:val="000000"/>
          <w:sz w:val="24"/>
          <w:highlight w:val="none"/>
        </w:rPr>
      </w:pPr>
      <w:r>
        <w:rPr>
          <w:rFonts w:hint="eastAsia" w:hAnsi="宋体"/>
          <w:color w:val="000000"/>
          <w:sz w:val="24"/>
          <w:highlight w:val="none"/>
        </w:rPr>
        <w:t xml:space="preserve">5. </w:t>
      </w:r>
      <w:r>
        <w:rPr>
          <w:rFonts w:hAnsi="宋体"/>
          <w:color w:val="000000"/>
          <w:sz w:val="24"/>
          <w:highlight w:val="none"/>
        </w:rPr>
        <w:t>“十四五”规划</w:t>
      </w:r>
      <w:r>
        <w:rPr>
          <w:rFonts w:hint="eastAsia" w:hAnsi="宋体"/>
          <w:color w:val="000000"/>
          <w:sz w:val="24"/>
          <w:highlight w:val="none"/>
        </w:rPr>
        <w:t>（审议稿）经局党组会审议后，按相关要求提请区政府常务会审议。</w:t>
      </w:r>
    </w:p>
    <w:p>
      <w:pPr>
        <w:spacing w:line="360" w:lineRule="auto"/>
        <w:ind w:firstLine="540" w:firstLineChars="225"/>
        <w:rPr>
          <w:rFonts w:hAnsi="宋体"/>
          <w:color w:val="000000"/>
          <w:sz w:val="24"/>
          <w:highlight w:val="none"/>
        </w:rPr>
      </w:pPr>
      <w:r>
        <w:rPr>
          <w:rFonts w:hint="eastAsia" w:hAnsi="宋体"/>
          <w:color w:val="000000"/>
          <w:sz w:val="24"/>
          <w:highlight w:val="none"/>
        </w:rPr>
        <w:t>（四）指导实施阶段。</w:t>
      </w:r>
    </w:p>
    <w:p>
      <w:pPr>
        <w:spacing w:line="360" w:lineRule="auto"/>
        <w:ind w:firstLine="540" w:firstLineChars="225"/>
        <w:rPr>
          <w:rFonts w:hAnsi="宋体"/>
          <w:color w:val="000000"/>
          <w:sz w:val="24"/>
          <w:highlight w:val="none"/>
        </w:rPr>
      </w:pPr>
      <w:r>
        <w:rPr>
          <w:rFonts w:hint="eastAsia" w:hAnsi="宋体"/>
          <w:color w:val="000000"/>
          <w:sz w:val="24"/>
          <w:highlight w:val="none"/>
        </w:rPr>
        <w:t>6. 指导企业根据审议通过印发的</w:t>
      </w:r>
      <w:r>
        <w:rPr>
          <w:rFonts w:hAnsi="宋体"/>
          <w:color w:val="000000"/>
          <w:sz w:val="24"/>
          <w:highlight w:val="none"/>
        </w:rPr>
        <w:t>“十四五”规划</w:t>
      </w:r>
      <w:r>
        <w:rPr>
          <w:rFonts w:hint="eastAsia" w:hAnsi="宋体"/>
          <w:color w:val="000000"/>
          <w:sz w:val="24"/>
          <w:highlight w:val="none"/>
        </w:rPr>
        <w:t>，</w:t>
      </w:r>
      <w:r>
        <w:rPr>
          <w:rFonts w:hint="eastAsia" w:hAnsi="宋体"/>
          <w:color w:val="000000"/>
          <w:sz w:val="24"/>
          <w:highlight w:val="none"/>
          <w:lang w:val="en-US" w:eastAsia="zh-CN"/>
        </w:rPr>
        <w:t>按</w:t>
      </w:r>
      <w:r>
        <w:rPr>
          <w:rFonts w:hint="eastAsia" w:hAnsi="宋体"/>
          <w:color w:val="000000"/>
          <w:sz w:val="24"/>
          <w:highlight w:val="none"/>
        </w:rPr>
        <w:t>“一企一策”编制战略规划</w:t>
      </w:r>
      <w:r>
        <w:rPr>
          <w:rFonts w:hint="eastAsia" w:hAnsi="宋体"/>
          <w:color w:val="000000"/>
          <w:sz w:val="24"/>
          <w:highlight w:val="none"/>
          <w:lang w:val="en-US" w:eastAsia="zh-CN"/>
        </w:rPr>
        <w:t>和年度实施计划</w:t>
      </w:r>
      <w:r>
        <w:rPr>
          <w:rFonts w:hint="eastAsia" w:hAnsi="宋体"/>
          <w:color w:val="000000"/>
          <w:sz w:val="24"/>
          <w:highlight w:val="none"/>
        </w:rPr>
        <w:t>。</w:t>
      </w:r>
    </w:p>
    <w:p>
      <w:pPr>
        <w:spacing w:line="360" w:lineRule="auto"/>
        <w:ind w:firstLine="480" w:firstLineChars="200"/>
        <w:rPr>
          <w:rFonts w:hint="eastAsia" w:hAnsi="宋体" w:cs="宋体"/>
          <w:b/>
          <w:sz w:val="24"/>
          <w:highlight w:val="none"/>
          <w:lang w:eastAsia="zh-CN"/>
        </w:rPr>
      </w:pPr>
      <w:r>
        <w:rPr>
          <w:rFonts w:hint="eastAsia" w:hAnsi="宋体" w:cs="宋体"/>
          <w:b/>
          <w:sz w:val="24"/>
          <w:highlight w:val="none"/>
        </w:rPr>
        <w:t>六、</w:t>
      </w:r>
      <w:r>
        <w:rPr>
          <w:rFonts w:hint="eastAsia" w:hAnsi="宋体" w:cs="宋体"/>
          <w:b/>
          <w:sz w:val="24"/>
          <w:highlight w:val="none"/>
          <w:lang w:eastAsia="zh-CN"/>
        </w:rPr>
        <w:t>商务要求</w:t>
      </w:r>
      <w:r>
        <w:rPr>
          <w:rFonts w:hint="eastAsia" w:hAnsi="宋体" w:cs="宋体"/>
          <w:b/>
          <w:sz w:val="24"/>
          <w:highlight w:val="none"/>
        </w:rPr>
        <w:t>（实质性要求）</w:t>
      </w:r>
      <w:r>
        <w:rPr>
          <w:rFonts w:hint="eastAsia" w:hAnsi="宋体" w:cs="宋体"/>
          <w:b/>
          <w:sz w:val="24"/>
          <w:highlight w:val="none"/>
          <w:lang w:eastAsia="zh-CN"/>
        </w:rPr>
        <w:t>：</w:t>
      </w:r>
    </w:p>
    <w:p>
      <w:pPr>
        <w:spacing w:line="360" w:lineRule="auto"/>
        <w:ind w:firstLine="480" w:firstLineChars="200"/>
        <w:rPr>
          <w:rFonts w:hint="eastAsia" w:hAnsi="宋体" w:cs="宋体"/>
          <w:bCs/>
          <w:color w:val="0000FF"/>
          <w:sz w:val="24"/>
          <w:highlight w:val="none"/>
          <w:lang w:val="en-US" w:eastAsia="zh-CN"/>
        </w:rPr>
      </w:pPr>
      <w:r>
        <w:rPr>
          <w:rFonts w:hint="eastAsia" w:hAnsi="宋体" w:cs="宋体"/>
          <w:bCs/>
          <w:color w:val="auto"/>
          <w:sz w:val="24"/>
          <w:highlight w:val="none"/>
          <w:lang w:val="en-US" w:eastAsia="zh-CN"/>
        </w:rPr>
        <w:t>1.合同价款支付方式和条件：合同签订后10个工作日内支付合同总额的30%；2021年9月30前必须提交青羊区国资国企发展“十四五”规划（审议稿），经采购人审议并提交区政府后，支付合同总额的40%；通过青羊区相关审核，指导企业按“一企一策”编制战略规划报告和年度实施计划报告，经采购人验收合格后，于2022年12月31日前付清剩余合同价款。</w:t>
      </w:r>
    </w:p>
    <w:p>
      <w:pPr>
        <w:spacing w:line="360" w:lineRule="auto"/>
        <w:ind w:firstLine="480" w:firstLineChars="200"/>
        <w:rPr>
          <w:rFonts w:hint="default" w:hAnsi="宋体" w:cs="宋体"/>
          <w:bCs/>
          <w:sz w:val="24"/>
          <w:highlight w:val="none"/>
          <w:lang w:val="en-US" w:eastAsia="zh-CN"/>
        </w:rPr>
      </w:pPr>
      <w:r>
        <w:rPr>
          <w:rFonts w:hint="eastAsia" w:hAnsi="宋体" w:cs="宋体"/>
          <w:bCs/>
          <w:sz w:val="24"/>
          <w:highlight w:val="none"/>
          <w:lang w:val="en-US" w:eastAsia="zh-CN"/>
        </w:rPr>
        <w:t>2.履约时间：自合同签订之日起548日历天。</w:t>
      </w:r>
    </w:p>
    <w:p>
      <w:pPr>
        <w:spacing w:line="360" w:lineRule="auto"/>
        <w:ind w:firstLine="480" w:firstLineChars="200"/>
        <w:rPr>
          <w:rFonts w:hAnsi="宋体" w:cs="宋体"/>
          <w:b/>
          <w:sz w:val="24"/>
          <w:highlight w:val="none"/>
        </w:rPr>
      </w:pPr>
      <w:r>
        <w:rPr>
          <w:rFonts w:hint="eastAsia" w:hAnsi="宋体" w:cs="宋体"/>
          <w:b/>
          <w:sz w:val="24"/>
          <w:highlight w:val="none"/>
        </w:rPr>
        <w:t>七、其他要求：</w:t>
      </w:r>
    </w:p>
    <w:p>
      <w:pPr>
        <w:spacing w:line="360" w:lineRule="auto"/>
        <w:ind w:firstLine="480" w:firstLineChars="200"/>
        <w:rPr>
          <w:rFonts w:hAnsi="宋体" w:cs="宋体"/>
          <w:b/>
          <w:sz w:val="24"/>
          <w:highlight w:val="none"/>
        </w:rPr>
      </w:pPr>
      <w:r>
        <w:rPr>
          <w:rFonts w:hint="eastAsia" w:hAnsi="宋体" w:cs="宋体"/>
          <w:b/>
          <w:sz w:val="24"/>
          <w:highlight w:val="none"/>
        </w:rPr>
        <w:t>供应商提供针对本项目的执行方案，方案应包含以下内容（方案格式自拟）：</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1.对国家、四川省、成都市和青羊区深化国资国企改革发展有关决策部署、青羊区城市发展战略以及青羊区国有企业功能定位的理解和认识；</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2.对青羊区国有资本“十四五”规划编制工作的总体思路及计划安排；</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3.提供项目实施地稳定的专业团队的相关资料（包括：基本情况、研究人员数量、承担该项目的优势等）；</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4.提供参与研究四川省和成都市产业经济和国有经济的项目名单；</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5.提供参与研究成都市委、市政府重大项目的名单；</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6.提供参与国资国企改革课题研究、国有资本五年发展规划编制的项目名单；</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7.提供与本次国有资本“十四五”规划编制工作相关的专家资源数量及名单；</w:t>
      </w:r>
    </w:p>
    <w:p>
      <w:pPr>
        <w:spacing w:line="360" w:lineRule="auto"/>
        <w:ind w:firstLine="480" w:firstLineChars="200"/>
        <w:rPr>
          <w:rFonts w:hAnsi="宋体" w:cs="宋体"/>
          <w:color w:val="auto"/>
          <w:kern w:val="2"/>
          <w:sz w:val="24"/>
          <w:szCs w:val="24"/>
          <w:highlight w:val="none"/>
        </w:rPr>
      </w:pPr>
      <w:r>
        <w:rPr>
          <w:rFonts w:hint="eastAsia" w:hAnsi="宋体" w:cs="宋体"/>
          <w:color w:val="auto"/>
          <w:kern w:val="2"/>
          <w:sz w:val="24"/>
          <w:szCs w:val="24"/>
          <w:highlight w:val="none"/>
        </w:rPr>
        <w:t>8.组建的课题组人员名单及分工安排（包括：团队负责人及成员的职务、具备的资质、经验、具体分工、工作时间安排）。</w:t>
      </w:r>
    </w:p>
    <w:p>
      <w:pPr>
        <w:spacing w:line="360" w:lineRule="auto"/>
        <w:ind w:firstLine="480" w:firstLineChars="200"/>
        <w:rPr>
          <w:rFonts w:hAnsi="宋体" w:cs="宋体"/>
          <w:color w:val="auto"/>
          <w:kern w:val="2"/>
          <w:sz w:val="24"/>
          <w:szCs w:val="24"/>
          <w:highlight w:val="none"/>
        </w:rPr>
      </w:pPr>
      <w:r>
        <w:rPr>
          <w:rFonts w:hAnsi="宋体" w:cs="宋体"/>
          <w:color w:val="auto"/>
          <w:kern w:val="2"/>
          <w:sz w:val="24"/>
          <w:szCs w:val="24"/>
          <w:highlight w:val="none"/>
        </w:rPr>
        <w:t>9.</w:t>
      </w:r>
      <w:r>
        <w:rPr>
          <w:rFonts w:hint="eastAsia" w:hAnsi="宋体" w:cs="宋体"/>
          <w:color w:val="auto"/>
          <w:kern w:val="2"/>
          <w:sz w:val="24"/>
          <w:szCs w:val="24"/>
          <w:highlight w:val="none"/>
        </w:rPr>
        <w:t>提供质量控制、技术保障及进度保障措施，包括但不限于项目质量控制目标、质量控制措施、进度保证措施等，要求质量控制目标明确、质量控制措施有效、进度保证措施合理。</w:t>
      </w:r>
    </w:p>
    <w:p>
      <w:pPr>
        <w:spacing w:line="360" w:lineRule="auto"/>
        <w:ind w:firstLine="480" w:firstLineChars="200"/>
        <w:rPr>
          <w:rFonts w:hAnsi="宋体" w:cs="宋体"/>
          <w:color w:val="auto"/>
          <w:kern w:val="2"/>
          <w:sz w:val="24"/>
          <w:szCs w:val="24"/>
          <w:highlight w:val="none"/>
        </w:rPr>
      </w:pPr>
      <w:r>
        <w:rPr>
          <w:rFonts w:hAnsi="宋体" w:cs="宋体"/>
          <w:color w:val="auto"/>
          <w:kern w:val="2"/>
          <w:sz w:val="24"/>
          <w:szCs w:val="24"/>
          <w:highlight w:val="none"/>
        </w:rPr>
        <w:t>10.</w:t>
      </w:r>
      <w:r>
        <w:rPr>
          <w:rFonts w:hint="eastAsia" w:hAnsi="宋体" w:cs="宋体"/>
          <w:color w:val="auto"/>
          <w:kern w:val="2"/>
          <w:sz w:val="24"/>
          <w:szCs w:val="24"/>
          <w:highlight w:val="none"/>
        </w:rPr>
        <w:t>提供后续服务的安排及保证措施，后期服务人员安排合理、后期服务计划全面、后期服务保障措施可行。</w:t>
      </w:r>
    </w:p>
    <w:p>
      <w:pPr>
        <w:spacing w:line="360" w:lineRule="auto"/>
        <w:ind w:firstLine="480" w:firstLineChars="200"/>
        <w:rPr>
          <w:rFonts w:hint="eastAsia" w:hAnsi="宋体" w:cs="宋体"/>
          <w:color w:val="auto"/>
          <w:kern w:val="2"/>
          <w:sz w:val="24"/>
          <w:szCs w:val="24"/>
          <w:highlight w:val="none"/>
        </w:rPr>
      </w:pPr>
      <w:r>
        <w:rPr>
          <w:rFonts w:hAnsi="宋体" w:cs="宋体"/>
          <w:color w:val="auto"/>
          <w:kern w:val="2"/>
          <w:sz w:val="24"/>
          <w:szCs w:val="24"/>
          <w:highlight w:val="none"/>
        </w:rPr>
        <w:t>11</w:t>
      </w:r>
      <w:r>
        <w:rPr>
          <w:rFonts w:hint="eastAsia" w:hAnsi="宋体" w:cs="宋体"/>
          <w:color w:val="auto"/>
          <w:kern w:val="2"/>
          <w:sz w:val="24"/>
          <w:szCs w:val="24"/>
          <w:highlight w:val="none"/>
        </w:rPr>
        <w:t>.承担本项目其它需要陈述的优势，如：课题组成员获得的相关成就；其他相关优势。请逐条简单陈述。</w:t>
      </w:r>
    </w:p>
    <w:p>
      <w:pPr>
        <w:rPr>
          <w:highlight w:val="none"/>
        </w:rPr>
      </w:pPr>
      <w:r>
        <w:rPr>
          <w:highlight w:val="none"/>
        </w:rPr>
        <w:br w:type="page"/>
      </w:r>
    </w:p>
    <w:p>
      <w:pPr>
        <w:pStyle w:val="3"/>
        <w:rPr>
          <w:rFonts w:hAnsi="宋体" w:cs="宋体"/>
          <w:b w:val="0"/>
          <w:color w:val="000000"/>
          <w:szCs w:val="32"/>
          <w:highlight w:val="none"/>
        </w:rPr>
      </w:pPr>
      <w:bookmarkStart w:id="87" w:name="_Toc31649"/>
      <w:bookmarkStart w:id="88" w:name="_Toc25097"/>
      <w:r>
        <w:rPr>
          <w:rFonts w:hint="eastAsia"/>
          <w:highlight w:val="none"/>
        </w:rPr>
        <w:t>第六章  采购项目实质性要求</w:t>
      </w:r>
      <w:bookmarkEnd w:id="86"/>
      <w:bookmarkEnd w:id="87"/>
      <w:bookmarkEnd w:id="88"/>
    </w:p>
    <w:p>
      <w:pPr>
        <w:pStyle w:val="4"/>
        <w:keepNext w:val="0"/>
        <w:keepLines w:val="0"/>
        <w:spacing w:before="0" w:after="0" w:line="400" w:lineRule="exact"/>
        <w:ind w:firstLine="560" w:firstLineChars="200"/>
        <w:rPr>
          <w:rFonts w:hint="eastAsia" w:ascii="宋体" w:hAnsi="宋体" w:eastAsia="宋体" w:cs="宋体"/>
          <w:b w:val="0"/>
          <w:bCs/>
          <w:color w:val="000000"/>
          <w:sz w:val="28"/>
          <w:szCs w:val="28"/>
          <w:highlight w:val="none"/>
          <w:lang w:eastAsia="zh-CN"/>
        </w:rPr>
      </w:pPr>
      <w:r>
        <w:rPr>
          <w:rFonts w:hint="eastAsia" w:ascii="宋体" w:hAnsi="宋体" w:eastAsia="宋体" w:cs="宋体"/>
          <w:b w:val="0"/>
          <w:bCs/>
          <w:color w:val="000000"/>
          <w:sz w:val="28"/>
          <w:szCs w:val="28"/>
          <w:highlight w:val="none"/>
          <w:lang w:val="en-US" w:eastAsia="zh-CN"/>
        </w:rPr>
        <w:t>1</w:t>
      </w:r>
      <w:r>
        <w:rPr>
          <w:rFonts w:hint="eastAsia" w:ascii="宋体" w:hAnsi="宋体" w:eastAsia="宋体" w:cs="宋体"/>
          <w:b w:val="0"/>
          <w:bCs/>
          <w:color w:val="000000"/>
          <w:sz w:val="28"/>
          <w:szCs w:val="28"/>
          <w:highlight w:val="none"/>
        </w:rPr>
        <w:t>.商务要求所有内容</w:t>
      </w:r>
      <w:r>
        <w:rPr>
          <w:rFonts w:hint="eastAsia" w:ascii="宋体" w:hAnsi="宋体" w:eastAsia="宋体" w:cs="宋体"/>
          <w:b w:val="0"/>
          <w:bCs/>
          <w:color w:val="000000"/>
          <w:sz w:val="28"/>
          <w:szCs w:val="28"/>
          <w:highlight w:val="none"/>
          <w:lang w:eastAsia="zh-CN"/>
        </w:rPr>
        <w:t>；</w:t>
      </w:r>
    </w:p>
    <w:p>
      <w:pPr>
        <w:pStyle w:val="4"/>
        <w:keepNext w:val="0"/>
        <w:keepLines w:val="0"/>
        <w:spacing w:before="0" w:after="0" w:line="400" w:lineRule="exact"/>
        <w:ind w:firstLine="560" w:firstLineChars="200"/>
        <w:rPr>
          <w:rFonts w:hint="eastAsia" w:ascii="宋体" w:hAnsi="宋体" w:eastAsia="宋体" w:cs="宋体"/>
          <w:b w:val="0"/>
          <w:bCs/>
          <w:color w:val="000000"/>
          <w:sz w:val="28"/>
          <w:szCs w:val="28"/>
          <w:highlight w:val="none"/>
        </w:rPr>
      </w:pPr>
      <w:r>
        <w:rPr>
          <w:rFonts w:hint="eastAsia" w:ascii="宋体" w:hAnsi="宋体" w:eastAsia="宋体" w:cs="宋体"/>
          <w:b w:val="0"/>
          <w:bCs/>
          <w:color w:val="000000"/>
          <w:sz w:val="28"/>
          <w:szCs w:val="28"/>
          <w:highlight w:val="none"/>
          <w:lang w:val="en-US" w:eastAsia="zh-CN"/>
        </w:rPr>
        <w:t>2</w:t>
      </w:r>
      <w:r>
        <w:rPr>
          <w:rFonts w:hint="eastAsia" w:ascii="宋体" w:hAnsi="宋体" w:eastAsia="宋体" w:cs="宋体"/>
          <w:b w:val="0"/>
          <w:bCs/>
          <w:color w:val="000000"/>
          <w:sz w:val="28"/>
          <w:szCs w:val="28"/>
          <w:highlight w:val="none"/>
        </w:rPr>
        <w:t>.政府采购政策要求：</w:t>
      </w:r>
    </w:p>
    <w:p>
      <w:pPr>
        <w:pStyle w:val="4"/>
        <w:keepNext w:val="0"/>
        <w:keepLines w:val="0"/>
        <w:spacing w:before="0" w:after="0" w:line="400" w:lineRule="exact"/>
        <w:ind w:firstLine="560" w:firstLineChars="200"/>
        <w:rPr>
          <w:rFonts w:hint="eastAsia" w:ascii="宋体" w:hAnsi="宋体" w:eastAsia="宋体" w:cs="宋体"/>
          <w:b w:val="0"/>
          <w:bCs/>
          <w:color w:val="000000"/>
          <w:sz w:val="28"/>
          <w:szCs w:val="28"/>
          <w:highlight w:val="none"/>
          <w:lang w:val="zh-CN"/>
        </w:rPr>
      </w:pPr>
      <w:r>
        <w:rPr>
          <w:rFonts w:hint="eastAsia" w:ascii="宋体" w:hAnsi="宋体" w:eastAsia="宋体" w:cs="宋体"/>
          <w:b w:val="0"/>
          <w:bCs/>
          <w:color w:val="000000"/>
          <w:sz w:val="28"/>
          <w:szCs w:val="28"/>
          <w:highlight w:val="none"/>
          <w:lang w:val="en-US" w:eastAsia="zh-CN"/>
        </w:rPr>
        <w:t>2</w:t>
      </w:r>
      <w:r>
        <w:rPr>
          <w:rFonts w:hint="eastAsia" w:ascii="宋体" w:hAnsi="宋体" w:eastAsia="宋体" w:cs="宋体"/>
          <w:b w:val="0"/>
          <w:bCs/>
          <w:color w:val="000000"/>
          <w:sz w:val="28"/>
          <w:szCs w:val="28"/>
          <w:highlight w:val="none"/>
        </w:rPr>
        <w:t>.1</w:t>
      </w:r>
      <w:r>
        <w:rPr>
          <w:rFonts w:hint="eastAsia" w:ascii="宋体" w:hAnsi="宋体" w:eastAsia="宋体" w:cs="宋体"/>
          <w:b w:val="0"/>
          <w:bCs/>
          <w:color w:val="000000"/>
          <w:sz w:val="28"/>
          <w:szCs w:val="28"/>
          <w:highlight w:val="none"/>
          <w:lang w:val="zh-CN"/>
        </w:rPr>
        <w:t>根据《政府采购促进中小企业发展管理办法》（财库[2020]46号）的规定，本项目专门面向中小企业采购。</w:t>
      </w:r>
    </w:p>
    <w:p>
      <w:pPr>
        <w:pStyle w:val="4"/>
        <w:keepNext w:val="0"/>
        <w:keepLines w:val="0"/>
        <w:spacing w:before="0" w:after="0" w:line="400" w:lineRule="exact"/>
        <w:ind w:firstLine="560" w:firstLineChars="200"/>
        <w:rPr>
          <w:rFonts w:hint="eastAsia" w:ascii="宋体" w:hAnsi="宋体" w:eastAsia="宋体" w:cs="宋体"/>
          <w:b w:val="0"/>
          <w:bCs/>
          <w:color w:val="000000"/>
          <w:sz w:val="28"/>
          <w:szCs w:val="28"/>
          <w:highlight w:val="none"/>
          <w:lang w:val="zh-CN"/>
        </w:rPr>
      </w:pPr>
      <w:r>
        <w:rPr>
          <w:rFonts w:hint="eastAsia" w:ascii="宋体" w:hAnsi="宋体" w:eastAsia="宋体" w:cs="宋体"/>
          <w:b w:val="0"/>
          <w:bCs/>
          <w:color w:val="000000"/>
          <w:sz w:val="28"/>
          <w:szCs w:val="28"/>
          <w:highlight w:val="none"/>
          <w:lang w:val="en-US" w:eastAsia="zh-CN"/>
        </w:rPr>
        <w:t>2</w:t>
      </w:r>
      <w:r>
        <w:rPr>
          <w:rFonts w:hint="eastAsia" w:ascii="宋体" w:hAnsi="宋体" w:eastAsia="宋体" w:cs="宋体"/>
          <w:b w:val="0"/>
          <w:bCs/>
          <w:color w:val="000000"/>
          <w:sz w:val="28"/>
          <w:szCs w:val="28"/>
          <w:highlight w:val="none"/>
          <w:lang w:val="zh-CN"/>
        </w:rPr>
        <w:t>.2监狱企业、残疾人福利性单位视同小微企业。</w:t>
      </w:r>
    </w:p>
    <w:p>
      <w:pPr>
        <w:pStyle w:val="4"/>
        <w:keepNext w:val="0"/>
        <w:keepLines w:val="0"/>
        <w:spacing w:before="0" w:after="0" w:line="400" w:lineRule="exact"/>
        <w:ind w:firstLine="560" w:firstLineChars="200"/>
        <w:rPr>
          <w:rFonts w:hint="eastAsia" w:ascii="宋体" w:hAnsi="宋体" w:eastAsia="宋体" w:cs="宋体"/>
          <w:b w:val="0"/>
          <w:bCs/>
          <w:color w:val="000000"/>
          <w:sz w:val="28"/>
          <w:szCs w:val="28"/>
          <w:highlight w:val="none"/>
          <w:lang w:val="zh-CN"/>
        </w:rPr>
      </w:pPr>
      <w:r>
        <w:rPr>
          <w:rFonts w:hint="eastAsia" w:ascii="宋体" w:hAnsi="宋体" w:eastAsia="宋体" w:cs="宋体"/>
          <w:b w:val="0"/>
          <w:bCs/>
          <w:color w:val="000000"/>
          <w:sz w:val="28"/>
          <w:szCs w:val="28"/>
          <w:highlight w:val="none"/>
          <w:lang w:val="en-US" w:eastAsia="zh-CN"/>
        </w:rPr>
        <w:t>2</w:t>
      </w:r>
      <w:r>
        <w:rPr>
          <w:rFonts w:hint="eastAsia" w:ascii="宋体" w:hAnsi="宋体" w:eastAsia="宋体" w:cs="宋体"/>
          <w:b w:val="0"/>
          <w:bCs/>
          <w:color w:val="000000"/>
          <w:sz w:val="28"/>
          <w:szCs w:val="28"/>
          <w:highlight w:val="none"/>
          <w:lang w:val="zh-CN"/>
        </w:rPr>
        <w:t xml:space="preserve">.3本项目对应的中小企业划分标准所属行业为其他未列明行业。       </w:t>
      </w:r>
    </w:p>
    <w:p>
      <w:pPr>
        <w:pStyle w:val="4"/>
        <w:keepNext w:val="0"/>
        <w:keepLines w:val="0"/>
        <w:spacing w:before="0" w:after="0" w:line="400" w:lineRule="exact"/>
        <w:ind w:firstLine="560" w:firstLineChars="200"/>
        <w:rPr>
          <w:rFonts w:hint="eastAsia" w:hAnsi="宋体" w:eastAsia="宋体" w:cs="宋体"/>
          <w:sz w:val="24"/>
          <w:highlight w:val="none"/>
          <w:lang w:val="en-US" w:eastAsia="zh-CN"/>
        </w:rPr>
      </w:pPr>
      <w:r>
        <w:rPr>
          <w:rFonts w:hint="eastAsia" w:ascii="宋体" w:hAnsi="宋体" w:eastAsia="宋体" w:cs="宋体"/>
          <w:b w:val="0"/>
          <w:bCs/>
          <w:color w:val="000000"/>
          <w:sz w:val="28"/>
          <w:szCs w:val="28"/>
          <w:highlight w:val="none"/>
          <w:lang w:val="zh-CN"/>
        </w:rPr>
        <w:t>依据《政府采购促进中小企业发展管理办法》（财库[2020]</w:t>
      </w:r>
      <w:r>
        <w:rPr>
          <w:rFonts w:hint="eastAsia" w:ascii="宋体" w:hAnsi="宋体" w:eastAsia="宋体" w:cs="宋体"/>
          <w:b w:val="0"/>
          <w:bCs/>
          <w:color w:val="000000"/>
          <w:sz w:val="28"/>
          <w:szCs w:val="28"/>
          <w:highlight w:val="none"/>
          <w:lang w:val="en-US" w:eastAsia="zh-CN"/>
        </w:rPr>
        <w:t>46号</w:t>
      </w:r>
      <w:r>
        <w:rPr>
          <w:rFonts w:hint="eastAsia" w:ascii="宋体" w:hAnsi="宋体" w:eastAsia="宋体" w:cs="宋体"/>
          <w:b w:val="0"/>
          <w:bCs/>
          <w:color w:val="000000"/>
          <w:sz w:val="28"/>
          <w:szCs w:val="28"/>
          <w:highlight w:val="none"/>
          <w:lang w:val="zh-CN"/>
        </w:rPr>
        <w:t>）规定享受扶持政策获得政府采购合同的，小微企业不得将合同分包给大中型企业，中型企业不得将合同分包给大型企业。</w:t>
      </w: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spacing w:line="360" w:lineRule="auto"/>
        <w:ind w:firstLine="480" w:firstLineChars="200"/>
        <w:rPr>
          <w:rFonts w:hAnsi="宋体" w:cs="宋体"/>
          <w:sz w:val="24"/>
          <w:highlight w:val="none"/>
        </w:rPr>
      </w:pPr>
    </w:p>
    <w:p>
      <w:pPr>
        <w:rPr>
          <w:highlight w:val="none"/>
        </w:rPr>
      </w:pPr>
      <w:r>
        <w:rPr>
          <w:rFonts w:hAnsi="宋体" w:cs="宋体"/>
          <w:sz w:val="24"/>
          <w:highlight w:val="none"/>
        </w:rPr>
        <w:br w:type="page"/>
      </w:r>
    </w:p>
    <w:p>
      <w:pPr>
        <w:pStyle w:val="3"/>
        <w:rPr>
          <w:rFonts w:hAnsi="宋体" w:cs="宋体"/>
          <w:b w:val="0"/>
          <w:color w:val="000000"/>
          <w:szCs w:val="32"/>
          <w:highlight w:val="none"/>
        </w:rPr>
      </w:pPr>
      <w:bookmarkStart w:id="89" w:name="_Toc29134"/>
      <w:bookmarkStart w:id="90" w:name="_Toc24121"/>
      <w:bookmarkStart w:id="91" w:name="_Toc16545"/>
      <w:r>
        <w:rPr>
          <w:rFonts w:hint="eastAsia"/>
          <w:highlight w:val="none"/>
        </w:rPr>
        <w:t>第七章  磋商内容、磋商过程中可实质性变动的内容</w:t>
      </w:r>
      <w:bookmarkEnd w:id="89"/>
      <w:bookmarkEnd w:id="90"/>
      <w:bookmarkEnd w:id="91"/>
    </w:p>
    <w:p>
      <w:pPr>
        <w:tabs>
          <w:tab w:val="left" w:pos="7665"/>
        </w:tabs>
        <w:spacing w:line="400" w:lineRule="exact"/>
        <w:ind w:firstLine="480"/>
        <w:rPr>
          <w:rFonts w:hAnsi="宋体" w:cs="宋体"/>
          <w:bCs/>
          <w:color w:val="000000"/>
          <w:sz w:val="24"/>
          <w:highlight w:val="none"/>
        </w:rPr>
      </w:pPr>
      <w:r>
        <w:rPr>
          <w:rStyle w:val="32"/>
          <w:rFonts w:hAnsi="宋体"/>
          <w:sz w:val="28"/>
          <w:szCs w:val="28"/>
          <w:highlight w:val="none"/>
        </w:rPr>
        <w:t>在磋商过程中，磋商小组可以根据磋商文件和磋商情况实质性变动采购需求中的技术、服务要求以及合同草案条款，但不得变动磋商文件中的其他内容</w:t>
      </w:r>
      <w:r>
        <w:rPr>
          <w:rStyle w:val="32"/>
          <w:rFonts w:hint="eastAsia" w:hAnsi="宋体"/>
          <w:sz w:val="28"/>
          <w:szCs w:val="28"/>
          <w:highlight w:val="none"/>
        </w:rPr>
        <w:t>。</w:t>
      </w: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tabs>
          <w:tab w:val="left" w:pos="7665"/>
        </w:tabs>
        <w:spacing w:line="400" w:lineRule="exact"/>
        <w:ind w:firstLine="480"/>
        <w:jc w:val="center"/>
        <w:rPr>
          <w:rFonts w:hAnsi="宋体" w:cs="宋体"/>
          <w:b/>
          <w:bCs/>
          <w:color w:val="000000"/>
          <w:sz w:val="32"/>
          <w:szCs w:val="32"/>
          <w:highlight w:val="none"/>
        </w:rPr>
      </w:pPr>
    </w:p>
    <w:p>
      <w:pPr>
        <w:pStyle w:val="3"/>
        <w:rPr>
          <w:rFonts w:hAnsi="宋体" w:cs="宋体"/>
          <w:b w:val="0"/>
          <w:bCs w:val="0"/>
          <w:color w:val="000000"/>
          <w:szCs w:val="32"/>
          <w:highlight w:val="none"/>
        </w:rPr>
      </w:pPr>
      <w:bookmarkStart w:id="92" w:name="_Toc18994"/>
      <w:bookmarkStart w:id="93" w:name="_Toc28711"/>
      <w:bookmarkStart w:id="94" w:name="_Toc22710"/>
      <w:r>
        <w:rPr>
          <w:rFonts w:hint="eastAsia"/>
          <w:highlight w:val="none"/>
        </w:rPr>
        <w:t>第八章  响应文件格式</w:t>
      </w:r>
      <w:bookmarkEnd w:id="92"/>
      <w:bookmarkEnd w:id="93"/>
      <w:bookmarkEnd w:id="94"/>
    </w:p>
    <w:p>
      <w:pPr>
        <w:tabs>
          <w:tab w:val="left" w:pos="7665"/>
        </w:tabs>
        <w:spacing w:line="400" w:lineRule="exact"/>
        <w:ind w:firstLine="480"/>
        <w:rPr>
          <w:rStyle w:val="32"/>
          <w:rFonts w:hAnsi="宋体"/>
          <w:sz w:val="24"/>
          <w:szCs w:val="22"/>
          <w:highlight w:val="none"/>
        </w:rPr>
      </w:pPr>
      <w:r>
        <w:rPr>
          <w:rStyle w:val="32"/>
          <w:rFonts w:hint="eastAsia" w:hAnsi="宋体"/>
          <w:sz w:val="24"/>
          <w:szCs w:val="22"/>
          <w:highlight w:val="none"/>
        </w:rPr>
        <w:t>一、本章所制响应文件格式，除格式中明确将该格式作为实质性要求的，一律不具有强制性，但是，供应商响应文件相关资料和本章所制格式不一致的，磋商小组将在评分时以响应文件不规范予以扣分处理。</w:t>
      </w:r>
    </w:p>
    <w:p>
      <w:pPr>
        <w:tabs>
          <w:tab w:val="left" w:pos="7665"/>
        </w:tabs>
        <w:spacing w:line="400" w:lineRule="exact"/>
        <w:ind w:firstLine="480"/>
        <w:rPr>
          <w:rStyle w:val="32"/>
          <w:rFonts w:hAnsi="宋体"/>
          <w:sz w:val="24"/>
          <w:szCs w:val="22"/>
          <w:highlight w:val="none"/>
        </w:rPr>
      </w:pPr>
      <w:r>
        <w:rPr>
          <w:rStyle w:val="32"/>
          <w:rFonts w:hint="eastAsia" w:hAnsi="宋体"/>
          <w:sz w:val="24"/>
          <w:szCs w:val="22"/>
          <w:highlight w:val="none"/>
        </w:rPr>
        <w:t>二、本章所制响应文件格式有关表格中的备注栏，由供应商根据自身响应情况作解释性说明，不作为必填项。</w:t>
      </w:r>
    </w:p>
    <w:p>
      <w:pPr>
        <w:tabs>
          <w:tab w:val="left" w:pos="7665"/>
        </w:tabs>
        <w:spacing w:line="400" w:lineRule="exact"/>
        <w:ind w:firstLine="480"/>
        <w:rPr>
          <w:rStyle w:val="32"/>
          <w:rFonts w:hAnsi="宋体"/>
          <w:sz w:val="24"/>
          <w:szCs w:val="22"/>
          <w:highlight w:val="none"/>
        </w:rPr>
      </w:pPr>
      <w:r>
        <w:rPr>
          <w:rStyle w:val="32"/>
          <w:rFonts w:hint="eastAsia" w:hAnsi="宋体"/>
          <w:sz w:val="24"/>
          <w:szCs w:val="22"/>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p>
    <w:p>
      <w:pPr>
        <w:jc w:val="center"/>
        <w:rPr>
          <w:rFonts w:hAnsi="宋体" w:cs="宋体"/>
          <w:b/>
          <w:color w:val="000000"/>
          <w:sz w:val="32"/>
          <w:szCs w:val="32"/>
          <w:highlight w:val="none"/>
        </w:rPr>
      </w:pPr>
      <w:r>
        <w:rPr>
          <w:rFonts w:hint="eastAsia" w:hAnsi="宋体" w:cs="宋体"/>
          <w:b/>
          <w:color w:val="000000"/>
          <w:sz w:val="32"/>
          <w:szCs w:val="32"/>
          <w:highlight w:val="none"/>
        </w:rPr>
        <w:t>一、法定代表人授权书</w:t>
      </w:r>
    </w:p>
    <w:p>
      <w:pPr>
        <w:jc w:val="center"/>
        <w:rPr>
          <w:rFonts w:hAnsi="宋体" w:cs="宋体"/>
          <w:b/>
          <w:color w:val="000000"/>
          <w:sz w:val="44"/>
          <w:highlight w:val="none"/>
        </w:rPr>
      </w:pPr>
    </w:p>
    <w:p>
      <w:pPr>
        <w:spacing w:line="400" w:lineRule="exact"/>
        <w:rPr>
          <w:rFonts w:hAnsi="宋体" w:cs="宋体"/>
          <w:color w:val="000000"/>
          <w:sz w:val="24"/>
          <w:highlight w:val="none"/>
        </w:rPr>
      </w:pPr>
      <w:r>
        <w:rPr>
          <w:rFonts w:hint="eastAsia" w:hAnsi="宋体" w:cs="宋体"/>
          <w:color w:val="000000"/>
          <w:sz w:val="24"/>
          <w:highlight w:val="none"/>
        </w:rPr>
        <w:t>XXX（采购代理机构名称）：</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本授权声明：XXX（单位名称）,XXX（法定代表人（负责人）姓名、职务）授权XXX（被授权人姓名、职务）为我方参加XXX项目（采购编号：XXX）磋商采购活动的合法代表，以我方名义全权处理该项目有关磋商、报价、签订合同以及执行合同等一切事宜。</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特此声明。</w:t>
      </w:r>
    </w:p>
    <w:p>
      <w:pPr>
        <w:spacing w:line="400" w:lineRule="exact"/>
        <w:rPr>
          <w:rFonts w:hAnsi="宋体" w:cs="宋体"/>
          <w:color w:val="000000"/>
          <w:sz w:val="24"/>
          <w:highlight w:val="none"/>
        </w:rPr>
      </w:pP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供应商名称：XXX（盖单位公章）</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法定代表人（负责人）签字或加盖个人名章：XXX</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职    务：XXX</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被授权人签字：XXX</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职    务：XXX</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日    期：XXX年XXX月XXX日</w:t>
      </w: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spacing w:line="400" w:lineRule="exact"/>
        <w:ind w:firstLine="480" w:firstLineChars="200"/>
        <w:rPr>
          <w:rFonts w:hAnsi="宋体" w:cs="宋体"/>
          <w:color w:val="000000"/>
          <w:sz w:val="24"/>
          <w:highlight w:val="none"/>
        </w:rPr>
      </w:pPr>
    </w:p>
    <w:p>
      <w:pPr>
        <w:pStyle w:val="2"/>
        <w:rPr>
          <w:highlight w:val="none"/>
        </w:rPr>
      </w:pPr>
    </w:p>
    <w:p>
      <w:pPr>
        <w:spacing w:line="400" w:lineRule="exact"/>
        <w:ind w:firstLine="480" w:firstLineChars="200"/>
        <w:rPr>
          <w:rFonts w:hAnsi="宋体" w:cs="宋体"/>
          <w:color w:val="000000"/>
          <w:sz w:val="24"/>
          <w:highlight w:val="none"/>
        </w:rPr>
      </w:pPr>
    </w:p>
    <w:p>
      <w:pPr>
        <w:spacing w:line="400" w:lineRule="exact"/>
        <w:ind w:firstLine="640" w:firstLineChars="200"/>
        <w:jc w:val="center"/>
        <w:rPr>
          <w:rFonts w:hAnsi="宋体" w:cs="宋体"/>
          <w:b/>
          <w:bCs/>
          <w:color w:val="000000"/>
          <w:sz w:val="32"/>
          <w:szCs w:val="32"/>
          <w:highlight w:val="none"/>
        </w:rPr>
      </w:pPr>
      <w:r>
        <w:rPr>
          <w:rFonts w:hint="eastAsia" w:hAnsi="宋体" w:cs="宋体"/>
          <w:b/>
          <w:bCs/>
          <w:color w:val="000000"/>
          <w:sz w:val="32"/>
          <w:szCs w:val="32"/>
          <w:highlight w:val="none"/>
        </w:rPr>
        <w:t>二、供应商基本情况表</w:t>
      </w:r>
    </w:p>
    <w:p>
      <w:pPr>
        <w:jc w:val="center"/>
        <w:rPr>
          <w:rFonts w:hAnsi="宋体" w:cs="宋体"/>
          <w:b/>
          <w:bCs/>
          <w:color w:val="000000"/>
          <w:sz w:val="32"/>
          <w:szCs w:val="32"/>
          <w:highlight w:val="none"/>
        </w:rPr>
      </w:pPr>
    </w:p>
    <w:tbl>
      <w:tblPr>
        <w:tblStyle w:val="20"/>
        <w:tblW w:w="9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165"/>
        <w:gridCol w:w="193"/>
        <w:gridCol w:w="1366"/>
        <w:gridCol w:w="1362"/>
        <w:gridCol w:w="458"/>
        <w:gridCol w:w="319"/>
        <w:gridCol w:w="583"/>
        <w:gridCol w:w="914"/>
        <w:gridCol w:w="72"/>
        <w:gridCol w:w="372"/>
        <w:gridCol w:w="1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供应商名称</w:t>
            </w:r>
          </w:p>
        </w:tc>
        <w:tc>
          <w:tcPr>
            <w:tcW w:w="8204" w:type="dxa"/>
            <w:gridSpan w:val="11"/>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注册地址</w:t>
            </w:r>
          </w:p>
        </w:tc>
        <w:tc>
          <w:tcPr>
            <w:tcW w:w="4863" w:type="dxa"/>
            <w:gridSpan w:val="6"/>
            <w:vAlign w:val="center"/>
          </w:tcPr>
          <w:p>
            <w:pPr>
              <w:spacing w:line="360" w:lineRule="auto"/>
              <w:jc w:val="center"/>
              <w:rPr>
                <w:rFonts w:hAnsi="宋体" w:cs="宋体"/>
                <w:bCs/>
                <w:color w:val="000000"/>
                <w:sz w:val="24"/>
                <w:szCs w:val="24"/>
                <w:highlight w:val="none"/>
              </w:rPr>
            </w:pPr>
          </w:p>
        </w:tc>
        <w:tc>
          <w:tcPr>
            <w:tcW w:w="1569"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邮政编码</w:t>
            </w:r>
          </w:p>
        </w:tc>
        <w:tc>
          <w:tcPr>
            <w:tcW w:w="1772" w:type="dxa"/>
            <w:gridSpan w:val="2"/>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749" w:type="dxa"/>
            <w:vMerge w:val="restart"/>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联系方式</w:t>
            </w:r>
          </w:p>
        </w:tc>
        <w:tc>
          <w:tcPr>
            <w:tcW w:w="1165"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联系人</w:t>
            </w:r>
          </w:p>
        </w:tc>
        <w:tc>
          <w:tcPr>
            <w:tcW w:w="3698" w:type="dxa"/>
            <w:gridSpan w:val="5"/>
            <w:vAlign w:val="center"/>
          </w:tcPr>
          <w:p>
            <w:pPr>
              <w:spacing w:line="360" w:lineRule="auto"/>
              <w:jc w:val="center"/>
              <w:rPr>
                <w:rFonts w:hAnsi="宋体" w:cs="宋体"/>
                <w:bCs/>
                <w:color w:val="000000"/>
                <w:sz w:val="24"/>
                <w:szCs w:val="24"/>
                <w:highlight w:val="none"/>
              </w:rPr>
            </w:pPr>
          </w:p>
        </w:tc>
        <w:tc>
          <w:tcPr>
            <w:tcW w:w="1569"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联系电话</w:t>
            </w:r>
          </w:p>
        </w:tc>
        <w:tc>
          <w:tcPr>
            <w:tcW w:w="1772" w:type="dxa"/>
            <w:gridSpan w:val="2"/>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749" w:type="dxa"/>
            <w:vMerge w:val="continue"/>
            <w:vAlign w:val="center"/>
          </w:tcPr>
          <w:p>
            <w:pPr>
              <w:spacing w:line="360" w:lineRule="auto"/>
              <w:jc w:val="center"/>
              <w:rPr>
                <w:rFonts w:hAnsi="宋体" w:cs="宋体"/>
                <w:bCs/>
                <w:color w:val="000000"/>
                <w:sz w:val="24"/>
                <w:szCs w:val="24"/>
                <w:highlight w:val="none"/>
              </w:rPr>
            </w:pPr>
          </w:p>
        </w:tc>
        <w:tc>
          <w:tcPr>
            <w:tcW w:w="1165"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传真</w:t>
            </w:r>
          </w:p>
        </w:tc>
        <w:tc>
          <w:tcPr>
            <w:tcW w:w="3698" w:type="dxa"/>
            <w:gridSpan w:val="5"/>
            <w:vAlign w:val="center"/>
          </w:tcPr>
          <w:p>
            <w:pPr>
              <w:spacing w:line="360" w:lineRule="auto"/>
              <w:jc w:val="center"/>
              <w:rPr>
                <w:rFonts w:hAnsi="宋体" w:cs="宋体"/>
                <w:bCs/>
                <w:color w:val="000000"/>
                <w:sz w:val="24"/>
                <w:szCs w:val="24"/>
                <w:highlight w:val="none"/>
              </w:rPr>
            </w:pPr>
          </w:p>
        </w:tc>
        <w:tc>
          <w:tcPr>
            <w:tcW w:w="1569"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网址</w:t>
            </w:r>
          </w:p>
        </w:tc>
        <w:tc>
          <w:tcPr>
            <w:tcW w:w="1772" w:type="dxa"/>
            <w:gridSpan w:val="2"/>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组织结构</w:t>
            </w:r>
          </w:p>
        </w:tc>
        <w:tc>
          <w:tcPr>
            <w:tcW w:w="8204" w:type="dxa"/>
            <w:gridSpan w:val="11"/>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法定代表人</w:t>
            </w:r>
          </w:p>
        </w:tc>
        <w:tc>
          <w:tcPr>
            <w:tcW w:w="1358" w:type="dxa"/>
            <w:gridSpan w:val="2"/>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姓名</w:t>
            </w:r>
          </w:p>
        </w:tc>
        <w:tc>
          <w:tcPr>
            <w:tcW w:w="1366" w:type="dxa"/>
            <w:vAlign w:val="center"/>
          </w:tcPr>
          <w:p>
            <w:pPr>
              <w:spacing w:line="360" w:lineRule="auto"/>
              <w:jc w:val="center"/>
              <w:rPr>
                <w:rFonts w:hAnsi="宋体" w:cs="宋体"/>
                <w:bCs/>
                <w:color w:val="000000"/>
                <w:sz w:val="24"/>
                <w:szCs w:val="24"/>
                <w:highlight w:val="none"/>
              </w:rPr>
            </w:pPr>
          </w:p>
        </w:tc>
        <w:tc>
          <w:tcPr>
            <w:tcW w:w="1362"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技术职称</w:t>
            </w:r>
          </w:p>
        </w:tc>
        <w:tc>
          <w:tcPr>
            <w:tcW w:w="1360" w:type="dxa"/>
            <w:gridSpan w:val="3"/>
            <w:vAlign w:val="center"/>
          </w:tcPr>
          <w:p>
            <w:pPr>
              <w:spacing w:line="360" w:lineRule="auto"/>
              <w:jc w:val="center"/>
              <w:rPr>
                <w:rFonts w:hAnsi="宋体" w:cs="宋体"/>
                <w:bCs/>
                <w:color w:val="000000"/>
                <w:sz w:val="24"/>
                <w:szCs w:val="24"/>
                <w:highlight w:val="none"/>
              </w:rPr>
            </w:pPr>
          </w:p>
        </w:tc>
        <w:tc>
          <w:tcPr>
            <w:tcW w:w="1358"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联系电话</w:t>
            </w:r>
          </w:p>
        </w:tc>
        <w:tc>
          <w:tcPr>
            <w:tcW w:w="1400" w:type="dxa"/>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技术负责人</w:t>
            </w:r>
          </w:p>
        </w:tc>
        <w:tc>
          <w:tcPr>
            <w:tcW w:w="1358" w:type="dxa"/>
            <w:gridSpan w:val="2"/>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姓名</w:t>
            </w:r>
          </w:p>
        </w:tc>
        <w:tc>
          <w:tcPr>
            <w:tcW w:w="1366" w:type="dxa"/>
            <w:vAlign w:val="center"/>
          </w:tcPr>
          <w:p>
            <w:pPr>
              <w:spacing w:line="360" w:lineRule="auto"/>
              <w:jc w:val="center"/>
              <w:rPr>
                <w:rFonts w:hAnsi="宋体" w:cs="宋体"/>
                <w:bCs/>
                <w:color w:val="000000"/>
                <w:sz w:val="24"/>
                <w:szCs w:val="24"/>
                <w:highlight w:val="none"/>
              </w:rPr>
            </w:pPr>
          </w:p>
        </w:tc>
        <w:tc>
          <w:tcPr>
            <w:tcW w:w="1362"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技术职称</w:t>
            </w:r>
          </w:p>
        </w:tc>
        <w:tc>
          <w:tcPr>
            <w:tcW w:w="1360" w:type="dxa"/>
            <w:gridSpan w:val="3"/>
            <w:vAlign w:val="center"/>
          </w:tcPr>
          <w:p>
            <w:pPr>
              <w:spacing w:line="360" w:lineRule="auto"/>
              <w:jc w:val="center"/>
              <w:rPr>
                <w:rFonts w:hAnsi="宋体" w:cs="宋体"/>
                <w:bCs/>
                <w:color w:val="000000"/>
                <w:sz w:val="24"/>
                <w:szCs w:val="24"/>
                <w:highlight w:val="none"/>
              </w:rPr>
            </w:pPr>
          </w:p>
        </w:tc>
        <w:tc>
          <w:tcPr>
            <w:tcW w:w="1358"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联系电话</w:t>
            </w:r>
          </w:p>
        </w:tc>
        <w:tc>
          <w:tcPr>
            <w:tcW w:w="1400" w:type="dxa"/>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成立时间</w:t>
            </w:r>
          </w:p>
        </w:tc>
        <w:tc>
          <w:tcPr>
            <w:tcW w:w="2724" w:type="dxa"/>
            <w:gridSpan w:val="3"/>
            <w:vAlign w:val="center"/>
          </w:tcPr>
          <w:p>
            <w:pPr>
              <w:spacing w:line="360" w:lineRule="auto"/>
              <w:jc w:val="center"/>
              <w:rPr>
                <w:rFonts w:hAnsi="宋体" w:cs="宋体"/>
                <w:bCs/>
                <w:color w:val="000000"/>
                <w:sz w:val="24"/>
                <w:szCs w:val="24"/>
                <w:highlight w:val="none"/>
              </w:rPr>
            </w:pPr>
          </w:p>
        </w:tc>
        <w:tc>
          <w:tcPr>
            <w:tcW w:w="5480" w:type="dxa"/>
            <w:gridSpan w:val="8"/>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企业资质等级</w:t>
            </w:r>
          </w:p>
        </w:tc>
        <w:tc>
          <w:tcPr>
            <w:tcW w:w="2724" w:type="dxa"/>
            <w:gridSpan w:val="3"/>
            <w:vAlign w:val="center"/>
          </w:tcPr>
          <w:p>
            <w:pPr>
              <w:spacing w:line="360" w:lineRule="auto"/>
              <w:jc w:val="center"/>
              <w:rPr>
                <w:rFonts w:hAnsi="宋体" w:cs="宋体"/>
                <w:bCs/>
                <w:color w:val="000000"/>
                <w:sz w:val="24"/>
                <w:szCs w:val="24"/>
                <w:highlight w:val="none"/>
              </w:rPr>
            </w:pPr>
          </w:p>
        </w:tc>
        <w:tc>
          <w:tcPr>
            <w:tcW w:w="1820" w:type="dxa"/>
            <w:gridSpan w:val="2"/>
            <w:vMerge w:val="restart"/>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其中</w:t>
            </w:r>
          </w:p>
        </w:tc>
        <w:tc>
          <w:tcPr>
            <w:tcW w:w="1816"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项目经理</w:t>
            </w:r>
          </w:p>
        </w:tc>
        <w:tc>
          <w:tcPr>
            <w:tcW w:w="1844" w:type="dxa"/>
            <w:gridSpan w:val="3"/>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营业执照</w:t>
            </w:r>
            <w:r>
              <w:rPr>
                <w:rFonts w:hint="eastAsia" w:hAnsi="宋体" w:cs="宋体"/>
                <w:sz w:val="24"/>
                <w:szCs w:val="24"/>
                <w:highlight w:val="none"/>
              </w:rPr>
              <w:t>号</w:t>
            </w:r>
          </w:p>
        </w:tc>
        <w:tc>
          <w:tcPr>
            <w:tcW w:w="2724" w:type="dxa"/>
            <w:gridSpan w:val="3"/>
            <w:vAlign w:val="center"/>
          </w:tcPr>
          <w:p>
            <w:pPr>
              <w:spacing w:line="360" w:lineRule="auto"/>
              <w:jc w:val="center"/>
              <w:rPr>
                <w:rFonts w:hAnsi="宋体" w:cs="宋体"/>
                <w:bCs/>
                <w:color w:val="000000"/>
                <w:sz w:val="24"/>
                <w:szCs w:val="24"/>
                <w:highlight w:val="none"/>
              </w:rPr>
            </w:pPr>
          </w:p>
        </w:tc>
        <w:tc>
          <w:tcPr>
            <w:tcW w:w="1820" w:type="dxa"/>
            <w:gridSpan w:val="2"/>
            <w:vMerge w:val="continue"/>
            <w:vAlign w:val="center"/>
          </w:tcPr>
          <w:p>
            <w:pPr>
              <w:spacing w:line="360" w:lineRule="auto"/>
              <w:jc w:val="center"/>
              <w:rPr>
                <w:rFonts w:hAnsi="宋体" w:cs="宋体"/>
                <w:bCs/>
                <w:color w:val="000000"/>
                <w:sz w:val="24"/>
                <w:szCs w:val="24"/>
                <w:highlight w:val="none"/>
              </w:rPr>
            </w:pPr>
          </w:p>
        </w:tc>
        <w:tc>
          <w:tcPr>
            <w:tcW w:w="1816"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高级职称人员</w:t>
            </w:r>
          </w:p>
        </w:tc>
        <w:tc>
          <w:tcPr>
            <w:tcW w:w="1844" w:type="dxa"/>
            <w:gridSpan w:val="3"/>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注册资金</w:t>
            </w:r>
          </w:p>
        </w:tc>
        <w:tc>
          <w:tcPr>
            <w:tcW w:w="2724" w:type="dxa"/>
            <w:gridSpan w:val="3"/>
            <w:vAlign w:val="center"/>
          </w:tcPr>
          <w:p>
            <w:pPr>
              <w:spacing w:line="360" w:lineRule="auto"/>
              <w:jc w:val="center"/>
              <w:rPr>
                <w:rFonts w:hAnsi="宋体" w:cs="宋体"/>
                <w:bCs/>
                <w:color w:val="000000"/>
                <w:sz w:val="24"/>
                <w:szCs w:val="24"/>
                <w:highlight w:val="none"/>
              </w:rPr>
            </w:pPr>
          </w:p>
        </w:tc>
        <w:tc>
          <w:tcPr>
            <w:tcW w:w="1820" w:type="dxa"/>
            <w:gridSpan w:val="2"/>
            <w:vMerge w:val="continue"/>
            <w:vAlign w:val="center"/>
          </w:tcPr>
          <w:p>
            <w:pPr>
              <w:spacing w:line="360" w:lineRule="auto"/>
              <w:jc w:val="center"/>
              <w:rPr>
                <w:rFonts w:hAnsi="宋体" w:cs="宋体"/>
                <w:bCs/>
                <w:color w:val="000000"/>
                <w:sz w:val="24"/>
                <w:szCs w:val="24"/>
                <w:highlight w:val="none"/>
              </w:rPr>
            </w:pPr>
          </w:p>
        </w:tc>
        <w:tc>
          <w:tcPr>
            <w:tcW w:w="1816"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中级职称人员</w:t>
            </w:r>
          </w:p>
        </w:tc>
        <w:tc>
          <w:tcPr>
            <w:tcW w:w="1844" w:type="dxa"/>
            <w:gridSpan w:val="3"/>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开户银行</w:t>
            </w:r>
          </w:p>
        </w:tc>
        <w:tc>
          <w:tcPr>
            <w:tcW w:w="2724" w:type="dxa"/>
            <w:gridSpan w:val="3"/>
            <w:vAlign w:val="center"/>
          </w:tcPr>
          <w:p>
            <w:pPr>
              <w:spacing w:line="360" w:lineRule="auto"/>
              <w:jc w:val="center"/>
              <w:rPr>
                <w:rFonts w:hAnsi="宋体" w:cs="宋体"/>
                <w:bCs/>
                <w:color w:val="000000"/>
                <w:sz w:val="24"/>
                <w:szCs w:val="24"/>
                <w:highlight w:val="none"/>
              </w:rPr>
            </w:pPr>
          </w:p>
        </w:tc>
        <w:tc>
          <w:tcPr>
            <w:tcW w:w="1820" w:type="dxa"/>
            <w:gridSpan w:val="2"/>
            <w:vMerge w:val="continue"/>
            <w:vAlign w:val="center"/>
          </w:tcPr>
          <w:p>
            <w:pPr>
              <w:spacing w:line="360" w:lineRule="auto"/>
              <w:jc w:val="center"/>
              <w:rPr>
                <w:rFonts w:hAnsi="宋体" w:cs="宋体"/>
                <w:bCs/>
                <w:color w:val="000000"/>
                <w:sz w:val="24"/>
                <w:szCs w:val="24"/>
                <w:highlight w:val="none"/>
              </w:rPr>
            </w:pPr>
          </w:p>
        </w:tc>
        <w:tc>
          <w:tcPr>
            <w:tcW w:w="1816"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初级职称人员</w:t>
            </w:r>
          </w:p>
        </w:tc>
        <w:tc>
          <w:tcPr>
            <w:tcW w:w="1844" w:type="dxa"/>
            <w:gridSpan w:val="3"/>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账号</w:t>
            </w:r>
          </w:p>
        </w:tc>
        <w:tc>
          <w:tcPr>
            <w:tcW w:w="2724" w:type="dxa"/>
            <w:gridSpan w:val="3"/>
            <w:vAlign w:val="center"/>
          </w:tcPr>
          <w:p>
            <w:pPr>
              <w:spacing w:line="360" w:lineRule="auto"/>
              <w:jc w:val="center"/>
              <w:rPr>
                <w:rFonts w:hAnsi="宋体" w:cs="宋体"/>
                <w:bCs/>
                <w:color w:val="000000"/>
                <w:sz w:val="24"/>
                <w:szCs w:val="24"/>
                <w:highlight w:val="none"/>
              </w:rPr>
            </w:pPr>
          </w:p>
        </w:tc>
        <w:tc>
          <w:tcPr>
            <w:tcW w:w="1820" w:type="dxa"/>
            <w:gridSpan w:val="2"/>
            <w:vMerge w:val="continue"/>
            <w:vAlign w:val="center"/>
          </w:tcPr>
          <w:p>
            <w:pPr>
              <w:spacing w:line="360" w:lineRule="auto"/>
              <w:jc w:val="center"/>
              <w:rPr>
                <w:rFonts w:hAnsi="宋体" w:cs="宋体"/>
                <w:bCs/>
                <w:color w:val="000000"/>
                <w:sz w:val="24"/>
                <w:szCs w:val="24"/>
                <w:highlight w:val="none"/>
              </w:rPr>
            </w:pPr>
          </w:p>
        </w:tc>
        <w:tc>
          <w:tcPr>
            <w:tcW w:w="1816" w:type="dxa"/>
            <w:gridSpan w:val="3"/>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技工</w:t>
            </w:r>
          </w:p>
        </w:tc>
        <w:tc>
          <w:tcPr>
            <w:tcW w:w="1844" w:type="dxa"/>
            <w:gridSpan w:val="3"/>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经营范围</w:t>
            </w:r>
          </w:p>
        </w:tc>
        <w:tc>
          <w:tcPr>
            <w:tcW w:w="8204" w:type="dxa"/>
            <w:gridSpan w:val="11"/>
            <w:vAlign w:val="center"/>
          </w:tcPr>
          <w:p>
            <w:pPr>
              <w:spacing w:line="360" w:lineRule="auto"/>
              <w:jc w:val="center"/>
              <w:rPr>
                <w:rFonts w:hAnsi="宋体" w:cs="宋体"/>
                <w:bCs/>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749" w:type="dxa"/>
            <w:vAlign w:val="center"/>
          </w:tcPr>
          <w:p>
            <w:pPr>
              <w:spacing w:line="360" w:lineRule="auto"/>
              <w:jc w:val="center"/>
              <w:rPr>
                <w:rFonts w:hAnsi="宋体" w:cs="宋体"/>
                <w:bCs/>
                <w:color w:val="000000"/>
                <w:sz w:val="24"/>
                <w:szCs w:val="24"/>
                <w:highlight w:val="none"/>
              </w:rPr>
            </w:pPr>
            <w:r>
              <w:rPr>
                <w:rFonts w:hint="eastAsia" w:hAnsi="宋体" w:cs="宋体"/>
                <w:bCs/>
                <w:color w:val="000000"/>
                <w:sz w:val="24"/>
                <w:szCs w:val="24"/>
                <w:highlight w:val="none"/>
              </w:rPr>
              <w:t>备注</w:t>
            </w:r>
          </w:p>
        </w:tc>
        <w:tc>
          <w:tcPr>
            <w:tcW w:w="8204" w:type="dxa"/>
            <w:gridSpan w:val="11"/>
            <w:vAlign w:val="center"/>
          </w:tcPr>
          <w:p>
            <w:pPr>
              <w:spacing w:line="360" w:lineRule="auto"/>
              <w:jc w:val="center"/>
              <w:rPr>
                <w:rFonts w:hAnsi="宋体" w:cs="宋体"/>
                <w:bCs/>
                <w:color w:val="000000"/>
                <w:sz w:val="24"/>
                <w:szCs w:val="24"/>
                <w:highlight w:val="none"/>
              </w:rPr>
            </w:pPr>
          </w:p>
        </w:tc>
      </w:tr>
    </w:tbl>
    <w:p>
      <w:pPr>
        <w:adjustRightInd w:val="0"/>
        <w:spacing w:line="400" w:lineRule="exact"/>
        <w:jc w:val="left"/>
        <w:rPr>
          <w:rFonts w:hAnsi="宋体" w:cs="宋体"/>
          <w:color w:val="000000"/>
          <w:sz w:val="24"/>
          <w:highlight w:val="none"/>
        </w:rPr>
      </w:pPr>
      <w:r>
        <w:rPr>
          <w:rFonts w:hint="eastAsia" w:hAnsi="宋体" w:cs="宋体"/>
          <w:color w:val="000000"/>
          <w:sz w:val="24"/>
          <w:highlight w:val="none"/>
        </w:rPr>
        <w:t>供应商名称：XXX（盖单位公章）</w:t>
      </w:r>
    </w:p>
    <w:p>
      <w:pPr>
        <w:adjustRightInd w:val="0"/>
        <w:spacing w:line="400" w:lineRule="exact"/>
        <w:jc w:val="left"/>
        <w:rPr>
          <w:rFonts w:hAnsi="宋体" w:cs="宋体"/>
          <w:bCs/>
          <w:color w:val="000000"/>
          <w:sz w:val="24"/>
          <w:highlight w:val="none"/>
        </w:rPr>
      </w:pPr>
      <w:r>
        <w:rPr>
          <w:rFonts w:hint="eastAsia" w:hAnsi="宋体" w:cs="宋体"/>
          <w:color w:val="000000"/>
          <w:sz w:val="24"/>
          <w:highlight w:val="none"/>
        </w:rPr>
        <w:t>法定代表人（负责人）或授权代表（签字或盖章）：XXX</w:t>
      </w:r>
    </w:p>
    <w:p>
      <w:pPr>
        <w:adjustRightInd w:val="0"/>
        <w:spacing w:line="400" w:lineRule="exact"/>
        <w:jc w:val="left"/>
        <w:rPr>
          <w:rFonts w:hAnsi="宋体" w:cs="宋体"/>
          <w:bCs/>
          <w:color w:val="000000"/>
          <w:sz w:val="24"/>
          <w:highlight w:val="none"/>
        </w:rPr>
      </w:pPr>
      <w:r>
        <w:rPr>
          <w:rFonts w:hint="eastAsia" w:hAnsi="宋体" w:cs="宋体"/>
          <w:bCs/>
          <w:color w:val="000000"/>
          <w:sz w:val="24"/>
          <w:highlight w:val="none"/>
        </w:rPr>
        <w:t>日  期：XXX年XXX月XXX日</w:t>
      </w:r>
    </w:p>
    <w:p>
      <w:pPr>
        <w:rPr>
          <w:rFonts w:hAnsi="宋体" w:cs="宋体"/>
          <w:b/>
          <w:bCs/>
          <w:color w:val="000000"/>
          <w:sz w:val="36"/>
          <w:highlight w:val="none"/>
        </w:rPr>
      </w:pPr>
    </w:p>
    <w:p>
      <w:pPr>
        <w:pStyle w:val="2"/>
        <w:rPr>
          <w:rFonts w:hAnsi="宋体" w:cs="宋体"/>
          <w:b/>
          <w:bCs/>
          <w:color w:val="000000"/>
          <w:sz w:val="36"/>
          <w:highlight w:val="none"/>
        </w:rPr>
      </w:pPr>
    </w:p>
    <w:p>
      <w:pPr>
        <w:rPr>
          <w:rFonts w:hAnsi="宋体" w:cs="宋体"/>
          <w:b/>
          <w:bCs/>
          <w:color w:val="000000"/>
          <w:sz w:val="36"/>
          <w:highlight w:val="none"/>
        </w:rPr>
      </w:pPr>
    </w:p>
    <w:p>
      <w:pPr>
        <w:pStyle w:val="2"/>
        <w:rPr>
          <w:rFonts w:hAnsi="宋体" w:cs="宋体"/>
          <w:b/>
          <w:bCs/>
          <w:color w:val="000000"/>
          <w:sz w:val="36"/>
          <w:highlight w:val="none"/>
        </w:rPr>
      </w:pPr>
    </w:p>
    <w:p>
      <w:pPr>
        <w:rPr>
          <w:highlight w:val="none"/>
        </w:rPr>
      </w:pPr>
    </w:p>
    <w:p>
      <w:pPr>
        <w:spacing w:line="400" w:lineRule="exact"/>
        <w:ind w:firstLine="640" w:firstLineChars="200"/>
        <w:jc w:val="center"/>
        <w:rPr>
          <w:rFonts w:hAnsi="宋体" w:cs="宋体"/>
          <w:b/>
          <w:color w:val="000000"/>
          <w:sz w:val="32"/>
          <w:szCs w:val="32"/>
          <w:highlight w:val="none"/>
        </w:rPr>
      </w:pPr>
      <w:r>
        <w:rPr>
          <w:rFonts w:hint="eastAsia" w:hAnsi="宋体" w:cs="宋体"/>
          <w:b/>
          <w:color w:val="000000"/>
          <w:sz w:val="32"/>
          <w:szCs w:val="32"/>
          <w:highlight w:val="none"/>
        </w:rPr>
        <w:t>三、承诺函</w:t>
      </w:r>
    </w:p>
    <w:p>
      <w:pPr>
        <w:spacing w:line="400" w:lineRule="exact"/>
        <w:ind w:firstLine="560" w:firstLineChars="200"/>
        <w:jc w:val="center"/>
        <w:rPr>
          <w:rFonts w:hAnsi="宋体" w:cs="宋体"/>
          <w:b/>
          <w:color w:val="000000"/>
          <w:sz w:val="28"/>
          <w:szCs w:val="28"/>
          <w:highlight w:val="none"/>
        </w:rPr>
      </w:pPr>
    </w:p>
    <w:p>
      <w:pPr>
        <w:spacing w:line="288" w:lineRule="auto"/>
        <w:rPr>
          <w:rFonts w:hAnsi="宋体" w:cs="宋体"/>
          <w:color w:val="000000"/>
          <w:sz w:val="24"/>
          <w:szCs w:val="24"/>
          <w:highlight w:val="none"/>
        </w:rPr>
      </w:pPr>
      <w:r>
        <w:rPr>
          <w:rFonts w:hint="eastAsia" w:hAnsi="宋体" w:cs="宋体"/>
          <w:color w:val="000000"/>
          <w:sz w:val="24"/>
          <w:szCs w:val="24"/>
          <w:highlight w:val="none"/>
        </w:rPr>
        <w:t>XXX（采购代理机构名称）：</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我公司作为本次采购项目的供应商，根据磋商文件要求，现郑重承诺如下：</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一、具备《中华人民共和国政府采购法》第二十二条第一款和本项目规定的条件：</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（一）具有独立承担民事责任的能力；</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（二）具有良好的商业信誉和健全的财务会计制度；</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（三）具有履行合同所必需的设备和专业技术能力；</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（四）有依法缴纳税收和社会保障资金的良好记录；</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（五）参加政府采购活动前三年内，在经营活动中没有重大违法记录；</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（六）法律、行政法规规定的其他条件；</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（七）根据采购项目提出的特殊条件。</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三、在参加本次采购活动中，不存在与单位负责人为同一人或者存在直接控股、管理关系的其他供应商参与同一合同项下的政府采购活动的行为。</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四、在参加本次采购活动中，不存在和其他供应商在同一合同项下的采购项目中，同时委托同一个自然人、同一家庭的人员、同一单位的人员作为代理人的行为。</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五、</w:t>
      </w:r>
      <w:r>
        <w:rPr>
          <w:rFonts w:hint="eastAsia"/>
          <w:sz w:val="24"/>
          <w:szCs w:val="24"/>
          <w:highlight w:val="none"/>
        </w:rPr>
        <w:t>如果有《四川省公共资源交易领域严重失信联合惩戒实施办法》（</w:t>
      </w:r>
      <w:r>
        <w:rPr>
          <w:sz w:val="24"/>
          <w:szCs w:val="24"/>
          <w:highlight w:val="none"/>
        </w:rPr>
        <w:t>川发改信用规〔</w:t>
      </w:r>
      <w:r>
        <w:rPr>
          <w:rFonts w:hint="eastAsia"/>
          <w:sz w:val="24"/>
          <w:szCs w:val="24"/>
          <w:highlight w:val="none"/>
        </w:rPr>
        <w:t>2019〕405号）、《</w:t>
      </w:r>
      <w:r>
        <w:rPr>
          <w:sz w:val="24"/>
          <w:szCs w:val="24"/>
          <w:highlight w:val="none"/>
        </w:rPr>
        <w:t>关于对政府采购领域严重违法失信主体开展联合惩戒的合作备忘录》（发改财金〔</w:t>
      </w:r>
      <w:r>
        <w:rPr>
          <w:rFonts w:hint="eastAsia"/>
          <w:sz w:val="24"/>
          <w:szCs w:val="24"/>
          <w:highlight w:val="none"/>
        </w:rPr>
        <w:t>2018〕1614号）文件规定的失信行为，将在磋商文件中全面如实反映</w:t>
      </w:r>
      <w:r>
        <w:rPr>
          <w:rFonts w:hint="eastAsia" w:hAnsi="宋体" w:cs="宋体"/>
          <w:color w:val="000000"/>
          <w:sz w:val="24"/>
          <w:szCs w:val="24"/>
          <w:highlight w:val="none"/>
        </w:rPr>
        <w:t>。</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六、响应文件中提供的任何资料和技术、服务、商务等响应承诺情况都是真实的、有效的、合法的。</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本公司对上述承诺的内容事项真实性负责。如经</w:t>
      </w:r>
      <w:r>
        <w:rPr>
          <w:rFonts w:hint="eastAsia" w:hAnsi="宋体" w:cs="宋体"/>
          <w:sz w:val="24"/>
          <w:szCs w:val="24"/>
          <w:highlight w:val="none"/>
        </w:rPr>
        <w:t>查实上述承诺的内容事项存在虚假，我公司愿意接受以提供虚假材料谋取成交的法</w:t>
      </w:r>
      <w:r>
        <w:rPr>
          <w:rFonts w:hint="eastAsia" w:hAnsi="宋体" w:cs="宋体"/>
          <w:color w:val="000000"/>
          <w:sz w:val="24"/>
          <w:szCs w:val="24"/>
          <w:highlight w:val="none"/>
        </w:rPr>
        <w:t>律责任。</w:t>
      </w:r>
    </w:p>
    <w:p>
      <w:pPr>
        <w:spacing w:line="288" w:lineRule="auto"/>
        <w:rPr>
          <w:rFonts w:hAnsi="宋体" w:cs="宋体"/>
          <w:color w:val="000000"/>
          <w:sz w:val="24"/>
          <w:szCs w:val="24"/>
          <w:highlight w:val="none"/>
        </w:rPr>
      </w:pPr>
    </w:p>
    <w:p>
      <w:pPr>
        <w:spacing w:line="288" w:lineRule="auto"/>
        <w:rPr>
          <w:rFonts w:hAnsi="宋体" w:cs="宋体"/>
          <w:color w:val="000000"/>
          <w:sz w:val="24"/>
          <w:szCs w:val="24"/>
          <w:highlight w:val="none"/>
        </w:rPr>
      </w:pP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法定代表人（负责人）或授权代表（签字或盖章）：XXX</w:t>
      </w:r>
    </w:p>
    <w:p>
      <w:pPr>
        <w:spacing w:line="288" w:lineRule="auto"/>
        <w:ind w:firstLine="480" w:firstLineChars="200"/>
        <w:rPr>
          <w:rFonts w:hAnsi="宋体" w:cs="宋体"/>
          <w:color w:val="000000"/>
          <w:sz w:val="24"/>
          <w:szCs w:val="24"/>
          <w:highlight w:val="none"/>
        </w:rPr>
      </w:pPr>
      <w:r>
        <w:rPr>
          <w:rFonts w:hint="eastAsia" w:hAnsi="宋体" w:cs="宋体"/>
          <w:color w:val="000000"/>
          <w:sz w:val="24"/>
          <w:szCs w:val="24"/>
          <w:highlight w:val="none"/>
        </w:rPr>
        <w:t>供应商名称：XXXX（盖章）</w:t>
      </w:r>
    </w:p>
    <w:p>
      <w:pPr>
        <w:spacing w:line="288" w:lineRule="auto"/>
        <w:ind w:firstLine="480" w:firstLineChars="200"/>
        <w:rPr>
          <w:rFonts w:hAnsi="宋体" w:cs="宋体"/>
          <w:bCs/>
          <w:color w:val="000000"/>
          <w:sz w:val="24"/>
          <w:szCs w:val="24"/>
          <w:highlight w:val="none"/>
        </w:rPr>
      </w:pPr>
      <w:r>
        <w:rPr>
          <w:rFonts w:hint="eastAsia" w:hAnsi="宋体" w:cs="宋体"/>
          <w:color w:val="000000"/>
          <w:sz w:val="24"/>
          <w:szCs w:val="24"/>
          <w:highlight w:val="none"/>
        </w:rPr>
        <w:t>日    期：XXX年XXX月XXX日</w:t>
      </w:r>
    </w:p>
    <w:p>
      <w:pPr>
        <w:jc w:val="center"/>
        <w:rPr>
          <w:rFonts w:hint="eastAsia" w:hAnsi="宋体" w:cs="宋体"/>
          <w:b/>
          <w:color w:val="000000"/>
          <w:sz w:val="32"/>
          <w:szCs w:val="32"/>
          <w:highlight w:val="none"/>
        </w:rPr>
      </w:pPr>
      <w:r>
        <w:rPr>
          <w:rFonts w:hint="eastAsia" w:hAnsi="宋体" w:cs="宋体"/>
          <w:bCs/>
          <w:color w:val="000000"/>
          <w:sz w:val="30"/>
          <w:szCs w:val="30"/>
          <w:highlight w:val="none"/>
        </w:rPr>
        <w:br w:type="page"/>
      </w:r>
      <w:r>
        <w:rPr>
          <w:rFonts w:hint="eastAsia" w:hAnsi="宋体" w:cs="宋体"/>
          <w:b/>
          <w:color w:val="000000"/>
          <w:sz w:val="32"/>
          <w:szCs w:val="32"/>
          <w:highlight w:val="none"/>
        </w:rPr>
        <w:t>四、报价函</w:t>
      </w:r>
    </w:p>
    <w:p>
      <w:pPr>
        <w:spacing w:line="360" w:lineRule="auto"/>
        <w:rPr>
          <w:rFonts w:hAnsi="宋体" w:cs="宋体"/>
          <w:color w:val="000000"/>
          <w:sz w:val="24"/>
          <w:highlight w:val="none"/>
        </w:rPr>
      </w:pPr>
    </w:p>
    <w:p>
      <w:pPr>
        <w:spacing w:line="360" w:lineRule="auto"/>
        <w:rPr>
          <w:rFonts w:hAnsi="宋体" w:cs="宋体"/>
          <w:color w:val="000000"/>
          <w:sz w:val="24"/>
          <w:highlight w:val="none"/>
        </w:rPr>
      </w:pPr>
      <w:r>
        <w:rPr>
          <w:rFonts w:hint="eastAsia" w:hAnsi="宋体" w:cs="宋体"/>
          <w:color w:val="000000"/>
          <w:sz w:val="24"/>
          <w:highlight w:val="none"/>
        </w:rPr>
        <w:t>XXX（采购代理机构名称）：</w:t>
      </w:r>
    </w:p>
    <w:p>
      <w:pPr>
        <w:spacing w:line="360" w:lineRule="auto"/>
        <w:ind w:firstLine="480" w:firstLineChars="200"/>
        <w:jc w:val="left"/>
        <w:rPr>
          <w:rFonts w:hAnsi="宋体" w:cs="宋体"/>
          <w:color w:val="000000"/>
          <w:sz w:val="24"/>
          <w:highlight w:val="none"/>
        </w:rPr>
      </w:pPr>
      <w:r>
        <w:rPr>
          <w:rFonts w:hint="eastAsia" w:hAnsi="宋体" w:cs="宋体"/>
          <w:color w:val="000000"/>
          <w:sz w:val="24"/>
          <w:highlight w:val="none"/>
        </w:rPr>
        <w:t>1.我方全面研究了“</w:t>
      </w:r>
      <w:r>
        <w:rPr>
          <w:rFonts w:hint="eastAsia" w:hAnsi="宋体" w:cs="宋体"/>
          <w:color w:val="000000"/>
          <w:sz w:val="24"/>
          <w:highlight w:val="none"/>
          <w:u w:val="single"/>
        </w:rPr>
        <w:t>XXXXXX</w:t>
      </w:r>
      <w:r>
        <w:rPr>
          <w:rFonts w:hint="eastAsia" w:hAnsi="宋体" w:cs="宋体"/>
          <w:color w:val="000000"/>
          <w:sz w:val="24"/>
          <w:highlight w:val="none"/>
        </w:rPr>
        <w:t>”项目磋商文件（项目编号：</w:t>
      </w:r>
      <w:r>
        <w:rPr>
          <w:rFonts w:hint="eastAsia" w:hAnsi="宋体" w:cs="宋体"/>
          <w:color w:val="000000"/>
          <w:sz w:val="24"/>
          <w:highlight w:val="none"/>
          <w:u w:val="single"/>
        </w:rPr>
        <w:t>XXXXXX</w:t>
      </w:r>
      <w:r>
        <w:rPr>
          <w:rFonts w:hint="eastAsia" w:hAnsi="宋体" w:cs="宋体"/>
          <w:color w:val="000000"/>
          <w:sz w:val="24"/>
          <w:highlight w:val="none"/>
        </w:rPr>
        <w:t>），决定参加贵单位组织的本项目磋商采购。</w:t>
      </w:r>
    </w:p>
    <w:p>
      <w:pPr>
        <w:spacing w:line="360" w:lineRule="auto"/>
        <w:ind w:firstLine="480" w:firstLineChars="200"/>
        <w:jc w:val="left"/>
        <w:rPr>
          <w:rFonts w:hAnsi="宋体" w:cs="宋体"/>
          <w:color w:val="000000"/>
          <w:sz w:val="24"/>
          <w:highlight w:val="none"/>
        </w:rPr>
      </w:pPr>
      <w:r>
        <w:rPr>
          <w:rFonts w:hint="eastAsia" w:hAnsi="宋体" w:cs="宋体"/>
          <w:color w:val="000000"/>
          <w:sz w:val="24"/>
          <w:highlight w:val="none"/>
        </w:rPr>
        <w:t>2.一旦我方成交，我方将严格履行政府采购合同规定的责任和义务。</w:t>
      </w:r>
    </w:p>
    <w:p>
      <w:pPr>
        <w:spacing w:line="360" w:lineRule="auto"/>
        <w:ind w:firstLine="480" w:firstLineChars="200"/>
        <w:jc w:val="left"/>
        <w:rPr>
          <w:rFonts w:hAnsi="宋体" w:cs="宋体"/>
          <w:color w:val="000000"/>
          <w:sz w:val="24"/>
          <w:highlight w:val="none"/>
        </w:rPr>
      </w:pPr>
      <w:r>
        <w:rPr>
          <w:rFonts w:hint="eastAsia" w:hAnsi="宋体" w:cs="宋体"/>
          <w:color w:val="000000"/>
          <w:sz w:val="24"/>
          <w:highlight w:val="none"/>
        </w:rPr>
        <w:t>3.</w:t>
      </w:r>
      <w:r>
        <w:rPr>
          <w:rFonts w:hint="eastAsia"/>
          <w:sz w:val="24"/>
          <w:highlight w:val="none"/>
        </w:rPr>
        <w:t>我方同意本</w:t>
      </w:r>
      <w:r>
        <w:rPr>
          <w:rFonts w:hint="eastAsia"/>
          <w:sz w:val="24"/>
          <w:highlight w:val="none"/>
          <w:lang w:eastAsia="zh-CN"/>
        </w:rPr>
        <w:t>磋商文件</w:t>
      </w:r>
      <w:r>
        <w:rPr>
          <w:rFonts w:hint="eastAsia"/>
          <w:sz w:val="24"/>
          <w:highlight w:val="none"/>
        </w:rPr>
        <w:t>依据《四川省公共资源交易领域严重失信联合惩戒实施办法》（</w:t>
      </w:r>
      <w:r>
        <w:rPr>
          <w:sz w:val="24"/>
          <w:highlight w:val="none"/>
        </w:rPr>
        <w:t>川发改信用规〔</w:t>
      </w:r>
      <w:r>
        <w:rPr>
          <w:rFonts w:hint="eastAsia"/>
          <w:sz w:val="24"/>
          <w:highlight w:val="none"/>
        </w:rPr>
        <w:t>2019〕405号）、《</w:t>
      </w:r>
      <w:r>
        <w:rPr>
          <w:sz w:val="24"/>
          <w:highlight w:val="none"/>
        </w:rPr>
        <w:t>关于对政府采购领域严重违法失信主体开展联合惩戒的合作备忘录》（发改财金〔</w:t>
      </w:r>
      <w:r>
        <w:rPr>
          <w:rFonts w:hint="eastAsia"/>
          <w:sz w:val="24"/>
          <w:highlight w:val="none"/>
        </w:rPr>
        <w:t>2018〕1614号）文件规定的要求对我方可能存在的失信行为进行的惩戒</w:t>
      </w:r>
      <w:r>
        <w:rPr>
          <w:rFonts w:hint="eastAsia" w:hAnsi="宋体" w:cs="宋体"/>
          <w:color w:val="000000"/>
          <w:sz w:val="24"/>
          <w:highlight w:val="none"/>
        </w:rPr>
        <w:t>。</w:t>
      </w:r>
    </w:p>
    <w:p>
      <w:pPr>
        <w:spacing w:line="360" w:lineRule="auto"/>
        <w:ind w:firstLine="480" w:firstLineChars="200"/>
        <w:jc w:val="left"/>
        <w:rPr>
          <w:rFonts w:hAnsi="宋体" w:cs="宋体"/>
          <w:color w:val="000000"/>
          <w:sz w:val="24"/>
          <w:highlight w:val="none"/>
        </w:rPr>
      </w:pPr>
      <w:r>
        <w:rPr>
          <w:rFonts w:hint="eastAsia" w:hAnsi="宋体" w:cs="宋体"/>
          <w:color w:val="000000"/>
          <w:sz w:val="24"/>
          <w:highlight w:val="none"/>
        </w:rPr>
        <w:t>4.我方为本项目提交的</w:t>
      </w:r>
      <w:r>
        <w:rPr>
          <w:rFonts w:hint="eastAsia" w:hAnsi="宋体" w:cs="宋体"/>
          <w:color w:val="000000"/>
          <w:sz w:val="24"/>
          <w:highlight w:val="none"/>
          <w:lang w:val="zh-CN"/>
        </w:rPr>
        <w:t>资格性响应文件</w:t>
      </w:r>
      <w:r>
        <w:rPr>
          <w:rFonts w:hint="eastAsia" w:hAnsi="宋体" w:cs="宋体"/>
          <w:color w:val="000000"/>
          <w:sz w:val="24"/>
          <w:highlight w:val="none"/>
        </w:rPr>
        <w:t>正本</w:t>
      </w:r>
      <w:r>
        <w:rPr>
          <w:rFonts w:hint="eastAsia" w:hAnsi="宋体" w:cs="宋体"/>
          <w:color w:val="000000"/>
          <w:sz w:val="24"/>
          <w:highlight w:val="none"/>
          <w:u w:val="single"/>
        </w:rPr>
        <w:t>XX</w:t>
      </w:r>
      <w:r>
        <w:rPr>
          <w:rFonts w:hint="eastAsia" w:hAnsi="宋体" w:cs="宋体"/>
          <w:color w:val="000000"/>
          <w:sz w:val="24"/>
          <w:highlight w:val="none"/>
        </w:rPr>
        <w:t>份，其他响应文件正本</w:t>
      </w:r>
      <w:r>
        <w:rPr>
          <w:rFonts w:hint="eastAsia" w:hAnsi="宋体" w:cs="宋体"/>
          <w:color w:val="000000"/>
          <w:sz w:val="24"/>
          <w:highlight w:val="none"/>
          <w:u w:val="single"/>
        </w:rPr>
        <w:t>XX</w:t>
      </w:r>
      <w:r>
        <w:rPr>
          <w:rFonts w:hint="eastAsia" w:hAnsi="宋体" w:cs="宋体"/>
          <w:color w:val="000000"/>
          <w:sz w:val="24"/>
          <w:highlight w:val="none"/>
        </w:rPr>
        <w:t>份,副本</w:t>
      </w:r>
      <w:r>
        <w:rPr>
          <w:rFonts w:hint="eastAsia" w:hAnsi="宋体" w:cs="宋体"/>
          <w:color w:val="000000"/>
          <w:sz w:val="24"/>
          <w:highlight w:val="none"/>
          <w:u w:val="single"/>
        </w:rPr>
        <w:t>XX</w:t>
      </w:r>
      <w:r>
        <w:rPr>
          <w:rFonts w:hint="eastAsia" w:hAnsi="宋体" w:cs="宋体"/>
          <w:color w:val="000000"/>
          <w:sz w:val="24"/>
          <w:highlight w:val="none"/>
        </w:rPr>
        <w:t>份，用于磋商报价。</w:t>
      </w:r>
    </w:p>
    <w:p>
      <w:pPr>
        <w:spacing w:line="360" w:lineRule="auto"/>
        <w:ind w:firstLine="480" w:firstLineChars="200"/>
        <w:jc w:val="left"/>
        <w:rPr>
          <w:rFonts w:hAnsi="宋体" w:cs="宋体"/>
          <w:color w:val="000000"/>
          <w:sz w:val="24"/>
          <w:highlight w:val="none"/>
        </w:rPr>
      </w:pPr>
      <w:r>
        <w:rPr>
          <w:rFonts w:hint="eastAsia" w:hAnsi="宋体" w:cs="宋体"/>
          <w:color w:val="000000"/>
          <w:sz w:val="24"/>
          <w:highlight w:val="none"/>
        </w:rPr>
        <w:t>5.我方愿意提供贵单位可能另外要求的，与磋商报价有关的文件资料，并保证我方已提供和将要提供的文件资料是真实、准确的。</w:t>
      </w:r>
    </w:p>
    <w:p>
      <w:pPr>
        <w:spacing w:line="360" w:lineRule="auto"/>
        <w:ind w:firstLine="480" w:firstLineChars="200"/>
        <w:jc w:val="left"/>
        <w:rPr>
          <w:rFonts w:hint="eastAsia" w:hAnsi="宋体" w:cs="宋体"/>
          <w:color w:val="000000"/>
          <w:sz w:val="24"/>
          <w:highlight w:val="none"/>
        </w:rPr>
      </w:pPr>
      <w:r>
        <w:rPr>
          <w:rFonts w:hint="eastAsia" w:hAnsi="宋体" w:cs="宋体"/>
          <w:color w:val="000000"/>
          <w:sz w:val="24"/>
          <w:highlight w:val="none"/>
        </w:rPr>
        <w:t>6.本次磋商，我方递交的响应文件有效期为</w:t>
      </w:r>
      <w:r>
        <w:rPr>
          <w:rFonts w:hint="eastAsia" w:hAnsi="宋体" w:cs="宋体"/>
          <w:color w:val="000000"/>
          <w:sz w:val="24"/>
          <w:highlight w:val="none"/>
          <w:lang w:val="zh-CN"/>
        </w:rPr>
        <w:t>递交磋商响应文件截止之日起</w:t>
      </w:r>
      <w:r>
        <w:rPr>
          <w:rFonts w:hint="eastAsia" w:hAnsi="宋体" w:cs="宋体"/>
          <w:color w:val="000000"/>
          <w:sz w:val="24"/>
          <w:highlight w:val="none"/>
          <w:u w:val="single"/>
          <w:lang w:val="en-US" w:eastAsia="zh-CN"/>
        </w:rPr>
        <w:t>XX</w:t>
      </w:r>
      <w:r>
        <w:rPr>
          <w:rFonts w:hint="eastAsia" w:hAnsi="宋体" w:cs="宋体"/>
          <w:color w:val="000000"/>
          <w:sz w:val="24"/>
          <w:highlight w:val="none"/>
          <w:lang w:val="zh-CN"/>
        </w:rPr>
        <w:t>天</w:t>
      </w:r>
      <w:r>
        <w:rPr>
          <w:rFonts w:hint="eastAsia" w:hAnsi="宋体" w:cs="宋体"/>
          <w:color w:val="000000"/>
          <w:sz w:val="24"/>
          <w:highlight w:val="none"/>
        </w:rPr>
        <w:t>。</w:t>
      </w:r>
    </w:p>
    <w:p>
      <w:pPr>
        <w:adjustRightInd w:val="0"/>
        <w:spacing w:line="400" w:lineRule="exact"/>
        <w:ind w:firstLine="480" w:firstLineChars="200"/>
        <w:jc w:val="left"/>
        <w:rPr>
          <w:rFonts w:hAnsi="宋体" w:cs="宋体"/>
          <w:color w:val="000000"/>
          <w:sz w:val="24"/>
          <w:highlight w:val="none"/>
        </w:rPr>
      </w:pPr>
    </w:p>
    <w:p>
      <w:pPr>
        <w:adjustRightInd w:val="0"/>
        <w:spacing w:line="400" w:lineRule="exact"/>
        <w:ind w:firstLine="480" w:firstLineChars="200"/>
        <w:jc w:val="left"/>
        <w:rPr>
          <w:rFonts w:hAnsi="宋体" w:cs="宋体"/>
          <w:color w:val="000000"/>
          <w:sz w:val="24"/>
          <w:highlight w:val="none"/>
        </w:rPr>
      </w:pPr>
    </w:p>
    <w:p>
      <w:pPr>
        <w:adjustRightInd w:val="0"/>
        <w:spacing w:line="400" w:lineRule="exact"/>
        <w:ind w:firstLine="480" w:firstLineChars="200"/>
        <w:jc w:val="left"/>
        <w:rPr>
          <w:rFonts w:hAnsi="宋体" w:cs="宋体"/>
          <w:color w:val="000000"/>
          <w:sz w:val="24"/>
          <w:highlight w:val="none"/>
        </w:rPr>
      </w:pPr>
      <w:r>
        <w:rPr>
          <w:rFonts w:hint="eastAsia" w:hAnsi="宋体" w:cs="宋体"/>
          <w:color w:val="000000"/>
          <w:sz w:val="24"/>
          <w:highlight w:val="none"/>
        </w:rPr>
        <w:t>供应商名称：XXX（盖单位公章）</w:t>
      </w:r>
    </w:p>
    <w:p>
      <w:pPr>
        <w:spacing w:line="400" w:lineRule="exact"/>
        <w:ind w:firstLine="470" w:firstLineChars="196"/>
        <w:rPr>
          <w:rFonts w:hAnsi="宋体" w:cs="宋体"/>
          <w:color w:val="000000"/>
          <w:sz w:val="24"/>
          <w:highlight w:val="none"/>
        </w:rPr>
      </w:pPr>
      <w:r>
        <w:rPr>
          <w:rFonts w:hint="eastAsia" w:hAnsi="宋体" w:cs="宋体"/>
          <w:color w:val="000000"/>
          <w:sz w:val="24"/>
          <w:highlight w:val="none"/>
        </w:rPr>
        <w:t>法定代表人（负责人）或授权代表（签字或盖章）：XXX</w:t>
      </w:r>
    </w:p>
    <w:p>
      <w:pPr>
        <w:spacing w:line="400" w:lineRule="exact"/>
        <w:ind w:firstLine="470" w:firstLineChars="196"/>
        <w:rPr>
          <w:rFonts w:hAnsi="宋体" w:cs="宋体"/>
          <w:color w:val="000000"/>
          <w:sz w:val="24"/>
          <w:highlight w:val="none"/>
        </w:rPr>
      </w:pPr>
      <w:r>
        <w:rPr>
          <w:rFonts w:hint="eastAsia" w:hAnsi="宋体" w:cs="宋体"/>
          <w:color w:val="000000"/>
          <w:sz w:val="24"/>
          <w:highlight w:val="none"/>
        </w:rPr>
        <w:t>通讯地址：XXX</w:t>
      </w:r>
    </w:p>
    <w:p>
      <w:pPr>
        <w:spacing w:line="400" w:lineRule="exact"/>
        <w:ind w:firstLine="470" w:firstLineChars="196"/>
        <w:rPr>
          <w:rFonts w:hAnsi="宋体" w:cs="宋体"/>
          <w:color w:val="000000"/>
          <w:sz w:val="24"/>
          <w:highlight w:val="none"/>
        </w:rPr>
      </w:pPr>
      <w:r>
        <w:rPr>
          <w:rFonts w:hint="eastAsia" w:hAnsi="宋体" w:cs="宋体"/>
          <w:color w:val="000000"/>
          <w:sz w:val="24"/>
          <w:highlight w:val="none"/>
        </w:rPr>
        <w:t>邮政编码：XXX</w:t>
      </w:r>
    </w:p>
    <w:p>
      <w:pPr>
        <w:spacing w:line="400" w:lineRule="exact"/>
        <w:ind w:firstLine="470" w:firstLineChars="196"/>
        <w:rPr>
          <w:rFonts w:hAnsi="宋体" w:cs="宋体"/>
          <w:color w:val="000000"/>
          <w:sz w:val="24"/>
          <w:highlight w:val="none"/>
        </w:rPr>
      </w:pPr>
      <w:r>
        <w:rPr>
          <w:rFonts w:hint="eastAsia" w:hAnsi="宋体" w:cs="宋体"/>
          <w:color w:val="000000"/>
          <w:sz w:val="24"/>
          <w:highlight w:val="none"/>
        </w:rPr>
        <w:t>联系电话：XXX</w:t>
      </w:r>
    </w:p>
    <w:p>
      <w:pPr>
        <w:spacing w:line="400" w:lineRule="exact"/>
        <w:ind w:firstLine="470" w:firstLineChars="196"/>
        <w:rPr>
          <w:rFonts w:hAnsi="宋体" w:cs="宋体"/>
          <w:color w:val="000000"/>
          <w:sz w:val="24"/>
          <w:highlight w:val="none"/>
        </w:rPr>
      </w:pPr>
      <w:r>
        <w:rPr>
          <w:rFonts w:hint="eastAsia" w:hAnsi="宋体" w:cs="宋体"/>
          <w:color w:val="000000"/>
          <w:sz w:val="24"/>
          <w:highlight w:val="none"/>
        </w:rPr>
        <w:t>传    真：XXX</w:t>
      </w:r>
    </w:p>
    <w:p>
      <w:pPr>
        <w:spacing w:line="400" w:lineRule="exact"/>
        <w:ind w:firstLine="470" w:firstLineChars="196"/>
        <w:rPr>
          <w:rFonts w:hAnsi="宋体" w:cs="宋体"/>
          <w:color w:val="000000"/>
          <w:sz w:val="24"/>
          <w:highlight w:val="none"/>
        </w:rPr>
      </w:pPr>
      <w:r>
        <w:rPr>
          <w:rFonts w:hint="eastAsia" w:hAnsi="宋体" w:cs="宋体"/>
          <w:color w:val="000000"/>
          <w:sz w:val="24"/>
          <w:highlight w:val="none"/>
        </w:rPr>
        <w:t>日    期：XXX年XXX月XXX日</w:t>
      </w:r>
    </w:p>
    <w:p>
      <w:pPr>
        <w:jc w:val="center"/>
        <w:rPr>
          <w:rFonts w:hAnsi="宋体" w:cs="宋体"/>
          <w:color w:val="000000"/>
          <w:sz w:val="24"/>
          <w:highlight w:val="none"/>
        </w:rPr>
      </w:pPr>
    </w:p>
    <w:p>
      <w:pPr>
        <w:jc w:val="center"/>
        <w:rPr>
          <w:rFonts w:hAnsi="宋体" w:cs="宋体"/>
          <w:b/>
          <w:color w:val="000000"/>
          <w:sz w:val="32"/>
          <w:szCs w:val="32"/>
          <w:highlight w:val="none"/>
        </w:rPr>
      </w:pPr>
    </w:p>
    <w:p>
      <w:pPr>
        <w:rPr>
          <w:rFonts w:hAnsi="宋体" w:cs="宋体"/>
          <w:color w:val="000000"/>
          <w:sz w:val="36"/>
          <w:szCs w:val="36"/>
          <w:highlight w:val="none"/>
        </w:rPr>
        <w:sectPr>
          <w:footerReference r:id="rId10" w:type="first"/>
          <w:headerReference r:id="rId8" w:type="default"/>
          <w:footerReference r:id="rId9" w:type="default"/>
          <w:pgSz w:w="11905" w:h="16838"/>
          <w:pgMar w:top="1440" w:right="1083" w:bottom="1440" w:left="1083" w:header="851" w:footer="992" w:gutter="0"/>
          <w:pgNumType w:fmt="numberInDash"/>
          <w:cols w:space="0" w:num="1"/>
          <w:titlePg/>
          <w:rtlGutter w:val="0"/>
          <w:docGrid w:type="linesAndChars" w:linePitch="312" w:charSpace="0"/>
        </w:sectPr>
      </w:pPr>
    </w:p>
    <w:p>
      <w:pPr>
        <w:jc w:val="center"/>
        <w:rPr>
          <w:rFonts w:hAnsi="宋体" w:cs="宋体"/>
          <w:b/>
          <w:color w:val="000000"/>
          <w:sz w:val="32"/>
          <w:szCs w:val="32"/>
          <w:highlight w:val="none"/>
        </w:rPr>
      </w:pPr>
      <w:r>
        <w:rPr>
          <w:rFonts w:hint="eastAsia" w:hAnsi="宋体" w:cs="宋体"/>
          <w:b/>
          <w:color w:val="000000"/>
          <w:sz w:val="32"/>
          <w:szCs w:val="32"/>
          <w:highlight w:val="none"/>
        </w:rPr>
        <w:t>五、报价一览表</w:t>
      </w:r>
    </w:p>
    <w:tbl>
      <w:tblPr>
        <w:tblStyle w:val="20"/>
        <w:tblW w:w="9959" w:type="dxa"/>
        <w:tblInd w:w="0" w:type="dxa"/>
        <w:tblLayout w:type="fixed"/>
        <w:tblCellMar>
          <w:top w:w="0" w:type="dxa"/>
          <w:left w:w="108" w:type="dxa"/>
          <w:bottom w:w="0" w:type="dxa"/>
          <w:right w:w="108" w:type="dxa"/>
        </w:tblCellMar>
      </w:tblPr>
      <w:tblGrid>
        <w:gridCol w:w="882"/>
        <w:gridCol w:w="1464"/>
        <w:gridCol w:w="777"/>
        <w:gridCol w:w="2921"/>
        <w:gridCol w:w="3915"/>
      </w:tblGrid>
      <w:tr>
        <w:trPr>
          <w:trHeight w:val="850" w:hRule="atLeast"/>
        </w:trPr>
        <w:tc>
          <w:tcPr>
            <w:tcW w:w="3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highlight w:val="none"/>
              </w:rPr>
            </w:pPr>
            <w:r>
              <w:rPr>
                <w:rFonts w:hint="eastAsia" w:hAnsi="宋体" w:cs="宋体"/>
                <w:sz w:val="24"/>
                <w:highlight w:val="none"/>
              </w:rPr>
              <w:t>项目名称</w:t>
            </w:r>
          </w:p>
        </w:tc>
        <w:tc>
          <w:tcPr>
            <w:tcW w:w="6836" w:type="dxa"/>
            <w:gridSpan w:val="2"/>
            <w:tcBorders>
              <w:top w:val="single" w:color="auto" w:sz="4" w:space="0"/>
              <w:left w:val="nil"/>
              <w:bottom w:val="single" w:color="auto" w:sz="4" w:space="0"/>
              <w:right w:val="single" w:color="auto" w:sz="4" w:space="0"/>
            </w:tcBorders>
            <w:vAlign w:val="center"/>
          </w:tcPr>
          <w:p>
            <w:pPr>
              <w:widowControl/>
              <w:spacing w:line="360" w:lineRule="auto"/>
              <w:rPr>
                <w:rFonts w:hAnsi="宋体" w:cs="宋体"/>
                <w:sz w:val="24"/>
                <w:highlight w:val="none"/>
              </w:rPr>
            </w:pPr>
          </w:p>
        </w:tc>
      </w:tr>
      <w:tr>
        <w:trPr>
          <w:trHeight w:val="850" w:hRule="atLeast"/>
        </w:trPr>
        <w:tc>
          <w:tcPr>
            <w:tcW w:w="3123" w:type="dxa"/>
            <w:gridSpan w:val="3"/>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highlight w:val="none"/>
              </w:rPr>
            </w:pPr>
            <w:r>
              <w:rPr>
                <w:rFonts w:hint="eastAsia" w:hAnsi="宋体" w:cs="宋体"/>
                <w:sz w:val="24"/>
                <w:highlight w:val="none"/>
              </w:rPr>
              <w:t>采购编号</w:t>
            </w:r>
          </w:p>
        </w:tc>
        <w:tc>
          <w:tcPr>
            <w:tcW w:w="6836" w:type="dxa"/>
            <w:gridSpan w:val="2"/>
            <w:tcBorders>
              <w:top w:val="single" w:color="auto" w:sz="4" w:space="0"/>
              <w:left w:val="nil"/>
              <w:bottom w:val="single" w:color="auto" w:sz="4" w:space="0"/>
              <w:right w:val="single" w:color="auto" w:sz="4" w:space="0"/>
            </w:tcBorders>
            <w:vAlign w:val="center"/>
          </w:tcPr>
          <w:p>
            <w:pPr>
              <w:widowControl/>
              <w:spacing w:line="360" w:lineRule="auto"/>
              <w:rPr>
                <w:rFonts w:hAnsi="宋体" w:cs="宋体"/>
                <w:sz w:val="24"/>
                <w:highlight w:val="none"/>
              </w:rPr>
            </w:pPr>
          </w:p>
        </w:tc>
      </w:tr>
      <w:tr>
        <w:trPr>
          <w:trHeight w:val="850" w:hRule="atLeast"/>
        </w:trPr>
        <w:tc>
          <w:tcPr>
            <w:tcW w:w="88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bCs/>
                <w:sz w:val="24"/>
                <w:highlight w:val="none"/>
              </w:rPr>
            </w:pPr>
            <w:r>
              <w:rPr>
                <w:rFonts w:hint="eastAsia" w:hAnsi="宋体" w:cs="宋体"/>
                <w:bCs/>
                <w:sz w:val="24"/>
                <w:highlight w:val="none"/>
              </w:rPr>
              <w:t>序号</w:t>
            </w:r>
          </w:p>
        </w:tc>
        <w:tc>
          <w:tcPr>
            <w:tcW w:w="5162" w:type="dxa"/>
            <w:gridSpan w:val="3"/>
            <w:tcBorders>
              <w:top w:val="nil"/>
              <w:left w:val="nil"/>
              <w:bottom w:val="single" w:color="auto" w:sz="4" w:space="0"/>
              <w:right w:val="single" w:color="auto" w:sz="4" w:space="0"/>
            </w:tcBorders>
            <w:vAlign w:val="center"/>
          </w:tcPr>
          <w:p>
            <w:pPr>
              <w:spacing w:line="360" w:lineRule="auto"/>
              <w:jc w:val="center"/>
              <w:rPr>
                <w:rFonts w:hAnsi="宋体" w:cs="宋体"/>
                <w:bCs/>
                <w:sz w:val="24"/>
                <w:highlight w:val="none"/>
              </w:rPr>
            </w:pPr>
            <w:r>
              <w:rPr>
                <w:rFonts w:hint="eastAsia" w:hAnsi="宋体" w:cs="宋体"/>
                <w:bCs/>
                <w:sz w:val="24"/>
                <w:highlight w:val="none"/>
              </w:rPr>
              <w:t>服务内容</w:t>
            </w:r>
          </w:p>
        </w:tc>
        <w:tc>
          <w:tcPr>
            <w:tcW w:w="3915"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sz w:val="24"/>
                <w:highlight w:val="none"/>
              </w:rPr>
            </w:pPr>
            <w:r>
              <w:rPr>
                <w:rFonts w:hint="eastAsia" w:hAnsi="宋体" w:cs="宋体"/>
                <w:bCs/>
                <w:sz w:val="24"/>
                <w:highlight w:val="none"/>
              </w:rPr>
              <w:t>报价（万元）</w:t>
            </w:r>
          </w:p>
        </w:tc>
      </w:tr>
      <w:tr>
        <w:trPr>
          <w:trHeight w:val="850" w:hRule="atLeast"/>
        </w:trPr>
        <w:tc>
          <w:tcPr>
            <w:tcW w:w="88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bCs/>
                <w:sz w:val="24"/>
                <w:highlight w:val="none"/>
              </w:rPr>
            </w:pPr>
            <w:r>
              <w:rPr>
                <w:rFonts w:hint="eastAsia" w:hAnsi="宋体" w:cs="宋体"/>
                <w:bCs/>
                <w:sz w:val="24"/>
                <w:highlight w:val="none"/>
              </w:rPr>
              <w:t>1</w:t>
            </w:r>
          </w:p>
        </w:tc>
        <w:tc>
          <w:tcPr>
            <w:tcW w:w="5162" w:type="dxa"/>
            <w:gridSpan w:val="3"/>
            <w:tcBorders>
              <w:top w:val="nil"/>
              <w:left w:val="nil"/>
              <w:bottom w:val="single" w:color="auto" w:sz="4" w:space="0"/>
              <w:right w:val="single" w:color="auto" w:sz="4" w:space="0"/>
            </w:tcBorders>
            <w:vAlign w:val="center"/>
          </w:tcPr>
          <w:p>
            <w:pPr>
              <w:spacing w:line="360" w:lineRule="auto"/>
              <w:jc w:val="center"/>
              <w:rPr>
                <w:rFonts w:hint="default" w:hAnsi="宋体" w:eastAsia="宋体" w:cs="宋体"/>
                <w:bCs/>
                <w:color w:val="auto"/>
                <w:sz w:val="24"/>
                <w:highlight w:val="none"/>
                <w:lang w:val="en-US" w:eastAsia="zh-CN"/>
              </w:rPr>
            </w:pPr>
            <w:r>
              <w:rPr>
                <w:rFonts w:hint="eastAsia" w:hAnsi="宋体" w:cs="宋体"/>
                <w:bCs/>
                <w:color w:val="auto"/>
                <w:sz w:val="24"/>
                <w:highlight w:val="none"/>
                <w:lang w:val="en-US" w:eastAsia="zh-CN"/>
              </w:rPr>
              <w:t>编制全区国有资本布局规划报告和各企业战略规划发展纲要</w:t>
            </w:r>
          </w:p>
        </w:tc>
        <w:tc>
          <w:tcPr>
            <w:tcW w:w="3915"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sz w:val="24"/>
                <w:highlight w:val="none"/>
              </w:rPr>
            </w:pPr>
          </w:p>
        </w:tc>
      </w:tr>
      <w:tr>
        <w:tblPrEx>
          <w:tblCellMar>
            <w:top w:w="0" w:type="dxa"/>
            <w:left w:w="108" w:type="dxa"/>
            <w:bottom w:w="0" w:type="dxa"/>
            <w:right w:w="108" w:type="dxa"/>
          </w:tblCellMar>
        </w:tblPrEx>
        <w:trPr>
          <w:trHeight w:val="850" w:hRule="atLeast"/>
        </w:trPr>
        <w:tc>
          <w:tcPr>
            <w:tcW w:w="88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Ansi="宋体" w:cs="宋体"/>
                <w:bCs/>
                <w:sz w:val="24"/>
                <w:highlight w:val="none"/>
              </w:rPr>
            </w:pPr>
            <w:r>
              <w:rPr>
                <w:rFonts w:hint="eastAsia" w:hAnsi="宋体" w:cs="宋体"/>
                <w:bCs/>
                <w:sz w:val="24"/>
                <w:highlight w:val="none"/>
              </w:rPr>
              <w:t>2</w:t>
            </w:r>
          </w:p>
        </w:tc>
        <w:tc>
          <w:tcPr>
            <w:tcW w:w="5162" w:type="dxa"/>
            <w:gridSpan w:val="3"/>
            <w:tcBorders>
              <w:top w:val="nil"/>
              <w:left w:val="nil"/>
              <w:bottom w:val="single" w:color="auto" w:sz="4" w:space="0"/>
              <w:right w:val="single" w:color="auto" w:sz="4" w:space="0"/>
            </w:tcBorders>
            <w:vAlign w:val="center"/>
          </w:tcPr>
          <w:p>
            <w:pPr>
              <w:spacing w:line="360" w:lineRule="auto"/>
              <w:jc w:val="center"/>
              <w:rPr>
                <w:rFonts w:hint="default" w:hAnsi="宋体" w:eastAsia="宋体" w:cs="宋体"/>
                <w:bCs/>
                <w:color w:val="auto"/>
                <w:sz w:val="24"/>
                <w:highlight w:val="none"/>
                <w:lang w:val="en-US" w:eastAsia="zh-CN"/>
              </w:rPr>
            </w:pPr>
            <w:r>
              <w:rPr>
                <w:rFonts w:hint="eastAsia" w:hAnsi="宋体" w:cs="宋体"/>
                <w:bCs/>
                <w:color w:val="auto"/>
                <w:sz w:val="24"/>
                <w:highlight w:val="none"/>
                <w:lang w:val="en-US" w:eastAsia="zh-CN"/>
              </w:rPr>
              <w:t>编制重大课题研究报告</w:t>
            </w:r>
          </w:p>
        </w:tc>
        <w:tc>
          <w:tcPr>
            <w:tcW w:w="3915"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sz w:val="24"/>
                <w:highlight w:val="none"/>
              </w:rPr>
            </w:pPr>
          </w:p>
        </w:tc>
      </w:tr>
      <w:tr>
        <w:tblPrEx>
          <w:tblCellMar>
            <w:top w:w="0" w:type="dxa"/>
            <w:left w:w="108" w:type="dxa"/>
            <w:bottom w:w="0" w:type="dxa"/>
            <w:right w:w="108" w:type="dxa"/>
          </w:tblCellMar>
        </w:tblPrEx>
        <w:trPr>
          <w:trHeight w:val="850" w:hRule="atLeast"/>
        </w:trPr>
        <w:tc>
          <w:tcPr>
            <w:tcW w:w="882" w:type="dxa"/>
            <w:tcBorders>
              <w:top w:val="nil"/>
              <w:left w:val="single" w:color="auto" w:sz="4" w:space="0"/>
              <w:bottom w:val="single" w:color="auto" w:sz="4" w:space="0"/>
              <w:right w:val="single" w:color="auto" w:sz="4" w:space="0"/>
            </w:tcBorders>
            <w:vAlign w:val="center"/>
          </w:tcPr>
          <w:p>
            <w:pPr>
              <w:widowControl/>
              <w:spacing w:line="360" w:lineRule="auto"/>
              <w:jc w:val="center"/>
              <w:rPr>
                <w:rFonts w:hint="eastAsia" w:hAnsi="宋体" w:eastAsia="宋体" w:cs="宋体"/>
                <w:bCs/>
                <w:sz w:val="24"/>
                <w:highlight w:val="none"/>
                <w:lang w:eastAsia="zh-CN"/>
              </w:rPr>
            </w:pPr>
            <w:r>
              <w:rPr>
                <w:rFonts w:hint="eastAsia" w:hAnsi="宋体" w:cs="宋体"/>
                <w:bCs/>
                <w:sz w:val="24"/>
                <w:highlight w:val="none"/>
                <w:lang w:val="en-US" w:eastAsia="zh-CN"/>
              </w:rPr>
              <w:t>3</w:t>
            </w:r>
          </w:p>
        </w:tc>
        <w:tc>
          <w:tcPr>
            <w:tcW w:w="5162" w:type="dxa"/>
            <w:gridSpan w:val="3"/>
            <w:tcBorders>
              <w:top w:val="nil"/>
              <w:left w:val="nil"/>
              <w:bottom w:val="single" w:color="auto" w:sz="4" w:space="0"/>
              <w:right w:val="single" w:color="auto" w:sz="4" w:space="0"/>
            </w:tcBorders>
            <w:vAlign w:val="center"/>
          </w:tcPr>
          <w:p>
            <w:pPr>
              <w:spacing w:line="360" w:lineRule="auto"/>
              <w:jc w:val="center"/>
              <w:rPr>
                <w:rFonts w:hint="default" w:hAnsi="宋体" w:eastAsia="宋体" w:cs="宋体"/>
                <w:bCs/>
                <w:color w:val="auto"/>
                <w:sz w:val="24"/>
                <w:highlight w:val="none"/>
                <w:lang w:val="en-US" w:eastAsia="zh-CN"/>
              </w:rPr>
            </w:pPr>
            <w:r>
              <w:rPr>
                <w:rFonts w:hint="eastAsia" w:hAnsi="宋体" w:cs="宋体"/>
                <w:bCs/>
                <w:color w:val="auto"/>
                <w:sz w:val="24"/>
                <w:highlight w:val="none"/>
                <w:lang w:val="en-US" w:eastAsia="zh-CN"/>
              </w:rPr>
              <w:t>指导企业按“一企一策”编制战略规划报告和年度实施计划报告</w:t>
            </w:r>
          </w:p>
        </w:tc>
        <w:tc>
          <w:tcPr>
            <w:tcW w:w="3915" w:type="dxa"/>
            <w:tcBorders>
              <w:top w:val="nil"/>
              <w:left w:val="nil"/>
              <w:bottom w:val="single" w:color="auto" w:sz="4" w:space="0"/>
              <w:right w:val="single" w:color="auto" w:sz="4" w:space="0"/>
            </w:tcBorders>
            <w:vAlign w:val="center"/>
          </w:tcPr>
          <w:p>
            <w:pPr>
              <w:widowControl/>
              <w:spacing w:line="360" w:lineRule="auto"/>
              <w:jc w:val="center"/>
              <w:rPr>
                <w:rFonts w:hAnsi="宋体" w:cs="宋体"/>
                <w:bCs/>
                <w:sz w:val="24"/>
                <w:highlight w:val="none"/>
              </w:rPr>
            </w:pPr>
          </w:p>
        </w:tc>
      </w:tr>
      <w:tr>
        <w:tblPrEx>
          <w:tblCellMar>
            <w:top w:w="0" w:type="dxa"/>
            <w:left w:w="108" w:type="dxa"/>
            <w:bottom w:w="0" w:type="dxa"/>
            <w:right w:w="108" w:type="dxa"/>
          </w:tblCellMar>
        </w:tblPrEx>
        <w:trPr>
          <w:trHeight w:val="850" w:hRule="atLeast"/>
        </w:trPr>
        <w:tc>
          <w:tcPr>
            <w:tcW w:w="6044" w:type="dxa"/>
            <w:gridSpan w:val="4"/>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highlight w:val="none"/>
              </w:rPr>
            </w:pPr>
            <w:r>
              <w:rPr>
                <w:rFonts w:hint="eastAsia" w:hAnsi="宋体" w:cs="宋体"/>
                <w:sz w:val="24"/>
                <w:highlight w:val="none"/>
              </w:rPr>
              <w:t>合  计(万元)</w:t>
            </w:r>
          </w:p>
        </w:tc>
        <w:tc>
          <w:tcPr>
            <w:tcW w:w="3915" w:type="dxa"/>
            <w:tcBorders>
              <w:top w:val="single" w:color="auto" w:sz="4" w:space="0"/>
              <w:left w:val="single" w:color="auto" w:sz="4" w:space="0"/>
              <w:bottom w:val="single" w:color="auto" w:sz="4" w:space="0"/>
              <w:right w:val="single" w:color="auto" w:sz="4" w:space="0"/>
            </w:tcBorders>
            <w:vAlign w:val="center"/>
          </w:tcPr>
          <w:p>
            <w:pPr>
              <w:widowControl/>
              <w:spacing w:line="360" w:lineRule="auto"/>
              <w:rPr>
                <w:rFonts w:hAnsi="宋体" w:cs="宋体"/>
                <w:sz w:val="24"/>
                <w:highlight w:val="none"/>
              </w:rPr>
            </w:pPr>
          </w:p>
        </w:tc>
      </w:tr>
      <w:tr>
        <w:trPr>
          <w:trHeight w:val="850" w:hRule="atLeast"/>
        </w:trPr>
        <w:tc>
          <w:tcPr>
            <w:tcW w:w="2346" w:type="dxa"/>
            <w:gridSpan w:val="2"/>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sz w:val="24"/>
                <w:highlight w:val="none"/>
              </w:rPr>
            </w:pPr>
            <w:r>
              <w:rPr>
                <w:rFonts w:hint="eastAsia" w:hAnsi="宋体" w:cs="宋体"/>
                <w:sz w:val="24"/>
                <w:highlight w:val="none"/>
              </w:rPr>
              <w:t>总价</w:t>
            </w:r>
          </w:p>
        </w:tc>
        <w:tc>
          <w:tcPr>
            <w:tcW w:w="7613" w:type="dxa"/>
            <w:gridSpan w:val="3"/>
            <w:tcBorders>
              <w:top w:val="single" w:color="auto" w:sz="4" w:space="0"/>
              <w:left w:val="nil"/>
              <w:bottom w:val="single" w:color="auto" w:sz="4" w:space="0"/>
              <w:right w:val="single" w:color="auto" w:sz="4" w:space="0"/>
            </w:tcBorders>
            <w:vAlign w:val="center"/>
          </w:tcPr>
          <w:p>
            <w:pPr>
              <w:widowControl/>
              <w:spacing w:line="360" w:lineRule="auto"/>
              <w:rPr>
                <w:rFonts w:hAnsi="宋体" w:cs="宋体"/>
                <w:sz w:val="24"/>
                <w:highlight w:val="none"/>
              </w:rPr>
            </w:pPr>
            <w:r>
              <w:rPr>
                <w:rFonts w:hint="eastAsia" w:hAnsi="宋体" w:cs="宋体"/>
                <w:b/>
                <w:sz w:val="24"/>
                <w:highlight w:val="none"/>
              </w:rPr>
              <w:t>人民币大写：</w:t>
            </w:r>
            <w:r>
              <w:rPr>
                <w:rFonts w:hint="eastAsia" w:hAnsi="宋体" w:cs="宋体"/>
                <w:b/>
                <w:sz w:val="24"/>
                <w:highlight w:val="none"/>
                <w:u w:val="single"/>
              </w:rPr>
              <w:t xml:space="preserve">             </w:t>
            </w:r>
            <w:r>
              <w:rPr>
                <w:rFonts w:hint="eastAsia" w:hAnsi="宋体" w:cs="宋体"/>
                <w:b/>
                <w:sz w:val="24"/>
                <w:highlight w:val="none"/>
              </w:rPr>
              <w:t>（人民币小写：</w:t>
            </w:r>
            <w:r>
              <w:rPr>
                <w:rFonts w:hint="eastAsia" w:hAnsi="宋体" w:cs="宋体"/>
                <w:b/>
                <w:sz w:val="24"/>
                <w:highlight w:val="none"/>
                <w:u w:val="single"/>
              </w:rPr>
              <w:t xml:space="preserve">           </w:t>
            </w:r>
            <w:r>
              <w:rPr>
                <w:rFonts w:hint="eastAsia" w:hAnsi="宋体" w:cs="宋体"/>
                <w:b/>
                <w:sz w:val="24"/>
                <w:highlight w:val="none"/>
              </w:rPr>
              <w:t xml:space="preserve"> ）</w:t>
            </w:r>
          </w:p>
        </w:tc>
      </w:tr>
    </w:tbl>
    <w:p>
      <w:pPr>
        <w:ind w:firstLine="723" w:firstLineChars="300"/>
        <w:rPr>
          <w:rFonts w:hint="eastAsia" w:hAnsi="宋体" w:cs="宋体"/>
          <w:b/>
          <w:bCs/>
          <w:color w:val="auto"/>
          <w:sz w:val="24"/>
          <w:highlight w:val="none"/>
          <w:lang w:eastAsia="zh-CN"/>
        </w:rPr>
      </w:pPr>
      <w:r>
        <w:rPr>
          <w:rFonts w:hint="eastAsia" w:hAnsi="宋体" w:cs="宋体"/>
          <w:b/>
          <w:bCs/>
          <w:color w:val="auto"/>
          <w:sz w:val="24"/>
          <w:highlight w:val="none"/>
        </w:rPr>
        <w:t>注：报价须分项列出具体费用明细</w:t>
      </w:r>
      <w:r>
        <w:rPr>
          <w:rFonts w:hint="eastAsia" w:hAnsi="宋体" w:cs="宋体"/>
          <w:b/>
          <w:bCs/>
          <w:color w:val="auto"/>
          <w:sz w:val="24"/>
          <w:highlight w:val="none"/>
          <w:lang w:eastAsia="zh-CN"/>
        </w:rPr>
        <w:t>。</w:t>
      </w:r>
    </w:p>
    <w:p>
      <w:pPr>
        <w:pStyle w:val="2"/>
        <w:rPr>
          <w:rFonts w:hint="eastAsia"/>
          <w:highlight w:val="none"/>
          <w:lang w:eastAsia="zh-CN"/>
        </w:rPr>
      </w:pPr>
    </w:p>
    <w:p>
      <w:pPr>
        <w:adjustRightInd w:val="0"/>
        <w:spacing w:line="360" w:lineRule="auto"/>
        <w:ind w:firstLine="600" w:firstLineChars="250"/>
        <w:jc w:val="left"/>
        <w:rPr>
          <w:rFonts w:hAnsi="宋体" w:cs="宋体"/>
          <w:sz w:val="28"/>
          <w:szCs w:val="28"/>
          <w:highlight w:val="none"/>
        </w:rPr>
      </w:pPr>
      <w:r>
        <w:rPr>
          <w:rFonts w:hint="eastAsia" w:hAnsi="宋体" w:cs="宋体"/>
          <w:color w:val="000000"/>
          <w:sz w:val="24"/>
          <w:highlight w:val="none"/>
        </w:rPr>
        <w:t>供应商名称：XXXXX（盖单位公章）</w:t>
      </w:r>
    </w:p>
    <w:p>
      <w:pPr>
        <w:spacing w:line="360" w:lineRule="auto"/>
        <w:ind w:firstLine="616" w:firstLineChars="257"/>
        <w:rPr>
          <w:rFonts w:hAnsi="宋体" w:cs="宋体"/>
          <w:sz w:val="24"/>
          <w:highlight w:val="none"/>
        </w:rPr>
      </w:pPr>
      <w:r>
        <w:rPr>
          <w:rFonts w:hint="eastAsia" w:hAnsi="宋体" w:cs="宋体"/>
          <w:color w:val="000000"/>
          <w:sz w:val="24"/>
          <w:highlight w:val="none"/>
        </w:rPr>
        <w:t>法定代表人（负责人）或授权代表（签字或盖章）：XXX</w:t>
      </w:r>
    </w:p>
    <w:p>
      <w:pPr>
        <w:spacing w:line="360" w:lineRule="auto"/>
        <w:ind w:firstLine="616" w:firstLineChars="257"/>
        <w:rPr>
          <w:rFonts w:hAnsi="宋体" w:cs="宋体"/>
          <w:sz w:val="24"/>
          <w:highlight w:val="none"/>
        </w:rPr>
      </w:pPr>
      <w:r>
        <w:rPr>
          <w:rFonts w:hint="eastAsia" w:hAnsi="宋体" w:cs="宋体"/>
          <w:sz w:val="24"/>
          <w:highlight w:val="none"/>
        </w:rPr>
        <w:t xml:space="preserve">日期：XXXX </w:t>
      </w:r>
    </w:p>
    <w:p>
      <w:pPr>
        <w:spacing w:line="360" w:lineRule="auto"/>
        <w:ind w:firstLine="616" w:firstLineChars="257"/>
        <w:rPr>
          <w:rFonts w:hAnsi="宋体" w:cs="宋体"/>
          <w:sz w:val="24"/>
          <w:highlight w:val="none"/>
        </w:rPr>
      </w:pPr>
    </w:p>
    <w:p>
      <w:pPr>
        <w:jc w:val="center"/>
        <w:rPr>
          <w:rFonts w:hAnsi="宋体" w:cs="宋体"/>
          <w:b/>
          <w:color w:val="000000"/>
          <w:sz w:val="32"/>
          <w:szCs w:val="32"/>
          <w:highlight w:val="none"/>
        </w:rPr>
      </w:pPr>
    </w:p>
    <w:p>
      <w:pPr>
        <w:jc w:val="center"/>
        <w:rPr>
          <w:rFonts w:hAnsi="宋体" w:cs="宋体"/>
          <w:b/>
          <w:bCs/>
          <w:color w:val="000000"/>
          <w:sz w:val="32"/>
          <w:szCs w:val="32"/>
          <w:highlight w:val="none"/>
        </w:rPr>
      </w:pPr>
    </w:p>
    <w:p>
      <w:pPr>
        <w:jc w:val="center"/>
        <w:rPr>
          <w:rFonts w:hAnsi="宋体" w:cs="宋体"/>
          <w:b/>
          <w:bCs/>
          <w:color w:val="000000"/>
          <w:sz w:val="32"/>
          <w:szCs w:val="32"/>
          <w:highlight w:val="none"/>
        </w:rPr>
      </w:pPr>
    </w:p>
    <w:p>
      <w:pPr>
        <w:jc w:val="center"/>
        <w:rPr>
          <w:rFonts w:hAnsi="宋体" w:cs="宋体"/>
          <w:b/>
          <w:bCs/>
          <w:color w:val="000000"/>
          <w:sz w:val="32"/>
          <w:szCs w:val="32"/>
          <w:highlight w:val="none"/>
        </w:rPr>
      </w:pPr>
    </w:p>
    <w:p>
      <w:pPr>
        <w:jc w:val="center"/>
        <w:rPr>
          <w:rFonts w:hAnsi="宋体" w:cs="宋体"/>
          <w:b/>
          <w:bCs/>
          <w:color w:val="000000"/>
          <w:sz w:val="32"/>
          <w:szCs w:val="32"/>
          <w:highlight w:val="none"/>
        </w:rPr>
      </w:pPr>
    </w:p>
    <w:p>
      <w:pPr>
        <w:jc w:val="center"/>
        <w:rPr>
          <w:rFonts w:hAnsi="宋体" w:cs="宋体"/>
          <w:b/>
          <w:bCs/>
          <w:color w:val="000000"/>
          <w:sz w:val="32"/>
          <w:szCs w:val="32"/>
          <w:highlight w:val="none"/>
        </w:rPr>
      </w:pPr>
    </w:p>
    <w:p>
      <w:pPr>
        <w:jc w:val="center"/>
        <w:rPr>
          <w:rFonts w:hAnsi="宋体" w:cs="宋体"/>
          <w:b/>
          <w:bCs/>
          <w:color w:val="000000"/>
          <w:sz w:val="32"/>
          <w:szCs w:val="32"/>
          <w:highlight w:val="none"/>
        </w:rPr>
      </w:pPr>
    </w:p>
    <w:p>
      <w:pPr>
        <w:jc w:val="center"/>
        <w:rPr>
          <w:rFonts w:hAnsi="宋体" w:cs="宋体"/>
          <w:b/>
          <w:bCs/>
          <w:color w:val="000000"/>
          <w:sz w:val="32"/>
          <w:szCs w:val="32"/>
          <w:highlight w:val="none"/>
        </w:rPr>
      </w:pPr>
    </w:p>
    <w:p>
      <w:pPr>
        <w:jc w:val="center"/>
        <w:rPr>
          <w:rFonts w:hAnsi="宋体" w:cs="宋体"/>
          <w:b/>
          <w:bCs/>
          <w:color w:val="000000"/>
          <w:sz w:val="32"/>
          <w:szCs w:val="32"/>
          <w:highlight w:val="none"/>
        </w:rPr>
      </w:pPr>
    </w:p>
    <w:p>
      <w:pPr>
        <w:jc w:val="center"/>
        <w:rPr>
          <w:rFonts w:hint="eastAsia" w:ascii="宋体" w:hAnsi="宋体" w:cs="宋体"/>
          <w:b/>
          <w:color w:val="000000"/>
          <w:sz w:val="32"/>
          <w:szCs w:val="32"/>
          <w:highlight w:val="none"/>
        </w:rPr>
      </w:pPr>
      <w:r>
        <w:rPr>
          <w:rFonts w:hint="eastAsia" w:ascii="宋体" w:hAnsi="宋体" w:cs="宋体"/>
          <w:b/>
          <w:color w:val="000000"/>
          <w:sz w:val="32"/>
          <w:szCs w:val="32"/>
          <w:highlight w:val="none"/>
        </w:rPr>
        <w:t>六、中小企业声明函（实质性要求）</w:t>
      </w:r>
    </w:p>
    <w:p>
      <w:pPr>
        <w:spacing w:line="600" w:lineRule="exact"/>
        <w:ind w:firstLine="480" w:firstLineChars="200"/>
        <w:rPr>
          <w:rFonts w:ascii="宋体" w:hAnsi="宋体" w:cs="宋体"/>
          <w:sz w:val="24"/>
          <w:highlight w:val="none"/>
        </w:rPr>
      </w:pPr>
      <w:r>
        <w:rPr>
          <w:rFonts w:hint="eastAsia" w:ascii="宋体" w:hAnsi="宋体" w:cs="宋体"/>
          <w:color w:val="000000"/>
          <w:kern w:val="0"/>
          <w:sz w:val="24"/>
          <w:highlight w:val="none"/>
        </w:rPr>
        <w:t> </w:t>
      </w:r>
      <w:r>
        <w:rPr>
          <w:rFonts w:hint="eastAsia" w:ascii="宋体" w:hAnsi="宋体" w:cs="宋体"/>
          <w:sz w:val="24"/>
          <w:highlight w:val="none"/>
        </w:rPr>
        <w:t>本公司（联合体）郑重声明，根据《政府采购促进中小企业发展管理办法》（财库﹝2020﹞46 号）的规定，本公司（联合体）参加</w:t>
      </w:r>
      <w:r>
        <w:rPr>
          <w:rFonts w:hint="eastAsia" w:ascii="宋体" w:hAnsi="宋体" w:cs="宋体"/>
          <w:sz w:val="24"/>
          <w:highlight w:val="none"/>
          <w:u w:val="single"/>
        </w:rPr>
        <w:t>（单位名称）</w:t>
      </w:r>
      <w:r>
        <w:rPr>
          <w:rFonts w:hint="eastAsia" w:ascii="宋体" w:hAnsi="宋体" w:cs="宋体"/>
          <w:sz w:val="24"/>
          <w:highlight w:val="none"/>
        </w:rPr>
        <w:t>的</w:t>
      </w:r>
      <w:r>
        <w:rPr>
          <w:rFonts w:hint="eastAsia" w:ascii="宋体" w:hAnsi="宋体" w:cs="宋体"/>
          <w:sz w:val="24"/>
          <w:highlight w:val="none"/>
          <w:u w:val="single"/>
        </w:rPr>
        <w:t>（项目名称）</w:t>
      </w:r>
      <w:r>
        <w:rPr>
          <w:rFonts w:hint="eastAsia" w:ascii="宋体" w:hAnsi="宋体" w:cs="宋体"/>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600" w:lineRule="exact"/>
        <w:ind w:firstLine="480" w:firstLineChars="200"/>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pPr>
        <w:spacing w:line="600" w:lineRule="exact"/>
        <w:ind w:firstLine="480" w:firstLineChars="200"/>
        <w:rPr>
          <w:rFonts w:ascii="宋体" w:hAnsi="宋体" w:cs="宋体"/>
          <w:sz w:val="24"/>
          <w:highlight w:val="none"/>
        </w:rPr>
      </w:pPr>
      <w:r>
        <w:rPr>
          <w:rFonts w:hint="eastAsia" w:ascii="宋体" w:hAnsi="宋体" w:cs="宋体"/>
          <w:sz w:val="24"/>
          <w:highlight w:val="none"/>
        </w:rPr>
        <w:t>2.</w:t>
      </w:r>
      <w:r>
        <w:rPr>
          <w:rFonts w:hint="eastAsia" w:ascii="宋体" w:hAnsi="宋体" w:cs="宋体"/>
          <w:sz w:val="24"/>
          <w:highlight w:val="none"/>
          <w:u w:val="single"/>
        </w:rPr>
        <w:t>（标的名称）</w:t>
      </w:r>
      <w:r>
        <w:rPr>
          <w:rFonts w:hint="eastAsia" w:ascii="宋体" w:hAnsi="宋体" w:cs="宋体"/>
          <w:sz w:val="24"/>
          <w:highlight w:val="none"/>
        </w:rPr>
        <w:t>，属于</w:t>
      </w:r>
      <w:r>
        <w:rPr>
          <w:rFonts w:hint="eastAsia" w:ascii="宋体" w:hAnsi="宋体" w:cs="宋体"/>
          <w:sz w:val="24"/>
          <w:highlight w:val="none"/>
          <w:u w:val="single"/>
        </w:rPr>
        <w:t>（采购文件中明确的所属行业）</w:t>
      </w:r>
      <w:r>
        <w:rPr>
          <w:rFonts w:hint="eastAsia" w:ascii="宋体" w:hAnsi="宋体" w:cs="宋体"/>
          <w:sz w:val="24"/>
          <w:highlight w:val="none"/>
        </w:rPr>
        <w:t>；承建（承接）企业为</w:t>
      </w:r>
      <w:r>
        <w:rPr>
          <w:rFonts w:hint="eastAsia" w:ascii="宋体" w:hAnsi="宋体" w:cs="宋体"/>
          <w:sz w:val="24"/>
          <w:highlight w:val="none"/>
          <w:u w:val="single"/>
        </w:rPr>
        <w:t>（企业名称）</w:t>
      </w:r>
      <w:r>
        <w:rPr>
          <w:rFonts w:hint="eastAsia" w:ascii="宋体" w:hAnsi="宋体" w:cs="宋体"/>
          <w:sz w:val="24"/>
          <w:highlight w:val="none"/>
        </w:rPr>
        <w:t>，从业人员</w:t>
      </w:r>
      <w:r>
        <w:rPr>
          <w:rFonts w:hint="eastAsia" w:ascii="宋体" w:hAnsi="宋体" w:cs="宋体"/>
          <w:sz w:val="24"/>
          <w:highlight w:val="none"/>
          <w:u w:val="single"/>
        </w:rPr>
        <w:tab/>
      </w:r>
      <w:r>
        <w:rPr>
          <w:rFonts w:hint="eastAsia" w:ascii="宋体" w:hAnsi="宋体" w:cs="宋体"/>
          <w:sz w:val="24"/>
          <w:highlight w:val="none"/>
        </w:rPr>
        <w:t>人，营业收入为</w:t>
      </w:r>
      <w:r>
        <w:rPr>
          <w:rFonts w:hint="eastAsia" w:ascii="宋体" w:hAnsi="宋体" w:cs="宋体"/>
          <w:sz w:val="24"/>
          <w:highlight w:val="none"/>
          <w:u w:val="single"/>
        </w:rPr>
        <w:tab/>
      </w:r>
      <w:r>
        <w:rPr>
          <w:rFonts w:hint="eastAsia" w:ascii="宋体" w:hAnsi="宋体" w:cs="宋体"/>
          <w:sz w:val="24"/>
          <w:highlight w:val="none"/>
        </w:rPr>
        <w:t>万元，资产总额为</w:t>
      </w:r>
      <w:r>
        <w:rPr>
          <w:rFonts w:hint="eastAsia" w:ascii="宋体" w:hAnsi="宋体" w:cs="宋体"/>
          <w:sz w:val="24"/>
          <w:highlight w:val="none"/>
          <w:u w:val="single"/>
        </w:rPr>
        <w:tab/>
      </w:r>
      <w:r>
        <w:rPr>
          <w:rFonts w:hint="eastAsia" w:ascii="宋体" w:hAnsi="宋体" w:cs="宋体"/>
          <w:sz w:val="24"/>
          <w:highlight w:val="none"/>
        </w:rPr>
        <w:t>万元，属于</w:t>
      </w:r>
      <w:r>
        <w:rPr>
          <w:rFonts w:hint="eastAsia" w:ascii="宋体" w:hAnsi="宋体" w:cs="宋体"/>
          <w:sz w:val="24"/>
          <w:highlight w:val="none"/>
          <w:u w:val="single"/>
        </w:rPr>
        <w:t>（中型企业、小型企业、微型企业）</w:t>
      </w:r>
      <w:r>
        <w:rPr>
          <w:rFonts w:hint="eastAsia" w:ascii="宋体" w:hAnsi="宋体" w:cs="宋体"/>
          <w:sz w:val="24"/>
          <w:highlight w:val="none"/>
        </w:rPr>
        <w:t>；</w:t>
      </w:r>
    </w:p>
    <w:p>
      <w:pPr>
        <w:spacing w:line="600" w:lineRule="exact"/>
        <w:ind w:firstLine="480" w:firstLineChars="200"/>
        <w:rPr>
          <w:rFonts w:ascii="宋体" w:hAnsi="宋体" w:cs="宋体"/>
          <w:sz w:val="24"/>
          <w:highlight w:val="none"/>
        </w:rPr>
      </w:pPr>
      <w:r>
        <w:rPr>
          <w:rFonts w:hint="eastAsia" w:ascii="宋体" w:hAnsi="宋体" w:cs="宋体"/>
          <w:sz w:val="24"/>
          <w:highlight w:val="none"/>
        </w:rPr>
        <w:t>……</w:t>
      </w:r>
    </w:p>
    <w:p>
      <w:pPr>
        <w:spacing w:line="600" w:lineRule="exact"/>
        <w:ind w:firstLine="480" w:firstLineChars="200"/>
        <w:rPr>
          <w:rFonts w:ascii="宋体" w:hAnsi="宋体" w:cs="宋体"/>
          <w:sz w:val="24"/>
          <w:highlight w:val="none"/>
        </w:rPr>
      </w:pPr>
      <w:r>
        <w:rPr>
          <w:rFonts w:hint="eastAsia" w:ascii="宋体" w:hAnsi="宋体" w:cs="宋体"/>
          <w:sz w:val="24"/>
          <w:highlight w:val="none"/>
        </w:rPr>
        <w:t>以上企业，不属于大企业的分支机构，不存在控股股东为大企业的情形，也不存在与大企业的负责人为同一人的情形。</w:t>
      </w:r>
    </w:p>
    <w:p>
      <w:pPr>
        <w:spacing w:line="600" w:lineRule="exact"/>
        <w:ind w:firstLine="480" w:firstLineChars="200"/>
        <w:rPr>
          <w:rFonts w:ascii="宋体" w:hAnsi="宋体" w:cs="宋体"/>
          <w:sz w:val="24"/>
          <w:highlight w:val="none"/>
        </w:rPr>
      </w:pPr>
      <w:r>
        <w:rPr>
          <w:rFonts w:hint="eastAsia" w:ascii="宋体" w:hAnsi="宋体" w:cs="宋体"/>
          <w:sz w:val="24"/>
          <w:highlight w:val="none"/>
        </w:rPr>
        <w:t>本企业对上述声明内容的真实性负责。如有虚假，将依法承担相应责任。</w:t>
      </w:r>
    </w:p>
    <w:p>
      <w:pPr>
        <w:spacing w:line="600" w:lineRule="exact"/>
        <w:ind w:firstLine="4740" w:firstLineChars="2000"/>
        <w:rPr>
          <w:rFonts w:hint="eastAsia" w:ascii="宋体" w:hAnsi="宋体" w:cs="宋体"/>
          <w:w w:val="99"/>
          <w:sz w:val="24"/>
          <w:highlight w:val="none"/>
        </w:rPr>
      </w:pPr>
    </w:p>
    <w:p>
      <w:pPr>
        <w:spacing w:line="600" w:lineRule="exact"/>
        <w:rPr>
          <w:rFonts w:ascii="宋体" w:hAnsi="宋体" w:cs="宋体"/>
          <w:w w:val="99"/>
          <w:sz w:val="24"/>
          <w:highlight w:val="none"/>
        </w:rPr>
      </w:pPr>
      <w:r>
        <w:rPr>
          <w:rFonts w:hint="eastAsia" w:ascii="宋体" w:hAnsi="宋体" w:cs="宋体"/>
          <w:w w:val="99"/>
          <w:sz w:val="24"/>
          <w:highlight w:val="none"/>
        </w:rPr>
        <w:t>企业名称</w:t>
      </w:r>
      <w:r>
        <w:rPr>
          <w:rFonts w:hint="eastAsia" w:ascii="宋体" w:hAnsi="宋体" w:cs="宋体"/>
          <w:spacing w:val="2"/>
          <w:w w:val="99"/>
          <w:sz w:val="24"/>
          <w:highlight w:val="none"/>
        </w:rPr>
        <w:t>（</w:t>
      </w:r>
      <w:r>
        <w:rPr>
          <w:rFonts w:hint="eastAsia" w:ascii="宋体" w:hAnsi="宋体" w:cs="宋体"/>
          <w:w w:val="99"/>
          <w:sz w:val="24"/>
          <w:highlight w:val="none"/>
        </w:rPr>
        <w:t>盖章）：</w:t>
      </w:r>
    </w:p>
    <w:p>
      <w:pPr>
        <w:spacing w:line="600" w:lineRule="exact"/>
        <w:rPr>
          <w:rFonts w:ascii="宋体" w:hAnsi="宋体" w:cs="宋体"/>
          <w:spacing w:val="24"/>
          <w:sz w:val="24"/>
          <w:highlight w:val="none"/>
        </w:rPr>
      </w:pPr>
      <w:r>
        <w:rPr>
          <w:rFonts w:hint="eastAsia" w:ascii="宋体" w:hAnsi="宋体" w:cs="宋体"/>
          <w:spacing w:val="24"/>
          <w:sz w:val="24"/>
          <w:highlight w:val="none"/>
        </w:rPr>
        <w:t>日期：</w:t>
      </w:r>
    </w:p>
    <w:p>
      <w:pPr>
        <w:ind w:firstLine="5576" w:firstLineChars="1700"/>
        <w:rPr>
          <w:rFonts w:hAnsi="宋体" w:cs="宋体"/>
          <w:spacing w:val="24"/>
          <w:sz w:val="28"/>
          <w:szCs w:val="28"/>
          <w:highlight w:val="none"/>
        </w:rPr>
      </w:pPr>
    </w:p>
    <w:p>
      <w:pPr>
        <w:ind w:firstLine="5576" w:firstLineChars="1700"/>
        <w:rPr>
          <w:rFonts w:hAnsi="宋体" w:cs="宋体"/>
          <w:spacing w:val="24"/>
          <w:sz w:val="28"/>
          <w:szCs w:val="28"/>
          <w:highlight w:val="none"/>
        </w:rPr>
      </w:pPr>
    </w:p>
    <w:p>
      <w:pPr>
        <w:spacing w:line="600" w:lineRule="exact"/>
        <w:ind w:firstLine="482" w:firstLineChars="200"/>
        <w:rPr>
          <w:rFonts w:hAnsi="宋体" w:cs="宋体"/>
          <w:b/>
          <w:bCs/>
          <w:sz w:val="24"/>
          <w:highlight w:val="none"/>
        </w:rPr>
      </w:pPr>
      <w:r>
        <w:rPr>
          <w:rFonts w:hint="eastAsia" w:hAnsi="宋体" w:cs="宋体"/>
          <w:b/>
          <w:bCs/>
          <w:sz w:val="24"/>
          <w:highlight w:val="none"/>
        </w:rPr>
        <w:t>注：1、从业人员、营业收入、资产总额填报上一年度数据，无上一年度数据的新成立企业可不填报。</w:t>
      </w:r>
    </w:p>
    <w:p>
      <w:pPr>
        <w:spacing w:line="600" w:lineRule="exact"/>
        <w:ind w:firstLine="482" w:firstLineChars="200"/>
        <w:rPr>
          <w:rFonts w:hAnsi="宋体" w:cs="宋体"/>
          <w:b/>
          <w:bCs/>
          <w:sz w:val="24"/>
          <w:highlight w:val="none"/>
        </w:rPr>
      </w:pPr>
      <w:r>
        <w:rPr>
          <w:rFonts w:hint="eastAsia" w:hAnsi="宋体" w:cs="宋体"/>
          <w:b/>
          <w:bCs/>
          <w:sz w:val="24"/>
          <w:highlight w:val="none"/>
        </w:rPr>
        <w:t>2、提供虚假《中小企业声明函》的，以提供虚假材料谋取</w:t>
      </w:r>
      <w:r>
        <w:rPr>
          <w:rFonts w:hint="eastAsia" w:hAnsi="宋体" w:cs="宋体"/>
          <w:b/>
          <w:bCs/>
          <w:sz w:val="24"/>
          <w:highlight w:val="none"/>
          <w:lang w:eastAsia="zh-CN"/>
        </w:rPr>
        <w:t>成交</w:t>
      </w:r>
      <w:r>
        <w:rPr>
          <w:rFonts w:hint="eastAsia" w:hAnsi="宋体" w:cs="宋体"/>
          <w:b/>
          <w:bCs/>
          <w:sz w:val="24"/>
          <w:highlight w:val="none"/>
        </w:rPr>
        <w:t>、成交予以认定处理。</w:t>
      </w:r>
    </w:p>
    <w:p>
      <w:pPr>
        <w:spacing w:line="600" w:lineRule="exact"/>
        <w:ind w:firstLine="482" w:firstLineChars="200"/>
        <w:rPr>
          <w:rFonts w:hAnsi="宋体" w:cs="宋体"/>
          <w:b/>
          <w:bCs/>
          <w:sz w:val="24"/>
          <w:highlight w:val="none"/>
        </w:rPr>
      </w:pPr>
    </w:p>
    <w:p>
      <w:pPr>
        <w:jc w:val="center"/>
        <w:rPr>
          <w:rFonts w:hAnsi="宋体" w:cs="宋体"/>
          <w:b/>
          <w:color w:val="000000"/>
          <w:sz w:val="32"/>
          <w:szCs w:val="32"/>
          <w:highlight w:val="none"/>
        </w:rPr>
      </w:pPr>
      <w:r>
        <w:rPr>
          <w:rFonts w:hint="eastAsia" w:hAnsi="宋体" w:cs="宋体"/>
          <w:b/>
          <w:color w:val="000000"/>
          <w:sz w:val="32"/>
          <w:szCs w:val="32"/>
          <w:highlight w:val="none"/>
        </w:rPr>
        <w:t>七、残疾人福利性单位声明函</w:t>
      </w:r>
      <w:r>
        <w:rPr>
          <w:rFonts w:hint="eastAsia" w:ascii="宋体" w:hAnsi="宋体" w:cs="宋体"/>
          <w:b/>
          <w:color w:val="000000"/>
          <w:sz w:val="32"/>
          <w:szCs w:val="32"/>
          <w:highlight w:val="none"/>
        </w:rPr>
        <w:t>（实质性要求）</w:t>
      </w:r>
    </w:p>
    <w:p>
      <w:pPr>
        <w:spacing w:line="588" w:lineRule="exact"/>
        <w:rPr>
          <w:rFonts w:hAnsi="宋体" w:cs="宋体"/>
          <w:b/>
          <w:spacing w:val="6"/>
          <w:sz w:val="30"/>
          <w:szCs w:val="30"/>
          <w:highlight w:val="none"/>
        </w:rPr>
      </w:pPr>
    </w:p>
    <w:p>
      <w:pPr>
        <w:spacing w:line="400" w:lineRule="exact"/>
        <w:ind w:firstLine="504" w:firstLineChars="200"/>
        <w:rPr>
          <w:rFonts w:hAnsi="宋体" w:cs="宋体"/>
          <w:spacing w:val="6"/>
          <w:sz w:val="24"/>
          <w:highlight w:val="none"/>
        </w:rPr>
      </w:pPr>
      <w:r>
        <w:rPr>
          <w:rFonts w:hint="eastAsia" w:hAnsi="宋体" w:cs="宋体"/>
          <w:spacing w:val="6"/>
          <w:sz w:val="24"/>
          <w:highlight w:val="none"/>
        </w:rPr>
        <w:t>本单位郑重声明，根据《财政部 民政部 中国残疾人联合会关于促进残疾人就业政府采购政策的通知》（财库</w:t>
      </w:r>
      <w:r>
        <w:rPr>
          <w:rFonts w:hint="eastAsia" w:hAnsi="宋体" w:cs="宋体"/>
          <w:sz w:val="24"/>
          <w:highlight w:val="none"/>
        </w:rPr>
        <w:t>〔2017〕 141</w:t>
      </w:r>
      <w:r>
        <w:rPr>
          <w:rFonts w:hint="eastAsia"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400" w:lineRule="exact"/>
        <w:ind w:firstLine="504" w:firstLineChars="200"/>
        <w:rPr>
          <w:rFonts w:hAnsi="宋体" w:cs="宋体"/>
          <w:spacing w:val="6"/>
          <w:sz w:val="24"/>
          <w:highlight w:val="none"/>
        </w:rPr>
      </w:pPr>
      <w:r>
        <w:rPr>
          <w:rFonts w:hint="eastAsia" w:hAnsi="宋体" w:cs="宋体"/>
          <w:spacing w:val="6"/>
          <w:sz w:val="24"/>
          <w:highlight w:val="none"/>
        </w:rPr>
        <w:t>本单位对上述声明的真实性负责。如有虚假，将依法承担相应责任。</w:t>
      </w:r>
    </w:p>
    <w:p>
      <w:pPr>
        <w:spacing w:line="588" w:lineRule="exact"/>
        <w:ind w:firstLine="624" w:firstLineChars="200"/>
        <w:rPr>
          <w:rFonts w:hAnsi="宋体" w:cs="宋体"/>
          <w:spacing w:val="6"/>
          <w:sz w:val="30"/>
          <w:szCs w:val="30"/>
          <w:highlight w:val="none"/>
        </w:rPr>
      </w:pPr>
    </w:p>
    <w:p>
      <w:pPr>
        <w:spacing w:line="588" w:lineRule="exact"/>
        <w:ind w:firstLine="624" w:firstLineChars="200"/>
        <w:rPr>
          <w:rFonts w:hAnsi="宋体" w:cs="宋体"/>
          <w:spacing w:val="6"/>
          <w:sz w:val="30"/>
          <w:szCs w:val="30"/>
          <w:highlight w:val="none"/>
        </w:rPr>
      </w:pPr>
    </w:p>
    <w:p>
      <w:pPr>
        <w:widowControl/>
        <w:spacing w:line="400" w:lineRule="exact"/>
        <w:jc w:val="left"/>
        <w:rPr>
          <w:rFonts w:hAnsi="宋体" w:cs="宋体"/>
          <w:color w:val="339966"/>
          <w:sz w:val="24"/>
          <w:highlight w:val="none"/>
        </w:rPr>
      </w:pPr>
      <w:r>
        <w:rPr>
          <w:rFonts w:hint="eastAsia" w:hAnsi="宋体" w:cs="宋体"/>
          <w:spacing w:val="6"/>
          <w:sz w:val="30"/>
          <w:szCs w:val="30"/>
          <w:highlight w:val="none"/>
        </w:rPr>
        <w:t xml:space="preserve">             </w:t>
      </w:r>
    </w:p>
    <w:p>
      <w:pPr>
        <w:widowControl/>
        <w:spacing w:line="400" w:lineRule="exact"/>
        <w:jc w:val="left"/>
        <w:rPr>
          <w:rFonts w:hAnsi="宋体" w:cs="宋体"/>
          <w:b/>
          <w:bCs/>
          <w:sz w:val="24"/>
          <w:highlight w:val="none"/>
        </w:rPr>
      </w:pPr>
      <w:r>
        <w:rPr>
          <w:rFonts w:hint="eastAsia" w:hAnsi="宋体" w:cs="宋体"/>
          <w:b/>
          <w:bCs/>
          <w:sz w:val="24"/>
          <w:highlight w:val="none"/>
        </w:rPr>
        <w:t>注：1、供应商提供的《残疾人福利性单位声明函》与事实不符的，依照《政府采购法》第七十七条第一款的规定追究法律责任。</w:t>
      </w:r>
    </w:p>
    <w:p>
      <w:pPr>
        <w:widowControl/>
        <w:spacing w:line="400" w:lineRule="exact"/>
        <w:jc w:val="left"/>
        <w:rPr>
          <w:rFonts w:hAnsi="宋体" w:cs="宋体"/>
          <w:color w:val="339966"/>
          <w:sz w:val="24"/>
          <w:highlight w:val="none"/>
        </w:rPr>
      </w:pPr>
    </w:p>
    <w:p>
      <w:pPr>
        <w:widowControl/>
        <w:spacing w:line="400" w:lineRule="exact"/>
        <w:jc w:val="left"/>
        <w:rPr>
          <w:rFonts w:hAnsi="宋体" w:cs="宋体"/>
          <w:sz w:val="24"/>
          <w:highlight w:val="none"/>
        </w:rPr>
      </w:pPr>
      <w:r>
        <w:rPr>
          <w:rFonts w:hint="eastAsia" w:hAnsi="宋体" w:cs="宋体"/>
          <w:color w:val="339966"/>
          <w:sz w:val="24"/>
          <w:highlight w:val="none"/>
        </w:rPr>
        <w:t>　</w:t>
      </w:r>
      <w:r>
        <w:rPr>
          <w:rFonts w:hint="eastAsia" w:hAnsi="宋体" w:cs="宋体"/>
          <w:sz w:val="24"/>
          <w:highlight w:val="none"/>
        </w:rPr>
        <w:t>　</w:t>
      </w:r>
    </w:p>
    <w:p>
      <w:pPr>
        <w:ind w:firstLine="480" w:firstLineChars="200"/>
        <w:jc w:val="left"/>
        <w:rPr>
          <w:rFonts w:hAnsi="宋体" w:cs="宋体"/>
          <w:sz w:val="24"/>
          <w:highlight w:val="none"/>
        </w:rPr>
      </w:pPr>
      <w:r>
        <w:rPr>
          <w:rFonts w:hint="eastAsia" w:hAnsi="宋体" w:cs="宋体"/>
          <w:sz w:val="24"/>
          <w:highlight w:val="none"/>
        </w:rPr>
        <w:t>单位名称：XXXX（盖单位公章）</w:t>
      </w:r>
    </w:p>
    <w:p>
      <w:pPr>
        <w:ind w:firstLine="480" w:firstLineChars="200"/>
        <w:jc w:val="left"/>
        <w:rPr>
          <w:rFonts w:hAnsi="宋体" w:cs="宋体"/>
          <w:sz w:val="24"/>
          <w:highlight w:val="none"/>
        </w:rPr>
      </w:pPr>
      <w:r>
        <w:rPr>
          <w:rFonts w:hint="eastAsia" w:hAnsi="宋体" w:cs="宋体"/>
          <w:color w:val="000000"/>
          <w:sz w:val="24"/>
          <w:highlight w:val="none"/>
        </w:rPr>
        <w:t>法定代表人（负责人）或授权代表（签字或盖章）：XXX</w:t>
      </w:r>
    </w:p>
    <w:p>
      <w:pPr>
        <w:ind w:firstLine="480" w:firstLineChars="200"/>
        <w:jc w:val="left"/>
        <w:rPr>
          <w:rFonts w:hAnsi="宋体" w:cs="宋体"/>
          <w:sz w:val="24"/>
          <w:highlight w:val="none"/>
        </w:rPr>
      </w:pPr>
      <w:r>
        <w:rPr>
          <w:rFonts w:hint="eastAsia" w:hAnsi="宋体" w:cs="宋体"/>
          <w:sz w:val="24"/>
          <w:highlight w:val="none"/>
        </w:rPr>
        <w:t>日期：XXXX</w:t>
      </w:r>
    </w:p>
    <w:p>
      <w:pPr>
        <w:pStyle w:val="3"/>
        <w:keepNext w:val="0"/>
        <w:keepLines w:val="0"/>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p>
    <w:p>
      <w:pPr>
        <w:pStyle w:val="3"/>
        <w:keepNext w:val="0"/>
        <w:keepLines w:val="0"/>
        <w:jc w:val="both"/>
        <w:rPr>
          <w:highlight w:val="none"/>
        </w:rPr>
      </w:pPr>
    </w:p>
    <w:p>
      <w:pPr>
        <w:rPr>
          <w:rFonts w:hAnsi="宋体" w:cs="宋体"/>
          <w:color w:val="000000"/>
          <w:highlight w:val="none"/>
        </w:rPr>
      </w:pPr>
    </w:p>
    <w:p>
      <w:pPr>
        <w:rPr>
          <w:rFonts w:hAnsi="宋体" w:cs="宋体"/>
          <w:highlight w:val="none"/>
        </w:rPr>
      </w:pPr>
    </w:p>
    <w:p>
      <w:pPr>
        <w:jc w:val="center"/>
        <w:rPr>
          <w:rFonts w:hAnsi="宋体" w:cs="宋体"/>
          <w:b/>
          <w:bCs/>
          <w:color w:val="auto"/>
          <w:sz w:val="32"/>
          <w:szCs w:val="32"/>
          <w:highlight w:val="none"/>
        </w:rPr>
      </w:pPr>
      <w:r>
        <w:rPr>
          <w:rFonts w:hint="eastAsia" w:hAnsi="宋体" w:cs="宋体"/>
          <w:b/>
          <w:color w:val="auto"/>
          <w:sz w:val="32"/>
          <w:szCs w:val="32"/>
          <w:highlight w:val="none"/>
        </w:rPr>
        <w:t>八、服务</w:t>
      </w:r>
      <w:r>
        <w:rPr>
          <w:rFonts w:hint="eastAsia" w:hAnsi="宋体" w:cs="宋体"/>
          <w:b/>
          <w:color w:val="auto"/>
          <w:sz w:val="32"/>
          <w:szCs w:val="32"/>
          <w:highlight w:val="none"/>
          <w:lang w:val="en-US" w:eastAsia="zh-CN"/>
        </w:rPr>
        <w:t>内容及工作任务</w:t>
      </w:r>
      <w:r>
        <w:rPr>
          <w:rFonts w:hint="eastAsia" w:hAnsi="宋体" w:cs="宋体"/>
          <w:b/>
          <w:color w:val="auto"/>
          <w:sz w:val="32"/>
          <w:szCs w:val="32"/>
          <w:highlight w:val="none"/>
        </w:rPr>
        <w:t>要求应答表</w:t>
      </w:r>
    </w:p>
    <w:p>
      <w:pPr>
        <w:pStyle w:val="13"/>
        <w:pBdr>
          <w:bottom w:val="none" w:color="auto" w:sz="0" w:space="0"/>
        </w:pBdr>
        <w:tabs>
          <w:tab w:val="clear" w:pos="4153"/>
          <w:tab w:val="clear" w:pos="8306"/>
        </w:tabs>
        <w:snapToGrid/>
        <w:jc w:val="both"/>
        <w:rPr>
          <w:rFonts w:hAnsi="宋体" w:cs="宋体"/>
          <w:color w:val="000000"/>
          <w:sz w:val="24"/>
          <w:szCs w:val="24"/>
          <w:highlight w:val="none"/>
        </w:rPr>
      </w:pPr>
    </w:p>
    <w:tbl>
      <w:tblPr>
        <w:tblStyle w:val="20"/>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981"/>
        <w:gridCol w:w="2981"/>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16" w:type="dxa"/>
            <w:vAlign w:val="center"/>
          </w:tcPr>
          <w:p>
            <w:pPr>
              <w:jc w:val="center"/>
              <w:rPr>
                <w:rFonts w:hAnsi="宋体" w:cs="宋体"/>
                <w:color w:val="000000"/>
                <w:sz w:val="24"/>
                <w:highlight w:val="none"/>
              </w:rPr>
            </w:pPr>
            <w:r>
              <w:rPr>
                <w:rFonts w:hint="eastAsia" w:hAnsi="宋体" w:cs="宋体"/>
                <w:color w:val="000000"/>
                <w:sz w:val="24"/>
                <w:highlight w:val="none"/>
              </w:rPr>
              <w:t>序号</w:t>
            </w:r>
          </w:p>
        </w:tc>
        <w:tc>
          <w:tcPr>
            <w:tcW w:w="2981" w:type="dxa"/>
            <w:vAlign w:val="center"/>
          </w:tcPr>
          <w:p>
            <w:pPr>
              <w:jc w:val="center"/>
              <w:rPr>
                <w:rFonts w:hAnsi="宋体" w:cs="宋体"/>
                <w:color w:val="000000"/>
                <w:sz w:val="24"/>
                <w:highlight w:val="none"/>
              </w:rPr>
            </w:pPr>
            <w:r>
              <w:rPr>
                <w:rFonts w:hint="eastAsia" w:hAnsi="宋体" w:cs="宋体"/>
                <w:color w:val="000000"/>
                <w:sz w:val="24"/>
                <w:highlight w:val="none"/>
              </w:rPr>
              <w:t>磋商文件要求</w:t>
            </w:r>
          </w:p>
        </w:tc>
        <w:tc>
          <w:tcPr>
            <w:tcW w:w="2981" w:type="dxa"/>
            <w:vAlign w:val="center"/>
          </w:tcPr>
          <w:p>
            <w:pPr>
              <w:jc w:val="center"/>
              <w:rPr>
                <w:rFonts w:hAnsi="宋体" w:cs="宋体"/>
                <w:color w:val="000000"/>
                <w:sz w:val="24"/>
                <w:highlight w:val="none"/>
              </w:rPr>
            </w:pPr>
            <w:r>
              <w:rPr>
                <w:rFonts w:hint="eastAsia" w:hAnsi="宋体" w:cs="宋体"/>
                <w:color w:val="000000"/>
                <w:sz w:val="24"/>
                <w:highlight w:val="none"/>
              </w:rPr>
              <w:t>响应文件响应</w:t>
            </w:r>
          </w:p>
        </w:tc>
        <w:tc>
          <w:tcPr>
            <w:tcW w:w="2981" w:type="dxa"/>
            <w:vAlign w:val="center"/>
          </w:tcPr>
          <w:p>
            <w:pPr>
              <w:jc w:val="center"/>
              <w:rPr>
                <w:rFonts w:hAnsi="宋体" w:cs="宋体"/>
                <w:color w:val="000000"/>
                <w:sz w:val="24"/>
                <w:highlight w:val="none"/>
              </w:rPr>
            </w:pPr>
            <w:r>
              <w:rPr>
                <w:rFonts w:hint="eastAsia" w:hAnsi="宋体" w:cs="宋体"/>
                <w:color w:val="000000"/>
                <w:sz w:val="24"/>
                <w:highlight w:val="none"/>
              </w:rPr>
              <w:t>说明（备注）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6" w:type="dxa"/>
          </w:tcPr>
          <w:p>
            <w:pPr>
              <w:jc w:val="center"/>
              <w:rPr>
                <w:rFonts w:hint="eastAsia" w:hAnsi="宋体" w:eastAsia="宋体" w:cs="宋体"/>
                <w:color w:val="000000"/>
                <w:sz w:val="24"/>
                <w:highlight w:val="none"/>
                <w:lang w:val="en-US" w:eastAsia="zh-CN"/>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6" w:type="dxa"/>
          </w:tcPr>
          <w:p>
            <w:pPr>
              <w:jc w:val="center"/>
              <w:rPr>
                <w:rFonts w:hint="eastAsia" w:hAnsi="宋体" w:eastAsia="宋体" w:cs="宋体"/>
                <w:color w:val="000000"/>
                <w:sz w:val="24"/>
                <w:highlight w:val="none"/>
                <w:lang w:val="en-US" w:eastAsia="zh-CN"/>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6" w:type="dxa"/>
          </w:tcPr>
          <w:p>
            <w:pPr>
              <w:jc w:val="center"/>
              <w:rPr>
                <w:rFonts w:hint="eastAsia" w:hAnsi="宋体" w:eastAsia="宋体" w:cs="宋体"/>
                <w:color w:val="000000"/>
                <w:sz w:val="24"/>
                <w:highlight w:val="none"/>
                <w:lang w:val="en-US" w:eastAsia="zh-CN"/>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6"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c>
          <w:tcPr>
            <w:tcW w:w="2981" w:type="dxa"/>
          </w:tcPr>
          <w:p>
            <w:pPr>
              <w:jc w:val="center"/>
              <w:rPr>
                <w:rFonts w:hAnsi="宋体" w:cs="宋体"/>
                <w:color w:val="000000"/>
                <w:sz w:val="24"/>
                <w:highlight w:val="none"/>
              </w:rPr>
            </w:pPr>
          </w:p>
        </w:tc>
      </w:tr>
    </w:tbl>
    <w:p>
      <w:pPr>
        <w:ind w:firstLine="482" w:firstLineChars="200"/>
        <w:rPr>
          <w:rFonts w:hAnsi="宋体" w:cs="宋体"/>
          <w:b/>
          <w:color w:val="000000"/>
          <w:sz w:val="24"/>
          <w:highlight w:val="none"/>
        </w:rPr>
      </w:pPr>
    </w:p>
    <w:p>
      <w:pPr>
        <w:ind w:firstLine="480" w:firstLineChars="200"/>
        <w:rPr>
          <w:rFonts w:hint="eastAsia" w:hAnsi="宋体" w:cs="宋体"/>
          <w:color w:val="000000"/>
          <w:sz w:val="24"/>
          <w:highlight w:val="none"/>
        </w:rPr>
      </w:pPr>
      <w:r>
        <w:rPr>
          <w:rFonts w:hint="eastAsia" w:hAnsi="宋体" w:cs="宋体"/>
          <w:color w:val="000000"/>
          <w:sz w:val="24"/>
          <w:highlight w:val="none"/>
        </w:rPr>
        <w:t>注：1、供应商必须据实填写，不得虚假响应，虚假响应的，其响应文件无效并按规定追究其相关责任。</w:t>
      </w:r>
    </w:p>
    <w:p>
      <w:pPr>
        <w:adjustRightInd w:val="0"/>
        <w:spacing w:line="400" w:lineRule="exact"/>
        <w:ind w:firstLine="480" w:firstLineChars="200"/>
        <w:jc w:val="left"/>
        <w:rPr>
          <w:rFonts w:hAnsi="宋体" w:cs="宋体"/>
          <w:color w:val="000000"/>
          <w:sz w:val="24"/>
          <w:highlight w:val="none"/>
        </w:rPr>
      </w:pPr>
    </w:p>
    <w:p>
      <w:pPr>
        <w:adjustRightInd w:val="0"/>
        <w:spacing w:line="400" w:lineRule="exact"/>
        <w:ind w:firstLine="480" w:firstLineChars="200"/>
        <w:jc w:val="left"/>
        <w:rPr>
          <w:rFonts w:hAnsi="宋体" w:cs="宋体"/>
          <w:color w:val="000000"/>
          <w:sz w:val="24"/>
          <w:highlight w:val="none"/>
        </w:rPr>
      </w:pPr>
      <w:r>
        <w:rPr>
          <w:rFonts w:hint="eastAsia" w:hAnsi="宋体" w:cs="宋体"/>
          <w:color w:val="000000"/>
          <w:sz w:val="24"/>
          <w:highlight w:val="none"/>
        </w:rPr>
        <w:t>供应商名称：XXX（盖单位公章）</w:t>
      </w:r>
    </w:p>
    <w:p>
      <w:pPr>
        <w:adjustRightInd w:val="0"/>
        <w:spacing w:line="400" w:lineRule="exact"/>
        <w:ind w:firstLine="480" w:firstLineChars="200"/>
        <w:jc w:val="left"/>
        <w:rPr>
          <w:rFonts w:hAnsi="宋体" w:cs="宋体"/>
          <w:bCs/>
          <w:color w:val="000000"/>
          <w:sz w:val="24"/>
          <w:highlight w:val="none"/>
        </w:rPr>
      </w:pPr>
      <w:r>
        <w:rPr>
          <w:rFonts w:hint="eastAsia" w:hAnsi="宋体" w:cs="宋体"/>
          <w:bCs/>
          <w:color w:val="000000"/>
          <w:sz w:val="24"/>
          <w:highlight w:val="none"/>
        </w:rPr>
        <w:t>法定代表人（负责人）或授权代表（签字或盖章）：XXX</w:t>
      </w:r>
    </w:p>
    <w:p>
      <w:pPr>
        <w:adjustRightInd w:val="0"/>
        <w:spacing w:line="400" w:lineRule="exact"/>
        <w:ind w:firstLine="480" w:firstLineChars="200"/>
        <w:jc w:val="left"/>
        <w:rPr>
          <w:rFonts w:hAnsi="宋体" w:cs="宋体"/>
          <w:bCs/>
          <w:color w:val="000000"/>
          <w:sz w:val="24"/>
          <w:highlight w:val="none"/>
        </w:rPr>
      </w:pPr>
      <w:r>
        <w:rPr>
          <w:rFonts w:hint="eastAsia" w:hAnsi="宋体" w:cs="宋体"/>
          <w:bCs/>
          <w:color w:val="000000"/>
          <w:sz w:val="24"/>
          <w:highlight w:val="none"/>
        </w:rPr>
        <w:t>日  期</w:t>
      </w:r>
      <w:r>
        <w:rPr>
          <w:rFonts w:hint="eastAsia" w:hAnsi="宋体" w:cs="宋体"/>
          <w:color w:val="000000"/>
          <w:sz w:val="24"/>
          <w:highlight w:val="none"/>
        </w:rPr>
        <w:t>：</w:t>
      </w:r>
      <w:r>
        <w:rPr>
          <w:rFonts w:hint="eastAsia" w:hAnsi="宋体" w:cs="宋体"/>
          <w:bCs/>
          <w:color w:val="000000"/>
          <w:sz w:val="24"/>
          <w:highlight w:val="none"/>
        </w:rPr>
        <w:t>XXX年XXX月XXX日</w:t>
      </w:r>
    </w:p>
    <w:p>
      <w:pPr>
        <w:spacing w:line="400" w:lineRule="exact"/>
        <w:rPr>
          <w:rFonts w:hAnsi="宋体" w:cs="宋体"/>
          <w:color w:val="000000"/>
          <w:highlight w:val="none"/>
        </w:rPr>
      </w:pPr>
    </w:p>
    <w:p>
      <w:pPr>
        <w:spacing w:line="400" w:lineRule="exact"/>
        <w:rPr>
          <w:rFonts w:hAnsi="宋体" w:cs="宋体"/>
          <w:color w:val="000000"/>
          <w:highlight w:val="none"/>
        </w:rPr>
      </w:pPr>
    </w:p>
    <w:p>
      <w:pPr>
        <w:spacing w:line="400" w:lineRule="exact"/>
        <w:rPr>
          <w:rFonts w:hAnsi="宋体" w:cs="宋体"/>
          <w:color w:val="000000"/>
          <w:highlight w:val="none"/>
        </w:rPr>
      </w:pPr>
    </w:p>
    <w:p>
      <w:pPr>
        <w:pStyle w:val="10"/>
        <w:tabs>
          <w:tab w:val="left" w:pos="0"/>
        </w:tabs>
        <w:spacing w:after="0" w:line="400" w:lineRule="exact"/>
        <w:ind w:left="680"/>
        <w:rPr>
          <w:rFonts w:hAnsi="宋体" w:cs="宋体"/>
          <w:color w:val="000000"/>
          <w:highlight w:val="none"/>
        </w:rPr>
      </w:pPr>
    </w:p>
    <w:p>
      <w:pPr>
        <w:pStyle w:val="10"/>
        <w:tabs>
          <w:tab w:val="left" w:pos="0"/>
        </w:tabs>
        <w:ind w:left="680"/>
        <w:rPr>
          <w:rFonts w:hAnsi="宋体" w:cs="宋体"/>
          <w:color w:val="000000"/>
          <w:highlight w:val="none"/>
        </w:rPr>
      </w:pPr>
    </w:p>
    <w:p>
      <w:pPr>
        <w:pStyle w:val="10"/>
        <w:tabs>
          <w:tab w:val="left" w:pos="0"/>
        </w:tabs>
        <w:ind w:left="680"/>
        <w:rPr>
          <w:rFonts w:hAnsi="宋体" w:cs="宋体"/>
          <w:color w:val="000000"/>
          <w:highlight w:val="none"/>
        </w:rPr>
      </w:pPr>
    </w:p>
    <w:p>
      <w:pPr>
        <w:pStyle w:val="10"/>
        <w:tabs>
          <w:tab w:val="left" w:pos="0"/>
        </w:tabs>
        <w:ind w:left="680"/>
        <w:rPr>
          <w:rFonts w:hAnsi="宋体" w:cs="宋体"/>
          <w:color w:val="000000"/>
          <w:highlight w:val="none"/>
        </w:rPr>
      </w:pPr>
    </w:p>
    <w:p>
      <w:pPr>
        <w:pStyle w:val="10"/>
        <w:tabs>
          <w:tab w:val="left" w:pos="0"/>
        </w:tabs>
        <w:ind w:left="680"/>
        <w:rPr>
          <w:rFonts w:hAnsi="宋体" w:cs="宋体"/>
          <w:color w:val="000000"/>
          <w:highlight w:val="none"/>
        </w:rPr>
      </w:pPr>
    </w:p>
    <w:p>
      <w:pPr>
        <w:jc w:val="center"/>
        <w:rPr>
          <w:rFonts w:hAnsi="宋体" w:cs="宋体"/>
          <w:b/>
          <w:color w:val="000000"/>
          <w:sz w:val="32"/>
          <w:szCs w:val="32"/>
          <w:highlight w:val="none"/>
        </w:rPr>
      </w:pPr>
      <w:r>
        <w:rPr>
          <w:rFonts w:hint="eastAsia" w:hAnsi="宋体" w:cs="宋体"/>
          <w:b/>
          <w:color w:val="000000"/>
          <w:sz w:val="32"/>
          <w:szCs w:val="32"/>
          <w:highlight w:val="none"/>
        </w:rPr>
        <w:t>九、商务应答表</w:t>
      </w:r>
    </w:p>
    <w:p>
      <w:pPr>
        <w:pStyle w:val="13"/>
        <w:pBdr>
          <w:bottom w:val="none" w:color="auto" w:sz="0" w:space="0"/>
        </w:pBdr>
        <w:tabs>
          <w:tab w:val="clear" w:pos="4153"/>
          <w:tab w:val="clear" w:pos="8306"/>
        </w:tabs>
        <w:snapToGrid/>
        <w:jc w:val="both"/>
        <w:rPr>
          <w:rFonts w:hAnsi="宋体" w:cs="宋体"/>
          <w:color w:val="000000"/>
          <w:sz w:val="24"/>
          <w:szCs w:val="24"/>
          <w:highlight w:val="none"/>
        </w:rPr>
      </w:pPr>
    </w:p>
    <w:tbl>
      <w:tblPr>
        <w:tblStyle w:val="20"/>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3"/>
        <w:gridCol w:w="2912"/>
        <w:gridCol w:w="2912"/>
        <w:gridCol w:w="2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223" w:type="dxa"/>
            <w:vAlign w:val="center"/>
          </w:tcPr>
          <w:p>
            <w:pPr>
              <w:jc w:val="center"/>
              <w:rPr>
                <w:rFonts w:hAnsi="宋体" w:cs="宋体"/>
                <w:color w:val="000000"/>
                <w:sz w:val="24"/>
                <w:highlight w:val="none"/>
              </w:rPr>
            </w:pPr>
            <w:r>
              <w:rPr>
                <w:rFonts w:hint="eastAsia" w:hAnsi="宋体" w:cs="宋体"/>
                <w:color w:val="000000"/>
                <w:sz w:val="24"/>
                <w:highlight w:val="none"/>
              </w:rPr>
              <w:t>序号</w:t>
            </w:r>
          </w:p>
        </w:tc>
        <w:tc>
          <w:tcPr>
            <w:tcW w:w="2912" w:type="dxa"/>
            <w:vAlign w:val="center"/>
          </w:tcPr>
          <w:p>
            <w:pPr>
              <w:jc w:val="center"/>
              <w:rPr>
                <w:rFonts w:hAnsi="宋体" w:cs="宋体"/>
                <w:color w:val="000000"/>
                <w:sz w:val="24"/>
                <w:highlight w:val="none"/>
              </w:rPr>
            </w:pPr>
            <w:r>
              <w:rPr>
                <w:rFonts w:hint="eastAsia" w:hAnsi="宋体" w:cs="宋体"/>
                <w:color w:val="000000"/>
                <w:sz w:val="24"/>
                <w:highlight w:val="none"/>
              </w:rPr>
              <w:t>磋商文件要求</w:t>
            </w:r>
          </w:p>
        </w:tc>
        <w:tc>
          <w:tcPr>
            <w:tcW w:w="2912" w:type="dxa"/>
            <w:vAlign w:val="center"/>
          </w:tcPr>
          <w:p>
            <w:pPr>
              <w:jc w:val="center"/>
              <w:rPr>
                <w:rFonts w:hAnsi="宋体" w:cs="宋体"/>
                <w:color w:val="000000"/>
                <w:sz w:val="24"/>
                <w:highlight w:val="none"/>
              </w:rPr>
            </w:pPr>
            <w:r>
              <w:rPr>
                <w:rFonts w:hint="eastAsia" w:hAnsi="宋体" w:cs="宋体"/>
                <w:color w:val="000000"/>
                <w:sz w:val="24"/>
                <w:highlight w:val="none"/>
              </w:rPr>
              <w:t>响应文件响应</w:t>
            </w:r>
          </w:p>
        </w:tc>
        <w:tc>
          <w:tcPr>
            <w:tcW w:w="2912" w:type="dxa"/>
            <w:vAlign w:val="center"/>
          </w:tcPr>
          <w:p>
            <w:pPr>
              <w:jc w:val="center"/>
              <w:rPr>
                <w:rFonts w:hAnsi="宋体" w:cs="宋体"/>
                <w:color w:val="000000"/>
                <w:sz w:val="24"/>
                <w:highlight w:val="none"/>
              </w:rPr>
            </w:pPr>
            <w:r>
              <w:rPr>
                <w:rFonts w:hint="eastAsia" w:hAnsi="宋体" w:cs="宋体"/>
                <w:color w:val="000000"/>
                <w:sz w:val="24"/>
                <w:highlight w:val="none"/>
              </w:rPr>
              <w:t>说明（备注）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23"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23"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23"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23"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c>
          <w:tcPr>
            <w:tcW w:w="2912" w:type="dxa"/>
          </w:tcPr>
          <w:p>
            <w:pPr>
              <w:jc w:val="center"/>
              <w:rPr>
                <w:rFonts w:hAnsi="宋体" w:cs="宋体"/>
                <w:color w:val="000000"/>
                <w:sz w:val="24"/>
                <w:highlight w:val="none"/>
              </w:rPr>
            </w:pPr>
          </w:p>
        </w:tc>
      </w:tr>
    </w:tbl>
    <w:p>
      <w:pPr>
        <w:ind w:firstLine="482" w:firstLineChars="200"/>
        <w:rPr>
          <w:rFonts w:hAnsi="宋体" w:cs="宋体"/>
          <w:b/>
          <w:color w:val="000000"/>
          <w:sz w:val="24"/>
          <w:highlight w:val="none"/>
        </w:rPr>
      </w:pPr>
    </w:p>
    <w:p>
      <w:pPr>
        <w:ind w:firstLine="480" w:firstLineChars="200"/>
        <w:rPr>
          <w:rFonts w:hAnsi="宋体" w:cs="宋体"/>
          <w:b/>
          <w:color w:val="000000"/>
          <w:sz w:val="24"/>
          <w:highlight w:val="none"/>
        </w:rPr>
      </w:pPr>
      <w:r>
        <w:rPr>
          <w:rFonts w:hint="eastAsia" w:hAnsi="宋体" w:cs="宋体"/>
          <w:color w:val="000000"/>
          <w:sz w:val="24"/>
          <w:highlight w:val="none"/>
        </w:rPr>
        <w:t>注意：供应商必须据实填写，不得虚假响应，虚假响应的，其响应文件无效并按规定追究其相关责任。</w:t>
      </w:r>
    </w:p>
    <w:p>
      <w:pPr>
        <w:adjustRightInd w:val="0"/>
        <w:spacing w:line="400" w:lineRule="exact"/>
        <w:ind w:firstLine="480" w:firstLineChars="200"/>
        <w:jc w:val="left"/>
        <w:rPr>
          <w:rFonts w:hAnsi="宋体" w:cs="宋体"/>
          <w:color w:val="000000"/>
          <w:sz w:val="24"/>
          <w:highlight w:val="none"/>
        </w:rPr>
      </w:pPr>
    </w:p>
    <w:p>
      <w:pPr>
        <w:adjustRightInd w:val="0"/>
        <w:spacing w:line="400" w:lineRule="exact"/>
        <w:jc w:val="left"/>
        <w:rPr>
          <w:rFonts w:hAnsi="宋体" w:cs="宋体"/>
          <w:color w:val="000000"/>
          <w:sz w:val="24"/>
          <w:highlight w:val="none"/>
        </w:rPr>
      </w:pPr>
      <w:r>
        <w:rPr>
          <w:rFonts w:hint="eastAsia" w:hAnsi="宋体" w:cs="宋体"/>
          <w:color w:val="000000"/>
          <w:sz w:val="24"/>
          <w:highlight w:val="none"/>
        </w:rPr>
        <w:t>供应商人名称：XXX（盖单位公章）</w:t>
      </w:r>
    </w:p>
    <w:p>
      <w:pPr>
        <w:adjustRightInd w:val="0"/>
        <w:spacing w:line="400" w:lineRule="exact"/>
        <w:jc w:val="left"/>
        <w:rPr>
          <w:rFonts w:hAnsi="宋体" w:cs="宋体"/>
          <w:bCs/>
          <w:color w:val="000000"/>
          <w:sz w:val="24"/>
          <w:highlight w:val="none"/>
        </w:rPr>
      </w:pPr>
      <w:r>
        <w:rPr>
          <w:rFonts w:hint="eastAsia" w:hAnsi="宋体" w:cs="宋体"/>
          <w:bCs/>
          <w:color w:val="000000"/>
          <w:sz w:val="24"/>
          <w:highlight w:val="none"/>
        </w:rPr>
        <w:t>法定代表人（负责人）或授权代表（签字或盖章）：XXX</w:t>
      </w:r>
    </w:p>
    <w:p>
      <w:pPr>
        <w:adjustRightInd w:val="0"/>
        <w:spacing w:line="400" w:lineRule="exact"/>
        <w:jc w:val="left"/>
        <w:rPr>
          <w:rFonts w:hAnsi="宋体" w:cs="宋体"/>
          <w:bCs/>
          <w:color w:val="000000"/>
          <w:sz w:val="24"/>
          <w:highlight w:val="none"/>
        </w:rPr>
      </w:pPr>
      <w:r>
        <w:rPr>
          <w:rFonts w:hint="eastAsia" w:hAnsi="宋体" w:cs="宋体"/>
          <w:bCs/>
          <w:color w:val="000000"/>
          <w:sz w:val="24"/>
          <w:highlight w:val="none"/>
        </w:rPr>
        <w:t>日  期：XXX年XXX月XXX日</w:t>
      </w:r>
    </w:p>
    <w:p>
      <w:pPr>
        <w:pStyle w:val="10"/>
        <w:tabs>
          <w:tab w:val="left" w:pos="0"/>
        </w:tabs>
        <w:ind w:left="680"/>
        <w:jc w:val="center"/>
        <w:rPr>
          <w:rFonts w:hAnsi="宋体" w:cs="宋体"/>
          <w:color w:val="000000"/>
          <w:highlight w:val="none"/>
        </w:rPr>
      </w:pPr>
    </w:p>
    <w:p>
      <w:pPr>
        <w:pStyle w:val="10"/>
        <w:tabs>
          <w:tab w:val="left" w:pos="0"/>
        </w:tabs>
        <w:ind w:left="680"/>
        <w:jc w:val="center"/>
        <w:rPr>
          <w:rFonts w:hAnsi="宋体" w:cs="宋体"/>
          <w:color w:val="000000"/>
          <w:highlight w:val="none"/>
        </w:rPr>
      </w:pPr>
    </w:p>
    <w:p>
      <w:pPr>
        <w:pStyle w:val="10"/>
        <w:tabs>
          <w:tab w:val="left" w:pos="0"/>
        </w:tabs>
        <w:ind w:left="680"/>
        <w:jc w:val="center"/>
        <w:rPr>
          <w:rFonts w:hAnsi="宋体" w:cs="宋体"/>
          <w:color w:val="000000"/>
          <w:highlight w:val="none"/>
        </w:rPr>
      </w:pPr>
    </w:p>
    <w:p>
      <w:pPr>
        <w:adjustRightInd w:val="0"/>
        <w:spacing w:line="400" w:lineRule="exact"/>
        <w:jc w:val="left"/>
        <w:rPr>
          <w:rFonts w:hAnsi="宋体" w:cs="宋体"/>
          <w:color w:val="000000"/>
          <w:sz w:val="28"/>
          <w:highlight w:val="none"/>
        </w:rPr>
        <w:sectPr>
          <w:footerReference r:id="rId11" w:type="default"/>
          <w:pgSz w:w="11905" w:h="16838"/>
          <w:pgMar w:top="1440" w:right="1080" w:bottom="1440" w:left="1080" w:header="851" w:footer="992" w:gutter="0"/>
          <w:pgNumType w:fmt="numberInDash"/>
          <w:cols w:space="0" w:num="1"/>
          <w:rtlGutter w:val="0"/>
          <w:docGrid w:linePitch="312" w:charSpace="0"/>
        </w:sectPr>
      </w:pPr>
    </w:p>
    <w:p>
      <w:pPr>
        <w:jc w:val="center"/>
        <w:rPr>
          <w:rFonts w:hAnsi="宋体" w:cs="宋体"/>
          <w:b/>
          <w:bCs/>
          <w:color w:val="000000"/>
          <w:sz w:val="32"/>
          <w:szCs w:val="32"/>
          <w:highlight w:val="none"/>
        </w:rPr>
      </w:pPr>
      <w:r>
        <w:rPr>
          <w:rFonts w:hint="eastAsia" w:hAnsi="宋体" w:cs="宋体"/>
          <w:b/>
          <w:color w:val="000000"/>
          <w:sz w:val="32"/>
          <w:szCs w:val="32"/>
          <w:highlight w:val="none"/>
        </w:rPr>
        <w:t>十、供应商类似项目业绩一览表</w:t>
      </w:r>
    </w:p>
    <w:p>
      <w:pPr>
        <w:spacing w:line="400" w:lineRule="exact"/>
        <w:rPr>
          <w:rFonts w:hAnsi="宋体" w:cs="宋体"/>
          <w:color w:val="000000"/>
          <w:sz w:val="24"/>
          <w:highlight w:val="none"/>
        </w:rPr>
      </w:pPr>
    </w:p>
    <w:tbl>
      <w:tblPr>
        <w:tblStyle w:val="20"/>
        <w:tblW w:w="9849"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78"/>
        <w:gridCol w:w="1563"/>
        <w:gridCol w:w="1433"/>
        <w:gridCol w:w="1262"/>
        <w:gridCol w:w="1540"/>
        <w:gridCol w:w="6"/>
        <w:gridCol w:w="1739"/>
        <w:gridCol w:w="16"/>
        <w:gridCol w:w="1502"/>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tcBorders>
              <w:top w:val="single" w:color="auto" w:sz="4" w:space="0"/>
            </w:tcBorders>
            <w:vAlign w:val="center"/>
          </w:tcPr>
          <w:p>
            <w:pPr>
              <w:spacing w:line="400" w:lineRule="exact"/>
              <w:ind w:firstLine="171" w:firstLineChars="50"/>
              <w:jc w:val="center"/>
              <w:rPr>
                <w:rFonts w:hAnsi="宋体" w:cs="宋体"/>
                <w:b/>
                <w:color w:val="000000"/>
                <w:highlight w:val="none"/>
              </w:rPr>
            </w:pPr>
            <w:r>
              <w:rPr>
                <w:rFonts w:hint="eastAsia" w:hAnsi="宋体" w:cs="宋体"/>
                <w:b/>
                <w:color w:val="000000"/>
                <w:highlight w:val="none"/>
              </w:rPr>
              <w:t>年份</w:t>
            </w:r>
          </w:p>
        </w:tc>
        <w:tc>
          <w:tcPr>
            <w:tcW w:w="1563" w:type="dxa"/>
            <w:vAlign w:val="center"/>
          </w:tcPr>
          <w:p>
            <w:pPr>
              <w:spacing w:line="400" w:lineRule="exact"/>
              <w:jc w:val="center"/>
              <w:rPr>
                <w:rFonts w:hAnsi="宋体" w:cs="宋体"/>
                <w:b/>
                <w:color w:val="000000"/>
                <w:highlight w:val="none"/>
              </w:rPr>
            </w:pPr>
            <w:r>
              <w:rPr>
                <w:rFonts w:hint="eastAsia" w:hAnsi="宋体" w:cs="宋体"/>
                <w:b/>
                <w:color w:val="000000"/>
                <w:highlight w:val="none"/>
              </w:rPr>
              <w:t>用户名称</w:t>
            </w:r>
          </w:p>
        </w:tc>
        <w:tc>
          <w:tcPr>
            <w:tcW w:w="1433" w:type="dxa"/>
            <w:vAlign w:val="center"/>
          </w:tcPr>
          <w:p>
            <w:pPr>
              <w:spacing w:line="400" w:lineRule="exact"/>
              <w:jc w:val="center"/>
              <w:rPr>
                <w:rFonts w:hAnsi="宋体" w:cs="宋体"/>
                <w:b/>
                <w:color w:val="000000"/>
                <w:highlight w:val="none"/>
              </w:rPr>
            </w:pPr>
            <w:r>
              <w:rPr>
                <w:rFonts w:hint="eastAsia" w:hAnsi="宋体" w:cs="宋体"/>
                <w:b/>
                <w:color w:val="000000"/>
                <w:highlight w:val="none"/>
              </w:rPr>
              <w:t>项目名称</w:t>
            </w:r>
          </w:p>
        </w:tc>
        <w:tc>
          <w:tcPr>
            <w:tcW w:w="1262" w:type="dxa"/>
            <w:vAlign w:val="center"/>
          </w:tcPr>
          <w:p>
            <w:pPr>
              <w:spacing w:line="400" w:lineRule="exact"/>
              <w:jc w:val="center"/>
              <w:rPr>
                <w:rFonts w:hAnsi="宋体" w:cs="宋体"/>
                <w:b/>
                <w:color w:val="000000"/>
                <w:highlight w:val="none"/>
              </w:rPr>
            </w:pPr>
            <w:r>
              <w:rPr>
                <w:rFonts w:hint="eastAsia" w:hAnsi="宋体" w:cs="宋体"/>
                <w:b/>
                <w:color w:val="000000"/>
                <w:highlight w:val="none"/>
              </w:rPr>
              <w:t>完成时间</w:t>
            </w:r>
          </w:p>
        </w:tc>
        <w:tc>
          <w:tcPr>
            <w:tcW w:w="1546" w:type="dxa"/>
            <w:gridSpan w:val="2"/>
            <w:vAlign w:val="center"/>
          </w:tcPr>
          <w:p>
            <w:pPr>
              <w:spacing w:line="400" w:lineRule="exact"/>
              <w:ind w:firstLine="171" w:firstLineChars="50"/>
              <w:jc w:val="center"/>
              <w:rPr>
                <w:rFonts w:hAnsi="宋体" w:cs="宋体"/>
                <w:b/>
                <w:color w:val="000000"/>
                <w:highlight w:val="none"/>
              </w:rPr>
            </w:pPr>
            <w:r>
              <w:rPr>
                <w:rFonts w:hint="eastAsia" w:hAnsi="宋体" w:cs="宋体"/>
                <w:b/>
                <w:color w:val="000000"/>
                <w:highlight w:val="none"/>
              </w:rPr>
              <w:t>合同金额</w:t>
            </w:r>
          </w:p>
        </w:tc>
        <w:tc>
          <w:tcPr>
            <w:tcW w:w="1755" w:type="dxa"/>
            <w:gridSpan w:val="2"/>
            <w:tcBorders>
              <w:right w:val="single" w:color="auto" w:sz="4" w:space="0"/>
            </w:tcBorders>
            <w:vAlign w:val="center"/>
          </w:tcPr>
          <w:p>
            <w:pPr>
              <w:spacing w:line="400" w:lineRule="exact"/>
              <w:jc w:val="center"/>
              <w:rPr>
                <w:rFonts w:hAnsi="宋体" w:cs="宋体"/>
                <w:b/>
                <w:color w:val="000000"/>
                <w:highlight w:val="none"/>
              </w:rPr>
            </w:pPr>
            <w:r>
              <w:rPr>
                <w:rFonts w:hint="eastAsia" w:hAnsi="宋体" w:cs="宋体"/>
                <w:b/>
                <w:color w:val="000000"/>
                <w:highlight w:val="none"/>
              </w:rPr>
              <w:t>是否通过验收</w:t>
            </w:r>
          </w:p>
        </w:tc>
        <w:tc>
          <w:tcPr>
            <w:tcW w:w="1512" w:type="dxa"/>
            <w:gridSpan w:val="2"/>
            <w:tcBorders>
              <w:left w:val="single" w:color="auto" w:sz="4" w:space="0"/>
            </w:tcBorders>
            <w:vAlign w:val="center"/>
          </w:tcPr>
          <w:p>
            <w:pPr>
              <w:spacing w:line="400" w:lineRule="exact"/>
              <w:jc w:val="center"/>
              <w:rPr>
                <w:rFonts w:hAnsi="宋体" w:cs="宋体"/>
                <w:b/>
                <w:color w:val="000000"/>
                <w:highlight w:val="none"/>
              </w:rPr>
            </w:pPr>
            <w:r>
              <w:rPr>
                <w:rFonts w:hint="eastAsia" w:hAnsi="宋体" w:cs="宋体"/>
                <w:b/>
                <w:color w:val="000000"/>
                <w:highlight w:val="none"/>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vAlign w:val="center"/>
          </w:tcPr>
          <w:p>
            <w:pPr>
              <w:spacing w:line="400" w:lineRule="exact"/>
              <w:jc w:val="center"/>
              <w:rPr>
                <w:rFonts w:hAnsi="宋体" w:cs="宋体"/>
                <w:color w:val="000000"/>
                <w:highlight w:val="none"/>
              </w:rPr>
            </w:pPr>
          </w:p>
        </w:tc>
        <w:tc>
          <w:tcPr>
            <w:tcW w:w="1563" w:type="dxa"/>
            <w:vAlign w:val="center"/>
          </w:tcPr>
          <w:p>
            <w:pPr>
              <w:spacing w:line="400" w:lineRule="exact"/>
              <w:jc w:val="center"/>
              <w:rPr>
                <w:rFonts w:hAnsi="宋体" w:cs="宋体"/>
                <w:color w:val="000000"/>
                <w:highlight w:val="none"/>
              </w:rPr>
            </w:pPr>
          </w:p>
        </w:tc>
        <w:tc>
          <w:tcPr>
            <w:tcW w:w="1433" w:type="dxa"/>
            <w:vAlign w:val="center"/>
          </w:tcPr>
          <w:p>
            <w:pPr>
              <w:spacing w:line="400" w:lineRule="exact"/>
              <w:jc w:val="center"/>
              <w:rPr>
                <w:rFonts w:hAnsi="宋体" w:cs="宋体"/>
                <w:color w:val="000000"/>
                <w:highlight w:val="none"/>
              </w:rPr>
            </w:pPr>
          </w:p>
        </w:tc>
        <w:tc>
          <w:tcPr>
            <w:tcW w:w="1262" w:type="dxa"/>
            <w:vAlign w:val="center"/>
          </w:tcPr>
          <w:p>
            <w:pPr>
              <w:spacing w:line="400" w:lineRule="exact"/>
              <w:jc w:val="center"/>
              <w:rPr>
                <w:rFonts w:hAnsi="宋体" w:cs="宋体"/>
                <w:color w:val="000000"/>
                <w:highlight w:val="none"/>
              </w:rPr>
            </w:pPr>
          </w:p>
        </w:tc>
        <w:tc>
          <w:tcPr>
            <w:tcW w:w="1546" w:type="dxa"/>
            <w:gridSpan w:val="2"/>
            <w:vAlign w:val="center"/>
          </w:tcPr>
          <w:p>
            <w:pPr>
              <w:spacing w:line="400" w:lineRule="exact"/>
              <w:jc w:val="center"/>
              <w:rPr>
                <w:rFonts w:hAnsi="宋体" w:cs="宋体"/>
                <w:color w:val="000000"/>
                <w:highlight w:val="none"/>
              </w:rPr>
            </w:pPr>
          </w:p>
        </w:tc>
        <w:tc>
          <w:tcPr>
            <w:tcW w:w="1755" w:type="dxa"/>
            <w:gridSpan w:val="2"/>
            <w:tcBorders>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left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vAlign w:val="center"/>
          </w:tcPr>
          <w:p>
            <w:pPr>
              <w:spacing w:line="400" w:lineRule="exact"/>
              <w:jc w:val="center"/>
              <w:rPr>
                <w:rFonts w:hAnsi="宋体" w:cs="宋体"/>
                <w:color w:val="000000"/>
                <w:highlight w:val="none"/>
              </w:rPr>
            </w:pPr>
          </w:p>
        </w:tc>
        <w:tc>
          <w:tcPr>
            <w:tcW w:w="1563" w:type="dxa"/>
            <w:vAlign w:val="center"/>
          </w:tcPr>
          <w:p>
            <w:pPr>
              <w:spacing w:line="400" w:lineRule="exact"/>
              <w:jc w:val="center"/>
              <w:rPr>
                <w:rFonts w:hAnsi="宋体" w:cs="宋体"/>
                <w:color w:val="000000"/>
                <w:highlight w:val="none"/>
              </w:rPr>
            </w:pPr>
          </w:p>
        </w:tc>
        <w:tc>
          <w:tcPr>
            <w:tcW w:w="1433" w:type="dxa"/>
            <w:vAlign w:val="center"/>
          </w:tcPr>
          <w:p>
            <w:pPr>
              <w:spacing w:line="400" w:lineRule="exact"/>
              <w:jc w:val="center"/>
              <w:rPr>
                <w:rFonts w:hAnsi="宋体" w:cs="宋体"/>
                <w:color w:val="000000"/>
                <w:highlight w:val="none"/>
              </w:rPr>
            </w:pPr>
          </w:p>
        </w:tc>
        <w:tc>
          <w:tcPr>
            <w:tcW w:w="1262" w:type="dxa"/>
            <w:vAlign w:val="center"/>
          </w:tcPr>
          <w:p>
            <w:pPr>
              <w:spacing w:line="400" w:lineRule="exact"/>
              <w:jc w:val="center"/>
              <w:rPr>
                <w:rFonts w:hAnsi="宋体" w:cs="宋体"/>
                <w:color w:val="000000"/>
                <w:highlight w:val="none"/>
              </w:rPr>
            </w:pPr>
          </w:p>
        </w:tc>
        <w:tc>
          <w:tcPr>
            <w:tcW w:w="1546" w:type="dxa"/>
            <w:gridSpan w:val="2"/>
            <w:vAlign w:val="center"/>
          </w:tcPr>
          <w:p>
            <w:pPr>
              <w:spacing w:line="400" w:lineRule="exact"/>
              <w:jc w:val="center"/>
              <w:rPr>
                <w:rFonts w:hAnsi="宋体" w:cs="宋体"/>
                <w:color w:val="000000"/>
                <w:highlight w:val="none"/>
              </w:rPr>
            </w:pPr>
          </w:p>
        </w:tc>
        <w:tc>
          <w:tcPr>
            <w:tcW w:w="1755" w:type="dxa"/>
            <w:gridSpan w:val="2"/>
            <w:tcBorders>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left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vAlign w:val="center"/>
          </w:tcPr>
          <w:p>
            <w:pPr>
              <w:spacing w:line="400" w:lineRule="exact"/>
              <w:jc w:val="center"/>
              <w:rPr>
                <w:rFonts w:hAnsi="宋体" w:cs="宋体"/>
                <w:color w:val="000000"/>
                <w:highlight w:val="none"/>
              </w:rPr>
            </w:pPr>
          </w:p>
        </w:tc>
        <w:tc>
          <w:tcPr>
            <w:tcW w:w="1563" w:type="dxa"/>
            <w:vAlign w:val="center"/>
          </w:tcPr>
          <w:p>
            <w:pPr>
              <w:spacing w:line="400" w:lineRule="exact"/>
              <w:jc w:val="center"/>
              <w:rPr>
                <w:rFonts w:hAnsi="宋体" w:cs="宋体"/>
                <w:color w:val="000000"/>
                <w:highlight w:val="none"/>
              </w:rPr>
            </w:pPr>
          </w:p>
        </w:tc>
        <w:tc>
          <w:tcPr>
            <w:tcW w:w="1433" w:type="dxa"/>
            <w:vAlign w:val="center"/>
          </w:tcPr>
          <w:p>
            <w:pPr>
              <w:spacing w:line="400" w:lineRule="exact"/>
              <w:jc w:val="center"/>
              <w:rPr>
                <w:rFonts w:hAnsi="宋体" w:cs="宋体"/>
                <w:color w:val="000000"/>
                <w:highlight w:val="none"/>
              </w:rPr>
            </w:pPr>
          </w:p>
        </w:tc>
        <w:tc>
          <w:tcPr>
            <w:tcW w:w="1262" w:type="dxa"/>
            <w:vAlign w:val="center"/>
          </w:tcPr>
          <w:p>
            <w:pPr>
              <w:spacing w:line="400" w:lineRule="exact"/>
              <w:jc w:val="center"/>
              <w:rPr>
                <w:rFonts w:hAnsi="宋体" w:cs="宋体"/>
                <w:color w:val="000000"/>
                <w:highlight w:val="none"/>
              </w:rPr>
            </w:pPr>
          </w:p>
        </w:tc>
        <w:tc>
          <w:tcPr>
            <w:tcW w:w="1546" w:type="dxa"/>
            <w:gridSpan w:val="2"/>
            <w:vAlign w:val="center"/>
          </w:tcPr>
          <w:p>
            <w:pPr>
              <w:spacing w:line="400" w:lineRule="exact"/>
              <w:jc w:val="center"/>
              <w:rPr>
                <w:rFonts w:hAnsi="宋体" w:cs="宋体"/>
                <w:color w:val="000000"/>
                <w:highlight w:val="none"/>
              </w:rPr>
            </w:pPr>
          </w:p>
        </w:tc>
        <w:tc>
          <w:tcPr>
            <w:tcW w:w="1755" w:type="dxa"/>
            <w:gridSpan w:val="2"/>
            <w:tcBorders>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left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vAlign w:val="center"/>
          </w:tcPr>
          <w:p>
            <w:pPr>
              <w:spacing w:line="400" w:lineRule="exact"/>
              <w:jc w:val="center"/>
              <w:rPr>
                <w:rFonts w:hAnsi="宋体" w:cs="宋体"/>
                <w:color w:val="000000"/>
                <w:highlight w:val="none"/>
              </w:rPr>
            </w:pPr>
          </w:p>
        </w:tc>
        <w:tc>
          <w:tcPr>
            <w:tcW w:w="1563" w:type="dxa"/>
            <w:tcBorders>
              <w:right w:val="single" w:color="auto" w:sz="4" w:space="0"/>
            </w:tcBorders>
            <w:vAlign w:val="center"/>
          </w:tcPr>
          <w:p>
            <w:pPr>
              <w:spacing w:line="400" w:lineRule="exact"/>
              <w:jc w:val="center"/>
              <w:rPr>
                <w:rFonts w:hAnsi="宋体" w:cs="宋体"/>
                <w:color w:val="000000"/>
                <w:highlight w:val="none"/>
              </w:rPr>
            </w:pPr>
          </w:p>
        </w:tc>
        <w:tc>
          <w:tcPr>
            <w:tcW w:w="1433" w:type="dxa"/>
            <w:tcBorders>
              <w:left w:val="single" w:color="auto" w:sz="4" w:space="0"/>
            </w:tcBorders>
            <w:vAlign w:val="center"/>
          </w:tcPr>
          <w:p>
            <w:pPr>
              <w:spacing w:line="400" w:lineRule="exact"/>
              <w:jc w:val="center"/>
              <w:rPr>
                <w:rFonts w:hAnsi="宋体" w:cs="宋体"/>
                <w:color w:val="000000"/>
                <w:highlight w:val="none"/>
              </w:rPr>
            </w:pPr>
          </w:p>
        </w:tc>
        <w:tc>
          <w:tcPr>
            <w:tcW w:w="1262" w:type="dxa"/>
            <w:vAlign w:val="center"/>
          </w:tcPr>
          <w:p>
            <w:pPr>
              <w:spacing w:line="400" w:lineRule="exact"/>
              <w:jc w:val="center"/>
              <w:rPr>
                <w:rFonts w:hAnsi="宋体" w:cs="宋体"/>
                <w:color w:val="000000"/>
                <w:highlight w:val="none"/>
              </w:rPr>
            </w:pPr>
          </w:p>
        </w:tc>
        <w:tc>
          <w:tcPr>
            <w:tcW w:w="1546" w:type="dxa"/>
            <w:gridSpan w:val="2"/>
            <w:vAlign w:val="center"/>
          </w:tcPr>
          <w:p>
            <w:pPr>
              <w:spacing w:line="400" w:lineRule="exact"/>
              <w:jc w:val="center"/>
              <w:rPr>
                <w:rFonts w:hAnsi="宋体" w:cs="宋体"/>
                <w:color w:val="000000"/>
                <w:highlight w:val="none"/>
              </w:rPr>
            </w:pPr>
          </w:p>
        </w:tc>
        <w:tc>
          <w:tcPr>
            <w:tcW w:w="1755" w:type="dxa"/>
            <w:gridSpan w:val="2"/>
            <w:tcBorders>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left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78" w:type="dxa"/>
            <w:tcBorders>
              <w:right w:val="single" w:color="auto" w:sz="4" w:space="0"/>
            </w:tcBorders>
            <w:vAlign w:val="center"/>
          </w:tcPr>
          <w:p>
            <w:pPr>
              <w:spacing w:line="400" w:lineRule="exact"/>
              <w:rPr>
                <w:rFonts w:hAnsi="宋体" w:cs="宋体"/>
                <w:color w:val="000000"/>
                <w:highlight w:val="none"/>
              </w:rPr>
            </w:pPr>
          </w:p>
        </w:tc>
        <w:tc>
          <w:tcPr>
            <w:tcW w:w="1563" w:type="dxa"/>
            <w:tcBorders>
              <w:left w:val="single" w:color="auto" w:sz="4" w:space="0"/>
              <w:right w:val="single" w:color="auto" w:sz="4" w:space="0"/>
            </w:tcBorders>
            <w:vAlign w:val="center"/>
          </w:tcPr>
          <w:p>
            <w:pPr>
              <w:spacing w:line="400" w:lineRule="exact"/>
              <w:rPr>
                <w:rFonts w:hAnsi="宋体" w:cs="宋体"/>
                <w:color w:val="000000"/>
                <w:highlight w:val="none"/>
              </w:rPr>
            </w:pPr>
          </w:p>
        </w:tc>
        <w:tc>
          <w:tcPr>
            <w:tcW w:w="1433" w:type="dxa"/>
            <w:tcBorders>
              <w:left w:val="single" w:color="auto" w:sz="4" w:space="0"/>
              <w:right w:val="single" w:color="auto" w:sz="4" w:space="0"/>
            </w:tcBorders>
            <w:vAlign w:val="center"/>
          </w:tcPr>
          <w:p>
            <w:pPr>
              <w:spacing w:line="400" w:lineRule="exact"/>
              <w:rPr>
                <w:rFonts w:hAnsi="宋体" w:cs="宋体"/>
                <w:color w:val="000000"/>
                <w:highlight w:val="none"/>
              </w:rPr>
            </w:pPr>
          </w:p>
        </w:tc>
        <w:tc>
          <w:tcPr>
            <w:tcW w:w="1262" w:type="dxa"/>
            <w:tcBorders>
              <w:left w:val="single" w:color="auto" w:sz="4" w:space="0"/>
              <w:right w:val="single" w:color="auto" w:sz="4" w:space="0"/>
            </w:tcBorders>
            <w:vAlign w:val="center"/>
          </w:tcPr>
          <w:p>
            <w:pPr>
              <w:spacing w:line="400" w:lineRule="exact"/>
              <w:rPr>
                <w:rFonts w:hAnsi="宋体" w:cs="宋体"/>
                <w:color w:val="000000"/>
                <w:highlight w:val="none"/>
              </w:rPr>
            </w:pPr>
          </w:p>
        </w:tc>
        <w:tc>
          <w:tcPr>
            <w:tcW w:w="1540" w:type="dxa"/>
            <w:tcBorders>
              <w:left w:val="single" w:color="auto" w:sz="4" w:space="0"/>
              <w:right w:val="single" w:color="auto" w:sz="4" w:space="0"/>
            </w:tcBorders>
            <w:vAlign w:val="center"/>
          </w:tcPr>
          <w:p>
            <w:pPr>
              <w:spacing w:line="400" w:lineRule="exact"/>
              <w:rPr>
                <w:rFonts w:hAnsi="宋体" w:cs="宋体"/>
                <w:color w:val="000000"/>
                <w:highlight w:val="none"/>
              </w:rPr>
            </w:pPr>
          </w:p>
        </w:tc>
        <w:tc>
          <w:tcPr>
            <w:tcW w:w="1745" w:type="dxa"/>
            <w:gridSpan w:val="2"/>
            <w:tcBorders>
              <w:left w:val="single" w:color="auto" w:sz="4" w:space="0"/>
              <w:right w:val="single" w:color="auto" w:sz="4" w:space="0"/>
            </w:tcBorders>
            <w:vAlign w:val="center"/>
          </w:tcPr>
          <w:p>
            <w:pPr>
              <w:spacing w:line="400" w:lineRule="exact"/>
              <w:rPr>
                <w:rFonts w:hAnsi="宋体" w:cs="宋体"/>
                <w:color w:val="000000"/>
                <w:highlight w:val="none"/>
              </w:rPr>
            </w:pPr>
          </w:p>
        </w:tc>
        <w:tc>
          <w:tcPr>
            <w:tcW w:w="1518" w:type="dxa"/>
            <w:gridSpan w:val="2"/>
            <w:tcBorders>
              <w:left w:val="single" w:color="auto" w:sz="4" w:space="0"/>
            </w:tcBorders>
            <w:vAlign w:val="center"/>
          </w:tcPr>
          <w:p>
            <w:pPr>
              <w:spacing w:line="400" w:lineRule="exact"/>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vAlign w:val="center"/>
          </w:tcPr>
          <w:p>
            <w:pPr>
              <w:spacing w:line="400" w:lineRule="exact"/>
              <w:rPr>
                <w:rFonts w:hAnsi="宋体" w:cs="宋体"/>
                <w:color w:val="000000"/>
                <w:highlight w:val="none"/>
              </w:rPr>
            </w:pPr>
          </w:p>
        </w:tc>
        <w:tc>
          <w:tcPr>
            <w:tcW w:w="1563" w:type="dxa"/>
            <w:vAlign w:val="center"/>
          </w:tcPr>
          <w:p>
            <w:pPr>
              <w:spacing w:line="400" w:lineRule="exact"/>
              <w:rPr>
                <w:rFonts w:hAnsi="宋体" w:cs="宋体"/>
                <w:color w:val="000000"/>
                <w:highlight w:val="none"/>
              </w:rPr>
            </w:pPr>
          </w:p>
        </w:tc>
        <w:tc>
          <w:tcPr>
            <w:tcW w:w="1433" w:type="dxa"/>
            <w:vAlign w:val="center"/>
          </w:tcPr>
          <w:p>
            <w:pPr>
              <w:spacing w:line="400" w:lineRule="exact"/>
              <w:rPr>
                <w:rFonts w:hAnsi="宋体" w:cs="宋体"/>
                <w:color w:val="000000"/>
                <w:highlight w:val="none"/>
              </w:rPr>
            </w:pPr>
          </w:p>
        </w:tc>
        <w:tc>
          <w:tcPr>
            <w:tcW w:w="1262" w:type="dxa"/>
            <w:vAlign w:val="center"/>
          </w:tcPr>
          <w:p>
            <w:pPr>
              <w:spacing w:line="400" w:lineRule="exact"/>
              <w:rPr>
                <w:rFonts w:hAnsi="宋体" w:cs="宋体"/>
                <w:color w:val="000000"/>
                <w:highlight w:val="none"/>
              </w:rPr>
            </w:pPr>
          </w:p>
        </w:tc>
        <w:tc>
          <w:tcPr>
            <w:tcW w:w="1546" w:type="dxa"/>
            <w:gridSpan w:val="2"/>
            <w:tcBorders>
              <w:right w:val="single" w:color="auto" w:sz="4" w:space="0"/>
            </w:tcBorders>
            <w:vAlign w:val="center"/>
          </w:tcPr>
          <w:p>
            <w:pPr>
              <w:spacing w:line="400" w:lineRule="exact"/>
              <w:rPr>
                <w:rFonts w:hAnsi="宋体" w:cs="宋体"/>
                <w:color w:val="000000"/>
                <w:highlight w:val="none"/>
              </w:rPr>
            </w:pPr>
          </w:p>
        </w:tc>
        <w:tc>
          <w:tcPr>
            <w:tcW w:w="1755" w:type="dxa"/>
            <w:gridSpan w:val="2"/>
            <w:tcBorders>
              <w:left w:val="single" w:color="auto" w:sz="4" w:space="0"/>
              <w:right w:val="single" w:color="auto" w:sz="4" w:space="0"/>
            </w:tcBorders>
            <w:vAlign w:val="center"/>
          </w:tcPr>
          <w:p>
            <w:pPr>
              <w:spacing w:line="400" w:lineRule="exact"/>
              <w:rPr>
                <w:rFonts w:hAnsi="宋体" w:cs="宋体"/>
                <w:color w:val="000000"/>
                <w:highlight w:val="none"/>
              </w:rPr>
            </w:pPr>
          </w:p>
        </w:tc>
        <w:tc>
          <w:tcPr>
            <w:tcW w:w="1512" w:type="dxa"/>
            <w:gridSpan w:val="2"/>
            <w:tcBorders>
              <w:left w:val="single" w:color="auto" w:sz="4" w:space="0"/>
            </w:tcBorders>
            <w:vAlign w:val="center"/>
          </w:tcPr>
          <w:p>
            <w:pPr>
              <w:spacing w:line="400" w:lineRule="exact"/>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vAlign w:val="center"/>
          </w:tcPr>
          <w:p>
            <w:pPr>
              <w:spacing w:line="400" w:lineRule="exact"/>
              <w:jc w:val="center"/>
              <w:rPr>
                <w:rFonts w:hAnsi="宋体" w:cs="宋体"/>
                <w:color w:val="000000"/>
                <w:highlight w:val="none"/>
              </w:rPr>
            </w:pPr>
          </w:p>
        </w:tc>
        <w:tc>
          <w:tcPr>
            <w:tcW w:w="1563" w:type="dxa"/>
            <w:vAlign w:val="center"/>
          </w:tcPr>
          <w:p>
            <w:pPr>
              <w:spacing w:line="400" w:lineRule="exact"/>
              <w:jc w:val="center"/>
              <w:rPr>
                <w:rFonts w:hAnsi="宋体" w:cs="宋体"/>
                <w:color w:val="000000"/>
                <w:highlight w:val="none"/>
              </w:rPr>
            </w:pPr>
          </w:p>
        </w:tc>
        <w:tc>
          <w:tcPr>
            <w:tcW w:w="1433" w:type="dxa"/>
            <w:vAlign w:val="center"/>
          </w:tcPr>
          <w:p>
            <w:pPr>
              <w:spacing w:line="400" w:lineRule="exact"/>
              <w:jc w:val="center"/>
              <w:rPr>
                <w:rFonts w:hAnsi="宋体" w:cs="宋体"/>
                <w:color w:val="000000"/>
                <w:highlight w:val="none"/>
              </w:rPr>
            </w:pPr>
          </w:p>
        </w:tc>
        <w:tc>
          <w:tcPr>
            <w:tcW w:w="1262" w:type="dxa"/>
            <w:vAlign w:val="center"/>
          </w:tcPr>
          <w:p>
            <w:pPr>
              <w:spacing w:line="400" w:lineRule="exact"/>
              <w:jc w:val="center"/>
              <w:rPr>
                <w:rFonts w:hAnsi="宋体" w:cs="宋体"/>
                <w:color w:val="000000"/>
                <w:highlight w:val="none"/>
              </w:rPr>
            </w:pPr>
          </w:p>
        </w:tc>
        <w:tc>
          <w:tcPr>
            <w:tcW w:w="1546" w:type="dxa"/>
            <w:gridSpan w:val="2"/>
            <w:tcBorders>
              <w:right w:val="single" w:color="auto" w:sz="4" w:space="0"/>
            </w:tcBorders>
            <w:vAlign w:val="center"/>
          </w:tcPr>
          <w:p>
            <w:pPr>
              <w:spacing w:line="400" w:lineRule="exact"/>
              <w:jc w:val="center"/>
              <w:rPr>
                <w:rFonts w:hAnsi="宋体" w:cs="宋体"/>
                <w:color w:val="000000"/>
                <w:highlight w:val="none"/>
              </w:rPr>
            </w:pPr>
          </w:p>
        </w:tc>
        <w:tc>
          <w:tcPr>
            <w:tcW w:w="1755" w:type="dxa"/>
            <w:gridSpan w:val="2"/>
            <w:tcBorders>
              <w:left w:val="single" w:color="auto" w:sz="4" w:space="0"/>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left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78" w:type="dxa"/>
            <w:vAlign w:val="center"/>
          </w:tcPr>
          <w:p>
            <w:pPr>
              <w:spacing w:line="400" w:lineRule="exact"/>
              <w:jc w:val="center"/>
              <w:rPr>
                <w:rFonts w:hAnsi="宋体" w:cs="宋体"/>
                <w:color w:val="000000"/>
                <w:highlight w:val="none"/>
              </w:rPr>
            </w:pPr>
          </w:p>
        </w:tc>
        <w:tc>
          <w:tcPr>
            <w:tcW w:w="1563" w:type="dxa"/>
            <w:vAlign w:val="center"/>
          </w:tcPr>
          <w:p>
            <w:pPr>
              <w:spacing w:line="400" w:lineRule="exact"/>
              <w:jc w:val="center"/>
              <w:rPr>
                <w:rFonts w:hAnsi="宋体" w:cs="宋体"/>
                <w:color w:val="000000"/>
                <w:highlight w:val="none"/>
              </w:rPr>
            </w:pPr>
          </w:p>
        </w:tc>
        <w:tc>
          <w:tcPr>
            <w:tcW w:w="1433" w:type="dxa"/>
            <w:vAlign w:val="center"/>
          </w:tcPr>
          <w:p>
            <w:pPr>
              <w:spacing w:line="400" w:lineRule="exact"/>
              <w:jc w:val="center"/>
              <w:rPr>
                <w:rFonts w:hAnsi="宋体" w:cs="宋体"/>
                <w:color w:val="000000"/>
                <w:highlight w:val="none"/>
              </w:rPr>
            </w:pPr>
          </w:p>
        </w:tc>
        <w:tc>
          <w:tcPr>
            <w:tcW w:w="1262" w:type="dxa"/>
            <w:vAlign w:val="center"/>
          </w:tcPr>
          <w:p>
            <w:pPr>
              <w:spacing w:line="400" w:lineRule="exact"/>
              <w:jc w:val="center"/>
              <w:rPr>
                <w:rFonts w:hAnsi="宋体" w:cs="宋体"/>
                <w:color w:val="000000"/>
                <w:highlight w:val="none"/>
              </w:rPr>
            </w:pPr>
          </w:p>
        </w:tc>
        <w:tc>
          <w:tcPr>
            <w:tcW w:w="1546" w:type="dxa"/>
            <w:gridSpan w:val="2"/>
            <w:tcBorders>
              <w:right w:val="single" w:color="auto" w:sz="4" w:space="0"/>
            </w:tcBorders>
            <w:vAlign w:val="center"/>
          </w:tcPr>
          <w:p>
            <w:pPr>
              <w:spacing w:line="400" w:lineRule="exact"/>
              <w:jc w:val="center"/>
              <w:rPr>
                <w:rFonts w:hAnsi="宋体" w:cs="宋体"/>
                <w:color w:val="000000"/>
                <w:highlight w:val="none"/>
              </w:rPr>
            </w:pPr>
          </w:p>
        </w:tc>
        <w:tc>
          <w:tcPr>
            <w:tcW w:w="1755" w:type="dxa"/>
            <w:gridSpan w:val="2"/>
            <w:tcBorders>
              <w:left w:val="single" w:color="auto" w:sz="4" w:space="0"/>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left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78" w:type="dxa"/>
            <w:tcBorders>
              <w:bottom w:val="single" w:color="auto" w:sz="4" w:space="0"/>
            </w:tcBorders>
            <w:vAlign w:val="center"/>
          </w:tcPr>
          <w:p>
            <w:pPr>
              <w:spacing w:line="400" w:lineRule="exact"/>
              <w:jc w:val="center"/>
              <w:rPr>
                <w:rFonts w:hAnsi="宋体" w:cs="宋体"/>
                <w:color w:val="000000"/>
                <w:highlight w:val="none"/>
              </w:rPr>
            </w:pPr>
          </w:p>
        </w:tc>
        <w:tc>
          <w:tcPr>
            <w:tcW w:w="1563" w:type="dxa"/>
            <w:tcBorders>
              <w:bottom w:val="single" w:color="auto" w:sz="4" w:space="0"/>
            </w:tcBorders>
            <w:vAlign w:val="center"/>
          </w:tcPr>
          <w:p>
            <w:pPr>
              <w:spacing w:line="400" w:lineRule="exact"/>
              <w:jc w:val="center"/>
              <w:rPr>
                <w:rFonts w:hAnsi="宋体" w:cs="宋体"/>
                <w:color w:val="000000"/>
                <w:highlight w:val="none"/>
              </w:rPr>
            </w:pPr>
          </w:p>
        </w:tc>
        <w:tc>
          <w:tcPr>
            <w:tcW w:w="1433" w:type="dxa"/>
            <w:tcBorders>
              <w:bottom w:val="single" w:color="auto" w:sz="4" w:space="0"/>
            </w:tcBorders>
            <w:vAlign w:val="center"/>
          </w:tcPr>
          <w:p>
            <w:pPr>
              <w:spacing w:line="400" w:lineRule="exact"/>
              <w:jc w:val="center"/>
              <w:rPr>
                <w:rFonts w:hAnsi="宋体" w:cs="宋体"/>
                <w:color w:val="000000"/>
                <w:highlight w:val="none"/>
              </w:rPr>
            </w:pPr>
          </w:p>
        </w:tc>
        <w:tc>
          <w:tcPr>
            <w:tcW w:w="1262" w:type="dxa"/>
            <w:tcBorders>
              <w:bottom w:val="single" w:color="auto" w:sz="4" w:space="0"/>
            </w:tcBorders>
            <w:vAlign w:val="center"/>
          </w:tcPr>
          <w:p>
            <w:pPr>
              <w:spacing w:line="400" w:lineRule="exact"/>
              <w:jc w:val="center"/>
              <w:rPr>
                <w:rFonts w:hAnsi="宋体" w:cs="宋体"/>
                <w:color w:val="000000"/>
                <w:highlight w:val="none"/>
              </w:rPr>
            </w:pPr>
          </w:p>
        </w:tc>
        <w:tc>
          <w:tcPr>
            <w:tcW w:w="1546" w:type="dxa"/>
            <w:gridSpan w:val="2"/>
            <w:tcBorders>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755" w:type="dxa"/>
            <w:gridSpan w:val="2"/>
            <w:tcBorders>
              <w:left w:val="single" w:color="auto" w:sz="4" w:space="0"/>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left w:val="single" w:color="auto" w:sz="4" w:space="0"/>
              <w:bottom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78"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563"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433"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262"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546"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78"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563"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433"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262"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546"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78"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563"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433"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262" w:type="dxa"/>
            <w:tcBorders>
              <w:top w:val="single" w:color="auto" w:sz="4" w:space="0"/>
              <w:bottom w:val="single" w:color="auto" w:sz="4" w:space="0"/>
            </w:tcBorders>
            <w:vAlign w:val="center"/>
          </w:tcPr>
          <w:p>
            <w:pPr>
              <w:spacing w:line="400" w:lineRule="exact"/>
              <w:jc w:val="center"/>
              <w:rPr>
                <w:rFonts w:hAnsi="宋体" w:cs="宋体"/>
                <w:color w:val="000000"/>
                <w:highlight w:val="none"/>
              </w:rPr>
            </w:pPr>
          </w:p>
        </w:tc>
        <w:tc>
          <w:tcPr>
            <w:tcW w:w="1546" w:type="dxa"/>
            <w:gridSpan w:val="2"/>
            <w:tcBorders>
              <w:top w:val="single" w:color="auto" w:sz="4" w:space="0"/>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7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top w:val="single" w:color="auto" w:sz="4" w:space="0"/>
              <w:left w:val="single" w:color="auto" w:sz="4" w:space="0"/>
              <w:bottom w:val="single" w:color="auto" w:sz="4" w:space="0"/>
            </w:tcBorders>
            <w:vAlign w:val="center"/>
          </w:tcPr>
          <w:p>
            <w:pPr>
              <w:spacing w:line="400" w:lineRule="exact"/>
              <w:jc w:val="center"/>
              <w:rPr>
                <w:rFonts w:hAnsi="宋体" w:cs="宋体"/>
                <w:color w:val="000000"/>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78" w:type="dxa"/>
            <w:tcBorders>
              <w:top w:val="single" w:color="auto" w:sz="4" w:space="0"/>
            </w:tcBorders>
            <w:vAlign w:val="center"/>
          </w:tcPr>
          <w:p>
            <w:pPr>
              <w:spacing w:line="400" w:lineRule="exact"/>
              <w:jc w:val="center"/>
              <w:rPr>
                <w:rFonts w:hAnsi="宋体" w:cs="宋体"/>
                <w:color w:val="000000"/>
                <w:highlight w:val="none"/>
              </w:rPr>
            </w:pPr>
          </w:p>
        </w:tc>
        <w:tc>
          <w:tcPr>
            <w:tcW w:w="1563" w:type="dxa"/>
            <w:tcBorders>
              <w:top w:val="single" w:color="auto" w:sz="4" w:space="0"/>
            </w:tcBorders>
            <w:vAlign w:val="center"/>
          </w:tcPr>
          <w:p>
            <w:pPr>
              <w:spacing w:line="400" w:lineRule="exact"/>
              <w:jc w:val="center"/>
              <w:rPr>
                <w:rFonts w:hAnsi="宋体" w:cs="宋体"/>
                <w:color w:val="000000"/>
                <w:highlight w:val="none"/>
              </w:rPr>
            </w:pPr>
          </w:p>
        </w:tc>
        <w:tc>
          <w:tcPr>
            <w:tcW w:w="1433" w:type="dxa"/>
            <w:tcBorders>
              <w:top w:val="single" w:color="auto" w:sz="4" w:space="0"/>
            </w:tcBorders>
            <w:vAlign w:val="center"/>
          </w:tcPr>
          <w:p>
            <w:pPr>
              <w:spacing w:line="400" w:lineRule="exact"/>
              <w:jc w:val="center"/>
              <w:rPr>
                <w:rFonts w:hAnsi="宋体" w:cs="宋体"/>
                <w:color w:val="000000"/>
                <w:highlight w:val="none"/>
              </w:rPr>
            </w:pPr>
          </w:p>
        </w:tc>
        <w:tc>
          <w:tcPr>
            <w:tcW w:w="1262" w:type="dxa"/>
            <w:tcBorders>
              <w:top w:val="single" w:color="auto" w:sz="4" w:space="0"/>
            </w:tcBorders>
            <w:vAlign w:val="center"/>
          </w:tcPr>
          <w:p>
            <w:pPr>
              <w:spacing w:line="400" w:lineRule="exact"/>
              <w:jc w:val="center"/>
              <w:rPr>
                <w:rFonts w:hAnsi="宋体" w:cs="宋体"/>
                <w:color w:val="000000"/>
                <w:highlight w:val="none"/>
              </w:rPr>
            </w:pPr>
          </w:p>
        </w:tc>
        <w:tc>
          <w:tcPr>
            <w:tcW w:w="1546" w:type="dxa"/>
            <w:gridSpan w:val="2"/>
            <w:tcBorders>
              <w:top w:val="single" w:color="auto" w:sz="4" w:space="0"/>
              <w:right w:val="single" w:color="auto" w:sz="4" w:space="0"/>
            </w:tcBorders>
            <w:vAlign w:val="center"/>
          </w:tcPr>
          <w:p>
            <w:pPr>
              <w:spacing w:line="400" w:lineRule="exact"/>
              <w:jc w:val="center"/>
              <w:rPr>
                <w:rFonts w:hAnsi="宋体" w:cs="宋体"/>
                <w:color w:val="000000"/>
                <w:highlight w:val="none"/>
              </w:rPr>
            </w:pPr>
          </w:p>
        </w:tc>
        <w:tc>
          <w:tcPr>
            <w:tcW w:w="1755" w:type="dxa"/>
            <w:gridSpan w:val="2"/>
            <w:tcBorders>
              <w:top w:val="single" w:color="auto" w:sz="4" w:space="0"/>
              <w:left w:val="single" w:color="auto" w:sz="4" w:space="0"/>
              <w:right w:val="single" w:color="auto" w:sz="4" w:space="0"/>
            </w:tcBorders>
            <w:vAlign w:val="center"/>
          </w:tcPr>
          <w:p>
            <w:pPr>
              <w:spacing w:line="400" w:lineRule="exact"/>
              <w:jc w:val="center"/>
              <w:rPr>
                <w:rFonts w:hAnsi="宋体" w:cs="宋体"/>
                <w:color w:val="000000"/>
                <w:highlight w:val="none"/>
              </w:rPr>
            </w:pPr>
          </w:p>
        </w:tc>
        <w:tc>
          <w:tcPr>
            <w:tcW w:w="1512" w:type="dxa"/>
            <w:gridSpan w:val="2"/>
            <w:tcBorders>
              <w:top w:val="single" w:color="auto" w:sz="4" w:space="0"/>
              <w:left w:val="single" w:color="auto" w:sz="4" w:space="0"/>
            </w:tcBorders>
            <w:vAlign w:val="center"/>
          </w:tcPr>
          <w:p>
            <w:pPr>
              <w:spacing w:line="400" w:lineRule="exact"/>
              <w:jc w:val="center"/>
              <w:rPr>
                <w:rFonts w:hAnsi="宋体" w:cs="宋体"/>
                <w:color w:val="000000"/>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注：供应商（仅限于供应商自己的）以上业绩需提供有关书面证明材料。</w:t>
      </w:r>
    </w:p>
    <w:p>
      <w:pPr>
        <w:spacing w:line="400" w:lineRule="exact"/>
        <w:ind w:left="360"/>
        <w:jc w:val="center"/>
        <w:rPr>
          <w:rFonts w:hAnsi="宋体" w:cs="宋体"/>
          <w:color w:val="000000"/>
          <w:sz w:val="24"/>
          <w:highlight w:val="none"/>
        </w:rPr>
      </w:pPr>
    </w:p>
    <w:p>
      <w:pPr>
        <w:jc w:val="left"/>
        <w:rPr>
          <w:rFonts w:hAnsi="宋体" w:cs="宋体"/>
          <w:color w:val="000000"/>
          <w:highlight w:val="none"/>
        </w:rPr>
      </w:pPr>
    </w:p>
    <w:p>
      <w:pPr>
        <w:ind w:firstLine="480" w:firstLineChars="200"/>
        <w:jc w:val="left"/>
        <w:rPr>
          <w:rFonts w:hAnsi="宋体" w:cs="宋体"/>
          <w:color w:val="000000"/>
          <w:sz w:val="24"/>
          <w:highlight w:val="none"/>
        </w:rPr>
      </w:pPr>
      <w:r>
        <w:rPr>
          <w:rFonts w:hint="eastAsia" w:hAnsi="宋体" w:cs="宋体"/>
          <w:color w:val="000000"/>
          <w:sz w:val="24"/>
          <w:highlight w:val="none"/>
        </w:rPr>
        <w:t>供应商名称：XXXX（盖单位公章）</w:t>
      </w:r>
    </w:p>
    <w:p>
      <w:pPr>
        <w:ind w:firstLine="480" w:firstLineChars="200"/>
        <w:jc w:val="left"/>
        <w:rPr>
          <w:rFonts w:hAnsi="宋体" w:cs="宋体"/>
          <w:color w:val="000000"/>
          <w:sz w:val="24"/>
          <w:highlight w:val="none"/>
        </w:rPr>
      </w:pPr>
      <w:r>
        <w:rPr>
          <w:rFonts w:hint="eastAsia" w:hAnsi="宋体" w:cs="宋体"/>
          <w:bCs/>
          <w:color w:val="000000"/>
          <w:sz w:val="24"/>
          <w:highlight w:val="none"/>
        </w:rPr>
        <w:t>法定代表人（负责人）或授权代表（签字或盖章）：XXX</w:t>
      </w:r>
    </w:p>
    <w:p>
      <w:pPr>
        <w:ind w:firstLine="480" w:firstLineChars="200"/>
        <w:jc w:val="left"/>
        <w:rPr>
          <w:rFonts w:hAnsi="宋体" w:cs="宋体"/>
          <w:color w:val="000000"/>
          <w:sz w:val="24"/>
          <w:highlight w:val="none"/>
        </w:rPr>
      </w:pPr>
      <w:r>
        <w:rPr>
          <w:rFonts w:hint="eastAsia" w:hAnsi="宋体" w:cs="宋体"/>
          <w:color w:val="000000"/>
          <w:sz w:val="24"/>
          <w:highlight w:val="none"/>
        </w:rPr>
        <w:t>日期: XXXX</w:t>
      </w:r>
    </w:p>
    <w:p>
      <w:pPr>
        <w:jc w:val="left"/>
        <w:rPr>
          <w:rFonts w:hAnsi="宋体" w:cs="宋体"/>
          <w:color w:val="000000"/>
          <w:sz w:val="24"/>
          <w:highlight w:val="none"/>
        </w:rPr>
      </w:pPr>
    </w:p>
    <w:p>
      <w:pPr>
        <w:pStyle w:val="4"/>
        <w:keepNext w:val="0"/>
        <w:keepLines w:val="0"/>
        <w:spacing w:line="400" w:lineRule="exact"/>
        <w:jc w:val="center"/>
        <w:rPr>
          <w:rFonts w:ascii="宋体" w:hAnsi="宋体" w:eastAsia="宋体" w:cs="宋体"/>
          <w:color w:val="000000"/>
          <w:szCs w:val="28"/>
          <w:highlight w:val="none"/>
        </w:rPr>
      </w:pPr>
      <w:bookmarkStart w:id="95" w:name="_Toc436410129"/>
      <w:bookmarkStart w:id="96" w:name="_Toc436820890"/>
      <w:bookmarkStart w:id="97" w:name="_Toc307564880"/>
      <w:bookmarkStart w:id="98" w:name="_Toc436385992"/>
      <w:bookmarkStart w:id="99" w:name="_Toc436404120"/>
    </w:p>
    <w:bookmarkEnd w:id="95"/>
    <w:bookmarkEnd w:id="96"/>
    <w:bookmarkEnd w:id="97"/>
    <w:bookmarkEnd w:id="98"/>
    <w:bookmarkEnd w:id="99"/>
    <w:p>
      <w:pPr>
        <w:rPr>
          <w:rFonts w:hAnsi="宋体" w:cs="宋体"/>
          <w:sz w:val="32"/>
          <w:szCs w:val="32"/>
          <w:highlight w:val="none"/>
        </w:rPr>
      </w:pPr>
    </w:p>
    <w:p>
      <w:pPr>
        <w:jc w:val="center"/>
        <w:rPr>
          <w:rFonts w:hAnsi="宋体" w:cs="宋体"/>
          <w:b/>
          <w:color w:val="000000"/>
          <w:sz w:val="32"/>
          <w:szCs w:val="32"/>
          <w:highlight w:val="none"/>
        </w:rPr>
      </w:pPr>
      <w:r>
        <w:rPr>
          <w:rFonts w:hint="eastAsia" w:hAnsi="宋体" w:cs="宋体"/>
          <w:b/>
          <w:color w:val="000000"/>
          <w:sz w:val="32"/>
          <w:szCs w:val="32"/>
          <w:highlight w:val="none"/>
        </w:rPr>
        <w:t>十一、供应商本项目管理、技术、服务人员情况表</w:t>
      </w:r>
    </w:p>
    <w:p>
      <w:pPr>
        <w:rPr>
          <w:rFonts w:hAnsi="宋体" w:cs="宋体"/>
          <w:sz w:val="24"/>
          <w:highlight w:val="none"/>
        </w:rPr>
      </w:pPr>
    </w:p>
    <w:tbl>
      <w:tblPr>
        <w:tblStyle w:val="20"/>
        <w:tblW w:w="99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928"/>
        <w:gridCol w:w="928"/>
        <w:gridCol w:w="928"/>
        <w:gridCol w:w="1249"/>
        <w:gridCol w:w="928"/>
        <w:gridCol w:w="928"/>
        <w:gridCol w:w="92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restart"/>
            <w:vAlign w:val="center"/>
          </w:tcPr>
          <w:p>
            <w:pPr>
              <w:jc w:val="center"/>
              <w:rPr>
                <w:rFonts w:hAnsi="宋体" w:cs="宋体"/>
                <w:sz w:val="24"/>
                <w:highlight w:val="none"/>
              </w:rPr>
            </w:pPr>
            <w:r>
              <w:rPr>
                <w:rFonts w:hint="eastAsia" w:hAnsi="宋体" w:cs="宋体"/>
                <w:sz w:val="24"/>
                <w:highlight w:val="none"/>
              </w:rPr>
              <w:t>类别</w:t>
            </w:r>
          </w:p>
        </w:tc>
        <w:tc>
          <w:tcPr>
            <w:tcW w:w="928" w:type="dxa"/>
            <w:vMerge w:val="restart"/>
            <w:vAlign w:val="center"/>
          </w:tcPr>
          <w:p>
            <w:pPr>
              <w:jc w:val="center"/>
              <w:rPr>
                <w:rFonts w:hAnsi="宋体" w:cs="宋体"/>
                <w:sz w:val="24"/>
                <w:highlight w:val="none"/>
              </w:rPr>
            </w:pPr>
            <w:r>
              <w:rPr>
                <w:rFonts w:hint="eastAsia" w:hAnsi="宋体" w:cs="宋体"/>
                <w:sz w:val="24"/>
                <w:highlight w:val="none"/>
              </w:rPr>
              <w:t>职务</w:t>
            </w:r>
          </w:p>
        </w:tc>
        <w:tc>
          <w:tcPr>
            <w:tcW w:w="928" w:type="dxa"/>
            <w:vMerge w:val="restart"/>
            <w:vAlign w:val="center"/>
          </w:tcPr>
          <w:p>
            <w:pPr>
              <w:jc w:val="center"/>
              <w:rPr>
                <w:rFonts w:hAnsi="宋体" w:cs="宋体"/>
                <w:sz w:val="24"/>
                <w:highlight w:val="none"/>
              </w:rPr>
            </w:pPr>
            <w:r>
              <w:rPr>
                <w:rFonts w:hint="eastAsia" w:hAnsi="宋体" w:cs="宋体"/>
                <w:sz w:val="24"/>
                <w:highlight w:val="none"/>
              </w:rPr>
              <w:t>姓名</w:t>
            </w:r>
          </w:p>
        </w:tc>
        <w:tc>
          <w:tcPr>
            <w:tcW w:w="928" w:type="dxa"/>
            <w:vMerge w:val="restart"/>
            <w:vAlign w:val="center"/>
          </w:tcPr>
          <w:p>
            <w:pPr>
              <w:jc w:val="center"/>
              <w:rPr>
                <w:rFonts w:hAnsi="宋体" w:cs="宋体"/>
                <w:sz w:val="24"/>
                <w:highlight w:val="none"/>
              </w:rPr>
            </w:pPr>
            <w:r>
              <w:rPr>
                <w:rFonts w:hint="eastAsia" w:hAnsi="宋体" w:cs="宋体"/>
                <w:sz w:val="24"/>
                <w:highlight w:val="none"/>
              </w:rPr>
              <w:t>职称</w:t>
            </w:r>
          </w:p>
        </w:tc>
        <w:tc>
          <w:tcPr>
            <w:tcW w:w="1249" w:type="dxa"/>
            <w:vMerge w:val="restart"/>
            <w:vAlign w:val="center"/>
          </w:tcPr>
          <w:p>
            <w:pPr>
              <w:jc w:val="center"/>
              <w:rPr>
                <w:rFonts w:hAnsi="宋体" w:cs="宋体"/>
                <w:sz w:val="24"/>
                <w:highlight w:val="none"/>
              </w:rPr>
            </w:pPr>
            <w:r>
              <w:rPr>
                <w:rFonts w:hint="eastAsia" w:hAnsi="宋体" w:cs="宋体"/>
                <w:sz w:val="24"/>
                <w:highlight w:val="none"/>
              </w:rPr>
              <w:t>常住地</w:t>
            </w:r>
          </w:p>
        </w:tc>
        <w:tc>
          <w:tcPr>
            <w:tcW w:w="3714" w:type="dxa"/>
            <w:gridSpan w:val="4"/>
            <w:vAlign w:val="center"/>
          </w:tcPr>
          <w:p>
            <w:pPr>
              <w:jc w:val="center"/>
              <w:rPr>
                <w:rFonts w:hAnsi="宋体" w:cs="宋体"/>
                <w:sz w:val="24"/>
                <w:highlight w:val="none"/>
              </w:rPr>
            </w:pPr>
            <w:r>
              <w:rPr>
                <w:rFonts w:hint="eastAsia" w:hAnsi="宋体" w:cs="宋体"/>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vAlign w:val="center"/>
          </w:tcPr>
          <w:p>
            <w:pPr>
              <w:jc w:val="center"/>
              <w:rPr>
                <w:rFonts w:hAnsi="宋体" w:cs="宋体"/>
                <w:sz w:val="24"/>
                <w:highlight w:val="none"/>
              </w:rPr>
            </w:pPr>
          </w:p>
        </w:tc>
        <w:tc>
          <w:tcPr>
            <w:tcW w:w="928" w:type="dxa"/>
            <w:vMerge w:val="continue"/>
            <w:vAlign w:val="center"/>
          </w:tcPr>
          <w:p>
            <w:pPr>
              <w:jc w:val="center"/>
              <w:rPr>
                <w:rFonts w:hAnsi="宋体" w:cs="宋体"/>
                <w:sz w:val="24"/>
                <w:highlight w:val="none"/>
              </w:rPr>
            </w:pPr>
          </w:p>
        </w:tc>
        <w:tc>
          <w:tcPr>
            <w:tcW w:w="928" w:type="dxa"/>
            <w:vMerge w:val="continue"/>
            <w:vAlign w:val="center"/>
          </w:tcPr>
          <w:p>
            <w:pPr>
              <w:jc w:val="center"/>
              <w:rPr>
                <w:rFonts w:hAnsi="宋体" w:cs="宋体"/>
                <w:sz w:val="24"/>
                <w:highlight w:val="none"/>
              </w:rPr>
            </w:pPr>
          </w:p>
        </w:tc>
        <w:tc>
          <w:tcPr>
            <w:tcW w:w="928" w:type="dxa"/>
            <w:vMerge w:val="continue"/>
            <w:vAlign w:val="center"/>
          </w:tcPr>
          <w:p>
            <w:pPr>
              <w:jc w:val="center"/>
              <w:rPr>
                <w:rFonts w:hAnsi="宋体" w:cs="宋体"/>
                <w:sz w:val="24"/>
                <w:highlight w:val="none"/>
              </w:rPr>
            </w:pPr>
          </w:p>
        </w:tc>
        <w:tc>
          <w:tcPr>
            <w:tcW w:w="1249" w:type="dxa"/>
            <w:vMerge w:val="continue"/>
            <w:vAlign w:val="center"/>
          </w:tcPr>
          <w:p>
            <w:pPr>
              <w:jc w:val="center"/>
              <w:rPr>
                <w:rFonts w:hAnsi="宋体" w:cs="宋体"/>
                <w:sz w:val="24"/>
                <w:highlight w:val="none"/>
              </w:rPr>
            </w:pPr>
          </w:p>
        </w:tc>
        <w:tc>
          <w:tcPr>
            <w:tcW w:w="928" w:type="dxa"/>
            <w:vAlign w:val="center"/>
          </w:tcPr>
          <w:p>
            <w:pPr>
              <w:jc w:val="center"/>
              <w:rPr>
                <w:rFonts w:hAnsi="宋体" w:cs="宋体"/>
                <w:sz w:val="24"/>
                <w:highlight w:val="none"/>
              </w:rPr>
            </w:pPr>
            <w:r>
              <w:rPr>
                <w:rFonts w:hint="eastAsia" w:hAnsi="宋体" w:cs="宋体"/>
                <w:sz w:val="24"/>
                <w:highlight w:val="none"/>
              </w:rPr>
              <w:t>证书</w:t>
            </w:r>
          </w:p>
          <w:p>
            <w:pPr>
              <w:jc w:val="center"/>
              <w:rPr>
                <w:rFonts w:hAnsi="宋体" w:cs="宋体"/>
                <w:sz w:val="24"/>
                <w:highlight w:val="none"/>
              </w:rPr>
            </w:pPr>
            <w:r>
              <w:rPr>
                <w:rFonts w:hint="eastAsia" w:hAnsi="宋体" w:cs="宋体"/>
                <w:sz w:val="24"/>
                <w:highlight w:val="none"/>
              </w:rPr>
              <w:t>名称</w:t>
            </w:r>
          </w:p>
        </w:tc>
        <w:tc>
          <w:tcPr>
            <w:tcW w:w="928" w:type="dxa"/>
            <w:vAlign w:val="center"/>
          </w:tcPr>
          <w:p>
            <w:pPr>
              <w:jc w:val="center"/>
              <w:rPr>
                <w:rFonts w:hAnsi="宋体" w:cs="宋体"/>
                <w:sz w:val="24"/>
                <w:highlight w:val="none"/>
              </w:rPr>
            </w:pPr>
            <w:r>
              <w:rPr>
                <w:rFonts w:hint="eastAsia" w:hAnsi="宋体" w:cs="宋体"/>
                <w:sz w:val="24"/>
                <w:highlight w:val="none"/>
              </w:rPr>
              <w:t>级别</w:t>
            </w:r>
          </w:p>
        </w:tc>
        <w:tc>
          <w:tcPr>
            <w:tcW w:w="928" w:type="dxa"/>
            <w:vAlign w:val="center"/>
          </w:tcPr>
          <w:p>
            <w:pPr>
              <w:jc w:val="center"/>
              <w:rPr>
                <w:rFonts w:hAnsi="宋体" w:cs="宋体"/>
                <w:sz w:val="24"/>
                <w:highlight w:val="none"/>
              </w:rPr>
            </w:pPr>
            <w:r>
              <w:rPr>
                <w:rFonts w:hint="eastAsia" w:hAnsi="宋体" w:cs="宋体"/>
                <w:sz w:val="24"/>
                <w:highlight w:val="none"/>
              </w:rPr>
              <w:t>证号</w:t>
            </w:r>
          </w:p>
        </w:tc>
        <w:tc>
          <w:tcPr>
            <w:tcW w:w="930" w:type="dxa"/>
            <w:vAlign w:val="center"/>
          </w:tcPr>
          <w:p>
            <w:pPr>
              <w:jc w:val="center"/>
              <w:rPr>
                <w:rFonts w:hAnsi="宋体" w:cs="宋体"/>
                <w:sz w:val="24"/>
                <w:highlight w:val="none"/>
              </w:rPr>
            </w:pPr>
            <w:r>
              <w:rPr>
                <w:rFonts w:hint="eastAsia" w:hAnsi="宋体" w:cs="宋体"/>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restart"/>
            <w:vAlign w:val="center"/>
          </w:tcPr>
          <w:p>
            <w:pPr>
              <w:jc w:val="center"/>
              <w:rPr>
                <w:rFonts w:hAnsi="宋体" w:cs="宋体"/>
                <w:sz w:val="24"/>
                <w:highlight w:val="none"/>
              </w:rPr>
            </w:pPr>
            <w:r>
              <w:rPr>
                <w:rFonts w:hint="eastAsia" w:hAnsi="宋体" w:cs="宋体"/>
                <w:sz w:val="24"/>
                <w:highlight w:val="none"/>
              </w:rPr>
              <w:t>管理</w:t>
            </w:r>
          </w:p>
          <w:p>
            <w:pPr>
              <w:jc w:val="center"/>
              <w:rPr>
                <w:rFonts w:hAnsi="宋体" w:cs="宋体"/>
                <w:sz w:val="24"/>
                <w:highlight w:val="none"/>
              </w:rPr>
            </w:pPr>
            <w:r>
              <w:rPr>
                <w:rFonts w:hint="eastAsia" w:hAnsi="宋体" w:cs="宋体"/>
                <w:sz w:val="24"/>
                <w:highlight w:val="none"/>
              </w:rPr>
              <w:t>人员</w:t>
            </w: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8" w:type="dxa"/>
            <w:vMerge w:val="continue"/>
            <w:vAlign w:val="center"/>
          </w:tcPr>
          <w:p>
            <w:pPr>
              <w:jc w:val="cente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vAlign w:val="center"/>
          </w:tcPr>
          <w:p>
            <w:pPr>
              <w:jc w:val="cente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restart"/>
            <w:vAlign w:val="center"/>
          </w:tcPr>
          <w:p>
            <w:pPr>
              <w:jc w:val="center"/>
              <w:rPr>
                <w:rFonts w:hAnsi="宋体" w:cs="宋体"/>
                <w:sz w:val="24"/>
                <w:highlight w:val="none"/>
              </w:rPr>
            </w:pPr>
            <w:r>
              <w:rPr>
                <w:rFonts w:hint="eastAsia" w:hAnsi="宋体" w:cs="宋体"/>
                <w:sz w:val="24"/>
                <w:highlight w:val="none"/>
              </w:rPr>
              <w:t>技术</w:t>
            </w:r>
          </w:p>
          <w:p>
            <w:pPr>
              <w:jc w:val="center"/>
              <w:rPr>
                <w:rFonts w:hAnsi="宋体" w:cs="宋体"/>
                <w:sz w:val="24"/>
                <w:highlight w:val="none"/>
              </w:rPr>
            </w:pPr>
            <w:r>
              <w:rPr>
                <w:rFonts w:hint="eastAsia" w:hAnsi="宋体" w:cs="宋体"/>
                <w:sz w:val="24"/>
                <w:highlight w:val="none"/>
              </w:rPr>
              <w:t>人员</w:t>
            </w: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vAlign w:val="center"/>
          </w:tcPr>
          <w:p>
            <w:pPr>
              <w:jc w:val="cente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08" w:type="dxa"/>
            <w:vMerge w:val="continue"/>
            <w:vAlign w:val="center"/>
          </w:tcPr>
          <w:p>
            <w:pPr>
              <w:jc w:val="cente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restart"/>
            <w:vAlign w:val="center"/>
          </w:tcPr>
          <w:p>
            <w:pPr>
              <w:jc w:val="center"/>
              <w:rPr>
                <w:rFonts w:hAnsi="宋体" w:cs="宋体"/>
                <w:sz w:val="24"/>
                <w:highlight w:val="none"/>
              </w:rPr>
            </w:pPr>
            <w:r>
              <w:rPr>
                <w:rFonts w:hint="eastAsia" w:hAnsi="宋体" w:cs="宋体"/>
                <w:sz w:val="24"/>
                <w:highlight w:val="none"/>
              </w:rPr>
              <w:t>售后服务人员</w:t>
            </w: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vMerge w:val="continue"/>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1249"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28" w:type="dxa"/>
          </w:tcPr>
          <w:p>
            <w:pPr>
              <w:rPr>
                <w:rFonts w:hAnsi="宋体" w:cs="宋体"/>
                <w:sz w:val="24"/>
                <w:highlight w:val="none"/>
              </w:rPr>
            </w:pPr>
          </w:p>
        </w:tc>
        <w:tc>
          <w:tcPr>
            <w:tcW w:w="930" w:type="dxa"/>
          </w:tcPr>
          <w:p>
            <w:pPr>
              <w:rPr>
                <w:rFonts w:hAnsi="宋体" w:cs="宋体"/>
                <w:sz w:val="24"/>
                <w:highlight w:val="none"/>
              </w:rPr>
            </w:pPr>
          </w:p>
        </w:tc>
      </w:tr>
    </w:tbl>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r>
        <w:rPr>
          <w:rFonts w:hint="eastAsia" w:hAnsi="宋体" w:cs="宋体"/>
          <w:sz w:val="24"/>
          <w:highlight w:val="none"/>
        </w:rPr>
        <w:t>供应商名称：XXX（盖单位公章）</w:t>
      </w:r>
    </w:p>
    <w:p>
      <w:pPr>
        <w:rPr>
          <w:rFonts w:hAnsi="宋体" w:cs="宋体"/>
          <w:sz w:val="24"/>
          <w:highlight w:val="none"/>
        </w:rPr>
      </w:pPr>
      <w:r>
        <w:rPr>
          <w:rFonts w:hint="eastAsia" w:hAnsi="宋体" w:cs="宋体"/>
          <w:bCs/>
          <w:color w:val="000000"/>
          <w:sz w:val="24"/>
          <w:highlight w:val="none"/>
        </w:rPr>
        <w:t>法定代表人（负责人）或授权代表（签字或盖章）：XXX</w:t>
      </w:r>
    </w:p>
    <w:p>
      <w:pPr>
        <w:rPr>
          <w:rFonts w:hAnsi="宋体" w:cs="宋体"/>
          <w:sz w:val="24"/>
          <w:highlight w:val="none"/>
        </w:rPr>
      </w:pPr>
      <w:r>
        <w:rPr>
          <w:rFonts w:hint="eastAsia" w:hAnsi="宋体" w:cs="宋体"/>
          <w:sz w:val="24"/>
          <w:highlight w:val="none"/>
        </w:rPr>
        <w:t>日      期</w:t>
      </w:r>
      <w:r>
        <w:rPr>
          <w:rFonts w:hint="eastAsia" w:hAnsi="宋体" w:cs="宋体"/>
          <w:color w:val="000000"/>
          <w:sz w:val="24"/>
          <w:highlight w:val="none"/>
        </w:rPr>
        <w:t>：</w:t>
      </w:r>
      <w:r>
        <w:rPr>
          <w:rFonts w:hint="eastAsia" w:hAnsi="宋体" w:cs="宋体"/>
          <w:sz w:val="24"/>
          <w:highlight w:val="none"/>
        </w:rPr>
        <w:t>XXX</w:t>
      </w:r>
    </w:p>
    <w:p>
      <w:pPr>
        <w:rPr>
          <w:rFonts w:hAnsi="宋体" w:cs="宋体"/>
          <w:sz w:val="32"/>
          <w:szCs w:val="32"/>
          <w:highlight w:val="none"/>
        </w:rPr>
      </w:pPr>
    </w:p>
    <w:p>
      <w:pPr>
        <w:rPr>
          <w:rFonts w:hAnsi="宋体" w:cs="宋体"/>
          <w:sz w:val="32"/>
          <w:szCs w:val="32"/>
          <w:highlight w:val="none"/>
        </w:rPr>
      </w:pPr>
    </w:p>
    <w:p>
      <w:pPr>
        <w:rPr>
          <w:rFonts w:hAnsi="宋体" w:cs="宋体"/>
          <w:sz w:val="32"/>
          <w:szCs w:val="32"/>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pStyle w:val="46"/>
        <w:rPr>
          <w:highlight w:val="none"/>
        </w:rPr>
      </w:pPr>
    </w:p>
    <w:p>
      <w:pPr>
        <w:jc w:val="center"/>
        <w:rPr>
          <w:rFonts w:hAnsi="宋体" w:cs="宋体"/>
          <w:b/>
          <w:color w:val="000000"/>
          <w:sz w:val="32"/>
          <w:szCs w:val="32"/>
          <w:highlight w:val="none"/>
        </w:rPr>
      </w:pPr>
      <w:r>
        <w:rPr>
          <w:rFonts w:hint="eastAsia" w:hAnsi="宋体" w:cs="宋体"/>
          <w:b/>
          <w:color w:val="000000"/>
          <w:sz w:val="32"/>
          <w:szCs w:val="32"/>
          <w:highlight w:val="none"/>
        </w:rPr>
        <w:t>十二、代理服务费承诺书</w:t>
      </w:r>
    </w:p>
    <w:p>
      <w:pPr>
        <w:rPr>
          <w:rFonts w:hAnsi="宋体" w:cs="宋体"/>
          <w:b/>
          <w:color w:val="000000"/>
          <w:sz w:val="28"/>
          <w:highlight w:val="none"/>
        </w:rPr>
      </w:pPr>
    </w:p>
    <w:p>
      <w:pPr>
        <w:spacing w:line="360" w:lineRule="auto"/>
        <w:rPr>
          <w:rFonts w:hAnsi="宋体" w:cs="宋体"/>
          <w:color w:val="000000"/>
          <w:sz w:val="24"/>
          <w:highlight w:val="none"/>
        </w:rPr>
      </w:pPr>
      <w:r>
        <w:rPr>
          <w:rFonts w:hint="eastAsia" w:hAnsi="宋体" w:cs="宋体"/>
          <w:color w:val="000000"/>
          <w:sz w:val="24"/>
          <w:highlight w:val="none"/>
        </w:rPr>
        <w:t>致：四川汇合源招投标代理有限公司：</w:t>
      </w:r>
    </w:p>
    <w:p>
      <w:pPr>
        <w:spacing w:line="360" w:lineRule="auto"/>
        <w:ind w:firstLine="491" w:firstLineChars="205"/>
        <w:rPr>
          <w:rFonts w:hAnsi="宋体" w:cs="宋体"/>
          <w:color w:val="000000"/>
          <w:sz w:val="24"/>
          <w:highlight w:val="none"/>
        </w:rPr>
      </w:pPr>
      <w:r>
        <w:rPr>
          <w:rFonts w:hint="eastAsia" w:hAnsi="宋体" w:cs="宋体"/>
          <w:color w:val="000000"/>
          <w:sz w:val="24"/>
          <w:highlight w:val="none"/>
        </w:rPr>
        <w:t>我公司在贵公司代理的</w:t>
      </w:r>
      <w:r>
        <w:rPr>
          <w:rFonts w:hint="eastAsia" w:hAnsi="宋体" w:cs="宋体"/>
          <w:color w:val="000000"/>
          <w:sz w:val="24"/>
          <w:highlight w:val="none"/>
          <w:u w:val="single"/>
        </w:rPr>
        <w:t xml:space="preserve">                             </w:t>
      </w:r>
      <w:r>
        <w:rPr>
          <w:rFonts w:hint="eastAsia" w:hAnsi="宋体" w:cs="宋体"/>
          <w:color w:val="000000"/>
          <w:sz w:val="24"/>
          <w:highlight w:val="none"/>
        </w:rPr>
        <w:t xml:space="preserve"> 项目（项目编号：</w:t>
      </w:r>
      <w:r>
        <w:rPr>
          <w:rFonts w:hint="eastAsia" w:hAnsi="宋体" w:cs="宋体"/>
          <w:color w:val="000000"/>
          <w:sz w:val="24"/>
          <w:highlight w:val="none"/>
          <w:u w:val="single"/>
        </w:rPr>
        <w:t xml:space="preserve">                     </w:t>
      </w:r>
      <w:r>
        <w:rPr>
          <w:rFonts w:hint="eastAsia" w:hAnsi="宋体" w:cs="宋体"/>
          <w:color w:val="000000"/>
          <w:sz w:val="24"/>
          <w:highlight w:val="none"/>
        </w:rPr>
        <w:t>） 竞争性磋商中若获成交，我们保证在收到成交标通知后2个工作日内按磋商文件的规定及代理服务费收取标准，以支票、银行汇票、电汇中的一种方式，向贵公司即四川汇合源招投标代理有限公司指定的银行帐号一次性支付全额代理服务费。</w:t>
      </w:r>
    </w:p>
    <w:p>
      <w:pPr>
        <w:pStyle w:val="49"/>
        <w:spacing w:line="360" w:lineRule="auto"/>
        <w:jc w:val="both"/>
        <w:rPr>
          <w:color w:val="000000"/>
          <w:highlight w:val="none"/>
        </w:rPr>
      </w:pPr>
      <w:r>
        <w:rPr>
          <w:rFonts w:hint="eastAsia"/>
          <w:color w:val="000000"/>
          <w:highlight w:val="none"/>
        </w:rPr>
        <w:t xml:space="preserve">    收款单位：四川汇合源招投标代理有限公司</w:t>
      </w:r>
    </w:p>
    <w:p>
      <w:pPr>
        <w:pStyle w:val="49"/>
        <w:spacing w:line="360" w:lineRule="auto"/>
        <w:jc w:val="both"/>
        <w:rPr>
          <w:color w:val="000000"/>
          <w:highlight w:val="none"/>
        </w:rPr>
      </w:pPr>
      <w:r>
        <w:rPr>
          <w:rFonts w:hint="eastAsia"/>
          <w:color w:val="000000"/>
          <w:highlight w:val="none"/>
        </w:rPr>
        <w:t xml:space="preserve">    开户行：四川天府银行股份有限公司成都世纪城支行</w:t>
      </w:r>
    </w:p>
    <w:p>
      <w:pPr>
        <w:pStyle w:val="49"/>
        <w:spacing w:line="360" w:lineRule="auto"/>
        <w:jc w:val="both"/>
        <w:rPr>
          <w:color w:val="000000"/>
          <w:highlight w:val="none"/>
        </w:rPr>
      </w:pPr>
      <w:r>
        <w:rPr>
          <w:rFonts w:hint="eastAsia"/>
          <w:color w:val="000000"/>
          <w:highlight w:val="none"/>
        </w:rPr>
        <w:t xml:space="preserve">    银行账号：651001532000002162</w:t>
      </w:r>
    </w:p>
    <w:p>
      <w:pPr>
        <w:spacing w:line="360" w:lineRule="auto"/>
        <w:ind w:firstLine="435"/>
        <w:rPr>
          <w:rFonts w:hAnsi="宋体" w:cs="宋体"/>
          <w:color w:val="000000"/>
          <w:sz w:val="24"/>
          <w:highlight w:val="none"/>
        </w:rPr>
      </w:pPr>
    </w:p>
    <w:p>
      <w:pPr>
        <w:spacing w:line="360" w:lineRule="auto"/>
        <w:ind w:firstLine="480" w:firstLineChars="200"/>
        <w:rPr>
          <w:rFonts w:hAnsi="宋体" w:cs="宋体"/>
          <w:color w:val="000000"/>
          <w:sz w:val="24"/>
          <w:highlight w:val="none"/>
        </w:rPr>
      </w:pPr>
      <w:r>
        <w:rPr>
          <w:rFonts w:hint="eastAsia" w:hAnsi="宋体" w:cs="宋体"/>
          <w:color w:val="000000"/>
          <w:sz w:val="24"/>
          <w:highlight w:val="none"/>
        </w:rPr>
        <w:t>特此承诺。</w:t>
      </w:r>
    </w:p>
    <w:p>
      <w:pPr>
        <w:spacing w:line="360" w:lineRule="auto"/>
        <w:rPr>
          <w:rFonts w:hAnsi="宋体" w:cs="宋体"/>
          <w:color w:val="000000"/>
          <w:sz w:val="24"/>
          <w:highlight w:val="none"/>
        </w:rPr>
      </w:pPr>
    </w:p>
    <w:p>
      <w:pPr>
        <w:spacing w:line="360" w:lineRule="auto"/>
        <w:rPr>
          <w:rFonts w:hAnsi="宋体" w:cs="宋体"/>
          <w:color w:val="000000"/>
          <w:sz w:val="24"/>
          <w:highlight w:val="none"/>
        </w:rPr>
      </w:pPr>
    </w:p>
    <w:p>
      <w:pPr>
        <w:spacing w:line="360" w:lineRule="auto"/>
        <w:ind w:firstLine="435"/>
        <w:rPr>
          <w:rFonts w:hAnsi="宋体" w:cs="宋体"/>
          <w:color w:val="000000"/>
          <w:sz w:val="24"/>
          <w:highlight w:val="none"/>
        </w:rPr>
      </w:pPr>
    </w:p>
    <w:p>
      <w:pPr>
        <w:spacing w:line="360" w:lineRule="auto"/>
        <w:ind w:firstLine="435"/>
        <w:rPr>
          <w:rFonts w:hAnsi="宋体" w:cs="宋体"/>
          <w:color w:val="000000"/>
          <w:sz w:val="24"/>
          <w:highlight w:val="none"/>
        </w:rPr>
      </w:pPr>
    </w:p>
    <w:p>
      <w:pPr>
        <w:spacing w:line="360" w:lineRule="auto"/>
        <w:ind w:firstLine="435"/>
        <w:rPr>
          <w:rFonts w:hAnsi="宋体" w:cs="宋体"/>
          <w:color w:val="000000"/>
          <w:sz w:val="24"/>
          <w:highlight w:val="none"/>
        </w:rPr>
      </w:pPr>
    </w:p>
    <w:p>
      <w:pPr>
        <w:spacing w:line="360" w:lineRule="auto"/>
        <w:ind w:firstLine="435"/>
        <w:rPr>
          <w:rFonts w:hAnsi="宋体" w:cs="宋体"/>
          <w:color w:val="000000"/>
          <w:sz w:val="24"/>
          <w:highlight w:val="none"/>
        </w:rPr>
      </w:pPr>
    </w:p>
    <w:p>
      <w:pPr>
        <w:spacing w:line="360" w:lineRule="auto"/>
        <w:ind w:firstLine="360" w:firstLineChars="150"/>
        <w:rPr>
          <w:rFonts w:hAnsi="宋体" w:cs="宋体"/>
          <w:color w:val="000000"/>
          <w:sz w:val="24"/>
          <w:highlight w:val="none"/>
        </w:rPr>
      </w:pPr>
      <w:r>
        <w:rPr>
          <w:rFonts w:hint="eastAsia" w:hAnsi="宋体" w:cs="宋体"/>
          <w:color w:val="000000"/>
          <w:sz w:val="24"/>
          <w:highlight w:val="none"/>
        </w:rPr>
        <w:t>承诺方名称：XXXXX（承诺方盖章）</w:t>
      </w:r>
    </w:p>
    <w:p>
      <w:pPr>
        <w:spacing w:line="360" w:lineRule="auto"/>
        <w:ind w:firstLine="360" w:firstLineChars="150"/>
        <w:rPr>
          <w:rFonts w:hAnsi="宋体" w:cs="宋体"/>
          <w:color w:val="000000"/>
          <w:sz w:val="24"/>
          <w:highlight w:val="none"/>
        </w:rPr>
      </w:pPr>
      <w:r>
        <w:rPr>
          <w:rFonts w:hint="eastAsia" w:hAnsi="宋体" w:cs="宋体"/>
          <w:color w:val="000000"/>
          <w:sz w:val="24"/>
          <w:highlight w:val="none"/>
        </w:rPr>
        <w:t>地  址：XXX</w:t>
      </w:r>
    </w:p>
    <w:p>
      <w:pPr>
        <w:spacing w:line="360" w:lineRule="auto"/>
        <w:ind w:firstLine="360" w:firstLineChars="150"/>
        <w:rPr>
          <w:rFonts w:hAnsi="宋体" w:cs="宋体"/>
          <w:color w:val="000000"/>
          <w:sz w:val="24"/>
          <w:highlight w:val="none"/>
        </w:rPr>
      </w:pPr>
      <w:r>
        <w:rPr>
          <w:rFonts w:hint="eastAsia" w:hAnsi="宋体" w:cs="宋体"/>
          <w:color w:val="000000"/>
          <w:sz w:val="24"/>
          <w:highlight w:val="none"/>
        </w:rPr>
        <w:t>电  话：XXX</w:t>
      </w:r>
    </w:p>
    <w:p>
      <w:pPr>
        <w:spacing w:line="360" w:lineRule="auto"/>
        <w:ind w:firstLine="360" w:firstLineChars="150"/>
        <w:rPr>
          <w:rFonts w:hAnsi="宋体" w:cs="宋体"/>
          <w:color w:val="000000"/>
          <w:sz w:val="24"/>
          <w:highlight w:val="none"/>
        </w:rPr>
      </w:pPr>
      <w:r>
        <w:rPr>
          <w:rFonts w:hint="eastAsia" w:hAnsi="宋体" w:cs="宋体"/>
          <w:color w:val="000000"/>
          <w:sz w:val="24"/>
          <w:highlight w:val="none"/>
        </w:rPr>
        <w:t>传  真：XXX</w:t>
      </w:r>
    </w:p>
    <w:p>
      <w:pPr>
        <w:spacing w:line="360" w:lineRule="auto"/>
        <w:ind w:firstLine="360" w:firstLineChars="150"/>
        <w:rPr>
          <w:rFonts w:hAnsi="宋体" w:cs="宋体"/>
          <w:color w:val="000000"/>
          <w:sz w:val="24"/>
          <w:highlight w:val="none"/>
        </w:rPr>
      </w:pPr>
      <w:r>
        <w:rPr>
          <w:rFonts w:hint="eastAsia" w:hAnsi="宋体" w:cs="宋体"/>
          <w:color w:val="000000"/>
          <w:sz w:val="24"/>
          <w:highlight w:val="none"/>
        </w:rPr>
        <w:t>邮  编：XXX</w:t>
      </w:r>
    </w:p>
    <w:p>
      <w:pPr>
        <w:spacing w:line="360" w:lineRule="auto"/>
        <w:ind w:firstLine="360" w:firstLineChars="150"/>
        <w:rPr>
          <w:rFonts w:hAnsi="宋体" w:cs="宋体"/>
          <w:color w:val="000000"/>
          <w:sz w:val="24"/>
          <w:highlight w:val="none"/>
        </w:rPr>
      </w:pPr>
      <w:r>
        <w:rPr>
          <w:rFonts w:hint="eastAsia" w:hAnsi="宋体" w:cs="宋体"/>
          <w:color w:val="000000"/>
          <w:sz w:val="24"/>
          <w:highlight w:val="none"/>
        </w:rPr>
        <w:t>承诺方</w:t>
      </w:r>
      <w:r>
        <w:rPr>
          <w:rFonts w:hint="eastAsia" w:hAnsi="宋体" w:cs="宋体"/>
          <w:bCs/>
          <w:color w:val="000000"/>
          <w:sz w:val="24"/>
          <w:highlight w:val="none"/>
        </w:rPr>
        <w:t>法定代表人（负责人）或授权代表（签字或盖章）：XXX</w:t>
      </w:r>
    </w:p>
    <w:p>
      <w:pPr>
        <w:spacing w:line="360" w:lineRule="auto"/>
        <w:ind w:firstLine="360" w:firstLineChars="150"/>
        <w:rPr>
          <w:rFonts w:hAnsi="宋体" w:cs="宋体"/>
          <w:color w:val="000000"/>
          <w:sz w:val="24"/>
          <w:highlight w:val="none"/>
        </w:rPr>
      </w:pPr>
      <w:r>
        <w:rPr>
          <w:rFonts w:hint="eastAsia" w:hAnsi="宋体" w:cs="宋体"/>
          <w:color w:val="000000"/>
          <w:sz w:val="24"/>
          <w:highlight w:val="none"/>
        </w:rPr>
        <w:t>承诺日期：XXX</w:t>
      </w:r>
    </w:p>
    <w:p>
      <w:pPr>
        <w:rPr>
          <w:rFonts w:hAnsi="宋体" w:cs="宋体"/>
          <w:sz w:val="24"/>
          <w:highlight w:val="none"/>
        </w:rPr>
      </w:pPr>
    </w:p>
    <w:p>
      <w:pPr>
        <w:rPr>
          <w:rFonts w:hAnsi="宋体" w:cs="宋体"/>
          <w:sz w:val="24"/>
          <w:highlight w:val="none"/>
        </w:rPr>
      </w:pPr>
    </w:p>
    <w:p>
      <w:pPr>
        <w:rPr>
          <w:rFonts w:hAnsi="宋体" w:cs="宋体"/>
          <w:sz w:val="24"/>
          <w:highlight w:val="none"/>
        </w:rPr>
      </w:pPr>
    </w:p>
    <w:p>
      <w:pPr>
        <w:rPr>
          <w:rFonts w:hAnsi="宋体" w:cs="宋体"/>
          <w:sz w:val="24"/>
          <w:highlight w:val="none"/>
        </w:rPr>
      </w:pPr>
    </w:p>
    <w:p>
      <w:pPr>
        <w:pStyle w:val="3"/>
        <w:rPr>
          <w:rFonts w:hAnsi="宋体" w:cs="宋体"/>
          <w:color w:val="000000"/>
          <w:highlight w:val="none"/>
        </w:rPr>
      </w:pPr>
      <w:bookmarkStart w:id="100" w:name="_Toc32035"/>
      <w:bookmarkStart w:id="101" w:name="_Toc8872"/>
      <w:bookmarkStart w:id="102" w:name="_Toc22097"/>
      <w:r>
        <w:rPr>
          <w:rFonts w:hint="eastAsia"/>
          <w:highlight w:val="none"/>
        </w:rPr>
        <w:t>第九章  评审方法</w:t>
      </w:r>
      <w:bookmarkEnd w:id="100"/>
      <w:bookmarkEnd w:id="101"/>
      <w:bookmarkEnd w:id="102"/>
    </w:p>
    <w:p>
      <w:pPr>
        <w:pStyle w:val="4"/>
        <w:keepNext w:val="0"/>
        <w:keepLines w:val="0"/>
        <w:spacing w:before="0" w:after="0" w:line="400" w:lineRule="exact"/>
        <w:ind w:firstLine="472" w:firstLineChars="196"/>
        <w:rPr>
          <w:rFonts w:ascii="宋体" w:hAnsi="宋体" w:eastAsia="宋体" w:cs="宋体"/>
          <w:color w:val="000000"/>
          <w:sz w:val="24"/>
          <w:szCs w:val="24"/>
          <w:highlight w:val="none"/>
        </w:rPr>
      </w:pPr>
      <w:bookmarkStart w:id="103" w:name="_Toc101338358"/>
      <w:bookmarkStart w:id="104" w:name="_Toc101174146"/>
      <w:bookmarkStart w:id="105" w:name="_Toc209847065"/>
      <w:bookmarkStart w:id="106" w:name="_Toc101250640"/>
      <w:bookmarkStart w:id="107" w:name="_Toc430773924"/>
    </w:p>
    <w:p>
      <w:pPr>
        <w:pStyle w:val="4"/>
        <w:keepNext w:val="0"/>
        <w:keepLines w:val="0"/>
        <w:spacing w:before="0" w:after="0" w:line="400" w:lineRule="exact"/>
        <w:ind w:firstLine="472"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1.总则</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1.1 根据《中华人民共和国政府采购法》、《中华人民共和国政府采购法实施条例》、《政府采购竞争性磋商采购方式管理暂行办法》等法律制度，结合本采购项目特点制定本磋商方法。</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1.2 磋商工作由采购人/采购代理机构负责组织，具体磋商由采购人/采购代理机构依法组建的磋商小组负责。</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1.3 磋商工作应遵循公平、公正、科学及择优的原则，并以相同的磋商程序和标准对待所有的供应商。</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1.4 磋商小组按照磋商文件规定的磋商程序、评分方法和标准进行评审，并独立履行下列职责：</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（一）熟悉和理解磋商文件，确定磋商文件内容是否违反国家有关强制性规定或者磋商文件存在歧义、重大缺陷，根据需要书面要求采购人、采购代理机构对磋商文件作出解释；</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（二）审查供应商响应文件是否满足磋商文件要求，并作出公正评价；</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（三）根据需要要求供应商对响应文件中含义不明确、同类问题表述不一致或者有明显文字和计算错误的内容等作出必要的澄清、说明或者更正；</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（四）推荐成交供应商，或者受采购人委托确定成交供应商；</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（五）起草评审报告并进行签署；</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（六）向采购人/采购代理机构、财政部门或者其他监督部门报告非法干预评审工作的行为；</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（七）法律、法规和规章规定的其他职责。</w:t>
      </w:r>
    </w:p>
    <w:p>
      <w:pPr>
        <w:pStyle w:val="4"/>
        <w:keepNext w:val="0"/>
        <w:keepLines w:val="0"/>
        <w:spacing w:before="0" w:after="0" w:line="400" w:lineRule="exact"/>
        <w:ind w:firstLine="472" w:firstLineChars="196"/>
        <w:rPr>
          <w:rFonts w:ascii="宋体" w:hAnsi="宋体" w:eastAsia="宋体" w:cs="宋体"/>
          <w:b w:val="0"/>
          <w:color w:val="000000"/>
          <w:sz w:val="24"/>
          <w:szCs w:val="24"/>
          <w:highlight w:val="none"/>
        </w:rPr>
      </w:pPr>
      <w:r>
        <w:rPr>
          <w:rFonts w:hint="eastAsia" w:ascii="宋体" w:hAnsi="宋体" w:eastAsia="宋体" w:cs="宋体"/>
          <w:bCs w:val="0"/>
          <w:color w:val="000000"/>
          <w:sz w:val="24"/>
          <w:szCs w:val="24"/>
          <w:highlight w:val="none"/>
        </w:rPr>
        <w:t>1.5 （实质性要求）磋商过程独立、保密。供应商非法干预磋商过程的，其响应文件作无效处理</w:t>
      </w:r>
      <w:r>
        <w:rPr>
          <w:rFonts w:hint="eastAsia" w:ascii="宋体" w:hAnsi="宋体" w:eastAsia="宋体" w:cs="宋体"/>
          <w:b w:val="0"/>
          <w:color w:val="000000"/>
          <w:sz w:val="24"/>
          <w:szCs w:val="24"/>
          <w:highlight w:val="none"/>
        </w:rPr>
        <w:t>。</w:t>
      </w:r>
    </w:p>
    <w:p>
      <w:pPr>
        <w:pStyle w:val="4"/>
        <w:keepNext w:val="0"/>
        <w:keepLines w:val="0"/>
        <w:spacing w:before="0" w:after="0" w:line="400" w:lineRule="exact"/>
        <w:ind w:firstLine="472" w:firstLineChars="196"/>
        <w:rPr>
          <w:rFonts w:ascii="宋体" w:hAnsi="宋体" w:eastAsia="宋体" w:cs="宋体"/>
          <w:color w:val="000000"/>
          <w:sz w:val="24"/>
          <w:szCs w:val="24"/>
          <w:highlight w:val="none"/>
        </w:rPr>
      </w:pPr>
      <w:r>
        <w:rPr>
          <w:rFonts w:hint="eastAsia" w:ascii="宋体" w:hAnsi="宋体" w:eastAsia="宋体" w:cs="宋体"/>
          <w:color w:val="000000"/>
          <w:sz w:val="24"/>
          <w:szCs w:val="24"/>
          <w:highlight w:val="none"/>
        </w:rPr>
        <w:t>2.磋商程序</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2.1审查磋商文件和停止评审。</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2.1.1 磋商小组正式评审前，应当对磋商文件进行熟悉和理解，内容主要包括磋商文件中供应商资格条件要求、采购项目技术、服务和商务要求、磋商办法和标准、政府采购政策要求以及政府采购合同主要条款等。</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2.1.2 本磋商文件有下列情形之一的，磋商小组应当停止评审：</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（1）磋商文件的规定存在歧义、重大缺陷的；</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（2）磋商文件明显以不合理条件对供应商实行差别待遇或者歧视待遇的；</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（3）采购项目属于国家规定的优先、强制采购范围，但是磋商文件未依法体现优先、强制采购相关规定的；</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（4）采购项目属于政府采购促进中小企业发展的范围，但是磋商文件未依法体现促进中小企业发展相关规定的；</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（5）磋商文件将供应商的资格条件列为评分因素的；</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（6）磋商文件载明的成交原则不合法的；</w:t>
      </w:r>
    </w:p>
    <w:p>
      <w:pPr>
        <w:pStyle w:val="4"/>
        <w:keepNext w:val="0"/>
        <w:keepLines w:val="0"/>
        <w:spacing w:before="0" w:after="0" w:line="400" w:lineRule="exact"/>
        <w:ind w:firstLine="470" w:firstLineChars="196"/>
        <w:rPr>
          <w:rFonts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（7）磋商文件有违反国家其他有关强制性规定的情形。</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2.1.3 出现本条2.1.2规定应当停止评审情形的，磋商小组应当向采购人书面说明情况。除本条规定的情形外，磋商小组不得以任何方式和理由停止评审。</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2.2资格性审查。</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2.2.1磋商小组应依据法律法规和磋商文件的规定，对响应文件是否按照规定要求提供资格性证明材料、是否属于禁止参加磋商的供应商等进行审查，以确定供应商是否具备磋商资格。</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2.2.2资格性审查结束后，磋商小组应当出具资格性审查报告，没有通过资格审查的供应商，磋商小组应当在资格审查报告中说明原因。</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2.2.3磋商小组应依据磋商文件规定的实质性要求，对符合资格的响应文件进行有效性、完整性和响应程度审查，以确定参加磋商的供应商名单。</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2.2.4采购人或者采购代理机构宣布未通过资格性审查的供应商名单时，应当告知供应商未通过审查的原因。</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2.3 通过资格性审查的供应商不足3家的，终止本次采购活动，并发布终止采购活动公告(符合财库[2015]124号文件的按通知执行)。</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2.4磋商。</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2.4.1磋商小组所有成员集中与单一供应商分别进行一轮或多轮磋商，并给予所有参加磋商的供应商平等的磋商机会。磋商顺序以现场抽签的方式确定。磋商过程中，磋商小组可以根据磋商情况调整磋商轮次。</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2.4.2每轮磋商开始前，磋商小组应根据磋商文件的规定，并结合各供应商的响应文件拟定磋商内容。</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2.4.3在磋商过程中，磋商小组可以根据磋商文件和磋商情况实质性变动磋商文件的技术、服务要求以及合同草案条款，但不得变动磋商文件中的其他内容。实质性变动的内容，须经采购人代表书面确认。</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2.4.4对磋商文件作出的实质性变动是磋商文件的有效组成部分，磋商小组应当及时以书面形式同时通知所有参加磋商的供应商。</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2.4.5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2.4.6磋商过程中，磋商的任何一方不得透露与磋商有关的其他供应商的技术资料、价格和其他信息。</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2.4.7磋商过程中，磋商小组发现或者知晓供应商存在违法、违纪行为的，磋商小组应当将该供应商响应文件作无效处理，不允许其提交最后报价。</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color w:val="000000"/>
          <w:sz w:val="24"/>
          <w:szCs w:val="24"/>
          <w:highlight w:val="none"/>
        </w:rPr>
        <w:t>2.4.8磋商完成后，磋商小组应出具磋商情况记录表，磋商情况记录表需包含磋商内容、磋商意见、实质性变动内容等。</w:t>
      </w:r>
      <w:r>
        <w:rPr>
          <w:rFonts w:hint="eastAsia" w:ascii="宋体" w:hAnsi="宋体" w:eastAsia="宋体" w:cs="宋体"/>
          <w:b w:val="0"/>
          <w:sz w:val="24"/>
          <w:szCs w:val="24"/>
          <w:highlight w:val="none"/>
        </w:rPr>
        <w:t xml:space="preserve">   </w:t>
      </w:r>
    </w:p>
    <w:p>
      <w:pPr>
        <w:spacing w:line="400" w:lineRule="exact"/>
        <w:ind w:firstLine="480" w:firstLineChars="200"/>
        <w:rPr>
          <w:rFonts w:hAnsi="宋体" w:cs="宋体"/>
          <w:sz w:val="24"/>
          <w:highlight w:val="none"/>
        </w:rPr>
      </w:pPr>
      <w:r>
        <w:rPr>
          <w:rFonts w:hint="eastAsia" w:hAnsi="宋体" w:cs="宋体"/>
          <w:sz w:val="24"/>
          <w:highlight w:val="none"/>
        </w:rPr>
        <w:t>2.5最后报价。</w:t>
      </w:r>
    </w:p>
    <w:p>
      <w:pPr>
        <w:spacing w:line="400" w:lineRule="exact"/>
        <w:ind w:firstLine="480" w:firstLineChars="200"/>
        <w:rPr>
          <w:rFonts w:hAnsi="宋体" w:cs="宋体"/>
          <w:sz w:val="24"/>
          <w:highlight w:val="none"/>
        </w:rPr>
      </w:pPr>
      <w:r>
        <w:rPr>
          <w:rFonts w:hint="eastAsia" w:hAnsi="宋体" w:cs="宋体"/>
          <w:sz w:val="24"/>
          <w:highlight w:val="none"/>
        </w:rPr>
        <w:t>2.5.1磋商文件能够详细列明采购标的的技术、服务要求的，磋商结束后，磋商小组应当要求所有实质性响应的供应商在规定时间内提交最后报价，提交最后报价的供应商不得少于3家。或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00" w:lineRule="exact"/>
        <w:ind w:firstLine="480" w:firstLineChars="200"/>
        <w:rPr>
          <w:rFonts w:hAnsi="宋体" w:cs="宋体"/>
          <w:sz w:val="24"/>
          <w:highlight w:val="none"/>
        </w:rPr>
      </w:pPr>
      <w:r>
        <w:rPr>
          <w:rFonts w:hint="eastAsia" w:hAnsi="宋体" w:cs="宋体"/>
          <w:sz w:val="24"/>
          <w:highlight w:val="none"/>
        </w:rPr>
        <w:t>2.5.2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spacing w:line="400" w:lineRule="exact"/>
        <w:ind w:firstLine="480" w:firstLineChars="200"/>
        <w:rPr>
          <w:rFonts w:hAnsi="宋体" w:cs="宋体"/>
          <w:sz w:val="24"/>
          <w:highlight w:val="none"/>
        </w:rPr>
      </w:pPr>
      <w:r>
        <w:rPr>
          <w:rFonts w:hint="eastAsia" w:hAnsi="宋体" w:cs="宋体"/>
          <w:sz w:val="24"/>
          <w:highlight w:val="none"/>
        </w:rPr>
        <w:t>2.5.3供应商最后报价应当由法定代表人/主要负责人/本人或其授权代表签字确认或加盖公章。最后报价是供应商响应文件的有效组成部分。</w:t>
      </w:r>
    </w:p>
    <w:p>
      <w:pPr>
        <w:spacing w:line="400" w:lineRule="exact"/>
        <w:ind w:firstLine="480" w:firstLineChars="200"/>
        <w:rPr>
          <w:rFonts w:hAnsi="宋体" w:cs="宋体"/>
          <w:sz w:val="24"/>
          <w:highlight w:val="none"/>
        </w:rPr>
      </w:pPr>
      <w:r>
        <w:rPr>
          <w:rFonts w:hint="eastAsia" w:hAnsi="宋体" w:cs="宋体"/>
          <w:sz w:val="24"/>
          <w:highlight w:val="none"/>
        </w:rPr>
        <w:t>2.5.4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spacing w:line="400" w:lineRule="exact"/>
        <w:ind w:firstLine="480" w:firstLineChars="200"/>
        <w:rPr>
          <w:rFonts w:hAnsi="宋体" w:cs="宋体"/>
          <w:sz w:val="24"/>
          <w:highlight w:val="none"/>
        </w:rPr>
      </w:pPr>
      <w:r>
        <w:rPr>
          <w:rFonts w:hint="eastAsia" w:hAnsi="宋体" w:cs="宋体"/>
          <w:sz w:val="24"/>
          <w:highlight w:val="none"/>
        </w:rPr>
        <w:t>2.6比较与评价。由磋商小组采用综合评分法对提交最后报价的供应商的响应文件和最后报价进行综合评分，具体要求详见本章综合评分部分。</w:t>
      </w:r>
    </w:p>
    <w:p>
      <w:pPr>
        <w:spacing w:line="400" w:lineRule="exact"/>
        <w:ind w:firstLine="480" w:firstLineChars="200"/>
        <w:rPr>
          <w:rFonts w:hAnsi="宋体" w:cs="宋体"/>
          <w:sz w:val="24"/>
          <w:highlight w:val="none"/>
        </w:rPr>
      </w:pPr>
      <w:r>
        <w:rPr>
          <w:rFonts w:hint="eastAsia" w:hAnsi="宋体" w:cs="宋体"/>
          <w:sz w:val="24"/>
          <w:highlight w:val="none"/>
        </w:rPr>
        <w:t>2.7推荐成交候选供应商。磋商小组应当根据综合评分情况，按照评审得分由高到低顺序推荐3家以上成交候选供应商，并编写磋商报告。评审得分相同的，按照最后报价由低到高的顺序推荐。评审得分且最后报价相同的，按照技术指标优劣顺序推荐。评审得分且最后报价且技术指标分项得分均相同的，成交候选供应商并列。</w:t>
      </w:r>
    </w:p>
    <w:p>
      <w:pPr>
        <w:spacing w:line="400" w:lineRule="exact"/>
        <w:ind w:firstLine="480" w:firstLineChars="200"/>
        <w:rPr>
          <w:rFonts w:hAnsi="宋体" w:cs="宋体"/>
          <w:sz w:val="24"/>
          <w:highlight w:val="none"/>
        </w:rPr>
      </w:pPr>
      <w:r>
        <w:rPr>
          <w:rFonts w:hint="eastAsia" w:hAnsi="宋体" w:cs="宋体"/>
          <w:sz w:val="24"/>
          <w:highlight w:val="none"/>
        </w:rPr>
        <w:t>2.8磋商小组复核。磋商小组评分汇总结束后，磋商小组应当进行评审复核，对拟推荐为成交候选供应商的、报价最低的、供应商资格审查未通过的、供应商响应文件作无效处理的重点复核。</w:t>
      </w:r>
    </w:p>
    <w:p>
      <w:pPr>
        <w:spacing w:line="400" w:lineRule="exact"/>
        <w:ind w:firstLine="480" w:firstLineChars="200"/>
        <w:rPr>
          <w:rFonts w:hAnsi="宋体" w:cs="宋体"/>
          <w:sz w:val="24"/>
          <w:highlight w:val="none"/>
        </w:rPr>
      </w:pPr>
      <w:r>
        <w:rPr>
          <w:rFonts w:hint="eastAsia" w:hAnsi="宋体" w:cs="宋体"/>
          <w:sz w:val="24"/>
          <w:highlight w:val="none"/>
        </w:rPr>
        <w:t>2.9采购组织单位现场复核评审结果。</w:t>
      </w:r>
    </w:p>
    <w:p>
      <w:pPr>
        <w:spacing w:line="400" w:lineRule="exact"/>
        <w:ind w:firstLine="480" w:firstLineChars="200"/>
        <w:rPr>
          <w:rFonts w:hAnsi="宋体" w:cs="宋体"/>
          <w:sz w:val="24"/>
          <w:highlight w:val="none"/>
        </w:rPr>
      </w:pPr>
      <w:r>
        <w:rPr>
          <w:rFonts w:hint="eastAsia" w:hAnsi="宋体" w:cs="宋体"/>
          <w:sz w:val="24"/>
          <w:highlight w:val="none"/>
        </w:rPr>
        <w:t>2.9.1评审结果汇总完成后，磋商小组拟出具磋商评审报告前，采购人/采购代理机构应当组织2名以上的本单位工作人员，在采购现场监督人员的监督之下，依据有关的法律制度和磋商文件对评审结果进行复核，出具复核报告，存在下列情形之一的，采购人/采购代理机构应当根据情况书面建议磋商小组现场修改评审结果：</w:t>
      </w:r>
    </w:p>
    <w:p>
      <w:pPr>
        <w:spacing w:line="400" w:lineRule="exact"/>
        <w:ind w:firstLine="480" w:firstLineChars="200"/>
        <w:rPr>
          <w:rFonts w:hAnsi="宋体" w:cs="宋体"/>
          <w:sz w:val="24"/>
          <w:highlight w:val="none"/>
        </w:rPr>
      </w:pPr>
      <w:r>
        <w:rPr>
          <w:rFonts w:hint="eastAsia" w:hAnsi="宋体" w:cs="宋体"/>
          <w:sz w:val="24"/>
          <w:highlight w:val="none"/>
        </w:rPr>
        <w:t>（1）资格性审查认定错误的；</w:t>
      </w:r>
    </w:p>
    <w:p>
      <w:pPr>
        <w:spacing w:line="400" w:lineRule="exact"/>
        <w:ind w:firstLine="480" w:firstLineChars="200"/>
        <w:rPr>
          <w:rFonts w:hAnsi="宋体" w:cs="宋体"/>
          <w:sz w:val="24"/>
          <w:highlight w:val="none"/>
        </w:rPr>
      </w:pPr>
      <w:r>
        <w:rPr>
          <w:rFonts w:hint="eastAsia" w:hAnsi="宋体" w:cs="宋体"/>
          <w:sz w:val="24"/>
          <w:highlight w:val="none"/>
        </w:rPr>
        <w:t>（2）分值汇总计算错误的；</w:t>
      </w:r>
    </w:p>
    <w:p>
      <w:pPr>
        <w:spacing w:line="400" w:lineRule="exact"/>
        <w:ind w:firstLine="480" w:firstLineChars="200"/>
        <w:rPr>
          <w:rFonts w:hAnsi="宋体" w:cs="宋体"/>
          <w:sz w:val="24"/>
          <w:highlight w:val="none"/>
        </w:rPr>
      </w:pPr>
      <w:r>
        <w:rPr>
          <w:rFonts w:hint="eastAsia" w:hAnsi="宋体" w:cs="宋体"/>
          <w:sz w:val="24"/>
          <w:highlight w:val="none"/>
        </w:rPr>
        <w:t>（3）分项评分超出评分标准范围的；</w:t>
      </w:r>
    </w:p>
    <w:p>
      <w:pPr>
        <w:spacing w:line="400" w:lineRule="exact"/>
        <w:ind w:firstLine="480" w:firstLineChars="200"/>
        <w:rPr>
          <w:rFonts w:hAnsi="宋体" w:cs="宋体"/>
          <w:sz w:val="24"/>
          <w:highlight w:val="none"/>
        </w:rPr>
      </w:pPr>
      <w:r>
        <w:rPr>
          <w:rFonts w:hint="eastAsia" w:hAnsi="宋体" w:cs="宋体"/>
          <w:sz w:val="24"/>
          <w:highlight w:val="none"/>
        </w:rPr>
        <w:t>（4）客观评分不一致的。</w:t>
      </w:r>
    </w:p>
    <w:p>
      <w:pPr>
        <w:spacing w:line="400" w:lineRule="exact"/>
        <w:ind w:firstLine="480" w:firstLineChars="200"/>
        <w:rPr>
          <w:rFonts w:hAnsi="宋体" w:cs="宋体"/>
          <w:sz w:val="24"/>
          <w:highlight w:val="none"/>
        </w:rPr>
      </w:pPr>
      <w:r>
        <w:rPr>
          <w:rFonts w:hint="eastAsia" w:hAnsi="宋体" w:cs="宋体"/>
          <w:sz w:val="24"/>
          <w:highlight w:val="none"/>
        </w:rPr>
        <w:t>存在本条上述情形的，由磋商小组自主决定是否采纳采购人/采购代理机构的书面建议，并承担独立评审责任。磋商小组采纳采购人/采购代理机构书面建议的，应当按照规定现场修改评审结果或者重新评审，并在磋商报告中详细记载有关事宜；不采纳采购人/采购代理机构书面建议的，应当书面说明理由。采购人/采购代理机构书面建议未被磋商小组采纳的，应当接照规定程序要求继续组织实施采购活动，不得擅自中止采购活动。采购人/采购代理机构认为磋商小组评审结果不合法的，应当书面报告采购项目同级财政部门。</w:t>
      </w:r>
    </w:p>
    <w:p>
      <w:pPr>
        <w:spacing w:line="400" w:lineRule="exact"/>
        <w:ind w:firstLine="480" w:firstLineChars="200"/>
        <w:rPr>
          <w:rFonts w:hAnsi="宋体" w:cs="宋体"/>
          <w:sz w:val="24"/>
          <w:highlight w:val="none"/>
        </w:rPr>
      </w:pPr>
      <w:r>
        <w:rPr>
          <w:rFonts w:hint="eastAsia" w:hAnsi="宋体" w:cs="宋体"/>
          <w:sz w:val="24"/>
          <w:highlight w:val="none"/>
        </w:rPr>
        <w:t>采购人/采购代理机构复核过程中，磋商小组成员不得离开评审现场。</w:t>
      </w:r>
    </w:p>
    <w:p>
      <w:pPr>
        <w:spacing w:line="400" w:lineRule="exact"/>
        <w:ind w:firstLine="480" w:firstLineChars="200"/>
        <w:rPr>
          <w:rFonts w:hAnsi="宋体" w:cs="宋体"/>
          <w:sz w:val="24"/>
          <w:highlight w:val="none"/>
        </w:rPr>
      </w:pPr>
      <w:r>
        <w:rPr>
          <w:rFonts w:hint="eastAsia" w:hAnsi="宋体" w:cs="宋体"/>
          <w:sz w:val="24"/>
          <w:highlight w:val="none"/>
        </w:rPr>
        <w:t>2.9.2有下列情形之一的，不得现场修改评审结果：</w:t>
      </w:r>
    </w:p>
    <w:p>
      <w:pPr>
        <w:spacing w:line="400" w:lineRule="exact"/>
        <w:ind w:firstLine="480" w:firstLineChars="200"/>
        <w:rPr>
          <w:rFonts w:hAnsi="宋体" w:cs="宋体"/>
          <w:sz w:val="24"/>
          <w:highlight w:val="none"/>
        </w:rPr>
      </w:pPr>
      <w:r>
        <w:rPr>
          <w:rFonts w:hint="eastAsia" w:hAnsi="宋体" w:cs="宋体"/>
          <w:sz w:val="24"/>
          <w:highlight w:val="none"/>
        </w:rPr>
        <w:t>（1）磋商小组已经出具磋商报告并且离开评审现场的；</w:t>
      </w:r>
    </w:p>
    <w:p>
      <w:pPr>
        <w:spacing w:line="400" w:lineRule="exact"/>
        <w:ind w:firstLine="480" w:firstLineChars="200"/>
        <w:rPr>
          <w:rFonts w:hAnsi="宋体" w:cs="宋体"/>
          <w:sz w:val="24"/>
          <w:highlight w:val="none"/>
        </w:rPr>
      </w:pPr>
      <w:r>
        <w:rPr>
          <w:rFonts w:hint="eastAsia" w:hAnsi="宋体" w:cs="宋体"/>
          <w:sz w:val="24"/>
          <w:highlight w:val="none"/>
        </w:rPr>
        <w:t>（2）采购人/采购代理机构现场复核时，复核工作人员数量不足的；</w:t>
      </w:r>
    </w:p>
    <w:p>
      <w:pPr>
        <w:spacing w:line="400" w:lineRule="exact"/>
        <w:ind w:firstLine="480" w:firstLineChars="200"/>
        <w:rPr>
          <w:rFonts w:hAnsi="宋体" w:cs="宋体"/>
          <w:sz w:val="24"/>
          <w:highlight w:val="none"/>
        </w:rPr>
      </w:pPr>
      <w:r>
        <w:rPr>
          <w:rFonts w:hint="eastAsia" w:hAnsi="宋体" w:cs="宋体"/>
          <w:sz w:val="24"/>
          <w:highlight w:val="none"/>
        </w:rPr>
        <w:t>（3）采购人/采购代理机构现场复核时，没有采购监督人员现场监督的；</w:t>
      </w:r>
    </w:p>
    <w:p>
      <w:pPr>
        <w:spacing w:line="400" w:lineRule="exact"/>
        <w:ind w:firstLine="480" w:firstLineChars="200"/>
        <w:rPr>
          <w:rFonts w:hAnsi="宋体" w:cs="宋体"/>
          <w:sz w:val="24"/>
          <w:highlight w:val="none"/>
        </w:rPr>
      </w:pPr>
      <w:r>
        <w:rPr>
          <w:rFonts w:hint="eastAsia" w:hAnsi="宋体" w:cs="宋体"/>
          <w:sz w:val="24"/>
          <w:highlight w:val="none"/>
        </w:rPr>
        <w:t>（4）采购人/采购代理机构现场复核内容超出规定范围的；</w:t>
      </w:r>
    </w:p>
    <w:p>
      <w:pPr>
        <w:spacing w:line="400" w:lineRule="exact"/>
        <w:ind w:firstLine="480" w:firstLineChars="200"/>
        <w:rPr>
          <w:rFonts w:hAnsi="宋体" w:cs="宋体"/>
          <w:sz w:val="24"/>
          <w:highlight w:val="none"/>
        </w:rPr>
      </w:pPr>
      <w:r>
        <w:rPr>
          <w:rFonts w:hint="eastAsia" w:hAnsi="宋体" w:cs="宋体"/>
          <w:sz w:val="24"/>
          <w:highlight w:val="none"/>
        </w:rPr>
        <w:t>（5）采购人/采购代理机构未提供书面建议的。</w:t>
      </w:r>
    </w:p>
    <w:p>
      <w:pPr>
        <w:spacing w:line="400" w:lineRule="exact"/>
        <w:ind w:firstLine="480" w:firstLineChars="200"/>
        <w:rPr>
          <w:rFonts w:hAnsi="宋体" w:cs="宋体"/>
          <w:sz w:val="24"/>
          <w:highlight w:val="none"/>
        </w:rPr>
      </w:pPr>
      <w:r>
        <w:rPr>
          <w:rFonts w:hint="eastAsia" w:hAnsi="宋体" w:cs="宋体"/>
          <w:sz w:val="24"/>
          <w:highlight w:val="none"/>
        </w:rPr>
        <w:t>2.10编写磋商报告。磋商小组推荐成交候选供应商后，应向采购人/采购代理机构出具磋商报告。磋商报告应当包括以下主要内容：</w:t>
      </w:r>
    </w:p>
    <w:p>
      <w:pPr>
        <w:spacing w:line="400" w:lineRule="exact"/>
        <w:ind w:firstLine="480" w:firstLineChars="200"/>
        <w:rPr>
          <w:rFonts w:hAnsi="宋体" w:cs="宋体"/>
          <w:sz w:val="24"/>
          <w:highlight w:val="none"/>
        </w:rPr>
      </w:pPr>
      <w:r>
        <w:rPr>
          <w:rFonts w:hint="eastAsia" w:hAnsi="宋体" w:cs="宋体"/>
          <w:sz w:val="24"/>
          <w:highlight w:val="none"/>
        </w:rPr>
        <w:t>（1）邀请供应商参加采购活动的具体方式和相关情况；</w:t>
      </w:r>
    </w:p>
    <w:p>
      <w:pPr>
        <w:spacing w:line="400" w:lineRule="exact"/>
        <w:ind w:firstLine="480" w:firstLineChars="200"/>
        <w:rPr>
          <w:rFonts w:hAnsi="宋体" w:cs="宋体"/>
          <w:sz w:val="24"/>
          <w:highlight w:val="none"/>
        </w:rPr>
      </w:pPr>
      <w:r>
        <w:rPr>
          <w:rFonts w:hint="eastAsia" w:hAnsi="宋体" w:cs="宋体"/>
          <w:sz w:val="24"/>
          <w:highlight w:val="none"/>
        </w:rPr>
        <w:t>（2）响应文件开启日期和地点；</w:t>
      </w:r>
    </w:p>
    <w:p>
      <w:pPr>
        <w:spacing w:line="400" w:lineRule="exact"/>
        <w:ind w:firstLine="480" w:firstLineChars="200"/>
        <w:rPr>
          <w:rFonts w:hAnsi="宋体" w:cs="宋体"/>
          <w:sz w:val="24"/>
          <w:highlight w:val="none"/>
        </w:rPr>
      </w:pPr>
      <w:r>
        <w:rPr>
          <w:rFonts w:hint="eastAsia" w:hAnsi="宋体" w:cs="宋体"/>
          <w:sz w:val="24"/>
          <w:highlight w:val="none"/>
        </w:rPr>
        <w:t>（3）获取磋商文件的供应商名单和磋商小组成员名单；</w:t>
      </w:r>
    </w:p>
    <w:p>
      <w:pPr>
        <w:spacing w:line="400" w:lineRule="exact"/>
        <w:ind w:firstLine="480" w:firstLineChars="200"/>
        <w:rPr>
          <w:rFonts w:hAnsi="宋体" w:cs="宋体"/>
          <w:sz w:val="24"/>
          <w:highlight w:val="none"/>
        </w:rPr>
      </w:pPr>
      <w:r>
        <w:rPr>
          <w:rFonts w:hint="eastAsia" w:hAnsi="宋体" w:cs="宋体"/>
          <w:sz w:val="24"/>
          <w:highlight w:val="none"/>
        </w:rPr>
        <w:t>（4）评审情况记录和说明，包括对供应商的资格审查情况、供应商响应文件审查情况、磋商情况、报价情况等；</w:t>
      </w:r>
    </w:p>
    <w:p>
      <w:pPr>
        <w:spacing w:line="400" w:lineRule="exact"/>
        <w:ind w:firstLine="480" w:firstLineChars="200"/>
        <w:rPr>
          <w:rFonts w:hAnsi="宋体" w:cs="宋体"/>
          <w:sz w:val="24"/>
          <w:highlight w:val="none"/>
        </w:rPr>
      </w:pPr>
      <w:r>
        <w:rPr>
          <w:rFonts w:hint="eastAsia" w:hAnsi="宋体" w:cs="宋体"/>
          <w:sz w:val="24"/>
          <w:highlight w:val="none"/>
        </w:rPr>
        <w:t>（5）提出的成交候选供应商的排序名单及理由。</w:t>
      </w:r>
    </w:p>
    <w:p>
      <w:pPr>
        <w:spacing w:line="400" w:lineRule="exact"/>
        <w:ind w:firstLine="480" w:firstLineChars="200"/>
        <w:rPr>
          <w:rFonts w:hAnsi="宋体" w:cs="宋体"/>
          <w:sz w:val="24"/>
          <w:highlight w:val="none"/>
        </w:rPr>
      </w:pPr>
      <w:r>
        <w:rPr>
          <w:rFonts w:hint="eastAsia" w:hAnsi="宋体" w:cs="宋体"/>
          <w:sz w:val="24"/>
          <w:highlight w:val="none"/>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spacing w:line="400" w:lineRule="exact"/>
        <w:ind w:firstLine="480" w:firstLineChars="200"/>
        <w:rPr>
          <w:rFonts w:hAnsi="宋体" w:cs="宋体"/>
          <w:sz w:val="24"/>
          <w:highlight w:val="none"/>
        </w:rPr>
      </w:pPr>
      <w:r>
        <w:rPr>
          <w:rFonts w:hint="eastAsia" w:hAnsi="宋体" w:cs="宋体"/>
          <w:sz w:val="24"/>
          <w:highlight w:val="none"/>
        </w:rPr>
        <w:t>2.11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spacing w:line="400" w:lineRule="exact"/>
        <w:ind w:firstLine="480" w:firstLineChars="200"/>
        <w:rPr>
          <w:rFonts w:hAnsi="宋体" w:cs="宋体"/>
          <w:sz w:val="24"/>
          <w:highlight w:val="none"/>
        </w:rPr>
      </w:pPr>
      <w:r>
        <w:rPr>
          <w:rFonts w:hint="eastAsia" w:hAnsi="宋体" w:cs="宋体"/>
          <w:sz w:val="24"/>
          <w:highlight w:val="none"/>
        </w:rPr>
        <w:t>2.12供应商澄清、说明</w:t>
      </w:r>
    </w:p>
    <w:p>
      <w:pPr>
        <w:spacing w:line="400" w:lineRule="exact"/>
        <w:ind w:firstLine="480" w:firstLineChars="200"/>
        <w:rPr>
          <w:rFonts w:hAnsi="宋体" w:cs="宋体"/>
          <w:sz w:val="24"/>
          <w:highlight w:val="none"/>
        </w:rPr>
      </w:pPr>
      <w:r>
        <w:rPr>
          <w:rFonts w:hint="eastAsia" w:hAnsi="宋体" w:cs="宋体"/>
          <w:sz w:val="24"/>
          <w:highlight w:val="none"/>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hAnsi="宋体" w:cs="宋体"/>
          <w:sz w:val="24"/>
          <w:highlight w:val="none"/>
        </w:rPr>
      </w:pPr>
      <w:r>
        <w:rPr>
          <w:rFonts w:hint="eastAsia" w:hAnsi="宋体" w:cs="宋体"/>
          <w:sz w:val="24"/>
          <w:highlight w:val="none"/>
        </w:rPr>
        <w:t>2.12.2磋商小组要求供应商澄清、说明或者更正响应文件应当以书面形式作出。供应商的澄清、说明或者更正应当由法定代表人/主要负责人/本人或其授权代表签字或者加盖公章。</w:t>
      </w:r>
    </w:p>
    <w:p>
      <w:pPr>
        <w:spacing w:line="400" w:lineRule="exact"/>
        <w:ind w:firstLine="480" w:firstLineChars="200"/>
        <w:rPr>
          <w:rFonts w:hAnsi="宋体" w:cs="宋体"/>
          <w:sz w:val="24"/>
          <w:highlight w:val="none"/>
        </w:rPr>
      </w:pPr>
      <w:r>
        <w:rPr>
          <w:rFonts w:hint="eastAsia" w:hAnsi="宋体" w:cs="宋体"/>
          <w:sz w:val="24"/>
          <w:highlight w:val="none"/>
        </w:rPr>
        <w:t>2.13终止磋商采购活动。</w:t>
      </w:r>
    </w:p>
    <w:p>
      <w:pPr>
        <w:spacing w:line="400" w:lineRule="exact"/>
        <w:ind w:firstLine="480" w:firstLineChars="200"/>
        <w:rPr>
          <w:rFonts w:hAnsi="宋体" w:cs="宋体"/>
          <w:sz w:val="24"/>
          <w:highlight w:val="none"/>
        </w:rPr>
      </w:pPr>
      <w:r>
        <w:rPr>
          <w:rFonts w:hint="eastAsia" w:hAnsi="宋体" w:cs="宋体"/>
          <w:sz w:val="24"/>
          <w:highlight w:val="none"/>
        </w:rPr>
        <w:t>出现下列情形之一的，采购人或者采购代理机构应当终止竞争性磋商采购活动，发布项目终止公告并说明原因，重新开展采购活动：</w:t>
      </w:r>
    </w:p>
    <w:p>
      <w:pPr>
        <w:spacing w:line="400" w:lineRule="exact"/>
        <w:ind w:firstLine="480" w:firstLineChars="200"/>
        <w:rPr>
          <w:rFonts w:hAnsi="宋体" w:cs="宋体"/>
          <w:sz w:val="24"/>
          <w:highlight w:val="none"/>
        </w:rPr>
      </w:pPr>
      <w:r>
        <w:rPr>
          <w:rFonts w:hint="eastAsia" w:hAnsi="宋体" w:cs="宋体"/>
          <w:sz w:val="24"/>
          <w:highlight w:val="none"/>
        </w:rPr>
        <w:t>（1）因情况变化，不再符合规定的竞争性磋商采购方式适用情形的；</w:t>
      </w:r>
    </w:p>
    <w:p>
      <w:pPr>
        <w:spacing w:line="400" w:lineRule="exact"/>
        <w:ind w:firstLine="480" w:firstLineChars="200"/>
        <w:rPr>
          <w:rFonts w:hAnsi="宋体" w:cs="宋体"/>
          <w:sz w:val="24"/>
          <w:highlight w:val="none"/>
        </w:rPr>
      </w:pPr>
      <w:r>
        <w:rPr>
          <w:rFonts w:hint="eastAsia" w:hAnsi="宋体" w:cs="宋体"/>
          <w:sz w:val="24"/>
          <w:highlight w:val="none"/>
        </w:rPr>
        <w:t>（2）出现影响采购公正的违法、违规行为的；</w:t>
      </w:r>
    </w:p>
    <w:p>
      <w:pPr>
        <w:pStyle w:val="4"/>
        <w:keepNext w:val="0"/>
        <w:keepLines w:val="0"/>
        <w:spacing w:before="0" w:after="0" w:line="400" w:lineRule="exact"/>
        <w:ind w:firstLine="470" w:firstLineChars="196"/>
        <w:rPr>
          <w:rFonts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（3）在采购过程中符合要求的供应商或者报价未超过采购预算的供应商不足3家的(符合财库[2015]124号文件的按通知执行)。</w:t>
      </w:r>
    </w:p>
    <w:p>
      <w:pPr>
        <w:spacing w:line="400" w:lineRule="exact"/>
        <w:ind w:firstLine="482" w:firstLineChars="200"/>
        <w:rPr>
          <w:rFonts w:hAnsi="宋体" w:cs="宋体"/>
          <w:b/>
          <w:color w:val="000000"/>
          <w:sz w:val="24"/>
          <w:highlight w:val="none"/>
        </w:rPr>
      </w:pPr>
      <w:r>
        <w:rPr>
          <w:rFonts w:hint="eastAsia" w:hAnsi="宋体" w:cs="宋体"/>
          <w:b/>
          <w:color w:val="000000"/>
          <w:sz w:val="24"/>
          <w:highlight w:val="none"/>
        </w:rPr>
        <w:t>3.综合评分</w:t>
      </w:r>
    </w:p>
    <w:p>
      <w:pPr>
        <w:spacing w:line="400" w:lineRule="exact"/>
        <w:ind w:firstLine="480" w:firstLineChars="200"/>
        <w:rPr>
          <w:rFonts w:hAnsi="宋体" w:cs="宋体"/>
          <w:color w:val="000000"/>
          <w:sz w:val="24"/>
          <w:highlight w:val="none"/>
        </w:rPr>
      </w:pPr>
      <w:r>
        <w:rPr>
          <w:rFonts w:hint="eastAsia" w:hAnsi="宋体" w:cs="宋体"/>
          <w:color w:val="000000"/>
          <w:sz w:val="24"/>
          <w:highlight w:val="none"/>
        </w:rPr>
        <w:t>3.1</w:t>
      </w:r>
      <w:r>
        <w:rPr>
          <w:rFonts w:hint="eastAsia" w:hAnsi="宋体" w:cs="宋体"/>
          <w:sz w:val="24"/>
          <w:highlight w:val="none"/>
        </w:rPr>
        <w:t xml:space="preserve"> 除价格因素外</w:t>
      </w:r>
      <w:r>
        <w:rPr>
          <w:rFonts w:hint="eastAsia" w:hAnsi="宋体" w:cs="宋体"/>
          <w:color w:val="000000"/>
          <w:sz w:val="24"/>
          <w:highlight w:val="none"/>
        </w:rPr>
        <w:t>，磋商小组成员应当根据自身专业情况独立对每个有效供应商的响应文件进行评价、打分。</w:t>
      </w:r>
    </w:p>
    <w:p>
      <w:pPr>
        <w:pStyle w:val="8"/>
        <w:tabs>
          <w:tab w:val="left" w:pos="600"/>
        </w:tabs>
        <w:spacing w:line="400" w:lineRule="exact"/>
        <w:ind w:firstLine="480" w:firstLineChars="200"/>
        <w:rPr>
          <w:rFonts w:hAnsi="宋体" w:cs="宋体"/>
          <w:color w:val="000000"/>
          <w:sz w:val="24"/>
          <w:szCs w:val="24"/>
          <w:highlight w:val="none"/>
        </w:rPr>
      </w:pPr>
      <w:r>
        <w:rPr>
          <w:rFonts w:hint="eastAsia" w:hAnsi="宋体" w:cs="宋体"/>
          <w:color w:val="000000"/>
          <w:sz w:val="24"/>
          <w:szCs w:val="24"/>
          <w:highlight w:val="none"/>
        </w:rPr>
        <w:t>3.2</w:t>
      </w:r>
      <w:r>
        <w:rPr>
          <w:rFonts w:hint="eastAsia" w:hAnsi="宋体" w:cs="宋体"/>
          <w:sz w:val="24"/>
          <w:szCs w:val="24"/>
          <w:highlight w:val="none"/>
        </w:rPr>
        <w:t>综合评分明细表</w:t>
      </w:r>
    </w:p>
    <w:p>
      <w:pPr>
        <w:pStyle w:val="8"/>
        <w:tabs>
          <w:tab w:val="left" w:pos="600"/>
        </w:tabs>
        <w:spacing w:line="400" w:lineRule="exact"/>
        <w:ind w:firstLine="480" w:firstLineChars="200"/>
        <w:rPr>
          <w:rFonts w:hAnsi="宋体" w:cs="宋体"/>
          <w:sz w:val="24"/>
          <w:szCs w:val="24"/>
          <w:highlight w:val="none"/>
        </w:rPr>
      </w:pPr>
      <w:r>
        <w:rPr>
          <w:rFonts w:hint="eastAsia" w:hAnsi="宋体" w:cs="宋体"/>
          <w:sz w:val="24"/>
          <w:szCs w:val="24"/>
          <w:highlight w:val="none"/>
        </w:rPr>
        <w:t>3.2.1综合评分明细表的制定以科学合理、降低评委会自由裁量权为原则。</w:t>
      </w:r>
    </w:p>
    <w:p>
      <w:pPr>
        <w:pStyle w:val="4"/>
        <w:keepNext w:val="0"/>
        <w:keepLines w:val="0"/>
        <w:spacing w:before="0" w:after="0" w:line="400" w:lineRule="exact"/>
        <w:ind w:firstLine="470" w:firstLineChars="196"/>
        <w:rPr>
          <w:rFonts w:ascii="宋体" w:hAnsi="宋体" w:eastAsia="宋体" w:cs="宋体"/>
          <w:b w:val="0"/>
          <w:sz w:val="24"/>
          <w:szCs w:val="24"/>
          <w:highlight w:val="none"/>
        </w:rPr>
      </w:pPr>
      <w:r>
        <w:rPr>
          <w:rFonts w:hint="eastAsia" w:ascii="宋体" w:hAnsi="宋体" w:eastAsia="宋体" w:cs="宋体"/>
          <w:b w:val="0"/>
          <w:sz w:val="24"/>
          <w:szCs w:val="24"/>
          <w:highlight w:val="none"/>
        </w:rPr>
        <w:t>3.2.2综合评分明细表</w:t>
      </w:r>
    </w:p>
    <w:tbl>
      <w:tblPr>
        <w:tblStyle w:val="20"/>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81"/>
        <w:gridCol w:w="787"/>
        <w:gridCol w:w="5528"/>
        <w:gridCol w:w="2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57" w:type="dxa"/>
            <w:noWrap w:val="0"/>
            <w:vAlign w:val="center"/>
          </w:tcPr>
          <w:p>
            <w:pPr>
              <w:spacing w:line="240" w:lineRule="atLeast"/>
              <w:jc w:val="center"/>
              <w:rPr>
                <w:b/>
                <w:bCs/>
                <w:sz w:val="24"/>
                <w:highlight w:val="none"/>
              </w:rPr>
            </w:pPr>
            <w:r>
              <w:rPr>
                <w:rFonts w:hint="eastAsia"/>
                <w:b/>
                <w:bCs/>
                <w:sz w:val="24"/>
                <w:highlight w:val="none"/>
              </w:rPr>
              <w:t>序号</w:t>
            </w:r>
          </w:p>
        </w:tc>
        <w:tc>
          <w:tcPr>
            <w:tcW w:w="1081" w:type="dxa"/>
            <w:noWrap w:val="0"/>
            <w:vAlign w:val="center"/>
          </w:tcPr>
          <w:p>
            <w:pPr>
              <w:spacing w:line="240" w:lineRule="atLeast"/>
              <w:jc w:val="center"/>
              <w:rPr>
                <w:b/>
                <w:bCs/>
                <w:sz w:val="24"/>
                <w:highlight w:val="none"/>
              </w:rPr>
            </w:pPr>
            <w:r>
              <w:rPr>
                <w:rFonts w:hint="eastAsia"/>
                <w:b/>
                <w:bCs/>
                <w:sz w:val="24"/>
                <w:highlight w:val="none"/>
              </w:rPr>
              <w:t>评审因素</w:t>
            </w:r>
          </w:p>
        </w:tc>
        <w:tc>
          <w:tcPr>
            <w:tcW w:w="787" w:type="dxa"/>
            <w:noWrap w:val="0"/>
            <w:vAlign w:val="center"/>
          </w:tcPr>
          <w:p>
            <w:pPr>
              <w:spacing w:line="240" w:lineRule="atLeast"/>
              <w:jc w:val="center"/>
              <w:rPr>
                <w:b/>
                <w:bCs/>
                <w:sz w:val="24"/>
                <w:highlight w:val="none"/>
              </w:rPr>
            </w:pPr>
            <w:r>
              <w:rPr>
                <w:rFonts w:hint="eastAsia"/>
                <w:b/>
                <w:bCs/>
                <w:sz w:val="24"/>
                <w:highlight w:val="none"/>
              </w:rPr>
              <w:t>分值</w:t>
            </w:r>
          </w:p>
        </w:tc>
        <w:tc>
          <w:tcPr>
            <w:tcW w:w="5528" w:type="dxa"/>
            <w:noWrap w:val="0"/>
            <w:vAlign w:val="center"/>
          </w:tcPr>
          <w:p>
            <w:pPr>
              <w:spacing w:line="240" w:lineRule="atLeast"/>
              <w:jc w:val="center"/>
              <w:rPr>
                <w:b/>
                <w:bCs/>
                <w:sz w:val="24"/>
                <w:highlight w:val="none"/>
              </w:rPr>
            </w:pPr>
            <w:r>
              <w:rPr>
                <w:rFonts w:hint="eastAsia"/>
                <w:b/>
                <w:bCs/>
                <w:sz w:val="24"/>
                <w:highlight w:val="none"/>
              </w:rPr>
              <w:t>评分标准</w:t>
            </w:r>
          </w:p>
        </w:tc>
        <w:tc>
          <w:tcPr>
            <w:tcW w:w="2104" w:type="dxa"/>
            <w:noWrap w:val="0"/>
            <w:vAlign w:val="center"/>
          </w:tcPr>
          <w:p>
            <w:pPr>
              <w:spacing w:line="240" w:lineRule="atLeast"/>
              <w:jc w:val="center"/>
              <w:rPr>
                <w:b/>
                <w:bCs/>
                <w:highlight w:val="none"/>
              </w:rPr>
            </w:pPr>
            <w:r>
              <w:rPr>
                <w:rFonts w:hint="eastAsia"/>
                <w:b/>
                <w:bCs/>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7" w:type="dxa"/>
            <w:noWrap w:val="0"/>
            <w:vAlign w:val="center"/>
          </w:tcPr>
          <w:p>
            <w:pPr>
              <w:spacing w:line="240" w:lineRule="atLeast"/>
              <w:jc w:val="center"/>
              <w:rPr>
                <w:sz w:val="24"/>
                <w:highlight w:val="none"/>
              </w:rPr>
            </w:pPr>
            <w:r>
              <w:rPr>
                <w:rFonts w:hint="eastAsia"/>
                <w:sz w:val="24"/>
                <w:highlight w:val="none"/>
              </w:rPr>
              <w:t>1</w:t>
            </w:r>
          </w:p>
        </w:tc>
        <w:tc>
          <w:tcPr>
            <w:tcW w:w="1081" w:type="dxa"/>
            <w:noWrap w:val="0"/>
            <w:vAlign w:val="center"/>
          </w:tcPr>
          <w:p>
            <w:pPr>
              <w:spacing w:line="240" w:lineRule="atLeast"/>
              <w:jc w:val="center"/>
              <w:rPr>
                <w:sz w:val="24"/>
                <w:highlight w:val="none"/>
              </w:rPr>
            </w:pPr>
            <w:r>
              <w:rPr>
                <w:rFonts w:hint="eastAsia"/>
                <w:sz w:val="24"/>
                <w:highlight w:val="none"/>
              </w:rPr>
              <w:t>报价</w:t>
            </w:r>
          </w:p>
        </w:tc>
        <w:tc>
          <w:tcPr>
            <w:tcW w:w="787" w:type="dxa"/>
            <w:noWrap w:val="0"/>
            <w:vAlign w:val="center"/>
          </w:tcPr>
          <w:p>
            <w:pPr>
              <w:spacing w:line="240" w:lineRule="atLeast"/>
              <w:jc w:val="center"/>
              <w:rPr>
                <w:sz w:val="24"/>
                <w:highlight w:val="none"/>
              </w:rPr>
            </w:pPr>
            <w:r>
              <w:rPr>
                <w:rFonts w:hint="eastAsia"/>
                <w:sz w:val="24"/>
                <w:highlight w:val="none"/>
              </w:rPr>
              <w:t>10分</w:t>
            </w:r>
          </w:p>
        </w:tc>
        <w:tc>
          <w:tcPr>
            <w:tcW w:w="5528" w:type="dxa"/>
            <w:noWrap w:val="0"/>
            <w:vAlign w:val="center"/>
          </w:tcPr>
          <w:p>
            <w:pPr>
              <w:tabs>
                <w:tab w:val="left" w:pos="634"/>
              </w:tabs>
              <w:spacing w:line="240" w:lineRule="atLeast"/>
              <w:rPr>
                <w:rFonts w:hint="eastAsia" w:eastAsia="宋体"/>
                <w:sz w:val="24"/>
                <w:highlight w:val="none"/>
                <w:lang w:eastAsia="zh-CN"/>
              </w:rPr>
            </w:pPr>
            <w:r>
              <w:rPr>
                <w:rFonts w:hint="eastAsia"/>
                <w:sz w:val="24"/>
                <w:highlight w:val="none"/>
              </w:rPr>
              <w:t>报价得分=（磋商基准价/最后磋商报价）×10（满足磋商文件要求且最后</w:t>
            </w:r>
            <w:r>
              <w:rPr>
                <w:rFonts w:hint="eastAsia"/>
                <w:sz w:val="24"/>
                <w:highlight w:val="none"/>
                <w:lang w:eastAsia="zh-CN"/>
              </w:rPr>
              <w:t>有效</w:t>
            </w:r>
            <w:r>
              <w:rPr>
                <w:rFonts w:hint="eastAsia"/>
                <w:sz w:val="24"/>
                <w:highlight w:val="none"/>
              </w:rPr>
              <w:t>报价最低的供应商的报价为磋商基准价</w:t>
            </w:r>
            <w:r>
              <w:rPr>
                <w:rFonts w:hint="eastAsia"/>
                <w:sz w:val="24"/>
                <w:highlight w:val="none"/>
                <w:lang w:eastAsia="zh-CN"/>
              </w:rPr>
              <w:t>，得满分</w:t>
            </w:r>
            <w:r>
              <w:rPr>
                <w:rFonts w:hint="eastAsia"/>
                <w:sz w:val="24"/>
                <w:highlight w:val="none"/>
                <w:lang w:val="en-US" w:eastAsia="zh-CN"/>
              </w:rPr>
              <w:t>10分</w:t>
            </w:r>
            <w:r>
              <w:rPr>
                <w:rFonts w:hint="eastAsia"/>
                <w:sz w:val="24"/>
                <w:highlight w:val="none"/>
                <w:lang w:eastAsia="zh-CN"/>
              </w:rPr>
              <w:t>）</w:t>
            </w:r>
          </w:p>
        </w:tc>
        <w:tc>
          <w:tcPr>
            <w:tcW w:w="2104" w:type="dxa"/>
            <w:noWrap w:val="0"/>
            <w:vAlign w:val="center"/>
          </w:tcPr>
          <w:p>
            <w:pPr>
              <w:spacing w:line="240" w:lineRule="atLeast"/>
              <w:rPr>
                <w:rFonts w:hint="eastAsia" w:ascii="Times New Roman" w:hAnsi="Times New Roman" w:eastAsia="宋体" w:cs="Times New Roman"/>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57" w:type="dxa"/>
            <w:noWrap w:val="0"/>
            <w:vAlign w:val="center"/>
          </w:tcPr>
          <w:p>
            <w:pPr>
              <w:spacing w:line="240" w:lineRule="atLeast"/>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w:t>
            </w:r>
          </w:p>
        </w:tc>
        <w:tc>
          <w:tcPr>
            <w:tcW w:w="1081" w:type="dxa"/>
            <w:noWrap w:val="0"/>
            <w:vAlign w:val="center"/>
          </w:tcPr>
          <w:p>
            <w:pPr>
              <w:spacing w:line="240" w:lineRule="atLeast"/>
              <w:jc w:val="center"/>
              <w:rPr>
                <w:rFonts w:hint="eastAsia" w:ascii="Times New Roman" w:hAnsi="Times New Roman" w:eastAsia="宋体" w:cs="Times New Roman"/>
                <w:sz w:val="24"/>
                <w:highlight w:val="none"/>
                <w:lang w:eastAsia="zh-CN"/>
              </w:rPr>
            </w:pPr>
            <w:r>
              <w:rPr>
                <w:rFonts w:hint="eastAsia" w:ascii="Times New Roman" w:hAnsi="Times New Roman" w:eastAsia="宋体" w:cs="Times New Roman"/>
                <w:sz w:val="24"/>
                <w:highlight w:val="none"/>
                <w:lang w:eastAsia="zh-CN"/>
              </w:rPr>
              <w:t>项目人员配置</w:t>
            </w:r>
          </w:p>
        </w:tc>
        <w:tc>
          <w:tcPr>
            <w:tcW w:w="787" w:type="dxa"/>
            <w:noWrap w:val="0"/>
            <w:vAlign w:val="center"/>
          </w:tcPr>
          <w:p>
            <w:pPr>
              <w:spacing w:line="360" w:lineRule="auto"/>
              <w:jc w:val="center"/>
              <w:rPr>
                <w:rFonts w:hint="default" w:eastAsia="宋体"/>
                <w:sz w:val="24"/>
                <w:highlight w:val="none"/>
                <w:lang w:val="en-US" w:eastAsia="zh-CN"/>
              </w:rPr>
            </w:pPr>
            <w:r>
              <w:rPr>
                <w:rFonts w:hint="eastAsia"/>
                <w:sz w:val="24"/>
                <w:highlight w:val="none"/>
                <w:lang w:val="en-US" w:eastAsia="zh-CN"/>
              </w:rPr>
              <w:t>25分</w:t>
            </w:r>
          </w:p>
        </w:tc>
        <w:tc>
          <w:tcPr>
            <w:tcW w:w="5528" w:type="dxa"/>
            <w:noWrap w:val="0"/>
            <w:vAlign w:val="center"/>
          </w:tcPr>
          <w:p>
            <w:pPr>
              <w:spacing w:line="288" w:lineRule="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1、至少为本项目投入12</w:t>
            </w:r>
            <w:r>
              <w:rPr>
                <w:rFonts w:hint="eastAsia" w:ascii="Times New Roman" w:hAnsi="Times New Roman" w:eastAsia="宋体" w:cs="Times New Roman"/>
                <w:sz w:val="24"/>
                <w:highlight w:val="none"/>
                <w:lang w:eastAsia="zh-CN"/>
              </w:rPr>
              <w:t>人的服务团队</w:t>
            </w:r>
            <w:r>
              <w:rPr>
                <w:rFonts w:hint="eastAsia" w:ascii="Times New Roman" w:hAnsi="Times New Roman" w:eastAsia="宋体" w:cs="Times New Roman"/>
                <w:sz w:val="24"/>
                <w:highlight w:val="none"/>
              </w:rPr>
              <w:t>，达到12人的得6分</w:t>
            </w:r>
            <w:r>
              <w:rPr>
                <w:rFonts w:hint="eastAsia" w:ascii="Times New Roman" w:hAnsi="Times New Roman" w:eastAsia="宋体" w:cs="Times New Roman"/>
                <w:sz w:val="24"/>
                <w:highlight w:val="none"/>
                <w:lang w:eastAsia="zh-CN"/>
              </w:rPr>
              <w:t>；在此基础上，</w:t>
            </w:r>
            <w:r>
              <w:rPr>
                <w:rFonts w:hint="eastAsia" w:ascii="Times New Roman" w:hAnsi="Times New Roman" w:eastAsia="宋体" w:cs="Times New Roman"/>
                <w:sz w:val="24"/>
                <w:highlight w:val="none"/>
              </w:rPr>
              <w:t>每多一人加1分，</w:t>
            </w:r>
            <w:r>
              <w:rPr>
                <w:rFonts w:hint="eastAsia" w:ascii="Times New Roman" w:hAnsi="Times New Roman" w:eastAsia="宋体" w:cs="Times New Roman"/>
                <w:sz w:val="24"/>
                <w:highlight w:val="none"/>
                <w:lang w:eastAsia="zh-CN"/>
              </w:rPr>
              <w:t>每</w:t>
            </w:r>
            <w:r>
              <w:rPr>
                <w:rFonts w:hint="eastAsia" w:ascii="Times New Roman" w:hAnsi="Times New Roman" w:eastAsia="宋体" w:cs="Times New Roman"/>
                <w:sz w:val="24"/>
                <w:highlight w:val="none"/>
              </w:rPr>
              <w:t>少一人扣1分；</w:t>
            </w:r>
            <w:r>
              <w:rPr>
                <w:rFonts w:hint="eastAsia" w:ascii="Times New Roman" w:hAnsi="Times New Roman" w:eastAsia="宋体" w:cs="Times New Roman"/>
                <w:sz w:val="24"/>
                <w:highlight w:val="none"/>
                <w:lang w:eastAsia="zh-CN"/>
              </w:rPr>
              <w:t>本小项最多得</w:t>
            </w:r>
            <w:r>
              <w:rPr>
                <w:rFonts w:hint="eastAsia" w:ascii="Times New Roman" w:hAnsi="Times New Roman" w:eastAsia="宋体" w:cs="Times New Roman"/>
                <w:sz w:val="24"/>
                <w:highlight w:val="none"/>
                <w:lang w:val="en-US" w:eastAsia="zh-CN"/>
              </w:rPr>
              <w:t>9分</w:t>
            </w:r>
            <w:r>
              <w:rPr>
                <w:rFonts w:hint="eastAsia" w:ascii="Times New Roman" w:hAnsi="Times New Roman" w:eastAsia="宋体" w:cs="Times New Roman"/>
                <w:sz w:val="24"/>
                <w:highlight w:val="none"/>
              </w:rPr>
              <w:t>。</w:t>
            </w:r>
          </w:p>
          <w:p>
            <w:pPr>
              <w:spacing w:line="288" w:lineRule="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2、项目负责人具有高级及以上职称或博士学历，得3分，除项目负责人外具有高级及以上职称或博士学历的每多一人加2分，</w:t>
            </w:r>
            <w:r>
              <w:rPr>
                <w:rFonts w:hint="eastAsia" w:ascii="Times New Roman" w:hAnsi="Times New Roman" w:eastAsia="宋体" w:cs="Times New Roman"/>
                <w:sz w:val="24"/>
                <w:highlight w:val="none"/>
                <w:lang w:eastAsia="zh-CN"/>
              </w:rPr>
              <w:t>本小项</w:t>
            </w:r>
            <w:r>
              <w:rPr>
                <w:rFonts w:hint="eastAsia" w:ascii="Times New Roman" w:hAnsi="Times New Roman" w:eastAsia="宋体" w:cs="Times New Roman"/>
                <w:sz w:val="24"/>
                <w:highlight w:val="none"/>
              </w:rPr>
              <w:t>最多得9分。</w:t>
            </w:r>
          </w:p>
          <w:p>
            <w:pPr>
              <w:spacing w:line="288" w:lineRule="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3、项目团队人员具有中级及以上职称或硕士及以上学历</w:t>
            </w:r>
            <w:r>
              <w:rPr>
                <w:rFonts w:hint="eastAsia" w:ascii="Times New Roman" w:hAnsi="Times New Roman" w:eastAsia="宋体" w:cs="Times New Roman"/>
                <w:sz w:val="24"/>
                <w:highlight w:val="none"/>
                <w:lang w:eastAsia="zh-CN"/>
              </w:rPr>
              <w:t>，且</w:t>
            </w:r>
            <w:r>
              <w:rPr>
                <w:rFonts w:hint="eastAsia" w:ascii="Times New Roman" w:hAnsi="Times New Roman" w:eastAsia="宋体" w:cs="Times New Roman"/>
                <w:sz w:val="24"/>
                <w:highlight w:val="none"/>
              </w:rPr>
              <w:t>不少于4人</w:t>
            </w:r>
            <w:r>
              <w:rPr>
                <w:rFonts w:hint="eastAsia" w:ascii="Times New Roman" w:hAnsi="Times New Roman" w:eastAsia="宋体" w:cs="Times New Roman"/>
                <w:sz w:val="24"/>
                <w:highlight w:val="none"/>
                <w:lang w:eastAsia="zh-CN"/>
              </w:rPr>
              <w:t>的</w:t>
            </w:r>
            <w:r>
              <w:rPr>
                <w:rFonts w:hint="eastAsia" w:ascii="Times New Roman" w:hAnsi="Times New Roman" w:eastAsia="宋体" w:cs="Times New Roman"/>
                <w:sz w:val="24"/>
                <w:highlight w:val="none"/>
              </w:rPr>
              <w:t>，得4分</w:t>
            </w:r>
            <w:r>
              <w:rPr>
                <w:rFonts w:hint="eastAsia" w:ascii="Times New Roman" w:hAnsi="Times New Roman" w:eastAsia="宋体" w:cs="Times New Roman"/>
                <w:sz w:val="24"/>
                <w:highlight w:val="none"/>
                <w:lang w:eastAsia="zh-CN"/>
              </w:rPr>
              <w:t>；在此基础上，</w:t>
            </w:r>
            <w:r>
              <w:rPr>
                <w:rFonts w:hint="eastAsia" w:ascii="Times New Roman" w:hAnsi="Times New Roman" w:eastAsia="宋体" w:cs="Times New Roman"/>
                <w:sz w:val="24"/>
                <w:highlight w:val="none"/>
              </w:rPr>
              <w:t>每多一人加1.5分，</w:t>
            </w:r>
            <w:r>
              <w:rPr>
                <w:rFonts w:hint="eastAsia" w:ascii="Times New Roman" w:hAnsi="Times New Roman" w:eastAsia="宋体" w:cs="Times New Roman"/>
                <w:sz w:val="24"/>
                <w:highlight w:val="none"/>
                <w:lang w:eastAsia="zh-CN"/>
              </w:rPr>
              <w:t>本小项</w:t>
            </w:r>
            <w:r>
              <w:rPr>
                <w:rFonts w:hint="eastAsia" w:ascii="Times New Roman" w:hAnsi="Times New Roman" w:eastAsia="宋体" w:cs="Times New Roman"/>
                <w:sz w:val="24"/>
                <w:highlight w:val="none"/>
              </w:rPr>
              <w:t>最多</w:t>
            </w:r>
            <w:r>
              <w:rPr>
                <w:rFonts w:hint="eastAsia" w:ascii="Times New Roman" w:hAnsi="Times New Roman" w:eastAsia="宋体" w:cs="Times New Roman"/>
                <w:sz w:val="24"/>
                <w:highlight w:val="none"/>
                <w:lang w:eastAsia="zh-CN"/>
              </w:rPr>
              <w:t>得</w:t>
            </w:r>
            <w:r>
              <w:rPr>
                <w:rFonts w:hint="eastAsia" w:ascii="Times New Roman" w:hAnsi="Times New Roman" w:eastAsia="宋体" w:cs="Times New Roman"/>
                <w:sz w:val="24"/>
                <w:highlight w:val="none"/>
              </w:rPr>
              <w:t>7分。</w:t>
            </w:r>
          </w:p>
          <w:p>
            <w:pPr>
              <w:spacing w:line="288" w:lineRule="auto"/>
              <w:rPr>
                <w:rFonts w:hint="eastAsia" w:ascii="Times New Roman" w:hAnsi="Times New Roman" w:eastAsia="宋体" w:cs="Times New Roman"/>
                <w:sz w:val="24"/>
                <w:highlight w:val="none"/>
              </w:rPr>
            </w:pPr>
            <w:r>
              <w:rPr>
                <w:rFonts w:hint="eastAsia" w:ascii="Times New Roman" w:hAnsi="Times New Roman" w:eastAsia="宋体" w:cs="Times New Roman"/>
                <w:sz w:val="24"/>
                <w:highlight w:val="none"/>
              </w:rPr>
              <w:t>注：以上人员不重复计算，对同一人员职称和学历不重复计算。</w:t>
            </w:r>
          </w:p>
        </w:tc>
        <w:tc>
          <w:tcPr>
            <w:tcW w:w="2104" w:type="dxa"/>
            <w:noWrap w:val="0"/>
            <w:vAlign w:val="center"/>
          </w:tcPr>
          <w:p>
            <w:pPr>
              <w:spacing w:line="240" w:lineRule="atLeast"/>
              <w:rPr>
                <w:rFonts w:hint="eastAsia" w:ascii="Times New Roman" w:hAnsi="Times New Roman" w:eastAsia="宋体" w:cs="Times New Roman"/>
                <w:sz w:val="21"/>
                <w:szCs w:val="21"/>
                <w:highlight w:val="none"/>
              </w:rPr>
            </w:pPr>
            <w:r>
              <w:rPr>
                <w:rFonts w:hint="eastAsia" w:ascii="Times New Roman" w:hAnsi="Times New Roman" w:eastAsia="宋体" w:cs="Times New Roman"/>
                <w:sz w:val="21"/>
                <w:szCs w:val="21"/>
                <w:highlight w:val="none"/>
              </w:rPr>
              <w:t>1.提供</w:t>
            </w:r>
            <w:r>
              <w:rPr>
                <w:rFonts w:hint="eastAsia" w:ascii="Times New Roman" w:hAnsi="Times New Roman" w:eastAsia="宋体" w:cs="Times New Roman"/>
                <w:sz w:val="21"/>
                <w:szCs w:val="21"/>
                <w:highlight w:val="none"/>
                <w:lang w:eastAsia="zh-CN"/>
              </w:rPr>
              <w:t>相关</w:t>
            </w:r>
            <w:r>
              <w:rPr>
                <w:rFonts w:hint="eastAsia" w:ascii="Times New Roman" w:hAnsi="Times New Roman" w:eastAsia="宋体" w:cs="Times New Roman"/>
                <w:sz w:val="21"/>
                <w:szCs w:val="21"/>
                <w:highlight w:val="none"/>
              </w:rPr>
              <w:t>人员证书复印件</w:t>
            </w:r>
            <w:r>
              <w:rPr>
                <w:rFonts w:hint="eastAsia" w:ascii="Times New Roman" w:hAnsi="Times New Roman" w:eastAsia="宋体" w:cs="Times New Roman"/>
                <w:sz w:val="21"/>
                <w:szCs w:val="21"/>
                <w:highlight w:val="none"/>
                <w:lang w:eastAsia="zh-CN"/>
              </w:rPr>
              <w:t>并</w:t>
            </w:r>
            <w:r>
              <w:rPr>
                <w:rFonts w:hint="eastAsia" w:ascii="Times New Roman" w:hAnsi="Times New Roman" w:eastAsia="宋体" w:cs="Times New Roman"/>
                <w:sz w:val="21"/>
                <w:szCs w:val="21"/>
                <w:highlight w:val="none"/>
              </w:rPr>
              <w:t>加盖</w:t>
            </w:r>
            <w:r>
              <w:rPr>
                <w:rFonts w:hint="eastAsia" w:ascii="Times New Roman" w:hAnsi="Times New Roman" w:eastAsia="宋体" w:cs="Times New Roman"/>
                <w:sz w:val="21"/>
                <w:szCs w:val="21"/>
                <w:highlight w:val="none"/>
                <w:lang w:eastAsia="zh-CN"/>
              </w:rPr>
              <w:t>供应商</w:t>
            </w:r>
            <w:r>
              <w:rPr>
                <w:rFonts w:hint="eastAsia" w:ascii="Times New Roman" w:hAnsi="Times New Roman" w:eastAsia="宋体" w:cs="Times New Roman"/>
                <w:sz w:val="21"/>
                <w:szCs w:val="21"/>
                <w:highlight w:val="none"/>
              </w:rPr>
              <w:t>公章；</w:t>
            </w:r>
          </w:p>
          <w:p>
            <w:pPr>
              <w:spacing w:line="240" w:lineRule="atLeast"/>
              <w:rPr>
                <w:rFonts w:hint="eastAsia" w:ascii="Times New Roman" w:hAnsi="Times New Roman" w:eastAsia="宋体" w:cs="Times New Roman"/>
                <w:sz w:val="21"/>
                <w:szCs w:val="21"/>
                <w:highlight w:val="none"/>
                <w:lang w:eastAsia="zh-CN"/>
              </w:rPr>
            </w:pPr>
            <w:r>
              <w:rPr>
                <w:rFonts w:hint="eastAsia" w:ascii="Times New Roman" w:hAnsi="Times New Roman" w:eastAsia="宋体" w:cs="Times New Roman"/>
                <w:sz w:val="21"/>
                <w:szCs w:val="21"/>
                <w:highlight w:val="none"/>
              </w:rPr>
              <w:t>2.提供</w:t>
            </w:r>
            <w:r>
              <w:rPr>
                <w:rFonts w:hint="eastAsia" w:ascii="Times New Roman" w:hAnsi="Times New Roman" w:eastAsia="宋体" w:cs="Times New Roman"/>
                <w:sz w:val="21"/>
                <w:szCs w:val="21"/>
                <w:highlight w:val="none"/>
                <w:lang w:eastAsia="zh-CN"/>
              </w:rPr>
              <w:t>相关</w:t>
            </w:r>
            <w:r>
              <w:rPr>
                <w:rFonts w:hint="eastAsia" w:ascii="Times New Roman" w:hAnsi="Times New Roman" w:eastAsia="宋体" w:cs="Times New Roman"/>
                <w:sz w:val="21"/>
                <w:szCs w:val="21"/>
                <w:highlight w:val="none"/>
              </w:rPr>
              <w:t>人员就职于本单位的证明材料</w:t>
            </w:r>
            <w:r>
              <w:rPr>
                <w:rFonts w:hint="eastAsia" w:ascii="Times New Roman" w:hAnsi="Times New Roman" w:eastAsia="宋体" w:cs="Times New Roman"/>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57" w:type="dxa"/>
            <w:noWrap w:val="0"/>
            <w:vAlign w:val="center"/>
          </w:tcPr>
          <w:p>
            <w:pPr>
              <w:spacing w:line="240" w:lineRule="atLeast"/>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3</w:t>
            </w:r>
          </w:p>
        </w:tc>
        <w:tc>
          <w:tcPr>
            <w:tcW w:w="1081" w:type="dxa"/>
            <w:noWrap w:val="0"/>
            <w:vAlign w:val="center"/>
          </w:tcPr>
          <w:p>
            <w:pPr>
              <w:spacing w:line="240" w:lineRule="atLeast"/>
              <w:jc w:val="center"/>
              <w:rPr>
                <w:rFonts w:hint="eastAsia" w:ascii="Times New Roman" w:hAnsi="Times New Roman" w:eastAsia="宋体" w:cs="Times New Roman"/>
                <w:color w:val="auto"/>
                <w:sz w:val="24"/>
                <w:highlight w:val="none"/>
                <w:shd w:val="clear" w:color="auto" w:fill="auto"/>
                <w:lang w:eastAsia="zh-CN"/>
              </w:rPr>
            </w:pPr>
            <w:r>
              <w:rPr>
                <w:rFonts w:hint="eastAsia" w:ascii="Times New Roman" w:hAnsi="Times New Roman" w:eastAsia="宋体" w:cs="Times New Roman"/>
                <w:color w:val="auto"/>
                <w:sz w:val="24"/>
                <w:highlight w:val="none"/>
                <w:shd w:val="clear" w:color="auto" w:fill="auto"/>
                <w:lang w:eastAsia="zh-CN"/>
              </w:rPr>
              <w:t>履约</w:t>
            </w:r>
            <w:r>
              <w:rPr>
                <w:rFonts w:hint="eastAsia" w:ascii="Times New Roman" w:hAnsi="Times New Roman" w:cs="Times New Roman"/>
                <w:color w:val="auto"/>
                <w:sz w:val="24"/>
                <w:highlight w:val="none"/>
                <w:shd w:val="clear" w:color="auto" w:fill="auto"/>
                <w:lang w:eastAsia="zh-CN"/>
              </w:rPr>
              <w:t>能力</w:t>
            </w:r>
          </w:p>
        </w:tc>
        <w:tc>
          <w:tcPr>
            <w:tcW w:w="787" w:type="dxa"/>
            <w:noWrap w:val="0"/>
            <w:vAlign w:val="center"/>
          </w:tcPr>
          <w:p>
            <w:pPr>
              <w:spacing w:line="360" w:lineRule="auto"/>
              <w:jc w:val="center"/>
              <w:rPr>
                <w:color w:val="auto"/>
                <w:sz w:val="24"/>
                <w:highlight w:val="none"/>
                <w:shd w:val="clear" w:color="auto" w:fill="auto"/>
              </w:rPr>
            </w:pPr>
            <w:r>
              <w:rPr>
                <w:rFonts w:hint="eastAsia"/>
                <w:color w:val="auto"/>
                <w:sz w:val="24"/>
                <w:highlight w:val="none"/>
                <w:shd w:val="clear" w:color="auto" w:fill="auto"/>
                <w:lang w:val="en-US" w:eastAsia="zh-CN"/>
              </w:rPr>
              <w:t>10</w:t>
            </w:r>
            <w:r>
              <w:rPr>
                <w:rFonts w:hint="eastAsia"/>
                <w:color w:val="auto"/>
                <w:sz w:val="24"/>
                <w:highlight w:val="none"/>
                <w:shd w:val="clear" w:color="auto" w:fill="auto"/>
              </w:rPr>
              <w:t>分</w:t>
            </w:r>
          </w:p>
        </w:tc>
        <w:tc>
          <w:tcPr>
            <w:tcW w:w="5528" w:type="dxa"/>
            <w:noWrap w:val="0"/>
            <w:vAlign w:val="center"/>
          </w:tcPr>
          <w:p>
            <w:pPr>
              <w:spacing w:line="288" w:lineRule="auto"/>
              <w:rPr>
                <w:rFonts w:hint="eastAsia" w:ascii="Times New Roman" w:hAnsi="Times New Roman" w:eastAsia="宋体" w:cs="Times New Roman"/>
                <w:color w:val="auto"/>
                <w:sz w:val="24"/>
                <w:highlight w:val="none"/>
                <w:shd w:val="clear" w:color="auto" w:fill="auto"/>
                <w:lang w:eastAsia="zh-CN"/>
              </w:rPr>
            </w:pPr>
            <w:r>
              <w:rPr>
                <w:rFonts w:hint="eastAsia" w:ascii="Times New Roman" w:hAnsi="Times New Roman" w:eastAsia="宋体" w:cs="Times New Roman"/>
                <w:color w:val="auto"/>
                <w:sz w:val="24"/>
                <w:highlight w:val="none"/>
                <w:shd w:val="clear" w:color="auto" w:fill="auto"/>
                <w:lang w:eastAsia="zh-CN"/>
              </w:rPr>
              <w:t>供应商</w:t>
            </w:r>
            <w:r>
              <w:rPr>
                <w:rFonts w:hint="eastAsia" w:ascii="Times New Roman" w:hAnsi="Times New Roman" w:eastAsia="宋体" w:cs="Times New Roman"/>
                <w:color w:val="auto"/>
                <w:sz w:val="24"/>
                <w:highlight w:val="none"/>
                <w:shd w:val="clear" w:color="auto" w:fill="auto"/>
              </w:rPr>
              <w:t>自2016年</w:t>
            </w:r>
            <w:r>
              <w:rPr>
                <w:rFonts w:hint="eastAsia" w:ascii="Times New Roman" w:hAnsi="Times New Roman" w:eastAsia="宋体" w:cs="Times New Roman"/>
                <w:color w:val="auto"/>
                <w:sz w:val="24"/>
                <w:highlight w:val="none"/>
                <w:shd w:val="clear" w:color="auto" w:fill="auto"/>
                <w:lang w:val="en-US" w:eastAsia="zh-CN"/>
              </w:rPr>
              <w:t>1月1日至递交响应文件截止时间前具有</w:t>
            </w:r>
            <w:r>
              <w:rPr>
                <w:rFonts w:hint="eastAsia" w:ascii="Times New Roman" w:hAnsi="Times New Roman" w:eastAsia="宋体" w:cs="Times New Roman"/>
                <w:color w:val="auto"/>
                <w:sz w:val="24"/>
                <w:highlight w:val="none"/>
                <w:shd w:val="clear" w:color="auto" w:fill="auto"/>
              </w:rPr>
              <w:t>承担过同类项目业绩</w:t>
            </w:r>
            <w:r>
              <w:rPr>
                <w:rFonts w:hint="eastAsia" w:ascii="Times New Roman" w:hAnsi="Times New Roman" w:eastAsia="宋体" w:cs="Times New Roman"/>
                <w:color w:val="auto"/>
                <w:sz w:val="24"/>
                <w:highlight w:val="none"/>
                <w:shd w:val="clear" w:color="auto" w:fill="auto"/>
                <w:lang w:eastAsia="zh-CN"/>
              </w:rPr>
              <w:t>的</w:t>
            </w:r>
            <w:r>
              <w:rPr>
                <w:rFonts w:hint="eastAsia" w:ascii="Times New Roman" w:hAnsi="Times New Roman" w:eastAsia="宋体" w:cs="Times New Roman"/>
                <w:color w:val="auto"/>
                <w:sz w:val="24"/>
                <w:highlight w:val="none"/>
                <w:shd w:val="clear" w:color="auto" w:fill="auto"/>
              </w:rPr>
              <w:t>，每提供一</w:t>
            </w:r>
            <w:r>
              <w:rPr>
                <w:rFonts w:hint="eastAsia" w:ascii="Times New Roman" w:hAnsi="Times New Roman" w:eastAsia="宋体" w:cs="Times New Roman"/>
                <w:color w:val="auto"/>
                <w:sz w:val="24"/>
                <w:highlight w:val="none"/>
                <w:shd w:val="clear" w:color="auto" w:fill="auto"/>
                <w:lang w:eastAsia="zh-CN"/>
              </w:rPr>
              <w:t>个</w:t>
            </w:r>
            <w:r>
              <w:rPr>
                <w:rFonts w:hint="eastAsia" w:ascii="Times New Roman" w:hAnsi="Times New Roman" w:eastAsia="宋体" w:cs="Times New Roman"/>
                <w:color w:val="auto"/>
                <w:sz w:val="24"/>
                <w:highlight w:val="none"/>
                <w:shd w:val="clear" w:color="auto" w:fill="auto"/>
              </w:rPr>
              <w:t>得1分，</w:t>
            </w:r>
            <w:r>
              <w:rPr>
                <w:rFonts w:hint="eastAsia" w:ascii="Times New Roman" w:hAnsi="Times New Roman" w:eastAsia="宋体" w:cs="Times New Roman"/>
                <w:color w:val="auto"/>
                <w:sz w:val="24"/>
                <w:highlight w:val="none"/>
                <w:shd w:val="clear" w:color="auto" w:fill="auto"/>
                <w:lang w:eastAsia="zh-CN"/>
              </w:rPr>
              <w:t>本小项</w:t>
            </w:r>
            <w:r>
              <w:rPr>
                <w:rFonts w:hint="eastAsia" w:ascii="Times New Roman" w:hAnsi="Times New Roman" w:eastAsia="宋体" w:cs="Times New Roman"/>
                <w:color w:val="auto"/>
                <w:sz w:val="24"/>
                <w:highlight w:val="none"/>
                <w:shd w:val="clear" w:color="auto" w:fill="auto"/>
              </w:rPr>
              <w:t>最多得10分</w:t>
            </w:r>
            <w:r>
              <w:rPr>
                <w:rFonts w:hint="eastAsia" w:ascii="Times New Roman" w:hAnsi="Times New Roman" w:eastAsia="宋体" w:cs="Times New Roman"/>
                <w:color w:val="auto"/>
                <w:sz w:val="24"/>
                <w:highlight w:val="none"/>
                <w:shd w:val="clear" w:color="auto" w:fill="auto"/>
                <w:lang w:eastAsia="zh-CN"/>
              </w:rPr>
              <w:t>。</w:t>
            </w:r>
          </w:p>
        </w:tc>
        <w:tc>
          <w:tcPr>
            <w:tcW w:w="2104" w:type="dxa"/>
            <w:noWrap w:val="0"/>
            <w:vAlign w:val="center"/>
          </w:tcPr>
          <w:p>
            <w:pPr>
              <w:spacing w:line="240" w:lineRule="atLeast"/>
              <w:rPr>
                <w:rFonts w:hint="eastAsia"/>
                <w:color w:val="auto"/>
                <w:sz w:val="24"/>
                <w:highlight w:val="none"/>
                <w:shd w:val="clear" w:color="auto" w:fill="auto"/>
              </w:rPr>
            </w:pPr>
            <w:r>
              <w:rPr>
                <w:rFonts w:hint="eastAsia" w:ascii="Times New Roman" w:hAnsi="Times New Roman" w:eastAsia="宋体" w:cs="Times New Roman"/>
                <w:color w:val="auto"/>
                <w:sz w:val="21"/>
                <w:szCs w:val="21"/>
                <w:highlight w:val="none"/>
                <w:shd w:val="clear" w:color="auto" w:fill="auto"/>
              </w:rPr>
              <w:t>提供合同复印件及相关证明材料加盖</w:t>
            </w:r>
            <w:r>
              <w:rPr>
                <w:rFonts w:hint="eastAsia" w:ascii="Times New Roman" w:hAnsi="Times New Roman" w:eastAsia="宋体" w:cs="Times New Roman"/>
                <w:color w:val="auto"/>
                <w:sz w:val="21"/>
                <w:szCs w:val="21"/>
                <w:highlight w:val="none"/>
                <w:shd w:val="clear" w:color="auto" w:fill="auto"/>
                <w:lang w:eastAsia="zh-CN"/>
              </w:rPr>
              <w:t>供应商</w:t>
            </w:r>
            <w:r>
              <w:rPr>
                <w:rFonts w:hint="eastAsia" w:ascii="Times New Roman" w:hAnsi="Times New Roman" w:eastAsia="宋体" w:cs="Times New Roman"/>
                <w:color w:val="auto"/>
                <w:sz w:val="21"/>
                <w:szCs w:val="21"/>
                <w:highlight w:val="none"/>
                <w:shd w:val="clear" w:color="auto" w:fill="auto"/>
              </w:rPr>
              <w:t>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457" w:type="dxa"/>
            <w:noWrap w:val="0"/>
            <w:vAlign w:val="center"/>
          </w:tcPr>
          <w:p>
            <w:pPr>
              <w:spacing w:line="240" w:lineRule="atLeast"/>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4</w:t>
            </w:r>
          </w:p>
        </w:tc>
        <w:tc>
          <w:tcPr>
            <w:tcW w:w="1081" w:type="dxa"/>
            <w:noWrap w:val="0"/>
            <w:vAlign w:val="center"/>
          </w:tcPr>
          <w:p>
            <w:pPr>
              <w:spacing w:line="240" w:lineRule="atLeast"/>
              <w:jc w:val="center"/>
              <w:rPr>
                <w:rFonts w:hint="eastAsia" w:ascii="Times New Roman" w:hAnsi="Times New Roman" w:eastAsia="宋体" w:cs="Times New Roman"/>
                <w:color w:val="auto"/>
                <w:sz w:val="24"/>
                <w:highlight w:val="none"/>
                <w:shd w:val="clear" w:color="auto" w:fill="auto"/>
                <w:lang w:eastAsia="zh-CN"/>
              </w:rPr>
            </w:pPr>
            <w:r>
              <w:rPr>
                <w:rFonts w:hint="eastAsia" w:ascii="Times New Roman" w:hAnsi="Times New Roman" w:eastAsia="宋体" w:cs="Times New Roman"/>
                <w:color w:val="auto"/>
                <w:sz w:val="24"/>
                <w:highlight w:val="none"/>
                <w:shd w:val="clear" w:color="auto" w:fill="auto"/>
                <w:lang w:eastAsia="zh-CN"/>
              </w:rPr>
              <w:t>供应商质量管理</w:t>
            </w:r>
          </w:p>
        </w:tc>
        <w:tc>
          <w:tcPr>
            <w:tcW w:w="787" w:type="dxa"/>
            <w:noWrap w:val="0"/>
            <w:vAlign w:val="center"/>
          </w:tcPr>
          <w:p>
            <w:pPr>
              <w:spacing w:line="360" w:lineRule="auto"/>
              <w:jc w:val="center"/>
              <w:rPr>
                <w:rFonts w:hint="eastAsia" w:ascii="Times New Roman" w:hAnsi="Times New Roman" w:eastAsia="宋体" w:cs="Times New Roman"/>
                <w:color w:val="auto"/>
                <w:sz w:val="24"/>
                <w:highlight w:val="none"/>
                <w:shd w:val="clear" w:color="auto" w:fill="auto"/>
                <w:lang w:val="en-US" w:eastAsia="zh-CN"/>
              </w:rPr>
            </w:pPr>
            <w:r>
              <w:rPr>
                <w:rFonts w:hint="eastAsia" w:ascii="Times New Roman" w:hAnsi="Times New Roman" w:eastAsia="宋体" w:cs="Times New Roman"/>
                <w:color w:val="auto"/>
                <w:sz w:val="24"/>
                <w:highlight w:val="none"/>
                <w:shd w:val="clear" w:color="auto" w:fill="auto"/>
                <w:lang w:val="en-US" w:eastAsia="zh-CN"/>
              </w:rPr>
              <w:t>4分</w:t>
            </w:r>
          </w:p>
        </w:tc>
        <w:tc>
          <w:tcPr>
            <w:tcW w:w="5528" w:type="dxa"/>
            <w:noWrap w:val="0"/>
            <w:vAlign w:val="center"/>
          </w:tcPr>
          <w:p>
            <w:pPr>
              <w:spacing w:line="288" w:lineRule="auto"/>
              <w:rPr>
                <w:rFonts w:hint="eastAsia" w:ascii="Times New Roman" w:hAnsi="Times New Roman" w:eastAsia="宋体" w:cs="Times New Roman"/>
                <w:color w:val="auto"/>
                <w:sz w:val="24"/>
                <w:highlight w:val="none"/>
                <w:shd w:val="clear" w:color="auto" w:fill="auto"/>
                <w:lang w:eastAsia="zh-CN"/>
              </w:rPr>
            </w:pPr>
            <w:r>
              <w:rPr>
                <w:rFonts w:hint="eastAsia" w:ascii="Times New Roman" w:hAnsi="Times New Roman" w:eastAsia="宋体" w:cs="Times New Roman"/>
                <w:color w:val="auto"/>
                <w:sz w:val="24"/>
                <w:highlight w:val="none"/>
                <w:shd w:val="clear" w:color="auto" w:fill="auto"/>
                <w:lang w:val="en-US" w:eastAsia="zh-CN"/>
              </w:rPr>
              <w:t>1、</w:t>
            </w:r>
            <w:r>
              <w:rPr>
                <w:rFonts w:hint="eastAsia" w:ascii="Times New Roman" w:hAnsi="Times New Roman" w:eastAsia="宋体" w:cs="Times New Roman"/>
                <w:color w:val="auto"/>
                <w:sz w:val="24"/>
                <w:highlight w:val="none"/>
                <w:shd w:val="clear" w:color="auto" w:fill="auto"/>
              </w:rPr>
              <w:t>供应商</w:t>
            </w:r>
            <w:r>
              <w:rPr>
                <w:rFonts w:hint="eastAsia" w:ascii="Times New Roman" w:hAnsi="Times New Roman" w:eastAsia="宋体" w:cs="Times New Roman"/>
                <w:color w:val="auto"/>
                <w:sz w:val="24"/>
                <w:highlight w:val="none"/>
                <w:shd w:val="clear" w:color="auto" w:fill="auto"/>
                <w:lang w:eastAsia="zh-CN"/>
              </w:rPr>
              <w:t>具有</w:t>
            </w:r>
            <w:r>
              <w:rPr>
                <w:rFonts w:hint="eastAsia" w:ascii="Times New Roman" w:hAnsi="Times New Roman" w:eastAsia="宋体" w:cs="Times New Roman"/>
                <w:color w:val="auto"/>
                <w:sz w:val="24"/>
                <w:highlight w:val="none"/>
                <w:shd w:val="clear" w:color="auto" w:fill="auto"/>
              </w:rPr>
              <w:t>质量管理体系认证的得</w:t>
            </w:r>
            <w:r>
              <w:rPr>
                <w:rFonts w:hint="eastAsia" w:ascii="Times New Roman" w:hAnsi="Times New Roman" w:eastAsia="宋体" w:cs="Times New Roman"/>
                <w:color w:val="auto"/>
                <w:sz w:val="24"/>
                <w:highlight w:val="none"/>
                <w:shd w:val="clear" w:color="auto" w:fill="auto"/>
                <w:lang w:val="en-US" w:eastAsia="zh-CN"/>
              </w:rPr>
              <w:t>2</w:t>
            </w:r>
            <w:r>
              <w:rPr>
                <w:rFonts w:hint="eastAsia" w:ascii="Times New Roman" w:hAnsi="Times New Roman" w:eastAsia="宋体" w:cs="Times New Roman"/>
                <w:color w:val="auto"/>
                <w:sz w:val="24"/>
                <w:highlight w:val="none"/>
                <w:shd w:val="clear" w:color="auto" w:fill="auto"/>
              </w:rPr>
              <w:t>分</w:t>
            </w:r>
            <w:r>
              <w:rPr>
                <w:rFonts w:hint="eastAsia" w:ascii="Times New Roman" w:hAnsi="Times New Roman" w:eastAsia="宋体" w:cs="Times New Roman"/>
                <w:color w:val="auto"/>
                <w:sz w:val="24"/>
                <w:highlight w:val="none"/>
                <w:shd w:val="clear" w:color="auto" w:fill="auto"/>
                <w:lang w:eastAsia="zh-CN"/>
              </w:rPr>
              <w:t>；</w:t>
            </w:r>
          </w:p>
          <w:p>
            <w:pPr>
              <w:spacing w:line="288" w:lineRule="auto"/>
              <w:rPr>
                <w:rFonts w:hint="eastAsia"/>
                <w:color w:val="auto"/>
                <w:sz w:val="24"/>
                <w:highlight w:val="none"/>
                <w:shd w:val="clear" w:color="auto" w:fill="auto"/>
              </w:rPr>
            </w:pPr>
            <w:r>
              <w:rPr>
                <w:rFonts w:hint="eastAsia" w:ascii="Times New Roman" w:hAnsi="Times New Roman" w:eastAsia="宋体" w:cs="Times New Roman"/>
                <w:color w:val="auto"/>
                <w:sz w:val="24"/>
                <w:highlight w:val="none"/>
                <w:shd w:val="clear" w:color="auto" w:fill="auto"/>
                <w:lang w:val="en-US" w:eastAsia="zh-CN"/>
              </w:rPr>
              <w:t>2、</w:t>
            </w:r>
            <w:r>
              <w:rPr>
                <w:rFonts w:hint="eastAsia" w:ascii="Times New Roman" w:hAnsi="Times New Roman" w:eastAsia="宋体" w:cs="Times New Roman"/>
                <w:color w:val="auto"/>
                <w:sz w:val="24"/>
                <w:highlight w:val="none"/>
                <w:shd w:val="clear" w:color="auto" w:fill="auto"/>
              </w:rPr>
              <w:t>供应商</w:t>
            </w:r>
            <w:r>
              <w:rPr>
                <w:rFonts w:hint="eastAsia" w:ascii="Times New Roman" w:hAnsi="Times New Roman" w:eastAsia="宋体" w:cs="Times New Roman"/>
                <w:color w:val="auto"/>
                <w:sz w:val="24"/>
                <w:highlight w:val="none"/>
                <w:shd w:val="clear" w:color="auto" w:fill="auto"/>
                <w:lang w:eastAsia="zh-CN"/>
              </w:rPr>
              <w:t>具有</w:t>
            </w:r>
            <w:r>
              <w:rPr>
                <w:rFonts w:hint="eastAsia" w:ascii="Times New Roman" w:hAnsi="Times New Roman" w:eastAsia="宋体" w:cs="Times New Roman"/>
                <w:color w:val="auto"/>
                <w:sz w:val="24"/>
                <w:highlight w:val="none"/>
                <w:shd w:val="clear" w:color="auto" w:fill="auto"/>
              </w:rPr>
              <w:t>信息安全体系认证</w:t>
            </w:r>
            <w:r>
              <w:rPr>
                <w:rFonts w:hint="eastAsia" w:ascii="Times New Roman" w:hAnsi="Times New Roman" w:eastAsia="宋体" w:cs="Times New Roman"/>
                <w:color w:val="auto"/>
                <w:sz w:val="24"/>
                <w:highlight w:val="none"/>
                <w:shd w:val="clear" w:color="auto" w:fill="auto"/>
                <w:lang w:eastAsia="zh-CN"/>
              </w:rPr>
              <w:t>的</w:t>
            </w:r>
            <w:r>
              <w:rPr>
                <w:rFonts w:hint="eastAsia" w:ascii="Times New Roman" w:hAnsi="Times New Roman" w:eastAsia="宋体" w:cs="Times New Roman"/>
                <w:color w:val="auto"/>
                <w:sz w:val="24"/>
                <w:highlight w:val="none"/>
                <w:shd w:val="clear" w:color="auto" w:fill="auto"/>
              </w:rPr>
              <w:t>得</w:t>
            </w:r>
            <w:r>
              <w:rPr>
                <w:rFonts w:hint="eastAsia" w:ascii="Times New Roman" w:hAnsi="Times New Roman" w:eastAsia="宋体" w:cs="Times New Roman"/>
                <w:color w:val="auto"/>
                <w:sz w:val="24"/>
                <w:highlight w:val="none"/>
                <w:shd w:val="clear" w:color="auto" w:fill="auto"/>
                <w:lang w:val="en-US" w:eastAsia="zh-CN"/>
              </w:rPr>
              <w:t>2</w:t>
            </w:r>
            <w:r>
              <w:rPr>
                <w:rFonts w:hint="eastAsia" w:ascii="Times New Roman" w:hAnsi="Times New Roman" w:eastAsia="宋体" w:cs="Times New Roman"/>
                <w:color w:val="auto"/>
                <w:sz w:val="24"/>
                <w:highlight w:val="none"/>
                <w:shd w:val="clear" w:color="auto" w:fill="auto"/>
              </w:rPr>
              <w:t>分。</w:t>
            </w:r>
          </w:p>
        </w:tc>
        <w:tc>
          <w:tcPr>
            <w:tcW w:w="2104" w:type="dxa"/>
            <w:noWrap w:val="0"/>
            <w:vAlign w:val="center"/>
          </w:tcPr>
          <w:p>
            <w:pPr>
              <w:spacing w:line="240" w:lineRule="atLeast"/>
              <w:rPr>
                <w:rFonts w:hint="eastAsia"/>
                <w:color w:val="auto"/>
                <w:sz w:val="24"/>
                <w:highlight w:val="none"/>
                <w:shd w:val="clear" w:color="auto" w:fill="auto"/>
              </w:rPr>
            </w:pPr>
            <w:r>
              <w:rPr>
                <w:rFonts w:hint="eastAsia" w:ascii="Times New Roman" w:hAnsi="Times New Roman" w:eastAsia="宋体" w:cs="Times New Roman"/>
                <w:color w:val="auto"/>
                <w:sz w:val="21"/>
                <w:szCs w:val="21"/>
                <w:highlight w:val="none"/>
                <w:shd w:val="clear" w:color="auto" w:fill="auto"/>
                <w:lang w:eastAsia="zh-CN"/>
              </w:rPr>
              <w:t>提供认证证书复印件并加盖供应商公章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457" w:type="dxa"/>
            <w:vMerge w:val="restart"/>
            <w:noWrap w:val="0"/>
            <w:vAlign w:val="center"/>
          </w:tcPr>
          <w:p>
            <w:pPr>
              <w:spacing w:line="240" w:lineRule="atLeast"/>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5</w:t>
            </w:r>
          </w:p>
        </w:tc>
        <w:tc>
          <w:tcPr>
            <w:tcW w:w="1081" w:type="dxa"/>
            <w:vMerge w:val="restart"/>
            <w:noWrap w:val="0"/>
            <w:vAlign w:val="center"/>
          </w:tcPr>
          <w:p>
            <w:pPr>
              <w:spacing w:line="240" w:lineRule="atLeast"/>
              <w:jc w:val="center"/>
              <w:rPr>
                <w:rFonts w:hint="default" w:ascii="Times New Roman" w:hAnsi="Times New Roman" w:eastAsia="宋体" w:cs="Times New Roman"/>
                <w:sz w:val="24"/>
                <w:highlight w:val="none"/>
                <w:lang w:val="en-US" w:eastAsia="zh-CN"/>
              </w:rPr>
            </w:pPr>
            <w:r>
              <w:rPr>
                <w:rFonts w:hint="eastAsia" w:ascii="Times New Roman" w:hAnsi="Times New Roman" w:cs="Times New Roman"/>
                <w:color w:val="auto"/>
                <w:sz w:val="24"/>
                <w:highlight w:val="none"/>
                <w:lang w:eastAsia="zh-CN"/>
              </w:rPr>
              <w:t>实施方案</w:t>
            </w:r>
          </w:p>
        </w:tc>
        <w:tc>
          <w:tcPr>
            <w:tcW w:w="787" w:type="dxa"/>
            <w:noWrap w:val="0"/>
            <w:vAlign w:val="center"/>
          </w:tcPr>
          <w:p>
            <w:pPr>
              <w:spacing w:line="360" w:lineRule="auto"/>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规划项目总体理解和研究思路</w:t>
            </w:r>
          </w:p>
          <w:p>
            <w:pPr>
              <w:spacing w:line="360" w:lineRule="auto"/>
              <w:jc w:val="center"/>
              <w:rPr>
                <w:rFonts w:hint="default"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21分</w:t>
            </w:r>
          </w:p>
        </w:tc>
        <w:tc>
          <w:tcPr>
            <w:tcW w:w="5528" w:type="dxa"/>
            <w:noWrap w:val="0"/>
            <w:vAlign w:val="center"/>
          </w:tcPr>
          <w:p>
            <w:pPr>
              <w:spacing w:line="288" w:lineRule="auto"/>
              <w:rPr>
                <w:rFonts w:hint="eastAsia"/>
                <w:sz w:val="24"/>
                <w:highlight w:val="none"/>
              </w:rPr>
            </w:pPr>
            <w:r>
              <w:rPr>
                <w:rFonts w:hint="eastAsia" w:hAnsi="宋体" w:cs="宋体"/>
                <w:sz w:val="24"/>
                <w:highlight w:val="none"/>
              </w:rPr>
              <w:t>供应商</w:t>
            </w:r>
            <w:r>
              <w:rPr>
                <w:rFonts w:hint="eastAsia" w:hAnsi="宋体" w:cs="宋体"/>
                <w:sz w:val="24"/>
                <w:highlight w:val="none"/>
                <w:lang w:eastAsia="zh-CN"/>
              </w:rPr>
              <w:t>结合采购要求</w:t>
            </w:r>
            <w:r>
              <w:rPr>
                <w:rFonts w:hint="eastAsia" w:hAnsi="宋体" w:cs="宋体"/>
                <w:sz w:val="24"/>
                <w:highlight w:val="none"/>
              </w:rPr>
              <w:t>提供规划项目总体理解和研究思路，</w:t>
            </w:r>
            <w:r>
              <w:rPr>
                <w:rFonts w:hint="eastAsia" w:hAnsi="宋体" w:cs="宋体"/>
                <w:sz w:val="24"/>
                <w:highlight w:val="none"/>
                <w:lang w:eastAsia="zh-CN"/>
              </w:rPr>
              <w:t>内容</w:t>
            </w:r>
            <w:r>
              <w:rPr>
                <w:rFonts w:hint="eastAsia" w:hAnsi="宋体" w:cs="宋体"/>
                <w:sz w:val="24"/>
                <w:highlight w:val="none"/>
              </w:rPr>
              <w:t>包括但不限于：①</w:t>
            </w:r>
            <w:r>
              <w:rPr>
                <w:rFonts w:hAnsi="宋体"/>
                <w:color w:val="000000"/>
                <w:sz w:val="24"/>
                <w:highlight w:val="none"/>
              </w:rPr>
              <w:t>转变国资监管职能</w:t>
            </w:r>
            <w:r>
              <w:rPr>
                <w:rFonts w:hint="eastAsia" w:hAnsi="宋体"/>
                <w:color w:val="000000"/>
                <w:sz w:val="24"/>
                <w:highlight w:val="none"/>
                <w:lang w:eastAsia="zh-CN"/>
              </w:rPr>
              <w:t>；</w:t>
            </w:r>
            <w:r>
              <w:rPr>
                <w:rFonts w:hint="eastAsia" w:hAnsi="宋体" w:cs="宋体"/>
                <w:sz w:val="24"/>
                <w:highlight w:val="none"/>
              </w:rPr>
              <w:t>②</w:t>
            </w:r>
            <w:r>
              <w:rPr>
                <w:rFonts w:hAnsi="宋体"/>
                <w:color w:val="000000"/>
                <w:sz w:val="24"/>
                <w:highlight w:val="none"/>
              </w:rPr>
              <w:t>提升</w:t>
            </w:r>
            <w:r>
              <w:rPr>
                <w:rFonts w:hint="eastAsia" w:hAnsi="宋体"/>
                <w:color w:val="000000"/>
                <w:sz w:val="24"/>
                <w:highlight w:val="none"/>
              </w:rPr>
              <w:t>区属国有企业</w:t>
            </w:r>
            <w:r>
              <w:rPr>
                <w:rFonts w:hAnsi="宋体"/>
                <w:color w:val="000000"/>
                <w:sz w:val="24"/>
                <w:highlight w:val="none"/>
              </w:rPr>
              <w:t>战略支撑能力、社会服务能力</w:t>
            </w:r>
            <w:r>
              <w:rPr>
                <w:rFonts w:hint="eastAsia" w:hAnsi="宋体"/>
                <w:color w:val="000000"/>
                <w:sz w:val="24"/>
                <w:highlight w:val="none"/>
                <w:lang w:eastAsia="zh-CN"/>
              </w:rPr>
              <w:t>；</w:t>
            </w:r>
            <w:r>
              <w:rPr>
                <w:rFonts w:hint="eastAsia" w:hAnsi="宋体" w:cs="宋体"/>
                <w:sz w:val="24"/>
                <w:highlight w:val="none"/>
              </w:rPr>
              <w:t>③</w:t>
            </w:r>
            <w:r>
              <w:rPr>
                <w:rFonts w:hint="eastAsia" w:hAnsi="宋体"/>
                <w:color w:val="000000"/>
                <w:sz w:val="24"/>
                <w:highlight w:val="none"/>
              </w:rPr>
              <w:t>提升市场经营能力及专业运作能力</w:t>
            </w:r>
            <w:r>
              <w:rPr>
                <w:rFonts w:hint="eastAsia" w:hAnsi="宋体"/>
                <w:color w:val="000000"/>
                <w:sz w:val="24"/>
                <w:highlight w:val="none"/>
                <w:lang w:eastAsia="zh-CN"/>
              </w:rPr>
              <w:t>；</w:t>
            </w:r>
            <w:r>
              <w:rPr>
                <w:rFonts w:hint="eastAsia" w:hAnsi="宋体" w:cs="宋体"/>
                <w:sz w:val="24"/>
                <w:highlight w:val="none"/>
              </w:rPr>
              <w:t>④</w:t>
            </w:r>
            <w:r>
              <w:rPr>
                <w:rFonts w:hAnsi="宋体"/>
                <w:color w:val="000000"/>
                <w:sz w:val="24"/>
                <w:highlight w:val="none"/>
              </w:rPr>
              <w:t>提升资本运营能力</w:t>
            </w:r>
            <w:r>
              <w:rPr>
                <w:rFonts w:hint="eastAsia" w:hAnsi="宋体"/>
                <w:color w:val="000000"/>
                <w:sz w:val="24"/>
                <w:highlight w:val="none"/>
                <w:lang w:eastAsia="zh-CN"/>
              </w:rPr>
              <w:t>；</w:t>
            </w:r>
            <w:r>
              <w:rPr>
                <w:rFonts w:hint="eastAsia" w:hAnsi="宋体" w:cs="宋体"/>
                <w:sz w:val="24"/>
                <w:highlight w:val="none"/>
              </w:rPr>
              <w:t>⑤</w:t>
            </w:r>
            <w:r>
              <w:rPr>
                <w:rFonts w:hAnsi="宋体"/>
                <w:color w:val="000000"/>
                <w:sz w:val="24"/>
                <w:highlight w:val="none"/>
              </w:rPr>
              <w:t>提升现代治理能力</w:t>
            </w:r>
            <w:r>
              <w:rPr>
                <w:rFonts w:hint="eastAsia" w:hAnsi="宋体"/>
                <w:color w:val="000000"/>
                <w:sz w:val="24"/>
                <w:highlight w:val="none"/>
                <w:lang w:eastAsia="zh-CN"/>
              </w:rPr>
              <w:t>；</w:t>
            </w:r>
            <w:r>
              <w:rPr>
                <w:rFonts w:hint="eastAsia" w:hAnsi="宋体" w:cs="宋体"/>
                <w:color w:val="000000"/>
                <w:sz w:val="24"/>
                <w:highlight w:val="none"/>
              </w:rPr>
              <w:t>⑥</w:t>
            </w:r>
            <w:r>
              <w:rPr>
                <w:rFonts w:hAnsi="宋体"/>
                <w:color w:val="000000"/>
                <w:sz w:val="24"/>
                <w:highlight w:val="none"/>
              </w:rPr>
              <w:t>提升党建工作水平</w:t>
            </w:r>
            <w:r>
              <w:rPr>
                <w:rFonts w:hint="eastAsia" w:hAnsi="宋体"/>
                <w:color w:val="000000"/>
                <w:sz w:val="24"/>
                <w:highlight w:val="none"/>
                <w:lang w:eastAsia="zh-CN"/>
              </w:rPr>
              <w:t>；</w:t>
            </w:r>
            <w:r>
              <w:rPr>
                <w:rFonts w:hint="eastAsia" w:hAnsi="宋体"/>
                <w:color w:val="000000"/>
                <w:sz w:val="24"/>
                <w:highlight w:val="none"/>
              </w:rPr>
              <w:t>⑦根据规划需要提炼的其他重大课题</w:t>
            </w:r>
            <w:r>
              <w:rPr>
                <w:rFonts w:hint="eastAsia" w:hAnsi="宋体"/>
                <w:color w:val="000000"/>
                <w:sz w:val="24"/>
                <w:highlight w:val="none"/>
                <w:lang w:eastAsia="zh-CN"/>
              </w:rPr>
              <w:t>。各项内容要求：</w:t>
            </w:r>
            <w:r>
              <w:rPr>
                <w:rFonts w:hint="eastAsia" w:ascii="宋体" w:eastAsia="宋体"/>
                <w:sz w:val="24"/>
                <w:highlight w:val="none"/>
                <w:lang w:eastAsia="zh-CN"/>
              </w:rPr>
              <w:t>①具有针对性（能够准确凸显项目重点、难点）且全面完整（有具体详尽的文字阐述）；②层次分明（次序清晰，前后有序，不存在相互矛盾、杂乱无章等情形）且具有合理性（符合实际，不存在夸大、凭空编造等情形）</w:t>
            </w:r>
            <w:r>
              <w:rPr>
                <w:rFonts w:hint="eastAsia" w:hAnsi="宋体" w:cs="宋体"/>
                <w:sz w:val="24"/>
                <w:highlight w:val="none"/>
                <w:lang w:eastAsia="zh-CN"/>
              </w:rPr>
              <w:t>。完全满足得满分</w:t>
            </w:r>
            <w:r>
              <w:rPr>
                <w:rFonts w:hint="eastAsia" w:hAnsi="宋体" w:cs="宋体"/>
                <w:sz w:val="24"/>
                <w:highlight w:val="none"/>
                <w:lang w:val="en-US" w:eastAsia="zh-CN"/>
              </w:rPr>
              <w:t>21分</w:t>
            </w:r>
            <w:r>
              <w:rPr>
                <w:rFonts w:hint="eastAsia" w:ascii="宋体" w:eastAsia="宋体"/>
                <w:sz w:val="24"/>
                <w:highlight w:val="none"/>
                <w:lang w:eastAsia="zh-CN"/>
              </w:rPr>
              <w:t>；每缺一项内容扣</w:t>
            </w:r>
            <w:r>
              <w:rPr>
                <w:rFonts w:hint="eastAsia" w:ascii="宋体" w:eastAsia="宋体"/>
                <w:sz w:val="24"/>
                <w:highlight w:val="none"/>
                <w:lang w:val="en-US" w:eastAsia="zh-CN"/>
              </w:rPr>
              <w:t>3</w:t>
            </w:r>
            <w:r>
              <w:rPr>
                <w:rFonts w:hint="eastAsia" w:ascii="宋体" w:eastAsia="宋体"/>
                <w:sz w:val="24"/>
                <w:highlight w:val="none"/>
                <w:lang w:eastAsia="zh-CN"/>
              </w:rPr>
              <w:t>分，内容不满足上述要求的，一项扣</w:t>
            </w:r>
            <w:r>
              <w:rPr>
                <w:rFonts w:hint="eastAsia" w:ascii="宋体" w:eastAsia="宋体"/>
                <w:sz w:val="24"/>
                <w:highlight w:val="none"/>
                <w:lang w:val="en-US" w:eastAsia="zh-CN"/>
              </w:rPr>
              <w:t>1.5</w:t>
            </w:r>
            <w:r>
              <w:rPr>
                <w:rFonts w:hint="eastAsia" w:ascii="宋体" w:eastAsia="宋体"/>
                <w:sz w:val="24"/>
                <w:highlight w:val="none"/>
                <w:lang w:eastAsia="zh-CN"/>
              </w:rPr>
              <w:t>分</w:t>
            </w:r>
            <w:r>
              <w:rPr>
                <w:rFonts w:hint="eastAsia"/>
                <w:sz w:val="24"/>
                <w:highlight w:val="none"/>
              </w:rPr>
              <w:t>。</w:t>
            </w:r>
          </w:p>
        </w:tc>
        <w:tc>
          <w:tcPr>
            <w:tcW w:w="2104" w:type="dxa"/>
            <w:noWrap w:val="0"/>
            <w:vAlign w:val="center"/>
          </w:tcPr>
          <w:p>
            <w:pPr>
              <w:spacing w:line="240" w:lineRule="atLeast"/>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457" w:type="dxa"/>
            <w:vMerge w:val="continue"/>
            <w:noWrap w:val="0"/>
            <w:vAlign w:val="center"/>
          </w:tcPr>
          <w:p>
            <w:pPr>
              <w:spacing w:line="240" w:lineRule="atLeast"/>
              <w:jc w:val="center"/>
              <w:rPr>
                <w:rFonts w:hint="eastAsia" w:ascii="Times New Roman" w:hAnsi="Times New Roman" w:eastAsia="宋体" w:cs="Times New Roman"/>
                <w:sz w:val="24"/>
                <w:highlight w:val="none"/>
                <w:lang w:val="en-US" w:eastAsia="zh-CN"/>
              </w:rPr>
            </w:pPr>
          </w:p>
        </w:tc>
        <w:tc>
          <w:tcPr>
            <w:tcW w:w="1081" w:type="dxa"/>
            <w:vMerge w:val="continue"/>
            <w:noWrap w:val="0"/>
            <w:vAlign w:val="center"/>
          </w:tcPr>
          <w:p>
            <w:pPr>
              <w:spacing w:line="288" w:lineRule="auto"/>
              <w:rPr>
                <w:highlight w:val="none"/>
              </w:rPr>
            </w:pPr>
          </w:p>
        </w:tc>
        <w:tc>
          <w:tcPr>
            <w:tcW w:w="787" w:type="dxa"/>
            <w:noWrap w:val="0"/>
            <w:vAlign w:val="center"/>
          </w:tcPr>
          <w:p>
            <w:pPr>
              <w:spacing w:line="360" w:lineRule="auto"/>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工作量及计划安排8分</w:t>
            </w:r>
          </w:p>
        </w:tc>
        <w:tc>
          <w:tcPr>
            <w:tcW w:w="5528" w:type="dxa"/>
            <w:noWrap w:val="0"/>
            <w:vAlign w:val="center"/>
          </w:tcPr>
          <w:p>
            <w:pPr>
              <w:spacing w:line="288" w:lineRule="auto"/>
              <w:rPr>
                <w:sz w:val="24"/>
                <w:highlight w:val="none"/>
              </w:rPr>
            </w:pPr>
            <w:r>
              <w:rPr>
                <w:rFonts w:hint="eastAsia" w:hAnsi="宋体" w:cs="宋体"/>
                <w:sz w:val="24"/>
                <w:highlight w:val="none"/>
              </w:rPr>
              <w:t>供应商</w:t>
            </w:r>
            <w:r>
              <w:rPr>
                <w:rFonts w:hint="eastAsia" w:hAnsi="宋体" w:cs="宋体"/>
                <w:sz w:val="24"/>
                <w:highlight w:val="none"/>
                <w:lang w:eastAsia="zh-CN"/>
              </w:rPr>
              <w:t>结合采购要求</w:t>
            </w:r>
            <w:r>
              <w:rPr>
                <w:rFonts w:hint="eastAsia" w:hAnsi="宋体" w:cs="宋体"/>
                <w:sz w:val="24"/>
                <w:highlight w:val="none"/>
              </w:rPr>
              <w:t>提供工作量及计划安排，</w:t>
            </w:r>
            <w:r>
              <w:rPr>
                <w:rFonts w:hint="eastAsia" w:hAnsi="宋体" w:cs="宋体"/>
                <w:sz w:val="24"/>
                <w:highlight w:val="none"/>
                <w:lang w:eastAsia="zh-CN"/>
              </w:rPr>
              <w:t>内容</w:t>
            </w:r>
            <w:r>
              <w:rPr>
                <w:rFonts w:hint="eastAsia" w:hAnsi="宋体" w:cs="宋体"/>
                <w:sz w:val="24"/>
                <w:highlight w:val="none"/>
              </w:rPr>
              <w:t>包括但不限于</w:t>
            </w:r>
            <w:r>
              <w:rPr>
                <w:rFonts w:hint="eastAsia" w:hAnsi="宋体" w:cs="宋体"/>
                <w:sz w:val="24"/>
                <w:highlight w:val="none"/>
                <w:lang w:eastAsia="zh-CN"/>
              </w:rPr>
              <w:t>：</w:t>
            </w:r>
            <w:r>
              <w:rPr>
                <w:rFonts w:hint="eastAsia" w:hAnsi="宋体" w:cs="宋体"/>
                <w:sz w:val="24"/>
                <w:highlight w:val="none"/>
              </w:rPr>
              <w:t>①工作内容</w:t>
            </w:r>
            <w:r>
              <w:rPr>
                <w:rFonts w:hint="eastAsia" w:hAnsi="宋体" w:cs="宋体"/>
                <w:sz w:val="24"/>
                <w:highlight w:val="none"/>
                <w:lang w:eastAsia="zh-CN"/>
              </w:rPr>
              <w:t>；</w:t>
            </w:r>
            <w:r>
              <w:rPr>
                <w:rFonts w:hint="eastAsia" w:hAnsi="宋体" w:cs="宋体"/>
                <w:sz w:val="24"/>
                <w:highlight w:val="none"/>
              </w:rPr>
              <w:t>②人员配置计划</w:t>
            </w:r>
            <w:r>
              <w:rPr>
                <w:rFonts w:hint="eastAsia" w:hAnsi="宋体" w:cs="宋体"/>
                <w:sz w:val="24"/>
                <w:highlight w:val="none"/>
                <w:lang w:eastAsia="zh-CN"/>
              </w:rPr>
              <w:t>；</w:t>
            </w:r>
            <w:r>
              <w:rPr>
                <w:rFonts w:hint="eastAsia" w:hAnsi="宋体" w:cs="宋体"/>
                <w:sz w:val="24"/>
                <w:highlight w:val="none"/>
              </w:rPr>
              <w:t>③分工安排</w:t>
            </w:r>
            <w:r>
              <w:rPr>
                <w:rFonts w:hint="eastAsia" w:hAnsi="宋体" w:cs="宋体"/>
                <w:sz w:val="24"/>
                <w:highlight w:val="none"/>
                <w:lang w:eastAsia="zh-CN"/>
              </w:rPr>
              <w:t>；</w:t>
            </w:r>
            <w:r>
              <w:rPr>
                <w:rFonts w:hint="eastAsia" w:hAnsi="宋体" w:cs="宋体"/>
                <w:sz w:val="24"/>
                <w:highlight w:val="none"/>
              </w:rPr>
              <w:t>④作业计划。</w:t>
            </w:r>
            <w:r>
              <w:rPr>
                <w:rFonts w:hint="eastAsia" w:hAnsi="宋体"/>
                <w:color w:val="000000"/>
                <w:sz w:val="24"/>
                <w:highlight w:val="none"/>
                <w:lang w:eastAsia="zh-CN"/>
              </w:rPr>
              <w:t>各项内容要求：</w:t>
            </w:r>
            <w:r>
              <w:rPr>
                <w:rFonts w:hint="eastAsia" w:ascii="宋体" w:eastAsia="宋体"/>
                <w:sz w:val="24"/>
                <w:highlight w:val="none"/>
                <w:lang w:eastAsia="zh-CN"/>
              </w:rPr>
              <w:t>①具有针对性（能够准确凸显项目重点、难点）且全面完整（有具体详尽的文字阐述）；②层次分明（次序清晰，前后有序，不存在相互矛盾、杂乱无章等情形）且具有合理性（符合实际，不存在夸大、凭空编造等情形）</w:t>
            </w:r>
            <w:r>
              <w:rPr>
                <w:rFonts w:hint="eastAsia" w:hAnsi="宋体" w:cs="宋体"/>
                <w:sz w:val="24"/>
                <w:highlight w:val="none"/>
                <w:lang w:eastAsia="zh-CN"/>
              </w:rPr>
              <w:t>。完全满足得满分</w:t>
            </w:r>
            <w:r>
              <w:rPr>
                <w:rFonts w:hint="eastAsia" w:hAnsi="宋体" w:cs="宋体"/>
                <w:sz w:val="24"/>
                <w:highlight w:val="none"/>
                <w:lang w:val="en-US" w:eastAsia="zh-CN"/>
              </w:rPr>
              <w:t>8分</w:t>
            </w:r>
            <w:r>
              <w:rPr>
                <w:rFonts w:hint="eastAsia" w:ascii="宋体" w:eastAsia="宋体"/>
                <w:sz w:val="24"/>
                <w:highlight w:val="none"/>
                <w:lang w:eastAsia="zh-CN"/>
              </w:rPr>
              <w:t>；每缺一项内容扣</w:t>
            </w:r>
            <w:r>
              <w:rPr>
                <w:rFonts w:hint="eastAsia" w:ascii="宋体" w:eastAsia="宋体"/>
                <w:sz w:val="24"/>
                <w:highlight w:val="none"/>
                <w:lang w:val="en-US" w:eastAsia="zh-CN"/>
              </w:rPr>
              <w:t>2</w:t>
            </w:r>
            <w:r>
              <w:rPr>
                <w:rFonts w:hint="eastAsia" w:ascii="宋体" w:eastAsia="宋体"/>
                <w:sz w:val="24"/>
                <w:highlight w:val="none"/>
                <w:lang w:eastAsia="zh-CN"/>
              </w:rPr>
              <w:t>分，内容不满足上述要求的，一项扣</w:t>
            </w:r>
            <w:r>
              <w:rPr>
                <w:rFonts w:hint="eastAsia" w:ascii="宋体" w:eastAsia="宋体"/>
                <w:sz w:val="24"/>
                <w:highlight w:val="none"/>
                <w:lang w:val="en-US" w:eastAsia="zh-CN"/>
              </w:rPr>
              <w:t>1</w:t>
            </w:r>
            <w:r>
              <w:rPr>
                <w:rFonts w:hint="eastAsia" w:ascii="宋体" w:eastAsia="宋体"/>
                <w:sz w:val="24"/>
                <w:highlight w:val="none"/>
                <w:lang w:eastAsia="zh-CN"/>
              </w:rPr>
              <w:t>分</w:t>
            </w:r>
            <w:r>
              <w:rPr>
                <w:rFonts w:hint="eastAsia" w:hAnsi="宋体" w:cs="宋体"/>
                <w:sz w:val="24"/>
                <w:highlight w:val="none"/>
              </w:rPr>
              <w:t>。</w:t>
            </w:r>
          </w:p>
        </w:tc>
        <w:tc>
          <w:tcPr>
            <w:tcW w:w="2104" w:type="dxa"/>
            <w:noWrap w:val="0"/>
            <w:vAlign w:val="center"/>
          </w:tcPr>
          <w:p>
            <w:pPr>
              <w:spacing w:line="288"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457" w:type="dxa"/>
            <w:vMerge w:val="continue"/>
            <w:noWrap w:val="0"/>
            <w:vAlign w:val="center"/>
          </w:tcPr>
          <w:p>
            <w:pPr>
              <w:spacing w:line="240" w:lineRule="atLeast"/>
              <w:jc w:val="center"/>
              <w:rPr>
                <w:rFonts w:hint="eastAsia" w:ascii="Times New Roman" w:hAnsi="Times New Roman" w:eastAsia="宋体" w:cs="Times New Roman"/>
                <w:sz w:val="24"/>
                <w:highlight w:val="none"/>
                <w:lang w:val="en-US" w:eastAsia="zh-CN"/>
              </w:rPr>
            </w:pPr>
          </w:p>
        </w:tc>
        <w:tc>
          <w:tcPr>
            <w:tcW w:w="1081" w:type="dxa"/>
            <w:vMerge w:val="continue"/>
            <w:noWrap w:val="0"/>
            <w:vAlign w:val="center"/>
          </w:tcPr>
          <w:p>
            <w:pPr>
              <w:spacing w:line="288" w:lineRule="auto"/>
              <w:rPr>
                <w:rFonts w:hint="eastAsia"/>
                <w:sz w:val="24"/>
                <w:highlight w:val="none"/>
              </w:rPr>
            </w:pPr>
          </w:p>
        </w:tc>
        <w:tc>
          <w:tcPr>
            <w:tcW w:w="787" w:type="dxa"/>
            <w:noWrap w:val="0"/>
            <w:vAlign w:val="center"/>
          </w:tcPr>
          <w:p>
            <w:pPr>
              <w:spacing w:line="360" w:lineRule="auto"/>
              <w:jc w:val="center"/>
              <w:rPr>
                <w:rFonts w:hint="eastAsia" w:ascii="Times New Roman" w:hAnsi="Times New Roman" w:eastAsia="宋体" w:cs="Times New Roman"/>
                <w:sz w:val="24"/>
                <w:highlight w:val="none"/>
                <w:lang w:val="en-US" w:eastAsia="zh-CN"/>
              </w:rPr>
            </w:pPr>
            <w:r>
              <w:rPr>
                <w:rFonts w:hint="eastAsia" w:ascii="Times New Roman" w:hAnsi="Times New Roman" w:eastAsia="宋体" w:cs="Times New Roman"/>
                <w:sz w:val="24"/>
                <w:highlight w:val="none"/>
                <w:lang w:val="en-US" w:eastAsia="zh-CN"/>
              </w:rPr>
              <w:t>后续服务的安排及保证措施9分</w:t>
            </w:r>
          </w:p>
        </w:tc>
        <w:tc>
          <w:tcPr>
            <w:tcW w:w="5528" w:type="dxa"/>
            <w:noWrap w:val="0"/>
            <w:vAlign w:val="center"/>
          </w:tcPr>
          <w:p>
            <w:pPr>
              <w:spacing w:line="288" w:lineRule="auto"/>
              <w:rPr>
                <w:rFonts w:hint="default"/>
                <w:sz w:val="24"/>
                <w:highlight w:val="none"/>
                <w:lang w:val="en-US"/>
              </w:rPr>
            </w:pPr>
            <w:r>
              <w:rPr>
                <w:rFonts w:hint="eastAsia" w:hAnsi="宋体" w:cs="宋体"/>
                <w:sz w:val="24"/>
                <w:highlight w:val="none"/>
                <w:lang w:eastAsia="zh-CN"/>
              </w:rPr>
              <w:t>供应商</w:t>
            </w:r>
            <w:r>
              <w:rPr>
                <w:rFonts w:hint="eastAsia" w:hAnsi="宋体" w:cs="宋体"/>
                <w:sz w:val="24"/>
                <w:highlight w:val="none"/>
              </w:rPr>
              <w:t>提供后续服务安排及保证措施</w:t>
            </w:r>
            <w:r>
              <w:rPr>
                <w:rFonts w:hint="eastAsia" w:hAnsi="宋体" w:cs="宋体"/>
                <w:sz w:val="24"/>
                <w:highlight w:val="none"/>
                <w:lang w:eastAsia="zh-CN"/>
              </w:rPr>
              <w:t>，内容</w:t>
            </w:r>
            <w:r>
              <w:rPr>
                <w:rFonts w:hint="eastAsia" w:hAnsi="宋体" w:cs="宋体"/>
                <w:sz w:val="24"/>
                <w:highlight w:val="none"/>
              </w:rPr>
              <w:t>包括但不限于</w:t>
            </w:r>
            <w:r>
              <w:rPr>
                <w:rFonts w:hint="eastAsia" w:hAnsi="宋体" w:cs="宋体"/>
                <w:sz w:val="24"/>
                <w:highlight w:val="none"/>
                <w:lang w:eastAsia="zh-CN"/>
              </w:rPr>
              <w:t>：</w:t>
            </w:r>
            <w:r>
              <w:rPr>
                <w:rFonts w:hint="eastAsia" w:hAnsi="宋体" w:cs="宋体"/>
                <w:sz w:val="24"/>
                <w:highlight w:val="none"/>
              </w:rPr>
              <w:t>①后期服务人员安排</w:t>
            </w:r>
            <w:r>
              <w:rPr>
                <w:rFonts w:hint="eastAsia" w:hAnsi="宋体" w:cs="宋体"/>
                <w:sz w:val="24"/>
                <w:highlight w:val="none"/>
                <w:lang w:eastAsia="zh-CN"/>
              </w:rPr>
              <w:t>；</w:t>
            </w:r>
            <w:r>
              <w:rPr>
                <w:rFonts w:hint="eastAsia" w:hAnsi="宋体" w:cs="宋体"/>
                <w:sz w:val="24"/>
                <w:highlight w:val="none"/>
              </w:rPr>
              <w:t>②后期服务计划</w:t>
            </w:r>
            <w:r>
              <w:rPr>
                <w:rFonts w:hint="eastAsia" w:hAnsi="宋体" w:cs="宋体"/>
                <w:sz w:val="24"/>
                <w:highlight w:val="none"/>
                <w:lang w:eastAsia="zh-CN"/>
              </w:rPr>
              <w:t>；</w:t>
            </w:r>
            <w:r>
              <w:rPr>
                <w:rFonts w:hint="eastAsia" w:hAnsi="宋体" w:cs="宋体"/>
                <w:sz w:val="24"/>
                <w:highlight w:val="none"/>
              </w:rPr>
              <w:t>③后期服务保障措施</w:t>
            </w:r>
            <w:r>
              <w:rPr>
                <w:rFonts w:hint="eastAsia"/>
                <w:sz w:val="24"/>
                <w:highlight w:val="none"/>
              </w:rPr>
              <w:t>。</w:t>
            </w:r>
            <w:r>
              <w:rPr>
                <w:rFonts w:hint="eastAsia" w:hAnsi="宋体"/>
                <w:color w:val="000000"/>
                <w:sz w:val="24"/>
                <w:highlight w:val="none"/>
                <w:lang w:eastAsia="zh-CN"/>
              </w:rPr>
              <w:t>各项内容要求：</w:t>
            </w:r>
            <w:r>
              <w:rPr>
                <w:rFonts w:hint="eastAsia" w:ascii="宋体" w:eastAsia="宋体"/>
                <w:sz w:val="24"/>
                <w:highlight w:val="none"/>
                <w:lang w:eastAsia="zh-CN"/>
              </w:rPr>
              <w:t>①具有针对性（能够准确凸显项目重点、难点）且全面完整（有具体详尽的文字阐述）；②层次分明（次序清晰，前后有序，不存在相互矛盾、杂乱无章等情形）且具有合理性（符合实际，不存在夸大、凭空编造等情形）</w:t>
            </w:r>
            <w:r>
              <w:rPr>
                <w:rFonts w:hint="eastAsia" w:hAnsi="宋体" w:cs="宋体"/>
                <w:sz w:val="24"/>
                <w:highlight w:val="none"/>
                <w:lang w:eastAsia="zh-CN"/>
              </w:rPr>
              <w:t>。完全满足得满分</w:t>
            </w:r>
            <w:r>
              <w:rPr>
                <w:rFonts w:hint="eastAsia" w:hAnsi="宋体" w:cs="宋体"/>
                <w:sz w:val="24"/>
                <w:highlight w:val="none"/>
                <w:lang w:val="en-US" w:eastAsia="zh-CN"/>
              </w:rPr>
              <w:t>9分</w:t>
            </w:r>
            <w:r>
              <w:rPr>
                <w:rFonts w:hint="eastAsia" w:ascii="宋体" w:eastAsia="宋体"/>
                <w:sz w:val="24"/>
                <w:highlight w:val="none"/>
                <w:lang w:eastAsia="zh-CN"/>
              </w:rPr>
              <w:t>；每缺一项内容扣</w:t>
            </w:r>
            <w:r>
              <w:rPr>
                <w:rFonts w:hint="eastAsia" w:ascii="宋体" w:eastAsia="宋体"/>
                <w:sz w:val="24"/>
                <w:highlight w:val="none"/>
                <w:lang w:val="en-US" w:eastAsia="zh-CN"/>
              </w:rPr>
              <w:t>3</w:t>
            </w:r>
            <w:r>
              <w:rPr>
                <w:rFonts w:hint="eastAsia" w:ascii="宋体" w:eastAsia="宋体"/>
                <w:sz w:val="24"/>
                <w:highlight w:val="none"/>
                <w:lang w:eastAsia="zh-CN"/>
              </w:rPr>
              <w:t>分，内容不满足上述要求的，一项扣</w:t>
            </w:r>
            <w:r>
              <w:rPr>
                <w:rFonts w:hint="eastAsia" w:ascii="宋体" w:eastAsia="宋体"/>
                <w:sz w:val="24"/>
                <w:highlight w:val="none"/>
                <w:lang w:val="en-US" w:eastAsia="zh-CN"/>
              </w:rPr>
              <w:t>1.5</w:t>
            </w:r>
            <w:r>
              <w:rPr>
                <w:rFonts w:hint="eastAsia" w:ascii="宋体" w:eastAsia="宋体"/>
                <w:sz w:val="24"/>
                <w:highlight w:val="none"/>
                <w:lang w:eastAsia="zh-CN"/>
              </w:rPr>
              <w:t>分。</w:t>
            </w:r>
          </w:p>
        </w:tc>
        <w:tc>
          <w:tcPr>
            <w:tcW w:w="2104" w:type="dxa"/>
            <w:noWrap w:val="0"/>
            <w:vAlign w:val="center"/>
          </w:tcPr>
          <w:p>
            <w:pPr>
              <w:spacing w:line="288" w:lineRule="auto"/>
              <w:rPr>
                <w:rFonts w:hint="eastAsia"/>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457" w:type="dxa"/>
            <w:vMerge w:val="continue"/>
            <w:noWrap w:val="0"/>
            <w:vAlign w:val="center"/>
          </w:tcPr>
          <w:p>
            <w:pPr>
              <w:spacing w:line="240" w:lineRule="atLeast"/>
              <w:jc w:val="center"/>
              <w:rPr>
                <w:rFonts w:hint="eastAsia" w:ascii="Times New Roman" w:hAnsi="Times New Roman" w:eastAsia="宋体" w:cs="Times New Roman"/>
                <w:sz w:val="24"/>
                <w:highlight w:val="none"/>
                <w:lang w:val="en-US" w:eastAsia="zh-CN"/>
              </w:rPr>
            </w:pPr>
          </w:p>
        </w:tc>
        <w:tc>
          <w:tcPr>
            <w:tcW w:w="1081" w:type="dxa"/>
            <w:vMerge w:val="continue"/>
            <w:noWrap w:val="0"/>
            <w:vAlign w:val="center"/>
          </w:tcPr>
          <w:p>
            <w:pPr>
              <w:spacing w:line="240" w:lineRule="atLeast"/>
              <w:jc w:val="center"/>
              <w:rPr>
                <w:sz w:val="24"/>
                <w:highlight w:val="none"/>
              </w:rPr>
            </w:pPr>
          </w:p>
        </w:tc>
        <w:tc>
          <w:tcPr>
            <w:tcW w:w="787" w:type="dxa"/>
            <w:noWrap w:val="0"/>
            <w:vAlign w:val="center"/>
          </w:tcPr>
          <w:p>
            <w:pPr>
              <w:spacing w:line="360" w:lineRule="exact"/>
              <w:jc w:val="center"/>
              <w:rPr>
                <w:rFonts w:hint="eastAsia" w:ascii="Times New Roman" w:hAnsi="宋体" w:eastAsia="宋体" w:cs="宋体"/>
                <w:sz w:val="24"/>
                <w:highlight w:val="none"/>
                <w:lang w:val="en-US" w:eastAsia="zh-CN"/>
              </w:rPr>
            </w:pPr>
            <w:r>
              <w:rPr>
                <w:rFonts w:hint="eastAsia" w:ascii="Times New Roman" w:hAnsi="宋体" w:eastAsia="宋体" w:cs="宋体"/>
                <w:sz w:val="24"/>
                <w:highlight w:val="none"/>
              </w:rPr>
              <w:t>规划编制保障措施</w:t>
            </w:r>
            <w:r>
              <w:rPr>
                <w:rFonts w:hint="eastAsia" w:ascii="Times New Roman" w:hAnsi="宋体" w:eastAsia="宋体" w:cs="宋体"/>
                <w:sz w:val="24"/>
                <w:highlight w:val="none"/>
                <w:lang w:val="en-US" w:eastAsia="zh-CN"/>
              </w:rPr>
              <w:t>9分</w:t>
            </w:r>
          </w:p>
        </w:tc>
        <w:tc>
          <w:tcPr>
            <w:tcW w:w="5528" w:type="dxa"/>
            <w:noWrap w:val="0"/>
            <w:vAlign w:val="top"/>
          </w:tcPr>
          <w:p>
            <w:pPr>
              <w:spacing w:line="288" w:lineRule="auto"/>
              <w:rPr>
                <w:rFonts w:hint="eastAsia"/>
                <w:sz w:val="24"/>
                <w:highlight w:val="none"/>
              </w:rPr>
            </w:pPr>
            <w:r>
              <w:rPr>
                <w:rFonts w:hint="eastAsia" w:hAnsi="宋体" w:cs="宋体"/>
                <w:sz w:val="24"/>
                <w:highlight w:val="none"/>
              </w:rPr>
              <w:t>供应商提供质量控制、技术保障及进度保障措施，</w:t>
            </w:r>
            <w:r>
              <w:rPr>
                <w:rFonts w:hint="eastAsia" w:hAnsi="宋体" w:cs="宋体"/>
                <w:sz w:val="24"/>
                <w:highlight w:val="none"/>
                <w:lang w:eastAsia="zh-CN"/>
              </w:rPr>
              <w:t>内容</w:t>
            </w:r>
            <w:r>
              <w:rPr>
                <w:rFonts w:hint="eastAsia" w:hAnsi="宋体" w:cs="宋体"/>
                <w:sz w:val="24"/>
                <w:highlight w:val="none"/>
              </w:rPr>
              <w:t>包括但不限于</w:t>
            </w:r>
            <w:r>
              <w:rPr>
                <w:rFonts w:hint="eastAsia" w:hAnsi="宋体" w:cs="宋体"/>
                <w:sz w:val="24"/>
                <w:highlight w:val="none"/>
                <w:lang w:eastAsia="zh-CN"/>
              </w:rPr>
              <w:t>：</w:t>
            </w:r>
            <w:r>
              <w:rPr>
                <w:rFonts w:hint="eastAsia" w:hAnsi="宋体" w:cs="宋体"/>
                <w:sz w:val="24"/>
                <w:highlight w:val="none"/>
              </w:rPr>
              <w:t>①项目质量控制目标</w:t>
            </w:r>
            <w:r>
              <w:rPr>
                <w:rFonts w:hint="eastAsia" w:hAnsi="宋体" w:cs="宋体"/>
                <w:sz w:val="24"/>
                <w:highlight w:val="none"/>
                <w:lang w:eastAsia="zh-CN"/>
              </w:rPr>
              <w:t>；</w:t>
            </w:r>
            <w:r>
              <w:rPr>
                <w:rFonts w:hint="eastAsia" w:hAnsi="宋体" w:cs="宋体"/>
                <w:sz w:val="24"/>
                <w:highlight w:val="none"/>
              </w:rPr>
              <w:t>②质量控制措施</w:t>
            </w:r>
            <w:r>
              <w:rPr>
                <w:rFonts w:hint="eastAsia" w:hAnsi="宋体" w:cs="宋体"/>
                <w:sz w:val="24"/>
                <w:highlight w:val="none"/>
                <w:lang w:eastAsia="zh-CN"/>
              </w:rPr>
              <w:t>；</w:t>
            </w:r>
            <w:r>
              <w:rPr>
                <w:rFonts w:hint="eastAsia" w:hAnsi="宋体" w:cs="宋体"/>
                <w:sz w:val="24"/>
                <w:highlight w:val="none"/>
              </w:rPr>
              <w:t>③进度保证措施</w:t>
            </w:r>
            <w:r>
              <w:rPr>
                <w:rFonts w:hint="eastAsia"/>
                <w:sz w:val="24"/>
                <w:highlight w:val="none"/>
              </w:rPr>
              <w:t>。</w:t>
            </w:r>
            <w:r>
              <w:rPr>
                <w:rFonts w:hint="eastAsia" w:hAnsi="宋体"/>
                <w:color w:val="000000"/>
                <w:sz w:val="24"/>
                <w:highlight w:val="none"/>
                <w:lang w:eastAsia="zh-CN"/>
              </w:rPr>
              <w:t>各项内容要求：</w:t>
            </w:r>
            <w:r>
              <w:rPr>
                <w:rFonts w:hint="eastAsia" w:ascii="宋体" w:eastAsia="宋体"/>
                <w:sz w:val="24"/>
                <w:highlight w:val="none"/>
                <w:lang w:eastAsia="zh-CN"/>
              </w:rPr>
              <w:t>①具有针对性（能够准确凸显项目重点、难点）且全面完整（有具体详尽的文字阐述）；②层次分明（次序清晰，前后有序，不存在相互矛盾、杂乱无章等情形）且具有合理性（符合实际，不存在夸大、凭空编造等情形）</w:t>
            </w:r>
            <w:r>
              <w:rPr>
                <w:rFonts w:hint="eastAsia" w:hAnsi="宋体" w:cs="宋体"/>
                <w:sz w:val="24"/>
                <w:highlight w:val="none"/>
                <w:lang w:eastAsia="zh-CN"/>
              </w:rPr>
              <w:t>。完全满足得满分</w:t>
            </w:r>
            <w:r>
              <w:rPr>
                <w:rFonts w:hint="eastAsia" w:hAnsi="宋体" w:cs="宋体"/>
                <w:sz w:val="24"/>
                <w:highlight w:val="none"/>
                <w:lang w:val="en-US" w:eastAsia="zh-CN"/>
              </w:rPr>
              <w:t>9分</w:t>
            </w:r>
            <w:r>
              <w:rPr>
                <w:rFonts w:hint="eastAsia" w:ascii="宋体" w:eastAsia="宋体"/>
                <w:sz w:val="24"/>
                <w:highlight w:val="none"/>
                <w:lang w:eastAsia="zh-CN"/>
              </w:rPr>
              <w:t>；每缺一项内容扣</w:t>
            </w:r>
            <w:r>
              <w:rPr>
                <w:rFonts w:hint="eastAsia" w:ascii="宋体" w:eastAsia="宋体"/>
                <w:sz w:val="24"/>
                <w:highlight w:val="none"/>
                <w:lang w:val="en-US" w:eastAsia="zh-CN"/>
              </w:rPr>
              <w:t>3</w:t>
            </w:r>
            <w:r>
              <w:rPr>
                <w:rFonts w:hint="eastAsia" w:ascii="宋体" w:eastAsia="宋体"/>
                <w:sz w:val="24"/>
                <w:highlight w:val="none"/>
                <w:lang w:eastAsia="zh-CN"/>
              </w:rPr>
              <w:t>分，内容不满足上述要求的，一项扣</w:t>
            </w:r>
            <w:r>
              <w:rPr>
                <w:rFonts w:hint="eastAsia" w:ascii="宋体" w:eastAsia="宋体"/>
                <w:sz w:val="24"/>
                <w:highlight w:val="none"/>
                <w:lang w:val="en-US" w:eastAsia="zh-CN"/>
              </w:rPr>
              <w:t>1.5</w:t>
            </w:r>
            <w:r>
              <w:rPr>
                <w:rFonts w:hint="eastAsia" w:ascii="宋体" w:eastAsia="宋体"/>
                <w:sz w:val="24"/>
                <w:highlight w:val="none"/>
                <w:lang w:eastAsia="zh-CN"/>
              </w:rPr>
              <w:t>分。</w:t>
            </w:r>
          </w:p>
        </w:tc>
        <w:tc>
          <w:tcPr>
            <w:tcW w:w="2104" w:type="dxa"/>
            <w:noWrap w:val="0"/>
            <w:vAlign w:val="center"/>
          </w:tcPr>
          <w:p>
            <w:pPr>
              <w:spacing w:line="288" w:lineRule="auto"/>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457" w:type="dxa"/>
            <w:vMerge w:val="continue"/>
            <w:noWrap w:val="0"/>
            <w:vAlign w:val="center"/>
          </w:tcPr>
          <w:p>
            <w:pPr>
              <w:spacing w:line="240" w:lineRule="atLeast"/>
              <w:jc w:val="center"/>
              <w:rPr>
                <w:sz w:val="24"/>
                <w:highlight w:val="none"/>
              </w:rPr>
            </w:pPr>
          </w:p>
        </w:tc>
        <w:tc>
          <w:tcPr>
            <w:tcW w:w="1081" w:type="dxa"/>
            <w:vMerge w:val="continue"/>
            <w:noWrap w:val="0"/>
            <w:vAlign w:val="center"/>
          </w:tcPr>
          <w:p>
            <w:pPr>
              <w:spacing w:line="240" w:lineRule="atLeast"/>
              <w:jc w:val="center"/>
              <w:rPr>
                <w:sz w:val="24"/>
                <w:highlight w:val="none"/>
              </w:rPr>
            </w:pPr>
          </w:p>
        </w:tc>
        <w:tc>
          <w:tcPr>
            <w:tcW w:w="787" w:type="dxa"/>
            <w:noWrap w:val="0"/>
            <w:vAlign w:val="center"/>
          </w:tcPr>
          <w:p>
            <w:pPr>
              <w:spacing w:line="360" w:lineRule="exact"/>
              <w:jc w:val="center"/>
              <w:rPr>
                <w:rFonts w:hint="eastAsia" w:ascii="Times New Roman" w:hAnsi="宋体" w:eastAsia="宋体" w:cs="宋体"/>
                <w:sz w:val="24"/>
                <w:highlight w:val="none"/>
              </w:rPr>
            </w:pPr>
            <w:r>
              <w:rPr>
                <w:rFonts w:hint="eastAsia" w:ascii="Times New Roman" w:hAnsi="宋体" w:eastAsia="宋体" w:cs="宋体"/>
                <w:sz w:val="24"/>
                <w:highlight w:val="none"/>
              </w:rPr>
              <w:t>供应商调研、分析技术</w:t>
            </w:r>
            <w:r>
              <w:rPr>
                <w:rFonts w:hint="eastAsia" w:ascii="Times New Roman" w:hAnsi="宋体" w:eastAsia="宋体" w:cs="宋体"/>
                <w:sz w:val="24"/>
                <w:highlight w:val="none"/>
                <w:lang w:val="en-US" w:eastAsia="zh-CN"/>
              </w:rPr>
              <w:t>3</w:t>
            </w:r>
            <w:r>
              <w:rPr>
                <w:rFonts w:hint="eastAsia" w:ascii="Times New Roman" w:hAnsi="宋体" w:eastAsia="宋体" w:cs="宋体"/>
                <w:sz w:val="24"/>
                <w:highlight w:val="none"/>
              </w:rPr>
              <w:t>分</w:t>
            </w:r>
          </w:p>
        </w:tc>
        <w:tc>
          <w:tcPr>
            <w:tcW w:w="5528" w:type="dxa"/>
            <w:noWrap w:val="0"/>
            <w:vAlign w:val="center"/>
          </w:tcPr>
          <w:p>
            <w:pPr>
              <w:spacing w:line="288" w:lineRule="auto"/>
              <w:rPr>
                <w:rFonts w:ascii="宋体" w:hAnsi="宋体" w:cs="宋体"/>
                <w:sz w:val="24"/>
                <w:highlight w:val="none"/>
              </w:rPr>
            </w:pPr>
            <w:r>
              <w:rPr>
                <w:rFonts w:hint="eastAsia" w:hAnsi="宋体" w:cs="宋体"/>
                <w:sz w:val="24"/>
                <w:highlight w:val="none"/>
                <w:lang w:eastAsia="zh-CN"/>
              </w:rPr>
              <w:t>供应商具</w:t>
            </w:r>
            <w:r>
              <w:rPr>
                <w:rFonts w:hint="eastAsia" w:hAnsi="宋体" w:cs="宋体"/>
                <w:sz w:val="24"/>
                <w:highlight w:val="none"/>
              </w:rPr>
              <w:t>有调研、分析技术创新</w:t>
            </w:r>
            <w:r>
              <w:rPr>
                <w:rFonts w:hint="eastAsia" w:hAnsi="宋体" w:cs="宋体"/>
                <w:sz w:val="24"/>
                <w:highlight w:val="none"/>
                <w:lang w:eastAsia="zh-CN"/>
              </w:rPr>
              <w:t>能力，能提供①</w:t>
            </w:r>
            <w:r>
              <w:rPr>
                <w:rFonts w:hint="eastAsia" w:hAnsi="宋体" w:cs="宋体"/>
                <w:sz w:val="24"/>
                <w:highlight w:val="none"/>
              </w:rPr>
              <w:t>调研软件</w:t>
            </w:r>
            <w:r>
              <w:rPr>
                <w:rFonts w:hint="eastAsia" w:hAnsi="宋体" w:cs="宋体"/>
                <w:sz w:val="24"/>
                <w:highlight w:val="none"/>
                <w:lang w:eastAsia="zh-CN"/>
              </w:rPr>
              <w:t>；②</w:t>
            </w:r>
            <w:r>
              <w:rPr>
                <w:rFonts w:hint="eastAsia" w:hAnsi="宋体" w:cs="宋体"/>
                <w:sz w:val="24"/>
                <w:highlight w:val="none"/>
              </w:rPr>
              <w:t>分析软件</w:t>
            </w:r>
            <w:r>
              <w:rPr>
                <w:rFonts w:hint="eastAsia" w:hAnsi="宋体" w:cs="宋体"/>
                <w:sz w:val="24"/>
                <w:highlight w:val="none"/>
                <w:lang w:eastAsia="zh-CN"/>
              </w:rPr>
              <w:t>；③</w:t>
            </w:r>
            <w:r>
              <w:rPr>
                <w:rFonts w:hint="eastAsia" w:hAnsi="宋体" w:cs="宋体"/>
                <w:sz w:val="24"/>
                <w:highlight w:val="none"/>
              </w:rPr>
              <w:t>数据库或系统</w:t>
            </w:r>
            <w:r>
              <w:rPr>
                <w:rFonts w:hint="eastAsia" w:hAnsi="宋体" w:cs="宋体"/>
                <w:sz w:val="24"/>
                <w:highlight w:val="none"/>
                <w:lang w:eastAsia="zh-CN"/>
              </w:rPr>
              <w:t>的</w:t>
            </w:r>
            <w:r>
              <w:rPr>
                <w:rFonts w:hint="eastAsia" w:hAnsi="宋体" w:cs="宋体"/>
                <w:sz w:val="24"/>
                <w:highlight w:val="none"/>
              </w:rPr>
              <w:t>，每</w:t>
            </w:r>
            <w:r>
              <w:rPr>
                <w:rFonts w:hint="eastAsia" w:hAnsi="宋体" w:cs="宋体"/>
                <w:sz w:val="24"/>
                <w:highlight w:val="none"/>
                <w:lang w:eastAsia="zh-CN"/>
              </w:rPr>
              <w:t>提供</w:t>
            </w:r>
            <w:r>
              <w:rPr>
                <w:rFonts w:hint="eastAsia" w:hAnsi="宋体" w:cs="宋体"/>
                <w:sz w:val="24"/>
                <w:highlight w:val="none"/>
              </w:rPr>
              <w:t>一项得</w:t>
            </w:r>
            <w:r>
              <w:rPr>
                <w:rFonts w:hint="eastAsia" w:hAnsi="宋体" w:cs="宋体"/>
                <w:sz w:val="24"/>
                <w:highlight w:val="none"/>
                <w:lang w:val="en-US" w:eastAsia="zh-CN"/>
              </w:rPr>
              <w:t>1</w:t>
            </w:r>
            <w:r>
              <w:rPr>
                <w:rFonts w:hint="eastAsia" w:hAnsi="宋体" w:cs="宋体"/>
                <w:sz w:val="24"/>
                <w:highlight w:val="none"/>
              </w:rPr>
              <w:t>分</w:t>
            </w:r>
            <w:r>
              <w:rPr>
                <w:rFonts w:hint="eastAsia" w:hAnsi="宋体" w:cs="宋体"/>
                <w:sz w:val="24"/>
                <w:highlight w:val="none"/>
                <w:lang w:eastAsia="zh-CN"/>
              </w:rPr>
              <w:t>，本小项最多得</w:t>
            </w:r>
            <w:r>
              <w:rPr>
                <w:rFonts w:hint="eastAsia" w:hAnsi="宋体" w:cs="宋体"/>
                <w:sz w:val="24"/>
                <w:highlight w:val="none"/>
                <w:lang w:val="en-US" w:eastAsia="zh-CN"/>
              </w:rPr>
              <w:t>3分</w:t>
            </w:r>
            <w:r>
              <w:rPr>
                <w:rFonts w:hint="eastAsia" w:ascii="宋体" w:hAnsi="宋体" w:cs="宋体"/>
                <w:sz w:val="24"/>
                <w:highlight w:val="none"/>
              </w:rPr>
              <w:t>。</w:t>
            </w:r>
          </w:p>
        </w:tc>
        <w:tc>
          <w:tcPr>
            <w:tcW w:w="2104" w:type="dxa"/>
            <w:noWrap w:val="0"/>
            <w:vAlign w:val="center"/>
          </w:tcPr>
          <w:p>
            <w:pPr>
              <w:spacing w:line="288" w:lineRule="auto"/>
              <w:rPr>
                <w:rFonts w:hint="eastAsia" w:ascii="宋体" w:hAnsi="宋体" w:eastAsia="宋体" w:cs="宋体"/>
                <w:sz w:val="24"/>
                <w:highlight w:val="none"/>
                <w:lang w:eastAsia="zh-CN"/>
              </w:rPr>
            </w:pPr>
            <w:r>
              <w:rPr>
                <w:rFonts w:hint="eastAsia" w:ascii="宋体" w:hAnsi="宋体" w:cs="宋体"/>
                <w:sz w:val="24"/>
                <w:highlight w:val="none"/>
                <w:lang w:eastAsia="zh-CN"/>
              </w:rPr>
              <w:t>提供相关证明材料（如相关软件的信息截图、数据库</w:t>
            </w:r>
            <w:r>
              <w:rPr>
                <w:rFonts w:hint="eastAsia" w:ascii="宋体" w:hAnsi="宋体" w:cs="宋体"/>
                <w:sz w:val="24"/>
                <w:highlight w:val="none"/>
                <w:lang w:val="en-US" w:eastAsia="zh-CN"/>
              </w:rPr>
              <w:t>/</w:t>
            </w:r>
            <w:r>
              <w:rPr>
                <w:rFonts w:hint="eastAsia" w:ascii="宋体" w:hAnsi="宋体" w:cs="宋体"/>
                <w:sz w:val="24"/>
                <w:highlight w:val="none"/>
                <w:lang w:eastAsia="zh-CN"/>
              </w:rPr>
              <w:t>系统截图或登录账号等），并加盖供应商公章。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457" w:type="dxa"/>
            <w:noWrap w:val="0"/>
            <w:vAlign w:val="center"/>
          </w:tcPr>
          <w:p>
            <w:pPr>
              <w:spacing w:line="240" w:lineRule="atLeast"/>
              <w:jc w:val="center"/>
              <w:rPr>
                <w:rFonts w:hint="eastAsia" w:eastAsia="宋体"/>
                <w:sz w:val="24"/>
                <w:highlight w:val="none"/>
                <w:lang w:eastAsia="zh-CN"/>
              </w:rPr>
            </w:pPr>
            <w:r>
              <w:rPr>
                <w:rFonts w:hint="eastAsia"/>
                <w:sz w:val="24"/>
                <w:highlight w:val="none"/>
                <w:lang w:val="en-US" w:eastAsia="zh-CN"/>
              </w:rPr>
              <w:t>6</w:t>
            </w:r>
          </w:p>
        </w:tc>
        <w:tc>
          <w:tcPr>
            <w:tcW w:w="1081" w:type="dxa"/>
            <w:noWrap w:val="0"/>
            <w:vAlign w:val="center"/>
          </w:tcPr>
          <w:p>
            <w:pPr>
              <w:spacing w:line="240" w:lineRule="atLeast"/>
              <w:jc w:val="center"/>
              <w:rPr>
                <w:sz w:val="24"/>
                <w:highlight w:val="none"/>
              </w:rPr>
            </w:pPr>
            <w:r>
              <w:rPr>
                <w:rFonts w:hint="eastAsia"/>
                <w:sz w:val="24"/>
                <w:highlight w:val="none"/>
              </w:rPr>
              <w:t>响应文件的规范性</w:t>
            </w:r>
          </w:p>
        </w:tc>
        <w:tc>
          <w:tcPr>
            <w:tcW w:w="787" w:type="dxa"/>
            <w:noWrap w:val="0"/>
            <w:vAlign w:val="center"/>
          </w:tcPr>
          <w:p>
            <w:pPr>
              <w:spacing w:line="240" w:lineRule="atLeast"/>
              <w:jc w:val="center"/>
              <w:rPr>
                <w:sz w:val="24"/>
                <w:highlight w:val="none"/>
              </w:rPr>
            </w:pPr>
            <w:r>
              <w:rPr>
                <w:rFonts w:hint="eastAsia"/>
                <w:sz w:val="24"/>
                <w:highlight w:val="none"/>
                <w:lang w:val="en-US" w:eastAsia="zh-CN"/>
              </w:rPr>
              <w:t>1</w:t>
            </w:r>
            <w:r>
              <w:rPr>
                <w:rFonts w:hint="eastAsia"/>
                <w:sz w:val="24"/>
                <w:highlight w:val="none"/>
              </w:rPr>
              <w:t>分</w:t>
            </w:r>
          </w:p>
        </w:tc>
        <w:tc>
          <w:tcPr>
            <w:tcW w:w="5528" w:type="dxa"/>
            <w:noWrap w:val="0"/>
            <w:vAlign w:val="center"/>
          </w:tcPr>
          <w:p>
            <w:pPr>
              <w:spacing w:line="240" w:lineRule="atLeast"/>
              <w:rPr>
                <w:rFonts w:hint="eastAsia" w:ascii="宋体" w:hAnsi="宋体" w:cs="宋体"/>
                <w:spacing w:val="2"/>
                <w:sz w:val="24"/>
                <w:highlight w:val="none"/>
              </w:rPr>
            </w:pPr>
            <w:r>
              <w:rPr>
                <w:rFonts w:hint="eastAsia" w:ascii="宋体" w:hAnsi="宋体" w:cs="宋体"/>
                <w:spacing w:val="2"/>
                <w:sz w:val="24"/>
                <w:highlight w:val="none"/>
              </w:rPr>
              <w:t>响应文件制作规范，没有细微偏差情形的得</w:t>
            </w:r>
            <w:r>
              <w:rPr>
                <w:rFonts w:hint="eastAsia" w:ascii="宋体" w:hAnsi="宋体" w:cs="宋体"/>
                <w:spacing w:val="2"/>
                <w:sz w:val="24"/>
                <w:highlight w:val="none"/>
                <w:lang w:val="en-US" w:eastAsia="zh-CN"/>
              </w:rPr>
              <w:t>1</w:t>
            </w:r>
            <w:r>
              <w:rPr>
                <w:rFonts w:hint="eastAsia" w:ascii="宋体" w:hAnsi="宋体" w:cs="宋体"/>
                <w:spacing w:val="2"/>
                <w:sz w:val="24"/>
                <w:highlight w:val="none"/>
              </w:rPr>
              <w:t>分；有一项细微偏差扣0.</w:t>
            </w:r>
            <w:r>
              <w:rPr>
                <w:rFonts w:hint="eastAsia" w:ascii="宋体" w:hAnsi="宋体" w:cs="宋体"/>
                <w:spacing w:val="2"/>
                <w:sz w:val="24"/>
                <w:highlight w:val="none"/>
                <w:lang w:val="en-US" w:eastAsia="zh-CN"/>
              </w:rPr>
              <w:t>2</w:t>
            </w:r>
            <w:r>
              <w:rPr>
                <w:rFonts w:hint="eastAsia" w:ascii="宋体" w:hAnsi="宋体" w:cs="宋体"/>
                <w:spacing w:val="2"/>
                <w:sz w:val="24"/>
                <w:highlight w:val="none"/>
              </w:rPr>
              <w:t>5分，直至该项分值扣完为止。</w:t>
            </w:r>
          </w:p>
        </w:tc>
        <w:tc>
          <w:tcPr>
            <w:tcW w:w="2104" w:type="dxa"/>
            <w:noWrap w:val="0"/>
            <w:vAlign w:val="center"/>
          </w:tcPr>
          <w:p>
            <w:pPr>
              <w:spacing w:line="240" w:lineRule="atLeast"/>
              <w:jc w:val="center"/>
              <w:rPr>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957" w:type="dxa"/>
            <w:gridSpan w:val="5"/>
            <w:noWrap w:val="0"/>
            <w:vAlign w:val="center"/>
          </w:tcPr>
          <w:p>
            <w:pPr>
              <w:spacing w:line="240" w:lineRule="atLeast"/>
              <w:jc w:val="both"/>
              <w:rPr>
                <w:highlight w:val="none"/>
              </w:rPr>
            </w:pPr>
            <w:r>
              <w:rPr>
                <w:rFonts w:hint="eastAsia" w:ascii="宋体"/>
                <w:sz w:val="24"/>
                <w:highlight w:val="none"/>
                <w:lang w:eastAsia="zh-CN"/>
              </w:rPr>
              <w:t>注：</w:t>
            </w:r>
            <w:r>
              <w:rPr>
                <w:rFonts w:ascii="宋体" w:hAnsi="宋体" w:eastAsia="宋体" w:cs="宋体"/>
                <w:sz w:val="24"/>
                <w:szCs w:val="24"/>
                <w:highlight w:val="none"/>
              </w:rPr>
              <w:t>评分的取值按四舍五入法，保留小数点后两位</w:t>
            </w:r>
          </w:p>
        </w:tc>
      </w:tr>
      <w:bookmarkEnd w:id="103"/>
      <w:bookmarkEnd w:id="104"/>
      <w:bookmarkEnd w:id="105"/>
      <w:bookmarkEnd w:id="106"/>
    </w:tbl>
    <w:p>
      <w:pPr>
        <w:tabs>
          <w:tab w:val="left" w:pos="851"/>
        </w:tabs>
        <w:spacing w:line="400" w:lineRule="exact"/>
        <w:ind w:firstLine="482" w:firstLineChars="200"/>
        <w:rPr>
          <w:rFonts w:hAnsi="宋体" w:cs="宋体"/>
          <w:b/>
          <w:color w:val="000000"/>
          <w:sz w:val="24"/>
          <w:highlight w:val="none"/>
        </w:rPr>
      </w:pPr>
      <w:r>
        <w:rPr>
          <w:rFonts w:hint="eastAsia" w:hAnsi="宋体" w:cs="宋体"/>
          <w:b/>
          <w:color w:val="000000"/>
          <w:sz w:val="24"/>
          <w:highlight w:val="none"/>
        </w:rPr>
        <w:t>4.磋商纪律及注意事项</w:t>
      </w:r>
    </w:p>
    <w:p>
      <w:pPr>
        <w:tabs>
          <w:tab w:val="left" w:pos="851"/>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4.1磋商小组内部讨论的情况和意见必须保密，任何人不得以任何形式透露给供应商或与供应商有关的单位或个人。</w:t>
      </w:r>
    </w:p>
    <w:p>
      <w:pPr>
        <w:tabs>
          <w:tab w:val="left" w:pos="851"/>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4.2在磋商过程中，供应商不得以任何形式对磋商小组成员进行旨在影响磋商结果的私下接触，否则将取消其参与磋商的资格。</w:t>
      </w:r>
    </w:p>
    <w:p>
      <w:pPr>
        <w:tabs>
          <w:tab w:val="left" w:pos="851"/>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4.3</w:t>
      </w:r>
      <w:r>
        <w:rPr>
          <w:rFonts w:hint="eastAsia" w:hAnsi="宋体" w:cs="宋体"/>
          <w:sz w:val="24"/>
          <w:highlight w:val="none"/>
        </w:rPr>
        <w:t>对各供应商的商业秘密，磋商小组成员应予以保密，不得泄露给其他供应商。</w:t>
      </w:r>
    </w:p>
    <w:p>
      <w:pPr>
        <w:tabs>
          <w:tab w:val="left" w:pos="851"/>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4.4 磋商小组独立评判，推荐成交候选人，并写出书面报告。</w:t>
      </w:r>
    </w:p>
    <w:p>
      <w:pPr>
        <w:tabs>
          <w:tab w:val="left" w:pos="851"/>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4.5 磋商小组可根据需要对供应商进行实地考察。</w:t>
      </w:r>
    </w:p>
    <w:p>
      <w:pPr>
        <w:spacing w:line="400" w:lineRule="exact"/>
        <w:ind w:firstLine="480" w:firstLineChars="200"/>
        <w:rPr>
          <w:rFonts w:hAnsi="宋体" w:cs="宋体"/>
          <w:color w:val="FF0000"/>
          <w:sz w:val="24"/>
          <w:highlight w:val="none"/>
        </w:rPr>
      </w:pPr>
    </w:p>
    <w:p>
      <w:pPr>
        <w:tabs>
          <w:tab w:val="left" w:pos="7665"/>
        </w:tabs>
        <w:spacing w:line="400" w:lineRule="exact"/>
        <w:ind w:firstLine="480" w:firstLineChars="200"/>
        <w:rPr>
          <w:rFonts w:hAnsi="宋体" w:cs="宋体"/>
          <w:b/>
          <w:color w:val="000000"/>
          <w:sz w:val="24"/>
          <w:highlight w:val="none"/>
        </w:rPr>
      </w:pPr>
      <w:r>
        <w:rPr>
          <w:rFonts w:hint="eastAsia" w:hAnsi="宋体" w:cs="宋体"/>
          <w:color w:val="000000"/>
          <w:sz w:val="24"/>
          <w:highlight w:val="none"/>
        </w:rPr>
        <w:t>5.</w:t>
      </w:r>
      <w:bookmarkEnd w:id="107"/>
      <w:r>
        <w:rPr>
          <w:rFonts w:hint="eastAsia" w:hAnsi="宋体" w:cs="宋体"/>
          <w:b/>
          <w:color w:val="000000"/>
          <w:sz w:val="24"/>
          <w:highlight w:val="none"/>
        </w:rPr>
        <w:t>磋商小组在政府采购活动中承担以下义务：</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（一）遵守评审工作纪律；</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（二）按照客观、公正、审慎的原则，根据磋商文件规定的评审程序、评审方法和评审标准进行独立评审；</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（三）不得泄露评审文件、评审情况和在评审过程中获悉的商业秘密；</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（四）及时向财政部门报告评审过程中发现的采购人、采购代理机构向评审专家做倾向性、误导性的解释或者说明，以及供应商行贿、提供虚假材料或者串通等违法行为；</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（五）发现磋商文件内容违反国家有关强制性规定或者磋商文件存在歧义、重大缺陷导致评审工作无法进行时，停止评审并向采购人或者采购代理机构书面说明情况；</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（六）及时向财政、监察等部门举报在评审过程中受到非法干预的情况；</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（七）配合答复处理供应商的询问、质疑和投诉等事项；</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（八）法律、法规和规章规定的其他义务。</w:t>
      </w:r>
    </w:p>
    <w:p>
      <w:pPr>
        <w:tabs>
          <w:tab w:val="left" w:pos="7665"/>
        </w:tabs>
        <w:spacing w:line="400" w:lineRule="exact"/>
        <w:rPr>
          <w:rFonts w:hAnsi="宋体" w:cs="宋体"/>
          <w:color w:val="000000"/>
          <w:sz w:val="24"/>
          <w:highlight w:val="none"/>
        </w:rPr>
      </w:pPr>
    </w:p>
    <w:p>
      <w:pPr>
        <w:tabs>
          <w:tab w:val="left" w:pos="7665"/>
        </w:tabs>
        <w:spacing w:line="400" w:lineRule="exact"/>
        <w:ind w:firstLine="482" w:firstLineChars="200"/>
        <w:rPr>
          <w:rFonts w:hAnsi="宋体" w:cs="宋体"/>
          <w:b/>
          <w:color w:val="000000"/>
          <w:sz w:val="24"/>
          <w:highlight w:val="none"/>
        </w:rPr>
      </w:pPr>
      <w:r>
        <w:rPr>
          <w:rFonts w:hint="eastAsia" w:hAnsi="宋体" w:cs="宋体"/>
          <w:b/>
          <w:color w:val="000000"/>
          <w:sz w:val="24"/>
          <w:highlight w:val="none"/>
        </w:rPr>
        <w:t>6.评审专家在政府采购活动中应当遵守以下工作纪律：</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（二）评审前，应当将通讯工具或者相关电子设备交由采购代理机构统一保管；</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（五）在评审过程中和评审结束后，不得记录、复制或带走任何评审资料，不得向外界透露评审内容；</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（六）评审现场服从采购代理机构工作人员的管理，接受现场监督人员的合法监督；</w:t>
      </w:r>
    </w:p>
    <w:p>
      <w:pPr>
        <w:tabs>
          <w:tab w:val="left" w:pos="7665"/>
        </w:tabs>
        <w:spacing w:line="400" w:lineRule="exact"/>
        <w:ind w:firstLine="480" w:firstLineChars="200"/>
        <w:rPr>
          <w:rFonts w:hAnsi="宋体" w:cs="宋体"/>
          <w:color w:val="000000"/>
          <w:sz w:val="24"/>
          <w:highlight w:val="none"/>
        </w:rPr>
      </w:pPr>
      <w:r>
        <w:rPr>
          <w:rFonts w:hint="eastAsia" w:hAnsi="宋体" w:cs="宋体"/>
          <w:color w:val="000000"/>
          <w:sz w:val="24"/>
          <w:highlight w:val="none"/>
        </w:rPr>
        <w:t>（七）遵守有关廉洁自律规定，不得私下接触供应商，不得收受供应商及有关业务单位和个人的财物或好处，不得接受采购代理机构的请托。</w:t>
      </w:r>
    </w:p>
    <w:p>
      <w:pPr>
        <w:adjustRightInd w:val="0"/>
        <w:snapToGrid w:val="0"/>
        <w:spacing w:line="400" w:lineRule="exact"/>
        <w:rPr>
          <w:rFonts w:hAnsi="宋体" w:cs="宋体"/>
          <w:b/>
          <w:bCs/>
          <w:color w:val="000000"/>
          <w:sz w:val="24"/>
          <w:highlight w:val="none"/>
        </w:rPr>
      </w:pPr>
    </w:p>
    <w:p>
      <w:pPr>
        <w:pStyle w:val="4"/>
        <w:keepNext w:val="0"/>
        <w:keepLines w:val="0"/>
        <w:spacing w:before="0" w:after="0" w:line="400" w:lineRule="exact"/>
        <w:jc w:val="center"/>
        <w:rPr>
          <w:rFonts w:ascii="宋体" w:hAnsi="宋体" w:eastAsia="宋体" w:cs="宋体"/>
          <w:color w:val="000000"/>
          <w:sz w:val="24"/>
          <w:highlight w:val="none"/>
        </w:rPr>
      </w:pPr>
    </w:p>
    <w:p>
      <w:pPr>
        <w:rPr>
          <w:rFonts w:ascii="宋体" w:hAnsi="宋体" w:eastAsia="宋体" w:cs="宋体"/>
          <w:color w:val="000000"/>
          <w:sz w:val="24"/>
          <w:highlight w:val="none"/>
        </w:rPr>
      </w:pPr>
    </w:p>
    <w:p>
      <w:pPr>
        <w:pStyle w:val="2"/>
        <w:rPr>
          <w:highlight w:val="none"/>
        </w:rPr>
      </w:pPr>
    </w:p>
    <w:p>
      <w:pPr>
        <w:pStyle w:val="3"/>
        <w:rPr>
          <w:highlight w:val="none"/>
        </w:rPr>
      </w:pPr>
      <w:bookmarkStart w:id="108" w:name="_Toc19002"/>
      <w:bookmarkStart w:id="109" w:name="_Toc22887"/>
      <w:bookmarkStart w:id="110" w:name="_Toc9248"/>
      <w:r>
        <w:rPr>
          <w:rFonts w:hint="eastAsia"/>
          <w:highlight w:val="none"/>
        </w:rPr>
        <w:t>第十章  政府采购合同（草案）</w:t>
      </w:r>
      <w:bookmarkEnd w:id="108"/>
      <w:bookmarkEnd w:id="109"/>
      <w:bookmarkEnd w:id="110"/>
    </w:p>
    <w:bookmarkEnd w:id="83"/>
    <w:bookmarkEnd w:id="84"/>
    <w:bookmarkEnd w:id="85"/>
    <w:p>
      <w:pPr>
        <w:spacing w:line="360" w:lineRule="auto"/>
        <w:ind w:firstLine="482" w:firstLineChars="200"/>
        <w:rPr>
          <w:rFonts w:hAnsi="宋体" w:cs="宋体"/>
          <w:b/>
          <w:bCs/>
          <w:color w:val="000000"/>
          <w:sz w:val="24"/>
          <w:highlight w:val="none"/>
        </w:rPr>
      </w:pPr>
      <w:bookmarkStart w:id="111" w:name="_Hlt101846155"/>
      <w:bookmarkEnd w:id="111"/>
    </w:p>
    <w:p>
      <w:pPr>
        <w:pStyle w:val="47"/>
        <w:ind w:firstLine="480"/>
        <w:rPr>
          <w:rFonts w:hAnsi="宋体"/>
          <w:highlight w:val="none"/>
        </w:rPr>
      </w:pPr>
      <w:r>
        <w:rPr>
          <w:rFonts w:hint="eastAsia" w:hAnsi="宋体"/>
          <w:highlight w:val="none"/>
        </w:rPr>
        <w:t xml:space="preserve">合同编号：                                         </w:t>
      </w:r>
    </w:p>
    <w:p>
      <w:pPr>
        <w:pStyle w:val="47"/>
        <w:ind w:firstLine="480"/>
        <w:rPr>
          <w:rFonts w:hAnsi="宋体"/>
          <w:highlight w:val="none"/>
        </w:rPr>
      </w:pPr>
      <w:r>
        <w:rPr>
          <w:rFonts w:hint="eastAsia" w:hAnsi="宋体"/>
          <w:highlight w:val="none"/>
        </w:rPr>
        <w:t xml:space="preserve">签订地点：                                         </w:t>
      </w:r>
    </w:p>
    <w:p>
      <w:pPr>
        <w:pStyle w:val="47"/>
        <w:ind w:firstLine="480"/>
        <w:rPr>
          <w:rFonts w:hAnsi="宋体"/>
          <w:highlight w:val="none"/>
        </w:rPr>
      </w:pPr>
      <w:r>
        <w:rPr>
          <w:rFonts w:hint="eastAsia" w:hAnsi="宋体"/>
          <w:highlight w:val="none"/>
        </w:rPr>
        <w:t xml:space="preserve">签订时间：                                         </w:t>
      </w:r>
    </w:p>
    <w:p>
      <w:pPr>
        <w:pStyle w:val="47"/>
        <w:ind w:firstLine="480"/>
        <w:rPr>
          <w:rFonts w:hAnsi="宋体"/>
          <w:highlight w:val="none"/>
        </w:rPr>
      </w:pPr>
      <w:r>
        <w:rPr>
          <w:rFonts w:hint="eastAsia" w:hAnsi="宋体"/>
          <w:highlight w:val="none"/>
        </w:rPr>
        <w:t xml:space="preserve">采购人（甲方，盖章）：                                          </w:t>
      </w:r>
    </w:p>
    <w:p>
      <w:pPr>
        <w:pStyle w:val="47"/>
        <w:ind w:firstLine="480"/>
        <w:rPr>
          <w:rFonts w:hAnsi="宋体"/>
          <w:highlight w:val="none"/>
        </w:rPr>
      </w:pPr>
      <w:r>
        <w:rPr>
          <w:rFonts w:hint="eastAsia" w:hAnsi="宋体"/>
          <w:highlight w:val="none"/>
        </w:rPr>
        <w:t xml:space="preserve">供应商（乙方，盖章）：                                          </w:t>
      </w:r>
    </w:p>
    <w:p>
      <w:pPr>
        <w:spacing w:line="400" w:lineRule="exact"/>
        <w:rPr>
          <w:rFonts w:hAnsi="宋体" w:cs="宋体"/>
          <w:sz w:val="24"/>
          <w:highlight w:val="none"/>
        </w:rPr>
      </w:pPr>
    </w:p>
    <w:p>
      <w:pPr>
        <w:pStyle w:val="47"/>
        <w:ind w:firstLine="480"/>
        <w:rPr>
          <w:rFonts w:hAnsi="宋体"/>
          <w:highlight w:val="none"/>
        </w:rPr>
      </w:pPr>
      <w:r>
        <w:rPr>
          <w:rFonts w:hint="eastAsia" w:hAnsi="宋体"/>
          <w:highlight w:val="none"/>
        </w:rPr>
        <w:t>根据《中华人民共和国政府采购法》、《中华人民共和国民法典》及</w:t>
      </w:r>
      <w:r>
        <w:rPr>
          <w:rFonts w:hint="eastAsia" w:hAnsi="宋体"/>
          <w:highlight w:val="none"/>
          <w:u w:val="single"/>
        </w:rPr>
        <w:t xml:space="preserve">         </w:t>
      </w:r>
      <w:r>
        <w:rPr>
          <w:rFonts w:hint="eastAsia" w:hAnsi="宋体"/>
          <w:highlight w:val="none"/>
        </w:rPr>
        <w:t>采购项目（项目编号：</w:t>
      </w:r>
      <w:r>
        <w:rPr>
          <w:rFonts w:hint="eastAsia" w:hAnsi="宋体"/>
          <w:color w:val="000000"/>
          <w:szCs w:val="21"/>
          <w:highlight w:val="none"/>
          <w:lang w:val="en-US" w:eastAsia="zh-CN"/>
        </w:rPr>
        <w:t>XXXXXX</w:t>
      </w:r>
      <w:r>
        <w:rPr>
          <w:rFonts w:hint="eastAsia" w:hAnsi="宋体"/>
          <w:color w:val="000000"/>
          <w:szCs w:val="21"/>
          <w:highlight w:val="none"/>
        </w:rPr>
        <w:t>号</w:t>
      </w:r>
      <w:r>
        <w:rPr>
          <w:rFonts w:hint="eastAsia" w:hAnsi="宋体"/>
          <w:highlight w:val="none"/>
        </w:rPr>
        <w:t>）的《磋商文件》、乙方的《响应文件》及《成交通知书》，甲、乙双方同意签订本合同。详细技术说明及其他有关合同项目的特定信息由合同附件予以说明，合同附件及本项目的</w:t>
      </w:r>
      <w:r>
        <w:rPr>
          <w:rFonts w:hint="eastAsia" w:hAnsi="宋体"/>
          <w:highlight w:val="none"/>
          <w:lang w:eastAsia="zh-CN"/>
        </w:rPr>
        <w:t>《磋商</w:t>
      </w:r>
      <w:r>
        <w:rPr>
          <w:rFonts w:hint="eastAsia" w:hAnsi="宋体"/>
          <w:highlight w:val="none"/>
        </w:rPr>
        <w:t>文件</w:t>
      </w:r>
      <w:r>
        <w:rPr>
          <w:rFonts w:hint="eastAsia" w:hAnsi="宋体"/>
          <w:highlight w:val="none"/>
          <w:lang w:eastAsia="zh-CN"/>
        </w:rPr>
        <w:t>》</w:t>
      </w:r>
      <w:r>
        <w:rPr>
          <w:rFonts w:hint="eastAsia" w:hAnsi="宋体"/>
          <w:highlight w:val="none"/>
        </w:rPr>
        <w:t>、</w:t>
      </w:r>
      <w:r>
        <w:rPr>
          <w:rFonts w:hint="eastAsia" w:hAnsi="宋体"/>
          <w:highlight w:val="none"/>
          <w:lang w:eastAsia="zh-CN"/>
        </w:rPr>
        <w:t>《响应</w:t>
      </w:r>
      <w:r>
        <w:rPr>
          <w:rFonts w:hint="eastAsia" w:hAnsi="宋体"/>
          <w:highlight w:val="none"/>
        </w:rPr>
        <w:t>文件</w:t>
      </w:r>
      <w:r>
        <w:rPr>
          <w:rFonts w:hint="eastAsia" w:hAnsi="宋体"/>
          <w:highlight w:val="none"/>
          <w:lang w:eastAsia="zh-CN"/>
        </w:rPr>
        <w:t>》</w:t>
      </w:r>
      <w:r>
        <w:rPr>
          <w:rFonts w:hint="eastAsia" w:hAnsi="宋体"/>
          <w:highlight w:val="none"/>
        </w:rPr>
        <w:t>、《成交通知书》等均为本合同不可分割的部分。双方同意共同遵守如下条款：</w:t>
      </w:r>
    </w:p>
    <w:p>
      <w:pPr>
        <w:numPr>
          <w:ilvl w:val="0"/>
          <w:numId w:val="2"/>
        </w:numPr>
        <w:spacing w:line="360" w:lineRule="auto"/>
        <w:rPr>
          <w:rFonts w:hAnsi="宋体" w:cs="宋体"/>
          <w:b/>
          <w:sz w:val="24"/>
          <w:highlight w:val="none"/>
        </w:rPr>
      </w:pPr>
      <w:r>
        <w:rPr>
          <w:rFonts w:hint="eastAsia" w:hAnsi="宋体" w:cs="宋体"/>
          <w:b/>
          <w:sz w:val="24"/>
          <w:highlight w:val="none"/>
        </w:rPr>
        <w:t>项目基本情况</w:t>
      </w:r>
    </w:p>
    <w:p>
      <w:pPr>
        <w:spacing w:line="360" w:lineRule="auto"/>
        <w:ind w:firstLine="480" w:firstLineChars="200"/>
        <w:rPr>
          <w:rFonts w:hAnsi="宋体"/>
          <w:color w:val="000000"/>
          <w:sz w:val="24"/>
          <w:highlight w:val="none"/>
        </w:rPr>
      </w:pPr>
      <w:r>
        <w:rPr>
          <w:rFonts w:hAnsi="宋体"/>
          <w:color w:val="000000"/>
          <w:sz w:val="24"/>
          <w:highlight w:val="none"/>
        </w:rPr>
        <w:t>为统筹推动区属国有企业（以下简称企业）改革转型，实现高质量发展，顺利推进我区国资国企改革发展第十四个五年</w:t>
      </w:r>
      <w:r>
        <w:rPr>
          <w:rFonts w:hint="eastAsia" w:hAnsi="宋体"/>
          <w:color w:val="000000"/>
          <w:sz w:val="24"/>
          <w:highlight w:val="none"/>
        </w:rPr>
        <w:t>规</w:t>
      </w:r>
      <w:r>
        <w:rPr>
          <w:rFonts w:hAnsi="宋体"/>
          <w:color w:val="000000"/>
          <w:sz w:val="24"/>
          <w:highlight w:val="none"/>
        </w:rPr>
        <w:t>划的编制（以下简称“十四五”规划）</w:t>
      </w:r>
      <w:r>
        <w:rPr>
          <w:rFonts w:hint="eastAsia" w:hAnsi="宋体"/>
          <w:color w:val="000000"/>
          <w:sz w:val="24"/>
          <w:highlight w:val="none"/>
          <w:lang w:eastAsia="zh-CN"/>
        </w:rPr>
        <w:t>，</w:t>
      </w:r>
      <w:r>
        <w:rPr>
          <w:rFonts w:hint="eastAsia" w:hAnsi="宋体"/>
          <w:color w:val="000000"/>
          <w:sz w:val="24"/>
          <w:highlight w:val="none"/>
          <w:lang w:val="en-US" w:eastAsia="zh-CN"/>
        </w:rPr>
        <w:t>实施本次采购</w:t>
      </w:r>
      <w:r>
        <w:rPr>
          <w:rFonts w:hint="eastAsia" w:hAnsi="宋体"/>
          <w:color w:val="000000"/>
          <w:sz w:val="24"/>
          <w:highlight w:val="none"/>
        </w:rPr>
        <w:t>。</w:t>
      </w:r>
    </w:p>
    <w:p>
      <w:pPr>
        <w:spacing w:line="360" w:lineRule="auto"/>
        <w:ind w:firstLine="480" w:firstLineChars="200"/>
        <w:rPr>
          <w:rFonts w:hint="eastAsia" w:hAnsi="宋体" w:eastAsia="宋体" w:cs="宋体"/>
          <w:b/>
          <w:sz w:val="24"/>
          <w:highlight w:val="none"/>
          <w:lang w:eastAsia="zh-CN"/>
        </w:rPr>
      </w:pPr>
      <w:r>
        <w:rPr>
          <w:rFonts w:hAnsi="宋体"/>
          <w:color w:val="000000"/>
          <w:sz w:val="24"/>
          <w:highlight w:val="none"/>
        </w:rPr>
        <w:t>2</w:t>
      </w:r>
      <w:r>
        <w:rPr>
          <w:rFonts w:hint="eastAsia" w:hAnsi="宋体"/>
          <w:color w:val="000000"/>
          <w:sz w:val="24"/>
          <w:highlight w:val="none"/>
        </w:rPr>
        <w:t>021</w:t>
      </w:r>
      <w:r>
        <w:rPr>
          <w:rFonts w:hAnsi="宋体"/>
          <w:color w:val="000000"/>
          <w:sz w:val="24"/>
          <w:highlight w:val="none"/>
        </w:rPr>
        <w:t>年是国民经济和社会发展“十四五”开局之年。</w:t>
      </w:r>
      <w:r>
        <w:rPr>
          <w:rFonts w:hint="eastAsia" w:hAnsi="宋体"/>
          <w:color w:val="000000"/>
          <w:sz w:val="24"/>
          <w:highlight w:val="none"/>
        </w:rPr>
        <w:t>为不断深化国资国企改革，进一步加强党对国资国企的领导，推进国有资本布局优化和结构调整，健全企业市场化经营机制，完善优化以管资本为主的国有资产监督管理体制，不断增强国有经济竞争力、创新力、控制力、影响力，做强做优做大国有资本和国有企业。</w:t>
      </w:r>
      <w:r>
        <w:rPr>
          <w:rFonts w:hAnsi="宋体"/>
          <w:color w:val="000000"/>
          <w:sz w:val="24"/>
          <w:highlight w:val="none"/>
        </w:rPr>
        <w:t>依据</w:t>
      </w:r>
      <w:r>
        <w:rPr>
          <w:rFonts w:hint="eastAsia" w:hAnsi="宋体"/>
          <w:color w:val="000000"/>
          <w:sz w:val="24"/>
          <w:highlight w:val="none"/>
        </w:rPr>
        <w:t>青羊</w:t>
      </w:r>
      <w:r>
        <w:rPr>
          <w:rFonts w:hAnsi="宋体"/>
          <w:color w:val="000000"/>
          <w:sz w:val="24"/>
          <w:highlight w:val="none"/>
        </w:rPr>
        <w:t>区经济社会发展“十四五”规划目标和精神，结合企业</w:t>
      </w:r>
      <w:r>
        <w:rPr>
          <w:rFonts w:hint="eastAsia" w:hAnsi="宋体"/>
          <w:color w:val="000000"/>
          <w:sz w:val="24"/>
          <w:highlight w:val="none"/>
        </w:rPr>
        <w:t>发展特点及服务城市战略、服务社会民生、参与市场竞争“三大定位”，谋划“十四五”期间青羊区区属国有企业发展方向和路径</w:t>
      </w:r>
      <w:r>
        <w:rPr>
          <w:rFonts w:hint="eastAsia" w:hAnsi="宋体"/>
          <w:color w:val="000000"/>
          <w:sz w:val="24"/>
          <w:highlight w:val="none"/>
          <w:lang w:eastAsia="zh-CN"/>
        </w:rPr>
        <w:t>。</w:t>
      </w:r>
    </w:p>
    <w:p>
      <w:pPr>
        <w:numPr>
          <w:ilvl w:val="0"/>
          <w:numId w:val="2"/>
        </w:numPr>
        <w:spacing w:line="360" w:lineRule="auto"/>
        <w:rPr>
          <w:rFonts w:hAnsi="宋体" w:cs="宋体"/>
          <w:b/>
          <w:sz w:val="24"/>
          <w:highlight w:val="none"/>
        </w:rPr>
      </w:pPr>
      <w:r>
        <w:rPr>
          <w:rFonts w:hint="eastAsia" w:hAnsi="宋体" w:cs="宋体"/>
          <w:b/>
          <w:sz w:val="24"/>
          <w:highlight w:val="none"/>
          <w:lang w:val="en-US" w:eastAsia="zh-CN"/>
        </w:rPr>
        <w:t>服务</w:t>
      </w:r>
      <w:r>
        <w:rPr>
          <w:rFonts w:hint="eastAsia" w:hAnsi="宋体" w:cs="宋体"/>
          <w:b/>
          <w:sz w:val="24"/>
          <w:highlight w:val="none"/>
        </w:rPr>
        <w:t>期限</w:t>
      </w:r>
    </w:p>
    <w:p>
      <w:pPr>
        <w:spacing w:line="360" w:lineRule="auto"/>
        <w:ind w:firstLine="480" w:firstLineChars="200"/>
        <w:rPr>
          <w:rFonts w:hint="eastAsia" w:hAnsi="宋体" w:cs="宋体"/>
          <w:bCs/>
          <w:sz w:val="24"/>
          <w:highlight w:val="none"/>
          <w:lang w:val="en-US" w:eastAsia="zh-CN"/>
        </w:rPr>
      </w:pPr>
      <w:r>
        <w:rPr>
          <w:rFonts w:hint="eastAsia" w:hAnsi="宋体" w:cs="宋体"/>
          <w:bCs/>
          <w:sz w:val="24"/>
          <w:highlight w:val="none"/>
          <w:lang w:val="en-US" w:eastAsia="zh-CN"/>
        </w:rPr>
        <w:t>自合同签订之日起548日历天。</w:t>
      </w:r>
    </w:p>
    <w:p>
      <w:pPr>
        <w:numPr>
          <w:ilvl w:val="0"/>
          <w:numId w:val="2"/>
        </w:numPr>
        <w:spacing w:line="360" w:lineRule="auto"/>
        <w:rPr>
          <w:rFonts w:hAnsi="宋体" w:cs="宋体"/>
          <w:b/>
          <w:sz w:val="24"/>
          <w:highlight w:val="none"/>
        </w:rPr>
      </w:pPr>
      <w:bookmarkStart w:id="112" w:name="_Toc239568418"/>
      <w:bookmarkStart w:id="113" w:name="_Toc225244852"/>
      <w:bookmarkStart w:id="114" w:name="_Toc247334841"/>
      <w:bookmarkStart w:id="115" w:name="_Toc225654644"/>
      <w:bookmarkStart w:id="116" w:name="_Toc211854449"/>
      <w:bookmarkStart w:id="117" w:name="_Toc241833903"/>
      <w:bookmarkStart w:id="118" w:name="_Toc286993786"/>
      <w:bookmarkStart w:id="119" w:name="_Toc251768862"/>
      <w:bookmarkStart w:id="120" w:name="_Toc282696226"/>
      <w:bookmarkStart w:id="121" w:name="_Toc225670751"/>
      <w:bookmarkStart w:id="122" w:name="_Toc211911348"/>
      <w:bookmarkStart w:id="123" w:name="_Toc283019214"/>
      <w:bookmarkStart w:id="124" w:name="_Toc232492928"/>
      <w:bookmarkStart w:id="125" w:name="_Toc212019594"/>
      <w:bookmarkStart w:id="126" w:name="_Toc238984975"/>
      <w:bookmarkStart w:id="127" w:name="_Toc237145406"/>
      <w:bookmarkStart w:id="128" w:name="_Toc185395249"/>
      <w:bookmarkStart w:id="129" w:name="_Toc239233914"/>
      <w:r>
        <w:rPr>
          <w:rFonts w:hint="eastAsia" w:hAnsi="宋体" w:cs="宋体"/>
          <w:b/>
          <w:sz w:val="24"/>
          <w:highlight w:val="none"/>
        </w:rPr>
        <w:t>服务内容与质量标准</w:t>
      </w:r>
    </w:p>
    <w:p>
      <w:pPr>
        <w:spacing w:line="360" w:lineRule="auto"/>
        <w:ind w:left="567"/>
        <w:rPr>
          <w:rFonts w:hint="eastAsia" w:hAnsi="宋体" w:cs="宋体"/>
          <w:color w:val="auto"/>
          <w:sz w:val="24"/>
          <w:highlight w:val="none"/>
        </w:rPr>
      </w:pPr>
      <w:r>
        <w:rPr>
          <w:rFonts w:hint="eastAsia" w:hAnsi="宋体" w:cs="宋体"/>
          <w:color w:val="auto"/>
          <w:sz w:val="24"/>
          <w:highlight w:val="none"/>
        </w:rPr>
        <w:t>1、</w:t>
      </w:r>
      <w:r>
        <w:rPr>
          <w:rFonts w:hint="eastAsia" w:hAnsi="宋体" w:cs="宋体"/>
          <w:bCs/>
          <w:color w:val="auto"/>
          <w:sz w:val="24"/>
          <w:highlight w:val="none"/>
          <w:lang w:val="en-US" w:eastAsia="zh-CN"/>
        </w:rPr>
        <w:t>编制青羊区全区国有资本布局规划报告和各企业战略规划发展纲要，质量标准：通过青羊区区委区政府审议，同意印发</w:t>
      </w:r>
      <w:r>
        <w:rPr>
          <w:rFonts w:hint="eastAsia" w:hAnsi="宋体" w:cs="宋体"/>
          <w:color w:val="auto"/>
          <w:sz w:val="24"/>
          <w:highlight w:val="none"/>
        </w:rPr>
        <w:t>；</w:t>
      </w:r>
    </w:p>
    <w:p>
      <w:pPr>
        <w:spacing w:line="360" w:lineRule="auto"/>
        <w:ind w:left="567"/>
        <w:rPr>
          <w:rFonts w:hint="eastAsia" w:hAnsi="宋体" w:cs="宋体"/>
          <w:color w:val="auto"/>
          <w:sz w:val="24"/>
          <w:highlight w:val="none"/>
        </w:rPr>
      </w:pPr>
      <w:r>
        <w:rPr>
          <w:rFonts w:hint="eastAsia" w:hAnsi="宋体" w:cs="宋体"/>
          <w:color w:val="auto"/>
          <w:sz w:val="24"/>
          <w:highlight w:val="none"/>
        </w:rPr>
        <w:t>2、</w:t>
      </w:r>
      <w:r>
        <w:rPr>
          <w:rFonts w:hint="eastAsia" w:hAnsi="宋体" w:cs="宋体"/>
          <w:bCs/>
          <w:color w:val="auto"/>
          <w:sz w:val="24"/>
          <w:highlight w:val="none"/>
          <w:lang w:val="en-US" w:eastAsia="zh-CN"/>
        </w:rPr>
        <w:t>编制重大课题研究报告</w:t>
      </w:r>
      <w:r>
        <w:rPr>
          <w:rFonts w:hint="eastAsia" w:hAnsi="宋体" w:cs="宋体"/>
          <w:color w:val="auto"/>
          <w:sz w:val="24"/>
          <w:highlight w:val="none"/>
          <w:lang w:val="en-US" w:eastAsia="zh-CN"/>
        </w:rPr>
        <w:t>，</w:t>
      </w:r>
      <w:r>
        <w:rPr>
          <w:rFonts w:hint="eastAsia" w:hAnsi="宋体" w:cs="宋体"/>
          <w:bCs/>
          <w:color w:val="auto"/>
          <w:sz w:val="24"/>
          <w:highlight w:val="none"/>
          <w:lang w:val="en-US" w:eastAsia="zh-CN"/>
        </w:rPr>
        <w:t>质量标准：达到采购人验收标准</w:t>
      </w:r>
      <w:r>
        <w:rPr>
          <w:rFonts w:hint="eastAsia" w:hAnsi="宋体" w:cs="宋体"/>
          <w:color w:val="auto"/>
          <w:sz w:val="24"/>
          <w:highlight w:val="none"/>
        </w:rPr>
        <w:t>；</w:t>
      </w:r>
    </w:p>
    <w:p>
      <w:pPr>
        <w:spacing w:line="360" w:lineRule="auto"/>
        <w:ind w:left="567"/>
        <w:rPr>
          <w:rFonts w:hint="eastAsia" w:hAnsi="宋体" w:eastAsia="宋体" w:cs="宋体"/>
          <w:color w:val="auto"/>
          <w:sz w:val="24"/>
          <w:highlight w:val="none"/>
          <w:lang w:eastAsia="zh-CN"/>
        </w:rPr>
      </w:pPr>
      <w:r>
        <w:rPr>
          <w:rFonts w:hint="eastAsia" w:hAnsi="宋体" w:cs="宋体"/>
          <w:color w:val="auto"/>
          <w:sz w:val="24"/>
          <w:highlight w:val="none"/>
        </w:rPr>
        <w:t>3、</w:t>
      </w:r>
      <w:r>
        <w:rPr>
          <w:rFonts w:hint="eastAsia" w:hAnsi="宋体" w:cs="宋体"/>
          <w:bCs/>
          <w:color w:val="auto"/>
          <w:sz w:val="24"/>
          <w:highlight w:val="none"/>
          <w:lang w:val="en-US" w:eastAsia="zh-CN"/>
        </w:rPr>
        <w:t>指导企业按“一企一策”编制战略规划报告和年度实施计划报告</w:t>
      </w:r>
      <w:r>
        <w:rPr>
          <w:rFonts w:hint="eastAsia" w:hAnsi="宋体" w:cs="宋体"/>
          <w:color w:val="auto"/>
          <w:sz w:val="24"/>
          <w:highlight w:val="none"/>
          <w:lang w:val="en-US" w:eastAsia="zh-CN"/>
        </w:rPr>
        <w:t>，</w:t>
      </w:r>
      <w:r>
        <w:rPr>
          <w:rFonts w:hint="eastAsia" w:hAnsi="宋体" w:cs="宋体"/>
          <w:bCs/>
          <w:color w:val="auto"/>
          <w:sz w:val="24"/>
          <w:highlight w:val="none"/>
          <w:lang w:val="en-US" w:eastAsia="zh-CN"/>
        </w:rPr>
        <w:t>质量标准：达到采购人验收标准</w:t>
      </w:r>
      <w:r>
        <w:rPr>
          <w:rFonts w:hint="eastAsia" w:hAnsi="宋体" w:cs="宋体"/>
          <w:color w:val="auto"/>
          <w:sz w:val="24"/>
          <w:highlight w:val="none"/>
          <w:lang w:eastAsia="zh-CN"/>
        </w:rPr>
        <w:t>；</w:t>
      </w:r>
    </w:p>
    <w:p>
      <w:pPr>
        <w:numPr>
          <w:ilvl w:val="0"/>
          <w:numId w:val="2"/>
        </w:numPr>
        <w:spacing w:line="360" w:lineRule="auto"/>
        <w:rPr>
          <w:rFonts w:hAnsi="宋体" w:cs="宋体"/>
          <w:b/>
          <w:sz w:val="24"/>
          <w:highlight w:val="none"/>
        </w:rPr>
      </w:pPr>
      <w:r>
        <w:rPr>
          <w:rFonts w:hint="eastAsia" w:hAnsi="宋体" w:cs="宋体"/>
          <w:b/>
          <w:sz w:val="24"/>
          <w:highlight w:val="none"/>
        </w:rPr>
        <w:t>服务费用及支付方式</w:t>
      </w:r>
    </w:p>
    <w:p>
      <w:pPr>
        <w:numPr>
          <w:ilvl w:val="0"/>
          <w:numId w:val="3"/>
        </w:numPr>
        <w:spacing w:line="360" w:lineRule="auto"/>
        <w:ind w:left="0" w:firstLine="567"/>
        <w:rPr>
          <w:rFonts w:hAnsi="宋体" w:cs="宋体"/>
          <w:b/>
          <w:sz w:val="24"/>
          <w:highlight w:val="none"/>
        </w:rPr>
      </w:pPr>
      <w:r>
        <w:rPr>
          <w:rFonts w:hint="eastAsia" w:hAnsi="宋体" w:cs="宋体"/>
          <w:b/>
          <w:sz w:val="24"/>
          <w:highlight w:val="none"/>
        </w:rPr>
        <w:t>本项目服务费用由以下组成：</w:t>
      </w:r>
    </w:p>
    <w:tbl>
      <w:tblPr>
        <w:tblStyle w:val="20"/>
        <w:tblW w:w="995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4062"/>
        <w:gridCol w:w="1150"/>
        <w:gridCol w:w="860"/>
        <w:gridCol w:w="968"/>
        <w:gridCol w:w="522"/>
        <w:gridCol w:w="831"/>
        <w:gridCol w:w="77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793" w:type="dxa"/>
            <w:vMerge w:val="restart"/>
            <w:tcBorders>
              <w:top w:val="single" w:color="auto" w:sz="4" w:space="0"/>
              <w:left w:val="single" w:color="auto" w:sz="4" w:space="0"/>
              <w:right w:val="single" w:color="auto" w:sz="4" w:space="0"/>
            </w:tcBorders>
            <w:vAlign w:val="center"/>
          </w:tcPr>
          <w:p>
            <w:pPr>
              <w:spacing w:line="400" w:lineRule="exact"/>
              <w:jc w:val="center"/>
              <w:rPr>
                <w:rFonts w:hint="eastAsia" w:hAnsi="宋体" w:cs="宋体"/>
                <w:sz w:val="24"/>
                <w:highlight w:val="none"/>
                <w:lang w:val="en-US" w:eastAsia="zh-CN"/>
              </w:rPr>
            </w:pPr>
            <w:r>
              <w:rPr>
                <w:rFonts w:hint="eastAsia" w:hAnsi="宋体" w:cs="宋体"/>
                <w:sz w:val="24"/>
                <w:highlight w:val="none"/>
                <w:lang w:val="en-US" w:eastAsia="zh-CN"/>
              </w:rPr>
              <w:t>序号</w:t>
            </w:r>
          </w:p>
        </w:tc>
        <w:tc>
          <w:tcPr>
            <w:tcW w:w="4062" w:type="dxa"/>
            <w:vMerge w:val="restart"/>
            <w:tcBorders>
              <w:top w:val="single" w:color="auto" w:sz="4" w:space="0"/>
              <w:left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服务内容</w:t>
            </w:r>
          </w:p>
        </w:tc>
        <w:tc>
          <w:tcPr>
            <w:tcW w:w="1150" w:type="dxa"/>
            <w:vMerge w:val="restart"/>
            <w:tcBorders>
              <w:top w:val="single" w:color="auto" w:sz="4" w:space="0"/>
              <w:left w:val="single" w:color="auto" w:sz="4" w:space="0"/>
              <w:right w:val="single" w:color="auto" w:sz="4" w:space="0"/>
            </w:tcBorders>
            <w:vAlign w:val="center"/>
          </w:tcPr>
          <w:p>
            <w:pPr>
              <w:spacing w:line="400" w:lineRule="exact"/>
              <w:rPr>
                <w:rFonts w:hAnsi="宋体" w:cs="宋体"/>
                <w:sz w:val="24"/>
                <w:highlight w:val="none"/>
              </w:rPr>
            </w:pPr>
            <w:r>
              <w:rPr>
                <w:rFonts w:hint="eastAsia" w:hAnsi="宋体" w:cs="宋体"/>
                <w:sz w:val="24"/>
                <w:highlight w:val="none"/>
              </w:rPr>
              <w:t>总价（万元）</w:t>
            </w:r>
          </w:p>
        </w:tc>
        <w:tc>
          <w:tcPr>
            <w:tcW w:w="2350"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资金来源（万元）</w:t>
            </w:r>
          </w:p>
        </w:tc>
        <w:tc>
          <w:tcPr>
            <w:tcW w:w="831" w:type="dxa"/>
            <w:vMerge w:val="restart"/>
            <w:tcBorders>
              <w:top w:val="single" w:color="auto" w:sz="4" w:space="0"/>
              <w:left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服务年限</w:t>
            </w:r>
          </w:p>
        </w:tc>
        <w:tc>
          <w:tcPr>
            <w:tcW w:w="771" w:type="dxa"/>
            <w:vMerge w:val="restart"/>
            <w:tcBorders>
              <w:top w:val="single" w:color="auto" w:sz="4" w:space="0"/>
              <w:left w:val="single" w:color="auto" w:sz="4" w:space="0"/>
              <w:right w:val="single" w:color="auto" w:sz="4" w:space="0"/>
            </w:tcBorders>
            <w:vAlign w:val="center"/>
          </w:tcPr>
          <w:p>
            <w:pPr>
              <w:spacing w:line="400" w:lineRule="exact"/>
              <w:ind w:firstLine="120" w:firstLineChars="50"/>
              <w:rPr>
                <w:rFonts w:hAnsi="宋体" w:cs="宋体"/>
                <w:sz w:val="24"/>
                <w:highlight w:val="none"/>
              </w:rPr>
            </w:pPr>
            <w:r>
              <w:rPr>
                <w:rFonts w:hint="eastAsia" w:hAnsi="宋体" w:cs="宋体"/>
                <w:sz w:val="24"/>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93"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hAnsi="宋体" w:cs="宋体"/>
                <w:sz w:val="24"/>
                <w:highlight w:val="none"/>
                <w:lang w:val="en-US" w:eastAsia="zh-CN"/>
              </w:rPr>
            </w:pPr>
          </w:p>
        </w:tc>
        <w:tc>
          <w:tcPr>
            <w:tcW w:w="4062" w:type="dxa"/>
            <w:vMerge w:val="continue"/>
            <w:tcBorders>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1150" w:type="dxa"/>
            <w:vMerge w:val="continue"/>
            <w:tcBorders>
              <w:left w:val="single" w:color="auto" w:sz="4" w:space="0"/>
              <w:bottom w:val="single" w:color="auto" w:sz="4" w:space="0"/>
              <w:right w:val="single" w:color="auto" w:sz="4" w:space="0"/>
            </w:tcBorders>
            <w:vAlign w:val="center"/>
          </w:tcPr>
          <w:p>
            <w:pPr>
              <w:spacing w:line="400" w:lineRule="exact"/>
              <w:rPr>
                <w:rFonts w:hAnsi="宋体" w:cs="宋体"/>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预算内</w:t>
            </w: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预算外</w:t>
            </w:r>
          </w:p>
        </w:tc>
        <w:tc>
          <w:tcPr>
            <w:tcW w:w="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其他</w:t>
            </w:r>
          </w:p>
        </w:tc>
        <w:tc>
          <w:tcPr>
            <w:tcW w:w="831" w:type="dxa"/>
            <w:vMerge w:val="continue"/>
            <w:tcBorders>
              <w:left w:val="single" w:color="auto" w:sz="4" w:space="0"/>
              <w:bottom w:val="single" w:color="auto" w:sz="4" w:space="0"/>
              <w:right w:val="single" w:color="auto" w:sz="4" w:space="0"/>
            </w:tcBorders>
            <w:vAlign w:val="center"/>
          </w:tcPr>
          <w:p>
            <w:pPr>
              <w:widowControl/>
              <w:jc w:val="left"/>
              <w:rPr>
                <w:rFonts w:hAnsi="宋体" w:cs="宋体"/>
                <w:sz w:val="24"/>
                <w:highlight w:val="none"/>
              </w:rPr>
            </w:pPr>
          </w:p>
        </w:tc>
        <w:tc>
          <w:tcPr>
            <w:tcW w:w="771" w:type="dxa"/>
            <w:vMerge w:val="continue"/>
            <w:tcBorders>
              <w:left w:val="single" w:color="auto" w:sz="4" w:space="0"/>
              <w:bottom w:val="single" w:color="auto" w:sz="4" w:space="0"/>
              <w:right w:val="single" w:color="auto" w:sz="4" w:space="0"/>
            </w:tcBorders>
            <w:vAlign w:val="center"/>
          </w:tcPr>
          <w:p>
            <w:pPr>
              <w:spacing w:line="400" w:lineRule="exact"/>
              <w:ind w:firstLine="120" w:firstLineChars="50"/>
              <w:rPr>
                <w:rFonts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cs="宋体"/>
                <w:sz w:val="24"/>
                <w:highlight w:val="none"/>
                <w:lang w:val="en-US" w:eastAsia="zh-CN"/>
              </w:rPr>
            </w:pPr>
            <w:r>
              <w:rPr>
                <w:rFonts w:hint="eastAsia" w:hAnsi="宋体" w:cs="宋体"/>
                <w:sz w:val="24"/>
                <w:highlight w:val="none"/>
                <w:lang w:val="en-US" w:eastAsia="zh-CN"/>
              </w:rPr>
              <w:t>1</w:t>
            </w:r>
          </w:p>
        </w:tc>
        <w:tc>
          <w:tcPr>
            <w:tcW w:w="4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4"/>
                <w:highlight w:val="none"/>
              </w:rPr>
            </w:pPr>
            <w:r>
              <w:rPr>
                <w:rFonts w:hint="eastAsia" w:hAnsi="宋体" w:cs="宋体"/>
                <w:bCs/>
                <w:color w:val="auto"/>
                <w:sz w:val="24"/>
                <w:highlight w:val="none"/>
                <w:lang w:val="en-US" w:eastAsia="zh-CN"/>
              </w:rPr>
              <w:t>编制全区国有资本布局规划报告和各企业战略规划发展纲要</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 </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 </w:t>
            </w: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cs="宋体"/>
                <w:sz w:val="24"/>
                <w:highlight w:val="none"/>
                <w:lang w:val="en-US" w:eastAsia="zh-CN"/>
              </w:rPr>
            </w:pPr>
            <w:r>
              <w:rPr>
                <w:rFonts w:hint="eastAsia" w:hAnsi="宋体" w:cs="宋体"/>
                <w:sz w:val="24"/>
                <w:highlight w:val="none"/>
                <w:lang w:val="en-US" w:eastAsia="zh-CN"/>
              </w:rPr>
              <w:t>2</w:t>
            </w:r>
          </w:p>
        </w:tc>
        <w:tc>
          <w:tcPr>
            <w:tcW w:w="4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color w:val="auto"/>
                <w:sz w:val="24"/>
                <w:highlight w:val="none"/>
              </w:rPr>
            </w:pPr>
            <w:r>
              <w:rPr>
                <w:rFonts w:hint="eastAsia" w:hAnsi="宋体" w:cs="宋体"/>
                <w:bCs/>
                <w:color w:val="auto"/>
                <w:sz w:val="24"/>
                <w:highlight w:val="none"/>
                <w:lang w:val="en-US" w:eastAsia="zh-CN"/>
              </w:rPr>
              <w:t>编制重大课题研究报告</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 </w:t>
            </w: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 </w:t>
            </w: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r>
              <w:rPr>
                <w:rFonts w:hint="eastAsia" w:hAnsi="宋体" w:cs="宋体"/>
                <w:sz w:val="24"/>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79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cs="宋体"/>
                <w:sz w:val="24"/>
                <w:highlight w:val="none"/>
                <w:lang w:val="en-US" w:eastAsia="zh-CN"/>
              </w:rPr>
            </w:pPr>
            <w:r>
              <w:rPr>
                <w:rFonts w:hint="eastAsia" w:hAnsi="宋体" w:cs="宋体"/>
                <w:sz w:val="24"/>
                <w:highlight w:val="none"/>
                <w:lang w:val="en-US" w:eastAsia="zh-CN"/>
              </w:rPr>
              <w:t>3</w:t>
            </w:r>
          </w:p>
        </w:tc>
        <w:tc>
          <w:tcPr>
            <w:tcW w:w="40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hAnsi="宋体" w:cs="宋体"/>
                <w:color w:val="auto"/>
                <w:sz w:val="24"/>
                <w:highlight w:val="none"/>
              </w:rPr>
            </w:pPr>
            <w:r>
              <w:rPr>
                <w:rFonts w:hint="eastAsia" w:hAnsi="宋体" w:cs="宋体"/>
                <w:bCs/>
                <w:color w:val="auto"/>
                <w:sz w:val="24"/>
                <w:highlight w:val="none"/>
                <w:lang w:val="en-US" w:eastAsia="zh-CN"/>
              </w:rPr>
              <w:t>指导企业按“一企一策”编制战略规划报告和年度实施计划报告</w:t>
            </w:r>
          </w:p>
        </w:tc>
        <w:tc>
          <w:tcPr>
            <w:tcW w:w="115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cs="宋体"/>
                <w:sz w:val="24"/>
                <w:highlight w:val="none"/>
              </w:rPr>
            </w:pPr>
          </w:p>
        </w:tc>
        <w:tc>
          <w:tcPr>
            <w:tcW w:w="8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96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52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cs="宋体"/>
                <w:sz w:val="24"/>
                <w:highlight w:val="none"/>
              </w:rPr>
            </w:pPr>
          </w:p>
        </w:tc>
        <w:tc>
          <w:tcPr>
            <w:tcW w:w="83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Ansi="宋体" w:cs="宋体"/>
                <w:sz w:val="24"/>
                <w:highlight w:val="none"/>
              </w:rPr>
            </w:pPr>
          </w:p>
        </w:tc>
        <w:tc>
          <w:tcPr>
            <w:tcW w:w="77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hAnsi="宋体" w:cs="宋体"/>
                <w:sz w:val="24"/>
                <w:highlight w:val="none"/>
              </w:rPr>
            </w:pPr>
          </w:p>
        </w:tc>
      </w:tr>
    </w:tbl>
    <w:p>
      <w:pPr>
        <w:spacing w:line="360" w:lineRule="auto"/>
        <w:rPr>
          <w:rFonts w:hAnsi="宋体" w:cs="宋体"/>
          <w:b/>
          <w:sz w:val="24"/>
          <w:highlight w:val="none"/>
        </w:rPr>
      </w:pPr>
    </w:p>
    <w:p>
      <w:pPr>
        <w:numPr>
          <w:ilvl w:val="0"/>
          <w:numId w:val="3"/>
        </w:numPr>
        <w:tabs>
          <w:tab w:val="left" w:pos="780"/>
        </w:tabs>
        <w:spacing w:line="360" w:lineRule="auto"/>
        <w:ind w:left="0" w:firstLine="567"/>
        <w:rPr>
          <w:rFonts w:hint="eastAsia" w:hAnsi="宋体" w:cs="宋体"/>
          <w:bCs/>
          <w:color w:val="auto"/>
          <w:sz w:val="24"/>
          <w:highlight w:val="none"/>
          <w:lang w:val="en-US" w:eastAsia="zh-CN"/>
        </w:rPr>
      </w:pPr>
      <w:r>
        <w:rPr>
          <w:rFonts w:hint="eastAsia" w:hAnsi="宋体" w:cs="宋体"/>
          <w:b/>
          <w:color w:val="auto"/>
          <w:sz w:val="24"/>
          <w:highlight w:val="none"/>
        </w:rPr>
        <w:t>服务费支付</w:t>
      </w:r>
      <w:r>
        <w:rPr>
          <w:rFonts w:hint="eastAsia" w:hAnsi="宋体" w:cs="宋体"/>
          <w:bCs/>
          <w:color w:val="auto"/>
          <w:sz w:val="24"/>
          <w:highlight w:val="none"/>
          <w:lang w:val="en-US" w:eastAsia="zh-CN"/>
        </w:rPr>
        <w:t xml:space="preserve">：合同签订后10个工作日内支付合同总额的30%；2021年9月30前必须提交青羊区国资国企发展“十四五”规划（审议稿），经采购人审议并提交区政府后，支付合同总额的40%；通过青羊区相关审核，指导企业按“一企一策”编制战略规划报告和年度实施计划报告，经采购人验收合格后，于2022年12月31日前付清剩余合同价款。 </w:t>
      </w:r>
    </w:p>
    <w:p>
      <w:pPr>
        <w:numPr>
          <w:ilvl w:val="0"/>
          <w:numId w:val="2"/>
        </w:numPr>
        <w:spacing w:line="360" w:lineRule="auto"/>
        <w:rPr>
          <w:rFonts w:hAnsi="宋体" w:cs="宋体"/>
          <w:b/>
          <w:sz w:val="24"/>
          <w:highlight w:val="none"/>
        </w:rPr>
      </w:pPr>
      <w:r>
        <w:rPr>
          <w:rFonts w:hint="eastAsia" w:hAnsi="宋体" w:cs="宋体"/>
          <w:b/>
          <w:sz w:val="24"/>
          <w:highlight w:val="none"/>
        </w:rPr>
        <w:t>知识产权</w:t>
      </w:r>
    </w:p>
    <w:p>
      <w:pPr>
        <w:tabs>
          <w:tab w:val="left" w:pos="1440"/>
        </w:tabs>
        <w:spacing w:line="360" w:lineRule="auto"/>
        <w:ind w:firstLine="480" w:firstLineChars="200"/>
        <w:rPr>
          <w:rFonts w:hAnsi="宋体" w:cs="宋体"/>
          <w:sz w:val="24"/>
          <w:highlight w:val="none"/>
        </w:rPr>
      </w:pPr>
      <w:r>
        <w:rPr>
          <w:rFonts w:hint="eastAsia" w:hAnsi="宋体" w:cs="宋体"/>
          <w:sz w:val="24"/>
          <w:highlight w:val="none"/>
        </w:rPr>
        <w:t>乙方应保证所提供的服务或其任何一部分均不会侵犯任何第三方的专利权、商标权或著作权</w:t>
      </w:r>
      <w:r>
        <w:rPr>
          <w:rFonts w:hint="eastAsia" w:hAnsi="宋体" w:cs="宋体"/>
          <w:sz w:val="24"/>
          <w:highlight w:val="none"/>
          <w:lang w:val="en-US" w:eastAsia="zh-CN"/>
        </w:rPr>
        <w:t>及其他知识产权</w:t>
      </w:r>
      <w:r>
        <w:rPr>
          <w:rFonts w:hint="eastAsia" w:hAnsi="宋体" w:cs="宋体"/>
          <w:sz w:val="24"/>
          <w:highlight w:val="none"/>
        </w:rPr>
        <w:t>。</w:t>
      </w:r>
    </w:p>
    <w:p>
      <w:pPr>
        <w:numPr>
          <w:ilvl w:val="0"/>
          <w:numId w:val="2"/>
        </w:numPr>
        <w:spacing w:line="360" w:lineRule="auto"/>
        <w:rPr>
          <w:rFonts w:hAnsi="宋体" w:cs="宋体"/>
          <w:b/>
          <w:sz w:val="24"/>
          <w:highlight w:val="none"/>
        </w:rPr>
      </w:pPr>
      <w:r>
        <w:rPr>
          <w:rFonts w:hint="eastAsia" w:hAnsi="宋体" w:cs="宋体"/>
          <w:b/>
          <w:sz w:val="24"/>
          <w:highlight w:val="none"/>
        </w:rPr>
        <w:t>无产权瑕疵条款</w:t>
      </w:r>
    </w:p>
    <w:p>
      <w:pPr>
        <w:tabs>
          <w:tab w:val="left" w:pos="1440"/>
        </w:tabs>
        <w:spacing w:line="360" w:lineRule="auto"/>
        <w:ind w:firstLine="480" w:firstLineChars="200"/>
        <w:rPr>
          <w:rFonts w:hAnsi="宋体" w:cs="宋体"/>
          <w:sz w:val="24"/>
          <w:highlight w:val="none"/>
        </w:rPr>
      </w:pPr>
      <w:r>
        <w:rPr>
          <w:rFonts w:hint="eastAsia" w:hAnsi="宋体" w:cs="宋体"/>
          <w:sz w:val="24"/>
          <w:highlight w:val="none"/>
        </w:rPr>
        <w:t>乙方保证所提供的服务的所有权完全属于乙方且无任何抵押、查封等产权瑕疵。如有产权瑕疵的，视为乙方违约。乙方应负担由此而产生的一切损失。</w:t>
      </w:r>
    </w:p>
    <w:p>
      <w:pPr>
        <w:numPr>
          <w:ilvl w:val="0"/>
          <w:numId w:val="2"/>
        </w:numPr>
        <w:spacing w:line="360" w:lineRule="auto"/>
        <w:rPr>
          <w:rFonts w:hint="eastAsia" w:hAnsi="宋体" w:cs="宋体"/>
          <w:b/>
          <w:sz w:val="24"/>
          <w:highlight w:val="none"/>
        </w:rPr>
      </w:pPr>
      <w:r>
        <w:rPr>
          <w:rFonts w:hint="eastAsia" w:hAnsi="宋体" w:cs="宋体"/>
          <w:b/>
          <w:sz w:val="24"/>
          <w:highlight w:val="none"/>
        </w:rPr>
        <w:t>履约保证金</w:t>
      </w:r>
    </w:p>
    <w:p>
      <w:pPr>
        <w:adjustRightInd w:val="0"/>
        <w:spacing w:line="360" w:lineRule="auto"/>
        <w:ind w:firstLine="480" w:firstLineChars="200"/>
        <w:jc w:val="left"/>
        <w:textAlignment w:val="baseline"/>
        <w:rPr>
          <w:rFonts w:hAnsi="宋体" w:cs="宋体"/>
          <w:bCs/>
          <w:sz w:val="24"/>
          <w:highlight w:val="none"/>
        </w:rPr>
      </w:pPr>
      <w:r>
        <w:rPr>
          <w:rFonts w:hint="eastAsia" w:hAnsi="宋体" w:cs="宋体"/>
          <w:bCs/>
          <w:sz w:val="24"/>
          <w:highlight w:val="none"/>
          <w:lang w:eastAsia="zh-CN"/>
        </w:rPr>
        <w:t>本项目不收取履约保证金</w:t>
      </w:r>
      <w:r>
        <w:rPr>
          <w:rFonts w:hint="eastAsia" w:hAnsi="宋体" w:cs="宋体"/>
          <w:bCs/>
          <w:sz w:val="24"/>
          <w:highlight w:val="none"/>
        </w:rPr>
        <w:t>。</w:t>
      </w:r>
    </w:p>
    <w:p>
      <w:pPr>
        <w:numPr>
          <w:ilvl w:val="0"/>
          <w:numId w:val="2"/>
        </w:numPr>
        <w:spacing w:line="360" w:lineRule="auto"/>
        <w:rPr>
          <w:rFonts w:hAnsi="宋体" w:cs="宋体"/>
          <w:b/>
          <w:sz w:val="24"/>
          <w:highlight w:val="none"/>
        </w:rPr>
      </w:pPr>
      <w:r>
        <w:rPr>
          <w:rFonts w:hint="eastAsia" w:hAnsi="宋体" w:cs="宋体"/>
          <w:b/>
          <w:sz w:val="24"/>
          <w:highlight w:val="none"/>
        </w:rPr>
        <w:t>甲方的权利和义务</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sz w:val="24"/>
          <w:highlight w:val="none"/>
        </w:rPr>
        <w:t>1、甲方有权对合同规定范围内乙方</w:t>
      </w:r>
      <w:r>
        <w:rPr>
          <w:rFonts w:hint="eastAsia" w:hAnsi="宋体" w:cs="宋体"/>
          <w:bCs/>
          <w:color w:val="auto"/>
          <w:sz w:val="24"/>
          <w:highlight w:val="none"/>
        </w:rPr>
        <w:t>的服务行为</w:t>
      </w:r>
      <w:r>
        <w:rPr>
          <w:rFonts w:hint="eastAsia" w:hAnsi="宋体" w:cs="宋体"/>
          <w:bCs/>
          <w:color w:val="auto"/>
          <w:sz w:val="24"/>
          <w:highlight w:val="none"/>
          <w:lang w:val="en-US" w:eastAsia="zh-CN"/>
        </w:rPr>
        <w:t>和质量</w:t>
      </w:r>
      <w:r>
        <w:rPr>
          <w:rFonts w:hint="eastAsia" w:hAnsi="宋体" w:cs="宋体"/>
          <w:bCs/>
          <w:color w:val="auto"/>
          <w:sz w:val="24"/>
          <w:highlight w:val="none"/>
        </w:rPr>
        <w:t>进行监督和检查，拥有监管权。有权定期核对乙方提供服务所配备的人员数量。对甲方认为不合理的部分有权下达整改通知书，并要求乙方限期整改。</w:t>
      </w:r>
    </w:p>
    <w:p>
      <w:pPr>
        <w:adjustRightInd w:val="0"/>
        <w:spacing w:line="360" w:lineRule="auto"/>
        <w:ind w:firstLine="480" w:firstLineChars="200"/>
        <w:jc w:val="left"/>
        <w:textAlignment w:val="baseline"/>
        <w:rPr>
          <w:rFonts w:hint="eastAsia" w:hAnsi="宋体" w:cs="宋体"/>
          <w:bCs/>
          <w:color w:val="auto"/>
          <w:sz w:val="24"/>
          <w:highlight w:val="none"/>
          <w:shd w:val="clear" w:color="auto" w:fill="auto"/>
          <w:lang w:val="en-US" w:eastAsia="zh-CN"/>
        </w:rPr>
      </w:pPr>
      <w:r>
        <w:rPr>
          <w:rFonts w:hint="eastAsia" w:hAnsi="宋体" w:cs="宋体"/>
          <w:bCs/>
          <w:color w:val="auto"/>
          <w:sz w:val="24"/>
          <w:highlight w:val="none"/>
          <w:shd w:val="clear" w:color="auto" w:fill="auto"/>
        </w:rPr>
        <w:t>2、</w:t>
      </w:r>
      <w:r>
        <w:rPr>
          <w:rFonts w:hint="eastAsia" w:hAnsi="宋体" w:cs="宋体"/>
          <w:bCs/>
          <w:color w:val="auto"/>
          <w:sz w:val="24"/>
          <w:highlight w:val="none"/>
          <w:shd w:val="clear" w:color="auto" w:fill="auto"/>
          <w:lang w:val="en-US" w:eastAsia="zh-CN"/>
        </w:rPr>
        <w:t>乙方收到甲方限期整改通知书后，拒不改正或未在规定期限内改正的，甲方有权解除合同并报政府采购监管部门。</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3、负责检查监督乙方管理工作的实施及制度的执行情况。</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4、根据本合同规定，按时向乙方支付应付服务费用。</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5、国家法律、法规所规定由甲方承担的其他责任。</w:t>
      </w:r>
    </w:p>
    <w:p>
      <w:pPr>
        <w:numPr>
          <w:ilvl w:val="0"/>
          <w:numId w:val="2"/>
        </w:numPr>
        <w:spacing w:line="360" w:lineRule="auto"/>
        <w:rPr>
          <w:rFonts w:hAnsi="宋体" w:cs="宋体"/>
          <w:b/>
          <w:color w:val="auto"/>
          <w:sz w:val="24"/>
          <w:highlight w:val="none"/>
        </w:rPr>
      </w:pPr>
      <w:r>
        <w:rPr>
          <w:rFonts w:hint="eastAsia" w:hAnsi="宋体" w:cs="宋体"/>
          <w:b/>
          <w:color w:val="auto"/>
          <w:sz w:val="24"/>
          <w:highlight w:val="none"/>
        </w:rPr>
        <w:t>乙方的权利和义务</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1、对本合同规定的委托服务范围内的项目享有管理权及服务义务。</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2、根据本合同的规定向甲方收取相关服务费用，并有权在本项目管理范围内管理及合理使用。</w:t>
      </w:r>
    </w:p>
    <w:p>
      <w:pPr>
        <w:adjustRightInd w:val="0"/>
        <w:spacing w:line="360" w:lineRule="auto"/>
        <w:ind w:firstLine="480" w:firstLineChars="200"/>
        <w:jc w:val="left"/>
        <w:textAlignment w:val="baseline"/>
        <w:rPr>
          <w:rFonts w:hAnsi="宋体" w:cs="宋体"/>
          <w:color w:val="auto"/>
          <w:sz w:val="24"/>
          <w:highlight w:val="none"/>
        </w:rPr>
      </w:pPr>
      <w:r>
        <w:rPr>
          <w:rFonts w:hint="eastAsia" w:hAnsi="宋体" w:cs="宋体"/>
          <w:color w:val="auto"/>
          <w:sz w:val="24"/>
          <w:highlight w:val="none"/>
        </w:rPr>
        <w:t>3、及时向甲方通告本项目服务范围内有关服务的重大事项，及时配合处理投诉。</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color w:val="auto"/>
          <w:sz w:val="24"/>
          <w:highlight w:val="none"/>
        </w:rPr>
        <w:t>4、</w:t>
      </w:r>
      <w:r>
        <w:rPr>
          <w:rFonts w:hint="eastAsia" w:hAnsi="宋体" w:cs="宋体"/>
          <w:bCs/>
          <w:color w:val="auto"/>
          <w:sz w:val="24"/>
          <w:highlight w:val="none"/>
        </w:rPr>
        <w:t>接受项目行业管理部门及政府有关部门的指导，接受甲方的监督。</w:t>
      </w:r>
    </w:p>
    <w:p>
      <w:pPr>
        <w:adjustRightInd w:val="0"/>
        <w:spacing w:line="360" w:lineRule="auto"/>
        <w:ind w:firstLine="480" w:firstLineChars="200"/>
        <w:jc w:val="left"/>
        <w:textAlignment w:val="baseline"/>
        <w:rPr>
          <w:rFonts w:hint="eastAsia" w:hAnsi="宋体" w:cs="宋体"/>
          <w:bCs/>
          <w:color w:val="auto"/>
          <w:sz w:val="24"/>
          <w:highlight w:val="none"/>
        </w:rPr>
      </w:pPr>
      <w:r>
        <w:rPr>
          <w:rFonts w:hint="eastAsia" w:hAnsi="宋体" w:cs="宋体"/>
          <w:bCs/>
          <w:color w:val="auto"/>
          <w:sz w:val="24"/>
          <w:highlight w:val="none"/>
        </w:rPr>
        <w:t>5、按照合同约定及时完成各项工作，并提交符合甲方要求的成果。</w:t>
      </w:r>
    </w:p>
    <w:p>
      <w:pPr>
        <w:adjustRightInd w:val="0"/>
        <w:spacing w:line="360" w:lineRule="auto"/>
        <w:ind w:firstLine="480" w:firstLineChars="200"/>
        <w:jc w:val="left"/>
        <w:textAlignment w:val="baseline"/>
        <w:rPr>
          <w:rFonts w:hAnsi="宋体" w:cs="宋体"/>
          <w:bCs/>
          <w:color w:val="auto"/>
          <w:sz w:val="24"/>
          <w:highlight w:val="none"/>
        </w:rPr>
      </w:pPr>
      <w:r>
        <w:rPr>
          <w:rFonts w:hAnsi="宋体" w:cs="宋体"/>
          <w:bCs/>
          <w:color w:val="auto"/>
          <w:sz w:val="24"/>
          <w:highlight w:val="none"/>
        </w:rPr>
        <w:t>6</w:t>
      </w:r>
      <w:r>
        <w:rPr>
          <w:rFonts w:hint="eastAsia" w:hAnsi="宋体" w:cs="宋体"/>
          <w:bCs/>
          <w:color w:val="auto"/>
          <w:sz w:val="24"/>
          <w:highlight w:val="none"/>
        </w:rPr>
        <w:t>、国家法律、法规所规定由乙方承担的其他责任。</w:t>
      </w:r>
    </w:p>
    <w:p>
      <w:pPr>
        <w:numPr>
          <w:ilvl w:val="0"/>
          <w:numId w:val="2"/>
        </w:numPr>
        <w:spacing w:line="360" w:lineRule="auto"/>
        <w:rPr>
          <w:rFonts w:hAnsi="宋体" w:cs="宋体"/>
          <w:b/>
          <w:color w:val="auto"/>
          <w:sz w:val="24"/>
          <w:highlight w:val="none"/>
        </w:rPr>
      </w:pPr>
      <w:r>
        <w:rPr>
          <w:rFonts w:hint="eastAsia" w:hAnsi="宋体" w:cs="宋体"/>
          <w:b/>
          <w:color w:val="auto"/>
          <w:sz w:val="24"/>
          <w:highlight w:val="none"/>
        </w:rPr>
        <w:t>违约责任</w:t>
      </w:r>
    </w:p>
    <w:p>
      <w:pPr>
        <w:adjustRightInd w:val="0"/>
        <w:spacing w:line="360" w:lineRule="auto"/>
        <w:ind w:firstLine="480" w:firstLineChars="200"/>
        <w:jc w:val="left"/>
        <w:textAlignment w:val="baseline"/>
        <w:rPr>
          <w:rFonts w:hAnsi="宋体" w:cs="宋体"/>
          <w:bCs/>
          <w:color w:val="auto"/>
          <w:sz w:val="24"/>
          <w:highlight w:val="none"/>
        </w:rPr>
      </w:pPr>
      <w:r>
        <w:rPr>
          <w:rFonts w:hint="eastAsia" w:hAnsi="宋体" w:cs="宋体"/>
          <w:bCs/>
          <w:color w:val="auto"/>
          <w:sz w:val="24"/>
          <w:highlight w:val="none"/>
        </w:rPr>
        <w:t>1、甲乙双方必须遵守本合同并执行合同中的各项规定，保证本合同的正常履行。</w:t>
      </w:r>
    </w:p>
    <w:p>
      <w:pPr>
        <w:adjustRightInd w:val="0"/>
        <w:spacing w:line="360" w:lineRule="auto"/>
        <w:ind w:firstLine="480" w:firstLineChars="200"/>
        <w:jc w:val="left"/>
        <w:textAlignment w:val="baseline"/>
        <w:rPr>
          <w:rFonts w:hint="eastAsia" w:hAnsi="宋体" w:cs="宋体"/>
          <w:bCs/>
          <w:color w:val="auto"/>
          <w:sz w:val="24"/>
          <w:highlight w:val="none"/>
          <w:shd w:val="clear" w:color="auto" w:fill="auto"/>
        </w:rPr>
      </w:pPr>
      <w:r>
        <w:rPr>
          <w:rFonts w:hint="eastAsia" w:hAnsi="宋体" w:cs="宋体"/>
          <w:bCs/>
          <w:color w:val="auto"/>
          <w:sz w:val="24"/>
          <w:highlight w:val="none"/>
          <w:shd w:val="clear" w:color="auto" w:fill="auto"/>
        </w:rPr>
        <w:t>2、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adjustRightInd w:val="0"/>
        <w:spacing w:line="360" w:lineRule="auto"/>
        <w:ind w:firstLine="480" w:firstLineChars="200"/>
        <w:jc w:val="left"/>
        <w:textAlignment w:val="baseline"/>
        <w:rPr>
          <w:rFonts w:hint="eastAsia" w:hAnsi="宋体" w:cs="宋体"/>
          <w:bCs/>
          <w:color w:val="auto"/>
          <w:sz w:val="24"/>
          <w:highlight w:val="none"/>
          <w:shd w:val="clear" w:color="auto" w:fill="auto"/>
          <w:lang w:val="en-US" w:eastAsia="zh-CN"/>
        </w:rPr>
      </w:pPr>
      <w:r>
        <w:rPr>
          <w:rFonts w:hint="eastAsia" w:hAnsi="宋体" w:cs="宋体"/>
          <w:bCs/>
          <w:color w:val="auto"/>
          <w:sz w:val="24"/>
          <w:highlight w:val="none"/>
          <w:shd w:val="clear" w:color="auto" w:fill="auto"/>
          <w:lang w:val="en-US" w:eastAsia="zh-CN"/>
        </w:rPr>
        <w:t>3、乙方逾期提交成果达到60日，甲方有权解除合同并要求乙方退回已付款项并依法追究责任。</w:t>
      </w:r>
    </w:p>
    <w:p>
      <w:pPr>
        <w:adjustRightInd w:val="0"/>
        <w:spacing w:line="360" w:lineRule="auto"/>
        <w:ind w:firstLine="480" w:firstLineChars="200"/>
        <w:jc w:val="left"/>
        <w:textAlignment w:val="baseline"/>
        <w:rPr>
          <w:rFonts w:hint="default" w:hAnsi="宋体" w:cs="宋体"/>
          <w:bCs/>
          <w:color w:val="auto"/>
          <w:sz w:val="24"/>
          <w:highlight w:val="none"/>
          <w:shd w:val="clear" w:color="auto" w:fill="auto"/>
          <w:lang w:val="en-US" w:eastAsia="zh-CN"/>
        </w:rPr>
      </w:pPr>
      <w:r>
        <w:rPr>
          <w:rFonts w:hint="eastAsia" w:hAnsi="宋体" w:cs="宋体"/>
          <w:bCs/>
          <w:color w:val="auto"/>
          <w:sz w:val="24"/>
          <w:highlight w:val="none"/>
          <w:shd w:val="clear" w:color="auto" w:fill="auto"/>
          <w:lang w:val="en-US" w:eastAsia="zh-CN"/>
        </w:rPr>
        <w:t>4、乙方收到甲方限期整改通知书后，拒不改正或未在规定期限内改正导致甲方解除合同的，甲方有权要求乙方退回已付款项并依法追究责任。</w:t>
      </w:r>
    </w:p>
    <w:p>
      <w:pPr>
        <w:numPr>
          <w:ilvl w:val="0"/>
          <w:numId w:val="2"/>
        </w:numPr>
        <w:spacing w:line="360" w:lineRule="auto"/>
        <w:rPr>
          <w:rFonts w:hAnsi="宋体" w:cs="宋体"/>
          <w:b/>
          <w:color w:val="auto"/>
          <w:sz w:val="24"/>
          <w:highlight w:val="none"/>
        </w:rPr>
      </w:pPr>
      <w:r>
        <w:rPr>
          <w:rFonts w:hint="eastAsia" w:hAnsi="宋体" w:cs="宋体"/>
          <w:b/>
          <w:color w:val="auto"/>
          <w:sz w:val="24"/>
          <w:highlight w:val="none"/>
        </w:rPr>
        <w:t>不可抗力事件处理</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1、在合同有效期内，任何一方因不可抗力事件导致不能履行合同，则合同履行期可延长，其延长期与不可抗力影响期相同。</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2、不可抗力事件发生后，应立即通知对方，并寄送有关权威机构出具的证明。</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3、不可抗力事件延续</w:t>
      </w:r>
      <w:r>
        <w:rPr>
          <w:rFonts w:hint="eastAsia" w:hAnsi="宋体" w:cs="宋体"/>
          <w:color w:val="auto"/>
          <w:sz w:val="24"/>
          <w:highlight w:val="none"/>
          <w:lang w:val="en-US" w:eastAsia="zh-CN"/>
        </w:rPr>
        <w:t>60</w:t>
      </w:r>
      <w:r>
        <w:rPr>
          <w:rFonts w:hint="eastAsia" w:hAnsi="宋体" w:cs="宋体"/>
          <w:color w:val="auto"/>
          <w:sz w:val="24"/>
          <w:highlight w:val="none"/>
        </w:rPr>
        <w:t>天以上，双方应通过友好协商，确定是否继续履行合同。</w:t>
      </w:r>
    </w:p>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Pr>
        <w:numPr>
          <w:ilvl w:val="0"/>
          <w:numId w:val="2"/>
        </w:numPr>
        <w:spacing w:line="360" w:lineRule="auto"/>
        <w:rPr>
          <w:rFonts w:hAnsi="宋体" w:cs="宋体"/>
          <w:b/>
          <w:color w:val="auto"/>
          <w:sz w:val="24"/>
          <w:highlight w:val="none"/>
        </w:rPr>
      </w:pPr>
      <w:bookmarkStart w:id="130" w:name="_Toc239568423"/>
      <w:bookmarkStart w:id="131" w:name="_Toc225670756"/>
      <w:bookmarkStart w:id="132" w:name="_Toc212019599"/>
      <w:bookmarkStart w:id="133" w:name="_Toc238984980"/>
      <w:bookmarkStart w:id="134" w:name="_Toc241833908"/>
      <w:bookmarkStart w:id="135" w:name="_Toc185395254"/>
      <w:bookmarkStart w:id="136" w:name="_Toc286993792"/>
      <w:bookmarkStart w:id="137" w:name="_Toc211911353"/>
      <w:bookmarkStart w:id="138" w:name="_Toc225244857"/>
      <w:bookmarkStart w:id="139" w:name="_Toc239233919"/>
      <w:bookmarkStart w:id="140" w:name="_Toc211854454"/>
      <w:bookmarkStart w:id="141" w:name="_Toc225654649"/>
      <w:bookmarkStart w:id="142" w:name="_Toc247334846"/>
      <w:bookmarkStart w:id="143" w:name="_Toc251768867"/>
      <w:bookmarkStart w:id="144" w:name="_Toc237145411"/>
      <w:bookmarkStart w:id="145" w:name="_Toc232492933"/>
      <w:r>
        <w:rPr>
          <w:rFonts w:hint="eastAsia" w:hAnsi="宋体" w:cs="宋体"/>
          <w:b/>
          <w:color w:val="auto"/>
          <w:sz w:val="24"/>
          <w:highlight w:val="none"/>
        </w:rPr>
        <w:t>解决合同纠纷的方式</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1、在执行本合同中发生的或与本合同有关的争端，双方应通过友好协商解决，协商不成</w:t>
      </w:r>
      <w:r>
        <w:rPr>
          <w:rFonts w:hint="eastAsia" w:hAnsi="宋体" w:cs="宋体"/>
          <w:color w:val="auto"/>
          <w:sz w:val="24"/>
          <w:highlight w:val="none"/>
          <w:lang w:val="en-US" w:eastAsia="zh-CN"/>
        </w:rPr>
        <w:t>的</w:t>
      </w:r>
      <w:r>
        <w:rPr>
          <w:rFonts w:hint="eastAsia" w:hAnsi="宋体" w:cs="宋体"/>
          <w:color w:val="auto"/>
          <w:sz w:val="24"/>
          <w:highlight w:val="none"/>
        </w:rPr>
        <w:t>，应提交成都仲裁委员会仲裁。</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2、仲裁裁决应为最终决定，并对双方具有约束力。</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3、除另有裁决外，仲裁费应由败诉方负担。</w:t>
      </w:r>
    </w:p>
    <w:p>
      <w:pPr>
        <w:tabs>
          <w:tab w:val="left" w:pos="0"/>
        </w:tabs>
        <w:spacing w:line="360" w:lineRule="auto"/>
        <w:ind w:firstLine="480" w:firstLineChars="200"/>
        <w:rPr>
          <w:rFonts w:hAnsi="宋体" w:cs="宋体"/>
          <w:color w:val="auto"/>
          <w:sz w:val="24"/>
          <w:highlight w:val="none"/>
        </w:rPr>
      </w:pPr>
      <w:r>
        <w:rPr>
          <w:rFonts w:hint="eastAsia" w:hAnsi="宋体" w:cs="宋体"/>
          <w:color w:val="auto"/>
          <w:sz w:val="24"/>
          <w:highlight w:val="none"/>
        </w:rPr>
        <w:t>4、在仲裁期间，除正在进行仲裁部分外，合同其他部分继续执行。</w:t>
      </w:r>
    </w:p>
    <w:p>
      <w:pPr>
        <w:numPr>
          <w:ilvl w:val="0"/>
          <w:numId w:val="2"/>
        </w:numPr>
        <w:spacing w:line="360" w:lineRule="auto"/>
        <w:rPr>
          <w:rFonts w:hAnsi="宋体" w:cs="宋体"/>
          <w:b/>
          <w:color w:val="auto"/>
          <w:sz w:val="24"/>
          <w:highlight w:val="none"/>
        </w:rPr>
      </w:pPr>
      <w:bookmarkStart w:id="146" w:name="_Toc251768868"/>
      <w:bookmarkStart w:id="147" w:name="_Toc247334847"/>
      <w:bookmarkStart w:id="148" w:name="_Toc241833909"/>
      <w:bookmarkStart w:id="149" w:name="_Toc211854455"/>
      <w:bookmarkStart w:id="150" w:name="_Toc225654650"/>
      <w:bookmarkStart w:id="151" w:name="_Toc225670757"/>
      <w:bookmarkStart w:id="152" w:name="_Toc212019600"/>
      <w:bookmarkStart w:id="153" w:name="_Toc286993793"/>
      <w:bookmarkStart w:id="154" w:name="_Toc185395255"/>
      <w:bookmarkStart w:id="155" w:name="_Toc283019219"/>
      <w:bookmarkStart w:id="156" w:name="_Toc232492934"/>
      <w:bookmarkStart w:id="157" w:name="_Toc211911354"/>
      <w:bookmarkStart w:id="158" w:name="_Toc239233920"/>
      <w:bookmarkStart w:id="159" w:name="_Toc237145412"/>
      <w:bookmarkStart w:id="160" w:name="_Toc238984981"/>
      <w:bookmarkStart w:id="161" w:name="_Toc239568424"/>
      <w:bookmarkStart w:id="162" w:name="_Toc225244858"/>
      <w:bookmarkStart w:id="163" w:name="_Toc282696231"/>
      <w:r>
        <w:rPr>
          <w:rFonts w:hint="eastAsia" w:hAnsi="宋体" w:cs="宋体"/>
          <w:b/>
          <w:color w:val="auto"/>
          <w:sz w:val="24"/>
          <w:highlight w:val="none"/>
        </w:rPr>
        <w:t>合同</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rPr>
          <w:rFonts w:hint="eastAsia" w:hAnsi="宋体" w:cs="宋体"/>
          <w:b/>
          <w:color w:val="auto"/>
          <w:sz w:val="24"/>
          <w:highlight w:val="none"/>
        </w:rPr>
        <w:t>生效及其他</w:t>
      </w:r>
    </w:p>
    <w:p>
      <w:pPr>
        <w:pStyle w:val="29"/>
        <w:spacing w:line="360" w:lineRule="auto"/>
        <w:ind w:firstLine="480"/>
        <w:rPr>
          <w:rFonts w:hint="eastAsia" w:hAnsi="宋体" w:cs="宋体"/>
          <w:color w:val="auto"/>
          <w:sz w:val="24"/>
          <w:highlight w:val="none"/>
        </w:rPr>
      </w:pPr>
      <w:r>
        <w:rPr>
          <w:rFonts w:hint="eastAsia" w:hAnsi="宋体" w:cs="宋体"/>
          <w:color w:val="auto"/>
          <w:sz w:val="24"/>
          <w:highlight w:val="none"/>
        </w:rPr>
        <w:t>1、合同经双方法定代表人（负责人）或授权委托代表签字并加盖单位公章后生效。</w:t>
      </w:r>
    </w:p>
    <w:p>
      <w:pPr>
        <w:pStyle w:val="29"/>
        <w:spacing w:line="360" w:lineRule="auto"/>
        <w:ind w:firstLine="480"/>
        <w:rPr>
          <w:rFonts w:hint="eastAsia" w:hAnsi="宋体" w:cs="宋体"/>
          <w:color w:val="auto"/>
          <w:sz w:val="24"/>
          <w:highlight w:val="none"/>
        </w:rPr>
      </w:pPr>
      <w:r>
        <w:rPr>
          <w:rFonts w:hint="eastAsia" w:hAnsi="宋体" w:cs="宋体"/>
          <w:color w:val="auto"/>
          <w:sz w:val="24"/>
          <w:highlight w:val="none"/>
        </w:rPr>
        <w:t>2、合同执行中涉及采购资金和采购内容修改或补充的，须经政府采购监管部门审批，并签书面补充协议报政府采购监督管理部门备案，方可作为主合同不可分割的一部分。</w:t>
      </w:r>
    </w:p>
    <w:p>
      <w:pPr>
        <w:pStyle w:val="29"/>
        <w:spacing w:line="360" w:lineRule="auto"/>
        <w:ind w:firstLine="480"/>
        <w:rPr>
          <w:rFonts w:hint="eastAsia" w:hAnsi="宋体" w:cs="宋体"/>
          <w:color w:val="auto"/>
          <w:sz w:val="24"/>
          <w:highlight w:val="none"/>
        </w:rPr>
      </w:pPr>
      <w:r>
        <w:rPr>
          <w:rFonts w:hint="eastAsia" w:hAnsi="宋体" w:cs="宋体"/>
          <w:color w:val="auto"/>
          <w:sz w:val="24"/>
          <w:highlight w:val="none"/>
        </w:rPr>
        <w:t>3、本合同一式XX份，自双方签章之日起生效。甲方XX份，乙方XX份，政府采购代理机构XX份，同级财政部门备案XX份，具有同等法律效力。</w:t>
      </w:r>
    </w:p>
    <w:p>
      <w:pPr>
        <w:numPr>
          <w:ilvl w:val="0"/>
          <w:numId w:val="2"/>
        </w:numPr>
        <w:spacing w:line="360" w:lineRule="auto"/>
        <w:rPr>
          <w:rFonts w:hAnsi="宋体" w:cs="宋体"/>
          <w:b/>
          <w:color w:val="auto"/>
          <w:sz w:val="24"/>
          <w:highlight w:val="none"/>
        </w:rPr>
      </w:pPr>
      <w:r>
        <w:rPr>
          <w:rFonts w:hint="eastAsia" w:hAnsi="宋体" w:cs="宋体"/>
          <w:b/>
          <w:color w:val="auto"/>
          <w:sz w:val="24"/>
          <w:highlight w:val="none"/>
        </w:rPr>
        <w:t>附件</w:t>
      </w:r>
    </w:p>
    <w:p>
      <w:pPr>
        <w:pStyle w:val="29"/>
        <w:spacing w:line="360" w:lineRule="auto"/>
        <w:ind w:firstLine="480"/>
        <w:rPr>
          <w:rFonts w:hint="eastAsia" w:hAnsi="宋体" w:eastAsia="宋体" w:cs="宋体"/>
          <w:color w:val="auto"/>
          <w:sz w:val="24"/>
          <w:highlight w:val="none"/>
          <w:lang w:eastAsia="zh-CN"/>
        </w:rPr>
      </w:pPr>
      <w:r>
        <w:rPr>
          <w:rFonts w:hint="eastAsia" w:hAnsi="宋体" w:cs="宋体"/>
          <w:color w:val="auto"/>
          <w:sz w:val="24"/>
          <w:highlight w:val="none"/>
        </w:rPr>
        <w:t>1、项目</w:t>
      </w:r>
      <w:r>
        <w:rPr>
          <w:rFonts w:hint="eastAsia" w:hAnsi="宋体" w:cs="宋体"/>
          <w:color w:val="auto"/>
          <w:sz w:val="24"/>
          <w:highlight w:val="none"/>
          <w:lang w:eastAsia="zh-CN"/>
        </w:rPr>
        <w:t>磋商文件</w:t>
      </w:r>
    </w:p>
    <w:p>
      <w:pPr>
        <w:pStyle w:val="29"/>
        <w:spacing w:line="360" w:lineRule="auto"/>
        <w:ind w:firstLine="480"/>
        <w:rPr>
          <w:rFonts w:hAnsi="宋体" w:cs="宋体"/>
          <w:color w:val="auto"/>
          <w:sz w:val="24"/>
          <w:highlight w:val="none"/>
        </w:rPr>
      </w:pPr>
      <w:r>
        <w:rPr>
          <w:rFonts w:hint="eastAsia" w:hAnsi="宋体" w:cs="宋体"/>
          <w:color w:val="auto"/>
          <w:sz w:val="24"/>
          <w:highlight w:val="none"/>
        </w:rPr>
        <w:t>2、项目修改澄清文件</w:t>
      </w:r>
    </w:p>
    <w:p>
      <w:pPr>
        <w:pStyle w:val="29"/>
        <w:spacing w:line="360" w:lineRule="auto"/>
        <w:ind w:firstLine="480"/>
        <w:rPr>
          <w:rFonts w:hAnsi="宋体" w:cs="宋体"/>
          <w:color w:val="auto"/>
          <w:sz w:val="24"/>
          <w:highlight w:val="none"/>
        </w:rPr>
      </w:pPr>
      <w:r>
        <w:rPr>
          <w:rFonts w:hint="eastAsia" w:hAnsi="宋体" w:cs="宋体"/>
          <w:color w:val="auto"/>
          <w:sz w:val="24"/>
          <w:highlight w:val="none"/>
        </w:rPr>
        <w:t>3、项目响应文件</w:t>
      </w:r>
    </w:p>
    <w:p>
      <w:pPr>
        <w:pStyle w:val="29"/>
        <w:spacing w:line="360" w:lineRule="auto"/>
        <w:ind w:firstLine="480"/>
        <w:rPr>
          <w:rFonts w:hint="eastAsia" w:hAnsi="宋体" w:eastAsia="宋体" w:cs="宋体"/>
          <w:color w:val="auto"/>
          <w:sz w:val="24"/>
          <w:highlight w:val="none"/>
          <w:lang w:eastAsia="zh-CN"/>
        </w:rPr>
      </w:pPr>
      <w:r>
        <w:rPr>
          <w:rFonts w:hint="eastAsia" w:hAnsi="宋体" w:cs="宋体"/>
          <w:color w:val="auto"/>
          <w:sz w:val="24"/>
          <w:highlight w:val="none"/>
        </w:rPr>
        <w:t>4、</w:t>
      </w:r>
      <w:r>
        <w:rPr>
          <w:rFonts w:hint="eastAsia" w:hAnsi="宋体" w:cs="宋体"/>
          <w:color w:val="auto"/>
          <w:sz w:val="24"/>
          <w:highlight w:val="none"/>
          <w:lang w:eastAsia="zh-CN"/>
        </w:rPr>
        <w:t>成交通知书</w:t>
      </w:r>
    </w:p>
    <w:p>
      <w:pPr>
        <w:pStyle w:val="29"/>
        <w:spacing w:line="360" w:lineRule="auto"/>
        <w:ind w:left="0" w:leftChars="0" w:firstLine="0" w:firstLineChars="0"/>
        <w:rPr>
          <w:rFonts w:hAnsi="宋体" w:cs="宋体"/>
          <w:color w:val="auto"/>
          <w:sz w:val="24"/>
          <w:highlight w:val="none"/>
        </w:rPr>
      </w:pPr>
    </w:p>
    <w:p>
      <w:pPr>
        <w:spacing w:line="360" w:lineRule="auto"/>
        <w:rPr>
          <w:rFonts w:hAnsi="宋体" w:cs="宋体"/>
          <w:sz w:val="24"/>
          <w:highlight w:val="none"/>
        </w:rPr>
      </w:pPr>
    </w:p>
    <w:p>
      <w:pPr>
        <w:spacing w:line="400" w:lineRule="exact"/>
        <w:ind w:firstLine="480" w:firstLineChars="200"/>
        <w:rPr>
          <w:rFonts w:hAnsi="宋体" w:cs="宋体"/>
          <w:sz w:val="24"/>
          <w:highlight w:val="none"/>
        </w:rPr>
      </w:pPr>
      <w:r>
        <w:rPr>
          <w:rFonts w:hint="eastAsia" w:hAnsi="宋体" w:cs="宋体"/>
          <w:sz w:val="24"/>
          <w:highlight w:val="none"/>
        </w:rPr>
        <w:t xml:space="preserve">甲方：   （盖章）   </w:t>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 xml:space="preserve">                     乙方：   （盖章）</w:t>
      </w:r>
    </w:p>
    <w:p>
      <w:pPr>
        <w:spacing w:line="400" w:lineRule="exact"/>
        <w:ind w:firstLine="480" w:firstLineChars="200"/>
        <w:rPr>
          <w:rFonts w:hAnsi="宋体" w:cs="宋体"/>
          <w:sz w:val="24"/>
          <w:highlight w:val="none"/>
        </w:rPr>
      </w:pPr>
      <w:r>
        <w:rPr>
          <w:rFonts w:hint="eastAsia" w:hAnsi="宋体" w:cs="宋体"/>
          <w:sz w:val="24"/>
          <w:highlight w:val="none"/>
        </w:rPr>
        <w:t>法定代表人（授权代表）：                         法定代表人（授权代表）：</w:t>
      </w:r>
    </w:p>
    <w:p>
      <w:pPr>
        <w:spacing w:line="400" w:lineRule="exact"/>
        <w:ind w:firstLine="480" w:firstLineChars="200"/>
        <w:rPr>
          <w:rFonts w:hAnsi="宋体" w:cs="宋体"/>
          <w:sz w:val="24"/>
          <w:highlight w:val="none"/>
        </w:rPr>
      </w:pPr>
      <w:r>
        <w:rPr>
          <w:rFonts w:hint="eastAsia" w:hAnsi="宋体" w:cs="宋体"/>
          <w:sz w:val="24"/>
          <w:highlight w:val="none"/>
        </w:rPr>
        <w:t>地    址：                                       地    址：</w:t>
      </w:r>
    </w:p>
    <w:p>
      <w:pPr>
        <w:spacing w:line="400" w:lineRule="exact"/>
        <w:ind w:firstLine="480" w:firstLineChars="200"/>
        <w:rPr>
          <w:rFonts w:hAnsi="宋体" w:cs="宋体"/>
          <w:sz w:val="24"/>
          <w:highlight w:val="none"/>
        </w:rPr>
      </w:pPr>
      <w:r>
        <w:rPr>
          <w:rFonts w:hint="eastAsia" w:hAnsi="宋体" w:cs="宋体"/>
          <w:sz w:val="24"/>
          <w:highlight w:val="none"/>
        </w:rPr>
        <w:t>开户银行：                                       开户银行：</w:t>
      </w:r>
    </w:p>
    <w:p>
      <w:pPr>
        <w:spacing w:line="400" w:lineRule="exact"/>
        <w:ind w:firstLine="480" w:firstLineChars="200"/>
        <w:rPr>
          <w:rFonts w:hAnsi="宋体" w:cs="宋体"/>
          <w:sz w:val="24"/>
          <w:highlight w:val="none"/>
        </w:rPr>
      </w:pPr>
      <w:r>
        <w:rPr>
          <w:rFonts w:hint="eastAsia" w:hAnsi="宋体" w:cs="宋体"/>
          <w:sz w:val="24"/>
          <w:highlight w:val="none"/>
        </w:rPr>
        <w:t>账号：                                           账号：</w:t>
      </w:r>
    </w:p>
    <w:p>
      <w:pPr>
        <w:spacing w:line="400" w:lineRule="exact"/>
        <w:ind w:firstLine="480" w:firstLineChars="200"/>
        <w:rPr>
          <w:rFonts w:hAnsi="宋体" w:cs="宋体"/>
          <w:sz w:val="24"/>
          <w:highlight w:val="none"/>
        </w:rPr>
      </w:pPr>
      <w:r>
        <w:rPr>
          <w:rFonts w:hint="eastAsia" w:hAnsi="宋体" w:cs="宋体"/>
          <w:sz w:val="24"/>
          <w:highlight w:val="none"/>
        </w:rPr>
        <w:t>电    话：                                       电    话：</w:t>
      </w:r>
    </w:p>
    <w:p>
      <w:pPr>
        <w:spacing w:line="400" w:lineRule="exact"/>
        <w:ind w:firstLine="480" w:firstLineChars="200"/>
        <w:rPr>
          <w:rFonts w:hAnsi="宋体" w:cs="宋体"/>
          <w:sz w:val="24"/>
          <w:highlight w:val="none"/>
        </w:rPr>
      </w:pPr>
      <w:r>
        <w:rPr>
          <w:rFonts w:hint="eastAsia" w:hAnsi="宋体" w:cs="宋体"/>
          <w:sz w:val="24"/>
          <w:highlight w:val="none"/>
        </w:rPr>
        <w:t>传    真：                                       传    真：</w:t>
      </w:r>
    </w:p>
    <w:p>
      <w:pPr>
        <w:spacing w:line="400" w:lineRule="exact"/>
        <w:ind w:firstLine="480" w:firstLineChars="200"/>
        <w:rPr>
          <w:rFonts w:hAnsi="宋体" w:cs="宋体"/>
          <w:sz w:val="24"/>
          <w:highlight w:val="none"/>
        </w:rPr>
      </w:pPr>
      <w:r>
        <w:rPr>
          <w:rFonts w:hint="eastAsia" w:hAnsi="宋体" w:cs="宋体"/>
          <w:sz w:val="24"/>
          <w:highlight w:val="none"/>
        </w:rPr>
        <w:t xml:space="preserve">签约日期：XX年XX月XX日 </w:t>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ab/>
      </w:r>
      <w:r>
        <w:rPr>
          <w:rFonts w:hint="eastAsia" w:hAnsi="宋体" w:cs="宋体"/>
          <w:sz w:val="24"/>
          <w:highlight w:val="none"/>
        </w:rPr>
        <w:t xml:space="preserve">               签约日期：XX年XX月XX日</w:t>
      </w:r>
    </w:p>
    <w:p>
      <w:pPr>
        <w:spacing w:line="360" w:lineRule="auto"/>
        <w:ind w:firstLine="480" w:firstLineChars="200"/>
        <w:rPr>
          <w:rFonts w:hAnsi="宋体" w:cs="宋体"/>
          <w:color w:val="000000"/>
          <w:sz w:val="24"/>
          <w:highlight w:val="none"/>
        </w:rPr>
      </w:pPr>
    </w:p>
    <w:sectPr>
      <w:footerReference r:id="rId12" w:type="default"/>
      <w:pgSz w:w="11905" w:h="16838"/>
      <w:pgMar w:top="1440" w:right="1080" w:bottom="1440" w:left="1080"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1 -</w:t>
    </w:r>
    <w:r>
      <w:rPr>
        <w:rFonts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rPr>
        <w:rStyle w:val="23"/>
      </w:rPr>
    </w:pPr>
    <w:r>
      <w:fldChar w:fldCharType="begin"/>
    </w:r>
    <w:r>
      <w:rPr>
        <w:rStyle w:val="23"/>
      </w:rPr>
      <w:instrText xml:space="preserve">PAGE  </w:instrText>
    </w:r>
    <w:r>
      <w:fldChar w:fldCharType="end"/>
    </w:r>
  </w:p>
  <w:p>
    <w:pPr>
      <w:pStyle w:val="1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2 -</w:t>
    </w:r>
    <w:r>
      <w:rPr>
        <w:rFonts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22 -</w:t>
    </w:r>
    <w:r>
      <w:rPr>
        <w:rFonts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2 -</w:t>
    </w:r>
    <w:r>
      <w:rPr>
        <w:rFonts w:hAnsi="宋体"/>
        <w:sz w:val="28"/>
        <w:szCs w:val="2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Ansi="宋体"/>
        <w:sz w:val="32"/>
        <w:szCs w:val="32"/>
      </w:rPr>
    </w:pPr>
    <w:r>
      <w:rPr>
        <w:rFonts w:hAnsi="宋体"/>
        <w:sz w:val="32"/>
        <w:szCs w:val="32"/>
      </w:rPr>
      <w:fldChar w:fldCharType="begin"/>
    </w:r>
    <w:r>
      <w:rPr>
        <w:rFonts w:hAnsi="宋体"/>
        <w:sz w:val="32"/>
        <w:szCs w:val="32"/>
      </w:rPr>
      <w:instrText xml:space="preserve"> PAGE   \* MERGEFORMAT </w:instrText>
    </w:r>
    <w:r>
      <w:rPr>
        <w:rFonts w:hAnsi="宋体"/>
        <w:sz w:val="32"/>
        <w:szCs w:val="32"/>
      </w:rPr>
      <w:fldChar w:fldCharType="separate"/>
    </w:r>
    <w:r>
      <w:rPr>
        <w:rFonts w:hAnsi="宋体"/>
        <w:sz w:val="32"/>
        <w:szCs w:val="32"/>
        <w:lang w:val="zh-CN"/>
      </w:rPr>
      <w:t>-</w:t>
    </w:r>
    <w:r>
      <w:rPr>
        <w:rFonts w:hAnsi="宋体"/>
        <w:sz w:val="32"/>
        <w:szCs w:val="32"/>
      </w:rPr>
      <w:t xml:space="preserve"> 34 -</w:t>
    </w:r>
    <w:r>
      <w:rPr>
        <w:rFonts w:hAnsi="宋体"/>
        <w:sz w:val="32"/>
        <w:szCs w:val="32"/>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Ansi="宋体"/>
        <w:sz w:val="28"/>
        <w:szCs w:val="28"/>
      </w:rPr>
    </w:pPr>
    <w:r>
      <w:rPr>
        <w:rFonts w:hAnsi="宋体"/>
        <w:sz w:val="28"/>
        <w:szCs w:val="28"/>
      </w:rPr>
      <w:fldChar w:fldCharType="begin"/>
    </w:r>
    <w:r>
      <w:rPr>
        <w:rFonts w:hAnsi="宋体"/>
        <w:sz w:val="28"/>
        <w:szCs w:val="28"/>
      </w:rPr>
      <w:instrText xml:space="preserve"> PAGE   \* MERGEFORMAT </w:instrText>
    </w:r>
    <w:r>
      <w:rPr>
        <w:rFonts w:hAnsi="宋体"/>
        <w:sz w:val="28"/>
        <w:szCs w:val="28"/>
      </w:rPr>
      <w:fldChar w:fldCharType="separate"/>
    </w:r>
    <w:r>
      <w:rPr>
        <w:rFonts w:hAnsi="宋体"/>
        <w:sz w:val="28"/>
        <w:szCs w:val="28"/>
        <w:lang w:val="zh-CN"/>
      </w:rPr>
      <w:t>-</w:t>
    </w:r>
    <w:r>
      <w:rPr>
        <w:rFonts w:hAnsi="宋体"/>
        <w:sz w:val="28"/>
        <w:szCs w:val="28"/>
      </w:rPr>
      <w:t xml:space="preserve"> 44 -</w:t>
    </w:r>
    <w:r>
      <w:rPr>
        <w:rFonts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hint="eastAsia" w:eastAsia="宋体"/>
        <w:lang w:eastAsia="zh-CN"/>
      </w:rPr>
    </w:pPr>
    <w:r>
      <w:rPr>
        <w:rFonts w:hint="eastAsia"/>
      </w:rPr>
      <w:t>四川省工商行政管理局数据中心建设项目政府采购—</w:t>
    </w:r>
    <w:r>
      <w:rPr>
        <w:rFonts w:hint="eastAsia"/>
        <w:lang w:eastAsia="zh-CN"/>
      </w:rPr>
      <w:t>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87886A"/>
    <w:multiLevelType w:val="singleLevel"/>
    <w:tmpl w:val="A887886A"/>
    <w:lvl w:ilvl="0" w:tentative="0">
      <w:start w:val="3"/>
      <w:numFmt w:val="chineseCounting"/>
      <w:suff w:val="nothing"/>
      <w:lvlText w:val="%1、"/>
      <w:lvlJc w:val="left"/>
      <w:rPr>
        <w:rFonts w:hint="eastAsia"/>
      </w:rPr>
    </w:lvl>
  </w:abstractNum>
  <w:abstractNum w:abstractNumId="1">
    <w:nsid w:val="1D9C2199"/>
    <w:multiLevelType w:val="multilevel"/>
    <w:tmpl w:val="1D9C2199"/>
    <w:lvl w:ilvl="0" w:tentative="0">
      <w:start w:val="1"/>
      <w:numFmt w:val="chineseCountingThousand"/>
      <w:suff w:val="nothing"/>
      <w:lvlText w:val="(%1)"/>
      <w:lvlJc w:val="left"/>
      <w:pPr>
        <w:ind w:left="420" w:hanging="420"/>
      </w:pPr>
      <w:rPr>
        <w:rFonts w:hint="eastAsia"/>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C2C4B8D"/>
    <w:multiLevelType w:val="singleLevel"/>
    <w:tmpl w:val="2C2C4B8D"/>
    <w:lvl w:ilvl="0" w:tentative="0">
      <w:start w:val="1"/>
      <w:numFmt w:val="japaneseCounting"/>
      <w:lvlText w:val="第%1条"/>
      <w:lvlJc w:val="left"/>
      <w:pPr>
        <w:tabs>
          <w:tab w:val="left" w:pos="1521"/>
        </w:tabs>
        <w:ind w:left="1521" w:hanging="1095"/>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660"/>
    <w:rsid w:val="0000308E"/>
    <w:rsid w:val="00004B89"/>
    <w:rsid w:val="00013385"/>
    <w:rsid w:val="00013966"/>
    <w:rsid w:val="0001438F"/>
    <w:rsid w:val="00014483"/>
    <w:rsid w:val="00015AD4"/>
    <w:rsid w:val="000176E8"/>
    <w:rsid w:val="00021F2A"/>
    <w:rsid w:val="00022084"/>
    <w:rsid w:val="000222FA"/>
    <w:rsid w:val="0002293A"/>
    <w:rsid w:val="00023E17"/>
    <w:rsid w:val="000246A1"/>
    <w:rsid w:val="00024A16"/>
    <w:rsid w:val="00026274"/>
    <w:rsid w:val="000267EB"/>
    <w:rsid w:val="00026E80"/>
    <w:rsid w:val="00030DE6"/>
    <w:rsid w:val="00031286"/>
    <w:rsid w:val="00031558"/>
    <w:rsid w:val="00032335"/>
    <w:rsid w:val="00032783"/>
    <w:rsid w:val="00035948"/>
    <w:rsid w:val="000408C4"/>
    <w:rsid w:val="00041FE4"/>
    <w:rsid w:val="000451F8"/>
    <w:rsid w:val="000462B4"/>
    <w:rsid w:val="00046697"/>
    <w:rsid w:val="0004677D"/>
    <w:rsid w:val="00047873"/>
    <w:rsid w:val="00050590"/>
    <w:rsid w:val="00051366"/>
    <w:rsid w:val="000523DF"/>
    <w:rsid w:val="000526C6"/>
    <w:rsid w:val="00052B12"/>
    <w:rsid w:val="00053337"/>
    <w:rsid w:val="00054BA4"/>
    <w:rsid w:val="00055034"/>
    <w:rsid w:val="00055C21"/>
    <w:rsid w:val="000567A9"/>
    <w:rsid w:val="00056979"/>
    <w:rsid w:val="00057397"/>
    <w:rsid w:val="00061464"/>
    <w:rsid w:val="00061AC9"/>
    <w:rsid w:val="0006243C"/>
    <w:rsid w:val="0006264C"/>
    <w:rsid w:val="000657E0"/>
    <w:rsid w:val="0006634F"/>
    <w:rsid w:val="0006738D"/>
    <w:rsid w:val="000727F2"/>
    <w:rsid w:val="000731F0"/>
    <w:rsid w:val="000739F4"/>
    <w:rsid w:val="00073B7E"/>
    <w:rsid w:val="00074138"/>
    <w:rsid w:val="000743DD"/>
    <w:rsid w:val="0007588A"/>
    <w:rsid w:val="00076B0B"/>
    <w:rsid w:val="00081815"/>
    <w:rsid w:val="00081A37"/>
    <w:rsid w:val="00082B75"/>
    <w:rsid w:val="000834B0"/>
    <w:rsid w:val="000839BF"/>
    <w:rsid w:val="00084183"/>
    <w:rsid w:val="0008602F"/>
    <w:rsid w:val="000867B4"/>
    <w:rsid w:val="00086A4E"/>
    <w:rsid w:val="00090600"/>
    <w:rsid w:val="00090A00"/>
    <w:rsid w:val="00092B4C"/>
    <w:rsid w:val="000932AA"/>
    <w:rsid w:val="00093ABA"/>
    <w:rsid w:val="000958DC"/>
    <w:rsid w:val="000961B1"/>
    <w:rsid w:val="000962DA"/>
    <w:rsid w:val="000A1518"/>
    <w:rsid w:val="000A1D01"/>
    <w:rsid w:val="000A2A84"/>
    <w:rsid w:val="000A32C6"/>
    <w:rsid w:val="000A3D02"/>
    <w:rsid w:val="000A3D83"/>
    <w:rsid w:val="000A4196"/>
    <w:rsid w:val="000A42C7"/>
    <w:rsid w:val="000A4B2E"/>
    <w:rsid w:val="000A4EA5"/>
    <w:rsid w:val="000A7857"/>
    <w:rsid w:val="000B07DD"/>
    <w:rsid w:val="000B0E0C"/>
    <w:rsid w:val="000B0F4B"/>
    <w:rsid w:val="000B1C2C"/>
    <w:rsid w:val="000B58C4"/>
    <w:rsid w:val="000B798B"/>
    <w:rsid w:val="000B7FD8"/>
    <w:rsid w:val="000C00DD"/>
    <w:rsid w:val="000C0146"/>
    <w:rsid w:val="000C13BC"/>
    <w:rsid w:val="000C22DB"/>
    <w:rsid w:val="000C2EFC"/>
    <w:rsid w:val="000C3B13"/>
    <w:rsid w:val="000C405E"/>
    <w:rsid w:val="000C4129"/>
    <w:rsid w:val="000C4762"/>
    <w:rsid w:val="000C562F"/>
    <w:rsid w:val="000C5D2D"/>
    <w:rsid w:val="000C5FC0"/>
    <w:rsid w:val="000D03B4"/>
    <w:rsid w:val="000D0F0A"/>
    <w:rsid w:val="000D1724"/>
    <w:rsid w:val="000D319D"/>
    <w:rsid w:val="000D4EFB"/>
    <w:rsid w:val="000D705A"/>
    <w:rsid w:val="000D710C"/>
    <w:rsid w:val="000D7267"/>
    <w:rsid w:val="000E0A69"/>
    <w:rsid w:val="000E583C"/>
    <w:rsid w:val="000E6476"/>
    <w:rsid w:val="000E6CD7"/>
    <w:rsid w:val="000F13D2"/>
    <w:rsid w:val="000F422B"/>
    <w:rsid w:val="000F45A9"/>
    <w:rsid w:val="000F6854"/>
    <w:rsid w:val="000F7508"/>
    <w:rsid w:val="00100B7D"/>
    <w:rsid w:val="00100C85"/>
    <w:rsid w:val="00100FCD"/>
    <w:rsid w:val="0010167E"/>
    <w:rsid w:val="00101CB5"/>
    <w:rsid w:val="001033D2"/>
    <w:rsid w:val="00105014"/>
    <w:rsid w:val="0010666F"/>
    <w:rsid w:val="00110FF1"/>
    <w:rsid w:val="001114EB"/>
    <w:rsid w:val="001116C7"/>
    <w:rsid w:val="00111F41"/>
    <w:rsid w:val="00114DE5"/>
    <w:rsid w:val="00114EBA"/>
    <w:rsid w:val="001150A5"/>
    <w:rsid w:val="001212C2"/>
    <w:rsid w:val="0012276E"/>
    <w:rsid w:val="001239E7"/>
    <w:rsid w:val="00123E53"/>
    <w:rsid w:val="00123FC0"/>
    <w:rsid w:val="00126265"/>
    <w:rsid w:val="00126D87"/>
    <w:rsid w:val="00131F14"/>
    <w:rsid w:val="00131FFA"/>
    <w:rsid w:val="001329EB"/>
    <w:rsid w:val="001345C8"/>
    <w:rsid w:val="0013590F"/>
    <w:rsid w:val="00136485"/>
    <w:rsid w:val="00136D53"/>
    <w:rsid w:val="0014096E"/>
    <w:rsid w:val="00142470"/>
    <w:rsid w:val="0014425B"/>
    <w:rsid w:val="001451F2"/>
    <w:rsid w:val="001464DD"/>
    <w:rsid w:val="001500D3"/>
    <w:rsid w:val="00150BFF"/>
    <w:rsid w:val="00151441"/>
    <w:rsid w:val="00152074"/>
    <w:rsid w:val="00153D4C"/>
    <w:rsid w:val="0015550E"/>
    <w:rsid w:val="00156466"/>
    <w:rsid w:val="00156D44"/>
    <w:rsid w:val="001575FD"/>
    <w:rsid w:val="00161AEF"/>
    <w:rsid w:val="00162078"/>
    <w:rsid w:val="0016341A"/>
    <w:rsid w:val="001648CD"/>
    <w:rsid w:val="001652F8"/>
    <w:rsid w:val="00165833"/>
    <w:rsid w:val="00167ED2"/>
    <w:rsid w:val="00170C8C"/>
    <w:rsid w:val="00172A27"/>
    <w:rsid w:val="001746B3"/>
    <w:rsid w:val="00175AEB"/>
    <w:rsid w:val="001763A5"/>
    <w:rsid w:val="001836F5"/>
    <w:rsid w:val="0018382C"/>
    <w:rsid w:val="0018390E"/>
    <w:rsid w:val="00183F9B"/>
    <w:rsid w:val="00185A39"/>
    <w:rsid w:val="00185F2C"/>
    <w:rsid w:val="00186A43"/>
    <w:rsid w:val="00186AEA"/>
    <w:rsid w:val="001876EA"/>
    <w:rsid w:val="00187C36"/>
    <w:rsid w:val="00187D88"/>
    <w:rsid w:val="0019037D"/>
    <w:rsid w:val="00193802"/>
    <w:rsid w:val="00193E56"/>
    <w:rsid w:val="00195841"/>
    <w:rsid w:val="001961BF"/>
    <w:rsid w:val="00196A94"/>
    <w:rsid w:val="00196B7A"/>
    <w:rsid w:val="001974BF"/>
    <w:rsid w:val="0019756E"/>
    <w:rsid w:val="001A0BE4"/>
    <w:rsid w:val="001A4D34"/>
    <w:rsid w:val="001A67F1"/>
    <w:rsid w:val="001A761A"/>
    <w:rsid w:val="001B053F"/>
    <w:rsid w:val="001B1F0F"/>
    <w:rsid w:val="001B22E9"/>
    <w:rsid w:val="001B334A"/>
    <w:rsid w:val="001B3E78"/>
    <w:rsid w:val="001B4B2D"/>
    <w:rsid w:val="001C0ADA"/>
    <w:rsid w:val="001C2CAE"/>
    <w:rsid w:val="001C4A5B"/>
    <w:rsid w:val="001C5AF6"/>
    <w:rsid w:val="001D0F62"/>
    <w:rsid w:val="001D2331"/>
    <w:rsid w:val="001D3913"/>
    <w:rsid w:val="001E0521"/>
    <w:rsid w:val="001E0CB9"/>
    <w:rsid w:val="001E148C"/>
    <w:rsid w:val="001E3B05"/>
    <w:rsid w:val="001E5BB0"/>
    <w:rsid w:val="001E6EBF"/>
    <w:rsid w:val="001E6EC9"/>
    <w:rsid w:val="001E6EF9"/>
    <w:rsid w:val="001F035E"/>
    <w:rsid w:val="001F1E7D"/>
    <w:rsid w:val="001F2E29"/>
    <w:rsid w:val="001F492D"/>
    <w:rsid w:val="001F64F5"/>
    <w:rsid w:val="001F79FC"/>
    <w:rsid w:val="001F7DBD"/>
    <w:rsid w:val="00203068"/>
    <w:rsid w:val="00203901"/>
    <w:rsid w:val="00205336"/>
    <w:rsid w:val="00206D18"/>
    <w:rsid w:val="0021013C"/>
    <w:rsid w:val="002120D0"/>
    <w:rsid w:val="0021221D"/>
    <w:rsid w:val="002125E6"/>
    <w:rsid w:val="00215638"/>
    <w:rsid w:val="0021668E"/>
    <w:rsid w:val="00220283"/>
    <w:rsid w:val="002233C4"/>
    <w:rsid w:val="00224333"/>
    <w:rsid w:val="00224CDC"/>
    <w:rsid w:val="002270B2"/>
    <w:rsid w:val="00230304"/>
    <w:rsid w:val="00230D10"/>
    <w:rsid w:val="002320BC"/>
    <w:rsid w:val="002332EA"/>
    <w:rsid w:val="002342C9"/>
    <w:rsid w:val="00241AF6"/>
    <w:rsid w:val="00242277"/>
    <w:rsid w:val="00243A49"/>
    <w:rsid w:val="00244015"/>
    <w:rsid w:val="0024529B"/>
    <w:rsid w:val="00245E6C"/>
    <w:rsid w:val="002470DA"/>
    <w:rsid w:val="0025006F"/>
    <w:rsid w:val="00250692"/>
    <w:rsid w:val="002509D0"/>
    <w:rsid w:val="002510B3"/>
    <w:rsid w:val="00252DDB"/>
    <w:rsid w:val="0025359C"/>
    <w:rsid w:val="002554B2"/>
    <w:rsid w:val="00255D4B"/>
    <w:rsid w:val="00262A61"/>
    <w:rsid w:val="00263B9A"/>
    <w:rsid w:val="00265F18"/>
    <w:rsid w:val="002665C5"/>
    <w:rsid w:val="002703E3"/>
    <w:rsid w:val="00272326"/>
    <w:rsid w:val="0027252A"/>
    <w:rsid w:val="00277B58"/>
    <w:rsid w:val="00280D8F"/>
    <w:rsid w:val="00281347"/>
    <w:rsid w:val="002857AA"/>
    <w:rsid w:val="0029048E"/>
    <w:rsid w:val="00290AEB"/>
    <w:rsid w:val="00291539"/>
    <w:rsid w:val="002924C6"/>
    <w:rsid w:val="00292632"/>
    <w:rsid w:val="00294EBC"/>
    <w:rsid w:val="0029626C"/>
    <w:rsid w:val="00297B8B"/>
    <w:rsid w:val="002A0B7A"/>
    <w:rsid w:val="002A0C3D"/>
    <w:rsid w:val="002A0C82"/>
    <w:rsid w:val="002A1E56"/>
    <w:rsid w:val="002A4317"/>
    <w:rsid w:val="002A7D03"/>
    <w:rsid w:val="002B067F"/>
    <w:rsid w:val="002B06DF"/>
    <w:rsid w:val="002B3263"/>
    <w:rsid w:val="002B3FE9"/>
    <w:rsid w:val="002B4920"/>
    <w:rsid w:val="002B5EB0"/>
    <w:rsid w:val="002B6D25"/>
    <w:rsid w:val="002B7D1D"/>
    <w:rsid w:val="002C0169"/>
    <w:rsid w:val="002C0185"/>
    <w:rsid w:val="002C0964"/>
    <w:rsid w:val="002C2154"/>
    <w:rsid w:val="002C3905"/>
    <w:rsid w:val="002C67ED"/>
    <w:rsid w:val="002C7DDE"/>
    <w:rsid w:val="002D2A3C"/>
    <w:rsid w:val="002D44CE"/>
    <w:rsid w:val="002D5D7E"/>
    <w:rsid w:val="002D6435"/>
    <w:rsid w:val="002D73AE"/>
    <w:rsid w:val="002E1456"/>
    <w:rsid w:val="002E2016"/>
    <w:rsid w:val="002E372F"/>
    <w:rsid w:val="002E38A1"/>
    <w:rsid w:val="002E53EC"/>
    <w:rsid w:val="002E7B45"/>
    <w:rsid w:val="002F0D48"/>
    <w:rsid w:val="002F300B"/>
    <w:rsid w:val="002F3919"/>
    <w:rsid w:val="002F5A38"/>
    <w:rsid w:val="002F797B"/>
    <w:rsid w:val="00302602"/>
    <w:rsid w:val="0030262F"/>
    <w:rsid w:val="00303C8B"/>
    <w:rsid w:val="00303E80"/>
    <w:rsid w:val="00306772"/>
    <w:rsid w:val="00306A59"/>
    <w:rsid w:val="00306EED"/>
    <w:rsid w:val="00306F89"/>
    <w:rsid w:val="00311669"/>
    <w:rsid w:val="0031253B"/>
    <w:rsid w:val="00314009"/>
    <w:rsid w:val="00315A72"/>
    <w:rsid w:val="0031795E"/>
    <w:rsid w:val="00321178"/>
    <w:rsid w:val="00321BCE"/>
    <w:rsid w:val="003230A0"/>
    <w:rsid w:val="00323546"/>
    <w:rsid w:val="0032451F"/>
    <w:rsid w:val="003245A1"/>
    <w:rsid w:val="00326A85"/>
    <w:rsid w:val="00326E0E"/>
    <w:rsid w:val="00327B03"/>
    <w:rsid w:val="00331FC6"/>
    <w:rsid w:val="0033261E"/>
    <w:rsid w:val="003331D2"/>
    <w:rsid w:val="00334A11"/>
    <w:rsid w:val="00335BD1"/>
    <w:rsid w:val="003419CA"/>
    <w:rsid w:val="00342078"/>
    <w:rsid w:val="00342B18"/>
    <w:rsid w:val="00343E79"/>
    <w:rsid w:val="00346A47"/>
    <w:rsid w:val="0035067D"/>
    <w:rsid w:val="00351E9C"/>
    <w:rsid w:val="00352BE5"/>
    <w:rsid w:val="003534C0"/>
    <w:rsid w:val="00354318"/>
    <w:rsid w:val="00354A64"/>
    <w:rsid w:val="00354A79"/>
    <w:rsid w:val="00355FC0"/>
    <w:rsid w:val="00356142"/>
    <w:rsid w:val="00356AD1"/>
    <w:rsid w:val="00361262"/>
    <w:rsid w:val="00361C9E"/>
    <w:rsid w:val="00364647"/>
    <w:rsid w:val="00367043"/>
    <w:rsid w:val="0037029D"/>
    <w:rsid w:val="00370C8A"/>
    <w:rsid w:val="0037288F"/>
    <w:rsid w:val="00372E53"/>
    <w:rsid w:val="00373951"/>
    <w:rsid w:val="0037405F"/>
    <w:rsid w:val="00375F76"/>
    <w:rsid w:val="0037714C"/>
    <w:rsid w:val="00381E2B"/>
    <w:rsid w:val="00382A01"/>
    <w:rsid w:val="00383BFA"/>
    <w:rsid w:val="00384FE6"/>
    <w:rsid w:val="003851CE"/>
    <w:rsid w:val="00386948"/>
    <w:rsid w:val="003924E0"/>
    <w:rsid w:val="00394101"/>
    <w:rsid w:val="00395323"/>
    <w:rsid w:val="00395A66"/>
    <w:rsid w:val="0039654A"/>
    <w:rsid w:val="0039658A"/>
    <w:rsid w:val="00396685"/>
    <w:rsid w:val="003A44B1"/>
    <w:rsid w:val="003B035C"/>
    <w:rsid w:val="003B07A2"/>
    <w:rsid w:val="003B0FE8"/>
    <w:rsid w:val="003B1AB5"/>
    <w:rsid w:val="003B1E98"/>
    <w:rsid w:val="003B22D9"/>
    <w:rsid w:val="003B3290"/>
    <w:rsid w:val="003B3755"/>
    <w:rsid w:val="003B4511"/>
    <w:rsid w:val="003B4C27"/>
    <w:rsid w:val="003B6F87"/>
    <w:rsid w:val="003C0054"/>
    <w:rsid w:val="003C0851"/>
    <w:rsid w:val="003C14AB"/>
    <w:rsid w:val="003C1E7C"/>
    <w:rsid w:val="003C668B"/>
    <w:rsid w:val="003C6693"/>
    <w:rsid w:val="003D1437"/>
    <w:rsid w:val="003D3B7C"/>
    <w:rsid w:val="003D629B"/>
    <w:rsid w:val="003D6FFA"/>
    <w:rsid w:val="003E35F5"/>
    <w:rsid w:val="003E44CB"/>
    <w:rsid w:val="003E7EC1"/>
    <w:rsid w:val="003F2938"/>
    <w:rsid w:val="003F4247"/>
    <w:rsid w:val="003F4F88"/>
    <w:rsid w:val="003F53F7"/>
    <w:rsid w:val="003F7462"/>
    <w:rsid w:val="00400273"/>
    <w:rsid w:val="00400415"/>
    <w:rsid w:val="00400F8F"/>
    <w:rsid w:val="00401075"/>
    <w:rsid w:val="00403397"/>
    <w:rsid w:val="00404202"/>
    <w:rsid w:val="00405597"/>
    <w:rsid w:val="004056A0"/>
    <w:rsid w:val="00406C2F"/>
    <w:rsid w:val="004071DA"/>
    <w:rsid w:val="0041210C"/>
    <w:rsid w:val="00420862"/>
    <w:rsid w:val="00420880"/>
    <w:rsid w:val="00421009"/>
    <w:rsid w:val="004233F9"/>
    <w:rsid w:val="0042372A"/>
    <w:rsid w:val="004259A8"/>
    <w:rsid w:val="00425ACB"/>
    <w:rsid w:val="00425E38"/>
    <w:rsid w:val="00427793"/>
    <w:rsid w:val="004277FA"/>
    <w:rsid w:val="00430020"/>
    <w:rsid w:val="004347BF"/>
    <w:rsid w:val="00434EDB"/>
    <w:rsid w:val="00436108"/>
    <w:rsid w:val="00436762"/>
    <w:rsid w:val="004368E1"/>
    <w:rsid w:val="00436A1E"/>
    <w:rsid w:val="00437349"/>
    <w:rsid w:val="00437F68"/>
    <w:rsid w:val="00440010"/>
    <w:rsid w:val="00441691"/>
    <w:rsid w:val="00442203"/>
    <w:rsid w:val="004440D6"/>
    <w:rsid w:val="0044451B"/>
    <w:rsid w:val="00446C23"/>
    <w:rsid w:val="00447598"/>
    <w:rsid w:val="00447F5D"/>
    <w:rsid w:val="00451934"/>
    <w:rsid w:val="004522CD"/>
    <w:rsid w:val="00453DA2"/>
    <w:rsid w:val="00454103"/>
    <w:rsid w:val="004569C9"/>
    <w:rsid w:val="00457964"/>
    <w:rsid w:val="004643AF"/>
    <w:rsid w:val="00464C62"/>
    <w:rsid w:val="00465A54"/>
    <w:rsid w:val="004677D8"/>
    <w:rsid w:val="00472927"/>
    <w:rsid w:val="00474121"/>
    <w:rsid w:val="004746B7"/>
    <w:rsid w:val="00474A2F"/>
    <w:rsid w:val="004753B1"/>
    <w:rsid w:val="00476556"/>
    <w:rsid w:val="004837E8"/>
    <w:rsid w:val="00484A3D"/>
    <w:rsid w:val="0048581D"/>
    <w:rsid w:val="004859C3"/>
    <w:rsid w:val="00485EDF"/>
    <w:rsid w:val="00490A1F"/>
    <w:rsid w:val="004924E2"/>
    <w:rsid w:val="0049282E"/>
    <w:rsid w:val="0049326A"/>
    <w:rsid w:val="0049425B"/>
    <w:rsid w:val="00494369"/>
    <w:rsid w:val="004959F6"/>
    <w:rsid w:val="004967DA"/>
    <w:rsid w:val="004A0510"/>
    <w:rsid w:val="004A0D36"/>
    <w:rsid w:val="004A11B8"/>
    <w:rsid w:val="004A2B4F"/>
    <w:rsid w:val="004A6596"/>
    <w:rsid w:val="004A7ED0"/>
    <w:rsid w:val="004B1CB6"/>
    <w:rsid w:val="004B2E17"/>
    <w:rsid w:val="004B31F5"/>
    <w:rsid w:val="004B42C6"/>
    <w:rsid w:val="004B46E7"/>
    <w:rsid w:val="004B4E67"/>
    <w:rsid w:val="004B56B6"/>
    <w:rsid w:val="004B58B4"/>
    <w:rsid w:val="004B7913"/>
    <w:rsid w:val="004B7CD4"/>
    <w:rsid w:val="004C1A76"/>
    <w:rsid w:val="004C2D18"/>
    <w:rsid w:val="004C30A9"/>
    <w:rsid w:val="004C3CC5"/>
    <w:rsid w:val="004C422F"/>
    <w:rsid w:val="004D17B5"/>
    <w:rsid w:val="004D1CAF"/>
    <w:rsid w:val="004D1D4C"/>
    <w:rsid w:val="004D2D2B"/>
    <w:rsid w:val="004D438D"/>
    <w:rsid w:val="004D6AA0"/>
    <w:rsid w:val="004D6EA3"/>
    <w:rsid w:val="004D7C5A"/>
    <w:rsid w:val="004E095F"/>
    <w:rsid w:val="004E0DC1"/>
    <w:rsid w:val="004E2BA2"/>
    <w:rsid w:val="004E3AD2"/>
    <w:rsid w:val="004E4ECE"/>
    <w:rsid w:val="004E77BC"/>
    <w:rsid w:val="004E7C5E"/>
    <w:rsid w:val="004F053A"/>
    <w:rsid w:val="004F2BA1"/>
    <w:rsid w:val="004F6640"/>
    <w:rsid w:val="004F6D0A"/>
    <w:rsid w:val="00500450"/>
    <w:rsid w:val="005023EE"/>
    <w:rsid w:val="00503CA8"/>
    <w:rsid w:val="0051137A"/>
    <w:rsid w:val="00511759"/>
    <w:rsid w:val="00512F35"/>
    <w:rsid w:val="00515F84"/>
    <w:rsid w:val="00516884"/>
    <w:rsid w:val="00516E92"/>
    <w:rsid w:val="005175BA"/>
    <w:rsid w:val="0051796C"/>
    <w:rsid w:val="0052149F"/>
    <w:rsid w:val="005234C2"/>
    <w:rsid w:val="00523933"/>
    <w:rsid w:val="00524715"/>
    <w:rsid w:val="005275DB"/>
    <w:rsid w:val="00534655"/>
    <w:rsid w:val="0053654A"/>
    <w:rsid w:val="005379D8"/>
    <w:rsid w:val="00537DFF"/>
    <w:rsid w:val="005437F7"/>
    <w:rsid w:val="0054439D"/>
    <w:rsid w:val="005455D7"/>
    <w:rsid w:val="0054613F"/>
    <w:rsid w:val="00546F02"/>
    <w:rsid w:val="0054726C"/>
    <w:rsid w:val="00547477"/>
    <w:rsid w:val="00550637"/>
    <w:rsid w:val="00550C15"/>
    <w:rsid w:val="00551E54"/>
    <w:rsid w:val="00552A5B"/>
    <w:rsid w:val="00553A9F"/>
    <w:rsid w:val="00555666"/>
    <w:rsid w:val="005557AE"/>
    <w:rsid w:val="0055769A"/>
    <w:rsid w:val="005603D7"/>
    <w:rsid w:val="00560776"/>
    <w:rsid w:val="005651F2"/>
    <w:rsid w:val="00566BF2"/>
    <w:rsid w:val="00566C37"/>
    <w:rsid w:val="00567FBF"/>
    <w:rsid w:val="0057020D"/>
    <w:rsid w:val="005710B2"/>
    <w:rsid w:val="005715A3"/>
    <w:rsid w:val="005758DC"/>
    <w:rsid w:val="00575EC8"/>
    <w:rsid w:val="005770E1"/>
    <w:rsid w:val="00577D3B"/>
    <w:rsid w:val="00583ED8"/>
    <w:rsid w:val="00585C10"/>
    <w:rsid w:val="00585D18"/>
    <w:rsid w:val="00586DE8"/>
    <w:rsid w:val="005873E6"/>
    <w:rsid w:val="005876D8"/>
    <w:rsid w:val="00590091"/>
    <w:rsid w:val="00591013"/>
    <w:rsid w:val="0059168E"/>
    <w:rsid w:val="00591E80"/>
    <w:rsid w:val="0059553F"/>
    <w:rsid w:val="00595B7E"/>
    <w:rsid w:val="005A3A4A"/>
    <w:rsid w:val="005A6B6C"/>
    <w:rsid w:val="005B0EA2"/>
    <w:rsid w:val="005B3818"/>
    <w:rsid w:val="005B4B72"/>
    <w:rsid w:val="005B52B1"/>
    <w:rsid w:val="005B5AEB"/>
    <w:rsid w:val="005C08FA"/>
    <w:rsid w:val="005C10F2"/>
    <w:rsid w:val="005C3E17"/>
    <w:rsid w:val="005D1258"/>
    <w:rsid w:val="005D3DE5"/>
    <w:rsid w:val="005D691C"/>
    <w:rsid w:val="005D72BC"/>
    <w:rsid w:val="005D7BAC"/>
    <w:rsid w:val="005E0927"/>
    <w:rsid w:val="005E0EB8"/>
    <w:rsid w:val="005E1042"/>
    <w:rsid w:val="005E290B"/>
    <w:rsid w:val="005E61DB"/>
    <w:rsid w:val="005F038E"/>
    <w:rsid w:val="005F28F4"/>
    <w:rsid w:val="005F39AC"/>
    <w:rsid w:val="005F6B77"/>
    <w:rsid w:val="006003EE"/>
    <w:rsid w:val="00605136"/>
    <w:rsid w:val="0060560B"/>
    <w:rsid w:val="00606299"/>
    <w:rsid w:val="006063A3"/>
    <w:rsid w:val="00606464"/>
    <w:rsid w:val="00606E5C"/>
    <w:rsid w:val="0060753A"/>
    <w:rsid w:val="00610DCC"/>
    <w:rsid w:val="00611609"/>
    <w:rsid w:val="006120A9"/>
    <w:rsid w:val="00612C9E"/>
    <w:rsid w:val="00614B06"/>
    <w:rsid w:val="00614DE1"/>
    <w:rsid w:val="006169D0"/>
    <w:rsid w:val="00616C8F"/>
    <w:rsid w:val="00616EAA"/>
    <w:rsid w:val="0062060B"/>
    <w:rsid w:val="00621870"/>
    <w:rsid w:val="00623D64"/>
    <w:rsid w:val="00626234"/>
    <w:rsid w:val="00627585"/>
    <w:rsid w:val="00627813"/>
    <w:rsid w:val="00630CE7"/>
    <w:rsid w:val="00633FA7"/>
    <w:rsid w:val="006345DE"/>
    <w:rsid w:val="00635F76"/>
    <w:rsid w:val="00643045"/>
    <w:rsid w:val="0064574D"/>
    <w:rsid w:val="00645C78"/>
    <w:rsid w:val="00646470"/>
    <w:rsid w:val="00646570"/>
    <w:rsid w:val="00646E3A"/>
    <w:rsid w:val="00650EC4"/>
    <w:rsid w:val="00652426"/>
    <w:rsid w:val="0065519A"/>
    <w:rsid w:val="0065793E"/>
    <w:rsid w:val="006622F0"/>
    <w:rsid w:val="00662776"/>
    <w:rsid w:val="00665609"/>
    <w:rsid w:val="006666FB"/>
    <w:rsid w:val="00666D76"/>
    <w:rsid w:val="0066748C"/>
    <w:rsid w:val="0066780A"/>
    <w:rsid w:val="00667F67"/>
    <w:rsid w:val="006708E4"/>
    <w:rsid w:val="00670BD0"/>
    <w:rsid w:val="006733AC"/>
    <w:rsid w:val="006738C0"/>
    <w:rsid w:val="006747D0"/>
    <w:rsid w:val="00676BDE"/>
    <w:rsid w:val="00677EB4"/>
    <w:rsid w:val="00680E92"/>
    <w:rsid w:val="00680F34"/>
    <w:rsid w:val="006815B2"/>
    <w:rsid w:val="00682060"/>
    <w:rsid w:val="006820AD"/>
    <w:rsid w:val="006825D3"/>
    <w:rsid w:val="006826F0"/>
    <w:rsid w:val="00682A5F"/>
    <w:rsid w:val="00682AC8"/>
    <w:rsid w:val="00682BF1"/>
    <w:rsid w:val="00683B04"/>
    <w:rsid w:val="0068510B"/>
    <w:rsid w:val="00687E71"/>
    <w:rsid w:val="00690343"/>
    <w:rsid w:val="00693EA5"/>
    <w:rsid w:val="006959B9"/>
    <w:rsid w:val="00695A3E"/>
    <w:rsid w:val="006A0565"/>
    <w:rsid w:val="006A05E0"/>
    <w:rsid w:val="006A0C8E"/>
    <w:rsid w:val="006A260E"/>
    <w:rsid w:val="006A357E"/>
    <w:rsid w:val="006A45A1"/>
    <w:rsid w:val="006A4E33"/>
    <w:rsid w:val="006A6791"/>
    <w:rsid w:val="006A7FB3"/>
    <w:rsid w:val="006A7FB6"/>
    <w:rsid w:val="006B3179"/>
    <w:rsid w:val="006B3693"/>
    <w:rsid w:val="006B43B6"/>
    <w:rsid w:val="006B6634"/>
    <w:rsid w:val="006B728F"/>
    <w:rsid w:val="006B7390"/>
    <w:rsid w:val="006B73C5"/>
    <w:rsid w:val="006B791C"/>
    <w:rsid w:val="006C2713"/>
    <w:rsid w:val="006C28C6"/>
    <w:rsid w:val="006C34E1"/>
    <w:rsid w:val="006C434D"/>
    <w:rsid w:val="006C5CD3"/>
    <w:rsid w:val="006C5DBB"/>
    <w:rsid w:val="006D1852"/>
    <w:rsid w:val="006D2D0E"/>
    <w:rsid w:val="006D4E10"/>
    <w:rsid w:val="006D539E"/>
    <w:rsid w:val="006D73C5"/>
    <w:rsid w:val="006D7AEE"/>
    <w:rsid w:val="006E0F4A"/>
    <w:rsid w:val="006E1B6F"/>
    <w:rsid w:val="006E280B"/>
    <w:rsid w:val="006E3610"/>
    <w:rsid w:val="006E3819"/>
    <w:rsid w:val="006E3977"/>
    <w:rsid w:val="006E3EA3"/>
    <w:rsid w:val="006E57C3"/>
    <w:rsid w:val="006E5B7C"/>
    <w:rsid w:val="006E6C7E"/>
    <w:rsid w:val="006E7778"/>
    <w:rsid w:val="006F19FC"/>
    <w:rsid w:val="006F547D"/>
    <w:rsid w:val="006F6F4D"/>
    <w:rsid w:val="006F72D9"/>
    <w:rsid w:val="006F74F3"/>
    <w:rsid w:val="00703E8A"/>
    <w:rsid w:val="00706597"/>
    <w:rsid w:val="007068BA"/>
    <w:rsid w:val="00707B59"/>
    <w:rsid w:val="00710A76"/>
    <w:rsid w:val="0071161C"/>
    <w:rsid w:val="00716115"/>
    <w:rsid w:val="00716B69"/>
    <w:rsid w:val="00721582"/>
    <w:rsid w:val="00721914"/>
    <w:rsid w:val="007236E6"/>
    <w:rsid w:val="0072427E"/>
    <w:rsid w:val="0073057D"/>
    <w:rsid w:val="00730609"/>
    <w:rsid w:val="00731DA2"/>
    <w:rsid w:val="0073276D"/>
    <w:rsid w:val="00734122"/>
    <w:rsid w:val="007352A4"/>
    <w:rsid w:val="00736FE3"/>
    <w:rsid w:val="00737F15"/>
    <w:rsid w:val="0074082A"/>
    <w:rsid w:val="007423F5"/>
    <w:rsid w:val="00742877"/>
    <w:rsid w:val="0074393D"/>
    <w:rsid w:val="00743991"/>
    <w:rsid w:val="00746AD4"/>
    <w:rsid w:val="00750B7E"/>
    <w:rsid w:val="007515C4"/>
    <w:rsid w:val="007522B7"/>
    <w:rsid w:val="0075277D"/>
    <w:rsid w:val="007540CC"/>
    <w:rsid w:val="00755A08"/>
    <w:rsid w:val="00756231"/>
    <w:rsid w:val="00757287"/>
    <w:rsid w:val="00757D3C"/>
    <w:rsid w:val="007604E9"/>
    <w:rsid w:val="00762466"/>
    <w:rsid w:val="00763F24"/>
    <w:rsid w:val="00764146"/>
    <w:rsid w:val="007646F7"/>
    <w:rsid w:val="00764BF3"/>
    <w:rsid w:val="0076635D"/>
    <w:rsid w:val="007663CC"/>
    <w:rsid w:val="00766C89"/>
    <w:rsid w:val="00766D98"/>
    <w:rsid w:val="007673B6"/>
    <w:rsid w:val="007707AA"/>
    <w:rsid w:val="00774962"/>
    <w:rsid w:val="00775F64"/>
    <w:rsid w:val="00776970"/>
    <w:rsid w:val="00777FC5"/>
    <w:rsid w:val="00780DCA"/>
    <w:rsid w:val="00781609"/>
    <w:rsid w:val="00781660"/>
    <w:rsid w:val="007818C9"/>
    <w:rsid w:val="00782920"/>
    <w:rsid w:val="007865E1"/>
    <w:rsid w:val="007866F2"/>
    <w:rsid w:val="00790706"/>
    <w:rsid w:val="00791EC7"/>
    <w:rsid w:val="007A009E"/>
    <w:rsid w:val="007A01F7"/>
    <w:rsid w:val="007A0F8C"/>
    <w:rsid w:val="007A13C0"/>
    <w:rsid w:val="007A4490"/>
    <w:rsid w:val="007A4EE5"/>
    <w:rsid w:val="007A4F56"/>
    <w:rsid w:val="007A7069"/>
    <w:rsid w:val="007A70D1"/>
    <w:rsid w:val="007A7526"/>
    <w:rsid w:val="007A7C36"/>
    <w:rsid w:val="007B100D"/>
    <w:rsid w:val="007B1854"/>
    <w:rsid w:val="007B23F8"/>
    <w:rsid w:val="007B283B"/>
    <w:rsid w:val="007B2F12"/>
    <w:rsid w:val="007B5FA8"/>
    <w:rsid w:val="007B6900"/>
    <w:rsid w:val="007B7884"/>
    <w:rsid w:val="007C0294"/>
    <w:rsid w:val="007C12CC"/>
    <w:rsid w:val="007C3B0F"/>
    <w:rsid w:val="007C563E"/>
    <w:rsid w:val="007C6221"/>
    <w:rsid w:val="007C736B"/>
    <w:rsid w:val="007D39E5"/>
    <w:rsid w:val="007D425A"/>
    <w:rsid w:val="007D54E9"/>
    <w:rsid w:val="007D5A19"/>
    <w:rsid w:val="007E193D"/>
    <w:rsid w:val="007E31A6"/>
    <w:rsid w:val="007E37B8"/>
    <w:rsid w:val="007E4F90"/>
    <w:rsid w:val="007F00ED"/>
    <w:rsid w:val="007F2474"/>
    <w:rsid w:val="007F5FAD"/>
    <w:rsid w:val="007F620C"/>
    <w:rsid w:val="008004E8"/>
    <w:rsid w:val="00801B05"/>
    <w:rsid w:val="008025D3"/>
    <w:rsid w:val="00802853"/>
    <w:rsid w:val="00807A32"/>
    <w:rsid w:val="00807BB1"/>
    <w:rsid w:val="008102C8"/>
    <w:rsid w:val="00810C97"/>
    <w:rsid w:val="008127C3"/>
    <w:rsid w:val="008134EF"/>
    <w:rsid w:val="008139F7"/>
    <w:rsid w:val="00813B77"/>
    <w:rsid w:val="008159D7"/>
    <w:rsid w:val="00816AC0"/>
    <w:rsid w:val="0081715B"/>
    <w:rsid w:val="00817C5D"/>
    <w:rsid w:val="00817D26"/>
    <w:rsid w:val="00817F70"/>
    <w:rsid w:val="00821A14"/>
    <w:rsid w:val="00821FBB"/>
    <w:rsid w:val="008265AD"/>
    <w:rsid w:val="008266FA"/>
    <w:rsid w:val="00830441"/>
    <w:rsid w:val="00830484"/>
    <w:rsid w:val="00830A98"/>
    <w:rsid w:val="00831330"/>
    <w:rsid w:val="00831AF4"/>
    <w:rsid w:val="00835E74"/>
    <w:rsid w:val="008373DB"/>
    <w:rsid w:val="00840B26"/>
    <w:rsid w:val="00840D1C"/>
    <w:rsid w:val="00841CA6"/>
    <w:rsid w:val="00843A50"/>
    <w:rsid w:val="00843C8D"/>
    <w:rsid w:val="00844361"/>
    <w:rsid w:val="00845524"/>
    <w:rsid w:val="00847236"/>
    <w:rsid w:val="008510BC"/>
    <w:rsid w:val="00851335"/>
    <w:rsid w:val="00851D92"/>
    <w:rsid w:val="00852BC0"/>
    <w:rsid w:val="00852E08"/>
    <w:rsid w:val="00855B24"/>
    <w:rsid w:val="00857EA5"/>
    <w:rsid w:val="00863B9D"/>
    <w:rsid w:val="00865464"/>
    <w:rsid w:val="0087069A"/>
    <w:rsid w:val="008708ED"/>
    <w:rsid w:val="00870E20"/>
    <w:rsid w:val="0087135D"/>
    <w:rsid w:val="00874451"/>
    <w:rsid w:val="00875714"/>
    <w:rsid w:val="00877038"/>
    <w:rsid w:val="00882E0C"/>
    <w:rsid w:val="008834FA"/>
    <w:rsid w:val="00885488"/>
    <w:rsid w:val="00887A37"/>
    <w:rsid w:val="008944AF"/>
    <w:rsid w:val="0089587E"/>
    <w:rsid w:val="008970D5"/>
    <w:rsid w:val="00897B8F"/>
    <w:rsid w:val="008A0B92"/>
    <w:rsid w:val="008A1079"/>
    <w:rsid w:val="008A1875"/>
    <w:rsid w:val="008A3B23"/>
    <w:rsid w:val="008A3E63"/>
    <w:rsid w:val="008A4078"/>
    <w:rsid w:val="008A51A9"/>
    <w:rsid w:val="008B0085"/>
    <w:rsid w:val="008B1390"/>
    <w:rsid w:val="008B2B51"/>
    <w:rsid w:val="008B346E"/>
    <w:rsid w:val="008B4E2A"/>
    <w:rsid w:val="008B5136"/>
    <w:rsid w:val="008B68FD"/>
    <w:rsid w:val="008C2E09"/>
    <w:rsid w:val="008C32D0"/>
    <w:rsid w:val="008C3677"/>
    <w:rsid w:val="008C3970"/>
    <w:rsid w:val="008C48F8"/>
    <w:rsid w:val="008D3C61"/>
    <w:rsid w:val="008D4DE9"/>
    <w:rsid w:val="008D6485"/>
    <w:rsid w:val="008D706D"/>
    <w:rsid w:val="008E1ADA"/>
    <w:rsid w:val="008E1C35"/>
    <w:rsid w:val="008E2427"/>
    <w:rsid w:val="008E46ED"/>
    <w:rsid w:val="008E5112"/>
    <w:rsid w:val="008E512D"/>
    <w:rsid w:val="008E5891"/>
    <w:rsid w:val="008E5F09"/>
    <w:rsid w:val="008E71F8"/>
    <w:rsid w:val="008F14CA"/>
    <w:rsid w:val="008F1A08"/>
    <w:rsid w:val="008F1DDA"/>
    <w:rsid w:val="008F2108"/>
    <w:rsid w:val="008F39B8"/>
    <w:rsid w:val="008F3CF0"/>
    <w:rsid w:val="008F6B8B"/>
    <w:rsid w:val="00901748"/>
    <w:rsid w:val="009018E5"/>
    <w:rsid w:val="009019CF"/>
    <w:rsid w:val="00901C1E"/>
    <w:rsid w:val="00902CF4"/>
    <w:rsid w:val="0090478A"/>
    <w:rsid w:val="009056D3"/>
    <w:rsid w:val="00905841"/>
    <w:rsid w:val="00907D77"/>
    <w:rsid w:val="00910F99"/>
    <w:rsid w:val="00914BDD"/>
    <w:rsid w:val="00916557"/>
    <w:rsid w:val="0091761E"/>
    <w:rsid w:val="00920FF1"/>
    <w:rsid w:val="00921695"/>
    <w:rsid w:val="009221E3"/>
    <w:rsid w:val="0092358B"/>
    <w:rsid w:val="009235E0"/>
    <w:rsid w:val="00924A8B"/>
    <w:rsid w:val="0092521F"/>
    <w:rsid w:val="0092555F"/>
    <w:rsid w:val="00926E97"/>
    <w:rsid w:val="0092700A"/>
    <w:rsid w:val="00927144"/>
    <w:rsid w:val="009306D2"/>
    <w:rsid w:val="00931F6A"/>
    <w:rsid w:val="00932A46"/>
    <w:rsid w:val="00933D99"/>
    <w:rsid w:val="009346ED"/>
    <w:rsid w:val="00935053"/>
    <w:rsid w:val="0093520D"/>
    <w:rsid w:val="0093725C"/>
    <w:rsid w:val="0093790A"/>
    <w:rsid w:val="009417EE"/>
    <w:rsid w:val="00945A9B"/>
    <w:rsid w:val="00951C0F"/>
    <w:rsid w:val="00954A78"/>
    <w:rsid w:val="00960771"/>
    <w:rsid w:val="009618EC"/>
    <w:rsid w:val="00961BBD"/>
    <w:rsid w:val="0096295D"/>
    <w:rsid w:val="00964479"/>
    <w:rsid w:val="00966E0E"/>
    <w:rsid w:val="0097195D"/>
    <w:rsid w:val="009721A4"/>
    <w:rsid w:val="00972975"/>
    <w:rsid w:val="00973FEF"/>
    <w:rsid w:val="009752EE"/>
    <w:rsid w:val="00977F1D"/>
    <w:rsid w:val="00980F49"/>
    <w:rsid w:val="0098255F"/>
    <w:rsid w:val="0098261E"/>
    <w:rsid w:val="00982994"/>
    <w:rsid w:val="009844F8"/>
    <w:rsid w:val="0098675D"/>
    <w:rsid w:val="00987223"/>
    <w:rsid w:val="00987F3D"/>
    <w:rsid w:val="00990E2B"/>
    <w:rsid w:val="0099514C"/>
    <w:rsid w:val="00996CE3"/>
    <w:rsid w:val="00996F0B"/>
    <w:rsid w:val="009A07C7"/>
    <w:rsid w:val="009A0958"/>
    <w:rsid w:val="009A1FE1"/>
    <w:rsid w:val="009A4BD5"/>
    <w:rsid w:val="009A4F79"/>
    <w:rsid w:val="009A5259"/>
    <w:rsid w:val="009A636B"/>
    <w:rsid w:val="009A6CC8"/>
    <w:rsid w:val="009A7416"/>
    <w:rsid w:val="009B520F"/>
    <w:rsid w:val="009B6998"/>
    <w:rsid w:val="009C17E0"/>
    <w:rsid w:val="009C21A8"/>
    <w:rsid w:val="009C2DDE"/>
    <w:rsid w:val="009C51D7"/>
    <w:rsid w:val="009C58FC"/>
    <w:rsid w:val="009D004A"/>
    <w:rsid w:val="009D0197"/>
    <w:rsid w:val="009D1359"/>
    <w:rsid w:val="009D19AE"/>
    <w:rsid w:val="009D1FA3"/>
    <w:rsid w:val="009D2805"/>
    <w:rsid w:val="009D3609"/>
    <w:rsid w:val="009D7994"/>
    <w:rsid w:val="009E1712"/>
    <w:rsid w:val="009E3963"/>
    <w:rsid w:val="009E46B1"/>
    <w:rsid w:val="009E7AD9"/>
    <w:rsid w:val="009F1FFE"/>
    <w:rsid w:val="009F31B2"/>
    <w:rsid w:val="009F60DF"/>
    <w:rsid w:val="009F6AF5"/>
    <w:rsid w:val="00A030EA"/>
    <w:rsid w:val="00A043A4"/>
    <w:rsid w:val="00A04C2D"/>
    <w:rsid w:val="00A04DCF"/>
    <w:rsid w:val="00A066BF"/>
    <w:rsid w:val="00A075EF"/>
    <w:rsid w:val="00A0776C"/>
    <w:rsid w:val="00A10013"/>
    <w:rsid w:val="00A100BF"/>
    <w:rsid w:val="00A1253B"/>
    <w:rsid w:val="00A130E7"/>
    <w:rsid w:val="00A17860"/>
    <w:rsid w:val="00A21609"/>
    <w:rsid w:val="00A22389"/>
    <w:rsid w:val="00A24090"/>
    <w:rsid w:val="00A25B97"/>
    <w:rsid w:val="00A25BBF"/>
    <w:rsid w:val="00A3179E"/>
    <w:rsid w:val="00A33051"/>
    <w:rsid w:val="00A331CA"/>
    <w:rsid w:val="00A33805"/>
    <w:rsid w:val="00A34DB9"/>
    <w:rsid w:val="00A3546D"/>
    <w:rsid w:val="00A35DEB"/>
    <w:rsid w:val="00A365D7"/>
    <w:rsid w:val="00A36E24"/>
    <w:rsid w:val="00A3709F"/>
    <w:rsid w:val="00A3731C"/>
    <w:rsid w:val="00A3757E"/>
    <w:rsid w:val="00A40262"/>
    <w:rsid w:val="00A40333"/>
    <w:rsid w:val="00A40BCF"/>
    <w:rsid w:val="00A40FA5"/>
    <w:rsid w:val="00A42BBA"/>
    <w:rsid w:val="00A450A0"/>
    <w:rsid w:val="00A4520A"/>
    <w:rsid w:val="00A462D9"/>
    <w:rsid w:val="00A46D08"/>
    <w:rsid w:val="00A47CB3"/>
    <w:rsid w:val="00A51A79"/>
    <w:rsid w:val="00A53021"/>
    <w:rsid w:val="00A53A2C"/>
    <w:rsid w:val="00A55909"/>
    <w:rsid w:val="00A56417"/>
    <w:rsid w:val="00A57448"/>
    <w:rsid w:val="00A65E47"/>
    <w:rsid w:val="00A66011"/>
    <w:rsid w:val="00A67908"/>
    <w:rsid w:val="00A708C8"/>
    <w:rsid w:val="00A70C75"/>
    <w:rsid w:val="00A70FA9"/>
    <w:rsid w:val="00A71F21"/>
    <w:rsid w:val="00A71F44"/>
    <w:rsid w:val="00A737B7"/>
    <w:rsid w:val="00A77774"/>
    <w:rsid w:val="00A80B2E"/>
    <w:rsid w:val="00A840F9"/>
    <w:rsid w:val="00A8489E"/>
    <w:rsid w:val="00A84900"/>
    <w:rsid w:val="00A85309"/>
    <w:rsid w:val="00A858C3"/>
    <w:rsid w:val="00A85B90"/>
    <w:rsid w:val="00A87F68"/>
    <w:rsid w:val="00A93D75"/>
    <w:rsid w:val="00A93F81"/>
    <w:rsid w:val="00A94B75"/>
    <w:rsid w:val="00A94EC9"/>
    <w:rsid w:val="00A97321"/>
    <w:rsid w:val="00A978E5"/>
    <w:rsid w:val="00A97EBF"/>
    <w:rsid w:val="00AA04F9"/>
    <w:rsid w:val="00AA0889"/>
    <w:rsid w:val="00AA0A9A"/>
    <w:rsid w:val="00AA13B3"/>
    <w:rsid w:val="00AA23BA"/>
    <w:rsid w:val="00AA2E6B"/>
    <w:rsid w:val="00AA4870"/>
    <w:rsid w:val="00AA4A6D"/>
    <w:rsid w:val="00AA7784"/>
    <w:rsid w:val="00AB11E7"/>
    <w:rsid w:val="00AB55D0"/>
    <w:rsid w:val="00AB56FB"/>
    <w:rsid w:val="00AB60F8"/>
    <w:rsid w:val="00AB6EB6"/>
    <w:rsid w:val="00AC2D2E"/>
    <w:rsid w:val="00AC301A"/>
    <w:rsid w:val="00AC3246"/>
    <w:rsid w:val="00AC3317"/>
    <w:rsid w:val="00AC35D7"/>
    <w:rsid w:val="00AC39EB"/>
    <w:rsid w:val="00AC611F"/>
    <w:rsid w:val="00AC68B0"/>
    <w:rsid w:val="00AC6B73"/>
    <w:rsid w:val="00AC6F1A"/>
    <w:rsid w:val="00AC74AE"/>
    <w:rsid w:val="00AD192B"/>
    <w:rsid w:val="00AD438F"/>
    <w:rsid w:val="00AD4766"/>
    <w:rsid w:val="00AD7006"/>
    <w:rsid w:val="00AD7780"/>
    <w:rsid w:val="00AE02D5"/>
    <w:rsid w:val="00AE0937"/>
    <w:rsid w:val="00AE0A4F"/>
    <w:rsid w:val="00AE2347"/>
    <w:rsid w:val="00AE3109"/>
    <w:rsid w:val="00AE32A1"/>
    <w:rsid w:val="00AE4129"/>
    <w:rsid w:val="00AE529B"/>
    <w:rsid w:val="00AE649F"/>
    <w:rsid w:val="00AE6E76"/>
    <w:rsid w:val="00AF02AD"/>
    <w:rsid w:val="00AF291D"/>
    <w:rsid w:val="00AF30DD"/>
    <w:rsid w:val="00AF581C"/>
    <w:rsid w:val="00AF5C27"/>
    <w:rsid w:val="00AF613D"/>
    <w:rsid w:val="00AF6A7E"/>
    <w:rsid w:val="00AF7313"/>
    <w:rsid w:val="00B01D46"/>
    <w:rsid w:val="00B03F3C"/>
    <w:rsid w:val="00B04E09"/>
    <w:rsid w:val="00B05431"/>
    <w:rsid w:val="00B06E7A"/>
    <w:rsid w:val="00B11E8E"/>
    <w:rsid w:val="00B1216D"/>
    <w:rsid w:val="00B154C8"/>
    <w:rsid w:val="00B1738C"/>
    <w:rsid w:val="00B21AC2"/>
    <w:rsid w:val="00B21BC8"/>
    <w:rsid w:val="00B21BE0"/>
    <w:rsid w:val="00B21D57"/>
    <w:rsid w:val="00B26138"/>
    <w:rsid w:val="00B26143"/>
    <w:rsid w:val="00B26B85"/>
    <w:rsid w:val="00B26C5E"/>
    <w:rsid w:val="00B3084C"/>
    <w:rsid w:val="00B329DF"/>
    <w:rsid w:val="00B34A5D"/>
    <w:rsid w:val="00B361A5"/>
    <w:rsid w:val="00B36583"/>
    <w:rsid w:val="00B372DE"/>
    <w:rsid w:val="00B37394"/>
    <w:rsid w:val="00B4292D"/>
    <w:rsid w:val="00B42D14"/>
    <w:rsid w:val="00B46951"/>
    <w:rsid w:val="00B52E35"/>
    <w:rsid w:val="00B5320A"/>
    <w:rsid w:val="00B53E3D"/>
    <w:rsid w:val="00B5583D"/>
    <w:rsid w:val="00B57119"/>
    <w:rsid w:val="00B60727"/>
    <w:rsid w:val="00B60F6F"/>
    <w:rsid w:val="00B63F94"/>
    <w:rsid w:val="00B648F1"/>
    <w:rsid w:val="00B64DE9"/>
    <w:rsid w:val="00B65206"/>
    <w:rsid w:val="00B66D3D"/>
    <w:rsid w:val="00B67759"/>
    <w:rsid w:val="00B70F40"/>
    <w:rsid w:val="00B71560"/>
    <w:rsid w:val="00B71E95"/>
    <w:rsid w:val="00B73120"/>
    <w:rsid w:val="00B7599E"/>
    <w:rsid w:val="00B761BB"/>
    <w:rsid w:val="00B7686F"/>
    <w:rsid w:val="00B77C4E"/>
    <w:rsid w:val="00B80DFC"/>
    <w:rsid w:val="00B80EDE"/>
    <w:rsid w:val="00B84254"/>
    <w:rsid w:val="00B859B8"/>
    <w:rsid w:val="00B87988"/>
    <w:rsid w:val="00B87B37"/>
    <w:rsid w:val="00B90574"/>
    <w:rsid w:val="00B90ABB"/>
    <w:rsid w:val="00B90CBD"/>
    <w:rsid w:val="00B92E98"/>
    <w:rsid w:val="00B9528F"/>
    <w:rsid w:val="00B9529C"/>
    <w:rsid w:val="00B9543F"/>
    <w:rsid w:val="00B9553B"/>
    <w:rsid w:val="00BA2F4C"/>
    <w:rsid w:val="00BA3397"/>
    <w:rsid w:val="00BA606B"/>
    <w:rsid w:val="00BA78B0"/>
    <w:rsid w:val="00BA7DC3"/>
    <w:rsid w:val="00BB3ECA"/>
    <w:rsid w:val="00BB40B8"/>
    <w:rsid w:val="00BB4572"/>
    <w:rsid w:val="00BB471C"/>
    <w:rsid w:val="00BB53E4"/>
    <w:rsid w:val="00BB5F5E"/>
    <w:rsid w:val="00BB61E6"/>
    <w:rsid w:val="00BB62E8"/>
    <w:rsid w:val="00BB6415"/>
    <w:rsid w:val="00BB767C"/>
    <w:rsid w:val="00BC045F"/>
    <w:rsid w:val="00BC12CD"/>
    <w:rsid w:val="00BC144C"/>
    <w:rsid w:val="00BC1890"/>
    <w:rsid w:val="00BC229A"/>
    <w:rsid w:val="00BC5C4C"/>
    <w:rsid w:val="00BC6B83"/>
    <w:rsid w:val="00BC6DAD"/>
    <w:rsid w:val="00BD1145"/>
    <w:rsid w:val="00BD2189"/>
    <w:rsid w:val="00BD2936"/>
    <w:rsid w:val="00BD40F4"/>
    <w:rsid w:val="00BD5772"/>
    <w:rsid w:val="00BD7565"/>
    <w:rsid w:val="00BE174B"/>
    <w:rsid w:val="00BE2A3D"/>
    <w:rsid w:val="00BE3611"/>
    <w:rsid w:val="00BE5099"/>
    <w:rsid w:val="00BE53FC"/>
    <w:rsid w:val="00BE573A"/>
    <w:rsid w:val="00BE63C9"/>
    <w:rsid w:val="00BE79E6"/>
    <w:rsid w:val="00BF2A99"/>
    <w:rsid w:val="00BF2B76"/>
    <w:rsid w:val="00BF303D"/>
    <w:rsid w:val="00BF3D62"/>
    <w:rsid w:val="00BF3FF4"/>
    <w:rsid w:val="00BF5678"/>
    <w:rsid w:val="00BF6518"/>
    <w:rsid w:val="00BF7FC6"/>
    <w:rsid w:val="00C01DA2"/>
    <w:rsid w:val="00C020F9"/>
    <w:rsid w:val="00C0383A"/>
    <w:rsid w:val="00C03FE1"/>
    <w:rsid w:val="00C048B1"/>
    <w:rsid w:val="00C0539B"/>
    <w:rsid w:val="00C056EE"/>
    <w:rsid w:val="00C05C8D"/>
    <w:rsid w:val="00C1063E"/>
    <w:rsid w:val="00C10713"/>
    <w:rsid w:val="00C117A2"/>
    <w:rsid w:val="00C131FB"/>
    <w:rsid w:val="00C133FE"/>
    <w:rsid w:val="00C15341"/>
    <w:rsid w:val="00C20D2B"/>
    <w:rsid w:val="00C20E1F"/>
    <w:rsid w:val="00C21258"/>
    <w:rsid w:val="00C215E3"/>
    <w:rsid w:val="00C21BA2"/>
    <w:rsid w:val="00C234E3"/>
    <w:rsid w:val="00C3178D"/>
    <w:rsid w:val="00C37429"/>
    <w:rsid w:val="00C411E5"/>
    <w:rsid w:val="00C417AD"/>
    <w:rsid w:val="00C44F40"/>
    <w:rsid w:val="00C452B7"/>
    <w:rsid w:val="00C45A12"/>
    <w:rsid w:val="00C46DC8"/>
    <w:rsid w:val="00C500B1"/>
    <w:rsid w:val="00C500DE"/>
    <w:rsid w:val="00C51B02"/>
    <w:rsid w:val="00C51F56"/>
    <w:rsid w:val="00C53BA5"/>
    <w:rsid w:val="00C53E7F"/>
    <w:rsid w:val="00C53F5E"/>
    <w:rsid w:val="00C543EA"/>
    <w:rsid w:val="00C56C4B"/>
    <w:rsid w:val="00C577CE"/>
    <w:rsid w:val="00C60BB5"/>
    <w:rsid w:val="00C62FBC"/>
    <w:rsid w:val="00C630C0"/>
    <w:rsid w:val="00C65FAA"/>
    <w:rsid w:val="00C72CCF"/>
    <w:rsid w:val="00C7317A"/>
    <w:rsid w:val="00C74A60"/>
    <w:rsid w:val="00C76857"/>
    <w:rsid w:val="00C77B4B"/>
    <w:rsid w:val="00C77FD7"/>
    <w:rsid w:val="00C81ECD"/>
    <w:rsid w:val="00C84EF2"/>
    <w:rsid w:val="00C8530A"/>
    <w:rsid w:val="00C8595C"/>
    <w:rsid w:val="00C87CFF"/>
    <w:rsid w:val="00C90039"/>
    <w:rsid w:val="00C91EEF"/>
    <w:rsid w:val="00C92B04"/>
    <w:rsid w:val="00C93302"/>
    <w:rsid w:val="00C96476"/>
    <w:rsid w:val="00C966E5"/>
    <w:rsid w:val="00C9746E"/>
    <w:rsid w:val="00C97D01"/>
    <w:rsid w:val="00CA07E5"/>
    <w:rsid w:val="00CA124D"/>
    <w:rsid w:val="00CA2F94"/>
    <w:rsid w:val="00CA3A13"/>
    <w:rsid w:val="00CA5643"/>
    <w:rsid w:val="00CA5CD4"/>
    <w:rsid w:val="00CB0602"/>
    <w:rsid w:val="00CB2706"/>
    <w:rsid w:val="00CB32BB"/>
    <w:rsid w:val="00CB53CC"/>
    <w:rsid w:val="00CB77AC"/>
    <w:rsid w:val="00CC02B6"/>
    <w:rsid w:val="00CC0515"/>
    <w:rsid w:val="00CC0BA0"/>
    <w:rsid w:val="00CC1EDA"/>
    <w:rsid w:val="00CC218A"/>
    <w:rsid w:val="00CC3230"/>
    <w:rsid w:val="00CC4394"/>
    <w:rsid w:val="00CC44AE"/>
    <w:rsid w:val="00CC5671"/>
    <w:rsid w:val="00CC68F4"/>
    <w:rsid w:val="00CC770D"/>
    <w:rsid w:val="00CD1E58"/>
    <w:rsid w:val="00CD3365"/>
    <w:rsid w:val="00CD471E"/>
    <w:rsid w:val="00CD482D"/>
    <w:rsid w:val="00CD48A2"/>
    <w:rsid w:val="00CD4FD0"/>
    <w:rsid w:val="00CD7A14"/>
    <w:rsid w:val="00CE0E5F"/>
    <w:rsid w:val="00CE2FCF"/>
    <w:rsid w:val="00CE318F"/>
    <w:rsid w:val="00CE51A6"/>
    <w:rsid w:val="00CE5461"/>
    <w:rsid w:val="00CE6B10"/>
    <w:rsid w:val="00CE6C4B"/>
    <w:rsid w:val="00CF36D8"/>
    <w:rsid w:val="00CF43C8"/>
    <w:rsid w:val="00CF46D5"/>
    <w:rsid w:val="00CF4736"/>
    <w:rsid w:val="00CF7ADB"/>
    <w:rsid w:val="00D0033D"/>
    <w:rsid w:val="00D006B0"/>
    <w:rsid w:val="00D00BE4"/>
    <w:rsid w:val="00D02560"/>
    <w:rsid w:val="00D04121"/>
    <w:rsid w:val="00D051E7"/>
    <w:rsid w:val="00D0793C"/>
    <w:rsid w:val="00D07B26"/>
    <w:rsid w:val="00D111BB"/>
    <w:rsid w:val="00D1246C"/>
    <w:rsid w:val="00D12661"/>
    <w:rsid w:val="00D13E2C"/>
    <w:rsid w:val="00D14FF6"/>
    <w:rsid w:val="00D155CF"/>
    <w:rsid w:val="00D1702F"/>
    <w:rsid w:val="00D170E0"/>
    <w:rsid w:val="00D20EEA"/>
    <w:rsid w:val="00D229F0"/>
    <w:rsid w:val="00D23291"/>
    <w:rsid w:val="00D23533"/>
    <w:rsid w:val="00D24B67"/>
    <w:rsid w:val="00D25C54"/>
    <w:rsid w:val="00D338D3"/>
    <w:rsid w:val="00D33D71"/>
    <w:rsid w:val="00D33F03"/>
    <w:rsid w:val="00D360C6"/>
    <w:rsid w:val="00D365C0"/>
    <w:rsid w:val="00D40B48"/>
    <w:rsid w:val="00D42D0E"/>
    <w:rsid w:val="00D445DC"/>
    <w:rsid w:val="00D45287"/>
    <w:rsid w:val="00D4573D"/>
    <w:rsid w:val="00D46EEB"/>
    <w:rsid w:val="00D475F2"/>
    <w:rsid w:val="00D4768A"/>
    <w:rsid w:val="00D50683"/>
    <w:rsid w:val="00D5094C"/>
    <w:rsid w:val="00D519FF"/>
    <w:rsid w:val="00D5274E"/>
    <w:rsid w:val="00D53693"/>
    <w:rsid w:val="00D537A9"/>
    <w:rsid w:val="00D547AC"/>
    <w:rsid w:val="00D5490A"/>
    <w:rsid w:val="00D55357"/>
    <w:rsid w:val="00D557A0"/>
    <w:rsid w:val="00D562FA"/>
    <w:rsid w:val="00D567DE"/>
    <w:rsid w:val="00D60A82"/>
    <w:rsid w:val="00D61169"/>
    <w:rsid w:val="00D6122C"/>
    <w:rsid w:val="00D61F43"/>
    <w:rsid w:val="00D63F07"/>
    <w:rsid w:val="00D654F0"/>
    <w:rsid w:val="00D664D5"/>
    <w:rsid w:val="00D66C0A"/>
    <w:rsid w:val="00D67359"/>
    <w:rsid w:val="00D72E5B"/>
    <w:rsid w:val="00D745C3"/>
    <w:rsid w:val="00D75D8E"/>
    <w:rsid w:val="00D76FB8"/>
    <w:rsid w:val="00D8053D"/>
    <w:rsid w:val="00D80B1A"/>
    <w:rsid w:val="00D828CE"/>
    <w:rsid w:val="00D83F62"/>
    <w:rsid w:val="00D85C6B"/>
    <w:rsid w:val="00D86DAC"/>
    <w:rsid w:val="00D90AE9"/>
    <w:rsid w:val="00D90CAD"/>
    <w:rsid w:val="00D92A5C"/>
    <w:rsid w:val="00D93747"/>
    <w:rsid w:val="00D93C60"/>
    <w:rsid w:val="00D93FCC"/>
    <w:rsid w:val="00D94365"/>
    <w:rsid w:val="00D94388"/>
    <w:rsid w:val="00D944F3"/>
    <w:rsid w:val="00D9534E"/>
    <w:rsid w:val="00D955F1"/>
    <w:rsid w:val="00DA2236"/>
    <w:rsid w:val="00DA2485"/>
    <w:rsid w:val="00DA3338"/>
    <w:rsid w:val="00DA4B47"/>
    <w:rsid w:val="00DA4D00"/>
    <w:rsid w:val="00DA5FB5"/>
    <w:rsid w:val="00DB307A"/>
    <w:rsid w:val="00DB441E"/>
    <w:rsid w:val="00DB4DA3"/>
    <w:rsid w:val="00DB66DB"/>
    <w:rsid w:val="00DC1D5F"/>
    <w:rsid w:val="00DC1FAD"/>
    <w:rsid w:val="00DC20F9"/>
    <w:rsid w:val="00DC46F4"/>
    <w:rsid w:val="00DC56ED"/>
    <w:rsid w:val="00DC7F24"/>
    <w:rsid w:val="00DD08E7"/>
    <w:rsid w:val="00DD52DE"/>
    <w:rsid w:val="00DD7107"/>
    <w:rsid w:val="00DE28C4"/>
    <w:rsid w:val="00DE29A8"/>
    <w:rsid w:val="00DE4225"/>
    <w:rsid w:val="00DE6006"/>
    <w:rsid w:val="00DE7A57"/>
    <w:rsid w:val="00DE7C1A"/>
    <w:rsid w:val="00DF1747"/>
    <w:rsid w:val="00DF43EA"/>
    <w:rsid w:val="00DF52BC"/>
    <w:rsid w:val="00DF5FB1"/>
    <w:rsid w:val="00DF7393"/>
    <w:rsid w:val="00DF781B"/>
    <w:rsid w:val="00E009F3"/>
    <w:rsid w:val="00E00DDC"/>
    <w:rsid w:val="00E01FA7"/>
    <w:rsid w:val="00E0274F"/>
    <w:rsid w:val="00E0432C"/>
    <w:rsid w:val="00E048E5"/>
    <w:rsid w:val="00E061F3"/>
    <w:rsid w:val="00E07B26"/>
    <w:rsid w:val="00E07F21"/>
    <w:rsid w:val="00E13FB6"/>
    <w:rsid w:val="00E1487A"/>
    <w:rsid w:val="00E16DAB"/>
    <w:rsid w:val="00E2006D"/>
    <w:rsid w:val="00E22756"/>
    <w:rsid w:val="00E25815"/>
    <w:rsid w:val="00E26615"/>
    <w:rsid w:val="00E26F1D"/>
    <w:rsid w:val="00E27C12"/>
    <w:rsid w:val="00E3140F"/>
    <w:rsid w:val="00E31A51"/>
    <w:rsid w:val="00E31F6C"/>
    <w:rsid w:val="00E3275C"/>
    <w:rsid w:val="00E33021"/>
    <w:rsid w:val="00E33342"/>
    <w:rsid w:val="00E3344C"/>
    <w:rsid w:val="00E339BB"/>
    <w:rsid w:val="00E35CC1"/>
    <w:rsid w:val="00E40738"/>
    <w:rsid w:val="00E42B06"/>
    <w:rsid w:val="00E43C88"/>
    <w:rsid w:val="00E45060"/>
    <w:rsid w:val="00E47625"/>
    <w:rsid w:val="00E535E4"/>
    <w:rsid w:val="00E543F8"/>
    <w:rsid w:val="00E55DD8"/>
    <w:rsid w:val="00E56F4D"/>
    <w:rsid w:val="00E57F4D"/>
    <w:rsid w:val="00E57FDC"/>
    <w:rsid w:val="00E600D2"/>
    <w:rsid w:val="00E60ED6"/>
    <w:rsid w:val="00E611C6"/>
    <w:rsid w:val="00E62037"/>
    <w:rsid w:val="00E64DD1"/>
    <w:rsid w:val="00E65773"/>
    <w:rsid w:val="00E65A5A"/>
    <w:rsid w:val="00E65DE3"/>
    <w:rsid w:val="00E6719F"/>
    <w:rsid w:val="00E726D8"/>
    <w:rsid w:val="00E72946"/>
    <w:rsid w:val="00E757E9"/>
    <w:rsid w:val="00E7593F"/>
    <w:rsid w:val="00E768F9"/>
    <w:rsid w:val="00E771B0"/>
    <w:rsid w:val="00E77F8A"/>
    <w:rsid w:val="00E8219A"/>
    <w:rsid w:val="00E825F6"/>
    <w:rsid w:val="00E829CB"/>
    <w:rsid w:val="00E8554D"/>
    <w:rsid w:val="00E859F8"/>
    <w:rsid w:val="00E875DE"/>
    <w:rsid w:val="00E87C9B"/>
    <w:rsid w:val="00E9018A"/>
    <w:rsid w:val="00E93090"/>
    <w:rsid w:val="00E93C34"/>
    <w:rsid w:val="00EA2BCA"/>
    <w:rsid w:val="00EA2C71"/>
    <w:rsid w:val="00EA6A7B"/>
    <w:rsid w:val="00EA7E56"/>
    <w:rsid w:val="00EB021E"/>
    <w:rsid w:val="00EB05ED"/>
    <w:rsid w:val="00EB0C4B"/>
    <w:rsid w:val="00EB0DC4"/>
    <w:rsid w:val="00EB0E52"/>
    <w:rsid w:val="00EB1F77"/>
    <w:rsid w:val="00EB506E"/>
    <w:rsid w:val="00EC63A7"/>
    <w:rsid w:val="00ED0D35"/>
    <w:rsid w:val="00ED1091"/>
    <w:rsid w:val="00ED1E20"/>
    <w:rsid w:val="00ED2FB9"/>
    <w:rsid w:val="00ED4C47"/>
    <w:rsid w:val="00ED4D48"/>
    <w:rsid w:val="00ED70B4"/>
    <w:rsid w:val="00EE2A0A"/>
    <w:rsid w:val="00EE2DA4"/>
    <w:rsid w:val="00EE4005"/>
    <w:rsid w:val="00EE4C19"/>
    <w:rsid w:val="00EE774B"/>
    <w:rsid w:val="00EF0A39"/>
    <w:rsid w:val="00EF170D"/>
    <w:rsid w:val="00EF19BF"/>
    <w:rsid w:val="00EF23AC"/>
    <w:rsid w:val="00EF33E9"/>
    <w:rsid w:val="00EF36DF"/>
    <w:rsid w:val="00EF628A"/>
    <w:rsid w:val="00EF65C0"/>
    <w:rsid w:val="00EF7534"/>
    <w:rsid w:val="00EF7B68"/>
    <w:rsid w:val="00EF7BA0"/>
    <w:rsid w:val="00F00972"/>
    <w:rsid w:val="00F01B20"/>
    <w:rsid w:val="00F02047"/>
    <w:rsid w:val="00F032DB"/>
    <w:rsid w:val="00F0346D"/>
    <w:rsid w:val="00F03CD9"/>
    <w:rsid w:val="00F03F58"/>
    <w:rsid w:val="00F05511"/>
    <w:rsid w:val="00F06C75"/>
    <w:rsid w:val="00F0711F"/>
    <w:rsid w:val="00F0715F"/>
    <w:rsid w:val="00F071CD"/>
    <w:rsid w:val="00F10C7F"/>
    <w:rsid w:val="00F11612"/>
    <w:rsid w:val="00F124CD"/>
    <w:rsid w:val="00F127FE"/>
    <w:rsid w:val="00F1285B"/>
    <w:rsid w:val="00F14DB7"/>
    <w:rsid w:val="00F14F6E"/>
    <w:rsid w:val="00F20994"/>
    <w:rsid w:val="00F22C96"/>
    <w:rsid w:val="00F22ED1"/>
    <w:rsid w:val="00F24866"/>
    <w:rsid w:val="00F27225"/>
    <w:rsid w:val="00F30258"/>
    <w:rsid w:val="00F310E4"/>
    <w:rsid w:val="00F313E2"/>
    <w:rsid w:val="00F32B6C"/>
    <w:rsid w:val="00F361E3"/>
    <w:rsid w:val="00F401C9"/>
    <w:rsid w:val="00F407D9"/>
    <w:rsid w:val="00F41844"/>
    <w:rsid w:val="00F41E24"/>
    <w:rsid w:val="00F45A66"/>
    <w:rsid w:val="00F47A5A"/>
    <w:rsid w:val="00F504AD"/>
    <w:rsid w:val="00F51460"/>
    <w:rsid w:val="00F54EDC"/>
    <w:rsid w:val="00F60526"/>
    <w:rsid w:val="00F6130E"/>
    <w:rsid w:val="00F61EE2"/>
    <w:rsid w:val="00F625E4"/>
    <w:rsid w:val="00F65C61"/>
    <w:rsid w:val="00F66421"/>
    <w:rsid w:val="00F67759"/>
    <w:rsid w:val="00F72551"/>
    <w:rsid w:val="00F73484"/>
    <w:rsid w:val="00F748B8"/>
    <w:rsid w:val="00F75069"/>
    <w:rsid w:val="00F75123"/>
    <w:rsid w:val="00F76090"/>
    <w:rsid w:val="00F77C8E"/>
    <w:rsid w:val="00F80464"/>
    <w:rsid w:val="00F8342E"/>
    <w:rsid w:val="00F83D75"/>
    <w:rsid w:val="00F8456D"/>
    <w:rsid w:val="00F847C6"/>
    <w:rsid w:val="00F87CC2"/>
    <w:rsid w:val="00F9063F"/>
    <w:rsid w:val="00F90B81"/>
    <w:rsid w:val="00F912E2"/>
    <w:rsid w:val="00F91DD6"/>
    <w:rsid w:val="00F92C8A"/>
    <w:rsid w:val="00F9528D"/>
    <w:rsid w:val="00F96F2A"/>
    <w:rsid w:val="00F97818"/>
    <w:rsid w:val="00FA1933"/>
    <w:rsid w:val="00FA271F"/>
    <w:rsid w:val="00FA7E7A"/>
    <w:rsid w:val="00FB0E0E"/>
    <w:rsid w:val="00FB0EBD"/>
    <w:rsid w:val="00FB151D"/>
    <w:rsid w:val="00FB27E2"/>
    <w:rsid w:val="00FB2D03"/>
    <w:rsid w:val="00FB44B4"/>
    <w:rsid w:val="00FB44BC"/>
    <w:rsid w:val="00FB4F69"/>
    <w:rsid w:val="00FB73F4"/>
    <w:rsid w:val="00FB784C"/>
    <w:rsid w:val="00FC2469"/>
    <w:rsid w:val="00FC271A"/>
    <w:rsid w:val="00FC3252"/>
    <w:rsid w:val="00FC4899"/>
    <w:rsid w:val="00FC4A60"/>
    <w:rsid w:val="00FC532D"/>
    <w:rsid w:val="00FC7074"/>
    <w:rsid w:val="00FD0FA7"/>
    <w:rsid w:val="00FD3C9B"/>
    <w:rsid w:val="00FD3D7B"/>
    <w:rsid w:val="00FD4076"/>
    <w:rsid w:val="00FE0B80"/>
    <w:rsid w:val="00FE21DA"/>
    <w:rsid w:val="00FE2D09"/>
    <w:rsid w:val="00FE2E38"/>
    <w:rsid w:val="00FE37C0"/>
    <w:rsid w:val="00FE3E44"/>
    <w:rsid w:val="00FE4E97"/>
    <w:rsid w:val="00FE51E3"/>
    <w:rsid w:val="00FE5708"/>
    <w:rsid w:val="00FE5D7D"/>
    <w:rsid w:val="00FF1AE9"/>
    <w:rsid w:val="00FF1DE6"/>
    <w:rsid w:val="00FF1FA6"/>
    <w:rsid w:val="00FF270E"/>
    <w:rsid w:val="00FF44B7"/>
    <w:rsid w:val="00FF4EFD"/>
    <w:rsid w:val="00FF5CD6"/>
    <w:rsid w:val="00FF5E86"/>
    <w:rsid w:val="01A12B0D"/>
    <w:rsid w:val="01C51E1E"/>
    <w:rsid w:val="03DF6C06"/>
    <w:rsid w:val="054F16AF"/>
    <w:rsid w:val="068E2D35"/>
    <w:rsid w:val="08C23376"/>
    <w:rsid w:val="0BB558F2"/>
    <w:rsid w:val="0EBC7400"/>
    <w:rsid w:val="0F3A5F00"/>
    <w:rsid w:val="109121CB"/>
    <w:rsid w:val="10B13F6A"/>
    <w:rsid w:val="1199642E"/>
    <w:rsid w:val="130627A9"/>
    <w:rsid w:val="14182A92"/>
    <w:rsid w:val="14560419"/>
    <w:rsid w:val="14741447"/>
    <w:rsid w:val="148053A9"/>
    <w:rsid w:val="1C41098F"/>
    <w:rsid w:val="1DDC2B76"/>
    <w:rsid w:val="1EAB54C6"/>
    <w:rsid w:val="1F8D58BA"/>
    <w:rsid w:val="1FF60C62"/>
    <w:rsid w:val="218037B6"/>
    <w:rsid w:val="258A45EE"/>
    <w:rsid w:val="287A0CBE"/>
    <w:rsid w:val="2959185F"/>
    <w:rsid w:val="2CAE5AD1"/>
    <w:rsid w:val="2F4E672C"/>
    <w:rsid w:val="3110454D"/>
    <w:rsid w:val="32214091"/>
    <w:rsid w:val="366C3B8B"/>
    <w:rsid w:val="37D72CE5"/>
    <w:rsid w:val="386C0788"/>
    <w:rsid w:val="3F6D667E"/>
    <w:rsid w:val="404D7209"/>
    <w:rsid w:val="41AB2BA5"/>
    <w:rsid w:val="42647DDE"/>
    <w:rsid w:val="429A0FF3"/>
    <w:rsid w:val="42F856D9"/>
    <w:rsid w:val="43421171"/>
    <w:rsid w:val="45EA19D5"/>
    <w:rsid w:val="478E5877"/>
    <w:rsid w:val="491661EE"/>
    <w:rsid w:val="4AD52C58"/>
    <w:rsid w:val="4B2F77DF"/>
    <w:rsid w:val="4C4947B3"/>
    <w:rsid w:val="4CD33B67"/>
    <w:rsid w:val="4D427C6F"/>
    <w:rsid w:val="4F2C0050"/>
    <w:rsid w:val="51B41146"/>
    <w:rsid w:val="51BF3A58"/>
    <w:rsid w:val="520B610B"/>
    <w:rsid w:val="55B01FBD"/>
    <w:rsid w:val="571F495C"/>
    <w:rsid w:val="578A1B4A"/>
    <w:rsid w:val="57D45F9A"/>
    <w:rsid w:val="587D7F12"/>
    <w:rsid w:val="597A1A1F"/>
    <w:rsid w:val="599A1D7B"/>
    <w:rsid w:val="5D9B034C"/>
    <w:rsid w:val="602310DE"/>
    <w:rsid w:val="61176FF3"/>
    <w:rsid w:val="647C7A42"/>
    <w:rsid w:val="66A42BAC"/>
    <w:rsid w:val="6B665460"/>
    <w:rsid w:val="6C9624CD"/>
    <w:rsid w:val="6E653533"/>
    <w:rsid w:val="6EB04206"/>
    <w:rsid w:val="6F185A21"/>
    <w:rsid w:val="6FC508DD"/>
    <w:rsid w:val="716B788D"/>
    <w:rsid w:val="72FB3254"/>
    <w:rsid w:val="731B5D22"/>
    <w:rsid w:val="77B34395"/>
    <w:rsid w:val="7DCA3801"/>
    <w:rsid w:val="7EAE32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Times New Roman"/>
      <w:sz w:val="34"/>
      <w:lang w:val="en-US" w:eastAsia="zh-CN" w:bidi="ar-SA"/>
    </w:rPr>
  </w:style>
  <w:style w:type="paragraph" w:styleId="3">
    <w:name w:val="heading 1"/>
    <w:basedOn w:val="1"/>
    <w:next w:val="1"/>
    <w:link w:val="35"/>
    <w:qFormat/>
    <w:uiPriority w:val="0"/>
    <w:pPr>
      <w:keepNext/>
      <w:keepLines/>
      <w:spacing w:before="340" w:after="330" w:line="578" w:lineRule="auto"/>
      <w:jc w:val="center"/>
      <w:outlineLvl w:val="0"/>
    </w:pPr>
    <w:rPr>
      <w:b/>
      <w:bCs/>
      <w:kern w:val="44"/>
      <w:sz w:val="44"/>
      <w:szCs w:val="44"/>
    </w:rPr>
  </w:style>
  <w:style w:type="paragraph" w:styleId="4">
    <w:name w:val="heading 2"/>
    <w:basedOn w:val="1"/>
    <w:next w:val="1"/>
    <w:link w:val="38"/>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37"/>
    <w:qFormat/>
    <w:uiPriority w:val="0"/>
    <w:pPr>
      <w:spacing w:after="120"/>
    </w:pPr>
  </w:style>
  <w:style w:type="paragraph" w:styleId="6">
    <w:name w:val="Normal Indent"/>
    <w:basedOn w:val="1"/>
    <w:link w:val="34"/>
    <w:qFormat/>
    <w:uiPriority w:val="0"/>
    <w:pPr>
      <w:ind w:firstLine="420" w:firstLineChars="200"/>
    </w:pPr>
  </w:style>
  <w:style w:type="paragraph" w:styleId="7">
    <w:name w:val="annotation text"/>
    <w:basedOn w:val="1"/>
    <w:link w:val="27"/>
    <w:qFormat/>
    <w:uiPriority w:val="0"/>
    <w:pPr>
      <w:jc w:val="left"/>
    </w:pPr>
    <w:rPr>
      <w:sz w:val="18"/>
    </w:rPr>
  </w:style>
  <w:style w:type="paragraph" w:styleId="8">
    <w:name w:val="Body Text Indent"/>
    <w:basedOn w:val="1"/>
    <w:link w:val="31"/>
    <w:qFormat/>
    <w:uiPriority w:val="0"/>
    <w:pPr>
      <w:ind w:firstLine="630"/>
    </w:pPr>
    <w:rPr>
      <w:sz w:val="32"/>
    </w:rPr>
  </w:style>
  <w:style w:type="paragraph" w:styleId="9">
    <w:name w:val="Plain Text"/>
    <w:basedOn w:val="1"/>
    <w:link w:val="40"/>
    <w:qFormat/>
    <w:uiPriority w:val="0"/>
    <w:pPr>
      <w:autoSpaceDE w:val="0"/>
      <w:autoSpaceDN w:val="0"/>
      <w:adjustRightInd w:val="0"/>
    </w:pPr>
    <w:rPr>
      <w:rFonts w:hAnsi="Tms Rmn"/>
    </w:rPr>
  </w:style>
  <w:style w:type="paragraph" w:styleId="10">
    <w:name w:val="Body Text Indent 2"/>
    <w:basedOn w:val="1"/>
    <w:qFormat/>
    <w:uiPriority w:val="0"/>
    <w:pPr>
      <w:spacing w:after="120" w:line="480" w:lineRule="auto"/>
      <w:ind w:left="420" w:leftChars="200"/>
    </w:pPr>
  </w:style>
  <w:style w:type="paragraph" w:styleId="11">
    <w:name w:val="Balloon Text"/>
    <w:basedOn w:val="1"/>
    <w:semiHidden/>
    <w:qFormat/>
    <w:uiPriority w:val="0"/>
    <w:rPr>
      <w:sz w:val="18"/>
      <w:szCs w:val="18"/>
    </w:rPr>
  </w:style>
  <w:style w:type="paragraph" w:styleId="12">
    <w:name w:val="footer"/>
    <w:basedOn w:val="1"/>
    <w:link w:val="26"/>
    <w:qFormat/>
    <w:uiPriority w:val="99"/>
    <w:pPr>
      <w:tabs>
        <w:tab w:val="center" w:pos="4153"/>
        <w:tab w:val="right" w:pos="8306"/>
      </w:tabs>
      <w:snapToGrid w:val="0"/>
      <w:jc w:val="left"/>
    </w:pPr>
    <w:rPr>
      <w:sz w:val="18"/>
    </w:rPr>
  </w:style>
  <w:style w:type="paragraph" w:styleId="13">
    <w:name w:val="header"/>
    <w:basedOn w:val="1"/>
    <w:link w:val="44"/>
    <w:qFormat/>
    <w:uiPriority w:val="0"/>
    <w:pPr>
      <w:pBdr>
        <w:bottom w:val="single" w:color="auto" w:sz="6" w:space="1"/>
      </w:pBdr>
      <w:tabs>
        <w:tab w:val="center" w:pos="4153"/>
        <w:tab w:val="right" w:pos="8306"/>
      </w:tabs>
      <w:snapToGrid w:val="0"/>
      <w:jc w:val="center"/>
    </w:pPr>
    <w:rPr>
      <w:sz w:val="18"/>
    </w:rPr>
  </w:style>
  <w:style w:type="paragraph" w:styleId="14">
    <w:name w:val="toc 1"/>
    <w:basedOn w:val="1"/>
    <w:next w:val="1"/>
    <w:qFormat/>
    <w:uiPriority w:val="0"/>
  </w:style>
  <w:style w:type="paragraph" w:styleId="15">
    <w:name w:val="Subtitle"/>
    <w:basedOn w:val="1"/>
    <w:next w:val="1"/>
    <w:qFormat/>
    <w:uiPriority w:val="11"/>
    <w:pPr>
      <w:spacing w:after="60"/>
      <w:jc w:val="center"/>
      <w:outlineLvl w:val="1"/>
    </w:pPr>
    <w:rPr>
      <w:rFonts w:ascii="Cambria" w:hAnsi="Cambria"/>
    </w:rPr>
  </w:style>
  <w:style w:type="paragraph" w:styleId="16">
    <w:name w:val="Body Text Indent 3"/>
    <w:basedOn w:val="1"/>
    <w:link w:val="36"/>
    <w:qFormat/>
    <w:uiPriority w:val="0"/>
    <w:pPr>
      <w:spacing w:after="120"/>
      <w:ind w:left="420" w:leftChars="200"/>
    </w:pPr>
    <w:rPr>
      <w:sz w:val="16"/>
      <w:szCs w:val="16"/>
    </w:rPr>
  </w:style>
  <w:style w:type="paragraph" w:styleId="17">
    <w:name w:val="Normal (Web)"/>
    <w:basedOn w:val="1"/>
    <w:qFormat/>
    <w:uiPriority w:val="0"/>
    <w:pPr>
      <w:widowControl/>
      <w:spacing w:before="100" w:beforeAutospacing="1" w:after="100" w:afterAutospacing="1"/>
      <w:jc w:val="left"/>
    </w:pPr>
    <w:rPr>
      <w:rFonts w:hAnsi="宋体"/>
      <w:sz w:val="18"/>
      <w:szCs w:val="18"/>
    </w:rPr>
  </w:style>
  <w:style w:type="paragraph" w:styleId="18">
    <w:name w:val="annotation subject"/>
    <w:basedOn w:val="7"/>
    <w:next w:val="7"/>
    <w:link w:val="39"/>
    <w:qFormat/>
    <w:uiPriority w:val="0"/>
    <w:rPr>
      <w:b/>
      <w:bCs/>
      <w:sz w:val="21"/>
      <w:szCs w:val="24"/>
    </w:rPr>
  </w:style>
  <w:style w:type="paragraph" w:styleId="19">
    <w:name w:val="Body Text First Indent 2"/>
    <w:basedOn w:val="8"/>
    <w:unhideWhenUsed/>
    <w:qFormat/>
    <w:uiPriority w:val="99"/>
    <w:pPr>
      <w:ind w:firstLine="420" w:firstLineChars="200"/>
    </w:pPr>
    <w:rPr>
      <w:rFonts w:ascii="仿宋_GB2312"/>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qFormat/>
    <w:uiPriority w:val="0"/>
  </w:style>
  <w:style w:type="character" w:styleId="24">
    <w:name w:val="Hyperlink"/>
    <w:qFormat/>
    <w:uiPriority w:val="0"/>
    <w:rPr>
      <w:color w:val="0000FF"/>
      <w:u w:val="single"/>
    </w:rPr>
  </w:style>
  <w:style w:type="character" w:styleId="25">
    <w:name w:val="annotation reference"/>
    <w:qFormat/>
    <w:uiPriority w:val="0"/>
    <w:rPr>
      <w:sz w:val="21"/>
      <w:szCs w:val="21"/>
    </w:rPr>
  </w:style>
  <w:style w:type="character" w:customStyle="1" w:styleId="26">
    <w:name w:val="页脚 字符"/>
    <w:link w:val="12"/>
    <w:qFormat/>
    <w:uiPriority w:val="99"/>
    <w:rPr>
      <w:rFonts w:eastAsia="宋体"/>
      <w:kern w:val="2"/>
      <w:sz w:val="18"/>
      <w:lang w:val="en-US" w:eastAsia="zh-CN" w:bidi="ar-SA"/>
    </w:rPr>
  </w:style>
  <w:style w:type="character" w:customStyle="1" w:styleId="27">
    <w:name w:val="批注文字 字符"/>
    <w:link w:val="7"/>
    <w:qFormat/>
    <w:uiPriority w:val="0"/>
    <w:rPr>
      <w:kern w:val="2"/>
      <w:sz w:val="18"/>
      <w:lang w:bidi="ar-SA"/>
    </w:rPr>
  </w:style>
  <w:style w:type="character" w:customStyle="1" w:styleId="28">
    <w:name w:val="列表段落 字符"/>
    <w:link w:val="29"/>
    <w:qFormat/>
    <w:uiPriority w:val="0"/>
    <w:rPr>
      <w:rFonts w:eastAsia="宋体"/>
      <w:kern w:val="2"/>
      <w:sz w:val="21"/>
      <w:szCs w:val="24"/>
      <w:lang w:val="en-US" w:eastAsia="zh-CN" w:bidi="ar-SA"/>
    </w:rPr>
  </w:style>
  <w:style w:type="paragraph" w:styleId="29">
    <w:name w:val="List Paragraph"/>
    <w:basedOn w:val="1"/>
    <w:link w:val="28"/>
    <w:qFormat/>
    <w:uiPriority w:val="0"/>
    <w:pPr>
      <w:ind w:firstLine="420" w:firstLineChars="200"/>
    </w:pPr>
  </w:style>
  <w:style w:type="character" w:customStyle="1" w:styleId="30">
    <w:name w:val="（符号）邀请函中一、"/>
    <w:qFormat/>
    <w:uiPriority w:val="0"/>
    <w:rPr>
      <w:rFonts w:ascii="黑体" w:hAnsi="黑体" w:eastAsia="黑体"/>
      <w:b/>
      <w:bCs/>
      <w:sz w:val="24"/>
    </w:rPr>
  </w:style>
  <w:style w:type="character" w:customStyle="1" w:styleId="31">
    <w:name w:val="正文文本缩进 字符"/>
    <w:link w:val="8"/>
    <w:qFormat/>
    <w:uiPriority w:val="0"/>
    <w:rPr>
      <w:rFonts w:eastAsia="宋体"/>
      <w:kern w:val="2"/>
      <w:sz w:val="32"/>
      <w:lang w:val="en-US" w:eastAsia="zh-CN" w:bidi="ar-SA"/>
    </w:rPr>
  </w:style>
  <w:style w:type="character" w:customStyle="1" w:styleId="32">
    <w:name w:val="NormalCharacter"/>
    <w:semiHidden/>
    <w:qFormat/>
    <w:uiPriority w:val="0"/>
  </w:style>
  <w:style w:type="character" w:customStyle="1" w:styleId="33">
    <w:name w:val="Char Char9"/>
    <w:qFormat/>
    <w:uiPriority w:val="0"/>
    <w:rPr>
      <w:kern w:val="2"/>
      <w:sz w:val="21"/>
    </w:rPr>
  </w:style>
  <w:style w:type="character" w:customStyle="1" w:styleId="34">
    <w:name w:val="正文缩进 字符"/>
    <w:link w:val="6"/>
    <w:qFormat/>
    <w:uiPriority w:val="0"/>
    <w:rPr>
      <w:rFonts w:eastAsia="宋体"/>
      <w:kern w:val="2"/>
      <w:sz w:val="21"/>
      <w:szCs w:val="24"/>
      <w:lang w:val="en-US" w:eastAsia="zh-CN" w:bidi="ar-SA"/>
    </w:rPr>
  </w:style>
  <w:style w:type="character" w:customStyle="1" w:styleId="35">
    <w:name w:val="标题 1 字符"/>
    <w:link w:val="3"/>
    <w:qFormat/>
    <w:uiPriority w:val="0"/>
    <w:rPr>
      <w:rFonts w:ascii="Times New Roman" w:hAnsi="Times New Roman" w:eastAsia="宋体"/>
      <w:b/>
      <w:bCs/>
      <w:kern w:val="44"/>
      <w:sz w:val="44"/>
      <w:szCs w:val="44"/>
    </w:rPr>
  </w:style>
  <w:style w:type="character" w:customStyle="1" w:styleId="36">
    <w:name w:val="正文文本缩进 3 字符"/>
    <w:link w:val="16"/>
    <w:qFormat/>
    <w:uiPriority w:val="0"/>
    <w:rPr>
      <w:kern w:val="2"/>
      <w:sz w:val="16"/>
      <w:szCs w:val="16"/>
    </w:rPr>
  </w:style>
  <w:style w:type="character" w:customStyle="1" w:styleId="37">
    <w:name w:val="正文文本 字符"/>
    <w:link w:val="2"/>
    <w:qFormat/>
    <w:uiPriority w:val="0"/>
    <w:rPr>
      <w:kern w:val="2"/>
      <w:sz w:val="21"/>
      <w:szCs w:val="24"/>
    </w:rPr>
  </w:style>
  <w:style w:type="character" w:customStyle="1" w:styleId="38">
    <w:name w:val="标题 2 字符"/>
    <w:link w:val="4"/>
    <w:qFormat/>
    <w:uiPriority w:val="0"/>
    <w:rPr>
      <w:rFonts w:ascii="Arial" w:hAnsi="Arial" w:eastAsia="黑体"/>
      <w:b/>
      <w:bCs/>
      <w:sz w:val="32"/>
      <w:szCs w:val="32"/>
    </w:rPr>
  </w:style>
  <w:style w:type="character" w:customStyle="1" w:styleId="39">
    <w:name w:val="批注主题 字符"/>
    <w:link w:val="18"/>
    <w:qFormat/>
    <w:uiPriority w:val="0"/>
    <w:rPr>
      <w:b/>
      <w:bCs/>
      <w:kern w:val="2"/>
      <w:sz w:val="21"/>
      <w:szCs w:val="24"/>
      <w:lang w:bidi="ar-SA"/>
    </w:rPr>
  </w:style>
  <w:style w:type="character" w:customStyle="1" w:styleId="40">
    <w:name w:val="纯文本 字符"/>
    <w:link w:val="9"/>
    <w:unhideWhenUsed/>
    <w:qFormat/>
    <w:uiPriority w:val="0"/>
    <w:rPr>
      <w:rFonts w:ascii="宋体" w:hAnsi="Tms Rmn" w:eastAsia="宋体"/>
      <w:sz w:val="21"/>
      <w:lang w:val="en-US" w:eastAsia="zh-CN" w:bidi="ar-SA"/>
    </w:rPr>
  </w:style>
  <w:style w:type="character" w:customStyle="1" w:styleId="41">
    <w:name w:val="GW-正文 Char"/>
    <w:link w:val="42"/>
    <w:qFormat/>
    <w:uiPriority w:val="0"/>
    <w:rPr>
      <w:rFonts w:eastAsia="仿宋_GB2312"/>
      <w:kern w:val="2"/>
      <w:sz w:val="24"/>
      <w:szCs w:val="24"/>
      <w:lang w:val="en-US" w:eastAsia="zh-CN" w:bidi="ar-SA"/>
    </w:rPr>
  </w:style>
  <w:style w:type="paragraph" w:customStyle="1" w:styleId="42">
    <w:name w:val="GW-正文"/>
    <w:basedOn w:val="1"/>
    <w:link w:val="41"/>
    <w:qFormat/>
    <w:uiPriority w:val="0"/>
    <w:pPr>
      <w:spacing w:line="360" w:lineRule="auto"/>
      <w:ind w:firstLine="200" w:firstLineChars="200"/>
    </w:pPr>
    <w:rPr>
      <w:rFonts w:eastAsia="仿宋_GB2312"/>
      <w:sz w:val="24"/>
    </w:rPr>
  </w:style>
  <w:style w:type="character" w:customStyle="1" w:styleId="43">
    <w:name w:val="批注文字 Char1"/>
    <w:qFormat/>
    <w:uiPriority w:val="0"/>
    <w:rPr>
      <w:kern w:val="2"/>
      <w:sz w:val="18"/>
      <w:lang w:bidi="ar-SA"/>
    </w:rPr>
  </w:style>
  <w:style w:type="character" w:customStyle="1" w:styleId="44">
    <w:name w:val="页眉 字符"/>
    <w:link w:val="13"/>
    <w:qFormat/>
    <w:uiPriority w:val="0"/>
    <w:rPr>
      <w:rFonts w:eastAsia="宋体"/>
      <w:kern w:val="2"/>
      <w:sz w:val="18"/>
      <w:lang w:val="en-US" w:eastAsia="zh-CN" w:bidi="ar-SA"/>
    </w:rPr>
  </w:style>
  <w:style w:type="paragraph" w:customStyle="1" w:styleId="45">
    <w:name w:val="Plain Text1"/>
    <w:basedOn w:val="1"/>
    <w:qFormat/>
    <w:uiPriority w:val="0"/>
    <w:pPr>
      <w:widowControl/>
      <w:adjustRightInd w:val="0"/>
      <w:jc w:val="left"/>
    </w:pPr>
    <w:rPr>
      <w:rFonts w:hAnsi="Courier New" w:eastAsia="楷体_GB2312"/>
      <w:sz w:val="26"/>
    </w:rPr>
  </w:style>
  <w:style w:type="paragraph" w:customStyle="1" w:styleId="46">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paragraph" w:customStyle="1" w:styleId="48">
    <w:name w:val="正文1"/>
    <w:qFormat/>
    <w:uiPriority w:val="0"/>
    <w:pPr>
      <w:widowControl w:val="0"/>
      <w:adjustRightInd w:val="0"/>
      <w:spacing w:line="312" w:lineRule="atLeast"/>
      <w:jc w:val="both"/>
      <w:textAlignment w:val="baseline"/>
    </w:pPr>
    <w:rPr>
      <w:rFonts w:ascii="宋体" w:hAnsi="Calibri" w:eastAsia="宋体" w:cs="Times New Roman"/>
      <w:sz w:val="34"/>
      <w:lang w:val="en-US" w:eastAsia="zh-CN" w:bidi="ar-SA"/>
    </w:rPr>
  </w:style>
  <w:style w:type="paragraph" w:customStyle="1" w:styleId="49">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0">
    <w:name w:val="正文首行缩进两字符"/>
    <w:basedOn w:val="1"/>
    <w:qFormat/>
    <w:uiPriority w:val="0"/>
    <w:pPr>
      <w:spacing w:line="360" w:lineRule="auto"/>
      <w:ind w:firstLine="200" w:firstLineChars="200"/>
    </w:pPr>
  </w:style>
  <w:style w:type="paragraph" w:customStyle="1" w:styleId="51">
    <w:name w:val="UserStyle_23"/>
    <w:basedOn w:val="1"/>
    <w:qFormat/>
    <w:uiPriority w:val="0"/>
    <w:pPr>
      <w:spacing w:line="360" w:lineRule="auto"/>
      <w:ind w:firstLine="200" w:firstLineChars="200"/>
      <w:textAlignment w:val="baseline"/>
    </w:pPr>
  </w:style>
  <w:style w:type="paragraph" w:customStyle="1" w:styleId="52">
    <w:name w:val="表格"/>
    <w:basedOn w:val="1"/>
    <w:qFormat/>
    <w:uiPriority w:val="0"/>
    <w:pPr>
      <w:spacing w:line="400" w:lineRule="exact"/>
    </w:pPr>
    <w:rPr>
      <w:sz w:val="24"/>
    </w:rPr>
  </w:style>
  <w:style w:type="paragraph" w:customStyle="1" w:styleId="53">
    <w:name w:val="Char Char Char Char Char Char Char Char Char Char Char Char Char Char1 Char Char Char Char"/>
    <w:basedOn w:val="1"/>
    <w:qFormat/>
    <w:uiPriority w:val="0"/>
    <w:rPr>
      <w:szCs w:val="21"/>
    </w:rPr>
  </w:style>
  <w:style w:type="paragraph" w:customStyle="1" w:styleId="54">
    <w:name w:val="无间隔1"/>
    <w:qFormat/>
    <w:uiPriority w:val="0"/>
    <w:pPr>
      <w:widowControl w:val="0"/>
      <w:jc w:val="both"/>
    </w:pPr>
    <w:rPr>
      <w:rFonts w:ascii="Calibri" w:hAnsi="Calibri" w:eastAsia="宋体" w:cs="Calibri"/>
      <w:kern w:val="2"/>
      <w:sz w:val="21"/>
      <w:szCs w:val="22"/>
      <w:lang w:val="en-US" w:eastAsia="zh-CN" w:bidi="ar-SA"/>
    </w:rPr>
  </w:style>
  <w:style w:type="paragraph" w:customStyle="1" w:styleId="55">
    <w:name w:val="UserStyle_21"/>
    <w:qFormat/>
    <w:uiPriority w:val="0"/>
    <w:pPr>
      <w:textAlignment w:val="baseline"/>
    </w:pPr>
    <w:rPr>
      <w:rFonts w:ascii="宋体" w:hAnsi="宋体" w:eastAsia="宋体" w:cs="Times New Roman"/>
      <w:sz w:val="24"/>
      <w:szCs w:val="24"/>
      <w:lang w:val="en-US" w:eastAsia="zh-CN" w:bidi="ar-SA"/>
    </w:rPr>
  </w:style>
  <w:style w:type="table" w:customStyle="1" w:styleId="56">
    <w:name w:val="网格型1"/>
    <w:basedOn w:val="20"/>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www.levovo.com</Company>
  <Pages>52</Pages>
  <Words>28091</Words>
  <Characters>4679</Characters>
  <Lines>38</Lines>
  <Paragraphs>65</Paragraphs>
  <TotalTime>45</TotalTime>
  <ScaleCrop>false</ScaleCrop>
  <LinksUpToDate>false</LinksUpToDate>
  <CharactersWithSpaces>32705</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2021-06-11T02:07:00Z</dcterms:created>
  <dc:creator>吴正新</dc:creator>
  <cp:lastModifiedBy>西海岸的春天</cp:lastModifiedBy>
  <cp:lastPrinted>2016-10-20T07:52:00Z</cp:lastPrinted>
  <dcterms:modified xsi:type="dcterms:W3CDTF">2021-07-02T08:11:55Z</dcterms:modified>
  <dc:title>招标编号：xx政采招[xxxx] xxx号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7B162D6447384734A90ACCC01846FE74</vt:lpwstr>
  </property>
</Properties>
</file>