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tabs>
          <w:tab w:val="left" w:pos="1243"/>
        </w:tabs>
        <w:rPr>
          <w:rFonts w:hint="eastAsia" w:ascii="华文中宋" w:hAnsi="华文中宋" w:eastAsia="华文中宋"/>
          <w:color w:val="auto"/>
          <w:spacing w:val="20"/>
          <w:sz w:val="30"/>
          <w:szCs w:val="30"/>
          <w:highlight w:val="none"/>
          <w:lang w:eastAsia="zh-CN"/>
        </w:rPr>
      </w:pPr>
      <w:r>
        <w:rPr>
          <w:rFonts w:hint="eastAsia" w:ascii="华文中宋" w:hAnsi="华文中宋" w:eastAsia="华文中宋"/>
          <w:color w:val="auto"/>
          <w:spacing w:val="20"/>
          <w:sz w:val="30"/>
          <w:szCs w:val="30"/>
          <w:highlight w:val="none"/>
          <w:lang w:eastAsia="zh-CN"/>
        </w:rPr>
        <w:tab/>
      </w: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成都市双流区文化体育和旅游局双流区童声合唱团第二期管理及培训采购项目</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510122202100284</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hint="eastAsia" w:ascii="华文中宋" w:hAnsi="华文中宋" w:eastAsia="华文中宋"/>
          <w:color w:val="auto"/>
          <w:sz w:val="32"/>
          <w:szCs w:val="32"/>
          <w:highlight w:val="none"/>
          <w:lang w:val="en-US" w:eastAsia="zh-CN"/>
        </w:rPr>
      </w:pPr>
      <w:r>
        <w:rPr>
          <w:rFonts w:hint="eastAsia" w:ascii="华文中宋" w:hAnsi="华文中宋" w:eastAsia="华文中宋"/>
          <w:color w:val="auto"/>
          <w:spacing w:val="20"/>
          <w:sz w:val="32"/>
          <w:szCs w:val="32"/>
          <w:highlight w:val="none"/>
          <w:lang w:eastAsia="zh-CN"/>
        </w:rPr>
        <w:t>成都市双流区文化体育和旅游局</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r>
        <w:rPr>
          <w:rFonts w:hint="eastAsia" w:ascii="华文中宋" w:hAnsi="华文中宋" w:eastAsia="华文中宋"/>
          <w:color w:val="auto"/>
          <w:sz w:val="32"/>
          <w:szCs w:val="32"/>
          <w:highlight w:val="none"/>
          <w:lang w:val="en-US" w:eastAsia="zh-CN"/>
        </w:rPr>
        <w:t xml:space="preserve">  </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年</w:t>
      </w:r>
      <w:r>
        <w:rPr>
          <w:rFonts w:hint="eastAsia" w:ascii="华文中宋" w:hAnsi="华文中宋" w:eastAsia="华文中宋"/>
          <w:bCs/>
          <w:color w:val="auto"/>
          <w:sz w:val="32"/>
          <w:szCs w:val="32"/>
          <w:highlight w:val="none"/>
          <w:lang w:val="en-US" w:eastAsia="zh-CN"/>
        </w:rPr>
        <w:t>八</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pStyle w:val="4"/>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highlight w:val="none"/>
          <w:lang w:eastAsia="zh-CN"/>
        </w:rPr>
      </w:pPr>
      <w:bookmarkStart w:id="0" w:name="_Toc8202"/>
      <w:bookmarkStart w:id="1" w:name="_Toc9012"/>
      <w:bookmarkStart w:id="2" w:name="_Toc14670"/>
      <w:bookmarkStart w:id="3" w:name="_Toc8149"/>
      <w:bookmarkStart w:id="4" w:name="_Toc779"/>
      <w:bookmarkStart w:id="5" w:name="_Toc13967"/>
      <w:bookmarkStart w:id="6" w:name="_Toc16046"/>
      <w:bookmarkStart w:id="7" w:name="_Toc1057"/>
      <w:r>
        <w:rPr>
          <w:rFonts w:hint="eastAsia" w:ascii="宋体" w:hAnsi="宋体" w:eastAsia="宋体" w:cs="宋体"/>
          <w:b/>
          <w:bCs w:val="0"/>
          <w:color w:val="auto"/>
          <w:sz w:val="36"/>
          <w:szCs w:val="36"/>
          <w:highlight w:val="none"/>
          <w:lang w:eastAsia="zh-CN"/>
        </w:rPr>
        <w:t>“政采贷”业务介绍</w:t>
      </w:r>
      <w:bookmarkEnd w:id="0"/>
      <w:bookmarkEnd w:id="1"/>
      <w:bookmarkEnd w:id="2"/>
      <w:bookmarkEnd w:id="3"/>
      <w:bookmarkEnd w:id="4"/>
      <w:bookmarkEnd w:id="5"/>
      <w:bookmarkEnd w:id="6"/>
      <w:bookmarkEnd w:id="7"/>
    </w:p>
    <w:p>
      <w:pPr>
        <w:pStyle w:val="4"/>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bookmarkStart w:id="8" w:name="_Toc7667"/>
      <w:bookmarkStart w:id="9" w:name="_Toc26503"/>
      <w:bookmarkStart w:id="10" w:name="_Toc17493"/>
      <w:bookmarkStart w:id="11" w:name="_Toc7680"/>
      <w:bookmarkStart w:id="12" w:name="_Toc5797"/>
      <w:bookmarkStart w:id="13" w:name="_Toc24259"/>
      <w:bookmarkStart w:id="14" w:name="_Toc26689"/>
      <w:bookmarkStart w:id="15" w:name="_Toc6503"/>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highlight w:val="none"/>
          <w:lang w:eastAsia="zh-CN"/>
        </w:rPr>
        <w:t>、营造良好的营商环境</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《四川省财政厅关于推进四川省政府采购供应商信用融资工作的通知》（川财采﹝</w:t>
      </w:r>
      <w:r>
        <w:rPr>
          <w:rFonts w:hint="eastAsia" w:ascii="宋体" w:hAnsi="宋体" w:eastAsia="宋体" w:cs="宋体"/>
          <w:b w:val="0"/>
          <w:bCs w:val="0"/>
          <w:color w:val="auto"/>
          <w:sz w:val="24"/>
          <w:szCs w:val="24"/>
          <w:highlight w:val="none"/>
          <w:lang w:val="en-US" w:eastAsia="zh-CN"/>
        </w:rPr>
        <w:t>2018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123号</w:t>
      </w:r>
      <w:r>
        <w:rPr>
          <w:rFonts w:hint="eastAsia" w:ascii="宋体" w:hAnsi="宋体" w:eastAsia="宋体" w:cs="宋体"/>
          <w:b w:val="0"/>
          <w:bCs w:val="0"/>
          <w:color w:val="auto"/>
          <w:sz w:val="24"/>
          <w:szCs w:val="24"/>
          <w:highlight w:val="none"/>
          <w:lang w:eastAsia="zh-CN"/>
        </w:rPr>
        <w:t>）文件要求。有融资需求的供应商可根据四川政府采购网公示的银行及其“政采贷”产品，自行选择符合自身情况的“政采贷”银行及其产品，凭中标（成交）通知书向银行提出贷款意向申请。</w:t>
      </w:r>
      <w:bookmarkEnd w:id="8"/>
      <w:bookmarkEnd w:id="9"/>
      <w:bookmarkEnd w:id="10"/>
      <w:bookmarkEnd w:id="11"/>
      <w:bookmarkEnd w:id="12"/>
      <w:bookmarkEnd w:id="13"/>
      <w:bookmarkEnd w:id="14"/>
      <w:bookmarkEnd w:id="15"/>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highlight w:val="none"/>
          <w:lang w:val="zh-CN" w:eastAsia="zh-CN"/>
        </w:rPr>
      </w:pPr>
    </w:p>
    <w:p>
      <w:pPr>
        <w:rPr>
          <w:rFonts w:hint="eastAsia" w:ascii="宋体" w:hAnsi="宋体" w:eastAsia="宋体" w:cs="宋体"/>
          <w:b w:val="0"/>
          <w:bCs/>
          <w:color w:val="auto"/>
          <w:sz w:val="24"/>
          <w:szCs w:val="24"/>
          <w:highlight w:val="none"/>
          <w:lang w:val="zh-CN" w:eastAsia="zh-CN" w:bidi="ar-SA"/>
        </w:rPr>
      </w:pPr>
    </w:p>
    <w:p>
      <w:pPr>
        <w:pStyle w:val="4"/>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highlight w:val="none"/>
          <w:lang w:eastAsia="zh-CN"/>
        </w:rPr>
      </w:pPr>
      <w:bookmarkStart w:id="16" w:name="_Toc3992"/>
      <w:bookmarkStart w:id="17" w:name="_Toc6362"/>
      <w:bookmarkStart w:id="18" w:name="_Toc5414"/>
      <w:bookmarkStart w:id="19" w:name="_Toc28541"/>
      <w:bookmarkStart w:id="20" w:name="_Toc13945"/>
      <w:bookmarkStart w:id="21" w:name="_Toc11470"/>
      <w:bookmarkStart w:id="22" w:name="_Toc8421"/>
      <w:bookmarkStart w:id="23" w:name="_Toc29734"/>
      <w:r>
        <w:rPr>
          <w:rFonts w:hint="eastAsia" w:ascii="宋体" w:hAnsi="宋体" w:eastAsia="宋体" w:cs="宋体"/>
          <w:b/>
          <w:bCs w:val="0"/>
          <w:color w:val="auto"/>
          <w:sz w:val="32"/>
          <w:szCs w:val="32"/>
          <w:highlight w:val="none"/>
          <w:lang w:eastAsia="zh-CN"/>
        </w:rPr>
        <w:t>“蓉采贷”业务介绍</w:t>
      </w:r>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银行名称</w:t>
            </w:r>
          </w:p>
        </w:tc>
        <w:tc>
          <w:tcPr>
            <w:tcW w:w="280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联系部门</w:t>
            </w:r>
          </w:p>
        </w:tc>
        <w:tc>
          <w:tcPr>
            <w:tcW w:w="222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39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280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中小企业部</w:t>
            </w:r>
          </w:p>
        </w:tc>
        <w:tc>
          <w:tcPr>
            <w:tcW w:w="222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中国建设银行成都第六支行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中国农业银行成都天府新区分行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浦发银行成都分行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中国民生银行成都分行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中国邮政储蓄银行成都分行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招商银行成都分行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广发银行成都分行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东大街支部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重庆银行成都分行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小微企业银行部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028-86772083</w:t>
            </w:r>
          </w:p>
        </w:tc>
      </w:tr>
    </w:tbl>
    <w:p>
      <w:pPr>
        <w:pStyle w:val="3"/>
        <w:rPr>
          <w:highlight w:val="none"/>
        </w:rPr>
        <w:sectPr>
          <w:headerReference r:id="rId5" w:type="first"/>
          <w:headerReference r:id="rId3" w:type="default"/>
          <w:headerReference r:id="rId4" w:type="even"/>
          <w:footerReference r:id="rId6"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36"/>
        <w:tabs>
          <w:tab w:val="right" w:leader="dot" w:pos="9214"/>
        </w:tabs>
      </w:pP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_Toc26532 </w:instrText>
      </w:r>
      <w:r>
        <w:rPr>
          <w:rFonts w:ascii="宋体" w:hAnsi="宋体"/>
          <w:bCs/>
          <w:szCs w:val="36"/>
          <w:highlight w:val="none"/>
        </w:rPr>
        <w:fldChar w:fldCharType="separate"/>
      </w:r>
      <w:r>
        <w:rPr>
          <w:rFonts w:hint="default" w:ascii="Times New Roman" w:hAnsi="Times New Roman" w:eastAsia="宋体"/>
          <w:i w:val="0"/>
          <w:szCs w:val="32"/>
        </w:rPr>
        <w:t xml:space="preserve">第1章 </w:t>
      </w:r>
      <w:r>
        <w:rPr>
          <w:rFonts w:hint="eastAsia"/>
          <w:highlight w:val="none"/>
        </w:rPr>
        <w:t>竞争性磋商邀请</w:t>
      </w:r>
      <w:r>
        <w:tab/>
      </w:r>
      <w:r>
        <w:fldChar w:fldCharType="begin"/>
      </w:r>
      <w:r>
        <w:instrText xml:space="preserve"> PAGEREF _Toc26532 \h </w:instrText>
      </w:r>
      <w:r>
        <w:fldChar w:fldCharType="separate"/>
      </w:r>
      <w:r>
        <w:t>2</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_Toc3878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_Toc3878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_Toc15690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highlight w:val="none"/>
        </w:rPr>
        <w:t>磋商供应商须知附表</w:t>
      </w:r>
      <w:r>
        <w:tab/>
      </w:r>
      <w:r>
        <w:fldChar w:fldCharType="begin"/>
      </w:r>
      <w:r>
        <w:instrText xml:space="preserve"> PAGEREF _Toc15690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_Toc30545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szCs w:val="24"/>
          <w:highlight w:val="none"/>
        </w:rPr>
        <w:t>适用范围</w:t>
      </w:r>
      <w:r>
        <w:tab/>
      </w:r>
      <w:r>
        <w:fldChar w:fldCharType="begin"/>
      </w:r>
      <w:r>
        <w:instrText xml:space="preserve"> PAGEREF _Toc30545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_Toc9365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szCs w:val="24"/>
          <w:highlight w:val="none"/>
        </w:rPr>
        <w:t>定义</w:t>
      </w:r>
      <w:r>
        <w:tab/>
      </w:r>
      <w:r>
        <w:fldChar w:fldCharType="begin"/>
      </w:r>
      <w:r>
        <w:instrText xml:space="preserve"> PAGEREF _Toc9365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_Toc20657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szCs w:val="24"/>
          <w:highlight w:val="none"/>
        </w:rPr>
        <w:t>合格供应商的条件（实质性要求）</w:t>
      </w:r>
      <w:r>
        <w:tab/>
      </w:r>
      <w:r>
        <w:fldChar w:fldCharType="begin"/>
      </w:r>
      <w:r>
        <w:instrText xml:space="preserve"> PAGEREF _Toc20657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_Toc7899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szCs w:val="24"/>
          <w:highlight w:val="none"/>
        </w:rPr>
        <w:t>拒绝参加本次采购活动的供应商</w:t>
      </w:r>
      <w:r>
        <w:tab/>
      </w:r>
      <w:r>
        <w:fldChar w:fldCharType="begin"/>
      </w:r>
      <w:r>
        <w:instrText xml:space="preserve"> PAGEREF _Toc7899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_Toc12879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highlight w:val="none"/>
        </w:rPr>
        <w:t>充分、公平竞争保障措施（实质性要求）</w:t>
      </w:r>
      <w:r>
        <w:tab/>
      </w:r>
      <w:r>
        <w:fldChar w:fldCharType="begin"/>
      </w:r>
      <w:r>
        <w:instrText xml:space="preserve"> PAGEREF _Toc12879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_Toc24007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highlight w:val="none"/>
        </w:rPr>
        <w:t>竞争性磋商采购费用</w:t>
      </w:r>
      <w:r>
        <w:tab/>
      </w:r>
      <w:r>
        <w:fldChar w:fldCharType="begin"/>
      </w:r>
      <w:r>
        <w:instrText xml:space="preserve"> PAGEREF _Toc24007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_Toc19158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highlight w:val="none"/>
        </w:rPr>
        <w:t>响应文件</w:t>
      </w:r>
      <w:r>
        <w:tab/>
      </w:r>
      <w:r>
        <w:fldChar w:fldCharType="begin"/>
      </w:r>
      <w:r>
        <w:instrText xml:space="preserve"> PAGEREF _Toc19158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_Toc4727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highlight w:val="none"/>
        </w:rPr>
        <w:t>竞争性磋商程序</w:t>
      </w:r>
      <w:r>
        <w:tab/>
      </w:r>
      <w:r>
        <w:fldChar w:fldCharType="begin"/>
      </w:r>
      <w:r>
        <w:instrText xml:space="preserve"> PAGEREF _Toc4727 \h </w:instrText>
      </w:r>
      <w:r>
        <w:fldChar w:fldCharType="separate"/>
      </w:r>
      <w:r>
        <w:t>12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_Toc14229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确定成交供应商</w:t>
      </w:r>
      <w:r>
        <w:tab/>
      </w:r>
      <w:r>
        <w:fldChar w:fldCharType="begin"/>
      </w:r>
      <w:r>
        <w:instrText xml:space="preserve"> PAGEREF _Toc14229 \h </w:instrText>
      </w:r>
      <w:r>
        <w:fldChar w:fldCharType="separate"/>
      </w:r>
      <w:r>
        <w:t>19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_Toc6886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highlight w:val="none"/>
        </w:rPr>
        <w:t>成交结果</w:t>
      </w:r>
      <w:r>
        <w:tab/>
      </w:r>
      <w:r>
        <w:fldChar w:fldCharType="begin"/>
      </w:r>
      <w:r>
        <w:instrText xml:space="preserve"> PAGEREF _Toc6886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_Toc25829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highlight w:val="none"/>
        </w:rPr>
        <w:t>询问、质疑和投诉</w:t>
      </w:r>
      <w:r>
        <w:tab/>
      </w:r>
      <w:r>
        <w:fldChar w:fldCharType="begin"/>
      </w:r>
      <w:r>
        <w:instrText xml:space="preserve"> PAGEREF _Toc25829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_Toc10052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ascii="宋体" w:hAnsi="宋体" w:eastAsia="宋体" w:cs="宋体"/>
          <w:szCs w:val="24"/>
          <w:highlight w:val="none"/>
        </w:rPr>
        <w:t>签订合同</w:t>
      </w:r>
      <w:r>
        <w:tab/>
      </w:r>
      <w:r>
        <w:fldChar w:fldCharType="begin"/>
      </w:r>
      <w:r>
        <w:instrText xml:space="preserve"> PAGEREF _Toc10052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_Toc19073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highlight w:val="none"/>
        </w:rPr>
        <w:t>采购人增加合同的权利</w:t>
      </w:r>
      <w:r>
        <w:tab/>
      </w:r>
      <w:r>
        <w:fldChar w:fldCharType="begin"/>
      </w:r>
      <w:r>
        <w:instrText xml:space="preserve"> PAGEREF _Toc19073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_Toc32616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2.15 </w:t>
      </w:r>
      <w:r>
        <w:rPr>
          <w:rFonts w:hint="eastAsia"/>
          <w:highlight w:val="none"/>
        </w:rPr>
        <w:t>履行合同</w:t>
      </w:r>
      <w:r>
        <w:tab/>
      </w:r>
      <w:r>
        <w:fldChar w:fldCharType="begin"/>
      </w:r>
      <w:r>
        <w:instrText xml:space="preserve"> PAGEREF _Toc32616 \h </w:instrText>
      </w:r>
      <w:r>
        <w:fldChar w:fldCharType="separate"/>
      </w:r>
      <w:r>
        <w:t>22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_Toc11212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2.16 </w:t>
      </w:r>
      <w:r>
        <w:rPr>
          <w:rFonts w:hint="eastAsia"/>
          <w:highlight w:val="none"/>
        </w:rPr>
        <w:t>竞争性磋商工作纪律及要求</w:t>
      </w:r>
      <w:r>
        <w:tab/>
      </w:r>
      <w:r>
        <w:fldChar w:fldCharType="begin"/>
      </w:r>
      <w:r>
        <w:instrText xml:space="preserve"> PAGEREF _Toc11212 \h </w:instrText>
      </w:r>
      <w:r>
        <w:fldChar w:fldCharType="separate"/>
      </w:r>
      <w:r>
        <w:t>22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_Toc4229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2.17 </w:t>
      </w:r>
      <w:r>
        <w:rPr>
          <w:rFonts w:hint="eastAsia"/>
          <w:highlight w:val="none"/>
        </w:rPr>
        <w:t>回避</w:t>
      </w:r>
      <w:r>
        <w:tab/>
      </w:r>
      <w:r>
        <w:fldChar w:fldCharType="begin"/>
      </w:r>
      <w:r>
        <w:instrText xml:space="preserve"> PAGEREF _Toc4229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_Toc797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2.18 </w:t>
      </w:r>
      <w:r>
        <w:rPr>
          <w:rFonts w:hint="eastAsia"/>
          <w:highlight w:val="none"/>
        </w:rPr>
        <w:t>其他</w:t>
      </w:r>
      <w:r>
        <w:tab/>
      </w:r>
      <w:r>
        <w:fldChar w:fldCharType="begin"/>
      </w:r>
      <w:r>
        <w:instrText xml:space="preserve"> PAGEREF _Toc797 \h </w:instrText>
      </w:r>
      <w:r>
        <w:fldChar w:fldCharType="separate"/>
      </w:r>
      <w:r>
        <w:t>24</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_Toc28097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_Toc28097 \h </w:instrText>
      </w:r>
      <w:r>
        <w:fldChar w:fldCharType="separate"/>
      </w:r>
      <w:r>
        <w:t>25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_Toc14465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3.1 </w:t>
      </w:r>
      <w:r>
        <w:rPr>
          <w:rFonts w:hint="eastAsia"/>
          <w:szCs w:val="24"/>
          <w:highlight w:val="none"/>
          <w:lang w:val="en-US" w:eastAsia="zh-CN"/>
        </w:rPr>
        <w:t>项目概况</w:t>
      </w:r>
      <w:r>
        <w:tab/>
      </w:r>
      <w:r>
        <w:fldChar w:fldCharType="begin"/>
      </w:r>
      <w:r>
        <w:instrText xml:space="preserve"> PAGEREF _Toc14465 \h </w:instrText>
      </w:r>
      <w:r>
        <w:fldChar w:fldCharType="separate"/>
      </w:r>
      <w:r>
        <w:t>25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_Toc619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3.2 </w:t>
      </w:r>
      <w:r>
        <w:rPr>
          <w:rFonts w:hint="eastAsia"/>
          <w:szCs w:val="24"/>
          <w:lang w:val="en-US" w:eastAsia="zh-CN"/>
        </w:rPr>
        <w:t>服务内容及要求</w:t>
      </w:r>
      <w:r>
        <w:tab/>
      </w:r>
      <w:r>
        <w:fldChar w:fldCharType="begin"/>
      </w:r>
      <w:r>
        <w:instrText xml:space="preserve"> PAGEREF _Toc619 \h </w:instrText>
      </w:r>
      <w:r>
        <w:fldChar w:fldCharType="separate"/>
      </w:r>
      <w:r>
        <w:t>25</w:t>
      </w:r>
      <w:r>
        <w:fldChar w:fldCharType="end"/>
      </w:r>
      <w:r>
        <w:rPr>
          <w:rFonts w:ascii="宋体" w:hAnsi="宋体"/>
          <w:bCs/>
          <w:color w:val="auto"/>
          <w:szCs w:val="36"/>
          <w:highlight w:val="none"/>
        </w:rPr>
        <w:fldChar w:fldCharType="end"/>
      </w:r>
      <w:bookmarkStart w:id="379" w:name="_GoBack"/>
      <w:bookmarkEnd w:id="379"/>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_Toc1952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3.3 </w:t>
      </w:r>
      <w:r>
        <w:rPr>
          <w:rFonts w:hint="eastAsia"/>
          <w:szCs w:val="24"/>
          <w:lang w:val="en-US" w:eastAsia="zh-CN"/>
        </w:rPr>
        <w:t>商务要求</w:t>
      </w:r>
      <w:r>
        <w:tab/>
      </w:r>
      <w:r>
        <w:fldChar w:fldCharType="begin"/>
      </w:r>
      <w:r>
        <w:instrText xml:space="preserve"> PAGEREF _Toc1952 \h </w:instrText>
      </w:r>
      <w:r>
        <w:fldChar w:fldCharType="separate"/>
      </w:r>
      <w:r>
        <w:t>26</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_Toc27350 </w:instrText>
      </w:r>
      <w:r>
        <w:rPr>
          <w:rFonts w:ascii="宋体" w:hAnsi="宋体"/>
          <w:bCs/>
          <w:szCs w:val="36"/>
          <w:highlight w:val="none"/>
        </w:rPr>
        <w:fldChar w:fldCharType="separate"/>
      </w:r>
      <w:r>
        <w:rPr>
          <w:rFonts w:hint="default" w:ascii="Times New Roman" w:hAnsi="Times New Roman" w:eastAsia="宋体"/>
          <w:i w:val="0"/>
          <w:szCs w:val="32"/>
        </w:rPr>
        <w:t xml:space="preserve">第4章 </w:t>
      </w:r>
      <w:r>
        <w:rPr>
          <w:rFonts w:hint="eastAsia"/>
          <w:highlight w:val="none"/>
        </w:rPr>
        <w:t>响应文件格式</w:t>
      </w:r>
      <w:r>
        <w:tab/>
      </w:r>
      <w:r>
        <w:fldChar w:fldCharType="begin"/>
      </w:r>
      <w:r>
        <w:instrText xml:space="preserve"> PAGEREF _Toc27350 \h </w:instrText>
      </w:r>
      <w:r>
        <w:fldChar w:fldCharType="separate"/>
      </w:r>
      <w:r>
        <w:t>28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_Toc21920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_Toc21920 \h </w:instrText>
      </w:r>
      <w:r>
        <w:fldChar w:fldCharType="separate"/>
      </w:r>
      <w:r>
        <w:t>28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_Toc20781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_Toc20781 \h </w:instrText>
      </w:r>
      <w:r>
        <w:fldChar w:fldCharType="separate"/>
      </w:r>
      <w:r>
        <w:t>41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_Toc32568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highlight w:val="none"/>
        </w:rPr>
        <w:t>最后报价（格式）</w:t>
      </w:r>
      <w:r>
        <w:tab/>
      </w:r>
      <w:r>
        <w:fldChar w:fldCharType="begin"/>
      </w:r>
      <w:r>
        <w:instrText xml:space="preserve"> PAGEREF _Toc32568 \h </w:instrText>
      </w:r>
      <w:r>
        <w:fldChar w:fldCharType="separate"/>
      </w:r>
      <w:r>
        <w:t>49</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_Toc21941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rPr>
        <w:t>合同主要条款</w:t>
      </w:r>
      <w:r>
        <w:tab/>
      </w:r>
      <w:r>
        <w:fldChar w:fldCharType="begin"/>
      </w:r>
      <w:r>
        <w:instrText xml:space="preserve"> PAGEREF _Toc21941 \h </w:instrText>
      </w:r>
      <w:r>
        <w:fldChar w:fldCharType="separate"/>
      </w:r>
      <w:r>
        <w:t>50</w:t>
      </w:r>
      <w: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8" w:type="first"/>
          <w:footerReference r:id="rId7"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3"/>
        <w:pageBreakBefore w:val="0"/>
        <w:kinsoku/>
        <w:wordWrap/>
        <w:overflowPunct/>
        <w:topLinePunct w:val="0"/>
        <w:bidi w:val="0"/>
        <w:snapToGrid/>
        <w:spacing w:line="460" w:lineRule="exact"/>
        <w:textAlignment w:val="auto"/>
        <w:rPr>
          <w:color w:val="auto"/>
          <w:highlight w:val="none"/>
        </w:rPr>
      </w:pPr>
      <w:bookmarkStart w:id="24" w:name="_Toc26532"/>
      <w:r>
        <w:rPr>
          <w:rFonts w:hint="eastAsia"/>
          <w:color w:val="auto"/>
          <w:highlight w:val="none"/>
        </w:rPr>
        <w:t>竞争性磋商邀请</w:t>
      </w:r>
      <w:bookmarkEnd w:id="24"/>
    </w:p>
    <w:p>
      <w:pPr>
        <w:keepNext w:val="0"/>
        <w:keepLines w:val="0"/>
        <w:pageBreakBefore w:val="0"/>
        <w:kinsoku/>
        <w:wordWrap/>
        <w:overflowPunct/>
        <w:topLinePunct w:val="0"/>
        <w:bidi w:val="0"/>
        <w:snapToGrid/>
        <w:spacing w:line="460" w:lineRule="exact"/>
        <w:ind w:firstLine="482" w:firstLineChars="200"/>
        <w:textAlignment w:val="auto"/>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成都市双流区文化体育和旅游局</w:t>
      </w:r>
      <w:r>
        <w:rPr>
          <w:rFonts w:hint="eastAsia" w:ascii="宋体" w:hAnsi="宋体"/>
          <w:color w:val="auto"/>
          <w:highlight w:val="none"/>
        </w:rPr>
        <w:t>的委托，拟对</w:t>
      </w:r>
      <w:r>
        <w:rPr>
          <w:rFonts w:hint="eastAsia" w:ascii="宋体" w:hAnsi="宋体"/>
          <w:b/>
          <w:color w:val="auto"/>
          <w:highlight w:val="none"/>
          <w:u w:val="single"/>
          <w:lang w:eastAsia="zh-CN"/>
        </w:rPr>
        <w:t>成都市双流区文化体育和旅游局双流区童声合唱团第二期管理及培训采购项目</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510122202100284</w:t>
      </w:r>
      <w:r>
        <w:rPr>
          <w:rFonts w:hint="eastAsia" w:ascii="宋体" w:hAnsi="宋体"/>
          <w:b/>
          <w:color w:val="auto"/>
          <w:highlight w:val="none"/>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lang w:eastAsia="zh-CN"/>
        </w:rPr>
        <w:t>成都市双流区文化体育和旅游局双流区青少年交响乐团培训服务采购项目</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w:t>
      </w:r>
      <w:r>
        <w:rPr>
          <w:rFonts w:hint="eastAsia" w:ascii="宋体" w:hAnsi="宋体"/>
          <w:color w:val="auto"/>
          <w:highlight w:val="none"/>
          <w:lang w:val="en-US" w:eastAsia="zh-CN"/>
        </w:rPr>
        <w:t>，预算品目：C200301艺术创作和表演服务</w:t>
      </w:r>
      <w:r>
        <w:rPr>
          <w:rFonts w:hint="eastAsia" w:ascii="宋体" w:hAnsi="宋体"/>
          <w:color w:val="auto"/>
          <w:highlight w:val="none"/>
        </w:rPr>
        <w:t>；预算金额：</w:t>
      </w:r>
      <w:r>
        <w:rPr>
          <w:rFonts w:hint="eastAsia" w:ascii="宋体" w:hAnsi="宋体"/>
          <w:color w:val="auto"/>
          <w:highlight w:val="none"/>
          <w:lang w:val="en-US" w:eastAsia="zh-CN"/>
        </w:rPr>
        <w:t>96.354万元</w:t>
      </w:r>
      <w:r>
        <w:rPr>
          <w:rFonts w:hint="eastAsia" w:ascii="宋体" w:hAnsi="宋体"/>
          <w:color w:val="auto"/>
          <w:highlight w:val="none"/>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供应商邀请方式</w:t>
      </w:r>
    </w:p>
    <w:p>
      <w:pPr>
        <w:keepNext w:val="0"/>
        <w:keepLines w:val="0"/>
        <w:pageBreakBefore w:val="0"/>
        <w:kinsoku/>
        <w:wordWrap/>
        <w:overflowPunct/>
        <w:topLinePunct w:val="0"/>
        <w:bidi w:val="0"/>
        <w:snapToGrid/>
        <w:spacing w:after="120" w:line="460" w:lineRule="exact"/>
        <w:ind w:firstLine="480" w:firstLineChars="200"/>
        <w:textAlignment w:val="auto"/>
        <w:rPr>
          <w:color w:val="auto"/>
          <w:highlight w:val="none"/>
        </w:rPr>
      </w:pPr>
      <w:r>
        <w:rPr>
          <w:rFonts w:hint="eastAsia" w:ascii="宋体" w:hAnsi="宋体"/>
          <w:bCs/>
          <w:color w:val="auto"/>
          <w:highlight w:val="none"/>
        </w:rPr>
        <w:t>公告方式：本次竞争性磋商邀请在四川政府采购网（www.sczfcg.com）上以公告形式发布。</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供应商参加本次政府采购活动应具备的条件</w:t>
      </w:r>
    </w:p>
    <w:p>
      <w:pPr>
        <w:pStyle w:val="169"/>
        <w:keepNext w:val="0"/>
        <w:keepLines w:val="0"/>
        <w:pageBreakBefore w:val="0"/>
        <w:numPr>
          <w:ilvl w:val="0"/>
          <w:numId w:val="0"/>
        </w:numPr>
        <w:tabs>
          <w:tab w:val="left" w:pos="1260"/>
        </w:tabs>
        <w:kinsoku/>
        <w:wordWrap/>
        <w:overflowPunct/>
        <w:topLinePunct w:val="0"/>
        <w:bidi w:val="0"/>
        <w:snapToGrid/>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具备《中华人民共和国政府采购法》第二十二条规定的条件：</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具有履行合同所必须的设备和专业技术能力；</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具有依法缴纳税收和社会保障资金的良好记录；</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参加本次政府采购活动前三年内，在经营活动中没有重大违法记录；</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p>
      <w:pPr>
        <w:pStyle w:val="169"/>
        <w:keepNext w:val="0"/>
        <w:keepLines w:val="0"/>
        <w:pageBreakBefore w:val="0"/>
        <w:numPr>
          <w:ilvl w:val="0"/>
          <w:numId w:val="0"/>
        </w:numPr>
        <w:tabs>
          <w:tab w:val="left" w:pos="1260"/>
        </w:tabs>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根据本项目的特殊要求，供应商还须具备的其它特定条件：</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未被列入经营异常名录；</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未被列入失信被执行人、重大税收违法案件当事人名单、政府采购严重违法失信行为记录名单； </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在行贿犯罪信息查询期限内，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及其现任法定代表人、主要负责人没有行贿犯罪记录； </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本项目专门面向中小企业采购；（供应商为监狱企业、残疾人福利性单位的视同小型、微型企业）</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不属于其他国家相关法律法规规定的禁止参加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的供应商； </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val="en-US" w:eastAsia="zh-CN"/>
        </w:rPr>
        <w:t>获取</w:t>
      </w:r>
      <w:r>
        <w:rPr>
          <w:rFonts w:hint="eastAsia" w:ascii="宋体" w:hAnsi="宋体" w:cs="宋体"/>
          <w:b/>
          <w:color w:val="auto"/>
          <w:highlight w:val="none"/>
        </w:rPr>
        <w:t>时间、地点</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9</w:t>
      </w:r>
      <w:r>
        <w:rPr>
          <w:rFonts w:hint="eastAsia" w:ascii="宋体" w:hAnsi="宋体"/>
          <w:color w:val="auto"/>
          <w:highlight w:val="none"/>
        </w:rPr>
        <w:t>月</w:t>
      </w:r>
      <w:r>
        <w:rPr>
          <w:rFonts w:hint="eastAsia" w:ascii="宋体" w:hAnsi="宋体"/>
          <w:color w:val="auto"/>
          <w:highlight w:val="none"/>
          <w:lang w:val="en-US" w:eastAsia="zh-CN"/>
        </w:rPr>
        <w:t>1</w:t>
      </w:r>
      <w:r>
        <w:rPr>
          <w:rFonts w:hint="eastAsia" w:ascii="宋体" w:hAnsi="宋体"/>
          <w:color w:val="auto"/>
          <w:highlight w:val="none"/>
        </w:rPr>
        <w:t>日至202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9</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日（北京时间，法定公休日、法定节假日除外，每日09：00时至17：00时）。</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免费获取</w:t>
      </w:r>
      <w:r>
        <w:rPr>
          <w:rFonts w:hint="eastAsia" w:ascii="宋体" w:hAnsi="宋体"/>
          <w:color w:val="auto"/>
          <w:highlight w:val="none"/>
        </w:rPr>
        <w:t>（磋商资格不能转让）。</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b/>
          <w:bCs/>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方式（两种</w:t>
      </w:r>
      <w:r>
        <w:rPr>
          <w:rFonts w:hint="eastAsia" w:ascii="宋体" w:hAnsi="宋体"/>
          <w:b/>
          <w:bCs/>
          <w:color w:val="auto"/>
          <w:highlight w:val="none"/>
          <w:lang w:val="en-US" w:eastAsia="zh-CN"/>
        </w:rPr>
        <w:t>获取</w:t>
      </w:r>
      <w:r>
        <w:rPr>
          <w:rFonts w:hint="eastAsia" w:ascii="宋体" w:hAnsi="宋体"/>
          <w:b/>
          <w:bCs/>
          <w:color w:val="auto"/>
          <w:highlight w:val="none"/>
        </w:rPr>
        <w:t>方式2选1）：</w:t>
      </w:r>
    </w:p>
    <w:p>
      <w:pPr>
        <w:keepNext w:val="0"/>
        <w:keepLines w:val="0"/>
        <w:pageBreakBefore w:val="0"/>
        <w:widowControl w:val="0"/>
        <w:numPr>
          <w:ilvl w:val="0"/>
          <w:numId w:val="10"/>
        </w:numPr>
        <w:kinsoku/>
        <w:wordWrap/>
        <w:overflowPunct/>
        <w:topLinePunct w:val="0"/>
        <w:bidi w:val="0"/>
        <w:snapToGrid/>
        <w:spacing w:line="440" w:lineRule="exact"/>
        <w:ind w:firstLine="494"/>
        <w:textAlignment w:val="auto"/>
        <w:rPr>
          <w:rFonts w:ascii="宋体" w:hAnsi="宋体"/>
          <w:b/>
          <w:bCs/>
          <w:color w:val="auto"/>
          <w:highlight w:val="none"/>
        </w:rPr>
      </w:pPr>
      <w:r>
        <w:rPr>
          <w:rFonts w:hint="eastAsia" w:ascii="宋体" w:hAnsi="宋体"/>
          <w:b/>
          <w:bCs/>
          <w:color w:val="auto"/>
          <w:highlight w:val="none"/>
        </w:rPr>
        <w:t>网上</w:t>
      </w:r>
      <w:r>
        <w:rPr>
          <w:rFonts w:hint="eastAsia" w:ascii="宋体" w:hAnsi="宋体"/>
          <w:b/>
          <w:bCs/>
          <w:color w:val="auto"/>
          <w:highlight w:val="none"/>
          <w:lang w:val="en-US" w:eastAsia="zh-CN"/>
        </w:rPr>
        <w:t>获取</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文件获取时间期内，在本公司官方网站www.scskgc.com在线</w:t>
      </w:r>
      <w:r>
        <w:rPr>
          <w:rFonts w:hint="eastAsia" w:ascii="宋体" w:hAnsi="宋体"/>
          <w:b/>
          <w:bCs/>
          <w:color w:val="auto"/>
          <w:highlight w:val="none"/>
          <w:lang w:val="en-US" w:eastAsia="zh-CN"/>
        </w:rPr>
        <w:t>获取</w:t>
      </w:r>
      <w:r>
        <w:rPr>
          <w:rFonts w:hint="eastAsia" w:ascii="宋体" w:hAnsi="宋体"/>
          <w:b/>
          <w:bCs/>
          <w:color w:val="auto"/>
          <w:highlight w:val="none"/>
        </w:rPr>
        <w:t>,具体购买流程详请见网站的"供应商服务系统”，关于"供应商服务系统”的使用问题可以在www.scskgc.com下载操作手册。注册及网上报名咨询电话:028-61032618。</w:t>
      </w:r>
    </w:p>
    <w:p>
      <w:pPr>
        <w:keepNext w:val="0"/>
        <w:keepLines w:val="0"/>
        <w:pageBreakBefore w:val="0"/>
        <w:kinsoku/>
        <w:wordWrap/>
        <w:overflowPunct/>
        <w:topLinePunct w:val="0"/>
        <w:bidi w:val="0"/>
        <w:snapToGrid/>
        <w:spacing w:line="440" w:lineRule="exact"/>
        <w:ind w:firstLine="492"/>
        <w:textAlignment w:val="auto"/>
        <w:rPr>
          <w:rFonts w:ascii="宋体" w:hAnsi="宋体"/>
          <w:b/>
          <w:bCs/>
          <w:color w:val="auto"/>
          <w:kern w:val="2"/>
          <w:highlight w:val="none"/>
        </w:rPr>
      </w:pPr>
      <w:r>
        <w:rPr>
          <w:rFonts w:hint="eastAsia" w:ascii="宋体" w:hAnsi="宋体"/>
          <w:b/>
          <w:bCs/>
          <w:color w:val="auto"/>
          <w:kern w:val="2"/>
          <w:highlight w:val="none"/>
        </w:rPr>
        <w:t>2、现场报名。</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文件获取时间期内，在成都市高新区天府三街288号大有智慧广场迈普大厦10楼1010室现场</w:t>
      </w:r>
      <w:r>
        <w:rPr>
          <w:rFonts w:hint="eastAsia" w:ascii="宋体" w:hAnsi="宋体"/>
          <w:b/>
          <w:bCs/>
          <w:color w:val="auto"/>
          <w:highlight w:val="none"/>
          <w:lang w:val="en-US" w:eastAsia="zh-CN"/>
        </w:rPr>
        <w:t>办理</w:t>
      </w:r>
      <w:r>
        <w:rPr>
          <w:rFonts w:hint="eastAsia" w:ascii="宋体" w:hAnsi="宋体"/>
          <w:b/>
          <w:bCs/>
          <w:color w:val="auto"/>
          <w:highlight w:val="none"/>
        </w:rPr>
        <w:t>。</w:t>
      </w:r>
      <w:r>
        <w:rPr>
          <w:rFonts w:hint="eastAsia" w:ascii="宋体" w:hAnsi="宋体"/>
          <w:b/>
          <w:bCs/>
          <w:color w:val="auto"/>
          <w:highlight w:val="none"/>
          <w:lang w:val="en-US" w:eastAsia="zh-CN"/>
        </w:rPr>
        <w:t>获取</w:t>
      </w:r>
      <w:r>
        <w:rPr>
          <w:rFonts w:hint="eastAsia" w:ascii="宋体" w:hAnsi="宋体"/>
          <w:b/>
          <w:color w:val="auto"/>
          <w:highlight w:val="none"/>
        </w:rPr>
        <w:t>磋商</w:t>
      </w:r>
      <w:r>
        <w:rPr>
          <w:rFonts w:hint="eastAsia" w:ascii="宋体" w:hAnsi="宋体"/>
          <w:b/>
          <w:bCs/>
          <w:color w:val="auto"/>
          <w:highlight w:val="none"/>
        </w:rPr>
        <w:t>文件时必须携带</w:t>
      </w:r>
      <w:r>
        <w:rPr>
          <w:rFonts w:hint="eastAsia" w:ascii="宋体" w:hAnsi="宋体"/>
          <w:color w:val="auto"/>
          <w:highlight w:val="none"/>
        </w:rPr>
        <w:t>：</w:t>
      </w:r>
      <w:r>
        <w:rPr>
          <w:rFonts w:hint="eastAsia" w:ascii="宋体" w:hAnsi="宋体"/>
          <w:b/>
          <w:bCs/>
          <w:color w:val="auto"/>
          <w:highlight w:val="none"/>
          <w:lang w:val="en-US" w:eastAsia="zh-CN"/>
        </w:rPr>
        <w:t>①.</w:t>
      </w:r>
      <w:r>
        <w:rPr>
          <w:rFonts w:hint="eastAsia" w:ascii="宋体" w:hAnsi="宋体"/>
          <w:b/>
          <w:bCs/>
          <w:color w:val="auto"/>
          <w:highlight w:val="none"/>
        </w:rPr>
        <w:t>供应商为法人或者其他组织的提供加盖单位公章的介绍信原件和加盖单位公章的被介绍人身份证复印件（需注明项目名称及项目编号）；</w:t>
      </w:r>
      <w:r>
        <w:rPr>
          <w:rFonts w:hint="eastAsia" w:ascii="宋体" w:hAnsi="宋体"/>
          <w:b/>
          <w:bCs/>
          <w:color w:val="auto"/>
          <w:highlight w:val="none"/>
          <w:lang w:val="en-US" w:eastAsia="zh-CN"/>
        </w:rPr>
        <w:t>②</w:t>
      </w:r>
      <w:r>
        <w:rPr>
          <w:rFonts w:hint="eastAsia" w:ascii="宋体" w:hAnsi="宋体"/>
          <w:b/>
          <w:bCs/>
          <w:color w:val="auto"/>
          <w:highlight w:val="none"/>
        </w:rPr>
        <w:t>.供应商为自然人的，只需提供本人身份证复印件。</w:t>
      </w:r>
    </w:p>
    <w:p>
      <w:pPr>
        <w:keepNext w:val="0"/>
        <w:keepLines w:val="0"/>
        <w:pageBreakBefore w:val="0"/>
        <w:numPr>
          <w:ilvl w:val="0"/>
          <w:numId w:val="7"/>
        </w:numPr>
        <w:kinsoku/>
        <w:wordWrap/>
        <w:overflowPunct/>
        <w:topLinePunct w:val="0"/>
        <w:bidi w:val="0"/>
        <w:snapToGrid/>
        <w:spacing w:line="440" w:lineRule="exact"/>
        <w:ind w:left="0" w:firstLine="482" w:firstLineChars="200"/>
        <w:textAlignment w:val="auto"/>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hint="eastAsia" w:ascii="宋体" w:hAnsi="宋体" w:cs="宋体"/>
          <w:b/>
          <w:color w:val="auto"/>
          <w:highlight w:val="none"/>
          <w:lang w:val="en-US" w:eastAsia="zh-CN"/>
        </w:rPr>
        <w:t>9</w:t>
      </w:r>
      <w:r>
        <w:rPr>
          <w:rFonts w:hint="eastAsia" w:ascii="宋体" w:hAnsi="宋体" w:cs="宋体"/>
          <w:b/>
          <w:color w:val="auto"/>
          <w:highlight w:val="none"/>
        </w:rPr>
        <w:t>月</w:t>
      </w:r>
      <w:r>
        <w:rPr>
          <w:rFonts w:hint="eastAsia" w:ascii="宋体" w:hAnsi="宋体" w:cs="宋体"/>
          <w:b/>
          <w:color w:val="auto"/>
          <w:highlight w:val="none"/>
          <w:lang w:val="en-US" w:eastAsia="zh-CN"/>
        </w:rPr>
        <w:t>14</w:t>
      </w:r>
      <w:r>
        <w:rPr>
          <w:rFonts w:hint="eastAsia" w:ascii="宋体" w:hAnsi="宋体" w:cs="宋体"/>
          <w:b/>
          <w:color w:val="auto"/>
          <w:highlight w:val="none"/>
        </w:rPr>
        <w:t>日10:30(北京时间)。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。本次磋商不接受以电子邮件、传真及邮寄方式递交的响应文件</w:t>
      </w:r>
      <w:r>
        <w:rPr>
          <w:rFonts w:hint="eastAsia" w:ascii="宋体"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本项目评标室。</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b/>
          <w:color w:val="auto"/>
          <w:highlight w:val="none"/>
        </w:rPr>
      </w:pPr>
      <w:r>
        <w:rPr>
          <w:rFonts w:hint="eastAsia" w:ascii="宋体" w:hAnsi="宋体"/>
          <w:b/>
          <w:color w:val="auto"/>
          <w:highlight w:val="none"/>
        </w:rPr>
        <w:t>联系人及联系电话</w:t>
      </w:r>
    </w:p>
    <w:p>
      <w:pPr>
        <w:keepNext w:val="0"/>
        <w:keepLines w:val="0"/>
        <w:pageBreakBefore w:val="0"/>
        <w:widowControl w:val="0"/>
        <w:kinsoku/>
        <w:wordWrap/>
        <w:overflowPunct/>
        <w:topLinePunct w:val="0"/>
        <w:bidi w:val="0"/>
        <w:snapToGrid/>
        <w:spacing w:line="420" w:lineRule="exact"/>
        <w:ind w:left="480" w:leftChars="200"/>
        <w:jc w:val="both"/>
        <w:textAlignment w:val="auto"/>
        <w:rPr>
          <w:color w:val="auto"/>
          <w:kern w:val="2"/>
          <w:highlight w:val="none"/>
        </w:rPr>
      </w:pPr>
      <w:bookmarkStart w:id="25" w:name="_Toc391885334"/>
      <w:bookmarkStart w:id="26" w:name="_Toc287623638"/>
      <w:bookmarkStart w:id="27" w:name="_Toc381263230"/>
      <w:r>
        <w:rPr>
          <w:color w:val="auto"/>
          <w:kern w:val="2"/>
          <w:highlight w:val="none"/>
        </w:rPr>
        <w:t>采 购 人：</w:t>
      </w:r>
      <w:r>
        <w:rPr>
          <w:rFonts w:hint="eastAsia"/>
          <w:color w:val="auto"/>
          <w:highlight w:val="none"/>
          <w:lang w:eastAsia="zh-CN"/>
        </w:rPr>
        <w:t>成都市双流区文化体育和旅游局</w:t>
      </w:r>
    </w:p>
    <w:p>
      <w:pPr>
        <w:pStyle w:val="169"/>
        <w:ind w:firstLine="480"/>
        <w:jc w:val="left"/>
        <w:rPr>
          <w:rFonts w:ascii="宋体" w:hAnsi="宋体"/>
          <w:bCs/>
          <w:kern w:val="0"/>
          <w:sz w:val="24"/>
          <w:szCs w:val="24"/>
        </w:rPr>
      </w:pPr>
      <w:r>
        <w:rPr>
          <w:rFonts w:hint="eastAsia" w:ascii="宋体" w:hAnsi="宋体" w:cs="宋体"/>
          <w:bCs/>
          <w:kern w:val="0"/>
          <w:sz w:val="24"/>
          <w:szCs w:val="24"/>
        </w:rPr>
        <w:t>地址：</w:t>
      </w:r>
      <w:r>
        <w:rPr>
          <w:rFonts w:hint="eastAsia" w:ascii="宋体" w:hAnsi="宋体"/>
          <w:bCs/>
          <w:kern w:val="0"/>
          <w:sz w:val="24"/>
          <w:szCs w:val="24"/>
        </w:rPr>
        <w:t xml:space="preserve"> 成都市双流区东升街道银河路</w:t>
      </w:r>
    </w:p>
    <w:p>
      <w:pPr>
        <w:pStyle w:val="169"/>
        <w:ind w:firstLine="480"/>
        <w:jc w:val="left"/>
        <w:rPr>
          <w:rFonts w:ascii="宋体" w:hAnsi="宋体" w:cs="宋体"/>
          <w:bCs/>
          <w:kern w:val="0"/>
          <w:sz w:val="24"/>
          <w:szCs w:val="24"/>
        </w:rPr>
      </w:pPr>
      <w:r>
        <w:rPr>
          <w:rFonts w:hint="eastAsia" w:ascii="宋体" w:hAnsi="宋体" w:cs="宋体"/>
          <w:bCs/>
          <w:kern w:val="0"/>
          <w:sz w:val="24"/>
          <w:szCs w:val="24"/>
        </w:rPr>
        <w:t>联系人： 冯老师</w:t>
      </w:r>
    </w:p>
    <w:p>
      <w:pPr>
        <w:pStyle w:val="169"/>
        <w:ind w:firstLine="480"/>
        <w:jc w:val="left"/>
        <w:rPr>
          <w:rFonts w:ascii="宋体" w:hAnsi="宋体"/>
          <w:bCs/>
          <w:kern w:val="0"/>
          <w:sz w:val="24"/>
          <w:szCs w:val="24"/>
        </w:rPr>
      </w:pPr>
      <w:r>
        <w:rPr>
          <w:rFonts w:hint="eastAsia" w:ascii="宋体" w:hAnsi="宋体" w:cs="宋体"/>
          <w:bCs/>
          <w:kern w:val="0"/>
          <w:sz w:val="24"/>
          <w:szCs w:val="24"/>
        </w:rPr>
        <w:t>联系电话</w:t>
      </w:r>
      <w:r>
        <w:rPr>
          <w:rFonts w:hint="eastAsia" w:ascii="宋体" w:hAnsi="宋体"/>
          <w:bCs/>
          <w:kern w:val="0"/>
          <w:sz w:val="24"/>
          <w:szCs w:val="24"/>
        </w:rPr>
        <w:t>：028-61572035</w:t>
      </w:r>
    </w:p>
    <w:p>
      <w:pPr>
        <w:pStyle w:val="20"/>
        <w:keepNext w:val="0"/>
        <w:keepLines w:val="0"/>
        <w:pageBreakBefore w:val="0"/>
        <w:kinsoku/>
        <w:wordWrap/>
        <w:overflowPunct/>
        <w:topLinePunct w:val="0"/>
        <w:bidi w:val="0"/>
        <w:snapToGrid/>
        <w:spacing w:line="42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0"/>
        <w:keepNext w:val="0"/>
        <w:keepLines w:val="0"/>
        <w:pageBreakBefore w:val="0"/>
        <w:kinsoku/>
        <w:wordWrap/>
        <w:overflowPunct/>
        <w:topLinePunct w:val="0"/>
        <w:bidi w:val="0"/>
        <w:snapToGrid/>
        <w:spacing w:line="420" w:lineRule="exact"/>
        <w:ind w:firstLine="480" w:firstLineChars="200"/>
        <w:jc w:val="left"/>
        <w:textAlignment w:val="auto"/>
        <w:rPr>
          <w:rFonts w:hAnsi="宋体"/>
          <w:bCs/>
          <w:color w:val="auto"/>
          <w:sz w:val="24"/>
          <w:highlight w:val="none"/>
        </w:rPr>
      </w:pPr>
      <w:r>
        <w:rPr>
          <w:rFonts w:hint="eastAsia" w:hAnsi="宋体" w:cs="宋体"/>
          <w:bCs/>
          <w:color w:val="auto"/>
          <w:sz w:val="24"/>
          <w:highlight w:val="none"/>
        </w:rPr>
        <w:t xml:space="preserve">地 </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址：</w:t>
      </w:r>
      <w:r>
        <w:rPr>
          <w:rFonts w:hint="eastAsia" w:hAnsi="宋体"/>
          <w:bCs/>
          <w:color w:val="auto"/>
          <w:sz w:val="24"/>
          <w:highlight w:val="none"/>
        </w:rPr>
        <w:t>高新区天府三街288号大有智慧广场迈普大厦10楼1010室</w:t>
      </w:r>
    </w:p>
    <w:p>
      <w:pPr>
        <w:pStyle w:val="20"/>
        <w:keepNext w:val="0"/>
        <w:keepLines w:val="0"/>
        <w:pageBreakBefore w:val="0"/>
        <w:kinsoku/>
        <w:wordWrap/>
        <w:overflowPunct/>
        <w:topLinePunct w:val="0"/>
        <w:bidi w:val="0"/>
        <w:snapToGrid/>
        <w:spacing w:line="42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 系 人：高老师</w:t>
      </w:r>
    </w:p>
    <w:p>
      <w:pPr>
        <w:pStyle w:val="20"/>
        <w:keepNext w:val="0"/>
        <w:keepLines w:val="0"/>
        <w:pageBreakBefore w:val="0"/>
        <w:kinsoku/>
        <w:wordWrap/>
        <w:overflowPunct/>
        <w:topLinePunct w:val="0"/>
        <w:bidi w:val="0"/>
        <w:snapToGrid/>
        <w:spacing w:line="42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0"/>
        <w:keepNext w:val="0"/>
        <w:keepLines w:val="0"/>
        <w:pageBreakBefore w:val="0"/>
        <w:kinsoku/>
        <w:wordWrap/>
        <w:overflowPunct/>
        <w:topLinePunct w:val="0"/>
        <w:bidi w:val="0"/>
        <w:snapToGrid/>
        <w:spacing w:line="420" w:lineRule="exact"/>
        <w:ind w:firstLine="480" w:firstLineChars="200"/>
        <w:jc w:val="left"/>
        <w:textAlignment w:val="auto"/>
        <w:rPr>
          <w:rFonts w:hint="eastAsia" w:hAnsi="宋体" w:cs="宋体"/>
          <w:bCs/>
          <w:color w:val="auto"/>
          <w:sz w:val="24"/>
          <w:highlight w:val="none"/>
        </w:rPr>
      </w:pPr>
      <w:r>
        <w:rPr>
          <w:rFonts w:hint="eastAsia" w:hAnsi="宋体" w:cs="宋体"/>
          <w:bCs/>
          <w:color w:val="auto"/>
          <w:sz w:val="24"/>
          <w:highlight w:val="none"/>
        </w:rPr>
        <w:t>传</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 xml:space="preserve"> 真：028-61032618</w:t>
      </w:r>
    </w:p>
    <w:p>
      <w:pPr>
        <w:pStyle w:val="20"/>
        <w:ind w:firstLine="480" w:firstLineChars="200"/>
        <w:jc w:val="left"/>
        <w:rPr>
          <w:rFonts w:hint="eastAsia" w:hAnsi="宋体" w:cs="宋体"/>
          <w:bCs/>
          <w:color w:val="auto"/>
          <w:sz w:val="24"/>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28" w:name="_Toc3878"/>
      <w:r>
        <w:rPr>
          <w:rFonts w:hint="eastAsia"/>
          <w:color w:val="auto"/>
          <w:highlight w:val="none"/>
        </w:rPr>
        <w:t>磋商供应商须知</w:t>
      </w:r>
      <w:bookmarkEnd w:id="25"/>
      <w:bookmarkEnd w:id="28"/>
    </w:p>
    <w:p>
      <w:pPr>
        <w:pStyle w:val="4"/>
        <w:rPr>
          <w:color w:val="auto"/>
          <w:highlight w:val="none"/>
        </w:rPr>
      </w:pPr>
      <w:bookmarkStart w:id="29" w:name="_Toc15690"/>
      <w:r>
        <w:rPr>
          <w:rFonts w:hint="eastAsia"/>
          <w:color w:val="auto"/>
          <w:highlight w:val="none"/>
        </w:rPr>
        <w:t>磋商供应商须知附表</w:t>
      </w:r>
      <w:bookmarkEnd w:id="29"/>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1065"/>
        <w:gridCol w:w="160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PrEx>
        <w:trPr>
          <w:trHeight w:val="666" w:hRule="exact"/>
          <w:tblHeader/>
          <w:jc w:val="center"/>
        </w:trPr>
        <w:tc>
          <w:tcPr>
            <w:tcW w:w="1065" w:type="dxa"/>
            <w:vAlign w:val="center"/>
          </w:tcPr>
          <w:p>
            <w:pPr>
              <w:spacing w:line="360" w:lineRule="exact"/>
              <w:jc w:val="center"/>
              <w:rPr>
                <w:rFonts w:hint="eastAsia" w:ascii="宋体" w:hAnsi="宋体" w:cs="宋体"/>
                <w:b/>
                <w:color w:val="auto"/>
                <w:highlight w:val="none"/>
              </w:rPr>
            </w:pPr>
            <w:r>
              <w:rPr>
                <w:rFonts w:hint="eastAsia" w:ascii="宋体" w:hAnsi="宋体" w:cs="宋体"/>
                <w:b/>
                <w:color w:val="auto"/>
                <w:highlight w:val="none"/>
              </w:rPr>
              <w:t>序号</w:t>
            </w:r>
          </w:p>
        </w:tc>
        <w:tc>
          <w:tcPr>
            <w:tcW w:w="1605" w:type="dxa"/>
            <w:vAlign w:val="center"/>
          </w:tcPr>
          <w:p>
            <w:pPr>
              <w:spacing w:line="360" w:lineRule="exact"/>
              <w:jc w:val="center"/>
              <w:rPr>
                <w:rFonts w:hint="eastAsia"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1"/>
              </w:numPr>
              <w:spacing w:line="360" w:lineRule="exact"/>
              <w:jc w:val="center"/>
              <w:rPr>
                <w:rFonts w:ascii="宋体" w:hAnsi="宋体" w:cs="宋体"/>
                <w:color w:val="auto"/>
                <w:highlight w:val="none"/>
              </w:rPr>
            </w:pPr>
          </w:p>
        </w:tc>
        <w:tc>
          <w:tcPr>
            <w:tcW w:w="160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vAlign w:val="center"/>
          </w:tcPr>
          <w:p>
            <w:pPr>
              <w:pStyle w:val="20"/>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int="eastAsia" w:hAnsi="宋体" w:cs="宋体"/>
                <w:color w:val="auto"/>
                <w:sz w:val="24"/>
                <w:highlight w:val="none"/>
                <w:lang w:val="en-US" w:eastAsia="zh-CN"/>
              </w:rPr>
              <w:t>96.354万元</w:t>
            </w:r>
            <w:r>
              <w:rPr>
                <w:rFonts w:hint="eastAsia" w:hAnsi="宋体" w:cs="宋体"/>
                <w:color w:val="auto"/>
                <w:sz w:val="24"/>
                <w:highlight w:val="none"/>
              </w:rPr>
              <w:t>，超过采购预算为无效磋商。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1"/>
              </w:numPr>
              <w:spacing w:line="360" w:lineRule="exact"/>
              <w:jc w:val="center"/>
              <w:rPr>
                <w:rFonts w:ascii="宋体" w:hAnsi="宋体" w:cs="宋体"/>
                <w:color w:val="auto"/>
                <w:highlight w:val="none"/>
              </w:rPr>
            </w:pPr>
          </w:p>
        </w:tc>
        <w:tc>
          <w:tcPr>
            <w:tcW w:w="1605"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shd w:val="clear" w:color="auto" w:fill="auto"/>
            <w:vAlign w:val="center"/>
          </w:tcPr>
          <w:p>
            <w:pPr>
              <w:pStyle w:val="123"/>
              <w:spacing w:line="380" w:lineRule="exact"/>
              <w:jc w:val="center"/>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23"/>
              <w:spacing w:line="360" w:lineRule="auto"/>
              <w:jc w:val="both"/>
              <w:rPr>
                <w:color w:val="auto"/>
                <w:highlight w:val="none"/>
                <w:lang w:val="zh-CN"/>
              </w:rPr>
            </w:pPr>
          </w:p>
        </w:tc>
        <w:tc>
          <w:tcPr>
            <w:tcW w:w="7063" w:type="dxa"/>
            <w:shd w:val="clear" w:color="auto" w:fill="auto"/>
            <w:vAlign w:val="center"/>
          </w:tcPr>
          <w:p>
            <w:pPr>
              <w:spacing w:line="360" w:lineRule="auto"/>
              <w:rPr>
                <w:color w:val="auto"/>
                <w:highlight w:val="none"/>
                <w:lang w:val="zh-CN"/>
              </w:rPr>
            </w:pPr>
            <w:r>
              <w:rPr>
                <w:rFonts w:hint="eastAsia"/>
                <w:color w:val="auto"/>
                <w:highlight w:val="none"/>
                <w:lang w:val="en-US" w:eastAsia="zh-CN"/>
              </w:rPr>
              <w:t>严格按照《四川省公共资源交易领域严重失信联合惩戒实施办法》（川发改信用规〔2019〕405号）、《关于对政府采购领域严重违法失信主体开展联合惩戒的合作备案录》（发改财金〔2018〕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exact"/>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vAlign w:val="center"/>
          </w:tcPr>
          <w:p>
            <w:pPr>
              <w:pStyle w:val="123"/>
              <w:spacing w:line="380" w:lineRule="exact"/>
              <w:jc w:val="center"/>
              <w:rPr>
                <w:color w:val="auto"/>
                <w:highlight w:val="none"/>
              </w:rPr>
            </w:pPr>
            <w:r>
              <w:rPr>
                <w:rFonts w:hint="eastAsia"/>
                <w:color w:val="auto"/>
                <w:kern w:val="2"/>
                <w:highlight w:val="none"/>
              </w:rPr>
              <w:t>采购文件咨询</w:t>
            </w:r>
          </w:p>
        </w:tc>
        <w:tc>
          <w:tcPr>
            <w:tcW w:w="7063" w:type="dxa"/>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vAlign w:val="center"/>
          </w:tcPr>
          <w:p>
            <w:pPr>
              <w:spacing w:line="380" w:lineRule="exact"/>
              <w:jc w:val="center"/>
              <w:outlineLvl w:val="5"/>
              <w:rPr>
                <w:rFonts w:ascii="宋体" w:hAnsi="宋体" w:cs="宋体"/>
                <w:color w:val="auto"/>
                <w:highlight w:val="none"/>
              </w:rPr>
            </w:pPr>
            <w:r>
              <w:rPr>
                <w:rFonts w:hint="eastAsia" w:ascii="宋体" w:hAnsi="宋体" w:cs="宋体"/>
                <w:color w:val="auto"/>
                <w:highlight w:val="none"/>
              </w:rPr>
              <w:t>开标、</w:t>
            </w:r>
            <w:r>
              <w:rPr>
                <w:rFonts w:hint="eastAsia" w:ascii="宋体" w:hAnsi="宋体" w:cs="宋体"/>
                <w:color w:val="auto"/>
                <w:highlight w:val="none"/>
                <w:lang w:val="en-US" w:eastAsia="zh-CN"/>
              </w:rPr>
              <w:t>评审</w:t>
            </w:r>
            <w:r>
              <w:rPr>
                <w:rFonts w:hint="eastAsia" w:ascii="宋体" w:hAnsi="宋体" w:cs="宋体"/>
                <w:color w:val="auto"/>
                <w:highlight w:val="none"/>
              </w:rPr>
              <w:t>工作咨询</w:t>
            </w:r>
          </w:p>
        </w:tc>
        <w:tc>
          <w:tcPr>
            <w:tcW w:w="7063" w:type="dxa"/>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vAlign w:val="center"/>
          </w:tcPr>
          <w:p>
            <w:pPr>
              <w:spacing w:line="380" w:lineRule="exact"/>
              <w:jc w:val="center"/>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80" w:lineRule="exact"/>
              <w:rPr>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807" w:hRule="exac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tcPr>
          <w:p>
            <w:pPr>
              <w:pStyle w:val="123"/>
              <w:spacing w:line="380" w:lineRule="exact"/>
              <w:jc w:val="center"/>
              <w:rPr>
                <w:color w:val="auto"/>
                <w:kern w:val="2"/>
                <w:highlight w:val="none"/>
              </w:rPr>
            </w:pPr>
          </w:p>
          <w:p>
            <w:pPr>
              <w:pStyle w:val="123"/>
              <w:spacing w:line="380" w:lineRule="exact"/>
              <w:jc w:val="center"/>
              <w:rPr>
                <w:color w:val="auto"/>
                <w:highlight w:val="none"/>
              </w:rPr>
            </w:pPr>
            <w:r>
              <w:rPr>
                <w:rFonts w:hint="eastAsia"/>
                <w:color w:val="auto"/>
                <w:kern w:val="2"/>
                <w:highlight w:val="none"/>
              </w:rPr>
              <w:t>供应商询问、质疑</w:t>
            </w:r>
          </w:p>
        </w:tc>
        <w:tc>
          <w:tcPr>
            <w:tcW w:w="7063" w:type="dxa"/>
          </w:tcPr>
          <w:p>
            <w:pPr>
              <w:numPr>
                <w:ilvl w:val="0"/>
                <w:numId w:val="12"/>
              </w:numPr>
              <w:spacing w:line="360" w:lineRule="auto"/>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12"/>
              </w:numPr>
              <w:spacing w:line="360" w:lineRule="auto"/>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60" w:lineRule="auto"/>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高</w:t>
            </w:r>
            <w:r>
              <w:rPr>
                <w:rFonts w:hint="eastAsia" w:ascii="宋体" w:hAnsi="宋体" w:cs="宋体"/>
                <w:color w:val="auto"/>
                <w:highlight w:val="none"/>
              </w:rPr>
              <w:t>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p>
            <w:pPr>
              <w:spacing w:line="360" w:lineRule="auto"/>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60" w:lineRule="auto"/>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r>
              <w:rPr>
                <w:rFonts w:hint="eastAsia" w:ascii="宋体" w:hAnsi="宋体" w:cs="宋体"/>
                <w:color w:val="auto"/>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43" w:hRule="exac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vAlign w:val="center"/>
          </w:tcPr>
          <w:p>
            <w:pPr>
              <w:pStyle w:val="123"/>
              <w:spacing w:line="380" w:lineRule="exact"/>
              <w:jc w:val="center"/>
              <w:rPr>
                <w:color w:val="auto"/>
                <w:highlight w:val="none"/>
              </w:rPr>
            </w:pPr>
            <w:r>
              <w:rPr>
                <w:rFonts w:hint="eastAsia"/>
                <w:color w:val="auto"/>
                <w:kern w:val="2"/>
                <w:highlight w:val="none"/>
              </w:rPr>
              <w:t>供应商投诉</w:t>
            </w:r>
          </w:p>
        </w:tc>
        <w:tc>
          <w:tcPr>
            <w:tcW w:w="7063" w:type="dxa"/>
            <w:vAlign w:val="center"/>
          </w:tcPr>
          <w:p>
            <w:pPr>
              <w:spacing w:line="380" w:lineRule="exact"/>
              <w:jc w:val="both"/>
              <w:rPr>
                <w:rFonts w:hint="eastAsia"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成都市双流区</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 xml:space="preserve"> 028</w:t>
            </w:r>
            <w:r>
              <w:rPr>
                <w:rFonts w:hint="eastAsia" w:ascii="宋体" w:hAnsi="宋体" w:cs="宋体"/>
                <w:color w:val="auto"/>
                <w:highlight w:val="none"/>
              </w:rPr>
              <w:t>-</w:t>
            </w:r>
            <w:r>
              <w:rPr>
                <w:rFonts w:hint="eastAsia" w:ascii="宋体" w:hAnsi="宋体" w:cs="宋体"/>
                <w:color w:val="auto"/>
                <w:highlight w:val="none"/>
                <w:lang w:val="en-US" w:eastAsia="zh-CN"/>
              </w:rPr>
              <w:t>85804726。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开标时递交的资料</w:t>
            </w:r>
          </w:p>
        </w:tc>
        <w:tc>
          <w:tcPr>
            <w:tcW w:w="7063" w:type="dxa"/>
            <w:vAlign w:val="center"/>
          </w:tcPr>
          <w:p>
            <w:pPr>
              <w:spacing w:line="360" w:lineRule="exact"/>
              <w:rPr>
                <w:color w:val="auto"/>
                <w:highlight w:val="none"/>
              </w:rPr>
            </w:pPr>
            <w:r>
              <w:rPr>
                <w:rFonts w:hint="eastAsia"/>
                <w:color w:val="auto"/>
                <w:highlight w:val="none"/>
              </w:rPr>
              <w:t>（1）资格性响应文件正本1份，副本2份；</w:t>
            </w:r>
          </w:p>
          <w:p>
            <w:pPr>
              <w:spacing w:line="360" w:lineRule="exact"/>
              <w:rPr>
                <w:color w:val="auto"/>
                <w:highlight w:val="none"/>
              </w:rPr>
            </w:pPr>
            <w:r>
              <w:rPr>
                <w:rFonts w:hint="eastAsia"/>
                <w:color w:val="auto"/>
                <w:highlight w:val="none"/>
              </w:rPr>
              <w:t>（2）技术、服务性响应文件正本1份，副本2份；</w:t>
            </w:r>
          </w:p>
          <w:p>
            <w:pPr>
              <w:pStyle w:val="2"/>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auto"/>
              <w:ind w:firstLine="240" w:firstLineChars="100"/>
              <w:outlineLvl w:val="5"/>
              <w:rPr>
                <w:rFonts w:ascii="宋体" w:hAnsi="宋体" w:cs="宋体"/>
                <w:color w:val="auto"/>
                <w:highlight w:val="none"/>
                <w:lang w:val="zh-CN"/>
              </w:rPr>
            </w:pPr>
            <w:r>
              <w:rPr>
                <w:rFonts w:hint="eastAsia" w:ascii="Times New Roman" w:hAnsi="宋体" w:cs="宋体"/>
                <w:color w:val="auto"/>
                <w:highlight w:val="none"/>
                <w:lang w:val="zh-CN"/>
              </w:rPr>
              <w:t>代理服务费</w:t>
            </w:r>
            <w:r>
              <w:rPr>
                <w:rFonts w:hint="eastAsia" w:ascii="Times New Roman" w:hAnsi="宋体" w:cs="宋体"/>
                <w:color w:val="auto"/>
                <w:highlight w:val="none"/>
                <w:lang w:val="en-US" w:eastAsia="zh-CN"/>
              </w:rPr>
              <w:t>参照</w:t>
            </w:r>
            <w:r>
              <w:rPr>
                <w:rFonts w:hint="eastAsia" w:ascii="Times New Roman" w:hAnsi="宋体" w:cs="宋体"/>
                <w:color w:val="auto"/>
                <w:highlight w:val="none"/>
                <w:lang w:val="zh-CN"/>
              </w:rPr>
              <w:t>国家计委《招标代理服务收费管理暂行办法》（计价格[2002]1980号）标准</w:t>
            </w:r>
            <w:r>
              <w:rPr>
                <w:rFonts w:hint="eastAsia" w:ascii="Times New Roman" w:hAnsi="宋体" w:cs="宋体"/>
                <w:color w:val="auto"/>
                <w:highlight w:val="none"/>
                <w:lang w:val="en-US" w:eastAsia="zh-CN"/>
              </w:rPr>
              <w:t>收取</w:t>
            </w:r>
            <w:r>
              <w:rPr>
                <w:rFonts w:hint="eastAsia" w:ascii="宋体" w:hAnsi="宋体" w:cs="宋体"/>
                <w:color w:val="auto"/>
                <w:highlight w:val="none"/>
                <w:lang w:val="zh-CN"/>
              </w:rPr>
              <w:t>，由</w:t>
            </w:r>
            <w:r>
              <w:rPr>
                <w:rFonts w:hint="eastAsia" w:hAnsi="宋体" w:cs="宋体"/>
                <w:color w:val="auto"/>
                <w:highlight w:val="none"/>
                <w:lang w:val="zh-CN"/>
              </w:rPr>
              <w:t>成交供应商</w:t>
            </w:r>
            <w:r>
              <w:rPr>
                <w:rFonts w:hint="eastAsia" w:ascii="宋体" w:hAnsi="宋体" w:cs="宋体"/>
                <w:color w:val="auto"/>
                <w:highlight w:val="none"/>
                <w:lang w:val="zh-CN"/>
              </w:rPr>
              <w:t>领取</w:t>
            </w:r>
            <w:r>
              <w:rPr>
                <w:rFonts w:hint="eastAsia" w:hAnsi="宋体" w:cs="宋体"/>
                <w:color w:val="auto"/>
                <w:highlight w:val="none"/>
                <w:lang w:val="zh-CN"/>
              </w:rPr>
              <w:t>成交</w:t>
            </w:r>
            <w:r>
              <w:rPr>
                <w:rFonts w:hint="eastAsia" w:ascii="宋体" w:hAnsi="宋体" w:cs="宋体"/>
                <w:color w:val="auto"/>
                <w:highlight w:val="none"/>
                <w:lang w:val="zh-CN"/>
              </w:rPr>
              <w:t>通知书</w:t>
            </w:r>
            <w:r>
              <w:rPr>
                <w:rFonts w:hint="eastAsia" w:ascii="宋体" w:hAnsi="宋体" w:cs="宋体"/>
                <w:color w:val="auto"/>
                <w:highlight w:val="none"/>
              </w:rPr>
              <w:t>前</w:t>
            </w:r>
            <w:r>
              <w:rPr>
                <w:rFonts w:hint="eastAsia" w:ascii="宋体" w:hAnsi="宋体" w:cs="宋体"/>
                <w:color w:val="auto"/>
                <w:highlight w:val="none"/>
                <w:lang w:val="zh-CN"/>
              </w:rPr>
              <w:t>支付。可采取现金支付或银行转账。银行转账相关信息如下：</w:t>
            </w:r>
          </w:p>
          <w:p>
            <w:pPr>
              <w:spacing w:line="360" w:lineRule="auto"/>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auto"/>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auto"/>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银行帐号：5100 1527 9080 5152 8329</w:t>
            </w:r>
          </w:p>
          <w:p>
            <w:pPr>
              <w:spacing w:line="360" w:lineRule="auto"/>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510122202100284</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1065" w:type="dxa"/>
            <w:vAlign w:val="center"/>
          </w:tcPr>
          <w:p>
            <w:pPr>
              <w:numPr>
                <w:ilvl w:val="0"/>
                <w:numId w:val="11"/>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outlineLvl w:val="5"/>
              <w:rPr>
                <w:rFonts w:ascii="宋体" w:hAnsi="宋体" w:cs="宋体"/>
                <w:color w:val="auto"/>
                <w:highlight w:val="none"/>
                <w:lang w:val="zh-CN"/>
              </w:rPr>
            </w:pPr>
            <w:r>
              <w:rPr>
                <w:rFonts w:hint="eastAsia" w:ascii="宋体" w:hAnsi="宋体" w:cs="宋体"/>
                <w:color w:val="auto"/>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双流区银行机构名单如下：1.成都银行双流支行2.中国建设银行双流分行3.交通银行双流分行4.中国农业银行双流支行5.成都农商银行双流支行6.中国银行双流分行7.上海银行成都双流支行8.浙商银行成都双流支行9.中国工商银行成都双流支行10.中国邮政储蓄银行成都双流支行。</w:t>
            </w:r>
          </w:p>
        </w:tc>
      </w:tr>
    </w:tbl>
    <w:p>
      <w:pPr>
        <w:pStyle w:val="4"/>
        <w:rPr>
          <w:color w:val="auto"/>
          <w:sz w:val="24"/>
          <w:szCs w:val="24"/>
          <w:highlight w:val="none"/>
        </w:rPr>
      </w:pPr>
      <w:bookmarkStart w:id="30" w:name="_Toc30545"/>
      <w:r>
        <w:rPr>
          <w:rFonts w:hint="eastAsia"/>
          <w:color w:val="auto"/>
          <w:sz w:val="24"/>
          <w:szCs w:val="24"/>
          <w:highlight w:val="none"/>
        </w:rPr>
        <w:t>适用范围</w:t>
      </w:r>
      <w:bookmarkEnd w:id="26"/>
      <w:bookmarkEnd w:id="27"/>
      <w:bookmarkEnd w:id="30"/>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4"/>
        <w:rPr>
          <w:color w:val="auto"/>
          <w:sz w:val="24"/>
          <w:szCs w:val="24"/>
          <w:highlight w:val="none"/>
        </w:rPr>
      </w:pPr>
      <w:bookmarkStart w:id="31" w:name="_Toc287623639"/>
      <w:bookmarkStart w:id="32" w:name="_Toc9365"/>
      <w:r>
        <w:rPr>
          <w:rFonts w:hint="eastAsia"/>
          <w:color w:val="auto"/>
          <w:sz w:val="24"/>
          <w:szCs w:val="24"/>
          <w:highlight w:val="none"/>
        </w:rPr>
        <w:t>定义</w:t>
      </w:r>
      <w:bookmarkEnd w:id="31"/>
      <w:bookmarkEnd w:id="32"/>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成都市双流区文化体育和旅游局</w:t>
      </w:r>
      <w:r>
        <w:rPr>
          <w:rFonts w:hint="eastAsia" w:ascii="宋体" w:hAnsi="宋体" w:cs="宋体"/>
          <w:color w:val="auto"/>
          <w:highlight w:val="none"/>
        </w:rPr>
        <w:t>。</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4"/>
        <w:rPr>
          <w:color w:val="auto"/>
          <w:sz w:val="24"/>
          <w:szCs w:val="24"/>
          <w:highlight w:val="none"/>
        </w:rPr>
      </w:pPr>
      <w:bookmarkStart w:id="33" w:name="_Toc20657"/>
      <w:r>
        <w:rPr>
          <w:rFonts w:hint="eastAsia"/>
          <w:color w:val="auto"/>
          <w:sz w:val="24"/>
          <w:szCs w:val="24"/>
          <w:highlight w:val="none"/>
        </w:rPr>
        <w:t>合格供应商的条件（实质性要求）</w:t>
      </w:r>
      <w:bookmarkEnd w:id="33"/>
    </w:p>
    <w:p>
      <w:pPr>
        <w:numPr>
          <w:ilvl w:val="0"/>
          <w:numId w:val="14"/>
        </w:numPr>
        <w:spacing w:line="360" w:lineRule="auto"/>
        <w:ind w:firstLine="480" w:firstLineChars="200"/>
        <w:rPr>
          <w:rFonts w:ascii="宋体" w:hAnsi="宋体" w:cs="宋体"/>
          <w:color w:val="auto"/>
          <w:sz w:val="24"/>
          <w:szCs w:val="24"/>
          <w:highlight w:val="none"/>
        </w:rPr>
      </w:pPr>
      <w:bookmarkStart w:id="34" w:name="_Toc320698717"/>
      <w:r>
        <w:rPr>
          <w:rFonts w:hint="eastAsia" w:ascii="宋体" w:hAnsi="宋体" w:cs="宋体"/>
          <w:color w:val="auto"/>
          <w:sz w:val="24"/>
          <w:szCs w:val="24"/>
          <w:highlight w:val="none"/>
        </w:rPr>
        <w:t>本竞争性磋商文件规定的供应商资格条件；</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向采购代理机构购买了竞争性磋商文件并登记备案；（由代理机构向磋商小组提供供应商购买磋商文件情况表）</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4"/>
        <w:rPr>
          <w:color w:val="auto"/>
          <w:sz w:val="24"/>
          <w:szCs w:val="24"/>
          <w:highlight w:val="none"/>
        </w:rPr>
      </w:pPr>
      <w:bookmarkStart w:id="35" w:name="_Toc7899"/>
      <w:r>
        <w:rPr>
          <w:rFonts w:hint="eastAsia"/>
          <w:color w:val="auto"/>
          <w:sz w:val="24"/>
          <w:szCs w:val="24"/>
          <w:highlight w:val="none"/>
        </w:rPr>
        <w:t>拒绝参加本次采购活动的供应商</w:t>
      </w:r>
      <w:bookmarkEnd w:id="35"/>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  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本代理机构将通过“信用中国”网站（www.creditchina.gov.cn）、“中国政府采购网”（http://www.ccgp.gov.cn/）等渠道查询供应商在报名之日前的信用记录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34"/>
    <w:p>
      <w:pPr>
        <w:pStyle w:val="4"/>
        <w:rPr>
          <w:color w:val="auto"/>
          <w:highlight w:val="none"/>
        </w:rPr>
      </w:pPr>
      <w:bookmarkStart w:id="36" w:name="_Toc12879"/>
      <w:bookmarkStart w:id="37" w:name="_Toc287623640"/>
      <w:r>
        <w:rPr>
          <w:rFonts w:hint="eastAsia"/>
          <w:color w:val="auto"/>
          <w:highlight w:val="none"/>
        </w:rPr>
        <w:t>充分、公平竞争保障措施（实质性要求）</w:t>
      </w:r>
      <w:bookmarkEnd w:id="36"/>
    </w:p>
    <w:p>
      <w:pPr>
        <w:numPr>
          <w:ilvl w:val="0"/>
          <w:numId w:val="15"/>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5"/>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5"/>
        </w:numPr>
        <w:spacing w:line="360" w:lineRule="auto"/>
        <w:ind w:firstLine="480" w:firstLineChars="200"/>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5"/>
        </w:numPr>
        <w:spacing w:line="360" w:lineRule="auto"/>
        <w:ind w:firstLine="480" w:firstLineChars="200"/>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w:t>
      </w:r>
      <w:r>
        <w:rPr>
          <w:rFonts w:hint="eastAsia" w:ascii="宋体" w:hAnsi="宋体" w:cs="宋体"/>
          <w:color w:val="auto"/>
          <w:highlight w:val="none"/>
          <w:lang w:val="en-US" w:eastAsia="zh-CN"/>
        </w:rPr>
        <w:t xml:space="preserve"> </w:t>
      </w:r>
      <w:r>
        <w:rPr>
          <w:rFonts w:hint="eastAsia" w:ascii="宋体" w:hAnsi="宋体" w:cs="宋体"/>
          <w:color w:val="auto"/>
          <w:highlight w:val="none"/>
        </w:rPr>
        <w:t>为无效处理。</w:t>
      </w:r>
    </w:p>
    <w:p>
      <w:pPr>
        <w:pStyle w:val="4"/>
        <w:rPr>
          <w:color w:val="auto"/>
          <w:highlight w:val="none"/>
        </w:rPr>
      </w:pPr>
      <w:bookmarkStart w:id="38" w:name="_Toc24007"/>
      <w:r>
        <w:rPr>
          <w:rFonts w:hint="eastAsia"/>
          <w:color w:val="auto"/>
          <w:highlight w:val="none"/>
        </w:rPr>
        <w:t>竞争性磋商采购费用</w:t>
      </w:r>
      <w:bookmarkEnd w:id="37"/>
      <w:bookmarkEnd w:id="38"/>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highlight w:val="none"/>
        </w:rPr>
      </w:pPr>
      <w:bookmarkStart w:id="39" w:name="_Toc320698720"/>
      <w:bookmarkStart w:id="40" w:name="_Toc19158"/>
      <w:r>
        <w:rPr>
          <w:rFonts w:hint="eastAsia"/>
          <w:color w:val="auto"/>
          <w:highlight w:val="none"/>
        </w:rPr>
        <w:t>响应文件</w:t>
      </w:r>
      <w:bookmarkEnd w:id="39"/>
      <w:bookmarkEnd w:id="40"/>
    </w:p>
    <w:p>
      <w:pPr>
        <w:pStyle w:val="5"/>
        <w:ind w:left="-80" w:leftChars="0" w:firstLine="482" w:firstLineChars="0"/>
        <w:rPr>
          <w:rFonts w:cs="宋体"/>
          <w:color w:val="auto"/>
          <w:szCs w:val="24"/>
          <w:highlight w:val="none"/>
        </w:rPr>
      </w:pPr>
      <w:bookmarkStart w:id="41" w:name="_Toc320698721"/>
      <w:r>
        <w:rPr>
          <w:rFonts w:hint="eastAsia" w:cs="宋体"/>
          <w:color w:val="auto"/>
          <w:szCs w:val="24"/>
          <w:highlight w:val="none"/>
        </w:rPr>
        <w:t>响应文件的语言</w:t>
      </w:r>
      <w:bookmarkEnd w:id="41"/>
      <w:r>
        <w:rPr>
          <w:rFonts w:hint="eastAsia" w:cs="宋体"/>
          <w:color w:val="auto"/>
          <w:szCs w:val="24"/>
          <w:highlight w:val="none"/>
        </w:rPr>
        <w:t>、计量单位</w:t>
      </w:r>
      <w:r>
        <w:rPr>
          <w:rFonts w:hint="eastAsia"/>
          <w:color w:val="auto"/>
          <w:highlight w:val="none"/>
        </w:rPr>
        <w:t>（实质性要求）</w:t>
      </w:r>
    </w:p>
    <w:p>
      <w:pPr>
        <w:widowControl w:val="0"/>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1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ind w:left="-80" w:leftChars="0" w:firstLine="482" w:firstLineChars="0"/>
        <w:rPr>
          <w:rFonts w:cs="宋体"/>
          <w:color w:val="auto"/>
          <w:szCs w:val="24"/>
          <w:highlight w:val="none"/>
        </w:rPr>
      </w:pPr>
      <w:bookmarkStart w:id="42" w:name="_Toc320698722"/>
      <w:r>
        <w:rPr>
          <w:rFonts w:hint="eastAsia" w:cs="宋体"/>
          <w:color w:val="auto"/>
          <w:szCs w:val="24"/>
          <w:highlight w:val="none"/>
        </w:rPr>
        <w:t>报价货币</w:t>
      </w:r>
      <w:bookmarkEnd w:id="42"/>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43"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ind w:left="-80" w:leftChars="0" w:firstLine="482" w:firstLineChars="0"/>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ind w:left="-80" w:leftChars="0" w:firstLine="482" w:firstLineChars="0"/>
        <w:rPr>
          <w:rFonts w:cs="宋体"/>
          <w:color w:val="auto"/>
          <w:szCs w:val="24"/>
          <w:highlight w:val="none"/>
        </w:rPr>
      </w:pPr>
      <w:r>
        <w:rPr>
          <w:rFonts w:hint="eastAsia" w:cs="宋体"/>
          <w:color w:val="auto"/>
          <w:szCs w:val="24"/>
          <w:highlight w:val="none"/>
        </w:rPr>
        <w:t>联合体</w:t>
      </w:r>
      <w:bookmarkEnd w:id="43"/>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ind w:left="-80" w:leftChars="0" w:firstLine="482" w:firstLineChars="0"/>
        <w:rPr>
          <w:rFonts w:cs="宋体"/>
          <w:color w:val="auto"/>
          <w:szCs w:val="24"/>
          <w:highlight w:val="none"/>
        </w:rPr>
      </w:pPr>
      <w:bookmarkStart w:id="44" w:name="_Toc320698724"/>
      <w:r>
        <w:rPr>
          <w:rFonts w:hint="eastAsia" w:cs="宋体"/>
          <w:color w:val="auto"/>
          <w:szCs w:val="24"/>
          <w:highlight w:val="none"/>
        </w:rPr>
        <w:t>响应文件的组成</w:t>
      </w:r>
      <w:bookmarkEnd w:id="44"/>
      <w:bookmarkStart w:id="45"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45"/>
    </w:p>
    <w:p>
      <w:pPr>
        <w:pStyle w:val="169"/>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69"/>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69"/>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69"/>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69"/>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69"/>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69"/>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中小企业声明函</w:t>
      </w:r>
      <w:r>
        <w:rPr>
          <w:rFonts w:hint="eastAsia" w:ascii="宋体" w:hAnsi="宋体" w:cs="宋体"/>
          <w:color w:val="auto"/>
          <w:sz w:val="24"/>
          <w:szCs w:val="24"/>
          <w:highlight w:val="none"/>
          <w:lang w:eastAsia="zh-CN"/>
        </w:rPr>
        <w:t>；</w:t>
      </w:r>
    </w:p>
    <w:p>
      <w:pPr>
        <w:pStyle w:val="169"/>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p>
    <w:p>
      <w:pPr>
        <w:pStyle w:val="169"/>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69"/>
        <w:numPr>
          <w:ilvl w:val="0"/>
          <w:numId w:val="18"/>
        </w:numPr>
        <w:tabs>
          <w:tab w:val="left" w:pos="1134"/>
        </w:tabs>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46" w:name="_Toc320698726"/>
      <w:r>
        <w:rPr>
          <w:rFonts w:hint="eastAsia" w:cs="宋体"/>
          <w:color w:val="auto"/>
          <w:szCs w:val="24"/>
          <w:highlight w:val="none"/>
        </w:rPr>
        <w:t>技术、服务性响应文件</w:t>
      </w:r>
      <w:bookmarkEnd w:id="46"/>
    </w:p>
    <w:p>
      <w:pPr>
        <w:pStyle w:val="2"/>
        <w:numPr>
          <w:ilvl w:val="0"/>
          <w:numId w:val="19"/>
        </w:numPr>
        <w:tabs>
          <w:tab w:val="left" w:pos="1134"/>
        </w:tabs>
        <w:spacing w:after="0" w:line="360" w:lineRule="auto"/>
        <w:ind w:firstLine="480" w:firstLineChars="200"/>
        <w:rPr>
          <w:rFonts w:ascii="宋体" w:hAnsi="宋体" w:cs="宋体"/>
          <w:bCs/>
          <w:color w:val="auto"/>
          <w:highlight w:val="none"/>
        </w:rPr>
      </w:pPr>
      <w:bookmarkStart w:id="47"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w:t>
      </w:r>
      <w:r>
        <w:rPr>
          <w:rFonts w:hint="eastAsia" w:ascii="宋体" w:hAnsi="宋体" w:cs="宋体"/>
          <w:color w:val="auto"/>
          <w:highlight w:val="none"/>
          <w:lang w:val="en-US" w:eastAsia="zh-CN"/>
        </w:rPr>
        <w:t>技术</w:t>
      </w:r>
      <w:r>
        <w:rPr>
          <w:rFonts w:hint="eastAsia" w:ascii="宋体" w:hAnsi="宋体" w:cs="宋体"/>
          <w:color w:val="auto"/>
          <w:highlight w:val="none"/>
        </w:rPr>
        <w:t>条款偏离表</w:t>
      </w:r>
      <w:r>
        <w:rPr>
          <w:rFonts w:hint="eastAsia" w:ascii="宋体" w:hAnsi="宋体" w:cs="宋体"/>
          <w:bCs/>
          <w:color w:val="auto"/>
          <w:highlight w:val="none"/>
        </w:rPr>
        <w:t>；</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方案</w:t>
      </w:r>
      <w:r>
        <w:rPr>
          <w:rFonts w:hint="eastAsia" w:ascii="宋体" w:hAnsi="宋体" w:cs="宋体"/>
          <w:color w:val="auto"/>
          <w:highlight w:val="none"/>
        </w:rPr>
        <w:t>；</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分项报价明细表；</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业绩一览表；</w:t>
      </w:r>
    </w:p>
    <w:p>
      <w:pPr>
        <w:pStyle w:val="2"/>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磋商结束后，磋商小组应当要求不少于三家(符合《财政部关于政府采购竞争性磋商采购方式管理暂行办法有关问题的补充通知》财库</w:t>
      </w:r>
      <w:r>
        <w:rPr>
          <w:rFonts w:hint="eastAsia" w:ascii="宋体" w:hAnsi="宋体" w:cs="宋体"/>
          <w:color w:val="auto"/>
          <w:highlight w:val="none"/>
          <w:lang w:eastAsia="zh-CN"/>
        </w:rPr>
        <w:t>〔2015〕</w:t>
      </w:r>
      <w:r>
        <w:rPr>
          <w:rFonts w:hint="eastAsia" w:ascii="宋体" w:hAnsi="宋体" w:cs="宋体"/>
          <w:color w:val="auto"/>
          <w:highlight w:val="none"/>
        </w:rPr>
        <w:t>124号文要求的除外)的供应商在规定时间内提交最后报价，最后报价是供应商响应文件的有效组成部分。</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7"/>
        <w:numPr>
          <w:ilvl w:val="0"/>
          <w:numId w:val="22"/>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87"/>
        <w:numPr>
          <w:ilvl w:val="0"/>
          <w:numId w:val="22"/>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87"/>
        <w:numPr>
          <w:ilvl w:val="0"/>
          <w:numId w:val="22"/>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87"/>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83"/>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47"/>
    <w:p>
      <w:pPr>
        <w:pStyle w:val="5"/>
        <w:ind w:left="-80" w:leftChars="0" w:firstLine="482" w:firstLineChars="0"/>
        <w:rPr>
          <w:rFonts w:cs="宋体"/>
          <w:color w:val="auto"/>
          <w:szCs w:val="24"/>
          <w:highlight w:val="none"/>
        </w:rPr>
      </w:pPr>
      <w:bookmarkStart w:id="48" w:name="_Toc320698728"/>
      <w:r>
        <w:rPr>
          <w:rFonts w:hint="eastAsia" w:cs="宋体"/>
          <w:color w:val="auto"/>
          <w:szCs w:val="24"/>
          <w:highlight w:val="none"/>
        </w:rPr>
        <w:t>响应文件有效期</w:t>
      </w:r>
      <w:bookmarkEnd w:id="48"/>
      <w:r>
        <w:rPr>
          <w:rFonts w:hint="eastAsia" w:cs="宋体"/>
          <w:color w:val="auto"/>
          <w:szCs w:val="24"/>
          <w:highlight w:val="none"/>
        </w:rPr>
        <w:t>（实质性要求）</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特殊情况下，采购人可于磋商有效期满之前要求磋商供应商同意延长有效期，要求与答复均应为书面形式。磋商供应商可以拒绝上述要求，其磋商保证金</w:t>
      </w:r>
      <w:r>
        <w:rPr>
          <w:rFonts w:hint="eastAsia" w:ascii="宋体" w:hAnsi="宋体" w:cs="宋体"/>
          <w:color w:val="auto"/>
          <w:spacing w:val="8"/>
          <w:highlight w:val="none"/>
        </w:rPr>
        <w:t>不被没收。</w:t>
      </w:r>
      <w:r>
        <w:rPr>
          <w:rFonts w:hint="eastAsia" w:ascii="宋体" w:hAnsi="宋体" w:cs="宋体"/>
          <w:color w:val="auto"/>
          <w:highlight w:val="none"/>
        </w:rPr>
        <w:t>拒绝延长磋商有效期的磋商供应商不得再参与该项目后续采购活动。同意延长磋商有效期的磋商供应商不能修改其响应文件，关于磋商保证金的有关规定在延长的磋商有效期内继续有效。</w:t>
      </w:r>
    </w:p>
    <w:p>
      <w:pPr>
        <w:pStyle w:val="5"/>
        <w:ind w:left="-80" w:leftChars="0" w:firstLine="482" w:firstLineChars="0"/>
        <w:rPr>
          <w:rFonts w:cs="宋体"/>
          <w:color w:val="auto"/>
          <w:szCs w:val="24"/>
          <w:highlight w:val="none"/>
        </w:rPr>
      </w:pPr>
      <w:bookmarkStart w:id="49" w:name="_Toc320698729"/>
      <w:r>
        <w:rPr>
          <w:rFonts w:hint="eastAsia" w:cs="宋体"/>
          <w:color w:val="auto"/>
          <w:szCs w:val="24"/>
          <w:highlight w:val="none"/>
        </w:rPr>
        <w:t>响应文件编制、签署</w:t>
      </w:r>
      <w:bookmarkEnd w:id="49"/>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5"/>
        <w:ind w:left="-80" w:leftChars="0" w:firstLine="482" w:firstLineChars="0"/>
        <w:rPr>
          <w:rFonts w:cs="宋体"/>
          <w:color w:val="auto"/>
          <w:szCs w:val="24"/>
          <w:highlight w:val="none"/>
        </w:rPr>
      </w:pPr>
      <w:bookmarkStart w:id="50" w:name="_Toc320698730"/>
      <w:r>
        <w:rPr>
          <w:rFonts w:hint="eastAsia" w:cs="宋体"/>
          <w:color w:val="auto"/>
          <w:szCs w:val="24"/>
          <w:highlight w:val="none"/>
        </w:rPr>
        <w:t>响应文件的包装、密封和标注</w:t>
      </w:r>
      <w:bookmarkEnd w:id="50"/>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名称、采购</w:t>
      </w:r>
      <w:r>
        <w:rPr>
          <w:rFonts w:hint="eastAsia" w:ascii="宋体" w:hAnsi="宋体" w:cs="宋体"/>
          <w:color w:val="auto"/>
          <w:highlight w:val="none"/>
        </w:rPr>
        <w:t>编号、项目名称、日期及包件号（如有分包）。</w:t>
      </w:r>
    </w:p>
    <w:p>
      <w:pPr>
        <w:pStyle w:val="2"/>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5"/>
        <w:ind w:left="-80" w:leftChars="0" w:firstLine="482" w:firstLineChars="0"/>
        <w:rPr>
          <w:rFonts w:cs="宋体"/>
          <w:color w:val="auto"/>
          <w:szCs w:val="24"/>
          <w:highlight w:val="none"/>
        </w:rPr>
      </w:pPr>
      <w:bookmarkStart w:id="51" w:name="_Toc320698731"/>
      <w:r>
        <w:rPr>
          <w:rFonts w:hint="eastAsia" w:cs="宋体"/>
          <w:color w:val="auto"/>
          <w:szCs w:val="24"/>
          <w:highlight w:val="none"/>
        </w:rPr>
        <w:t>响应文件的递交</w:t>
      </w:r>
      <w:bookmarkEnd w:id="51"/>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5"/>
        <w:ind w:left="-80" w:leftChars="0" w:firstLine="482" w:firstLineChars="0"/>
        <w:rPr>
          <w:rFonts w:cs="宋体"/>
          <w:color w:val="auto"/>
          <w:szCs w:val="24"/>
          <w:highlight w:val="none"/>
        </w:rPr>
      </w:pPr>
      <w:bookmarkStart w:id="52" w:name="_Toc446487098"/>
      <w:r>
        <w:rPr>
          <w:rFonts w:hint="eastAsia" w:cs="宋体"/>
          <w:color w:val="auto"/>
          <w:szCs w:val="24"/>
          <w:highlight w:val="none"/>
        </w:rPr>
        <w:t>响应文件的补充、修改和撤回</w:t>
      </w:r>
      <w:bookmarkEnd w:id="52"/>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4"/>
        <w:rPr>
          <w:color w:val="auto"/>
          <w:highlight w:val="none"/>
        </w:rPr>
      </w:pPr>
      <w:bookmarkStart w:id="53" w:name="_Toc287623645"/>
      <w:bookmarkStart w:id="54" w:name="_Toc4727"/>
      <w:r>
        <w:rPr>
          <w:rFonts w:hint="eastAsia"/>
          <w:color w:val="auto"/>
          <w:highlight w:val="none"/>
        </w:rPr>
        <w:t>竞争性磋商程序</w:t>
      </w:r>
      <w:bookmarkEnd w:id="53"/>
      <w:bookmarkEnd w:id="54"/>
    </w:p>
    <w:p>
      <w:pPr>
        <w:pStyle w:val="5"/>
        <w:ind w:left="-80" w:leftChars="0" w:firstLine="482" w:firstLineChars="0"/>
        <w:rPr>
          <w:rFonts w:cs="宋体"/>
          <w:color w:val="auto"/>
          <w:szCs w:val="24"/>
          <w:highlight w:val="none"/>
        </w:rPr>
      </w:pPr>
      <w:bookmarkStart w:id="55" w:name="_Toc320698735"/>
      <w:r>
        <w:rPr>
          <w:rFonts w:hint="eastAsia" w:cs="宋体"/>
          <w:color w:val="auto"/>
          <w:szCs w:val="24"/>
          <w:highlight w:val="none"/>
        </w:rPr>
        <w:t>供应商报名</w:t>
      </w:r>
      <w:bookmarkEnd w:id="55"/>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参加报名的供应商不足三家的，本次竞争性磋商采购活动终止，并发布终止竞争性磋商公告。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56" w:name="_Toc320698736"/>
      <w:r>
        <w:rPr>
          <w:rFonts w:hint="eastAsia" w:cs="宋体"/>
          <w:color w:val="auto"/>
          <w:szCs w:val="24"/>
          <w:highlight w:val="none"/>
        </w:rPr>
        <w:t>接收响应文件</w:t>
      </w:r>
      <w:bookmarkEnd w:id="56"/>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57" w:name="_Toc287623646"/>
      <w:r>
        <w:rPr>
          <w:rFonts w:hint="eastAsia" w:cs="宋体"/>
          <w:color w:val="auto"/>
          <w:szCs w:val="24"/>
          <w:highlight w:val="none"/>
        </w:rPr>
        <w:t>开标</w:t>
      </w:r>
    </w:p>
    <w:p>
      <w:pPr>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5"/>
        <w:ind w:left="-80" w:leftChars="0" w:firstLine="482" w:firstLineChars="0"/>
        <w:rPr>
          <w:rFonts w:cs="宋体"/>
          <w:color w:val="auto"/>
          <w:szCs w:val="24"/>
          <w:highlight w:val="none"/>
        </w:rPr>
      </w:pPr>
      <w:r>
        <w:rPr>
          <w:rFonts w:hint="eastAsia" w:cs="宋体"/>
          <w:color w:val="auto"/>
          <w:szCs w:val="24"/>
          <w:highlight w:val="none"/>
        </w:rPr>
        <w:t>成立磋商小组</w:t>
      </w:r>
      <w:bookmarkEnd w:id="57"/>
    </w:p>
    <w:p>
      <w:pPr>
        <w:pStyle w:val="24"/>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ind w:left="-80" w:leftChars="0" w:firstLine="482" w:firstLineChars="0"/>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jc w:val="center"/>
              <w:rPr>
                <w:rFonts w:ascii="宋体" w:hAnsi="宋体" w:cs="宋体"/>
                <w:b/>
                <w:bCs/>
                <w:color w:val="auto"/>
                <w:highlight w:val="none"/>
              </w:rPr>
            </w:pPr>
            <w:r>
              <w:rPr>
                <w:rFonts w:hint="eastAsia" w:ascii="宋体" w:hAnsi="宋体" w:cs="宋体"/>
                <w:b/>
                <w:bCs/>
                <w:color w:val="auto"/>
                <w:highlight w:val="none"/>
              </w:rPr>
              <w:t>审查内容</w:t>
            </w:r>
          </w:p>
        </w:tc>
        <w:tc>
          <w:tcPr>
            <w:tcW w:w="4862" w:type="dxa"/>
            <w:vAlign w:val="center"/>
          </w:tcPr>
          <w:p>
            <w:pPr>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0" w:type="dxa"/>
            <w:vMerge w:val="restart"/>
            <w:vAlign w:val="center"/>
          </w:tcPr>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jc w:val="center"/>
              <w:rPr>
                <w:rFonts w:hint="eastAsia" w:ascii="宋体" w:hAnsi="宋体"/>
                <w:color w:val="auto"/>
                <w:highlight w:val="none"/>
              </w:rPr>
            </w:pPr>
            <w:r>
              <w:rPr>
                <w:rFonts w:hint="eastAsia" w:ascii="宋体" w:hAnsi="宋体"/>
                <w:color w:val="auto"/>
                <w:highlight w:val="none"/>
              </w:rPr>
              <w:t>（一）资格</w:t>
            </w:r>
          </w:p>
          <w:p>
            <w:pPr>
              <w:jc w:val="center"/>
              <w:rPr>
                <w:rFonts w:ascii="宋体" w:hAnsi="宋体" w:cs="宋体"/>
                <w:bCs/>
                <w:color w:val="auto"/>
                <w:highlight w:val="none"/>
              </w:rPr>
            </w:pPr>
            <w:r>
              <w:rPr>
                <w:rFonts w:hint="eastAsia" w:ascii="宋体" w:hAnsi="宋体"/>
                <w:color w:val="auto"/>
                <w:highlight w:val="none"/>
              </w:rPr>
              <w:t>要求</w:t>
            </w:r>
          </w:p>
        </w:tc>
        <w:tc>
          <w:tcPr>
            <w:tcW w:w="3915" w:type="dxa"/>
            <w:gridSpan w:val="2"/>
            <w:vAlign w:val="center"/>
          </w:tcPr>
          <w:p>
            <w:pPr>
              <w:rPr>
                <w:rFonts w:hint="eastAsia" w:ascii="宋体" w:hAnsi="宋体"/>
                <w:color w:val="auto"/>
                <w:highlight w:val="none"/>
              </w:rPr>
            </w:pPr>
          </w:p>
          <w:p>
            <w:pPr>
              <w:rPr>
                <w:rFonts w:ascii="宋体" w:hAnsi="宋体" w:cs="宋体"/>
                <w:bCs/>
                <w:color w:val="auto"/>
                <w:highlight w:val="none"/>
              </w:rPr>
            </w:pPr>
            <w:r>
              <w:rPr>
                <w:rFonts w:hint="eastAsia" w:ascii="宋体" w:hAnsi="宋体"/>
                <w:color w:val="auto"/>
                <w:highlight w:val="none"/>
              </w:rPr>
              <w:t>1、具有独立承担民事责任的能力</w:t>
            </w:r>
          </w:p>
        </w:tc>
        <w:tc>
          <w:tcPr>
            <w:tcW w:w="4862" w:type="dxa"/>
            <w:vAlign w:val="center"/>
          </w:tcPr>
          <w:p>
            <w:pPr>
              <w:rPr>
                <w:rFonts w:ascii="宋体" w:hAnsi="宋体" w:cs="宋体"/>
                <w:bCs/>
                <w:color w:val="auto"/>
                <w:highlight w:val="none"/>
              </w:rPr>
            </w:pPr>
            <w:r>
              <w:rPr>
                <w:rFonts w:hint="eastAsia" w:ascii="宋体" w:hAnsi="宋体" w:cs="宋体"/>
                <w:bCs/>
                <w:color w:val="auto"/>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2、具有良好的商业信誉</w:t>
            </w:r>
          </w:p>
        </w:tc>
        <w:tc>
          <w:tcPr>
            <w:tcW w:w="4862" w:type="dxa"/>
            <w:vMerge w:val="restart"/>
            <w:vAlign w:val="center"/>
          </w:tcPr>
          <w:p>
            <w:pPr>
              <w:shd w:val="clear" w:color="auto" w:fill="FFFFFF"/>
              <w:rPr>
                <w:rFonts w:ascii="宋体" w:hAnsi="宋体"/>
                <w:color w:val="auto"/>
                <w:highlight w:val="none"/>
              </w:rPr>
            </w:pPr>
            <w:r>
              <w:rPr>
                <w:rFonts w:hint="eastAsia" w:ascii="宋体" w:hAnsi="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3、具有履行合同所必须的设备和专业技术能力</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4、参加政府采购活动前三年内，在经营活动中没有重大违法记录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未被列入经营异常名录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未被列入失信被执行人、重大税收违法案件当事人名单、政府采购严重违法失信行为记录名单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不</w:t>
            </w:r>
            <w:r>
              <w:rPr>
                <w:rFonts w:hint="eastAsia" w:ascii="宋体" w:hAnsi="宋体" w:eastAsia="宋体" w:cs="宋体"/>
                <w:color w:val="auto"/>
                <w:sz w:val="24"/>
                <w:highlight w:val="none"/>
              </w:rPr>
              <w:t>属于其他国家相关法律法规规定的禁止参加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的供应商</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、在行贿犯罪信息查询期限内，供应商及其现任法定代表人、主要负责人无行贿犯罪记录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、法律、行政法规规定的其他条件</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020" w:type="dxa"/>
            <w:vMerge w:val="continue"/>
            <w:vAlign w:val="center"/>
          </w:tcPr>
          <w:p>
            <w:pPr>
              <w:rPr>
                <w:rFonts w:ascii="宋体" w:hAnsi="宋体" w:cs="宋体"/>
                <w:bCs/>
                <w:color w:val="auto"/>
                <w:highlight w:val="none"/>
              </w:rPr>
            </w:pPr>
          </w:p>
        </w:tc>
        <w:tc>
          <w:tcPr>
            <w:tcW w:w="1321" w:type="dxa"/>
            <w:vMerge w:val="restart"/>
            <w:vAlign w:val="center"/>
          </w:tcPr>
          <w:p>
            <w:pPr>
              <w:rPr>
                <w:rFonts w:ascii="宋体" w:hAnsi="宋体" w:cs="宋体"/>
                <w:bCs/>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、有依法缴纳税收和社会保障资金的良好记录</w:t>
            </w:r>
          </w:p>
        </w:tc>
        <w:tc>
          <w:tcPr>
            <w:tcW w:w="2594" w:type="dxa"/>
            <w:vAlign w:val="center"/>
          </w:tcPr>
          <w:p>
            <w:pPr>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b w:val="0"/>
                <w:bCs w:val="0"/>
                <w:color w:val="auto"/>
                <w:highlight w:val="none"/>
              </w:rPr>
            </w:pPr>
            <w:r>
              <w:rPr>
                <w:rFonts w:hint="eastAsia" w:ascii="宋体" w:hAnsi="宋体" w:eastAsia="宋体" w:cs="宋体"/>
                <w:b w:val="0"/>
                <w:bCs w:val="0"/>
                <w:color w:val="auto"/>
                <w:sz w:val="24"/>
                <w:szCs w:val="24"/>
                <w:highlight w:val="none"/>
              </w:rPr>
              <w:t>供应商缴纳2020年</w:t>
            </w:r>
            <w:r>
              <w:rPr>
                <w:rFonts w:hint="eastAsia" w:ascii="宋体" w:hAnsi="宋体" w:eastAsia="宋体" w:cs="宋体"/>
                <w:b w:val="0"/>
                <w:bCs w:val="0"/>
                <w:color w:val="auto"/>
                <w:sz w:val="24"/>
                <w:szCs w:val="24"/>
                <w:highlight w:val="none"/>
                <w:shd w:val="clear" w:color="auto" w:fill="FFFFFF"/>
              </w:rPr>
              <w:t>以来</w:t>
            </w:r>
            <w:r>
              <w:rPr>
                <w:rFonts w:hint="eastAsia" w:ascii="宋体" w:hAnsi="宋体" w:eastAsia="宋体" w:cs="宋体"/>
                <w:b w:val="0"/>
                <w:bCs w:val="0"/>
                <w:color w:val="auto"/>
                <w:sz w:val="24"/>
                <w:szCs w:val="24"/>
                <w:highlight w:val="none"/>
              </w:rPr>
              <w:t>任意时段的缴纳社保的银行电子回单或社保部门出具的社保缴纳证明材料复印件或</w:t>
            </w:r>
            <w:r>
              <w:rPr>
                <w:rFonts w:hint="eastAsia" w:ascii="宋体" w:hAnsi="宋体" w:eastAsia="宋体" w:cs="宋体"/>
                <w:b w:val="0"/>
                <w:bCs w:val="0"/>
                <w:color w:val="auto"/>
                <w:sz w:val="24"/>
                <w:szCs w:val="24"/>
                <w:highlight w:val="none"/>
                <w:shd w:val="clear" w:color="auto" w:fill="FFFFFF"/>
                <w:lang w:val="en-US" w:eastAsia="zh-CN"/>
              </w:rPr>
              <w:t>承诺函原件</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rPr>
                <w:rFonts w:ascii="宋体" w:hAnsi="宋体" w:cs="宋体"/>
                <w:bCs/>
                <w:color w:val="auto"/>
                <w:highlight w:val="none"/>
              </w:rPr>
            </w:pPr>
          </w:p>
        </w:tc>
        <w:tc>
          <w:tcPr>
            <w:tcW w:w="1321" w:type="dxa"/>
            <w:vMerge w:val="continue"/>
            <w:vAlign w:val="center"/>
          </w:tcPr>
          <w:p>
            <w:pPr>
              <w:rPr>
                <w:rFonts w:ascii="宋体" w:hAnsi="宋体"/>
                <w:color w:val="auto"/>
                <w:highlight w:val="none"/>
              </w:rPr>
            </w:pPr>
          </w:p>
        </w:tc>
        <w:tc>
          <w:tcPr>
            <w:tcW w:w="2594" w:type="dxa"/>
            <w:vAlign w:val="center"/>
          </w:tcPr>
          <w:p>
            <w:pPr>
              <w:rPr>
                <w:rFonts w:ascii="宋体" w:hAnsi="宋体"/>
                <w:color w:val="auto"/>
                <w:highlight w:val="none"/>
              </w:rPr>
            </w:pPr>
            <w:r>
              <w:rPr>
                <w:rFonts w:hint="eastAsia" w:ascii="宋体" w:hAnsi="宋体" w:cs="宋体"/>
                <w:bCs/>
                <w:color w:val="auto"/>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b w:val="0"/>
                <w:bCs w:val="0"/>
                <w:color w:val="auto"/>
                <w:highlight w:val="none"/>
              </w:rPr>
            </w:pPr>
            <w:r>
              <w:rPr>
                <w:rFonts w:hint="eastAsia" w:ascii="宋体" w:hAnsi="宋体" w:eastAsia="宋体" w:cs="宋体"/>
                <w:b w:val="0"/>
                <w:bCs w:val="0"/>
                <w:color w:val="auto"/>
                <w:sz w:val="24"/>
                <w:szCs w:val="24"/>
                <w:highlight w:val="none"/>
              </w:rPr>
              <w:t>供应商缴纳2020年</w:t>
            </w:r>
            <w:r>
              <w:rPr>
                <w:rFonts w:hint="eastAsia" w:ascii="宋体" w:hAnsi="宋体" w:eastAsia="宋体" w:cs="宋体"/>
                <w:b w:val="0"/>
                <w:bCs w:val="0"/>
                <w:color w:val="auto"/>
                <w:sz w:val="24"/>
                <w:szCs w:val="24"/>
                <w:highlight w:val="none"/>
                <w:shd w:val="clear" w:color="auto" w:fill="FFFFFF"/>
              </w:rPr>
              <w:t>以来</w:t>
            </w:r>
            <w:r>
              <w:rPr>
                <w:rFonts w:hint="eastAsia" w:ascii="宋体" w:hAnsi="宋体" w:eastAsia="宋体" w:cs="宋体"/>
                <w:b w:val="0"/>
                <w:bCs w:val="0"/>
                <w:color w:val="auto"/>
                <w:sz w:val="24"/>
                <w:szCs w:val="24"/>
                <w:highlight w:val="none"/>
              </w:rPr>
              <w:t>任意时段的缴纳税收的银行电子回单或税务部门出具的纳税证明或完税证明的复印件或</w:t>
            </w:r>
            <w:r>
              <w:rPr>
                <w:rFonts w:hint="eastAsia" w:ascii="宋体" w:hAnsi="宋体" w:eastAsia="宋体" w:cs="宋体"/>
                <w:b w:val="0"/>
                <w:bCs w:val="0"/>
                <w:color w:val="auto"/>
                <w:sz w:val="24"/>
                <w:szCs w:val="24"/>
                <w:highlight w:val="none"/>
                <w:shd w:val="clear" w:color="auto" w:fill="FFFFFF"/>
                <w:lang w:val="en-US" w:eastAsia="zh-CN"/>
              </w:rPr>
              <w:t>承诺函原件</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w:t>
            </w:r>
            <w:r>
              <w:rPr>
                <w:rFonts w:hint="eastAsia" w:ascii="宋体" w:hAnsi="宋体" w:cs="宋体"/>
                <w:color w:val="auto"/>
                <w:highlight w:val="none"/>
              </w:rPr>
              <w:t>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、法定代表人身份证明书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法定代表人身份证明书原件（自然人参加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的不须提供身份证明书）及身份证复印件或护照复印件【注：（1）法定代表人身份证明书符合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、法定代表人授权委托书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法定代表人授权书原件及身份证复印件【注：（1）代理人身份证复印件（身份证两面均应复印，在有效期内）；（2）如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法定代表人签字的或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、联合体磋商</w:t>
            </w:r>
          </w:p>
        </w:tc>
        <w:tc>
          <w:tcPr>
            <w:tcW w:w="4862" w:type="dxa"/>
            <w:vAlign w:val="center"/>
          </w:tcPr>
          <w:p>
            <w:pPr>
              <w:rPr>
                <w:rFonts w:ascii="宋体" w:hAnsi="宋体"/>
                <w:color w:val="auto"/>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15、本项目专门面向中小企业采购</w:t>
            </w:r>
          </w:p>
        </w:tc>
        <w:tc>
          <w:tcPr>
            <w:tcW w:w="4862" w:type="dxa"/>
            <w:vAlign w:val="center"/>
          </w:tcPr>
          <w:p>
            <w:pPr>
              <w:rPr>
                <w:rFonts w:hint="eastAsia" w:ascii="宋体" w:hAnsi="宋体"/>
                <w:color w:val="auto"/>
                <w:highlight w:val="none"/>
              </w:rPr>
            </w:pPr>
            <w:r>
              <w:rPr>
                <w:rFonts w:hint="eastAsia" w:ascii="宋体" w:hAnsi="宋体"/>
                <w:color w:val="auto"/>
                <w:highlight w:val="none"/>
                <w:lang w:val="en-US" w:eastAsia="zh-CN"/>
              </w:rPr>
              <w:t>提供中小企业声明函（注：</w:t>
            </w:r>
            <w:r>
              <w:rPr>
                <w:rFonts w:hint="eastAsia" w:ascii="宋体" w:hAnsi="宋体"/>
                <w:szCs w:val="24"/>
                <w:highlight w:val="none"/>
              </w:rPr>
              <w:t>供应商为监狱企业、残疾人福利性单位的视同小型、微型企业</w:t>
            </w:r>
            <w:r>
              <w:rPr>
                <w:rFonts w:hint="eastAsia" w:ascii="宋体" w:hAnsi="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jc w:val="center"/>
              <w:rPr>
                <w:rFonts w:hint="eastAsia" w:ascii="宋体" w:hAnsi="宋体" w:cs="宋体"/>
                <w:color w:val="auto"/>
                <w:highlight w:val="none"/>
              </w:rPr>
            </w:pPr>
            <w:r>
              <w:rPr>
                <w:rFonts w:hint="eastAsia" w:ascii="宋体" w:hAnsi="宋体" w:cs="宋体"/>
                <w:color w:val="auto"/>
                <w:highlight w:val="none"/>
              </w:rPr>
              <w:t>（二）资质</w:t>
            </w:r>
          </w:p>
          <w:p>
            <w:pPr>
              <w:jc w:val="center"/>
              <w:rPr>
                <w:rFonts w:ascii="宋体" w:hAnsi="宋体" w:cs="宋体"/>
                <w:color w:val="auto"/>
                <w:highlight w:val="none"/>
              </w:rPr>
            </w:pPr>
            <w:r>
              <w:rPr>
                <w:rFonts w:hint="eastAsia" w:ascii="宋体" w:hAnsi="宋体" w:cs="宋体"/>
                <w:color w:val="auto"/>
                <w:highlight w:val="none"/>
              </w:rPr>
              <w:t>要求</w:t>
            </w:r>
          </w:p>
        </w:tc>
        <w:tc>
          <w:tcPr>
            <w:tcW w:w="3915" w:type="dxa"/>
            <w:gridSpan w:val="2"/>
            <w:vAlign w:val="center"/>
          </w:tcPr>
          <w:p>
            <w:pPr>
              <w:spacing w:line="240" w:lineRule="auto"/>
              <w:ind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无</w:t>
            </w:r>
          </w:p>
        </w:tc>
        <w:tc>
          <w:tcPr>
            <w:tcW w:w="4862" w:type="dxa"/>
            <w:vAlign w:val="center"/>
          </w:tcPr>
          <w:p>
            <w:pPr>
              <w:spacing w:line="240" w:lineRule="auto"/>
              <w:ind w:firstLine="0" w:firstLineChars="0"/>
              <w:rPr>
                <w:rFonts w:hint="default" w:ascii="宋体" w:hAnsi="宋体" w:eastAsia="宋体"/>
                <w:color w:val="auto"/>
                <w:highlight w:val="none"/>
                <w:lang w:val="en-US" w:eastAsia="zh-CN"/>
              </w:rPr>
            </w:pPr>
            <w:r>
              <w:rPr>
                <w:rFonts w:hint="eastAsia" w:ascii="宋体" w:hAnsi="宋体" w:cs="宋体"/>
                <w:color w:val="auto"/>
                <w:kern w:val="0"/>
                <w:sz w:val="24"/>
                <w:szCs w:val="24"/>
                <w:highlight w:val="none"/>
                <w:lang w:val="en-US" w:eastAsia="zh-CN"/>
              </w:rPr>
              <w:t>无</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政府采购法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ind w:left="-80" w:leftChars="0" w:firstLine="482" w:firstLineChars="0"/>
        <w:rPr>
          <w:rFonts w:cs="宋体"/>
          <w:color w:val="auto"/>
          <w:szCs w:val="24"/>
          <w:highlight w:val="none"/>
        </w:rPr>
      </w:pPr>
      <w:r>
        <w:rPr>
          <w:rFonts w:hint="eastAsia" w:cs="宋体"/>
          <w:color w:val="auto"/>
          <w:szCs w:val="24"/>
          <w:highlight w:val="none"/>
        </w:rPr>
        <w:t>磋商</w:t>
      </w:r>
    </w:p>
    <w:p>
      <w:pPr>
        <w:pStyle w:val="5"/>
        <w:keepNext w:val="0"/>
        <w:keepLines w:val="0"/>
        <w:numPr>
          <w:ilvl w:val="0"/>
          <w:numId w:val="30"/>
        </w:numPr>
        <w:tabs>
          <w:tab w:val="left" w:pos="426"/>
          <w:tab w:val="left" w:pos="567"/>
        </w:tabs>
        <w:outlineLvl w:val="2"/>
        <w:rPr>
          <w:b w:val="0"/>
          <w:color w:val="auto"/>
          <w:sz w:val="24"/>
          <w:szCs w:val="24"/>
          <w:highlight w:val="none"/>
        </w:rPr>
      </w:pPr>
      <w:bookmarkStart w:id="58" w:name="_Toc234"/>
      <w:bookmarkStart w:id="59" w:name="_Toc21637"/>
      <w:bookmarkStart w:id="60" w:name="_Toc13463"/>
      <w:bookmarkStart w:id="61" w:name="_Toc7480"/>
      <w:bookmarkStart w:id="62" w:name="_Toc19824"/>
      <w:bookmarkStart w:id="63" w:name="_Toc5957"/>
      <w:bookmarkStart w:id="64" w:name="_Toc43566521"/>
      <w:bookmarkStart w:id="65" w:name="_Toc11240"/>
      <w:bookmarkStart w:id="66" w:name="_Toc9096"/>
      <w:bookmarkStart w:id="67" w:name="_Toc28211"/>
      <w:bookmarkStart w:id="68" w:name="_Toc18863"/>
      <w:bookmarkStart w:id="69" w:name="_Toc26653"/>
      <w:bookmarkStart w:id="70" w:name="_Toc12921"/>
      <w:bookmarkStart w:id="71" w:name="_Toc6686"/>
      <w:bookmarkStart w:id="72" w:name="_Toc25820"/>
      <w:bookmarkStart w:id="73" w:name="_Toc1823"/>
      <w:bookmarkStart w:id="74" w:name="_Toc30664"/>
      <w:bookmarkStart w:id="75" w:name="_Toc18778"/>
      <w:bookmarkStart w:id="76" w:name="_Toc1186"/>
      <w:bookmarkStart w:id="77" w:name="_Toc5653"/>
      <w:bookmarkStart w:id="78" w:name="_Toc16430"/>
      <w:bookmarkStart w:id="79" w:name="_Toc24322"/>
      <w:bookmarkStart w:id="80" w:name="_Toc177"/>
      <w:bookmarkStart w:id="81" w:name="_Toc12948"/>
      <w:bookmarkStart w:id="82" w:name="_Toc8445"/>
      <w:bookmarkStart w:id="83" w:name="_Toc28961"/>
      <w:bookmarkStart w:id="84" w:name="_Toc30871"/>
      <w:bookmarkStart w:id="85" w:name="_Toc20686"/>
      <w:bookmarkStart w:id="86" w:name="_Toc24086"/>
      <w:bookmarkStart w:id="87" w:name="_Toc23472"/>
      <w:bookmarkStart w:id="88" w:name="_Toc28704"/>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5"/>
        <w:keepNext w:val="0"/>
        <w:keepLines w:val="0"/>
        <w:numPr>
          <w:ilvl w:val="0"/>
          <w:numId w:val="30"/>
        </w:numPr>
        <w:tabs>
          <w:tab w:val="left" w:pos="426"/>
          <w:tab w:val="left" w:pos="567"/>
        </w:tabs>
        <w:outlineLvl w:val="2"/>
        <w:rPr>
          <w:b w:val="0"/>
          <w:color w:val="auto"/>
          <w:sz w:val="24"/>
          <w:szCs w:val="24"/>
          <w:highlight w:val="none"/>
        </w:rPr>
      </w:pPr>
      <w:bookmarkStart w:id="89" w:name="_Toc20275"/>
      <w:bookmarkStart w:id="90" w:name="_Toc24798"/>
      <w:bookmarkStart w:id="91" w:name="_Toc16346"/>
      <w:bookmarkStart w:id="92" w:name="_Toc13414"/>
      <w:bookmarkStart w:id="93" w:name="_Toc14958"/>
      <w:bookmarkStart w:id="94" w:name="_Toc1058"/>
      <w:bookmarkStart w:id="95" w:name="_Toc22424"/>
      <w:bookmarkStart w:id="96" w:name="_Toc16950"/>
      <w:bookmarkStart w:id="97" w:name="_Toc11203"/>
      <w:bookmarkStart w:id="98" w:name="_Toc29643"/>
      <w:bookmarkStart w:id="99" w:name="_Toc10664"/>
      <w:bookmarkStart w:id="100" w:name="_Toc21274"/>
      <w:bookmarkStart w:id="101" w:name="_Toc12027"/>
      <w:bookmarkStart w:id="102" w:name="_Toc19239"/>
      <w:bookmarkStart w:id="103" w:name="_Toc5547"/>
      <w:bookmarkStart w:id="104" w:name="_Toc14644"/>
      <w:bookmarkStart w:id="105" w:name="_Toc17010"/>
      <w:bookmarkStart w:id="106" w:name="_Toc5725"/>
      <w:bookmarkStart w:id="107" w:name="_Toc13670"/>
      <w:bookmarkStart w:id="108" w:name="_Toc16300"/>
      <w:bookmarkStart w:id="109" w:name="_Toc28752"/>
      <w:bookmarkStart w:id="110" w:name="_Toc19501"/>
      <w:bookmarkStart w:id="111" w:name="_Toc43566522"/>
      <w:bookmarkStart w:id="112" w:name="_Toc28551"/>
      <w:bookmarkStart w:id="113" w:name="_Toc8363"/>
      <w:bookmarkStart w:id="114" w:name="_Toc7100"/>
      <w:bookmarkStart w:id="115" w:name="_Toc3073"/>
      <w:bookmarkStart w:id="116" w:name="_Toc7651"/>
      <w:bookmarkStart w:id="117" w:name="_Toc5759"/>
      <w:bookmarkStart w:id="118" w:name="_Toc18309"/>
      <w:bookmarkStart w:id="119" w:name="_Toc26144"/>
      <w:r>
        <w:rPr>
          <w:rFonts w:hint="eastAsia"/>
          <w:b w:val="0"/>
          <w:color w:val="auto"/>
          <w:sz w:val="24"/>
          <w:szCs w:val="24"/>
          <w:highlight w:val="none"/>
        </w:rPr>
        <w:t>每轮磋商开始前，磋商小组应根据磋商文件的规定，并结合各供应商的响应文件拟定磋商内容。</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5"/>
        <w:keepNext w:val="0"/>
        <w:keepLines w:val="0"/>
        <w:numPr>
          <w:ilvl w:val="0"/>
          <w:numId w:val="30"/>
        </w:numPr>
        <w:tabs>
          <w:tab w:val="left" w:pos="426"/>
          <w:tab w:val="left" w:pos="567"/>
        </w:tabs>
        <w:outlineLvl w:val="2"/>
        <w:rPr>
          <w:b w:val="0"/>
          <w:color w:val="auto"/>
          <w:sz w:val="24"/>
          <w:szCs w:val="24"/>
          <w:highlight w:val="none"/>
        </w:rPr>
      </w:pPr>
      <w:bookmarkStart w:id="120" w:name="_Toc17631"/>
      <w:bookmarkStart w:id="121" w:name="_Toc2076"/>
      <w:bookmarkStart w:id="122" w:name="_Toc12563"/>
      <w:bookmarkStart w:id="123" w:name="_Toc15259"/>
      <w:bookmarkStart w:id="124" w:name="_Toc9387"/>
      <w:bookmarkStart w:id="125" w:name="_Toc7002"/>
      <w:bookmarkStart w:id="126" w:name="_Toc22981"/>
      <w:bookmarkStart w:id="127" w:name="_Toc14027"/>
      <w:bookmarkStart w:id="128" w:name="_Toc5655"/>
      <w:bookmarkStart w:id="129" w:name="_Toc32131"/>
      <w:bookmarkStart w:id="130" w:name="_Toc12103"/>
      <w:bookmarkStart w:id="131" w:name="_Toc30727"/>
      <w:bookmarkStart w:id="132" w:name="_Toc31513"/>
      <w:bookmarkStart w:id="133" w:name="_Toc1260"/>
      <w:bookmarkStart w:id="134" w:name="_Toc1822"/>
      <w:bookmarkStart w:id="135" w:name="_Toc29139"/>
      <w:bookmarkStart w:id="136" w:name="_Toc18130"/>
      <w:bookmarkStart w:id="137" w:name="_Toc26003"/>
      <w:bookmarkStart w:id="138" w:name="_Toc7955"/>
      <w:bookmarkStart w:id="139" w:name="_Toc43566523"/>
      <w:bookmarkStart w:id="140" w:name="_Toc1515"/>
      <w:bookmarkStart w:id="141" w:name="_Toc31379"/>
      <w:bookmarkStart w:id="142" w:name="_Toc28031"/>
      <w:bookmarkStart w:id="143" w:name="_Toc8711"/>
      <w:bookmarkStart w:id="144" w:name="_Toc11261"/>
      <w:bookmarkStart w:id="145" w:name="_Toc24429"/>
      <w:bookmarkStart w:id="146" w:name="_Toc3854"/>
      <w:bookmarkStart w:id="147" w:name="_Toc14318"/>
      <w:bookmarkStart w:id="148" w:name="_Toc3093"/>
      <w:bookmarkStart w:id="149" w:name="_Toc12444"/>
      <w:bookmarkStart w:id="150" w:name="_Toc3129"/>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5"/>
        <w:keepNext w:val="0"/>
        <w:keepLines w:val="0"/>
        <w:numPr>
          <w:ilvl w:val="0"/>
          <w:numId w:val="30"/>
        </w:numPr>
        <w:tabs>
          <w:tab w:val="left" w:pos="426"/>
          <w:tab w:val="left" w:pos="567"/>
        </w:tabs>
        <w:outlineLvl w:val="2"/>
        <w:rPr>
          <w:b w:val="0"/>
          <w:color w:val="auto"/>
          <w:sz w:val="24"/>
          <w:szCs w:val="24"/>
          <w:highlight w:val="none"/>
        </w:rPr>
      </w:pPr>
      <w:bookmarkStart w:id="151" w:name="_Toc20981"/>
      <w:bookmarkStart w:id="152" w:name="_Toc22086"/>
      <w:bookmarkStart w:id="153" w:name="_Toc25538"/>
      <w:bookmarkStart w:id="154" w:name="_Toc23592"/>
      <w:bookmarkStart w:id="155" w:name="_Toc12380"/>
      <w:bookmarkStart w:id="156" w:name="_Toc30040"/>
      <w:bookmarkStart w:id="157" w:name="_Toc24161"/>
      <w:bookmarkStart w:id="158" w:name="_Toc14624"/>
      <w:bookmarkStart w:id="159" w:name="_Toc2802"/>
      <w:bookmarkStart w:id="160" w:name="_Toc15411"/>
      <w:bookmarkStart w:id="161" w:name="_Toc26943"/>
      <w:bookmarkStart w:id="162" w:name="_Toc5170"/>
      <w:bookmarkStart w:id="163" w:name="_Toc23382"/>
      <w:bookmarkStart w:id="164" w:name="_Toc17886"/>
      <w:bookmarkStart w:id="165" w:name="_Toc19446"/>
      <w:bookmarkStart w:id="166" w:name="_Toc15406"/>
      <w:bookmarkStart w:id="167" w:name="_Toc18133"/>
      <w:bookmarkStart w:id="168" w:name="_Toc15692"/>
      <w:bookmarkStart w:id="169" w:name="_Toc12026"/>
      <w:bookmarkStart w:id="170" w:name="_Toc30395"/>
      <w:bookmarkStart w:id="171" w:name="_Toc20165"/>
      <w:bookmarkStart w:id="172" w:name="_Toc20322"/>
      <w:bookmarkStart w:id="173" w:name="_Toc1947"/>
      <w:bookmarkStart w:id="174" w:name="_Toc5480"/>
      <w:bookmarkStart w:id="175" w:name="_Toc15891"/>
      <w:bookmarkStart w:id="176" w:name="_Toc217"/>
      <w:bookmarkStart w:id="177" w:name="_Toc23880"/>
      <w:bookmarkStart w:id="178" w:name="_Toc43566524"/>
      <w:bookmarkStart w:id="179" w:name="_Toc23230"/>
      <w:bookmarkStart w:id="180" w:name="_Toc9861"/>
      <w:bookmarkStart w:id="181" w:name="_Toc20339"/>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5"/>
        <w:keepNext w:val="0"/>
        <w:keepLines w:val="0"/>
        <w:numPr>
          <w:ilvl w:val="0"/>
          <w:numId w:val="30"/>
        </w:numPr>
        <w:tabs>
          <w:tab w:val="left" w:pos="426"/>
          <w:tab w:val="left" w:pos="567"/>
        </w:tabs>
        <w:outlineLvl w:val="2"/>
        <w:rPr>
          <w:b w:val="0"/>
          <w:color w:val="auto"/>
          <w:sz w:val="24"/>
          <w:szCs w:val="24"/>
          <w:highlight w:val="none"/>
        </w:rPr>
      </w:pPr>
      <w:bookmarkStart w:id="182" w:name="_Toc7936"/>
      <w:bookmarkStart w:id="183" w:name="_Toc15620"/>
      <w:bookmarkStart w:id="184" w:name="_Toc18549"/>
      <w:bookmarkStart w:id="185" w:name="_Toc7401"/>
      <w:bookmarkStart w:id="186" w:name="_Toc7148"/>
      <w:bookmarkStart w:id="187" w:name="_Toc17566"/>
      <w:bookmarkStart w:id="188" w:name="_Toc18974"/>
      <w:bookmarkStart w:id="189" w:name="_Toc26817"/>
      <w:bookmarkStart w:id="190" w:name="_Toc25838"/>
      <w:bookmarkStart w:id="191" w:name="_Toc15795"/>
      <w:bookmarkStart w:id="192" w:name="_Toc7430"/>
      <w:bookmarkStart w:id="193" w:name="_Toc12219"/>
      <w:bookmarkStart w:id="194" w:name="_Toc31776"/>
      <w:bookmarkStart w:id="195" w:name="_Toc19144"/>
      <w:bookmarkStart w:id="196" w:name="_Toc19631"/>
      <w:bookmarkStart w:id="197" w:name="_Toc43566525"/>
      <w:bookmarkStart w:id="198" w:name="_Toc31030"/>
      <w:bookmarkStart w:id="199" w:name="_Toc6250"/>
      <w:bookmarkStart w:id="200" w:name="_Toc11224"/>
      <w:bookmarkStart w:id="201" w:name="_Toc25226"/>
      <w:bookmarkStart w:id="202" w:name="_Toc20410"/>
      <w:bookmarkStart w:id="203" w:name="_Toc23403"/>
      <w:bookmarkStart w:id="204" w:name="_Toc5435"/>
      <w:bookmarkStart w:id="205" w:name="_Toc2784"/>
      <w:bookmarkStart w:id="206" w:name="_Toc16727"/>
      <w:bookmarkStart w:id="207" w:name="_Toc18506"/>
      <w:bookmarkStart w:id="208" w:name="_Toc22606"/>
      <w:bookmarkStart w:id="209" w:name="_Toc22337"/>
      <w:bookmarkStart w:id="210" w:name="_Toc29518"/>
      <w:bookmarkStart w:id="211" w:name="_Toc13764"/>
      <w:bookmarkStart w:id="212" w:name="_Toc29632"/>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Style w:val="5"/>
        <w:keepNext w:val="0"/>
        <w:keepLines w:val="0"/>
        <w:numPr>
          <w:ilvl w:val="0"/>
          <w:numId w:val="30"/>
        </w:numPr>
        <w:tabs>
          <w:tab w:val="left" w:pos="426"/>
          <w:tab w:val="left" w:pos="567"/>
        </w:tabs>
        <w:outlineLvl w:val="2"/>
        <w:rPr>
          <w:b w:val="0"/>
          <w:color w:val="auto"/>
          <w:sz w:val="24"/>
          <w:szCs w:val="24"/>
          <w:highlight w:val="none"/>
        </w:rPr>
      </w:pPr>
      <w:bookmarkStart w:id="213" w:name="_Toc13223"/>
      <w:bookmarkStart w:id="214" w:name="_Toc685"/>
      <w:bookmarkStart w:id="215" w:name="_Toc30181"/>
      <w:bookmarkStart w:id="216" w:name="_Toc43566526"/>
      <w:bookmarkStart w:id="217" w:name="_Toc6692"/>
      <w:bookmarkStart w:id="218" w:name="_Toc3023"/>
      <w:bookmarkStart w:id="219" w:name="_Toc15180"/>
      <w:bookmarkStart w:id="220" w:name="_Toc32216"/>
      <w:bookmarkStart w:id="221" w:name="_Toc4052"/>
      <w:bookmarkStart w:id="222" w:name="_Toc14295"/>
      <w:bookmarkStart w:id="223" w:name="_Toc28606"/>
      <w:bookmarkStart w:id="224" w:name="_Toc4947"/>
      <w:bookmarkStart w:id="225" w:name="_Toc18387"/>
      <w:bookmarkStart w:id="226" w:name="_Toc10100"/>
      <w:bookmarkStart w:id="227" w:name="_Toc27402"/>
      <w:bookmarkStart w:id="228" w:name="_Toc7797"/>
      <w:bookmarkStart w:id="229" w:name="_Toc9008"/>
      <w:bookmarkStart w:id="230" w:name="_Toc4343"/>
      <w:bookmarkStart w:id="231" w:name="_Toc11494"/>
      <w:bookmarkStart w:id="232" w:name="_Toc22757"/>
      <w:bookmarkStart w:id="233" w:name="_Toc4895"/>
      <w:bookmarkStart w:id="234" w:name="_Toc5575"/>
      <w:bookmarkStart w:id="235" w:name="_Toc6346"/>
      <w:bookmarkStart w:id="236" w:name="_Toc961"/>
      <w:bookmarkStart w:id="237" w:name="_Toc1180"/>
      <w:bookmarkStart w:id="238" w:name="_Toc12081"/>
      <w:bookmarkStart w:id="239" w:name="_Toc11758"/>
      <w:bookmarkStart w:id="240" w:name="_Toc14008"/>
      <w:bookmarkStart w:id="241" w:name="_Toc26127"/>
      <w:bookmarkStart w:id="242" w:name="_Toc25847"/>
      <w:bookmarkStart w:id="243" w:name="_Toc7926"/>
      <w:r>
        <w:rPr>
          <w:rFonts w:hint="eastAsia"/>
          <w:b w:val="0"/>
          <w:color w:val="auto"/>
          <w:sz w:val="24"/>
          <w:szCs w:val="24"/>
          <w:highlight w:val="none"/>
        </w:rPr>
        <w:t>磋商过程中，磋商的任何一方不得透露与磋商有关的其他供应商的技术资料、价格和其他信息。</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5"/>
        <w:keepNext w:val="0"/>
        <w:keepLines w:val="0"/>
        <w:numPr>
          <w:ilvl w:val="0"/>
          <w:numId w:val="30"/>
        </w:numPr>
        <w:tabs>
          <w:tab w:val="left" w:pos="426"/>
          <w:tab w:val="left" w:pos="567"/>
        </w:tabs>
        <w:outlineLvl w:val="2"/>
        <w:rPr>
          <w:b w:val="0"/>
          <w:color w:val="auto"/>
          <w:sz w:val="24"/>
          <w:szCs w:val="24"/>
          <w:highlight w:val="none"/>
        </w:rPr>
      </w:pPr>
      <w:bookmarkStart w:id="244" w:name="_Toc23573"/>
      <w:bookmarkStart w:id="245" w:name="_Toc25172"/>
      <w:bookmarkStart w:id="246" w:name="_Toc31972"/>
      <w:bookmarkStart w:id="247" w:name="_Toc9842"/>
      <w:bookmarkStart w:id="248" w:name="_Toc9766"/>
      <w:bookmarkStart w:id="249" w:name="_Toc7697"/>
      <w:bookmarkStart w:id="250" w:name="_Toc4662"/>
      <w:bookmarkStart w:id="251" w:name="_Toc8490"/>
      <w:bookmarkStart w:id="252" w:name="_Toc30938"/>
      <w:bookmarkStart w:id="253" w:name="_Toc19525"/>
      <w:bookmarkStart w:id="254" w:name="_Toc4331"/>
      <w:bookmarkStart w:id="255" w:name="_Toc6585"/>
      <w:bookmarkStart w:id="256" w:name="_Toc9431"/>
      <w:bookmarkStart w:id="257" w:name="_Toc16194"/>
      <w:bookmarkStart w:id="258" w:name="_Toc10212"/>
      <w:bookmarkStart w:id="259" w:name="_Toc18334"/>
      <w:bookmarkStart w:id="260" w:name="_Toc30367"/>
      <w:bookmarkStart w:id="261" w:name="_Toc3164"/>
      <w:bookmarkStart w:id="262" w:name="_Toc30506"/>
      <w:bookmarkStart w:id="263" w:name="_Toc43566527"/>
      <w:bookmarkStart w:id="264" w:name="_Toc20680"/>
      <w:bookmarkStart w:id="265" w:name="_Toc22105"/>
      <w:bookmarkStart w:id="266" w:name="_Toc1340"/>
      <w:bookmarkStart w:id="267" w:name="_Toc26261"/>
      <w:bookmarkStart w:id="268" w:name="_Toc15744"/>
      <w:bookmarkStart w:id="269" w:name="_Toc20292"/>
      <w:bookmarkStart w:id="270" w:name="_Toc5251"/>
      <w:bookmarkStart w:id="271" w:name="_Toc30011"/>
      <w:bookmarkStart w:id="272" w:name="_Toc31442"/>
      <w:bookmarkStart w:id="273" w:name="_Toc4159"/>
      <w:bookmarkStart w:id="274" w:name="_Toc3944"/>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numPr>
          <w:ilvl w:val="0"/>
          <w:numId w:val="30"/>
        </w:numPr>
        <w:spacing w:line="360" w:lineRule="auto"/>
        <w:outlineLvl w:val="2"/>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ind w:left="-80" w:leftChars="0" w:firstLine="482" w:firstLineChars="0"/>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5"/>
        <w:ind w:left="-80" w:leftChars="0" w:firstLine="482" w:firstLineChars="0"/>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w:t>
      </w:r>
      <w:r>
        <w:rPr>
          <w:rFonts w:hint="eastAsia" w:ascii="宋体" w:hAnsi="宋体" w:cs="宋体"/>
          <w:color w:val="auto"/>
          <w:highlight w:val="none"/>
          <w:lang w:eastAsia="zh-CN"/>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w:t>
      </w:r>
      <w:r>
        <w:rPr>
          <w:rFonts w:hint="eastAsia" w:ascii="宋体" w:hAnsi="宋体" w:cs="宋体"/>
          <w:color w:val="auto"/>
          <w:highlight w:val="none"/>
          <w:lang w:eastAsia="zh-CN"/>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w:t>
      </w:r>
      <w:r>
        <w:rPr>
          <w:rFonts w:hint="eastAsia" w:ascii="宋体" w:hAnsi="宋体" w:cs="宋体"/>
          <w:color w:val="auto"/>
          <w:highlight w:val="none"/>
          <w:lang w:eastAsia="zh-CN"/>
        </w:rPr>
        <w:t>〔2015〕</w:t>
      </w:r>
      <w:r>
        <w:rPr>
          <w:rFonts w:hint="eastAsia" w:ascii="宋体" w:hAnsi="宋体" w:cs="宋体"/>
          <w:color w:val="auto"/>
          <w:highlight w:val="none"/>
        </w:rPr>
        <w:t>124号文要求的除外)。</w:t>
      </w:r>
    </w:p>
    <w:p>
      <w:pPr>
        <w:pStyle w:val="5"/>
        <w:ind w:left="-80" w:leftChars="0" w:firstLine="482" w:firstLineChars="0"/>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4"/>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widowControl w:val="0"/>
        <w:numPr>
          <w:ilvl w:val="0"/>
          <w:numId w:val="31"/>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评分标准</w:t>
      </w:r>
    </w:p>
    <w:tbl>
      <w:tblPr>
        <w:tblStyle w:val="44"/>
        <w:tblpPr w:leftFromText="180" w:rightFromText="180" w:vertAnchor="text" w:horzAnchor="page" w:tblpX="1259" w:tblpY="450"/>
        <w:tblOverlap w:val="never"/>
        <w:tblW w:w="98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170"/>
        <w:gridCol w:w="6960"/>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960" w:type="dxa"/>
            <w:noWrap w:val="0"/>
            <w:tcMar>
              <w:top w:w="0" w:type="dxa"/>
              <w:left w:w="80" w:type="dxa"/>
              <w:bottom w:w="0" w:type="dxa"/>
              <w:right w:w="0" w:type="dxa"/>
            </w:tcMar>
            <w:vAlign w:val="top"/>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经评审的最低有效</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作为评审基准价；</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报价得分=(评审基准价／</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技术类评委</w:t>
            </w: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要求</w:t>
            </w:r>
          </w:p>
        </w:tc>
        <w:tc>
          <w:tcPr>
            <w:tcW w:w="696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left="24" w:leftChars="10" w:right="24" w:rightChars="1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完全符合</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要求没有负偏离得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分；低于</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要求的（负偏离），一项扣分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以服务、商务偏离表为准。</w:t>
            </w:r>
            <w:r>
              <w:rPr>
                <w:rFonts w:hint="eastAsia" w:ascii="宋体" w:hAnsi="宋体" w:eastAsia="宋体" w:cs="宋体"/>
                <w:color w:val="auto"/>
                <w:sz w:val="24"/>
                <w:szCs w:val="24"/>
                <w:highlight w:val="none"/>
                <w:lang w:eastAsia="zh-CN"/>
              </w:rPr>
              <w:t>）</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5"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vMerge w:val="restart"/>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提供完整的组织架构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至少包含</w:t>
            </w:r>
            <w:r>
              <w:rPr>
                <w:rFonts w:hint="default"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针对本项目的组织架构</w:t>
            </w:r>
            <w:r>
              <w:rPr>
                <w:rFonts w:hint="default" w:ascii="宋体" w:hAnsi="宋体" w:eastAsia="宋体" w:cs="宋体"/>
                <w:color w:val="auto"/>
                <w:sz w:val="24"/>
                <w:szCs w:val="24"/>
                <w:highlight w:val="none"/>
              </w:rPr>
              <w:t>②</w:t>
            </w:r>
            <w:r>
              <w:rPr>
                <w:rFonts w:hint="eastAsia" w:ascii="宋体" w:hAnsi="宋体" w:eastAsia="宋体" w:cs="宋体"/>
                <w:color w:val="auto"/>
                <w:sz w:val="24"/>
                <w:szCs w:val="24"/>
                <w:highlight w:val="none"/>
              </w:rPr>
              <w:t>明确针对本项目的人员岗位设置、职责分工、从业经验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方案齐全且符合要求的，得</w:t>
            </w:r>
            <w:r>
              <w:rPr>
                <w:rFonts w:hint="eastAsia" w:ascii="宋体" w:hAnsi="宋体" w:eastAsia="宋体" w:cs="宋体"/>
                <w:color w:val="auto"/>
                <w:sz w:val="24"/>
                <w:szCs w:val="24"/>
                <w:highlight w:val="none"/>
              </w:rPr>
              <w:t>6分，每有一项缺项</w:t>
            </w:r>
            <w:r>
              <w:rPr>
                <w:rFonts w:hint="eastAsia" w:ascii="宋体" w:hAnsi="宋体" w:eastAsia="宋体" w:cs="宋体"/>
                <w:color w:val="auto"/>
                <w:sz w:val="24"/>
                <w:szCs w:val="24"/>
                <w:highlight w:val="none"/>
                <w:lang w:val="en-US" w:eastAsia="zh-CN"/>
              </w:rPr>
              <w:t>扣3分，每有一处描述简陋或不符合本项目实际情况</w:t>
            </w:r>
            <w:r>
              <w:rPr>
                <w:rFonts w:hint="eastAsia" w:ascii="宋体" w:hAnsi="宋体" w:eastAsia="宋体" w:cs="宋体"/>
                <w:color w:val="auto"/>
                <w:sz w:val="24"/>
                <w:szCs w:val="24"/>
                <w:highlight w:val="none"/>
              </w:rPr>
              <w:t>的扣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提供完整的需求分析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至少包含</w:t>
            </w:r>
            <w:r>
              <w:rPr>
                <w:rFonts w:hint="default" w:ascii="宋体" w:hAnsi="宋体" w:eastAsia="宋体" w:cs="宋体"/>
                <w:color w:val="auto"/>
                <w:sz w:val="24"/>
                <w:szCs w:val="24"/>
                <w:highlight w:val="none"/>
              </w:rPr>
              <w:t>①</w:t>
            </w:r>
            <w:r>
              <w:rPr>
                <w:rFonts w:hint="eastAsia" w:ascii="宋体" w:hAnsi="宋体" w:eastAsia="宋体" w:cs="宋体"/>
                <w:color w:val="auto"/>
                <w:sz w:val="24"/>
                <w:szCs w:val="24"/>
                <w:highlight w:val="none"/>
              </w:rPr>
              <w:t>对本项目的需求认识(包含本项目的项目背景、项目目标的描述、对双流区交响乐团培训的理解认识以及双流区现有满足交响乐团要求的少年、儿童现状且需符合本项目实际情况)；</w:t>
            </w:r>
            <w:r>
              <w:rPr>
                <w:rFonts w:hint="default" w:ascii="宋体" w:hAnsi="宋体" w:eastAsia="宋体" w:cs="宋体"/>
                <w:color w:val="auto"/>
                <w:sz w:val="24"/>
                <w:szCs w:val="24"/>
                <w:highlight w:val="none"/>
              </w:rPr>
              <w:t>②</w:t>
            </w:r>
            <w:r>
              <w:rPr>
                <w:rFonts w:hint="eastAsia" w:ascii="宋体" w:hAnsi="宋体" w:eastAsia="宋体" w:cs="宋体"/>
                <w:color w:val="auto"/>
                <w:sz w:val="24"/>
                <w:szCs w:val="24"/>
                <w:highlight w:val="none"/>
              </w:rPr>
              <w:t>针对本项目各项服务的难点及解决方案：针对本项目的服务要求逐条分析</w:t>
            </w:r>
            <w:r>
              <w:rPr>
                <w:rFonts w:hint="eastAsia" w:ascii="宋体" w:hAnsi="宋体" w:eastAsia="宋体" w:cs="宋体"/>
                <w:color w:val="auto"/>
                <w:sz w:val="24"/>
                <w:szCs w:val="24"/>
                <w:highlight w:val="none"/>
                <w:lang w:val="en-US" w:eastAsia="zh-CN"/>
              </w:rPr>
              <w:t>，方案齐全且符合要求的，得</w:t>
            </w:r>
            <w:r>
              <w:rPr>
                <w:rFonts w:hint="eastAsia" w:ascii="宋体" w:hAnsi="宋体" w:eastAsia="宋体" w:cs="宋体"/>
                <w:color w:val="auto"/>
                <w:sz w:val="24"/>
                <w:szCs w:val="24"/>
                <w:highlight w:val="none"/>
              </w:rPr>
              <w:t>6分，每有一项缺项</w:t>
            </w:r>
            <w:r>
              <w:rPr>
                <w:rFonts w:hint="eastAsia" w:ascii="宋体" w:hAnsi="宋体" w:eastAsia="宋体" w:cs="宋体"/>
                <w:color w:val="auto"/>
                <w:sz w:val="24"/>
                <w:szCs w:val="24"/>
                <w:highlight w:val="none"/>
                <w:lang w:val="en-US" w:eastAsia="zh-CN"/>
              </w:rPr>
              <w:t>扣3分，每有一处描述简陋或不符合本项目实际情况</w:t>
            </w:r>
            <w:r>
              <w:rPr>
                <w:rFonts w:hint="eastAsia" w:ascii="宋体" w:hAnsi="宋体" w:eastAsia="宋体" w:cs="宋体"/>
                <w:color w:val="auto"/>
                <w:sz w:val="24"/>
                <w:szCs w:val="24"/>
                <w:highlight w:val="none"/>
              </w:rPr>
              <w:t>的扣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提供完整的服务方案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至少包含</w:t>
            </w:r>
            <w:r>
              <w:rPr>
                <w:rFonts w:hint="default" w:ascii="宋体" w:hAnsi="宋体" w:eastAsia="宋体" w:cs="宋体"/>
                <w:color w:val="auto"/>
                <w:sz w:val="24"/>
                <w:szCs w:val="24"/>
                <w:highlight w:val="none"/>
              </w:rPr>
              <w:t>①</w:t>
            </w:r>
            <w:r>
              <w:rPr>
                <w:rFonts w:hint="eastAsia" w:ascii="宋体" w:hAnsi="宋体" w:eastAsia="宋体" w:cs="宋体"/>
                <w:color w:val="auto"/>
                <w:sz w:val="24"/>
                <w:szCs w:val="24"/>
                <w:highlight w:val="none"/>
              </w:rPr>
              <w:t>针对乐团的培训方案（包含乐团的训练方案、培训大纲以及在项目实施过程中根据调查表反馈意见以及绩效评价的情况改进培训的措施）</w:t>
            </w:r>
            <w:r>
              <w:rPr>
                <w:rFonts w:hint="default" w:ascii="宋体" w:hAnsi="宋体" w:eastAsia="宋体" w:cs="宋体"/>
                <w:color w:val="auto"/>
                <w:sz w:val="24"/>
                <w:szCs w:val="24"/>
                <w:highlight w:val="none"/>
              </w:rPr>
              <w:t>②</w:t>
            </w:r>
            <w:r>
              <w:rPr>
                <w:rFonts w:hint="eastAsia" w:ascii="宋体" w:hAnsi="宋体" w:eastAsia="宋体" w:cs="宋体"/>
                <w:color w:val="auto"/>
                <w:sz w:val="24"/>
                <w:szCs w:val="24"/>
                <w:highlight w:val="none"/>
              </w:rPr>
              <w:t>乐团的管理方案（包含考勤制度以及退团相关制度）</w:t>
            </w: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演出（展演、交流）服务方案（包含：演出的规模、方式以及次数）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方案齐全且符合要求的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分，每有一项缺项</w:t>
            </w:r>
            <w:r>
              <w:rPr>
                <w:rFonts w:hint="eastAsia" w:ascii="宋体" w:hAnsi="宋体" w:eastAsia="宋体" w:cs="宋体"/>
                <w:color w:val="auto"/>
                <w:sz w:val="24"/>
                <w:szCs w:val="24"/>
                <w:highlight w:val="none"/>
                <w:lang w:val="en-US" w:eastAsia="zh-CN"/>
              </w:rPr>
              <w:t>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分，每有一处描述简陋或不符合本项目实际情况</w:t>
            </w:r>
            <w:r>
              <w:rPr>
                <w:rFonts w:hint="eastAsia" w:ascii="宋体" w:hAnsi="宋体" w:eastAsia="宋体" w:cs="宋体"/>
                <w:color w:val="auto"/>
                <w:sz w:val="24"/>
                <w:szCs w:val="24"/>
                <w:highlight w:val="none"/>
              </w:rPr>
              <w:t>的扣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分，扣完为止。</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提供完整的质量保障方案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至少包含</w:t>
            </w:r>
            <w:r>
              <w:rPr>
                <w:rFonts w:hint="default" w:ascii="宋体" w:hAnsi="宋体" w:eastAsia="宋体" w:cs="宋体"/>
                <w:color w:val="auto"/>
                <w:sz w:val="24"/>
                <w:szCs w:val="24"/>
                <w:highlight w:val="none"/>
              </w:rPr>
              <w:t>①</w:t>
            </w:r>
            <w:r>
              <w:rPr>
                <w:rFonts w:hint="eastAsia" w:ascii="宋体" w:hAnsi="宋体" w:eastAsia="宋体" w:cs="宋体"/>
                <w:color w:val="auto"/>
                <w:sz w:val="24"/>
                <w:szCs w:val="24"/>
                <w:highlight w:val="none"/>
              </w:rPr>
              <w:t>质量保障责任制度：供应商根据本项目的服务需求制定详细的质量保障责任制度</w:t>
            </w:r>
            <w:r>
              <w:rPr>
                <w:rFonts w:hint="default" w:ascii="宋体" w:hAnsi="宋体" w:eastAsia="宋体" w:cs="宋体"/>
                <w:color w:val="auto"/>
                <w:sz w:val="24"/>
                <w:szCs w:val="24"/>
                <w:highlight w:val="none"/>
              </w:rPr>
              <w:t>②</w:t>
            </w:r>
            <w:r>
              <w:rPr>
                <w:rFonts w:hint="eastAsia" w:ascii="宋体" w:hAnsi="宋体" w:eastAsia="宋体" w:cs="宋体"/>
                <w:color w:val="auto"/>
                <w:sz w:val="24"/>
                <w:szCs w:val="24"/>
                <w:highlight w:val="none"/>
              </w:rPr>
              <w:t>具备完备的突发事件应急预案（如：自然灾害、学员突发疾病以及其他与项目相关的乐团突发事件的应急预案）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方案齐全且符合要求的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分，每有一项缺项</w:t>
            </w:r>
            <w:r>
              <w:rPr>
                <w:rFonts w:hint="eastAsia" w:ascii="宋体" w:hAnsi="宋体" w:eastAsia="宋体" w:cs="宋体"/>
                <w:color w:val="auto"/>
                <w:sz w:val="24"/>
                <w:szCs w:val="24"/>
                <w:highlight w:val="none"/>
                <w:lang w:val="en-US" w:eastAsia="zh-CN"/>
              </w:rPr>
              <w:t>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分，每有一处描述简陋或不符合本项目实际情况</w:t>
            </w:r>
            <w:r>
              <w:rPr>
                <w:rFonts w:hint="eastAsia" w:ascii="宋体" w:hAnsi="宋体" w:eastAsia="宋体" w:cs="宋体"/>
                <w:color w:val="auto"/>
                <w:sz w:val="24"/>
                <w:szCs w:val="24"/>
                <w:highlight w:val="none"/>
              </w:rPr>
              <w:t>的扣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1170" w:type="dxa"/>
            <w:vMerge w:val="restart"/>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实施团队的师资力量</w:t>
            </w:r>
          </w:p>
        </w:tc>
        <w:tc>
          <w:tcPr>
            <w:tcW w:w="696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拟邀请的合唱团的音乐总监获得过国际合唱大赛大奖的，得5分；获得国家级合唱大赛大奖的，得2分。本项最多得5分。（说明：提供相关证明材料并加盖公章。）</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2"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696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u w:val="none"/>
              </w:rPr>
              <w:t>拟邀请的合唱团专家教师人员中，具有正高级音乐艺术类职称证书的，每提供1名得2分；本项最多得</w:t>
            </w:r>
            <w:r>
              <w:rPr>
                <w:rFonts w:hint="eastAsia" w:ascii="宋体" w:hAnsi="宋体"/>
                <w:color w:val="auto"/>
                <w:sz w:val="24"/>
                <w:szCs w:val="24"/>
                <w:highlight w:val="none"/>
                <w:u w:val="none"/>
                <w:lang w:val="en-US" w:eastAsia="zh-CN"/>
              </w:rPr>
              <w:t>10</w:t>
            </w:r>
            <w:r>
              <w:rPr>
                <w:rFonts w:hint="eastAsia" w:ascii="宋体" w:hAnsi="宋体"/>
                <w:color w:val="auto"/>
                <w:sz w:val="24"/>
                <w:szCs w:val="24"/>
                <w:highlight w:val="none"/>
                <w:u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说明：提供职称证书复印件并加盖公章</w:t>
            </w:r>
            <w:r>
              <w:rPr>
                <w:rFonts w:hint="eastAsia" w:ascii="宋体" w:hAnsi="宋体" w:eastAsia="宋体" w:cs="宋体"/>
                <w:color w:val="auto"/>
                <w:sz w:val="24"/>
                <w:szCs w:val="24"/>
                <w:highlight w:val="none"/>
                <w:lang w:eastAsia="zh-CN"/>
              </w:rPr>
              <w:t>）</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4"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696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u w:val="none"/>
              </w:rPr>
              <w:t>拟邀请的合唱团专家教师人员中，每有1人获得国家级荣誉证书的得2分，获得省级及以下荣誉证书的得1分。本项最多得</w:t>
            </w:r>
            <w:r>
              <w:rPr>
                <w:rFonts w:hint="eastAsia" w:ascii="宋体" w:hAnsi="宋体"/>
                <w:color w:val="auto"/>
                <w:sz w:val="24"/>
                <w:szCs w:val="24"/>
                <w:highlight w:val="none"/>
                <w:u w:val="none"/>
                <w:lang w:val="en-US" w:eastAsia="zh-CN"/>
              </w:rPr>
              <w:t>4</w:t>
            </w:r>
            <w:r>
              <w:rPr>
                <w:rFonts w:hint="eastAsia" w:ascii="宋体" w:hAnsi="宋体"/>
                <w:color w:val="auto"/>
                <w:sz w:val="24"/>
                <w:szCs w:val="24"/>
                <w:highlight w:val="none"/>
                <w:u w:val="none"/>
              </w:rPr>
              <w:t>分</w:t>
            </w:r>
            <w:r>
              <w:rPr>
                <w:rFonts w:hint="eastAsia" w:ascii="宋体" w:hAnsi="宋体"/>
                <w:color w:val="auto"/>
                <w:sz w:val="24"/>
                <w:szCs w:val="24"/>
                <w:highlight w:val="none"/>
                <w:u w:val="none"/>
                <w:lang w:eastAsia="zh-CN"/>
              </w:rPr>
              <w:t>。</w:t>
            </w:r>
            <w:r>
              <w:rPr>
                <w:rFonts w:hint="eastAsia" w:ascii="宋体" w:hAnsi="宋体" w:eastAsia="宋体" w:cs="宋体"/>
                <w:color w:val="auto"/>
                <w:sz w:val="24"/>
                <w:szCs w:val="24"/>
                <w:highlight w:val="none"/>
                <w:lang w:val="en-US" w:eastAsia="zh-CN"/>
              </w:rPr>
              <w:t>（说明：提供相关证明材料并加盖公章。）</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4"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年1月1日至今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具有类似培训服务项目业绩，每有1个得1分，</w:t>
            </w:r>
            <w:r>
              <w:rPr>
                <w:rFonts w:hint="eastAsia" w:ascii="宋体" w:hAnsi="宋体" w:eastAsia="宋体" w:cs="宋体"/>
                <w:color w:val="auto"/>
                <w:sz w:val="24"/>
                <w:szCs w:val="24"/>
                <w:highlight w:val="none"/>
              </w:rPr>
              <w:t>最多得3分。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说明：提供合同或中标通知书复印件并加盖公章。</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2、供应商201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年1月1日至今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具有类似</w:t>
            </w:r>
            <w:r>
              <w:rPr>
                <w:rFonts w:hint="eastAsia" w:ascii="宋体" w:hAnsi="宋体" w:eastAsia="宋体" w:cs="宋体"/>
                <w:color w:val="auto"/>
                <w:sz w:val="24"/>
                <w:szCs w:val="24"/>
                <w:highlight w:val="none"/>
              </w:rPr>
              <w:t>组织文化艺术演出活动业绩，每有1个得1分，最多得3分。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说明：提供合同或中标通知书复印件并加盖公章。</w:t>
            </w:r>
            <w:r>
              <w:rPr>
                <w:rFonts w:hint="eastAsia" w:ascii="宋体" w:hAnsi="宋体" w:eastAsia="宋体" w:cs="宋体"/>
                <w:color w:val="auto"/>
                <w:sz w:val="24"/>
                <w:szCs w:val="24"/>
                <w:highlight w:val="none"/>
                <w:lang w:eastAsia="zh-CN"/>
              </w:rPr>
              <w:t>）</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17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的规范性</w:t>
            </w:r>
          </w:p>
        </w:tc>
        <w:tc>
          <w:tcPr>
            <w:tcW w:w="6960" w:type="dxa"/>
            <w:noWrap w:val="0"/>
            <w:tcMar>
              <w:top w:w="0" w:type="dxa"/>
              <w:left w:w="80" w:type="dxa"/>
              <w:bottom w:w="0" w:type="dxa"/>
              <w:right w:w="0" w:type="dxa"/>
            </w:tcMar>
            <w:vAlign w:val="top"/>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制作规范，没有细微偏差情形的得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分；有一项细微偏差扣0.5分，直至该项分值扣完为止。</w:t>
            </w:r>
          </w:p>
        </w:tc>
        <w:tc>
          <w:tcPr>
            <w:tcW w:w="63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4" w:hRule="atLeast"/>
        </w:trPr>
        <w:tc>
          <w:tcPr>
            <w:tcW w:w="1065"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p>
        </w:tc>
        <w:tc>
          <w:tcPr>
            <w:tcW w:w="1170"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不发达地区或少数民族地区</w:t>
            </w:r>
          </w:p>
        </w:tc>
        <w:tc>
          <w:tcPr>
            <w:tcW w:w="696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如为不发达地区或少数民族地区的，得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sz w:val="24"/>
                <w:szCs w:val="24"/>
                <w:highlight w:val="none"/>
              </w:rPr>
              <w:t>注：</w:t>
            </w:r>
            <w:r>
              <w:rPr>
                <w:rFonts w:hint="eastAsia" w:ascii="宋体" w:hAnsi="宋体" w:eastAsia="宋体" w:cs="宋体"/>
                <w:color w:val="000000"/>
                <w:sz w:val="24"/>
                <w:szCs w:val="24"/>
                <w:highlight w:val="none"/>
              </w:rPr>
              <w:t>以</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营业执照上注册地为准</w:t>
            </w:r>
            <w:r>
              <w:rPr>
                <w:rFonts w:hint="eastAsia" w:ascii="宋体" w:hAnsi="宋体" w:eastAsia="宋体" w:cs="宋体"/>
                <w:sz w:val="24"/>
                <w:szCs w:val="24"/>
                <w:highlight w:val="none"/>
              </w:rPr>
              <w:t>。</w:t>
            </w:r>
          </w:p>
        </w:tc>
        <w:tc>
          <w:tcPr>
            <w:tcW w:w="630"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bl>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5"/>
        <w:ind w:left="-80" w:leftChars="0" w:firstLine="482" w:firstLineChars="0"/>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磋商小组应当根据综合评分情况，按照评审得分由高到低顺序推荐3名以上成交候选供应商(符合《财政部关于政府采购竞争性磋商采购方式管理暂行办法有关问题的补充通知》财库</w:t>
      </w:r>
      <w:r>
        <w:rPr>
          <w:rFonts w:hint="eastAsia" w:ascii="宋体" w:hAnsi="宋体" w:cs="宋体"/>
          <w:color w:val="auto"/>
          <w:highlight w:val="none"/>
          <w:lang w:eastAsia="zh-CN"/>
        </w:rPr>
        <w:t>〔2015〕</w:t>
      </w:r>
      <w:r>
        <w:rPr>
          <w:rFonts w:hint="eastAsia" w:ascii="宋体" w:hAnsi="宋体" w:cs="宋体"/>
          <w:color w:val="auto"/>
          <w:highlight w:val="none"/>
        </w:rPr>
        <w:t>124号文要求的除外)，并编写评审报告。评审得分相同的，按照最后报价由低到高的顺序推荐。评审得分且最后报价相同的，按照技术指标优劣顺序推荐。</w:t>
      </w:r>
    </w:p>
    <w:p>
      <w:pPr>
        <w:pStyle w:val="4"/>
        <w:rPr>
          <w:color w:val="auto"/>
          <w:highlight w:val="none"/>
        </w:rPr>
      </w:pPr>
      <w:bookmarkStart w:id="275" w:name="_Toc287623648"/>
      <w:bookmarkStart w:id="276" w:name="_Toc14229"/>
      <w:r>
        <w:rPr>
          <w:rFonts w:hint="eastAsia"/>
          <w:color w:val="auto"/>
          <w:highlight w:val="none"/>
        </w:rPr>
        <w:t>确定成交供应商</w:t>
      </w:r>
      <w:bookmarkEnd w:id="275"/>
      <w:bookmarkEnd w:id="276"/>
    </w:p>
    <w:p>
      <w:pPr>
        <w:pStyle w:val="5"/>
        <w:ind w:left="-80" w:leftChars="0" w:firstLine="482" w:firstLineChars="0"/>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本项目根据磋商小组推荐的成交候选人名单，按顺序确定成交供应商。</w:t>
      </w:r>
    </w:p>
    <w:p>
      <w:pPr>
        <w:pStyle w:val="5"/>
        <w:ind w:left="-80" w:leftChars="0" w:firstLine="482" w:firstLineChars="0"/>
        <w:rPr>
          <w:rFonts w:cs="宋体"/>
          <w:color w:val="auto"/>
          <w:szCs w:val="24"/>
          <w:highlight w:val="none"/>
        </w:rPr>
      </w:pPr>
      <w:r>
        <w:rPr>
          <w:rFonts w:hint="eastAsia" w:cs="宋体"/>
          <w:color w:val="auto"/>
          <w:szCs w:val="24"/>
          <w:highlight w:val="none"/>
        </w:rPr>
        <w:t>定标程序</w:t>
      </w:r>
    </w:p>
    <w:p>
      <w:pPr>
        <w:numPr>
          <w:ilvl w:val="0"/>
          <w:numId w:val="32"/>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2"/>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2"/>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2"/>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3"/>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77" w:name="_Toc287623649"/>
      <w:r>
        <w:rPr>
          <w:rFonts w:hint="eastAsia" w:ascii="宋体" w:hAnsi="宋体" w:cs="宋体"/>
          <w:color w:val="auto"/>
          <w:highlight w:val="none"/>
        </w:rPr>
        <w:t>成交候选供应商存在违法、违纪行为的；</w:t>
      </w:r>
    </w:p>
    <w:p>
      <w:pPr>
        <w:numPr>
          <w:ilvl w:val="1"/>
          <w:numId w:val="33"/>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highlight w:val="none"/>
        </w:rPr>
      </w:pPr>
      <w:bookmarkStart w:id="278" w:name="_Toc6886"/>
      <w:r>
        <w:rPr>
          <w:rFonts w:hint="eastAsia"/>
          <w:color w:val="auto"/>
          <w:highlight w:val="none"/>
        </w:rPr>
        <w:t>成交</w:t>
      </w:r>
      <w:bookmarkEnd w:id="277"/>
      <w:r>
        <w:rPr>
          <w:rFonts w:hint="eastAsia"/>
          <w:color w:val="auto"/>
          <w:highlight w:val="none"/>
        </w:rPr>
        <w:t>结果</w:t>
      </w:r>
      <w:bookmarkEnd w:id="278"/>
    </w:p>
    <w:p>
      <w:pPr>
        <w:widowControl w:val="0"/>
        <w:numPr>
          <w:ilvl w:val="0"/>
          <w:numId w:val="34"/>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成交结果公告发布后，成交供应商应当按照公告规定及时领取成交通知书。需要交纳履约保证金的，应当及时向采购人交纳。</w:t>
      </w:r>
      <w:r>
        <w:rPr>
          <w:rFonts w:hint="eastAsia" w:ascii="宋体" w:hAnsi="宋体"/>
          <w:color w:val="auto"/>
          <w:highlight w:val="none"/>
        </w:rPr>
        <w:t>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4"/>
        <w:rPr>
          <w:color w:val="auto"/>
          <w:highlight w:val="none"/>
        </w:rPr>
      </w:pPr>
      <w:bookmarkStart w:id="279" w:name="_Toc405886181"/>
      <w:bookmarkStart w:id="280" w:name="_Toc25829"/>
      <w:r>
        <w:rPr>
          <w:rFonts w:hint="eastAsia"/>
          <w:color w:val="auto"/>
          <w:highlight w:val="none"/>
        </w:rPr>
        <w:t>询问、质疑</w:t>
      </w:r>
      <w:bookmarkEnd w:id="279"/>
      <w:r>
        <w:rPr>
          <w:rFonts w:hint="eastAsia"/>
          <w:color w:val="auto"/>
          <w:highlight w:val="none"/>
        </w:rPr>
        <w:t>和投诉</w:t>
      </w:r>
      <w:bookmarkEnd w:id="280"/>
    </w:p>
    <w:p>
      <w:pPr>
        <w:pStyle w:val="27"/>
        <w:pageBreakBefore w:val="0"/>
        <w:numPr>
          <w:ilvl w:val="0"/>
          <w:numId w:val="35"/>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eastAsia="宋体" w:cs="宋体"/>
          <w:bCs/>
          <w:color w:val="auto"/>
          <w:kern w:val="36"/>
          <w:sz w:val="24"/>
          <w:szCs w:val="24"/>
          <w:highlight w:val="none"/>
        </w:rPr>
        <w:t>&lt;中华人民共和国政府采购法实施条例&gt;等的若干规定</w:t>
      </w:r>
      <w:r>
        <w:rPr>
          <w:rFonts w:hint="eastAsia" w:ascii="宋体" w:hAnsi="宋体" w:eastAsia="宋体" w:cs="宋体"/>
          <w:color w:val="auto"/>
          <w:sz w:val="24"/>
          <w:szCs w:val="24"/>
          <w:highlight w:val="none"/>
        </w:rPr>
        <w:t>》的规定办理。</w:t>
      </w:r>
    </w:p>
    <w:p>
      <w:pPr>
        <w:pStyle w:val="27"/>
        <w:pageBreakBefore w:val="0"/>
        <w:numPr>
          <w:ilvl w:val="0"/>
          <w:numId w:val="35"/>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供应商提出的询问，应当明确询问事项，如以书面形式提出的，应由供应商签字并加盖单位公章。</w:t>
      </w:r>
    </w:p>
    <w:p>
      <w:pPr>
        <w:pStyle w:val="27"/>
        <w:pageBreakBefore w:val="0"/>
        <w:numPr>
          <w:ilvl w:val="0"/>
          <w:numId w:val="35"/>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p>
      <w:pPr>
        <w:pStyle w:val="27"/>
        <w:keepNext w:val="0"/>
        <w:keepLines w:val="0"/>
        <w:pageBreakBefore w:val="0"/>
        <w:numPr>
          <w:ilvl w:val="0"/>
          <w:numId w:val="35"/>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（一）供应商的姓名或者名称、地址、邮编、联系人及联系电话；</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（六）提出质疑的日期。</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281" w:name="_Toc287623650"/>
      <w:bookmarkStart w:id="282" w:name="_Toc10052"/>
      <w:r>
        <w:rPr>
          <w:rFonts w:hint="eastAsia" w:ascii="宋体" w:hAnsi="宋体" w:eastAsia="宋体" w:cs="宋体"/>
          <w:color w:val="auto"/>
          <w:sz w:val="24"/>
          <w:szCs w:val="24"/>
          <w:highlight w:val="none"/>
        </w:rPr>
        <w:t>签订合同</w:t>
      </w:r>
      <w:bookmarkEnd w:id="281"/>
      <w:bookmarkEnd w:id="282"/>
    </w:p>
    <w:p>
      <w:pPr>
        <w:numPr>
          <w:ilvl w:val="0"/>
          <w:numId w:val="36"/>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6"/>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6"/>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6"/>
        </w:numPr>
        <w:tabs>
          <w:tab w:val="left" w:pos="1134"/>
        </w:tabs>
        <w:snapToGrid w:val="0"/>
        <w:spacing w:line="360" w:lineRule="auto"/>
        <w:ind w:firstLine="480" w:firstLineChars="200"/>
        <w:rPr>
          <w:rFonts w:ascii="宋体" w:hAnsi="宋体" w:cs="宋体"/>
          <w:color w:val="auto"/>
          <w:highlight w:val="none"/>
        </w:rPr>
      </w:pPr>
      <w:bookmarkStart w:id="283"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283"/>
    <w:p>
      <w:pPr>
        <w:pStyle w:val="4"/>
        <w:rPr>
          <w:color w:val="auto"/>
          <w:highlight w:val="none"/>
        </w:rPr>
      </w:pPr>
      <w:bookmarkStart w:id="284" w:name="_Toc19073"/>
      <w:bookmarkStart w:id="285" w:name="_Toc217446070"/>
      <w:r>
        <w:rPr>
          <w:rFonts w:hint="eastAsia"/>
          <w:color w:val="auto"/>
          <w:highlight w:val="none"/>
        </w:rPr>
        <w:t>采购人增加合同的权利</w:t>
      </w:r>
      <w:bookmarkEnd w:id="284"/>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highlight w:val="none"/>
        </w:rPr>
      </w:pPr>
      <w:bookmarkStart w:id="286" w:name="_Toc32616"/>
      <w:r>
        <w:rPr>
          <w:rFonts w:hint="eastAsia"/>
          <w:color w:val="auto"/>
          <w:highlight w:val="none"/>
        </w:rPr>
        <w:t>履行合同</w:t>
      </w:r>
      <w:bookmarkEnd w:id="286"/>
    </w:p>
    <w:p>
      <w:pPr>
        <w:widowControl w:val="0"/>
        <w:numPr>
          <w:ilvl w:val="0"/>
          <w:numId w:val="3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val="en-US" w:eastAsia="zh-CN"/>
        </w:rPr>
        <w:t>中华人民共和国民法典</w:t>
      </w:r>
      <w:r>
        <w:rPr>
          <w:rFonts w:hint="eastAsia" w:ascii="宋体" w:hAnsi="宋体" w:cs="宋体"/>
          <w:color w:val="auto"/>
          <w:highlight w:val="none"/>
        </w:rPr>
        <w:t>》及合同条款的有关规定进行处理。</w:t>
      </w:r>
    </w:p>
    <w:bookmarkEnd w:id="285"/>
    <w:p>
      <w:pPr>
        <w:pStyle w:val="4"/>
        <w:rPr>
          <w:color w:val="auto"/>
          <w:highlight w:val="none"/>
        </w:rPr>
      </w:pPr>
      <w:bookmarkStart w:id="287" w:name="_Toc11212"/>
      <w:r>
        <w:rPr>
          <w:rFonts w:hint="eastAsia"/>
          <w:color w:val="auto"/>
          <w:highlight w:val="none"/>
        </w:rPr>
        <w:t>竞争性磋商工作纪律及要求</w:t>
      </w:r>
      <w:bookmarkEnd w:id="287"/>
    </w:p>
    <w:p>
      <w:pPr>
        <w:pStyle w:val="5"/>
        <w:ind w:left="-80" w:leftChars="0" w:firstLine="482" w:firstLineChars="0"/>
        <w:rPr>
          <w:rFonts w:cs="宋体"/>
          <w:color w:val="auto"/>
          <w:szCs w:val="24"/>
          <w:highlight w:val="none"/>
        </w:rPr>
      </w:pPr>
      <w:bookmarkStart w:id="288" w:name="_Toc421781446"/>
      <w:bookmarkStart w:id="289" w:name="_Toc320698748"/>
      <w:r>
        <w:rPr>
          <w:rFonts w:hint="eastAsia" w:cs="宋体"/>
          <w:color w:val="auto"/>
          <w:szCs w:val="24"/>
          <w:highlight w:val="none"/>
        </w:rPr>
        <w:t>采购人工作职责</w:t>
      </w:r>
      <w:bookmarkEnd w:id="288"/>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289"/>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90" w:name="_Toc421781447"/>
      <w:bookmarkStart w:id="291" w:name="_Toc320698749"/>
      <w:r>
        <w:rPr>
          <w:rFonts w:hint="eastAsia" w:cs="宋体"/>
          <w:color w:val="auto"/>
          <w:szCs w:val="24"/>
          <w:highlight w:val="none"/>
        </w:rPr>
        <w:t>采购执行机构工作职责</w:t>
      </w:r>
      <w:bookmarkEnd w:id="290"/>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291"/>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92" w:name="_Toc421781448"/>
      <w:bookmarkStart w:id="293" w:name="_Toc320698750"/>
      <w:r>
        <w:rPr>
          <w:rFonts w:hint="eastAsia" w:cs="宋体"/>
          <w:color w:val="auto"/>
          <w:szCs w:val="24"/>
          <w:highlight w:val="none"/>
        </w:rPr>
        <w:t>磋商小组工作职责</w:t>
      </w:r>
      <w:bookmarkEnd w:id="292"/>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293"/>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94" w:name="_Toc421781449"/>
      <w:bookmarkStart w:id="295" w:name="_Toc320698751"/>
      <w:r>
        <w:rPr>
          <w:rFonts w:hint="eastAsia" w:cs="宋体"/>
          <w:color w:val="auto"/>
          <w:szCs w:val="24"/>
          <w:highlight w:val="none"/>
        </w:rPr>
        <w:t>供应商职责</w:t>
      </w:r>
      <w:bookmarkEnd w:id="294"/>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295"/>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highlight w:val="none"/>
        </w:rPr>
      </w:pPr>
      <w:bookmarkStart w:id="296" w:name="_Toc4229"/>
      <w:r>
        <w:rPr>
          <w:rFonts w:hint="eastAsia"/>
          <w:color w:val="auto"/>
          <w:highlight w:val="none"/>
        </w:rPr>
        <w:t>回避</w:t>
      </w:r>
      <w:bookmarkEnd w:id="296"/>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297" w:name="_Toc797"/>
      <w:r>
        <w:rPr>
          <w:rFonts w:hint="eastAsia"/>
          <w:color w:val="auto"/>
          <w:highlight w:val="none"/>
        </w:rPr>
        <w:t>其他</w:t>
      </w:r>
      <w:bookmarkEnd w:id="297"/>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2"/>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298" w:name="_Toc28097"/>
      <w:r>
        <w:rPr>
          <w:rFonts w:hint="eastAsia"/>
          <w:color w:val="auto"/>
          <w:highlight w:val="none"/>
        </w:rPr>
        <w:t>项目技术、服务及其他要求</w:t>
      </w:r>
      <w:bookmarkEnd w:id="298"/>
    </w:p>
    <w:p>
      <w:pPr>
        <w:pStyle w:val="4"/>
        <w:pageBreakBefore w:val="0"/>
        <w:kinsoku/>
        <w:wordWrap/>
        <w:overflowPunct/>
        <w:topLinePunct w:val="0"/>
        <w:bidi w:val="0"/>
        <w:spacing w:line="420" w:lineRule="exact"/>
        <w:textAlignment w:val="auto"/>
        <w:rPr>
          <w:color w:val="auto"/>
          <w:sz w:val="24"/>
          <w:szCs w:val="24"/>
          <w:highlight w:val="none"/>
        </w:rPr>
      </w:pPr>
      <w:bookmarkStart w:id="299" w:name="_Toc14465"/>
      <w:bookmarkStart w:id="300" w:name="_Toc23195"/>
      <w:r>
        <w:rPr>
          <w:rFonts w:hint="eastAsia"/>
          <w:color w:val="auto"/>
          <w:sz w:val="24"/>
          <w:szCs w:val="24"/>
          <w:highlight w:val="none"/>
          <w:lang w:val="en-US" w:eastAsia="zh-CN"/>
        </w:rPr>
        <w:t>项目概况</w:t>
      </w:r>
      <w:bookmarkEnd w:id="299"/>
    </w:p>
    <w:p>
      <w:pPr>
        <w:pStyle w:val="14"/>
        <w:keepNext w:val="0"/>
        <w:keepLines w:val="0"/>
        <w:pageBreakBefore w:val="0"/>
        <w:kinsoku/>
        <w:overflowPunct/>
        <w:topLinePunct w:val="0"/>
        <w:autoSpaceDE/>
        <w:autoSpaceDN/>
        <w:bidi w:val="0"/>
        <w:adjustRightInd/>
        <w:snapToGrid/>
        <w:spacing w:line="360" w:lineRule="auto"/>
        <w:ind w:firstLine="480"/>
        <w:textAlignment w:val="auto"/>
        <w:rPr>
          <w:rFonts w:hint="eastAsia" w:ascii="宋体" w:hAnsi="宋体"/>
          <w:color w:val="auto"/>
          <w:sz w:val="24"/>
          <w:highlight w:val="none"/>
        </w:rPr>
      </w:pPr>
      <w:r>
        <w:rPr>
          <w:rFonts w:hint="eastAsia" w:ascii="宋体" w:hAnsi="宋体" w:eastAsia="宋体" w:cs="宋体"/>
          <w:color w:val="auto"/>
          <w:sz w:val="24"/>
          <w:szCs w:val="24"/>
          <w:highlight w:val="none"/>
          <w:u w:val="none"/>
        </w:rPr>
        <w:t>为认真贯彻落实党中央关于“发展素质教育，培养德智体美全面发展的社会主义建设者和接班人”的战略部署，推进双流青少年音乐艺术素质和综合素质提升，加强对外文化交流，打造双流对外展示的名片，</w:t>
      </w:r>
      <w:r>
        <w:rPr>
          <w:rFonts w:hint="eastAsia" w:ascii="宋体" w:hAnsi="宋体" w:eastAsia="宋体" w:cs="宋体"/>
          <w:color w:val="auto"/>
          <w:sz w:val="24"/>
          <w:szCs w:val="24"/>
          <w:highlight w:val="none"/>
        </w:rPr>
        <w:t>拟</w:t>
      </w:r>
      <w:r>
        <w:rPr>
          <w:rFonts w:hint="eastAsia" w:ascii="宋体" w:hAnsi="宋体" w:eastAsia="宋体" w:cs="宋体"/>
          <w:color w:val="auto"/>
          <w:sz w:val="24"/>
          <w:szCs w:val="24"/>
          <w:highlight w:val="none"/>
          <w:lang w:val="en-US" w:eastAsia="zh-CN"/>
        </w:rPr>
        <w:t>通过竞争性磋商确定</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成都市双流区</w:t>
      </w:r>
      <w:r>
        <w:rPr>
          <w:rFonts w:hint="eastAsia" w:ascii="宋体" w:hAnsi="宋体" w:eastAsia="宋体" w:cs="宋体"/>
          <w:color w:val="auto"/>
          <w:sz w:val="24"/>
          <w:szCs w:val="24"/>
          <w:highlight w:val="none"/>
          <w:u w:val="none"/>
          <w:lang w:val="en-US" w:eastAsia="zh-CN"/>
        </w:rPr>
        <w:t>童声</w:t>
      </w:r>
      <w:r>
        <w:rPr>
          <w:rFonts w:hint="eastAsia" w:ascii="宋体" w:hAnsi="宋体" w:eastAsia="宋体" w:cs="宋体"/>
          <w:color w:val="auto"/>
          <w:sz w:val="24"/>
          <w:szCs w:val="24"/>
          <w:highlight w:val="none"/>
          <w:u w:val="none"/>
        </w:rPr>
        <w:t>合唱团精细化管理及精品化培训服务。</w:t>
      </w:r>
    </w:p>
    <w:p>
      <w:pPr>
        <w:pStyle w:val="4"/>
        <w:pageBreakBefore w:val="0"/>
        <w:kinsoku/>
        <w:wordWrap/>
        <w:overflowPunct/>
        <w:topLinePunct w:val="0"/>
        <w:bidi w:val="0"/>
        <w:spacing w:line="360" w:lineRule="auto"/>
        <w:textAlignment w:val="auto"/>
        <w:rPr>
          <w:rFonts w:hint="eastAsia"/>
          <w:sz w:val="24"/>
          <w:szCs w:val="24"/>
          <w:lang w:val="en-US" w:eastAsia="zh-CN"/>
        </w:rPr>
      </w:pPr>
      <w:bookmarkStart w:id="301" w:name="_Toc619"/>
      <w:r>
        <w:rPr>
          <w:rFonts w:hint="eastAsia"/>
          <w:sz w:val="24"/>
          <w:szCs w:val="24"/>
          <w:lang w:val="en-US" w:eastAsia="zh-CN"/>
        </w:rPr>
        <w:t>服务内容及要求</w:t>
      </w:r>
      <w:bookmarkEnd w:id="301"/>
    </w:p>
    <w:p>
      <w:pPr>
        <w:pStyle w:val="5"/>
        <w:bidi w:val="0"/>
        <w:ind w:left="-160" w:leftChars="0" w:firstLine="482" w:firstLineChars="0"/>
        <w:rPr>
          <w:rFonts w:hint="eastAsia"/>
          <w:b w:val="0"/>
          <w:bCs w:val="0"/>
        </w:rPr>
      </w:pPr>
      <w:r>
        <w:rPr>
          <w:rFonts w:hint="eastAsia"/>
          <w:lang w:val="en-US" w:eastAsia="zh-CN"/>
        </w:rPr>
        <w:t>培训对象：</w:t>
      </w:r>
      <w:r>
        <w:rPr>
          <w:rFonts w:hint="eastAsia" w:ascii="宋体" w:hAnsi="宋体" w:eastAsia="宋体" w:cs="Times New Roman"/>
          <w:b w:val="0"/>
          <w:bCs w:val="0"/>
          <w:color w:val="auto"/>
          <w:sz w:val="24"/>
          <w:highlight w:val="none"/>
          <w:lang w:val="en-US" w:eastAsia="zh-CN"/>
        </w:rPr>
        <w:t>成都市双流区童声合唱团。</w:t>
      </w:r>
    </w:p>
    <w:p>
      <w:pPr>
        <w:pStyle w:val="5"/>
        <w:bidi w:val="0"/>
        <w:ind w:left="-160" w:leftChars="0" w:firstLine="482"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培训人数及生源补充：</w:t>
      </w:r>
      <w:r>
        <w:rPr>
          <w:rFonts w:hint="eastAsia" w:ascii="宋体" w:hAnsi="宋体" w:eastAsia="宋体" w:cs="宋体"/>
          <w:b w:val="0"/>
          <w:bCs w:val="0"/>
          <w:color w:val="auto"/>
          <w:sz w:val="24"/>
          <w:szCs w:val="24"/>
          <w:highlight w:val="none"/>
          <w:u w:val="none"/>
        </w:rPr>
        <w:t>参加</w:t>
      </w:r>
      <w:r>
        <w:rPr>
          <w:rFonts w:hint="eastAsia" w:ascii="宋体" w:hAnsi="宋体" w:eastAsia="宋体" w:cs="宋体"/>
          <w:b w:val="0"/>
          <w:bCs w:val="0"/>
          <w:color w:val="auto"/>
          <w:sz w:val="24"/>
          <w:szCs w:val="24"/>
          <w:highlight w:val="none"/>
          <w:u w:val="none"/>
          <w:lang w:val="en-US" w:eastAsia="zh-CN"/>
        </w:rPr>
        <w:t>童声合唱团</w:t>
      </w:r>
      <w:r>
        <w:rPr>
          <w:rFonts w:hint="eastAsia" w:ascii="宋体" w:hAnsi="宋体" w:eastAsia="宋体" w:cs="宋体"/>
          <w:b w:val="0"/>
          <w:bCs w:val="0"/>
          <w:color w:val="auto"/>
          <w:sz w:val="24"/>
          <w:szCs w:val="24"/>
          <w:highlight w:val="none"/>
          <w:u w:val="none"/>
        </w:rPr>
        <w:t>训练的团员达到中型</w:t>
      </w:r>
      <w:r>
        <w:rPr>
          <w:rFonts w:hint="eastAsia" w:ascii="宋体" w:hAnsi="宋体" w:eastAsia="宋体" w:cs="宋体"/>
          <w:b w:val="0"/>
          <w:bCs w:val="0"/>
          <w:color w:val="auto"/>
          <w:sz w:val="24"/>
          <w:szCs w:val="24"/>
          <w:highlight w:val="none"/>
          <w:u w:val="none"/>
          <w:lang w:val="en-US" w:eastAsia="zh-CN"/>
        </w:rPr>
        <w:t>合唱</w:t>
      </w:r>
      <w:r>
        <w:rPr>
          <w:rFonts w:hint="eastAsia" w:ascii="宋体" w:hAnsi="宋体" w:eastAsia="宋体" w:cs="宋体"/>
          <w:b w:val="0"/>
          <w:bCs w:val="0"/>
          <w:color w:val="auto"/>
          <w:sz w:val="24"/>
          <w:szCs w:val="24"/>
          <w:highlight w:val="none"/>
          <w:u w:val="none"/>
        </w:rPr>
        <w:t>团演出基本要求，</w:t>
      </w:r>
      <w:r>
        <w:rPr>
          <w:rFonts w:hint="eastAsia" w:ascii="宋体" w:hAnsi="宋体" w:eastAsia="宋体" w:cs="宋体"/>
          <w:b w:val="0"/>
          <w:bCs w:val="0"/>
          <w:color w:val="auto"/>
          <w:sz w:val="24"/>
          <w:szCs w:val="24"/>
          <w:highlight w:val="none"/>
          <w:u w:val="none"/>
          <w:lang w:val="en-US" w:eastAsia="zh-CN"/>
        </w:rPr>
        <w:t>人数不少于50人。若人数少于50人，则由成交供应商负责进行学员选拔，补充人员</w:t>
      </w:r>
      <w:r>
        <w:rPr>
          <w:rFonts w:hint="eastAsia" w:ascii="宋体" w:hAnsi="宋体" w:eastAsia="宋体" w:cs="宋体"/>
          <w:b w:val="0"/>
          <w:bCs w:val="0"/>
          <w:color w:val="auto"/>
          <w:sz w:val="24"/>
          <w:szCs w:val="24"/>
          <w:highlight w:val="none"/>
          <w:lang w:val="en-US" w:eastAsia="zh-CN"/>
        </w:rPr>
        <w:t>。</w:t>
      </w:r>
    </w:p>
    <w:p>
      <w:pPr>
        <w:pStyle w:val="5"/>
        <w:bidi w:val="0"/>
        <w:ind w:left="-160" w:leftChars="0" w:firstLine="482"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培训课时：</w:t>
      </w:r>
      <w:r>
        <w:rPr>
          <w:rFonts w:hint="eastAsia" w:ascii="宋体" w:hAnsi="宋体" w:eastAsia="宋体" w:cs="宋体"/>
          <w:b w:val="0"/>
          <w:bCs w:val="0"/>
          <w:color w:val="auto"/>
          <w:sz w:val="24"/>
          <w:szCs w:val="24"/>
          <w:highlight w:val="none"/>
          <w:u w:val="none"/>
        </w:rPr>
        <w:t>全年培训班正常训练不少于</w:t>
      </w:r>
      <w:r>
        <w:rPr>
          <w:rFonts w:hint="eastAsia" w:ascii="宋体" w:hAnsi="宋体" w:eastAsia="宋体" w:cs="宋体"/>
          <w:b w:val="0"/>
          <w:bCs w:val="0"/>
          <w:color w:val="auto"/>
          <w:sz w:val="24"/>
          <w:szCs w:val="24"/>
          <w:highlight w:val="none"/>
          <w:u w:val="none"/>
          <w:lang w:val="en-US" w:eastAsia="zh-CN"/>
        </w:rPr>
        <w:t>62</w:t>
      </w:r>
      <w:r>
        <w:rPr>
          <w:rFonts w:hint="eastAsia" w:ascii="宋体" w:hAnsi="宋体" w:eastAsia="宋体" w:cs="宋体"/>
          <w:b w:val="0"/>
          <w:bCs w:val="0"/>
          <w:color w:val="auto"/>
          <w:sz w:val="24"/>
          <w:szCs w:val="24"/>
          <w:highlight w:val="none"/>
          <w:u w:val="none"/>
        </w:rPr>
        <w:t>次，每次2课时，每课时不少于45分钟。</w:t>
      </w:r>
    </w:p>
    <w:p>
      <w:pPr>
        <w:pStyle w:val="5"/>
        <w:bidi w:val="0"/>
        <w:ind w:left="-160" w:leftChars="0" w:firstLine="482" w:firstLineChars="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演出（展演、交流）要求：</w:t>
      </w:r>
      <w:r>
        <w:rPr>
          <w:rFonts w:hint="eastAsia" w:ascii="宋体" w:hAnsi="宋体" w:eastAsia="宋体" w:cs="宋体"/>
          <w:b w:val="0"/>
          <w:bCs w:val="0"/>
          <w:color w:val="auto"/>
          <w:sz w:val="24"/>
          <w:szCs w:val="24"/>
          <w:highlight w:val="none"/>
          <w:u w:val="none"/>
        </w:rPr>
        <w:t>在服务期内组织双流区</w:t>
      </w:r>
      <w:r>
        <w:rPr>
          <w:rFonts w:hint="eastAsia" w:ascii="宋体" w:hAnsi="宋体" w:eastAsia="宋体" w:cs="宋体"/>
          <w:b w:val="0"/>
          <w:bCs w:val="0"/>
          <w:color w:val="auto"/>
          <w:sz w:val="24"/>
          <w:szCs w:val="24"/>
          <w:highlight w:val="none"/>
          <w:u w:val="none"/>
          <w:lang w:val="en-US" w:eastAsia="zh-CN"/>
        </w:rPr>
        <w:t>童声合唱</w:t>
      </w:r>
      <w:r>
        <w:rPr>
          <w:rFonts w:hint="eastAsia" w:ascii="宋体" w:hAnsi="宋体" w:eastAsia="宋体" w:cs="宋体"/>
          <w:b w:val="0"/>
          <w:bCs w:val="0"/>
          <w:color w:val="auto"/>
          <w:sz w:val="24"/>
          <w:szCs w:val="24"/>
          <w:highlight w:val="none"/>
          <w:u w:val="none"/>
        </w:rPr>
        <w:t>团参加</w:t>
      </w:r>
      <w:r>
        <w:rPr>
          <w:rFonts w:hint="eastAsia" w:ascii="宋体" w:hAnsi="宋体" w:eastAsia="宋体" w:cs="宋体"/>
          <w:b w:val="0"/>
          <w:bCs w:val="0"/>
          <w:color w:val="auto"/>
          <w:sz w:val="24"/>
          <w:szCs w:val="24"/>
          <w:highlight w:val="none"/>
          <w:u w:val="none"/>
          <w:lang w:eastAsia="zh-CN"/>
        </w:rPr>
        <w:t>省市级以上（其中省级及以上不少于</w:t>
      </w:r>
      <w:r>
        <w:rPr>
          <w:rFonts w:hint="eastAsia" w:ascii="宋体" w:hAnsi="宋体" w:eastAsia="宋体" w:cs="宋体"/>
          <w:b w:val="0"/>
          <w:bCs w:val="0"/>
          <w:color w:val="auto"/>
          <w:sz w:val="24"/>
          <w:szCs w:val="24"/>
          <w:highlight w:val="none"/>
          <w:u w:val="none"/>
          <w:lang w:val="en-US" w:eastAsia="zh-CN"/>
        </w:rPr>
        <w:t>1次</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各类展演、比赛、交流的次数不少于</w:t>
      </w:r>
      <w:r>
        <w:rPr>
          <w:rFonts w:hint="eastAsia" w:ascii="宋体" w:hAnsi="宋体" w:eastAsia="宋体" w:cs="宋体"/>
          <w:b w:val="0"/>
          <w:bCs w:val="0"/>
          <w:color w:val="auto"/>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次。</w:t>
      </w:r>
    </w:p>
    <w:p>
      <w:pPr>
        <w:pStyle w:val="5"/>
        <w:bidi w:val="0"/>
        <w:ind w:left="-160" w:leftChars="0" w:firstLine="482"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培训师资</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培训由专业指导老师（有音乐艺术类副高以上职称证书或音乐艺术类博士以上学位证书）进行培训，并</w:t>
      </w:r>
      <w:r>
        <w:rPr>
          <w:rFonts w:hint="eastAsia" w:ascii="宋体" w:hAnsi="宋体" w:eastAsia="宋体" w:cs="宋体"/>
          <w:b w:val="0"/>
          <w:bCs w:val="0"/>
          <w:color w:val="auto"/>
          <w:sz w:val="24"/>
          <w:szCs w:val="24"/>
          <w:highlight w:val="none"/>
          <w:u w:val="none"/>
        </w:rPr>
        <w:t>组建专门的</w:t>
      </w:r>
      <w:r>
        <w:rPr>
          <w:rFonts w:hint="eastAsia" w:ascii="宋体" w:hAnsi="宋体" w:eastAsia="宋体" w:cs="宋体"/>
          <w:b w:val="0"/>
          <w:bCs w:val="0"/>
          <w:color w:val="auto"/>
          <w:sz w:val="24"/>
          <w:szCs w:val="24"/>
          <w:highlight w:val="none"/>
          <w:u w:val="none"/>
          <w:lang w:eastAsia="zh-CN"/>
        </w:rPr>
        <w:t>辅导教师（具有音乐艺术类中级以上职称证书）</w:t>
      </w:r>
      <w:r>
        <w:rPr>
          <w:rFonts w:hint="eastAsia" w:ascii="宋体" w:hAnsi="宋体" w:eastAsia="宋体" w:cs="宋体"/>
          <w:b w:val="0"/>
          <w:bCs w:val="0"/>
          <w:color w:val="auto"/>
          <w:sz w:val="24"/>
          <w:szCs w:val="24"/>
          <w:highlight w:val="none"/>
          <w:u w:val="none"/>
        </w:rPr>
        <w:t>工作团队，负责执行本项活动。本项目需提供管理、培训等相关人员不少于11人</w:t>
      </w:r>
      <w:r>
        <w:rPr>
          <w:rFonts w:hint="eastAsia" w:ascii="宋体" w:hAnsi="宋体" w:eastAsia="宋体" w:cs="宋体"/>
          <w:color w:val="auto"/>
          <w:sz w:val="24"/>
          <w:szCs w:val="24"/>
          <w:highlight w:val="none"/>
          <w:u w:val="none"/>
        </w:rPr>
        <w:t>。（需提供承诺函）</w:t>
      </w:r>
    </w:p>
    <w:p>
      <w:pPr>
        <w:pStyle w:val="5"/>
        <w:bidi w:val="0"/>
        <w:ind w:left="-160" w:leftChars="0" w:firstLine="482" w:firstLineChars="0"/>
        <w:rPr>
          <w:rFonts w:hint="eastAsia" w:ascii="宋体" w:hAnsi="宋体" w:eastAsia="宋体" w:cs="宋体"/>
          <w:b w:val="0"/>
          <w:bCs w:val="0"/>
          <w:i w:val="0"/>
          <w:iCs/>
          <w:color w:val="auto"/>
          <w:sz w:val="24"/>
          <w:szCs w:val="24"/>
          <w:lang w:val="en-US" w:eastAsia="zh-CN"/>
        </w:rPr>
      </w:pPr>
      <w:r>
        <w:rPr>
          <w:rFonts w:hint="eastAsia" w:ascii="宋体" w:hAnsi="宋体" w:eastAsia="宋体" w:cs="宋体"/>
          <w:b/>
          <w:bCs/>
          <w:i w:val="0"/>
          <w:iCs/>
          <w:color w:val="auto"/>
          <w:sz w:val="24"/>
          <w:szCs w:val="24"/>
          <w:highlight w:val="none"/>
          <w:lang w:val="en-US" w:eastAsia="zh-CN"/>
        </w:rPr>
        <w:t>管理团队：</w:t>
      </w:r>
      <w:r>
        <w:rPr>
          <w:rFonts w:hint="eastAsia" w:ascii="宋体" w:hAnsi="宋体" w:eastAsia="宋体" w:cs="宋体"/>
          <w:b w:val="0"/>
          <w:bCs w:val="0"/>
          <w:i w:val="0"/>
          <w:iCs/>
          <w:color w:val="auto"/>
          <w:sz w:val="24"/>
          <w:szCs w:val="24"/>
          <w:highlight w:val="none"/>
          <w:u w:val="none"/>
          <w:lang w:val="en-US" w:eastAsia="zh-CN"/>
        </w:rPr>
        <w:t>供应商应有科学完善的组织机构、教学管理、学员管理、财务管理和卫生安全管理等制度，须承诺负责培训过程的安全以及秩序维护，在新冠疫情期间举办培训班的，要严格按疫情防控指挥部的要求执行防控措施。</w:t>
      </w:r>
    </w:p>
    <w:p>
      <w:pPr>
        <w:pStyle w:val="5"/>
        <w:bidi w:val="0"/>
        <w:ind w:left="0" w:leftChars="0" w:firstLine="323" w:firstLineChars="13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培训曲目：</w:t>
      </w:r>
      <w:r>
        <w:rPr>
          <w:rFonts w:hint="eastAsia" w:ascii="宋体" w:hAnsi="宋体" w:eastAsia="宋体" w:cs="宋体"/>
          <w:b w:val="0"/>
          <w:bCs w:val="0"/>
          <w:color w:val="auto"/>
          <w:sz w:val="24"/>
          <w:szCs w:val="24"/>
          <w:highlight w:val="none"/>
          <w:lang w:val="en-US" w:eastAsia="zh-CN"/>
        </w:rPr>
        <w:t>不少于5首，均达到熟练演奏水平，若采购人有培训曲目要</w:t>
      </w:r>
    </w:p>
    <w:p>
      <w:pPr>
        <w:pStyle w:val="2"/>
        <w:keepNext w:val="0"/>
        <w:keepLines w:val="0"/>
        <w:pageBreakBefore w:val="0"/>
        <w:numPr>
          <w:ilvl w:val="0"/>
          <w:numId w:val="0"/>
        </w:numPr>
        <w:kinsoku/>
        <w:overflowPunct/>
        <w:topLinePunct w:val="0"/>
        <w:autoSpaceDE/>
        <w:autoSpaceDN/>
        <w:bidi w:val="0"/>
        <w:adjustRightInd/>
        <w:snapToGrid/>
        <w:spacing w:line="360" w:lineRule="auto"/>
        <w:ind w:left="0" w:leftChars="0" w:firstLine="321" w:firstLineChars="134"/>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求，须首先保证。</w:t>
      </w:r>
    </w:p>
    <w:p>
      <w:pPr>
        <w:pStyle w:val="5"/>
        <w:bidi w:val="0"/>
        <w:ind w:left="-160" w:leftChars="0" w:firstLine="482"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管理要求</w:t>
      </w:r>
    </w:p>
    <w:p>
      <w:pPr>
        <w:keepNext w:val="0"/>
        <w:keepLines w:val="0"/>
        <w:pageBreakBefore w:val="0"/>
        <w:numPr>
          <w:ilvl w:val="0"/>
          <w:numId w:val="43"/>
        </w:numPr>
        <w:kinsoku/>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说明开展“成都市双流区</w:t>
      </w:r>
      <w:r>
        <w:rPr>
          <w:rFonts w:hint="eastAsia" w:ascii="宋体" w:hAnsi="宋体" w:eastAsia="宋体" w:cs="宋体"/>
          <w:color w:val="auto"/>
          <w:sz w:val="24"/>
          <w:szCs w:val="24"/>
          <w:highlight w:val="none"/>
          <w:u w:val="none"/>
          <w:lang w:val="en-US" w:eastAsia="zh-CN"/>
        </w:rPr>
        <w:t>童声合唱</w:t>
      </w:r>
      <w:r>
        <w:rPr>
          <w:rFonts w:hint="eastAsia" w:ascii="宋体" w:hAnsi="宋体" w:eastAsia="宋体" w:cs="宋体"/>
          <w:color w:val="auto"/>
          <w:sz w:val="24"/>
          <w:szCs w:val="24"/>
          <w:highlight w:val="none"/>
          <w:u w:val="none"/>
        </w:rPr>
        <w:t>团”的工作目标和措施。</w:t>
      </w:r>
    </w:p>
    <w:p>
      <w:pPr>
        <w:keepNext w:val="0"/>
        <w:keepLines w:val="0"/>
        <w:pageBreakBefore w:val="0"/>
        <w:numPr>
          <w:ilvl w:val="0"/>
          <w:numId w:val="43"/>
        </w:numPr>
        <w:kinsoku/>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打造国内一流的</w:t>
      </w:r>
      <w:r>
        <w:rPr>
          <w:rFonts w:hint="eastAsia" w:ascii="宋体" w:hAnsi="宋体" w:eastAsia="宋体" w:cs="宋体"/>
          <w:color w:val="auto"/>
          <w:sz w:val="24"/>
          <w:szCs w:val="24"/>
          <w:highlight w:val="none"/>
          <w:u w:val="none"/>
          <w:lang w:val="en-US" w:eastAsia="zh-CN"/>
        </w:rPr>
        <w:t>童声合唱</w:t>
      </w:r>
      <w:r>
        <w:rPr>
          <w:rFonts w:hint="eastAsia" w:ascii="宋体" w:hAnsi="宋体" w:eastAsia="宋体" w:cs="宋体"/>
          <w:color w:val="auto"/>
          <w:sz w:val="24"/>
          <w:szCs w:val="24"/>
          <w:highlight w:val="none"/>
          <w:u w:val="none"/>
        </w:rPr>
        <w:t>团，代表双流区和成都市，参加国际、国内的重要文化艺术交流展示活动。</w:t>
      </w:r>
    </w:p>
    <w:p>
      <w:pPr>
        <w:keepNext w:val="0"/>
        <w:keepLines w:val="0"/>
        <w:pageBreakBefore w:val="0"/>
        <w:numPr>
          <w:ilvl w:val="0"/>
          <w:numId w:val="43"/>
        </w:numPr>
        <w:kinsoku/>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为双流及全市少年</w:t>
      </w:r>
      <w:r>
        <w:rPr>
          <w:rFonts w:hint="eastAsia" w:ascii="宋体" w:hAnsi="宋体" w:eastAsia="宋体" w:cs="宋体"/>
          <w:color w:val="auto"/>
          <w:sz w:val="24"/>
          <w:szCs w:val="24"/>
          <w:highlight w:val="none"/>
          <w:u w:val="none"/>
          <w:lang w:val="en-US" w:eastAsia="zh-CN"/>
        </w:rPr>
        <w:t>儿童</w:t>
      </w:r>
      <w:r>
        <w:rPr>
          <w:rFonts w:hint="eastAsia" w:ascii="宋体" w:hAnsi="宋体" w:eastAsia="宋体" w:cs="宋体"/>
          <w:color w:val="auto"/>
          <w:sz w:val="24"/>
          <w:szCs w:val="24"/>
          <w:highlight w:val="none"/>
          <w:u w:val="none"/>
        </w:rPr>
        <w:t>搭建一个国际化的高雅音乐艺术学习交流平台。</w:t>
      </w:r>
    </w:p>
    <w:p>
      <w:pPr>
        <w:keepNext w:val="0"/>
        <w:keepLines w:val="0"/>
        <w:pageBreakBefore w:val="0"/>
        <w:numPr>
          <w:ilvl w:val="0"/>
          <w:numId w:val="43"/>
        </w:numPr>
        <w:kinsoku/>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通过</w:t>
      </w:r>
      <w:r>
        <w:rPr>
          <w:rFonts w:hint="eastAsia" w:ascii="宋体" w:hAnsi="宋体" w:eastAsia="宋体" w:cs="宋体"/>
          <w:color w:val="auto"/>
          <w:sz w:val="24"/>
          <w:szCs w:val="24"/>
          <w:highlight w:val="none"/>
          <w:u w:val="none"/>
          <w:lang w:val="en-US" w:eastAsia="zh-CN"/>
        </w:rPr>
        <w:t>童声合唱</w:t>
      </w:r>
      <w:r>
        <w:rPr>
          <w:rFonts w:hint="eastAsia" w:ascii="宋体" w:hAnsi="宋体" w:eastAsia="宋体" w:cs="宋体"/>
          <w:color w:val="auto"/>
          <w:sz w:val="24"/>
          <w:szCs w:val="24"/>
          <w:highlight w:val="none"/>
          <w:u w:val="none"/>
        </w:rPr>
        <w:t>团</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u w:val="none"/>
        </w:rPr>
        <w:t>建设，培养德智体美全面发展的新时代合格接班人</w:t>
      </w:r>
      <w:r>
        <w:rPr>
          <w:rFonts w:hint="eastAsia" w:ascii="宋体" w:hAnsi="宋体" w:eastAsia="宋体" w:cs="宋体"/>
          <w:color w:val="auto"/>
          <w:sz w:val="24"/>
          <w:szCs w:val="24"/>
          <w:highlight w:val="none"/>
          <w:u w:val="none"/>
          <w:lang w:eastAsia="zh-CN"/>
        </w:rPr>
        <w:t>。</w:t>
      </w:r>
    </w:p>
    <w:p>
      <w:pPr>
        <w:pStyle w:val="5"/>
        <w:bidi w:val="0"/>
        <w:ind w:left="-160" w:leftChars="0" w:firstLine="482"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p>
    <w:p>
      <w:pPr>
        <w:keepNext w:val="0"/>
        <w:keepLines w:val="0"/>
        <w:pageBreakBefore w:val="0"/>
        <w:numPr>
          <w:ilvl w:val="0"/>
          <w:numId w:val="44"/>
        </w:numPr>
        <w:kinsoku/>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本项目涉及的老师和工作人员在</w:t>
      </w:r>
      <w:r>
        <w:rPr>
          <w:rFonts w:hint="eastAsia" w:ascii="宋体" w:hAnsi="宋体" w:eastAsia="宋体" w:cs="宋体"/>
          <w:color w:val="auto"/>
          <w:sz w:val="24"/>
          <w:szCs w:val="24"/>
          <w:highlight w:val="none"/>
          <w:u w:val="none"/>
          <w:lang w:val="en-US" w:eastAsia="zh-CN"/>
        </w:rPr>
        <w:t>童声合唱</w:t>
      </w:r>
      <w:r>
        <w:rPr>
          <w:rFonts w:hint="eastAsia" w:ascii="宋体" w:hAnsi="宋体" w:eastAsia="宋体" w:cs="宋体"/>
          <w:color w:val="auto"/>
          <w:sz w:val="24"/>
          <w:szCs w:val="24"/>
          <w:highlight w:val="none"/>
          <w:u w:val="none"/>
        </w:rPr>
        <w:t>团相关工作中发生的食宿费、交通费、劳务费等由</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承担；涉及团员的演出服装、演出发生的交通、</w:t>
      </w:r>
      <w:r>
        <w:rPr>
          <w:rFonts w:hint="eastAsia" w:ascii="宋体" w:hAnsi="宋体" w:eastAsia="宋体" w:cs="宋体"/>
          <w:color w:val="auto"/>
          <w:sz w:val="24"/>
          <w:szCs w:val="24"/>
          <w:highlight w:val="none"/>
          <w:u w:val="none"/>
          <w:lang w:eastAsia="zh-CN"/>
        </w:rPr>
        <w:t>食</w:t>
      </w:r>
      <w:r>
        <w:rPr>
          <w:rFonts w:hint="eastAsia" w:ascii="宋体" w:hAnsi="宋体" w:eastAsia="宋体" w:cs="宋体"/>
          <w:color w:val="auto"/>
          <w:sz w:val="24"/>
          <w:szCs w:val="24"/>
          <w:highlight w:val="none"/>
          <w:u w:val="none"/>
        </w:rPr>
        <w:t>宿费由</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承担。</w:t>
      </w:r>
    </w:p>
    <w:p>
      <w:pPr>
        <w:keepNext w:val="0"/>
        <w:keepLines w:val="0"/>
        <w:pageBreakBefore w:val="0"/>
        <w:numPr>
          <w:ilvl w:val="0"/>
          <w:numId w:val="44"/>
        </w:numPr>
        <w:kinsoku/>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本项目涉及使用的小型教具（教学设备）的购置，如白板、笔、刷子、扩音器等由</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承担。</w:t>
      </w:r>
    </w:p>
    <w:p>
      <w:pPr>
        <w:keepNext w:val="0"/>
        <w:keepLines w:val="0"/>
        <w:pageBreakBefore w:val="0"/>
        <w:numPr>
          <w:ilvl w:val="0"/>
          <w:numId w:val="44"/>
        </w:numPr>
        <w:kinsoku/>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与本项目相关的宣传费、资料费、广告费、代理服务、税费等由</w:t>
      </w:r>
      <w:r>
        <w:rPr>
          <w:rFonts w:hint="eastAsia" w:ascii="宋体" w:hAnsi="宋体" w:eastAsia="宋体" w:cs="宋体"/>
          <w:color w:val="auto"/>
          <w:sz w:val="24"/>
          <w:szCs w:val="24"/>
          <w:highlight w:val="none"/>
          <w:u w:val="none"/>
          <w:lang w:eastAsia="zh-CN"/>
        </w:rPr>
        <w:t>成交供应商</w:t>
      </w:r>
      <w:r>
        <w:rPr>
          <w:rFonts w:hint="eastAsia" w:ascii="宋体" w:hAnsi="宋体" w:eastAsia="宋体" w:cs="宋体"/>
          <w:color w:val="auto"/>
          <w:sz w:val="24"/>
          <w:szCs w:val="24"/>
          <w:highlight w:val="none"/>
          <w:u w:val="none"/>
        </w:rPr>
        <w:t>承担。</w:t>
      </w:r>
    </w:p>
    <w:p>
      <w:pPr>
        <w:rPr>
          <w:rFonts w:hint="eastAsia"/>
        </w:rPr>
      </w:pPr>
    </w:p>
    <w:p>
      <w:pPr>
        <w:pStyle w:val="4"/>
        <w:bidi w:val="0"/>
        <w:spacing w:line="360" w:lineRule="auto"/>
        <w:rPr>
          <w:rFonts w:hint="default"/>
          <w:sz w:val="24"/>
          <w:szCs w:val="24"/>
          <w:lang w:val="en-US" w:eastAsia="zh-CN"/>
        </w:rPr>
      </w:pPr>
      <w:bookmarkStart w:id="302" w:name="_Toc1952"/>
      <w:r>
        <w:rPr>
          <w:rFonts w:hint="eastAsia"/>
          <w:sz w:val="24"/>
          <w:szCs w:val="24"/>
          <w:lang w:val="en-US" w:eastAsia="zh-CN"/>
        </w:rPr>
        <w:t>商务要求</w:t>
      </w:r>
      <w:bookmarkEnd w:id="302"/>
    </w:p>
    <w:p>
      <w:pPr>
        <w:pStyle w:val="5"/>
        <w:bidi w:val="0"/>
        <w:spacing w:line="360" w:lineRule="auto"/>
        <w:ind w:left="-160" w:leftChars="0" w:firstLineChars="0"/>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服务期限</w:t>
      </w:r>
    </w:p>
    <w:p>
      <w:pPr>
        <w:bidi w:val="0"/>
        <w:spacing w:line="360" w:lineRule="auto"/>
        <w:ind w:firstLine="480" w:firstLineChars="200"/>
        <w:rPr>
          <w:sz w:val="24"/>
          <w:szCs w:val="24"/>
        </w:rPr>
      </w:pP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与采购人签订合同后30个工作日内启动，服务周期为1年。</w:t>
      </w:r>
    </w:p>
    <w:p>
      <w:pPr>
        <w:pStyle w:val="5"/>
        <w:bidi w:val="0"/>
        <w:spacing w:line="360" w:lineRule="auto"/>
        <w:ind w:left="-160" w:leftChars="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培训地点</w:t>
      </w:r>
    </w:p>
    <w:p>
      <w:pPr>
        <w:spacing w:after="0" w:line="276" w:lineRule="auto"/>
        <w:ind w:firstLine="960" w:firstLineChars="400"/>
        <w:rPr>
          <w:rFonts w:ascii="宋体" w:hAnsi="宋体"/>
          <w:color w:val="auto"/>
          <w:sz w:val="24"/>
          <w:highlight w:val="none"/>
        </w:rPr>
      </w:pPr>
      <w:r>
        <w:rPr>
          <w:rFonts w:hint="eastAsia" w:ascii="宋体" w:hAnsi="宋体"/>
          <w:color w:val="auto"/>
          <w:sz w:val="24"/>
          <w:highlight w:val="none"/>
        </w:rPr>
        <w:t>由采购人和</w:t>
      </w:r>
      <w:r>
        <w:rPr>
          <w:rFonts w:hint="eastAsia" w:ascii="宋体" w:hAnsi="宋体"/>
          <w:color w:val="auto"/>
          <w:sz w:val="24"/>
          <w:highlight w:val="none"/>
          <w:lang w:val="en-US" w:eastAsia="zh-CN"/>
        </w:rPr>
        <w:t>成交供应商</w:t>
      </w:r>
      <w:r>
        <w:rPr>
          <w:rFonts w:hint="eastAsia" w:ascii="宋体" w:hAnsi="宋体"/>
          <w:color w:val="auto"/>
          <w:sz w:val="24"/>
          <w:highlight w:val="none"/>
        </w:rPr>
        <w:t>协商解决。</w:t>
      </w:r>
    </w:p>
    <w:p>
      <w:pPr>
        <w:pStyle w:val="5"/>
        <w:bidi w:val="0"/>
        <w:spacing w:line="360" w:lineRule="auto"/>
        <w:ind w:left="-160" w:leftChars="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服务费</w:t>
      </w:r>
    </w:p>
    <w:p>
      <w:pPr>
        <w:pStyle w:val="14"/>
        <w:keepNext w:val="0"/>
        <w:keepLines w:val="0"/>
        <w:pageBreakBefore w:val="0"/>
        <w:kinsoku/>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包含成都市双流区</w:t>
      </w:r>
      <w:r>
        <w:rPr>
          <w:rFonts w:hint="eastAsia" w:ascii="宋体" w:hAnsi="宋体" w:eastAsia="宋体" w:cs="宋体"/>
          <w:color w:val="auto"/>
          <w:sz w:val="24"/>
          <w:szCs w:val="24"/>
          <w:highlight w:val="none"/>
          <w:u w:val="none"/>
          <w:lang w:val="en-US" w:eastAsia="zh-CN"/>
        </w:rPr>
        <w:t>童声合唱</w:t>
      </w:r>
      <w:r>
        <w:rPr>
          <w:rFonts w:hint="eastAsia" w:ascii="宋体" w:hAnsi="宋体" w:eastAsia="宋体" w:cs="宋体"/>
          <w:color w:val="auto"/>
          <w:sz w:val="24"/>
          <w:szCs w:val="24"/>
          <w:highlight w:val="none"/>
          <w:u w:val="none"/>
        </w:rPr>
        <w:t>团的</w:t>
      </w:r>
      <w:r>
        <w:rPr>
          <w:rFonts w:hint="eastAsia" w:ascii="宋体" w:hAnsi="宋体" w:eastAsia="宋体" w:cs="宋体"/>
          <w:color w:val="auto"/>
          <w:sz w:val="24"/>
          <w:szCs w:val="24"/>
          <w:highlight w:val="none"/>
          <w:u w:val="none"/>
          <w:lang w:val="en-US" w:eastAsia="zh-CN"/>
        </w:rPr>
        <w:t>团员补充</w:t>
      </w:r>
      <w:r>
        <w:rPr>
          <w:rFonts w:hint="eastAsia" w:ascii="宋体" w:hAnsi="宋体" w:eastAsia="宋体" w:cs="宋体"/>
          <w:color w:val="auto"/>
          <w:sz w:val="24"/>
          <w:szCs w:val="24"/>
          <w:highlight w:val="none"/>
          <w:u w:val="none"/>
        </w:rPr>
        <w:t>、培训，代表双流区参加</w:t>
      </w:r>
      <w:r>
        <w:rPr>
          <w:rFonts w:hint="eastAsia" w:ascii="宋体" w:hAnsi="宋体" w:eastAsia="宋体" w:cs="宋体"/>
          <w:color w:val="auto"/>
          <w:sz w:val="24"/>
          <w:szCs w:val="24"/>
          <w:highlight w:val="none"/>
          <w:u w:val="none"/>
          <w:lang w:eastAsia="zh-CN"/>
        </w:rPr>
        <w:t>国内外</w:t>
      </w:r>
      <w:r>
        <w:rPr>
          <w:rFonts w:hint="eastAsia" w:ascii="宋体" w:hAnsi="宋体" w:eastAsia="宋体" w:cs="宋体"/>
          <w:color w:val="auto"/>
          <w:sz w:val="24"/>
          <w:szCs w:val="24"/>
          <w:highlight w:val="none"/>
          <w:u w:val="none"/>
        </w:rPr>
        <w:t>各类展演、比赛、交流所产生费用，以及</w:t>
      </w:r>
      <w:r>
        <w:rPr>
          <w:rFonts w:hint="eastAsia" w:ascii="宋体" w:hAnsi="宋体" w:eastAsia="宋体" w:cs="宋体"/>
          <w:color w:val="auto"/>
          <w:sz w:val="24"/>
          <w:szCs w:val="24"/>
          <w:highlight w:val="none"/>
          <w:u w:val="none"/>
          <w:lang w:eastAsia="zh-CN"/>
        </w:rPr>
        <w:t>中标人</w:t>
      </w:r>
      <w:r>
        <w:rPr>
          <w:rFonts w:hint="eastAsia" w:ascii="宋体" w:hAnsi="宋体" w:eastAsia="宋体" w:cs="宋体"/>
          <w:color w:val="auto"/>
          <w:sz w:val="24"/>
          <w:szCs w:val="24"/>
          <w:highlight w:val="none"/>
          <w:u w:val="none"/>
        </w:rPr>
        <w:t>投入的人力及差旅成本等。以上费用均为含税价格。</w:t>
      </w:r>
    </w:p>
    <w:p>
      <w:pPr>
        <w:pStyle w:val="5"/>
        <w:bidi w:val="0"/>
        <w:spacing w:line="360" w:lineRule="auto"/>
        <w:ind w:left="-160" w:leftChars="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付款方式</w:t>
      </w:r>
    </w:p>
    <w:p>
      <w:pPr>
        <w:keepNext w:val="0"/>
        <w:keepLines w:val="0"/>
        <w:pageBreakBefore w:val="0"/>
        <w:numPr>
          <w:ilvl w:val="0"/>
          <w:numId w:val="0"/>
        </w:numPr>
        <w:kinsoku/>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个工作日内，采购人向</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合同总金额</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0%</w:t>
      </w:r>
      <w:r>
        <w:rPr>
          <w:rFonts w:hint="eastAsia" w:ascii="宋体" w:hAnsi="宋体" w:eastAsia="宋体" w:cs="宋体"/>
          <w:color w:val="auto"/>
          <w:sz w:val="24"/>
          <w:szCs w:val="24"/>
          <w:highlight w:val="none"/>
        </w:rPr>
        <w:t>的费用；第二学期开学</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天内支付</w:t>
      </w:r>
      <w:r>
        <w:rPr>
          <w:rFonts w:hint="eastAsia" w:ascii="宋体" w:hAnsi="宋体" w:eastAsia="宋体" w:cs="宋体"/>
          <w:color w:val="auto"/>
          <w:sz w:val="24"/>
          <w:szCs w:val="24"/>
          <w:highlight w:val="none"/>
          <w:lang w:val="en-US" w:eastAsia="zh-CN"/>
        </w:rPr>
        <w:t>合同总金额</w:t>
      </w:r>
      <w:r>
        <w:rPr>
          <w:rFonts w:hint="eastAsia" w:ascii="宋体" w:hAnsi="宋体" w:eastAsia="宋体" w:cs="宋体"/>
          <w:color w:val="auto"/>
          <w:sz w:val="24"/>
          <w:szCs w:val="24"/>
          <w:highlight w:val="none"/>
        </w:rPr>
        <w:t>40%费用；余下的</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0%</w:t>
      </w:r>
      <w:r>
        <w:rPr>
          <w:rFonts w:hint="eastAsia" w:ascii="宋体" w:hAnsi="宋体" w:eastAsia="宋体" w:cs="宋体"/>
          <w:color w:val="auto"/>
          <w:sz w:val="24"/>
          <w:szCs w:val="24"/>
          <w:highlight w:val="none"/>
        </w:rPr>
        <w:t>费用在项目执行完成并通过验收后10个工作日内支付。</w:t>
      </w:r>
    </w:p>
    <w:p>
      <w:pPr>
        <w:pStyle w:val="5"/>
        <w:bidi w:val="0"/>
        <w:spacing w:line="360" w:lineRule="auto"/>
        <w:ind w:left="-160" w:leftChars="0" w:firstLineChars="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验收方法和标准</w:t>
      </w:r>
    </w:p>
    <w:p>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服务周期结束后30天内，</w:t>
      </w:r>
      <w:r>
        <w:rPr>
          <w:rFonts w:hint="eastAsia" w:ascii="宋体" w:hAnsi="宋体" w:eastAsia="宋体" w:cs="宋体"/>
          <w:color w:val="auto"/>
          <w:sz w:val="24"/>
          <w:szCs w:val="24"/>
          <w:highlight w:val="none"/>
          <w:lang w:eastAsia="zh-CN"/>
        </w:rPr>
        <w:t>由采购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邀请第三方机构对该项目进行绩效评估，</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全面配合并承担评估产生的所有费用，并</w:t>
      </w:r>
      <w:r>
        <w:rPr>
          <w:rFonts w:hint="eastAsia" w:ascii="宋体" w:hAnsi="宋体" w:eastAsia="宋体" w:cs="宋体"/>
          <w:color w:val="auto"/>
          <w:sz w:val="24"/>
          <w:szCs w:val="24"/>
          <w:highlight w:val="none"/>
        </w:rPr>
        <w:t>向采购人提供1套项目的文字材料说明、照片、视频等资料。</w:t>
      </w:r>
      <w:r>
        <w:rPr>
          <w:rFonts w:hint="eastAsia" w:ascii="宋体" w:hAnsi="宋体" w:eastAsia="宋体" w:cs="宋体"/>
          <w:color w:val="auto"/>
          <w:kern w:val="2"/>
          <w:sz w:val="24"/>
          <w:szCs w:val="24"/>
          <w:highlight w:val="none"/>
          <w:lang w:val="en-US" w:eastAsia="zh-CN" w:bidi="ar-SA"/>
        </w:rPr>
        <w:t>其他未尽事宜按照</w:t>
      </w:r>
      <w:r>
        <w:rPr>
          <w:rFonts w:hint="eastAsia" w:ascii="宋体" w:hAnsi="宋体" w:eastAsia="宋体" w:cs="宋体"/>
          <w:color w:val="000000"/>
          <w:sz w:val="24"/>
          <w:szCs w:val="24"/>
        </w:rPr>
        <w:t>《财政部关于进一步加强政府采购需求和履约验收管理的指导意见》（财库〔2016〕205号</w:t>
      </w:r>
      <w:r>
        <w:rPr>
          <w:rFonts w:hint="eastAsia" w:ascii="宋体" w:hAnsi="宋体" w:eastAsia="宋体" w:cs="宋体"/>
          <w:color w:val="auto"/>
          <w:kern w:val="2"/>
          <w:sz w:val="24"/>
          <w:szCs w:val="24"/>
          <w:highlight w:val="none"/>
          <w:lang w:val="en-US" w:eastAsia="zh-CN" w:bidi="ar-SA"/>
        </w:rPr>
        <w:t>要求进行验收。</w:t>
      </w:r>
    </w:p>
    <w:p>
      <w:pPr>
        <w:pStyle w:val="5"/>
        <w:bidi w:val="0"/>
        <w:spacing w:line="360" w:lineRule="auto"/>
        <w:ind w:left="-160" w:leftChars="0" w:firstLineChars="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其他要求</w:t>
      </w:r>
    </w:p>
    <w:p>
      <w:pPr>
        <w:pStyle w:val="53"/>
        <w:keepNext w:val="0"/>
        <w:keepLines w:val="0"/>
        <w:pageBreakBefore w:val="0"/>
        <w:widowControl w:val="0"/>
        <w:kinsoku/>
        <w:wordWrap w:val="0"/>
        <w:overflowPunct/>
        <w:topLinePunct w:val="0"/>
        <w:autoSpaceDE/>
        <w:autoSpaceDN/>
        <w:bidi w:val="0"/>
        <w:adjustRightInd/>
        <w:snapToGrid/>
        <w:spacing w:line="360" w:lineRule="auto"/>
        <w:ind w:left="0" w:leftChars="0" w:right="862" w:firstLine="420" w:firstLineChars="175"/>
        <w:jc w:val="left"/>
        <w:textAlignment w:val="auto"/>
        <w:rPr>
          <w:rFonts w:hint="eastAsia" w:ascii="宋体" w:hAnsi="宋体" w:eastAsia="宋体" w:cs="Times New Roman"/>
          <w:i w:val="0"/>
          <w:color w:val="000000"/>
          <w:kern w:val="2"/>
          <w:sz w:val="24"/>
          <w:szCs w:val="24"/>
          <w:highlight w:val="none"/>
          <w:lang w:val="en-US" w:eastAsia="zh-CN" w:bidi="ar-SA"/>
        </w:rPr>
      </w:pPr>
      <w:r>
        <w:rPr>
          <w:rFonts w:hint="eastAsia" w:ascii="宋体" w:hAnsi="宋体" w:eastAsia="宋体" w:cs="Times New Roman"/>
          <w:i w:val="0"/>
          <w:color w:val="000000"/>
          <w:kern w:val="2"/>
          <w:sz w:val="24"/>
          <w:szCs w:val="24"/>
          <w:lang w:val="en-US" w:eastAsia="zh-CN" w:bidi="ar-SA"/>
        </w:rPr>
        <w:t>培训期间和参加各类活动期</w:t>
      </w:r>
      <w:r>
        <w:rPr>
          <w:rFonts w:hint="eastAsia" w:ascii="宋体" w:hAnsi="宋体" w:eastAsia="宋体" w:cs="Times New Roman"/>
          <w:i w:val="0"/>
          <w:color w:val="000000"/>
          <w:kern w:val="2"/>
          <w:sz w:val="24"/>
          <w:szCs w:val="24"/>
          <w:highlight w:val="none"/>
          <w:lang w:val="en-US" w:eastAsia="zh-CN" w:bidi="ar-SA"/>
        </w:rPr>
        <w:t>间，由</w:t>
      </w:r>
      <w:r>
        <w:rPr>
          <w:rFonts w:hint="eastAsia" w:ascii="宋体" w:hAnsi="宋体" w:cs="Times New Roman"/>
          <w:i w:val="0"/>
          <w:color w:val="000000"/>
          <w:kern w:val="2"/>
          <w:sz w:val="24"/>
          <w:szCs w:val="24"/>
          <w:highlight w:val="none"/>
          <w:lang w:val="en-US" w:eastAsia="zh-CN" w:bidi="ar-SA"/>
        </w:rPr>
        <w:t>成交供应商</w:t>
      </w:r>
      <w:r>
        <w:rPr>
          <w:rFonts w:hint="eastAsia" w:ascii="宋体" w:hAnsi="宋体" w:eastAsia="宋体" w:cs="Times New Roman"/>
          <w:i w:val="0"/>
          <w:color w:val="000000"/>
          <w:kern w:val="2"/>
          <w:sz w:val="24"/>
          <w:szCs w:val="24"/>
          <w:highlight w:val="none"/>
          <w:lang w:val="en-US" w:eastAsia="zh-CN" w:bidi="ar-SA"/>
        </w:rPr>
        <w:t>全面负责团员的安全工作，同时必须做好培训期间的疫情防控工作。</w:t>
      </w:r>
    </w:p>
    <w:p>
      <w:pPr>
        <w:pStyle w:val="5"/>
        <w:bidi w:val="0"/>
        <w:spacing w:line="360" w:lineRule="auto"/>
        <w:ind w:left="-160" w:leftChars="0" w:firstLineChars="0"/>
        <w:rPr>
          <w:rFonts w:hint="eastAsia"/>
          <w:highlight w:val="none"/>
          <w:lang w:val="en-US" w:eastAsia="zh-CN"/>
        </w:rPr>
      </w:pPr>
      <w:r>
        <w:rPr>
          <w:rFonts w:hint="eastAsia"/>
          <w:highlight w:val="none"/>
          <w:lang w:val="en-US" w:eastAsia="zh-CN"/>
        </w:rPr>
        <w:t>最高限价</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本项目最高限价</w:t>
      </w:r>
      <w:r>
        <w:rPr>
          <w:rFonts w:hint="eastAsia" w:ascii="宋体" w:hAnsi="宋体" w:cs="宋体"/>
          <w:b/>
          <w:color w:val="auto"/>
          <w:sz w:val="24"/>
          <w:szCs w:val="24"/>
          <w:highlight w:val="none"/>
          <w:lang w:val="en-US" w:eastAsia="zh-CN"/>
        </w:rPr>
        <w:t>96.354万元</w:t>
      </w:r>
      <w:r>
        <w:rPr>
          <w:rFonts w:hint="eastAsia" w:ascii="宋体" w:hAnsi="宋体" w:eastAsia="宋体" w:cs="宋体"/>
          <w:b/>
          <w:color w:val="auto"/>
          <w:sz w:val="24"/>
          <w:szCs w:val="24"/>
          <w:highlight w:val="none"/>
        </w:rPr>
        <w:t>，供应商报价高于最高限价的则其响应文件将按无效响应文件处理。</w:t>
      </w:r>
    </w:p>
    <w:p>
      <w:pPr>
        <w:rPr>
          <w:rFonts w:hint="eastAsia"/>
          <w:highlight w:val="none"/>
          <w:lang w:val="en-US" w:eastAsia="zh-CN"/>
        </w:rPr>
      </w:pPr>
    </w:p>
    <w:p>
      <w:pPr>
        <w:rPr>
          <w:rFonts w:hint="eastAsia"/>
          <w:highlight w:val="none"/>
          <w:lang w:val="en-US" w:eastAsia="zh-CN"/>
        </w:rPr>
      </w:pPr>
    </w:p>
    <w:bookmarkEnd w:id="300"/>
    <w:p>
      <w:pPr>
        <w:pStyle w:val="2"/>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注：本章及合同条款均属于磋商内容，在磋商过程中均可变更（含实质性变更）。</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本章加★条款为采购项目实质性要求，不允许有负偏离。</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本章所列内容（含加★的）均可在磋商过程中进行响应。</w:t>
      </w:r>
    </w:p>
    <w:p>
      <w:pPr>
        <w:pStyle w:val="2"/>
        <w:rPr>
          <w:color w:val="auto"/>
          <w:highlight w:val="none"/>
        </w:rPr>
      </w:pPr>
    </w:p>
    <w:p>
      <w:pPr>
        <w:rPr>
          <w:color w:val="auto"/>
          <w:highlight w:val="none"/>
        </w:rPr>
      </w:pPr>
    </w:p>
    <w:p>
      <w:pPr>
        <w:pStyle w:val="2"/>
        <w:rPr>
          <w:color w:val="auto"/>
          <w:highlight w:val="none"/>
        </w:rPr>
      </w:pPr>
    </w:p>
    <w:p>
      <w:pPr>
        <w:rPr>
          <w:highlight w:val="none"/>
        </w:rPr>
        <w:sectPr>
          <w:pgSz w:w="11906" w:h="16838"/>
          <w:pgMar w:top="1440" w:right="1274" w:bottom="1440" w:left="1418" w:header="851" w:footer="992" w:gutter="0"/>
          <w:cols w:space="720" w:num="1"/>
          <w:docGrid w:type="lines" w:linePitch="312" w:charSpace="0"/>
        </w:sectPr>
      </w:pPr>
    </w:p>
    <w:p>
      <w:pPr>
        <w:pStyle w:val="3"/>
        <w:rPr>
          <w:rFonts w:hint="eastAsia"/>
          <w:color w:val="auto"/>
          <w:highlight w:val="none"/>
        </w:rPr>
      </w:pPr>
      <w:bookmarkStart w:id="303" w:name="_Toc238581781"/>
      <w:bookmarkStart w:id="304" w:name="_Toc27350"/>
      <w:r>
        <w:rPr>
          <w:rFonts w:hint="eastAsia"/>
          <w:color w:val="auto"/>
          <w:highlight w:val="none"/>
        </w:rPr>
        <w:t>响应</w:t>
      </w:r>
      <w:bookmarkEnd w:id="303"/>
      <w:r>
        <w:rPr>
          <w:rFonts w:hint="eastAsia"/>
          <w:color w:val="auto"/>
          <w:highlight w:val="none"/>
        </w:rPr>
        <w:t>文件格式</w:t>
      </w:r>
      <w:bookmarkEnd w:id="304"/>
    </w:p>
    <w:p>
      <w:pPr>
        <w:pStyle w:val="4"/>
        <w:rPr>
          <w:color w:val="auto"/>
          <w:highlight w:val="none"/>
        </w:rPr>
      </w:pPr>
      <w:bookmarkStart w:id="305" w:name="_Toc21920"/>
      <w:r>
        <w:rPr>
          <w:rFonts w:hint="eastAsia"/>
          <w:color w:val="auto"/>
          <w:highlight w:val="none"/>
        </w:rPr>
        <w:t>资格性响应文件格式</w:t>
      </w:r>
      <w:bookmarkEnd w:id="305"/>
    </w:p>
    <w:p>
      <w:pPr>
        <w:pStyle w:val="5"/>
        <w:ind w:left="-80" w:leftChars="0" w:firstLine="482" w:firstLineChars="0"/>
        <w:rPr>
          <w:color w:val="auto"/>
          <w:highlight w:val="none"/>
        </w:rPr>
      </w:pPr>
      <w:bookmarkStart w:id="306" w:name="_Toc320698761"/>
      <w:r>
        <w:rPr>
          <w:rFonts w:hint="eastAsia"/>
          <w:color w:val="auto"/>
          <w:highlight w:val="none"/>
        </w:rPr>
        <w:t>资格性响应件密封包装最外层格式</w:t>
      </w:r>
      <w:bookmarkEnd w:id="306"/>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成都市双流区文化体育和旅游局双流区童声合唱团第二期管理及培训采购项目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510122202100284</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bookmarkStart w:id="307" w:name="_Toc320698762"/>
      <w:r>
        <w:rPr>
          <w:rFonts w:hint="eastAsia"/>
          <w:color w:val="auto"/>
          <w:highlight w:val="none"/>
        </w:rPr>
        <w:t>资格性响应文件封面格式</w:t>
      </w:r>
      <w:bookmarkEnd w:id="307"/>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成都市双流区文化体育和旅游局双流区童声合唱团第二期管理及培训采购项目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510122202100284</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ind w:left="1900" w:leftChars="150" w:hanging="1540" w:hangingChars="642"/>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240" w:firstLineChars="100"/>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45"/>
        </w:numPr>
        <w:spacing w:line="360" w:lineRule="auto"/>
        <w:ind w:left="0" w:leftChars="0" w:firstLine="420" w:firstLineChars="0"/>
        <w:rPr>
          <w:rFonts w:ascii="宋体" w:hAnsi="宋体"/>
          <w:b/>
          <w:color w:val="auto"/>
          <w:highlight w:val="none"/>
        </w:rPr>
      </w:pPr>
      <w:r>
        <w:rPr>
          <w:rFonts w:hint="eastAsia" w:ascii="宋体" w:hAnsi="宋体"/>
          <w:b/>
          <w:color w:val="auto"/>
          <w:highlight w:val="none"/>
        </w:rPr>
        <w:t>资格性响应文件正本一份、副本二份；（实质性要求）</w:t>
      </w:r>
    </w:p>
    <w:p>
      <w:pPr>
        <w:numPr>
          <w:ilvl w:val="0"/>
          <w:numId w:val="45"/>
        </w:numPr>
        <w:spacing w:line="360" w:lineRule="auto"/>
        <w:ind w:left="0" w:leftChars="0" w:firstLine="420" w:firstLineChars="0"/>
        <w:rPr>
          <w:rFonts w:ascii="宋体" w:hAnsi="宋体"/>
          <w:b/>
          <w:color w:val="auto"/>
          <w:highlight w:val="none"/>
        </w:rPr>
      </w:pPr>
      <w:r>
        <w:rPr>
          <w:rFonts w:hint="eastAsia" w:ascii="宋体" w:hAnsi="宋体"/>
          <w:b/>
          <w:color w:val="auto"/>
          <w:highlight w:val="none"/>
        </w:rPr>
        <w:t>资格性响应文件应单独密封包装，并于截止时间前送达指定地点；</w:t>
      </w:r>
    </w:p>
    <w:p>
      <w:pPr>
        <w:numPr>
          <w:ilvl w:val="0"/>
          <w:numId w:val="45"/>
        </w:numPr>
        <w:spacing w:line="360" w:lineRule="auto"/>
        <w:ind w:left="0" w:leftChars="0" w:firstLine="420" w:firstLineChars="0"/>
        <w:rPr>
          <w:rFonts w:ascii="宋体" w:hAnsi="宋体"/>
          <w:color w:val="auto"/>
          <w:highlight w:val="none"/>
        </w:rPr>
      </w:pPr>
      <w:r>
        <w:rPr>
          <w:rFonts w:hint="eastAsia" w:ascii="宋体" w:hAnsi="宋体"/>
          <w:b/>
          <w:color w:val="auto"/>
          <w:highlight w:val="none"/>
        </w:rPr>
        <w:t>签字、盖章应符合竞争性磋商文件要求。（实质性要求）</w:t>
      </w:r>
    </w:p>
    <w:p>
      <w:pPr>
        <w:numPr>
          <w:ilvl w:val="0"/>
          <w:numId w:val="45"/>
        </w:numPr>
        <w:spacing w:line="360" w:lineRule="auto"/>
        <w:ind w:left="0" w:leftChars="0" w:firstLine="420" w:firstLineChars="0"/>
        <w:rPr>
          <w:rFonts w:ascii="宋体" w:hAnsi="宋体"/>
          <w:color w:val="auto"/>
          <w:highlight w:val="none"/>
        </w:rPr>
      </w:pPr>
      <w:r>
        <w:rPr>
          <w:rFonts w:hint="eastAsia" w:ascii="宋体" w:hAnsi="宋体"/>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pStyle w:val="2"/>
        <w:spacing w:after="0" w:line="360" w:lineRule="auto"/>
        <w:rPr>
          <w:color w:val="auto"/>
          <w:highlight w:val="none"/>
        </w:rPr>
      </w:pPr>
    </w:p>
    <w:p>
      <w:pPr>
        <w:pStyle w:val="5"/>
        <w:ind w:left="-80" w:leftChars="0" w:firstLine="482" w:firstLineChars="0"/>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308" w:name="_Toc238581782"/>
      <w:bookmarkStart w:id="309" w:name="_Toc119295087"/>
      <w:bookmarkStart w:id="310" w:name="_Toc119203988"/>
      <w:bookmarkStart w:id="311" w:name="_Toc146903609"/>
      <w:bookmarkStart w:id="312" w:name="_Toc119296788"/>
      <w:bookmarkStart w:id="313" w:name="_Toc52184753"/>
      <w:r>
        <w:rPr>
          <w:rFonts w:hint="eastAsia" w:ascii="宋体" w:hAnsi="宋体"/>
          <w:color w:val="auto"/>
          <w:highlight w:val="none"/>
        </w:rPr>
        <w:t>致：</w:t>
      </w:r>
      <w:bookmarkEnd w:id="308"/>
      <w:r>
        <w:rPr>
          <w:rFonts w:hint="eastAsia" w:ascii="宋体" w:hAnsi="宋体"/>
          <w:color w:val="auto"/>
          <w:highlight w:val="none"/>
        </w:rPr>
        <w:t>四川世科工程咨询有限公司</w:t>
      </w:r>
    </w:p>
    <w:p>
      <w:pPr>
        <w:pStyle w:val="27"/>
        <w:spacing w:line="360" w:lineRule="auto"/>
        <w:ind w:firstLine="480" w:firstLineChars="200"/>
        <w:jc w:val="left"/>
        <w:rPr>
          <w:rFonts w:ascii="宋体" w:hAnsi="宋体" w:cs="宋体"/>
          <w:color w:val="auto"/>
          <w:sz w:val="24"/>
          <w:highlight w:val="none"/>
        </w:rPr>
      </w:pPr>
      <w:bookmarkStart w:id="314"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成都市双流区文化体育和旅游局双流区童声合唱团第二期管理及培训采购项目</w:t>
      </w:r>
      <w:r>
        <w:rPr>
          <w:rFonts w:hint="eastAsia" w:ascii="宋体" w:hAnsi="宋体"/>
          <w:b/>
          <w:color w:val="auto"/>
          <w:sz w:val="24"/>
          <w:highlight w:val="none"/>
        </w:rPr>
        <w:t>（项目编号：</w:t>
      </w:r>
      <w:r>
        <w:rPr>
          <w:rFonts w:hint="eastAsia" w:ascii="宋体" w:hAnsi="宋体"/>
          <w:b/>
          <w:color w:val="auto"/>
          <w:sz w:val="24"/>
          <w:highlight w:val="none"/>
          <w:lang w:eastAsia="zh-CN"/>
        </w:rPr>
        <w:t>510122202100284</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46"/>
        </w:numPr>
        <w:spacing w:line="360" w:lineRule="auto"/>
        <w:ind w:left="0" w:firstLine="480" w:firstLineChars="200"/>
        <w:rPr>
          <w:rFonts w:ascii="宋体" w:hAnsi="宋体"/>
          <w:color w:val="auto"/>
          <w:highlight w:val="none"/>
        </w:rPr>
      </w:pPr>
      <w:bookmarkStart w:id="315" w:name="_Toc238581784"/>
      <w:r>
        <w:rPr>
          <w:rFonts w:hint="eastAsia" w:ascii="宋体" w:hAnsi="宋体"/>
          <w:color w:val="auto"/>
          <w:highlight w:val="none"/>
        </w:rPr>
        <w:t>供应商名称及概况：</w:t>
      </w:r>
      <w:bookmarkEnd w:id="315"/>
    </w:p>
    <w:p>
      <w:pPr>
        <w:numPr>
          <w:ilvl w:val="0"/>
          <w:numId w:val="47"/>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47"/>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47"/>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47"/>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46"/>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309"/>
    <w:bookmarkEnd w:id="310"/>
    <w:bookmarkEnd w:id="311"/>
    <w:bookmarkEnd w:id="312"/>
    <w:bookmarkEnd w:id="313"/>
    <w:bookmarkEnd w:id="314"/>
    <w:p>
      <w:pPr>
        <w:pStyle w:val="27"/>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5"/>
        <w:ind w:left="-80" w:leftChars="0" w:firstLine="482" w:firstLineChars="0"/>
        <w:rPr>
          <w:color w:val="auto"/>
          <w:highlight w:val="none"/>
        </w:rPr>
      </w:pPr>
      <w:bookmarkStart w:id="316" w:name="_Toc320698765"/>
      <w:r>
        <w:rPr>
          <w:rFonts w:hint="eastAsia"/>
          <w:color w:val="auto"/>
          <w:highlight w:val="none"/>
        </w:rPr>
        <w:t>具有独立承担民事责任的能力</w:t>
      </w:r>
      <w:r>
        <w:rPr>
          <w:rFonts w:hint="eastAsia" w:ascii="宋体" w:hAnsi="宋体" w:cs="宋体"/>
          <w:color w:val="auto"/>
          <w:sz w:val="24"/>
          <w:szCs w:val="24"/>
          <w:highlight w:val="none"/>
        </w:rPr>
        <w:t>证明材料</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ascii="宋体" w:hAnsi="宋体" w:cs="宋体"/>
          <w:bCs/>
          <w:color w:val="auto"/>
          <w:highlight w:val="none"/>
        </w:rPr>
      </w:pPr>
    </w:p>
    <w:p>
      <w:pPr>
        <w:rPr>
          <w:color w:val="auto"/>
          <w:highlight w:val="none"/>
        </w:rPr>
      </w:pPr>
    </w:p>
    <w:p>
      <w:pPr>
        <w:pStyle w:val="2"/>
        <w:rPr>
          <w:color w:val="auto"/>
          <w:highlight w:val="none"/>
        </w:rPr>
      </w:pPr>
    </w:p>
    <w:p>
      <w:pPr>
        <w:rPr>
          <w:color w:val="auto"/>
          <w:highlight w:val="none"/>
        </w:rPr>
      </w:pPr>
    </w:p>
    <w:p>
      <w:pPr>
        <w:pStyle w:val="5"/>
        <w:ind w:left="-80" w:leftChars="0" w:firstLine="482" w:firstLineChars="0"/>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5"/>
        <w:ind w:left="-80" w:leftChars="0" w:firstLine="482" w:firstLineChars="0"/>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48"/>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我公司具有良好的商业信誉。</w:t>
      </w:r>
    </w:p>
    <w:p>
      <w:pPr>
        <w:pStyle w:val="2"/>
        <w:widowControl w:val="0"/>
        <w:numPr>
          <w:ilvl w:val="0"/>
          <w:numId w:val="48"/>
        </w:numPr>
        <w:spacing w:after="0" w:line="360" w:lineRule="auto"/>
        <w:ind w:left="-240" w:leftChars="0" w:firstLine="480" w:firstLineChars="0"/>
        <w:rPr>
          <w:color w:val="auto"/>
          <w:highlight w:val="none"/>
        </w:rPr>
      </w:pPr>
      <w:r>
        <w:rPr>
          <w:rFonts w:hint="eastAsia"/>
          <w:color w:val="auto"/>
          <w:highlight w:val="none"/>
        </w:rPr>
        <w:t>我公司具有履行合同所必须的设备和专业技术能力。</w:t>
      </w:r>
    </w:p>
    <w:p>
      <w:pPr>
        <w:widowControl w:val="0"/>
        <w:numPr>
          <w:ilvl w:val="0"/>
          <w:numId w:val="48"/>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 组织的违法行为处以罚款或者没收财产2万元以上；对在经营活动中的违法行为处以罚款或者没收财产5万元以上。国务院有关部门规定的较大数额标准低于前 款规定的，从其规定。</w:t>
      </w:r>
      <w:r>
        <w:rPr>
          <w:rFonts w:hint="eastAsia" w:ascii="宋体" w:hAnsi="宋体"/>
          <w:color w:val="auto"/>
          <w:highlight w:val="none"/>
        </w:rPr>
        <w:t>）</w:t>
      </w:r>
    </w:p>
    <w:p>
      <w:pPr>
        <w:keepNext w:val="0"/>
        <w:keepLines w:val="0"/>
        <w:pageBreakBefore w:val="0"/>
        <w:widowControl w:val="0"/>
        <w:numPr>
          <w:ilvl w:val="0"/>
          <w:numId w:val="48"/>
        </w:numPr>
        <w:kinsoku/>
        <w:wordWrap/>
        <w:overflowPunct/>
        <w:topLinePunct w:val="0"/>
        <w:autoSpaceDE/>
        <w:autoSpaceDN/>
        <w:bidi w:val="0"/>
        <w:adjustRightInd/>
        <w:snapToGrid/>
        <w:spacing w:line="500" w:lineRule="exact"/>
        <w:ind w:firstLine="504"/>
        <w:textAlignment w:val="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我公司</w:t>
      </w:r>
      <w:r>
        <w:rPr>
          <w:rFonts w:hint="eastAsia" w:ascii="宋体" w:hAnsi="宋体" w:eastAsia="宋体" w:cs="Times New Roman"/>
          <w:color w:val="auto"/>
          <w:szCs w:val="24"/>
          <w:highlight w:val="none"/>
        </w:rPr>
        <w:t>未被列入经营异常名录</w:t>
      </w:r>
      <w:r>
        <w:rPr>
          <w:rFonts w:hint="eastAsia" w:ascii="宋体" w:hAnsi="宋体" w:eastAsia="宋体" w:cs="Times New Roman"/>
          <w:color w:val="auto"/>
          <w:szCs w:val="24"/>
          <w:highlight w:val="none"/>
          <w:lang w:eastAsia="zh-CN"/>
        </w:rPr>
        <w:t>。</w:t>
      </w:r>
    </w:p>
    <w:p>
      <w:pPr>
        <w:keepNext w:val="0"/>
        <w:keepLines w:val="0"/>
        <w:pageBreakBefore w:val="0"/>
        <w:widowControl w:val="0"/>
        <w:numPr>
          <w:ilvl w:val="0"/>
          <w:numId w:val="48"/>
        </w:numPr>
        <w:kinsoku/>
        <w:wordWrap/>
        <w:overflowPunct/>
        <w:topLinePunct w:val="0"/>
        <w:autoSpaceDE/>
        <w:autoSpaceDN/>
        <w:bidi w:val="0"/>
        <w:adjustRightInd/>
        <w:snapToGrid/>
        <w:spacing w:line="500" w:lineRule="exact"/>
        <w:ind w:firstLine="504"/>
        <w:textAlignment w:val="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我公司</w:t>
      </w:r>
      <w:r>
        <w:rPr>
          <w:rFonts w:hint="eastAsia" w:ascii="宋体" w:hAnsi="宋体" w:eastAsia="宋体" w:cs="Times New Roman"/>
          <w:color w:val="auto"/>
          <w:szCs w:val="24"/>
          <w:highlight w:val="none"/>
        </w:rPr>
        <w:t>未被列入失信被执行人、重大税收违法案件当事人名单、政府采购严重违法失信行为记录名单</w:t>
      </w:r>
      <w:r>
        <w:rPr>
          <w:rFonts w:hint="eastAsia" w:ascii="宋体" w:hAnsi="宋体" w:eastAsia="宋体" w:cs="Times New Roman"/>
          <w:color w:val="auto"/>
          <w:szCs w:val="24"/>
          <w:highlight w:val="none"/>
          <w:lang w:eastAsia="zh-CN"/>
        </w:rPr>
        <w:t>。</w:t>
      </w:r>
    </w:p>
    <w:p>
      <w:pPr>
        <w:widowControl w:val="0"/>
        <w:numPr>
          <w:ilvl w:val="0"/>
          <w:numId w:val="48"/>
        </w:numPr>
        <w:spacing w:line="360" w:lineRule="auto"/>
        <w:ind w:left="-240" w:leftChars="0" w:firstLine="480" w:firstLineChars="0"/>
        <w:rPr>
          <w:rFonts w:ascii="宋体" w:hAnsi="宋体"/>
          <w:color w:val="auto"/>
          <w:highlight w:val="none"/>
        </w:rPr>
      </w:pPr>
      <w:r>
        <w:rPr>
          <w:rFonts w:hint="eastAsia" w:ascii="宋体" w:hAnsi="宋体" w:eastAsia="宋体" w:cs="宋体"/>
          <w:color w:val="auto"/>
          <w:sz w:val="24"/>
          <w:highlight w:val="none"/>
          <w:lang w:eastAsia="zh-CN"/>
        </w:rPr>
        <w:t>不</w:t>
      </w:r>
      <w:r>
        <w:rPr>
          <w:rFonts w:hint="eastAsia" w:ascii="宋体" w:hAnsi="宋体" w:eastAsia="宋体" w:cs="宋体"/>
          <w:color w:val="auto"/>
          <w:sz w:val="24"/>
          <w:highlight w:val="none"/>
        </w:rPr>
        <w:t>属于其他国家相关法律法规规定的禁止参加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的供应商</w:t>
      </w:r>
      <w:r>
        <w:rPr>
          <w:rFonts w:hint="eastAsia" w:ascii="宋体" w:hAnsi="宋体" w:eastAsia="宋体" w:cs="宋体"/>
          <w:color w:val="auto"/>
          <w:sz w:val="24"/>
          <w:highlight w:val="none"/>
          <w:lang w:eastAsia="zh-CN"/>
        </w:rPr>
        <w:t>。</w:t>
      </w:r>
    </w:p>
    <w:p>
      <w:pPr>
        <w:widowControl w:val="0"/>
        <w:numPr>
          <w:ilvl w:val="0"/>
          <w:numId w:val="48"/>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48"/>
        </w:numPr>
        <w:spacing w:line="360" w:lineRule="auto"/>
        <w:ind w:left="-240" w:leftChars="0" w:firstLine="480" w:firstLineChars="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48"/>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48"/>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48"/>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48"/>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《四川省公共资源交易领域严重失信联合惩戒实施办法》（川发改信用规〔2019〕405号）、《关于对政府采购领域严重违法失信主体开展联合惩戒的合作备案录》（发改财金〔2018〕1614号）</w:t>
      </w:r>
      <w:r>
        <w:rPr>
          <w:rFonts w:hint="eastAsia" w:ascii="宋体" w:hAnsi="宋体"/>
          <w:color w:val="auto"/>
          <w:highlight w:val="none"/>
        </w:rPr>
        <w:t>规定的失信行为，将在</w:t>
      </w:r>
      <w:r>
        <w:rPr>
          <w:rFonts w:hint="eastAsia" w:ascii="宋体" w:hAnsi="宋体"/>
          <w:color w:val="auto"/>
          <w:highlight w:val="none"/>
          <w:lang w:val="en-US" w:eastAsia="zh-CN"/>
        </w:rPr>
        <w:t>响应</w:t>
      </w:r>
      <w:r>
        <w:rPr>
          <w:rFonts w:hint="eastAsia" w:ascii="宋体" w:hAnsi="宋体"/>
          <w:color w:val="auto"/>
          <w:highlight w:val="none"/>
        </w:rPr>
        <w:t>文件中全面如实反映。</w:t>
      </w:r>
    </w:p>
    <w:p>
      <w:pPr>
        <w:widowControl w:val="0"/>
        <w:numPr>
          <w:ilvl w:val="0"/>
          <w:numId w:val="48"/>
        </w:numPr>
        <w:spacing w:line="360" w:lineRule="auto"/>
        <w:ind w:left="-240" w:leftChars="0" w:firstLine="480" w:firstLineChars="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48"/>
        </w:numPr>
        <w:spacing w:line="360" w:lineRule="auto"/>
        <w:ind w:left="-240" w:leftChars="0" w:firstLine="480" w:firstLineChars="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48"/>
        </w:numPr>
        <w:spacing w:line="360" w:lineRule="auto"/>
        <w:ind w:left="-240" w:leftChars="0" w:firstLine="480" w:firstLineChars="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48"/>
        </w:numPr>
        <w:spacing w:line="360" w:lineRule="auto"/>
        <w:ind w:left="-240" w:leftChars="0" w:firstLine="480" w:firstLineChars="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
        <w:widowControl w:val="0"/>
        <w:numPr>
          <w:ilvl w:val="0"/>
          <w:numId w:val="48"/>
        </w:numPr>
        <w:spacing w:after="0" w:line="360" w:lineRule="auto"/>
        <w:ind w:left="-240" w:leftChars="0" w:firstLine="480" w:firstLineChars="0"/>
        <w:rPr>
          <w:rFonts w:ascii="宋体" w:hAnsi="宋体"/>
          <w:color w:val="auto"/>
          <w:kern w:val="2"/>
          <w:highlight w:val="none"/>
        </w:rPr>
      </w:pPr>
      <w:r>
        <w:rPr>
          <w:rFonts w:hint="eastAsia" w:ascii="宋体" w:hAnsi="宋体"/>
          <w:color w:val="auto"/>
          <w:kern w:val="2"/>
          <w:highlight w:val="none"/>
        </w:rPr>
        <w:t>我公司参与本项目非联合体磋商。</w:t>
      </w:r>
    </w:p>
    <w:p>
      <w:pPr>
        <w:pStyle w:val="2"/>
        <w:widowControl w:val="0"/>
        <w:numPr>
          <w:ilvl w:val="0"/>
          <w:numId w:val="48"/>
        </w:numPr>
        <w:spacing w:after="0" w:line="360" w:lineRule="auto"/>
        <w:ind w:left="-240" w:leftChars="0" w:firstLine="480" w:firstLineChars="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pPr>
    </w:p>
    <w:p>
      <w:pPr>
        <w:rPr>
          <w:rFonts w:hint="eastAsia"/>
        </w:rPr>
        <w:sectPr>
          <w:pgSz w:w="11906" w:h="16838"/>
          <w:pgMar w:top="1440" w:right="1274" w:bottom="1440" w:left="1418" w:header="851" w:footer="992" w:gutter="0"/>
          <w:cols w:space="720" w:num="1"/>
          <w:docGrid w:type="lines" w:linePitch="312" w:charSpace="0"/>
        </w:sectPr>
      </w:pPr>
    </w:p>
    <w:p>
      <w:pPr>
        <w:pStyle w:val="5"/>
        <w:ind w:left="-80" w:leftChars="0" w:firstLine="482" w:firstLineChars="0"/>
        <w:rPr>
          <w:rFonts w:hint="eastAsia" w:ascii="宋体" w:hAnsi="宋体" w:eastAsia="宋体" w:cs="Times New Roman"/>
          <w:color w:val="auto"/>
          <w:highlight w:val="none"/>
        </w:rPr>
      </w:pPr>
      <w:r>
        <w:rPr>
          <w:rFonts w:hint="eastAsia" w:cs="Times New Roman"/>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号）的规定，本公司（联合体）参加</w:t>
      </w:r>
      <w:r>
        <w:rPr>
          <w:rFonts w:hint="eastAsia" w:ascii="宋体" w:hAnsi="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（单位名称）的</w:t>
      </w:r>
      <w:r>
        <w:rPr>
          <w:rFonts w:hint="eastAsia" w:ascii="宋体" w:hAnsi="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cs="宋体"/>
          <w:i w:val="0"/>
          <w:iCs w:val="0"/>
          <w:color w:val="000000"/>
          <w:kern w:val="0"/>
          <w:sz w:val="24"/>
          <w:szCs w:val="24"/>
          <w:highlight w:val="none"/>
          <w:lang w:val="en-US" w:eastAsia="zh-CN" w:bidi="ar"/>
        </w:rPr>
        <w:t>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 xml:space="preserve">日 期： </w:t>
      </w:r>
    </w:p>
    <w:p>
      <w:pPr>
        <w:pStyle w:val="14"/>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highlight w:val="none"/>
          <w:lang w:eastAsia="zh-CN"/>
        </w:rPr>
        <w:sectPr>
          <w:pgSz w:w="11906" w:h="16838"/>
          <w:pgMar w:top="1440" w:right="1274" w:bottom="1440" w:left="1418" w:header="851" w:footer="992" w:gutter="0"/>
          <w:cols w:space="720" w:num="1"/>
          <w:docGrid w:type="lines" w:linePitch="312" w:charSpace="0"/>
        </w:sectPr>
      </w:pPr>
      <w:r>
        <w:rPr>
          <w:rFonts w:hint="eastAsia" w:ascii="宋体" w:hAnsi="宋体" w:eastAsia="宋体" w:cs="宋体"/>
          <w:b/>
          <w:bCs/>
          <w:color w:val="000000"/>
          <w:kern w:val="0"/>
          <w:sz w:val="24"/>
          <w:szCs w:val="24"/>
          <w:highlight w:val="none"/>
          <w:lang w:val="en-US" w:eastAsia="zh-CN" w:bidi="ar"/>
        </w:rPr>
        <w:t>本项目采购标的对应的中小企业划分标准所属行业为</w:t>
      </w:r>
      <w:r>
        <w:rPr>
          <w:rFonts w:hint="eastAsia" w:ascii="宋体" w:hAnsi="宋体" w:cs="宋体"/>
          <w:b/>
          <w:bCs/>
          <w:color w:val="000000"/>
          <w:kern w:val="0"/>
          <w:sz w:val="24"/>
          <w:szCs w:val="24"/>
          <w:highlight w:val="none"/>
          <w:lang w:val="en-US" w:eastAsia="zh-CN" w:bidi="ar"/>
        </w:rPr>
        <w:t>租赁和商务服务业</w:t>
      </w:r>
      <w:r>
        <w:rPr>
          <w:rFonts w:hint="eastAsia" w:ascii="宋体" w:hAnsi="宋体" w:cs="宋体"/>
          <w:b/>
          <w:szCs w:val="24"/>
          <w:highlight w:val="none"/>
          <w:lang w:eastAsia="zh-CN"/>
        </w:rPr>
        <w:t>。</w:t>
      </w:r>
      <w:r>
        <w:rPr>
          <w:rFonts w:hint="eastAsia" w:ascii="宋体" w:hAnsi="宋体" w:eastAsia="宋体" w:cs="宋体"/>
          <w:b/>
          <w:bCs/>
          <w:color w:val="000000"/>
          <w:kern w:val="0"/>
          <w:sz w:val="24"/>
          <w:szCs w:val="24"/>
          <w:highlight w:val="none"/>
          <w:lang w:val="en-US" w:eastAsia="zh-CN" w:bidi="ar"/>
        </w:rPr>
        <w:t>[依据国务院批准的中小企业划分标准（工信部联企业〔2011〕300号）：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5"/>
        <w:ind w:left="-80" w:leftChars="0" w:firstLine="482" w:firstLineChars="0"/>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spacing w:val="6"/>
          <w:szCs w:val="24"/>
          <w:highlight w:val="none"/>
        </w:rPr>
      </w:pPr>
      <w:r>
        <w:rPr>
          <w:rFonts w:hint="eastAsia" w:ascii="宋体" w:hAnsi="宋体"/>
          <w:b/>
          <w:spacing w:val="6"/>
          <w:szCs w:val="24"/>
          <w:highlight w:val="none"/>
        </w:rPr>
        <w:t>说明：</w:t>
      </w:r>
      <w:r>
        <w:rPr>
          <w:rFonts w:hint="eastAsia" w:ascii="宋体" w:hAnsi="宋体"/>
          <w:b/>
          <w:color w:val="auto"/>
          <w:spacing w:val="6"/>
          <w:highlight w:val="none"/>
        </w:rPr>
        <w:t>非残疾人福利性单位不提供此声明函</w:t>
      </w:r>
      <w:r>
        <w:rPr>
          <w:rFonts w:hint="eastAsia" w:ascii="宋体" w:hAnsi="宋体"/>
          <w:b/>
          <w:spacing w:val="6"/>
          <w:szCs w:val="24"/>
          <w:highlight w:val="none"/>
        </w:rPr>
        <w:t>。</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结果同时公告其《残疾人福利性单位声明函》，接受社会监督。供应商提供的《残疾人福利性单位声明函》与事实不符的，依照《政府采购法》第七十七条第一款的规定追究法律责任。</w:t>
      </w:r>
    </w:p>
    <w:p>
      <w:pPr>
        <w:pStyle w:val="2"/>
        <w:rPr>
          <w:rFonts w:hint="eastAsia" w:ascii="宋体" w:hAnsi="宋体"/>
          <w:b/>
          <w:spacing w:val="6"/>
          <w:szCs w:val="24"/>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5"/>
        <w:ind w:left="-80" w:leftChars="0" w:firstLine="482" w:firstLineChars="0"/>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（供应商名称）</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文件中附有法定代表人身份证复印件（身份证两面均应复印）或护照复印件（</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的法定代表人为外籍人士的，则提供护照复印件）时才能生效。</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为自然人无须提供身份证明书，仅提供身份证复印件或护照复印件。</w:t>
      </w: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5"/>
        <w:ind w:left="-80" w:leftChars="0" w:firstLine="482" w:firstLineChars="0"/>
        <w:rPr>
          <w:color w:val="auto"/>
          <w:highlight w:val="none"/>
        </w:rPr>
      </w:pPr>
      <w:r>
        <w:rPr>
          <w:rFonts w:hint="eastAsia"/>
          <w:color w:val="auto"/>
          <w:highlight w:val="none"/>
        </w:rPr>
        <w:t>法定代表人授权委托书（格式）</w:t>
      </w:r>
    </w:p>
    <w:p>
      <w:pPr>
        <w:spacing w:line="360" w:lineRule="auto"/>
        <w:ind w:firstLine="480" w:firstLineChars="200"/>
        <w:rPr>
          <w:rFonts w:ascii="宋体" w:hAnsi="宋体"/>
          <w:color w:val="auto"/>
          <w:highlight w:val="none"/>
        </w:rPr>
      </w:pPr>
      <w:r>
        <w:rPr>
          <w:rFonts w:hint="eastAsia" w:ascii="宋体" w:hAnsi="宋体"/>
          <w:color w:val="auto"/>
          <w:highlight w:val="none"/>
        </w:rPr>
        <w:t>四川世科工程咨询有限公司：</w:t>
      </w:r>
    </w:p>
    <w:p>
      <w:pPr>
        <w:spacing w:line="360" w:lineRule="auto"/>
        <w:ind w:firstLine="480" w:firstLineChars="200"/>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成都市双流区文化体育和旅游局双流区童声合唱团第二期管理及培训采购项目</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510122202100284</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spacing w:line="360" w:lineRule="auto"/>
        <w:ind w:firstLine="480" w:firstLineChars="200"/>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spacing w:line="360" w:lineRule="auto"/>
        <w:ind w:firstLine="480" w:firstLineChars="200"/>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ind w:firstLine="482" w:firstLineChars="200"/>
        <w:rPr>
          <w:rFonts w:ascii="宋体" w:hAnsi="宋体"/>
          <w:b/>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pStyle w:val="27"/>
        <w:spacing w:line="360" w:lineRule="auto"/>
        <w:ind w:left="0" w:leftChars="0" w:firstLine="366" w:firstLineChars="152"/>
        <w:rPr>
          <w:rFonts w:hint="eastAsia" w:ascii="宋体" w:hAnsi="宋体" w:eastAsia="宋体" w:cs="Times New Roman"/>
          <w:b/>
          <w:color w:val="auto"/>
          <w:sz w:val="24"/>
          <w:szCs w:val="32"/>
          <w:highlight w:val="none"/>
          <w:lang w:val="zh-CN"/>
        </w:rPr>
        <w:sectPr>
          <w:pgSz w:w="11906" w:h="16838"/>
          <w:pgMar w:top="1440" w:right="1274" w:bottom="1440" w:left="1418" w:header="851" w:footer="992" w:gutter="0"/>
          <w:cols w:space="720" w:num="1"/>
          <w:docGrid w:type="lines" w:linePitch="312" w:charSpace="0"/>
        </w:sectPr>
      </w:pPr>
    </w:p>
    <w:p>
      <w:pPr>
        <w:pStyle w:val="4"/>
        <w:rPr>
          <w:color w:val="auto"/>
          <w:highlight w:val="none"/>
        </w:rPr>
      </w:pPr>
      <w:bookmarkStart w:id="317" w:name="_Toc448403805"/>
      <w:bookmarkStart w:id="318" w:name="_Toc20781"/>
      <w:r>
        <w:rPr>
          <w:rFonts w:hint="eastAsia"/>
          <w:color w:val="auto"/>
          <w:highlight w:val="none"/>
        </w:rPr>
        <w:t>技术、服务性响应文件格式</w:t>
      </w:r>
      <w:bookmarkEnd w:id="317"/>
      <w:bookmarkEnd w:id="318"/>
    </w:p>
    <w:p>
      <w:pPr>
        <w:pStyle w:val="5"/>
        <w:ind w:left="-80" w:leftChars="0" w:firstLine="482" w:firstLineChars="0"/>
        <w:rPr>
          <w:color w:val="auto"/>
          <w:highlight w:val="none"/>
        </w:rPr>
      </w:pPr>
      <w:r>
        <w:rPr>
          <w:rFonts w:hint="eastAsia"/>
          <w:color w:val="auto"/>
          <w:highlight w:val="none"/>
        </w:rPr>
        <w:t>技术、服务性响应件密封包装最外层格式</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成都市双流区文化体育和旅游局双流区童声合唱团第二期管理及培训采购项目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510122202100284</w:t>
            </w:r>
          </w:p>
          <w:p>
            <w:pPr>
              <w:pStyle w:val="2"/>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r>
        <w:rPr>
          <w:rFonts w:hint="eastAsia"/>
          <w:color w:val="auto"/>
          <w:highlight w:val="none"/>
        </w:rPr>
        <w:t>技术、服务性响应文件封面格式</w:t>
      </w:r>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成都市双流区文化体育和旅游局双流区童声合唱团第二期管理及培训采购项目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510122202100284</w:t>
            </w:r>
          </w:p>
          <w:p>
            <w:pPr>
              <w:spacing w:line="360" w:lineRule="auto"/>
              <w:rPr>
                <w:rFonts w:ascii="宋体" w:hAnsi="宋体"/>
                <w:color w:val="auto"/>
                <w:sz w:val="28"/>
                <w:szCs w:val="28"/>
                <w:highlight w:val="none"/>
              </w:rPr>
            </w:pPr>
            <w:r>
              <w:rPr>
                <w:rFonts w:hint="eastAsia" w:ascii="宋体" w:hAnsi="宋体"/>
                <w:b/>
                <w:color w:val="auto"/>
                <w:sz w:val="28"/>
                <w:szCs w:val="28"/>
                <w:highlight w:val="none"/>
              </w:rPr>
              <w:t xml:space="preserve"> </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w:t>
      </w:r>
      <w:r>
        <w:rPr>
          <w:rFonts w:hint="eastAsia" w:ascii="宋体" w:hAnsi="宋体"/>
          <w:b/>
          <w:color w:val="auto"/>
          <w:highlight w:val="none"/>
          <w:lang w:val="en-US" w:eastAsia="zh-CN"/>
        </w:rPr>
        <w:t>达</w:t>
      </w:r>
      <w:r>
        <w:rPr>
          <w:rFonts w:hint="eastAsia" w:ascii="宋体" w:hAnsi="宋体"/>
          <w:b/>
          <w:color w:val="auto"/>
          <w:highlight w:val="none"/>
        </w:rPr>
        <w:t>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5"/>
        <w:ind w:left="-80" w:leftChars="0" w:firstLine="482" w:firstLineChars="0"/>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成都市双流区文化体育和旅游局双流区童声合唱团第二期管理及培训采购项目</w:t>
      </w:r>
      <w:r>
        <w:rPr>
          <w:rFonts w:hint="eastAsia" w:ascii="宋体" w:hAnsi="宋体" w:cs="宋体"/>
          <w:color w:val="auto"/>
          <w:highlight w:val="none"/>
        </w:rPr>
        <w:t>（项目编号：</w:t>
      </w:r>
      <w:r>
        <w:rPr>
          <w:rFonts w:hint="eastAsia" w:ascii="宋体" w:hAnsi="宋体"/>
          <w:b/>
          <w:color w:val="auto"/>
          <w:highlight w:val="none"/>
          <w:u w:val="single"/>
          <w:lang w:eastAsia="zh-CN"/>
        </w:rPr>
        <w:t>510122202100284</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40"/>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成都市双流区文化体育和旅游局双流区童声合唱团第二期管理及培训采购项目</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40"/>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40"/>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40"/>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40"/>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40"/>
        <w:numPr>
          <w:ilvl w:val="1"/>
          <w:numId w:val="49"/>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240" w:lineRule="auto"/>
        <w:ind w:firstLine="241" w:firstLineChars="100"/>
        <w:rPr>
          <w:rFonts w:hint="eastAsia" w:ascii="宋体" w:hAnsi="宋体" w:eastAsia="宋体" w:cs="Times New Roman"/>
          <w:b/>
          <w:color w:val="auto"/>
          <w:kern w:val="2"/>
          <w:sz w:val="24"/>
          <w:szCs w:val="24"/>
          <w:highlight w:val="none"/>
          <w:lang w:val="en-US" w:eastAsia="zh-CN" w:bidi="ar-SA"/>
        </w:rPr>
      </w:pPr>
    </w:p>
    <w:p>
      <w:pPr>
        <w:spacing w:line="360" w:lineRule="auto"/>
        <w:ind w:firstLine="480" w:firstLineChars="200"/>
        <w:rPr>
          <w:color w:val="auto"/>
          <w:highlight w:val="none"/>
        </w:rPr>
      </w:pPr>
      <w:r>
        <w:rPr>
          <w:rFonts w:hint="eastAsia" w:ascii="宋体" w:hAnsi="宋体"/>
          <w:color w:val="auto"/>
          <w:highlight w:val="none"/>
        </w:rPr>
        <w:br w:type="page"/>
      </w:r>
    </w:p>
    <w:bookmarkEnd w:id="316"/>
    <w:p>
      <w:pPr>
        <w:pStyle w:val="5"/>
        <w:ind w:left="-80" w:leftChars="0" w:firstLine="482" w:firstLineChars="0"/>
        <w:rPr>
          <w:color w:val="auto"/>
          <w:highlight w:val="none"/>
        </w:rPr>
      </w:pPr>
      <w:bookmarkStart w:id="319" w:name="_Toc320698766"/>
      <w:r>
        <w:rPr>
          <w:rFonts w:hint="eastAsia"/>
          <w:color w:val="auto"/>
          <w:highlight w:val="none"/>
        </w:rPr>
        <w:t>商务、</w:t>
      </w:r>
      <w:r>
        <w:rPr>
          <w:rFonts w:hint="eastAsia"/>
          <w:color w:val="auto"/>
          <w:highlight w:val="none"/>
          <w:lang w:val="en-US" w:eastAsia="zh-CN"/>
        </w:rPr>
        <w:t>技术</w:t>
      </w:r>
      <w:r>
        <w:rPr>
          <w:rFonts w:hint="eastAsia"/>
          <w:color w:val="auto"/>
          <w:highlight w:val="none"/>
        </w:rPr>
        <w:t>条款偏离表</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成都市双流区文化体育和旅游局双流区青少年交响乐团培训服务采购项目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510122202100284</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highlight w:val="none"/>
          <w:lang w:val="en-US" w:eastAsia="zh-CN"/>
        </w:rPr>
        <w:t>商务</w:t>
      </w:r>
      <w:r>
        <w:rPr>
          <w:rFonts w:hint="eastAsia" w:ascii="宋体" w:hAnsi="宋体"/>
          <w:highlight w:val="none"/>
        </w:rPr>
        <w:t>、</w:t>
      </w:r>
      <w:r>
        <w:rPr>
          <w:rFonts w:hint="eastAsia" w:ascii="宋体" w:hAnsi="宋体"/>
          <w:color w:val="auto"/>
          <w:highlight w:val="none"/>
          <w:lang w:val="en-US" w:eastAsia="zh-CN"/>
        </w:rPr>
        <w:t>技术</w:t>
      </w:r>
      <w:r>
        <w:rPr>
          <w:rFonts w:hint="eastAsia" w:ascii="宋体" w:hAnsi="宋体"/>
          <w:highlight w:val="none"/>
        </w:rPr>
        <w:t>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
        <w:rPr>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240" w:lineRule="auto"/>
        <w:ind w:firstLine="241" w:firstLineChars="100"/>
        <w:rPr>
          <w:rFonts w:hint="eastAsia" w:ascii="宋体" w:hAnsi="宋体" w:eastAsia="宋体" w:cs="Times New Roman"/>
          <w:b/>
          <w:color w:val="auto"/>
          <w:kern w:val="2"/>
          <w:sz w:val="24"/>
          <w:szCs w:val="24"/>
          <w:highlight w:val="none"/>
          <w:lang w:val="en-US" w:eastAsia="zh-CN" w:bidi="ar-SA"/>
        </w:rPr>
      </w:pPr>
    </w:p>
    <w:p>
      <w:pPr>
        <w:spacing w:line="360" w:lineRule="auto"/>
        <w:ind w:firstLine="480" w:firstLineChars="200"/>
        <w:rPr>
          <w:color w:val="auto"/>
          <w:highlight w:val="none"/>
        </w:rPr>
      </w:pPr>
      <w:r>
        <w:rPr>
          <w:rFonts w:hint="eastAsia" w:ascii="宋体" w:hAnsi="宋体"/>
          <w:color w:val="auto"/>
          <w:highlight w:val="none"/>
        </w:rPr>
        <w:br w:type="page"/>
      </w:r>
    </w:p>
    <w:bookmarkEnd w:id="319"/>
    <w:p>
      <w:pPr>
        <w:pStyle w:val="5"/>
        <w:ind w:left="-80" w:leftChars="0" w:firstLine="482" w:firstLineChars="0"/>
        <w:rPr>
          <w:color w:val="auto"/>
          <w:highlight w:val="none"/>
        </w:rPr>
      </w:pPr>
      <w:bookmarkStart w:id="320" w:name="_Toc360696963"/>
      <w:bookmarkStart w:id="321" w:name="_Toc236285891"/>
      <w:bookmarkStart w:id="322" w:name="_Toc238273564"/>
      <w:bookmarkStart w:id="323" w:name="_Toc205604899"/>
      <w:r>
        <w:rPr>
          <w:rFonts w:hint="eastAsia" w:cs="宋体"/>
          <w:sz w:val="24"/>
          <w:szCs w:val="24"/>
          <w:highlight w:val="none"/>
          <w:lang w:val="en-US" w:eastAsia="zh-CN"/>
        </w:rPr>
        <w:t>服务</w:t>
      </w:r>
      <w:r>
        <w:rPr>
          <w:rFonts w:hint="eastAsia" w:ascii="宋体" w:hAnsi="宋体" w:eastAsia="宋体" w:cs="宋体"/>
          <w:sz w:val="24"/>
          <w:szCs w:val="24"/>
          <w:highlight w:val="none"/>
        </w:rPr>
        <w:t>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成都市双流区文化体育和旅游局双流区童声合唱团第二期管理及培训采购项目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510122202100284</w:t>
      </w: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firstLine="480" w:firstLineChars="200"/>
        <w:jc w:val="left"/>
        <w:rPr>
          <w:rFonts w:ascii="宋体" w:hAnsi="宋体"/>
          <w:color w:val="auto"/>
          <w:sz w:val="24"/>
          <w:szCs w:val="24"/>
          <w:highlight w:val="none"/>
        </w:rPr>
      </w:pPr>
    </w:p>
    <w:p>
      <w:pPr>
        <w:pStyle w:val="67"/>
        <w:ind w:firstLine="480" w:firstLineChars="200"/>
        <w:jc w:val="left"/>
        <w:rPr>
          <w:rFonts w:ascii="宋体" w:hAnsi="宋体"/>
          <w:color w:val="auto"/>
          <w:sz w:val="24"/>
          <w:szCs w:val="24"/>
          <w:highlight w:val="none"/>
        </w:rPr>
      </w:pPr>
    </w:p>
    <w:p>
      <w:pPr>
        <w:pStyle w:val="67"/>
        <w:ind w:firstLine="480" w:firstLineChars="200"/>
        <w:jc w:val="left"/>
        <w:rPr>
          <w:rFonts w:ascii="宋体" w:hAnsi="宋体"/>
          <w:color w:val="auto"/>
          <w:sz w:val="24"/>
          <w:szCs w:val="24"/>
          <w:highlight w:val="none"/>
        </w:rPr>
      </w:pPr>
    </w:p>
    <w:p>
      <w:pPr>
        <w:pStyle w:val="67"/>
        <w:ind w:firstLine="480" w:firstLineChars="200"/>
        <w:jc w:val="left"/>
        <w:rPr>
          <w:rFonts w:ascii="宋体" w:hAnsi="宋体"/>
          <w:color w:val="auto"/>
          <w:sz w:val="24"/>
          <w:szCs w:val="24"/>
          <w:highlight w:val="none"/>
        </w:rPr>
      </w:pPr>
    </w:p>
    <w:p>
      <w:pPr>
        <w:pStyle w:val="67"/>
        <w:ind w:firstLine="480" w:firstLineChars="200"/>
        <w:jc w:val="left"/>
        <w:rPr>
          <w:rFonts w:ascii="宋体" w:hAnsi="宋体"/>
          <w:color w:val="auto"/>
          <w:sz w:val="24"/>
          <w:szCs w:val="24"/>
          <w:highlight w:val="none"/>
        </w:rPr>
      </w:pPr>
    </w:p>
    <w:p>
      <w:pPr>
        <w:pStyle w:val="5"/>
        <w:ind w:left="-80" w:leftChars="0" w:firstLine="482" w:firstLineChars="0"/>
        <w:rPr>
          <w:color w:val="auto"/>
          <w:highlight w:val="none"/>
        </w:rPr>
      </w:pPr>
      <w:r>
        <w:rPr>
          <w:rFonts w:hint="eastAsia"/>
          <w:color w:val="auto"/>
          <w:highlight w:val="none"/>
        </w:rPr>
        <w:t>报价表</w:t>
      </w:r>
    </w:p>
    <w:p>
      <w:pPr>
        <w:spacing w:line="360" w:lineRule="auto"/>
        <w:ind w:firstLine="480" w:firstLineChars="200"/>
        <w:rPr>
          <w:color w:val="auto"/>
          <w:highlight w:val="none"/>
        </w:rPr>
      </w:pP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成都市双流区文化体育和旅游局双流区童声合唱团第二期管理及培训采购项目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510122202100284</w:t>
      </w:r>
    </w:p>
    <w:tbl>
      <w:tblPr>
        <w:tblStyle w:val="44"/>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5042"/>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04"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序号</w:t>
            </w:r>
          </w:p>
        </w:tc>
        <w:tc>
          <w:tcPr>
            <w:tcW w:w="5042" w:type="dxa"/>
            <w:vAlign w:val="center"/>
          </w:tcPr>
          <w:p>
            <w:pPr>
              <w:spacing w:line="240" w:lineRule="auto"/>
              <w:ind w:firstLine="0" w:firstLineChars="0"/>
              <w:jc w:val="center"/>
              <w:rPr>
                <w:rFonts w:hint="default" w:ascii="宋体" w:hAnsi="宋体" w:cs="宋体"/>
                <w:b/>
                <w:szCs w:val="24"/>
                <w:highlight w:val="none"/>
                <w:lang w:val="en-US" w:eastAsia="zh-CN"/>
              </w:rPr>
            </w:pPr>
            <w:r>
              <w:rPr>
                <w:rFonts w:hint="eastAsia" w:ascii="宋体" w:hAnsi="宋体" w:cs="宋体"/>
                <w:b/>
                <w:szCs w:val="24"/>
                <w:highlight w:val="none"/>
                <w:lang w:val="en-US" w:eastAsia="zh-CN"/>
              </w:rPr>
              <w:t>项目名称</w:t>
            </w:r>
          </w:p>
        </w:tc>
        <w:tc>
          <w:tcPr>
            <w:tcW w:w="2233" w:type="dxa"/>
            <w:vAlign w:val="center"/>
          </w:tcPr>
          <w:p>
            <w:pPr>
              <w:spacing w:line="240" w:lineRule="auto"/>
              <w:ind w:firstLine="0" w:firstLineChars="0"/>
              <w:jc w:val="center"/>
              <w:rPr>
                <w:rFonts w:hint="eastAsia" w:ascii="宋体" w:hAnsi="宋体" w:cs="宋体"/>
                <w:b/>
                <w:szCs w:val="24"/>
                <w:highlight w:val="none"/>
                <w:lang w:val="en-US" w:eastAsia="zh-CN"/>
              </w:rPr>
            </w:pPr>
            <w:r>
              <w:rPr>
                <w:rFonts w:hint="eastAsia" w:ascii="宋体" w:hAnsi="宋体" w:cs="宋体"/>
                <w:b/>
                <w:szCs w:val="24"/>
                <w:highlight w:val="no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204" w:type="dxa"/>
            <w:vAlign w:val="center"/>
          </w:tcPr>
          <w:p>
            <w:pPr>
              <w:spacing w:line="240" w:lineRule="auto"/>
              <w:ind w:firstLine="0" w:firstLineChars="0"/>
              <w:jc w:val="center"/>
              <w:rPr>
                <w:rFonts w:hint="eastAsia" w:ascii="宋体" w:hAnsi="宋体" w:cs="宋体"/>
                <w:b/>
                <w:szCs w:val="24"/>
                <w:highlight w:val="none"/>
              </w:rPr>
            </w:pPr>
          </w:p>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1</w:t>
            </w:r>
          </w:p>
          <w:p>
            <w:pPr>
              <w:spacing w:line="240" w:lineRule="auto"/>
              <w:ind w:firstLine="0" w:firstLineChars="0"/>
              <w:jc w:val="center"/>
              <w:rPr>
                <w:rFonts w:ascii="宋体" w:hAnsi="宋体" w:cs="宋体"/>
                <w:b/>
                <w:szCs w:val="24"/>
                <w:highlight w:val="none"/>
              </w:rPr>
            </w:pPr>
          </w:p>
        </w:tc>
        <w:tc>
          <w:tcPr>
            <w:tcW w:w="504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center"/>
              <w:rPr>
                <w:rFonts w:ascii="宋体" w:hAnsi="宋体" w:cs="宋体"/>
                <w:kern w:val="0"/>
                <w:szCs w:val="24"/>
                <w:highlight w:val="none"/>
                <w:u w:val="none"/>
              </w:rPr>
            </w:pPr>
            <w:r>
              <w:rPr>
                <w:rFonts w:hint="eastAsia" w:ascii="宋体" w:hAnsi="宋体"/>
                <w:b w:val="0"/>
                <w:bCs/>
                <w:color w:val="auto"/>
                <w:highlight w:val="none"/>
                <w:u w:val="none"/>
                <w:lang w:eastAsia="zh-CN"/>
              </w:rPr>
              <w:t>成都市双流区文化体育和旅游局双流区童声合唱团第二期管理及培训采购项目</w:t>
            </w:r>
          </w:p>
        </w:tc>
        <w:tc>
          <w:tcPr>
            <w:tcW w:w="2233" w:type="dxa"/>
            <w:vAlign w:val="center"/>
          </w:tcPr>
          <w:p>
            <w:pPr>
              <w:widowControl/>
              <w:spacing w:line="240" w:lineRule="auto"/>
              <w:ind w:firstLine="0" w:firstLineChars="0"/>
              <w:jc w:val="center"/>
              <w:textAlignment w:val="center"/>
              <w:rPr>
                <w:rFonts w:hint="default" w:ascii="宋体" w:hAnsi="宋体" w:eastAsia="宋体" w:cs="宋体"/>
                <w:snapToGrid w:val="0"/>
                <w:highlight w:val="none"/>
                <w:u w:val="single"/>
                <w:lang w:val="en-US" w:eastAsia="zh-CN"/>
              </w:rPr>
            </w:pPr>
          </w:p>
        </w:tc>
      </w:tr>
    </w:tbl>
    <w:p>
      <w:pPr>
        <w:ind w:firstLine="494"/>
        <w:rPr>
          <w:rFonts w:ascii="宋体" w:hAnsi="宋体"/>
          <w:b/>
          <w:color w:val="auto"/>
          <w:highlight w:val="none"/>
        </w:rPr>
      </w:pPr>
    </w:p>
    <w:p>
      <w:pPr>
        <w:ind w:firstLine="494"/>
        <w:rPr>
          <w:rFonts w:hint="eastAsia" w:ascii="宋体" w:hAnsi="宋体"/>
          <w:b/>
          <w:color w:val="auto"/>
          <w:highlight w:val="none"/>
          <w:lang w:val="en-US" w:eastAsia="zh-CN"/>
        </w:rPr>
      </w:pPr>
    </w:p>
    <w:p>
      <w:pPr>
        <w:ind w:firstLine="494"/>
        <w:rPr>
          <w:rFonts w:hint="eastAsia" w:ascii="宋体" w:hAnsi="宋体"/>
          <w:b/>
          <w:color w:val="auto"/>
          <w:highlight w:val="none"/>
          <w:lang w:val="en-US" w:eastAsia="zh-CN"/>
        </w:rPr>
      </w:pPr>
    </w:p>
    <w:p>
      <w:pPr>
        <w:ind w:firstLine="494"/>
        <w:rPr>
          <w:rFonts w:hint="eastAsia" w:ascii="宋体" w:hAnsi="宋体" w:eastAsia="宋体"/>
          <w:b/>
          <w:color w:val="auto"/>
          <w:highlight w:val="none"/>
          <w:u w:val="single"/>
          <w:lang w:eastAsia="zh-CN"/>
        </w:rPr>
      </w:pPr>
      <w:r>
        <w:rPr>
          <w:rFonts w:hint="eastAsia" w:ascii="宋体" w:hAnsi="宋体"/>
          <w:b/>
          <w:color w:val="auto"/>
          <w:highlight w:val="none"/>
        </w:rPr>
        <w:t>报价（</w:t>
      </w:r>
      <w:r>
        <w:rPr>
          <w:rFonts w:hint="eastAsia" w:ascii="宋体" w:hAnsi="宋体"/>
          <w:b/>
          <w:color w:val="auto"/>
          <w:highlight w:val="none"/>
          <w:lang w:val="en-US" w:eastAsia="zh-CN"/>
        </w:rPr>
        <w:t>人民币</w:t>
      </w:r>
      <w:r>
        <w:rPr>
          <w:rFonts w:hint="eastAsia" w:ascii="宋体" w:hAnsi="宋体"/>
          <w:b/>
          <w:color w:val="auto"/>
          <w:highlight w:val="none"/>
        </w:rPr>
        <w:t>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 xml:space="preserve">      </w:t>
      </w: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7"/>
        <w:spacing w:line="360" w:lineRule="auto"/>
        <w:rPr>
          <w:rFonts w:ascii="宋体" w:hAnsi="宋体"/>
          <w:color w:val="auto"/>
          <w:highlight w:val="none"/>
        </w:rPr>
      </w:pPr>
    </w:p>
    <w:p>
      <w:pPr>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highlight w:val="none"/>
          <w:lang w:val="en-US" w:eastAsia="zh-CN"/>
        </w:rPr>
      </w:pPr>
    </w:p>
    <w:p>
      <w:pPr>
        <w:pStyle w:val="203"/>
        <w:rPr>
          <w:rFonts w:hint="default"/>
          <w:lang w:val="en-US" w:eastAsia="zh-CN"/>
        </w:rPr>
      </w:pPr>
    </w:p>
    <w:p>
      <w:pPr>
        <w:pStyle w:val="2"/>
        <w:rPr>
          <w:color w:val="auto"/>
          <w:highlight w:val="none"/>
        </w:rPr>
      </w:pP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widowControl w:val="0"/>
        <w:spacing w:line="380" w:lineRule="exact"/>
        <w:ind w:left="420"/>
        <w:rPr>
          <w:rFonts w:ascii="宋体" w:hAnsi="宋体" w:cs="宋体"/>
          <w:highlight w:val="none"/>
        </w:rPr>
      </w:pPr>
      <w:r>
        <w:rPr>
          <w:rFonts w:hint="eastAsia" w:ascii="宋体" w:hAnsi="宋体"/>
          <w:b/>
          <w:sz w:val="22"/>
          <w:szCs w:val="22"/>
          <w:highlight w:val="none"/>
        </w:rPr>
        <w:t>说明：</w:t>
      </w:r>
      <w:r>
        <w:rPr>
          <w:rFonts w:hint="eastAsia" w:ascii="宋体" w:hAnsi="宋体" w:cs="宋体"/>
          <w:highlight w:val="none"/>
        </w:rPr>
        <w:t>报价为综合包干报价。</w:t>
      </w: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pStyle w:val="5"/>
        <w:ind w:left="-80" w:leftChars="0" w:firstLine="482" w:firstLineChars="0"/>
        <w:rPr>
          <w:color w:val="auto"/>
          <w:highlight w:val="none"/>
        </w:rPr>
      </w:pPr>
      <w:bookmarkStart w:id="324" w:name="_Toc451340457"/>
      <w:r>
        <w:rPr>
          <w:rFonts w:hint="eastAsia"/>
          <w:color w:val="auto"/>
          <w:highlight w:val="none"/>
          <w:lang w:val="en-US" w:eastAsia="zh-CN"/>
        </w:rPr>
        <w:t>分项报价明细表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成都市双流区文化体育和旅游局双流区童声合唱团第二期管理及培训采购项目</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510122202100284</w:t>
      </w:r>
    </w:p>
    <w:p/>
    <w:p>
      <w:pPr>
        <w:pStyle w:val="203"/>
      </w:pPr>
    </w:p>
    <w:p>
      <w:pPr>
        <w:pStyle w:val="204"/>
      </w:pPr>
    </w:p>
    <w:p>
      <w:pPr>
        <w:pStyle w:val="204"/>
      </w:pPr>
    </w:p>
    <w:p>
      <w:pPr>
        <w:pStyle w:val="204"/>
      </w:pPr>
    </w:p>
    <w:p>
      <w:pPr>
        <w:pStyle w:val="204"/>
      </w:pPr>
    </w:p>
    <w:p>
      <w:pPr>
        <w:pStyle w:val="204"/>
      </w:pPr>
    </w:p>
    <w:p>
      <w:pPr>
        <w:pStyle w:val="204"/>
      </w:pPr>
    </w:p>
    <w:p>
      <w:pPr>
        <w:pStyle w:val="204"/>
      </w:pPr>
    </w:p>
    <w:p>
      <w:pPr>
        <w:pStyle w:val="204"/>
      </w:pPr>
    </w:p>
    <w:p>
      <w:pPr>
        <w:pStyle w:val="204"/>
      </w:pPr>
    </w:p>
    <w:p>
      <w:pPr>
        <w:pStyle w:val="204"/>
      </w:pPr>
    </w:p>
    <w:p>
      <w:pPr>
        <w:pStyle w:val="204"/>
      </w:pPr>
    </w:p>
    <w:p>
      <w:pPr>
        <w:pStyle w:val="204"/>
      </w:pPr>
    </w:p>
    <w:p>
      <w:pPr>
        <w:pStyle w:val="204"/>
      </w:pPr>
    </w:p>
    <w:p>
      <w:pPr>
        <w:pStyle w:val="204"/>
      </w:pPr>
    </w:p>
    <w:p>
      <w:pPr>
        <w:spacing w:line="360" w:lineRule="auto"/>
        <w:ind w:firstLine="480" w:firstLineChars="200"/>
        <w:rPr>
          <w:rFonts w:ascii="宋体" w:hAnsi="宋体"/>
          <w:highlight w:val="none"/>
        </w:rPr>
      </w:pPr>
      <w:r>
        <w:rPr>
          <w:rFonts w:hint="eastAsia" w:ascii="宋体" w:hAnsi="宋体"/>
          <w:highlight w:val="none"/>
        </w:rPr>
        <w:t>供应商名称：</w:t>
      </w:r>
      <w:r>
        <w:rPr>
          <w:rFonts w:hint="eastAsia" w:ascii="宋体" w:hAnsi="宋体"/>
          <w:highlight w:val="none"/>
          <w:u w:val="single"/>
        </w:rPr>
        <w:t xml:space="preserve">                      </w:t>
      </w:r>
      <w:r>
        <w:rPr>
          <w:rFonts w:hint="eastAsia" w:ascii="宋体" w:hAnsi="宋体"/>
          <w:highlight w:val="none"/>
        </w:rPr>
        <w:t>（加盖单位公章）</w:t>
      </w:r>
    </w:p>
    <w:p>
      <w:pPr>
        <w:spacing w:line="360" w:lineRule="auto"/>
        <w:ind w:firstLine="480" w:firstLineChars="200"/>
        <w:rPr>
          <w:rFonts w:ascii="宋体" w:hAnsi="宋体"/>
          <w:highlight w:val="none"/>
        </w:rPr>
      </w:pPr>
      <w:r>
        <w:rPr>
          <w:rFonts w:hint="eastAsia" w:ascii="宋体" w:hAnsi="宋体"/>
          <w:highlight w:val="none"/>
        </w:rPr>
        <w:t>法定代表人或代理人：</w:t>
      </w:r>
      <w:r>
        <w:rPr>
          <w:rFonts w:hint="eastAsia" w:ascii="宋体" w:hAnsi="宋体"/>
          <w:highlight w:val="none"/>
          <w:u w:val="single"/>
        </w:rPr>
        <w:t xml:space="preserve">           </w:t>
      </w:r>
      <w:r>
        <w:rPr>
          <w:rFonts w:hint="eastAsia" w:ascii="宋体" w:hAnsi="宋体"/>
          <w:highlight w:val="none"/>
        </w:rPr>
        <w:t>（签字）</w:t>
      </w:r>
    </w:p>
    <w:p>
      <w:pPr>
        <w:spacing w:line="360" w:lineRule="auto"/>
        <w:ind w:right="560" w:firstLine="480" w:firstLineChars="200"/>
        <w:rPr>
          <w:rFonts w:ascii="宋体" w:hAnsi="宋体"/>
          <w:highlight w:val="none"/>
        </w:rPr>
      </w:pPr>
      <w:r>
        <w:rPr>
          <w:rFonts w:hint="eastAsia" w:ascii="宋体" w:hAnsi="宋体"/>
          <w:highlight w:val="none"/>
        </w:rPr>
        <w:t>日期：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pStyle w:val="204"/>
      </w:pPr>
    </w:p>
    <w:p>
      <w:pPr>
        <w:pStyle w:val="204"/>
      </w:pPr>
    </w:p>
    <w:p>
      <w:pPr>
        <w:pStyle w:val="204"/>
      </w:pPr>
    </w:p>
    <w:p>
      <w:pPr>
        <w:pStyle w:val="204"/>
      </w:pPr>
    </w:p>
    <w:p>
      <w:pPr>
        <w:pStyle w:val="67"/>
        <w:ind w:firstLine="480" w:firstLineChars="200"/>
        <w:jc w:val="left"/>
        <w:rPr>
          <w:rFonts w:ascii="宋体" w:hAnsi="宋体" w:cs="宋体"/>
          <w:sz w:val="24"/>
          <w:szCs w:val="24"/>
          <w:highlight w:val="none"/>
        </w:rPr>
      </w:pPr>
    </w:p>
    <w:p>
      <w:pPr>
        <w:rPr>
          <w:rFonts w:ascii="宋体" w:hAnsi="宋体" w:cs="宋体"/>
          <w:b/>
          <w:bCs/>
          <w:highlight w:val="none"/>
          <w:lang w:bidi="ar"/>
        </w:rPr>
      </w:pPr>
      <w:r>
        <w:rPr>
          <w:rFonts w:hint="eastAsia" w:ascii="宋体" w:hAnsi="宋体" w:cs="宋体"/>
          <w:b/>
          <w:bCs/>
          <w:highlight w:val="none"/>
        </w:rPr>
        <w:t>注：格式自拟，</w:t>
      </w:r>
      <w:r>
        <w:rPr>
          <w:rFonts w:ascii="宋体" w:hAnsi="宋体" w:cs="宋体"/>
          <w:b/>
          <w:bCs/>
          <w:highlight w:val="none"/>
          <w:lang w:bidi="ar"/>
        </w:rPr>
        <w:t>“分项报价表”各分项报价合计应当与“</w:t>
      </w:r>
      <w:r>
        <w:rPr>
          <w:rFonts w:hint="eastAsia" w:ascii="宋体" w:hAnsi="宋体" w:cs="宋体"/>
          <w:b/>
          <w:bCs/>
          <w:highlight w:val="none"/>
          <w:lang w:bidi="ar"/>
        </w:rPr>
        <w:t>报价表</w:t>
      </w:r>
      <w:r>
        <w:rPr>
          <w:rFonts w:ascii="宋体" w:hAnsi="宋体" w:cs="宋体"/>
          <w:b/>
          <w:bCs/>
          <w:highlight w:val="none"/>
          <w:lang w:bidi="ar"/>
        </w:rPr>
        <w:t>”</w:t>
      </w:r>
      <w:r>
        <w:rPr>
          <w:rFonts w:hint="eastAsia" w:ascii="宋体" w:hAnsi="宋体" w:cs="宋体"/>
          <w:b/>
          <w:bCs/>
          <w:highlight w:val="none"/>
          <w:lang w:bidi="ar"/>
        </w:rPr>
        <w:t>中</w:t>
      </w:r>
      <w:r>
        <w:rPr>
          <w:rFonts w:ascii="宋体" w:hAnsi="宋体" w:cs="宋体"/>
          <w:b/>
          <w:bCs/>
          <w:highlight w:val="none"/>
          <w:lang w:bidi="ar"/>
        </w:rPr>
        <w:t>报价相等</w:t>
      </w:r>
      <w:r>
        <w:rPr>
          <w:rFonts w:hint="eastAsia" w:ascii="宋体" w:hAnsi="宋体" w:cs="宋体"/>
          <w:b/>
          <w:bCs/>
          <w:highlight w:val="none"/>
          <w:lang w:bidi="ar"/>
        </w:rPr>
        <w:t>。</w:t>
      </w:r>
    </w:p>
    <w:p>
      <w:pPr>
        <w:pStyle w:val="204"/>
      </w:pPr>
    </w:p>
    <w:p>
      <w:pPr>
        <w:pStyle w:val="204"/>
      </w:pPr>
    </w:p>
    <w:p>
      <w:pPr>
        <w:pStyle w:val="204"/>
      </w:pPr>
    </w:p>
    <w:p>
      <w:pPr>
        <w:pStyle w:val="204"/>
      </w:pPr>
    </w:p>
    <w:p>
      <w:pPr>
        <w:pStyle w:val="204"/>
      </w:pPr>
    </w:p>
    <w:p>
      <w:pPr>
        <w:pStyle w:val="5"/>
        <w:ind w:left="-80" w:leftChars="0" w:firstLine="482" w:firstLineChars="0"/>
        <w:rPr>
          <w:color w:val="auto"/>
          <w:highlight w:val="none"/>
        </w:rPr>
      </w:pPr>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成都市双流区文化体育和旅游局双流区童声合唱团第二期管理及培训采购项目</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510122202100284</w:t>
      </w: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年份</w:t>
            </w:r>
          </w:p>
        </w:tc>
        <w:tc>
          <w:tcPr>
            <w:tcW w:w="153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用户名称</w:t>
            </w:r>
          </w:p>
        </w:tc>
        <w:tc>
          <w:tcPr>
            <w:tcW w:w="1975"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1724"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完成时间</w:t>
            </w:r>
          </w:p>
        </w:tc>
        <w:tc>
          <w:tcPr>
            <w:tcW w:w="1435" w:type="dxa"/>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合同金额</w:t>
            </w: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sz w:val="28"/>
                <w:szCs w:val="28"/>
                <w:highlight w:val="none"/>
              </w:rPr>
            </w:pPr>
          </w:p>
        </w:tc>
        <w:tc>
          <w:tcPr>
            <w:tcW w:w="1533" w:type="dxa"/>
            <w:vAlign w:val="center"/>
          </w:tcPr>
          <w:p>
            <w:pPr>
              <w:spacing w:line="520" w:lineRule="exact"/>
              <w:rPr>
                <w:rFonts w:ascii="宋体" w:hAnsi="宋体" w:cs="宋体"/>
                <w:color w:val="auto"/>
                <w:sz w:val="28"/>
                <w:szCs w:val="28"/>
                <w:highlight w:val="none"/>
              </w:rPr>
            </w:pPr>
          </w:p>
        </w:tc>
        <w:tc>
          <w:tcPr>
            <w:tcW w:w="1975" w:type="dxa"/>
            <w:vAlign w:val="center"/>
          </w:tcPr>
          <w:p>
            <w:pPr>
              <w:spacing w:line="520" w:lineRule="exact"/>
              <w:rPr>
                <w:rFonts w:ascii="宋体" w:hAnsi="宋体" w:cs="宋体"/>
                <w:color w:val="auto"/>
                <w:sz w:val="28"/>
                <w:szCs w:val="28"/>
                <w:highlight w:val="none"/>
              </w:rPr>
            </w:pPr>
          </w:p>
        </w:tc>
        <w:tc>
          <w:tcPr>
            <w:tcW w:w="1724" w:type="dxa"/>
            <w:vAlign w:val="center"/>
          </w:tcPr>
          <w:p>
            <w:pPr>
              <w:spacing w:line="520" w:lineRule="exact"/>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注：以上业绩仅限于磋商人自己实施的，对于供应商不涉及的项目可不填写，如无业绩可不提供本页内容。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20"/>
    <w:bookmarkEnd w:id="324"/>
    <w:p>
      <w:pPr>
        <w:pStyle w:val="5"/>
        <w:ind w:left="-80" w:leftChars="0" w:firstLine="482" w:firstLineChars="0"/>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4"/>
        <w:rPr>
          <w:color w:val="auto"/>
          <w:highlight w:val="none"/>
        </w:rPr>
      </w:pPr>
      <w:bookmarkStart w:id="325" w:name="_Toc32568"/>
      <w:r>
        <w:rPr>
          <w:rFonts w:hint="eastAsia"/>
          <w:color w:val="auto"/>
          <w:highlight w:val="none"/>
        </w:rPr>
        <w:t>最后报价（格式）</w:t>
      </w:r>
      <w:bookmarkEnd w:id="325"/>
    </w:p>
    <w:p>
      <w:pPr>
        <w:snapToGrid w:val="0"/>
        <w:spacing w:line="360" w:lineRule="auto"/>
        <w:ind w:firstLine="482" w:firstLineChars="200"/>
        <w:rPr>
          <w:rFonts w:hint="eastAsia" w:ascii="宋体" w:hAnsi="宋体"/>
          <w:b/>
          <w:color w:val="auto"/>
          <w:highlight w:val="none"/>
        </w:rPr>
      </w:pPr>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成都市双流区文化体育和旅游局双流区童声合唱团第二期管理及培训采购项目</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510122202100284</w:t>
      </w:r>
    </w:p>
    <w:tbl>
      <w:tblPr>
        <w:tblStyle w:val="44"/>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5042"/>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1204"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序号</w:t>
            </w:r>
          </w:p>
        </w:tc>
        <w:tc>
          <w:tcPr>
            <w:tcW w:w="5042" w:type="dxa"/>
            <w:vAlign w:val="center"/>
          </w:tcPr>
          <w:p>
            <w:pPr>
              <w:spacing w:line="240" w:lineRule="auto"/>
              <w:ind w:firstLine="0" w:firstLineChars="0"/>
              <w:jc w:val="center"/>
              <w:rPr>
                <w:rFonts w:hint="default" w:ascii="宋体" w:hAnsi="宋体" w:cs="宋体"/>
                <w:b/>
                <w:szCs w:val="24"/>
                <w:highlight w:val="none"/>
                <w:lang w:val="en-US" w:eastAsia="zh-CN"/>
              </w:rPr>
            </w:pPr>
            <w:r>
              <w:rPr>
                <w:rFonts w:hint="eastAsia" w:ascii="宋体" w:hAnsi="宋体" w:cs="宋体"/>
                <w:b/>
                <w:szCs w:val="24"/>
                <w:highlight w:val="none"/>
                <w:lang w:val="en-US" w:eastAsia="zh-CN"/>
              </w:rPr>
              <w:t>项目名称</w:t>
            </w:r>
          </w:p>
        </w:tc>
        <w:tc>
          <w:tcPr>
            <w:tcW w:w="2233" w:type="dxa"/>
            <w:vAlign w:val="center"/>
          </w:tcPr>
          <w:p>
            <w:pPr>
              <w:spacing w:line="240" w:lineRule="auto"/>
              <w:ind w:firstLine="0" w:firstLineChars="0"/>
              <w:jc w:val="center"/>
              <w:rPr>
                <w:rFonts w:hint="eastAsia" w:ascii="宋体" w:hAnsi="宋体" w:cs="宋体"/>
                <w:b/>
                <w:szCs w:val="24"/>
                <w:highlight w:val="none"/>
                <w:lang w:val="en-US" w:eastAsia="zh-CN"/>
              </w:rPr>
            </w:pPr>
            <w:r>
              <w:rPr>
                <w:rFonts w:hint="eastAsia" w:ascii="宋体" w:hAnsi="宋体" w:cs="宋体"/>
                <w:b/>
                <w:szCs w:val="24"/>
                <w:highlight w:val="no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204" w:type="dxa"/>
            <w:vAlign w:val="center"/>
          </w:tcPr>
          <w:p>
            <w:pPr>
              <w:spacing w:line="240" w:lineRule="auto"/>
              <w:ind w:firstLine="0" w:firstLineChars="0"/>
              <w:jc w:val="center"/>
              <w:rPr>
                <w:rFonts w:hint="eastAsia" w:ascii="宋体" w:hAnsi="宋体" w:cs="宋体"/>
                <w:b/>
                <w:szCs w:val="24"/>
                <w:highlight w:val="none"/>
              </w:rPr>
            </w:pPr>
          </w:p>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1</w:t>
            </w:r>
          </w:p>
          <w:p>
            <w:pPr>
              <w:spacing w:line="240" w:lineRule="auto"/>
              <w:ind w:firstLine="0" w:firstLineChars="0"/>
              <w:jc w:val="center"/>
              <w:rPr>
                <w:rFonts w:ascii="宋体" w:hAnsi="宋体" w:cs="宋体"/>
                <w:b/>
                <w:szCs w:val="24"/>
                <w:highlight w:val="none"/>
              </w:rPr>
            </w:pPr>
          </w:p>
        </w:tc>
        <w:tc>
          <w:tcPr>
            <w:tcW w:w="5042"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center"/>
              <w:rPr>
                <w:rFonts w:ascii="宋体" w:hAnsi="宋体" w:cs="宋体"/>
                <w:kern w:val="0"/>
                <w:szCs w:val="24"/>
                <w:highlight w:val="none"/>
                <w:u w:val="none"/>
              </w:rPr>
            </w:pPr>
            <w:r>
              <w:rPr>
                <w:rFonts w:hint="eastAsia" w:ascii="宋体" w:hAnsi="宋体"/>
                <w:b w:val="0"/>
                <w:bCs/>
                <w:color w:val="auto"/>
                <w:highlight w:val="none"/>
                <w:u w:val="none"/>
                <w:lang w:eastAsia="zh-CN"/>
              </w:rPr>
              <w:t>成都市双流区文化体育和旅游局双流区童声合唱团第二期管理及培训采购项目</w:t>
            </w:r>
          </w:p>
        </w:tc>
        <w:tc>
          <w:tcPr>
            <w:tcW w:w="2233" w:type="dxa"/>
            <w:vAlign w:val="center"/>
          </w:tcPr>
          <w:p>
            <w:pPr>
              <w:widowControl/>
              <w:spacing w:line="240" w:lineRule="auto"/>
              <w:ind w:firstLine="0" w:firstLineChars="0"/>
              <w:jc w:val="center"/>
              <w:textAlignment w:val="center"/>
              <w:rPr>
                <w:rFonts w:hint="default" w:ascii="宋体" w:hAnsi="宋体" w:eastAsia="宋体" w:cs="宋体"/>
                <w:snapToGrid w:val="0"/>
                <w:highlight w:val="none"/>
                <w:u w:val="single"/>
                <w:lang w:val="en-US" w:eastAsia="zh-CN"/>
              </w:rPr>
            </w:pPr>
          </w:p>
        </w:tc>
      </w:tr>
    </w:tbl>
    <w:p>
      <w:pPr>
        <w:ind w:firstLine="494"/>
        <w:rPr>
          <w:rFonts w:ascii="宋体" w:hAnsi="宋体"/>
          <w:b/>
          <w:color w:val="auto"/>
          <w:highlight w:val="none"/>
        </w:rPr>
      </w:pPr>
    </w:p>
    <w:p>
      <w:pPr>
        <w:pStyle w:val="203"/>
      </w:pPr>
    </w:p>
    <w:p>
      <w:pPr>
        <w:ind w:firstLine="494"/>
        <w:rPr>
          <w:rFonts w:hint="eastAsia" w:ascii="宋体" w:hAnsi="宋体"/>
          <w:b/>
          <w:color w:val="auto"/>
          <w:highlight w:val="none"/>
          <w:lang w:val="en-US" w:eastAsia="zh-CN"/>
        </w:rPr>
      </w:pPr>
    </w:p>
    <w:p>
      <w:pPr>
        <w:ind w:firstLine="494"/>
        <w:rPr>
          <w:rFonts w:hint="eastAsia" w:ascii="宋体" w:hAnsi="宋体"/>
          <w:b/>
          <w:color w:val="auto"/>
          <w:highlight w:val="none"/>
          <w:lang w:val="en-US" w:eastAsia="zh-CN"/>
        </w:rPr>
      </w:pPr>
    </w:p>
    <w:p>
      <w:pPr>
        <w:pStyle w:val="2"/>
        <w:rPr>
          <w:rFonts w:hint="eastAsia"/>
          <w:highlight w:val="none"/>
          <w:lang w:eastAsia="zh-CN"/>
        </w:rPr>
      </w:pPr>
    </w:p>
    <w:p>
      <w:pPr>
        <w:pStyle w:val="2"/>
        <w:rPr>
          <w:color w:val="auto"/>
          <w:highlight w:val="none"/>
        </w:rPr>
      </w:pPr>
    </w:p>
    <w:p>
      <w:pPr>
        <w:rPr>
          <w:color w:val="auto"/>
          <w:highlight w:val="none"/>
          <w:lang w:val="zh-CN"/>
        </w:rPr>
      </w:pPr>
    </w:p>
    <w:p>
      <w:pPr>
        <w:ind w:firstLine="494"/>
        <w:rPr>
          <w:rFonts w:ascii="宋体" w:hAnsi="宋体"/>
          <w:b/>
          <w:color w:val="auto"/>
          <w:highlight w:val="none"/>
          <w:u w:val="single"/>
        </w:rPr>
      </w:pPr>
      <w:r>
        <w:rPr>
          <w:rFonts w:hint="eastAsia" w:ascii="宋体" w:hAnsi="宋体"/>
          <w:b/>
          <w:color w:val="auto"/>
          <w:highlight w:val="none"/>
        </w:rPr>
        <w:t>最后报价（</w:t>
      </w:r>
      <w:r>
        <w:rPr>
          <w:rFonts w:hint="eastAsia" w:ascii="宋体" w:hAnsi="宋体"/>
          <w:b/>
          <w:color w:val="auto"/>
          <w:highlight w:val="none"/>
          <w:lang w:val="en-US" w:eastAsia="zh-CN"/>
        </w:rPr>
        <w:t>人民币</w:t>
      </w:r>
      <w:r>
        <w:rPr>
          <w:rFonts w:hint="eastAsia" w:ascii="宋体" w:hAnsi="宋体"/>
          <w:b/>
          <w:color w:val="auto"/>
          <w:highlight w:val="none"/>
        </w:rPr>
        <w:t>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p>
    <w:p>
      <w:pPr>
        <w:pStyle w:val="2"/>
        <w:spacing w:after="0"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03"/>
      </w:pPr>
    </w:p>
    <w:p>
      <w:pPr>
        <w:pStyle w:val="67"/>
        <w:ind w:left="0" w:leftChars="0" w:firstLine="0" w:firstLineChars="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说明：</w:t>
      </w:r>
    </w:p>
    <w:p>
      <w:pPr>
        <w:pStyle w:val="67"/>
        <w:numPr>
          <w:ilvl w:val="0"/>
          <w:numId w:val="0"/>
        </w:numPr>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供应商可不在响应文件中填写并提供此表。此表为磋商结束后，由供应商填写“最后报价”（表格由磋商小组提供），经供应商法定代表人或代理人签字后密封递交给四川世科工程咨询有限公司工作人员，由其收集齐后集中递交磋商小组。</w:t>
      </w:r>
    </w:p>
    <w:p>
      <w:pPr>
        <w:pStyle w:val="67"/>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3"/>
        <w:rPr>
          <w:color w:val="auto"/>
          <w:highlight w:val="none"/>
        </w:rPr>
      </w:pPr>
      <w:bookmarkStart w:id="326" w:name="_Toc21941"/>
      <w:r>
        <w:rPr>
          <w:rFonts w:hint="eastAsia"/>
          <w:color w:val="auto"/>
          <w:highlight w:val="none"/>
        </w:rPr>
        <w:t>合同主要条款</w:t>
      </w:r>
      <w:bookmarkEnd w:id="326"/>
    </w:p>
    <w:bookmarkEnd w:id="321"/>
    <w:bookmarkEnd w:id="322"/>
    <w:bookmarkEnd w:id="323"/>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政府采购合同编号：XXXX。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签订地点：XXXX。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签订时间：XXXX年XX月XX日。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供应商（乙方）：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依据《中华人民共和国</w:t>
      </w:r>
      <w:r>
        <w:rPr>
          <w:rFonts w:hint="eastAsia" w:ascii="宋体" w:hAnsi="宋体" w:cs="宋体"/>
          <w:color w:val="auto"/>
          <w:highlight w:val="none"/>
          <w:lang w:val="en-US" w:eastAsia="zh-CN"/>
        </w:rPr>
        <w:t>民法典</w:t>
      </w:r>
      <w:r>
        <w:rPr>
          <w:rFonts w:hint="eastAsia" w:ascii="宋体" w:hAnsi="宋体" w:cs="宋体"/>
          <w:color w:val="auto"/>
          <w:highlight w:val="none"/>
        </w:rPr>
        <w:t xml:space="preserve">》、《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项目基本情况</w:t>
      </w:r>
    </w:p>
    <w:p>
      <w:pPr>
        <w:numPr>
          <w:ilvl w:val="0"/>
          <w:numId w:val="50"/>
        </w:numPr>
        <w:spacing w:line="360" w:lineRule="auto"/>
        <w:ind w:left="0" w:firstLine="482" w:firstLineChars="200"/>
        <w:rPr>
          <w:rFonts w:ascii="宋体" w:hAnsi="宋体" w:cs="宋体"/>
          <w:color w:val="auto"/>
          <w:highlight w:val="none"/>
        </w:rPr>
      </w:pPr>
      <w:r>
        <w:rPr>
          <w:rFonts w:hint="eastAsia" w:ascii="宋体" w:hAnsi="宋体" w:cs="宋体"/>
          <w:b/>
          <w:color w:val="auto"/>
          <w:highlight w:val="none"/>
        </w:rPr>
        <w:t>合同期限</w:t>
      </w:r>
    </w:p>
    <w:p>
      <w:pPr>
        <w:numPr>
          <w:ilvl w:val="0"/>
          <w:numId w:val="50"/>
        </w:numPr>
        <w:spacing w:line="360" w:lineRule="auto"/>
        <w:ind w:left="0" w:firstLine="482" w:firstLineChars="200"/>
        <w:rPr>
          <w:rFonts w:ascii="宋体" w:hAnsi="宋体" w:cs="宋体"/>
          <w:b/>
          <w:color w:val="auto"/>
          <w:highlight w:val="none"/>
        </w:rPr>
      </w:pPr>
      <w:bookmarkStart w:id="327" w:name="_Toc239233914"/>
      <w:bookmarkStart w:id="328" w:name="_Toc212019594"/>
      <w:bookmarkStart w:id="329" w:name="_Toc211854449"/>
      <w:bookmarkStart w:id="330" w:name="_Toc237145406"/>
      <w:bookmarkStart w:id="331" w:name="_Toc282696226"/>
      <w:bookmarkStart w:id="332" w:name="_Toc225654644"/>
      <w:bookmarkStart w:id="333" w:name="_Toc225670751"/>
      <w:bookmarkStart w:id="334" w:name="_Toc286993786"/>
      <w:bookmarkStart w:id="335" w:name="_Toc241833903"/>
      <w:bookmarkStart w:id="336" w:name="_Toc185395249"/>
      <w:bookmarkStart w:id="337" w:name="_Toc225244852"/>
      <w:bookmarkStart w:id="338" w:name="_Toc211911348"/>
      <w:bookmarkStart w:id="339" w:name="_Toc239568418"/>
      <w:bookmarkStart w:id="340" w:name="_Toc247334841"/>
      <w:bookmarkStart w:id="341" w:name="_Toc238984975"/>
      <w:bookmarkStart w:id="342" w:name="_Toc283019214"/>
      <w:bookmarkStart w:id="343" w:name="_Toc232492928"/>
      <w:bookmarkStart w:id="344" w:name="_Toc251768862"/>
      <w:r>
        <w:rPr>
          <w:rFonts w:hint="eastAsia" w:ascii="宋体" w:hAnsi="宋体" w:cs="宋体"/>
          <w:b/>
          <w:color w:val="auto"/>
          <w:highlight w:val="none"/>
        </w:rPr>
        <w:t>服务内容与质量标准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服务费用及支付方式</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本项目服务费用由以下组成：</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1"/>
        </w:numPr>
        <w:tabs>
          <w:tab w:val="left" w:pos="780"/>
        </w:tabs>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 xml:space="preserve">服务费支付方式：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知识产权</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无产权瑕疵条款</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甲方的权利和义务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3、负责检查监督乙方管理工作的实施及制度的执行情况。</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4、根据本合同规定，按时向乙方支付应付服务费用。</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5、国家法律、法规所规定由甲方承担的其它责任。</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乙方的权利和义务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1、对本合同规定的委托服务范围内的项目享有管理权及服务义务。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2、根据本合同的规定向甲方收取相关服务费用，并有权在本项目管理范围内管理及合理使用。</w:t>
      </w:r>
    </w:p>
    <w:p>
      <w:pPr>
        <w:adjustRightInd w:val="0"/>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bCs/>
          <w:color w:val="auto"/>
          <w:highlight w:val="none"/>
        </w:rPr>
        <w:t>接受项目行业管理部门及政府有关部门的指导，接受甲方的监督。</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5、国家法律、法规所规定由乙方承担的其它责任。</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违约责任</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1、甲乙双方必须遵守本合同并执行合同中的各项规定，保证本合同的正常履行。</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不可抗力事件处理</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3、不可抗力事件延续XX天以上，双方应通过友好协商，确定是否继续履行合同。</w:t>
      </w:r>
    </w:p>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Pr>
        <w:numPr>
          <w:ilvl w:val="0"/>
          <w:numId w:val="50"/>
        </w:numPr>
        <w:spacing w:line="360" w:lineRule="auto"/>
        <w:ind w:left="0" w:firstLine="482" w:firstLineChars="200"/>
        <w:rPr>
          <w:rFonts w:ascii="宋体" w:hAnsi="宋体" w:cs="宋体"/>
          <w:b/>
          <w:color w:val="auto"/>
          <w:highlight w:val="none"/>
        </w:rPr>
      </w:pPr>
      <w:bookmarkStart w:id="345" w:name="_Toc241833908"/>
      <w:bookmarkStart w:id="346" w:name="_Toc185395254"/>
      <w:bookmarkStart w:id="347" w:name="_Toc237145411"/>
      <w:bookmarkStart w:id="348" w:name="_Toc225654649"/>
      <w:bookmarkStart w:id="349" w:name="_Toc212019599"/>
      <w:bookmarkStart w:id="350" w:name="_Toc239233919"/>
      <w:bookmarkStart w:id="351" w:name="_Toc211911353"/>
      <w:bookmarkStart w:id="352" w:name="_Toc225670756"/>
      <w:bookmarkStart w:id="353" w:name="_Toc238984980"/>
      <w:bookmarkStart w:id="354" w:name="_Toc286993792"/>
      <w:bookmarkStart w:id="355" w:name="_Toc251768867"/>
      <w:bookmarkStart w:id="356" w:name="_Toc247334846"/>
      <w:bookmarkStart w:id="357" w:name="_Toc239568423"/>
      <w:bookmarkStart w:id="358" w:name="_Toc211854454"/>
      <w:bookmarkStart w:id="359" w:name="_Toc232492933"/>
      <w:bookmarkStart w:id="360" w:name="_Toc225244857"/>
      <w:r>
        <w:rPr>
          <w:rFonts w:hint="eastAsia" w:ascii="宋体" w:hAnsi="宋体" w:cs="宋体"/>
          <w:b/>
          <w:color w:val="auto"/>
          <w:highlight w:val="none"/>
        </w:rPr>
        <w:t>解决合同纠纷的方式</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1、在执行本合同中发生的或与本合同有关的争端，双方应通过友好协商解决，经协商在</w:t>
      </w:r>
      <w:r>
        <w:rPr>
          <w:rFonts w:hint="eastAsia" w:ascii="宋体" w:hAnsi="宋体" w:cs="宋体"/>
          <w:color w:val="auto"/>
          <w:highlight w:val="none"/>
          <w:u w:val="single"/>
        </w:rPr>
        <w:t xml:space="preserve">      </w:t>
      </w:r>
      <w:r>
        <w:rPr>
          <w:rFonts w:hint="eastAsia" w:ascii="宋体" w:hAnsi="宋体" w:cs="宋体"/>
          <w:color w:val="auto"/>
          <w:highlight w:val="none"/>
        </w:rPr>
        <w:t>天内不能达成协议时，应提交成都仲裁委员会仲裁。</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2、仲裁裁决应为最终决定，并对双方具有约束力。</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4、在仲裁期间，除正在进行仲裁部分外，合同其他部分继续执行。  </w:t>
      </w:r>
    </w:p>
    <w:p>
      <w:pPr>
        <w:numPr>
          <w:ilvl w:val="0"/>
          <w:numId w:val="50"/>
        </w:numPr>
        <w:spacing w:line="360" w:lineRule="auto"/>
        <w:ind w:left="0" w:firstLine="482" w:firstLineChars="200"/>
        <w:rPr>
          <w:rFonts w:ascii="宋体" w:hAnsi="宋体" w:cs="宋体"/>
          <w:b/>
          <w:color w:val="auto"/>
          <w:highlight w:val="none"/>
        </w:rPr>
      </w:pPr>
      <w:bookmarkStart w:id="361" w:name="_Toc225654650"/>
      <w:bookmarkStart w:id="362" w:name="_Toc238984981"/>
      <w:bookmarkStart w:id="363" w:name="_Toc286993793"/>
      <w:bookmarkStart w:id="364" w:name="_Toc211911354"/>
      <w:bookmarkStart w:id="365" w:name="_Toc251768868"/>
      <w:bookmarkStart w:id="366" w:name="_Toc283019219"/>
      <w:bookmarkStart w:id="367" w:name="_Toc232492934"/>
      <w:bookmarkStart w:id="368" w:name="_Toc225244858"/>
      <w:bookmarkStart w:id="369" w:name="_Toc212019600"/>
      <w:bookmarkStart w:id="370" w:name="_Toc225670757"/>
      <w:bookmarkStart w:id="371" w:name="_Toc239568424"/>
      <w:bookmarkStart w:id="372" w:name="_Toc239233920"/>
      <w:bookmarkStart w:id="373" w:name="_Toc211854455"/>
      <w:bookmarkStart w:id="374" w:name="_Toc185395255"/>
      <w:bookmarkStart w:id="375" w:name="_Toc241833909"/>
      <w:bookmarkStart w:id="376" w:name="_Toc282696231"/>
      <w:bookmarkStart w:id="377" w:name="_Toc237145412"/>
      <w:bookmarkStart w:id="378" w:name="_Toc247334847"/>
      <w:r>
        <w:rPr>
          <w:rFonts w:hint="eastAsia" w:ascii="宋体" w:hAnsi="宋体" w:cs="宋体"/>
          <w:b/>
          <w:color w:val="auto"/>
          <w:highlight w:val="none"/>
        </w:rPr>
        <w:t>合同</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hint="eastAsia" w:ascii="宋体" w:hAnsi="宋体" w:cs="宋体"/>
          <w:b/>
          <w:color w:val="auto"/>
          <w:highlight w:val="none"/>
        </w:rPr>
        <w:t>生效及其他</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1、合同经双方法定代表人或授权委托代理人签字并加盖单位公章后生效。</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pStyle w:val="65"/>
        <w:spacing w:line="360" w:lineRule="auto"/>
        <w:ind w:firstLine="480"/>
        <w:rPr>
          <w:rFonts w:ascii="宋体" w:hAnsi="宋体" w:cs="宋体"/>
          <w:color w:val="auto"/>
          <w:highlight w:val="none"/>
        </w:rPr>
      </w:pPr>
      <w:r>
        <w:rPr>
          <w:rFonts w:hint="eastAsia" w:ascii="宋体" w:hAnsi="宋体" w:cs="宋体"/>
          <w:color w:val="auto"/>
          <w:highlight w:val="none"/>
        </w:rPr>
        <w:t>3、本合同一式XX份，自双方签章之日起起效。甲方XX份，乙方XX份，政府采购代理机构XX份，同级财政部门备案XX份，具有同等法律效力。</w:t>
      </w:r>
    </w:p>
    <w:p>
      <w:pPr>
        <w:numPr>
          <w:ilvl w:val="0"/>
          <w:numId w:val="50"/>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附件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1、项目竞争性磋商文件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2、项目响应文件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3、成交通知书</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4、其他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   （盖章）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乙方：   （盖章）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法定代表人（授权代表）：           法定代表人（授权代表）：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                         地    址：</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账号：                             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    话：                         电    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                         传    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签约日期：XX年XX月XX日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签约日期：XX年XX月XX日</w:t>
      </w:r>
    </w:p>
    <w:p>
      <w:pPr>
        <w:pStyle w:val="156"/>
        <w:spacing w:line="360" w:lineRule="auto"/>
        <w:rPr>
          <w:rFonts w:ascii="宋体" w:hAnsi="宋体" w:cs="宋体"/>
          <w:color w:val="auto"/>
          <w:sz w:val="28"/>
          <w:szCs w:val="28"/>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F8CCD"/>
    <w:multiLevelType w:val="singleLevel"/>
    <w:tmpl w:val="9DDF8CCD"/>
    <w:lvl w:ilvl="0" w:tentative="0">
      <w:start w:val="1"/>
      <w:numFmt w:val="chineseCounting"/>
      <w:suff w:val="nothing"/>
      <w:lvlText w:val="%1、"/>
      <w:lvlJc w:val="left"/>
      <w:pPr>
        <w:ind w:left="0" w:firstLine="420"/>
      </w:pPr>
      <w:rPr>
        <w:rFonts w:hint="eastAsia"/>
      </w:rPr>
    </w:lvl>
  </w:abstractNum>
  <w:abstractNum w:abstractNumId="1">
    <w:nsid w:val="B7F0A08A"/>
    <w:multiLevelType w:val="singleLevel"/>
    <w:tmpl w:val="B7F0A08A"/>
    <w:lvl w:ilvl="0" w:tentative="0">
      <w:start w:val="1"/>
      <w:numFmt w:val="chineseCounting"/>
      <w:suff w:val="nothing"/>
      <w:lvlText w:val="%1、"/>
      <w:lvlJc w:val="left"/>
      <w:pPr>
        <w:ind w:left="0" w:firstLine="420"/>
      </w:pPr>
      <w:rPr>
        <w:rFonts w:hint="eastAsia"/>
      </w:rPr>
    </w:lvl>
  </w:abstractNum>
  <w:abstractNum w:abstractNumId="2">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3">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77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4">
    <w:nsid w:val="0A92227D"/>
    <w:multiLevelType w:val="multilevel"/>
    <w:tmpl w:val="0A92227D"/>
    <w:lvl w:ilvl="0" w:tentative="0">
      <w:start w:val="1"/>
      <w:numFmt w:val="bullet"/>
      <w:pStyle w:val="107"/>
      <w:lvlText w:val=""/>
      <w:lvlJc w:val="left"/>
      <w:pPr>
        <w:ind w:left="900" w:hanging="420"/>
      </w:pPr>
      <w:rPr>
        <w:rFonts w:hint="default" w:ascii="Wingdings" w:hAnsi="Wingdings"/>
      </w:rPr>
    </w:lvl>
    <w:lvl w:ilvl="1" w:tentative="0">
      <w:start w:val="1"/>
      <w:numFmt w:val="bullet"/>
      <w:pStyle w:val="106"/>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6">
    <w:nsid w:val="11B7B1E7"/>
    <w:multiLevelType w:val="singleLevel"/>
    <w:tmpl w:val="11B7B1E7"/>
    <w:lvl w:ilvl="0" w:tentative="0">
      <w:start w:val="1"/>
      <w:numFmt w:val="chineseCounting"/>
      <w:suff w:val="nothing"/>
      <w:lvlText w:val="%1、"/>
      <w:lvlJc w:val="left"/>
      <w:pPr>
        <w:ind w:left="0" w:firstLine="420"/>
      </w:pPr>
      <w:rPr>
        <w:rFonts w:hint="eastAsia"/>
      </w:rPr>
    </w:lvl>
  </w:abstractNum>
  <w:abstractNum w:abstractNumId="7">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1"/>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0">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1">
    <w:nsid w:val="2864A89D"/>
    <w:multiLevelType w:val="singleLevel"/>
    <w:tmpl w:val="2864A89D"/>
    <w:lvl w:ilvl="0" w:tentative="0">
      <w:start w:val="1"/>
      <w:numFmt w:val="decimal"/>
      <w:suff w:val="nothing"/>
      <w:lvlText w:val="%1．"/>
      <w:lvlJc w:val="left"/>
      <w:pPr>
        <w:ind w:left="0" w:firstLine="400"/>
      </w:pPr>
      <w:rPr>
        <w:rFonts w:hint="default"/>
      </w:rPr>
    </w:lvl>
  </w:abstractNum>
  <w:abstractNum w:abstractNumId="1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3">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03"/>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5C1F9B9"/>
    <w:multiLevelType w:val="singleLevel"/>
    <w:tmpl w:val="45C1F9B9"/>
    <w:lvl w:ilvl="0" w:tentative="0">
      <w:start w:val="1"/>
      <w:numFmt w:val="decimal"/>
      <w:suff w:val="nothing"/>
      <w:lvlText w:val="%1．"/>
      <w:lvlJc w:val="left"/>
      <w:pPr>
        <w:ind w:left="0" w:firstLine="400"/>
      </w:pPr>
      <w:rPr>
        <w:rFonts w:hint="default"/>
      </w:rPr>
    </w:lvl>
  </w:abstractNum>
  <w:abstractNum w:abstractNumId="17">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8">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19">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0">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21">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22">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23">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24">
    <w:nsid w:val="58F5EE34"/>
    <w:multiLevelType w:val="singleLevel"/>
    <w:tmpl w:val="58F5EE34"/>
    <w:lvl w:ilvl="0" w:tentative="0">
      <w:start w:val="3"/>
      <w:numFmt w:val="chineseCounting"/>
      <w:suff w:val="nothing"/>
      <w:lvlText w:val="%1、"/>
      <w:lvlJc w:val="left"/>
    </w:lvl>
  </w:abstractNum>
  <w:abstractNum w:abstractNumId="25">
    <w:nsid w:val="59DEF6EB"/>
    <w:multiLevelType w:val="singleLevel"/>
    <w:tmpl w:val="59DEF6EB"/>
    <w:lvl w:ilvl="0" w:tentative="0">
      <w:start w:val="1"/>
      <w:numFmt w:val="chineseCounting"/>
      <w:suff w:val="nothing"/>
      <w:lvlText w:val="%1、"/>
      <w:lvlJc w:val="left"/>
      <w:pPr>
        <w:ind w:left="-240"/>
      </w:pPr>
    </w:lvl>
  </w:abstractNum>
  <w:abstractNum w:abstractNumId="26">
    <w:nsid w:val="5A1BBB23"/>
    <w:multiLevelType w:val="singleLevel"/>
    <w:tmpl w:val="5A1BBB23"/>
    <w:lvl w:ilvl="0" w:tentative="0">
      <w:start w:val="1"/>
      <w:numFmt w:val="chineseCounting"/>
      <w:suff w:val="nothing"/>
      <w:lvlText w:val="（%1）"/>
      <w:lvlJc w:val="left"/>
    </w:lvl>
  </w:abstractNum>
  <w:abstractNum w:abstractNumId="27">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28">
    <w:nsid w:val="5A1BCF5D"/>
    <w:multiLevelType w:val="singleLevel"/>
    <w:tmpl w:val="5A1BCF5D"/>
    <w:lvl w:ilvl="0" w:tentative="0">
      <w:start w:val="1"/>
      <w:numFmt w:val="decimal"/>
      <w:suff w:val="nothing"/>
      <w:lvlText w:val="%1、"/>
      <w:lvlJc w:val="left"/>
    </w:lvl>
  </w:abstractNum>
  <w:abstractNum w:abstractNumId="29">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30">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31">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32">
    <w:nsid w:val="5A1FB537"/>
    <w:multiLevelType w:val="singleLevel"/>
    <w:tmpl w:val="5A1FB537"/>
    <w:lvl w:ilvl="0" w:tentative="0">
      <w:start w:val="1"/>
      <w:numFmt w:val="decimal"/>
      <w:suff w:val="nothing"/>
      <w:lvlText w:val="%1、"/>
      <w:lvlJc w:val="left"/>
    </w:lvl>
  </w:abstractNum>
  <w:abstractNum w:abstractNumId="33">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34">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35">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36">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37">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38">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39">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40">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41">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42">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43">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44">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5">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46">
    <w:nsid w:val="5A24EE76"/>
    <w:multiLevelType w:val="singleLevel"/>
    <w:tmpl w:val="5A24EE76"/>
    <w:lvl w:ilvl="0" w:tentative="0">
      <w:start w:val="1"/>
      <w:numFmt w:val="chineseCounting"/>
      <w:suff w:val="nothing"/>
      <w:lvlText w:val="%1、"/>
      <w:lvlJc w:val="left"/>
      <w:pPr>
        <w:ind w:left="0" w:firstLine="420"/>
      </w:pPr>
      <w:rPr>
        <w:rFonts w:hint="eastAsia"/>
      </w:rPr>
    </w:lvl>
  </w:abstractNum>
  <w:abstractNum w:abstractNumId="47">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48">
    <w:nsid w:val="6FCB37F9"/>
    <w:multiLevelType w:val="singleLevel"/>
    <w:tmpl w:val="6FCB37F9"/>
    <w:lvl w:ilvl="0" w:tentative="0">
      <w:start w:val="1"/>
      <w:numFmt w:val="decimal"/>
      <w:suff w:val="nothing"/>
      <w:lvlText w:val="%1、"/>
      <w:lvlJc w:val="left"/>
    </w:lvl>
  </w:abstractNum>
  <w:abstractNum w:abstractNumId="49">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0">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3"/>
  </w:num>
  <w:num w:numId="2">
    <w:abstractNumId w:val="19"/>
  </w:num>
  <w:num w:numId="3">
    <w:abstractNumId w:val="7"/>
  </w:num>
  <w:num w:numId="4">
    <w:abstractNumId w:val="9"/>
  </w:num>
  <w:num w:numId="5">
    <w:abstractNumId w:val="4"/>
  </w:num>
  <w:num w:numId="6">
    <w:abstractNumId w:val="14"/>
  </w:num>
  <w:num w:numId="7">
    <w:abstractNumId w:val="10"/>
  </w:num>
  <w:num w:numId="8">
    <w:abstractNumId w:val="16"/>
  </w:num>
  <w:num w:numId="9">
    <w:abstractNumId w:val="11"/>
  </w:num>
  <w:num w:numId="10">
    <w:abstractNumId w:val="48"/>
  </w:num>
  <w:num w:numId="11">
    <w:abstractNumId w:val="18"/>
  </w:num>
  <w:num w:numId="12">
    <w:abstractNumId w:val="26"/>
  </w:num>
  <w:num w:numId="13">
    <w:abstractNumId w:val="20"/>
  </w:num>
  <w:num w:numId="14">
    <w:abstractNumId w:val="21"/>
  </w:num>
  <w:num w:numId="15">
    <w:abstractNumId w:val="22"/>
  </w:num>
  <w:num w:numId="16">
    <w:abstractNumId w:val="29"/>
  </w:num>
  <w:num w:numId="17">
    <w:abstractNumId w:val="23"/>
  </w:num>
  <w:num w:numId="18">
    <w:abstractNumId w:val="39"/>
  </w:num>
  <w:num w:numId="19">
    <w:abstractNumId w:val="40"/>
  </w:num>
  <w:num w:numId="20">
    <w:abstractNumId w:val="38"/>
  </w:num>
  <w:num w:numId="21">
    <w:abstractNumId w:val="50"/>
  </w:num>
  <w:num w:numId="22">
    <w:abstractNumId w:val="17"/>
  </w:num>
  <w:num w:numId="23">
    <w:abstractNumId w:val="45"/>
  </w:num>
  <w:num w:numId="24">
    <w:abstractNumId w:val="27"/>
  </w:num>
  <w:num w:numId="25">
    <w:abstractNumId w:val="30"/>
  </w:num>
  <w:num w:numId="26">
    <w:abstractNumId w:val="28"/>
  </w:num>
  <w:num w:numId="27">
    <w:abstractNumId w:val="42"/>
  </w:num>
  <w:num w:numId="28">
    <w:abstractNumId w:val="43"/>
  </w:num>
  <w:num w:numId="29">
    <w:abstractNumId w:val="44"/>
  </w:num>
  <w:num w:numId="30">
    <w:abstractNumId w:val="2"/>
  </w:num>
  <w:num w:numId="31">
    <w:abstractNumId w:val="24"/>
  </w:num>
  <w:num w:numId="32">
    <w:abstractNumId w:val="31"/>
  </w:num>
  <w:num w:numId="33">
    <w:abstractNumId w:val="5"/>
  </w:num>
  <w:num w:numId="34">
    <w:abstractNumId w:val="32"/>
  </w:num>
  <w:num w:numId="35">
    <w:abstractNumId w:val="46"/>
  </w:num>
  <w:num w:numId="36">
    <w:abstractNumId w:val="33"/>
  </w:num>
  <w:num w:numId="37">
    <w:abstractNumId w:val="41"/>
  </w:num>
  <w:num w:numId="38">
    <w:abstractNumId w:val="34"/>
  </w:num>
  <w:num w:numId="39">
    <w:abstractNumId w:val="35"/>
  </w:num>
  <w:num w:numId="40">
    <w:abstractNumId w:val="36"/>
  </w:num>
  <w:num w:numId="41">
    <w:abstractNumId w:val="37"/>
  </w:num>
  <w:num w:numId="42">
    <w:abstractNumId w:val="47"/>
  </w:num>
  <w:num w:numId="43">
    <w:abstractNumId w:val="0"/>
  </w:num>
  <w:num w:numId="44">
    <w:abstractNumId w:val="1"/>
  </w:num>
  <w:num w:numId="45">
    <w:abstractNumId w:val="6"/>
  </w:num>
  <w:num w:numId="46">
    <w:abstractNumId w:val="13"/>
  </w:num>
  <w:num w:numId="47">
    <w:abstractNumId w:val="49"/>
  </w:num>
  <w:num w:numId="48">
    <w:abstractNumId w:val="25"/>
  </w:num>
  <w:num w:numId="49">
    <w:abstractNumId w:val="15"/>
  </w:num>
  <w:num w:numId="50">
    <w:abstractNumId w:val="12"/>
  </w:num>
  <w:num w:numId="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444D2"/>
    <w:rsid w:val="0095488E"/>
    <w:rsid w:val="009579E0"/>
    <w:rsid w:val="0096206A"/>
    <w:rsid w:val="00965A80"/>
    <w:rsid w:val="00975A9C"/>
    <w:rsid w:val="009806C5"/>
    <w:rsid w:val="0098128A"/>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A5842"/>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0D6D"/>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172D98"/>
    <w:rsid w:val="01253502"/>
    <w:rsid w:val="013A34D2"/>
    <w:rsid w:val="017C4C4A"/>
    <w:rsid w:val="018445B1"/>
    <w:rsid w:val="019845E5"/>
    <w:rsid w:val="01B0348D"/>
    <w:rsid w:val="01C1532E"/>
    <w:rsid w:val="01DC7096"/>
    <w:rsid w:val="01E2682C"/>
    <w:rsid w:val="020716AE"/>
    <w:rsid w:val="02507A52"/>
    <w:rsid w:val="02596255"/>
    <w:rsid w:val="025E45AD"/>
    <w:rsid w:val="02632E79"/>
    <w:rsid w:val="028242D4"/>
    <w:rsid w:val="02B9172A"/>
    <w:rsid w:val="02DD68E2"/>
    <w:rsid w:val="02E9497F"/>
    <w:rsid w:val="02EA13E6"/>
    <w:rsid w:val="030C0571"/>
    <w:rsid w:val="03164D3E"/>
    <w:rsid w:val="03451B7A"/>
    <w:rsid w:val="03511D53"/>
    <w:rsid w:val="03766AE1"/>
    <w:rsid w:val="03A240C0"/>
    <w:rsid w:val="03E812EC"/>
    <w:rsid w:val="04346E96"/>
    <w:rsid w:val="043F1946"/>
    <w:rsid w:val="045B7DE7"/>
    <w:rsid w:val="049A4A23"/>
    <w:rsid w:val="04CB1844"/>
    <w:rsid w:val="04D70CB5"/>
    <w:rsid w:val="04EA6A74"/>
    <w:rsid w:val="050D16BA"/>
    <w:rsid w:val="054A171F"/>
    <w:rsid w:val="055C340A"/>
    <w:rsid w:val="05625D31"/>
    <w:rsid w:val="058013F8"/>
    <w:rsid w:val="058B3782"/>
    <w:rsid w:val="0591421E"/>
    <w:rsid w:val="059A1517"/>
    <w:rsid w:val="05E71667"/>
    <w:rsid w:val="06273AC5"/>
    <w:rsid w:val="06672A50"/>
    <w:rsid w:val="06701CF1"/>
    <w:rsid w:val="068E2877"/>
    <w:rsid w:val="06C40031"/>
    <w:rsid w:val="06C55BEF"/>
    <w:rsid w:val="06CF3C7F"/>
    <w:rsid w:val="06E21332"/>
    <w:rsid w:val="07156F47"/>
    <w:rsid w:val="07310670"/>
    <w:rsid w:val="07487F64"/>
    <w:rsid w:val="074F1D72"/>
    <w:rsid w:val="07607573"/>
    <w:rsid w:val="07641B88"/>
    <w:rsid w:val="079C6C34"/>
    <w:rsid w:val="07C17285"/>
    <w:rsid w:val="07E464D4"/>
    <w:rsid w:val="07EB65E3"/>
    <w:rsid w:val="07F124E0"/>
    <w:rsid w:val="07FE3A66"/>
    <w:rsid w:val="0808029C"/>
    <w:rsid w:val="082F71E8"/>
    <w:rsid w:val="084D34A3"/>
    <w:rsid w:val="08624F55"/>
    <w:rsid w:val="087D32AA"/>
    <w:rsid w:val="08947E10"/>
    <w:rsid w:val="089E3657"/>
    <w:rsid w:val="08AB3374"/>
    <w:rsid w:val="08B0644D"/>
    <w:rsid w:val="08BC2D67"/>
    <w:rsid w:val="08C14A52"/>
    <w:rsid w:val="08C35B2B"/>
    <w:rsid w:val="08C952FC"/>
    <w:rsid w:val="08DD3EDA"/>
    <w:rsid w:val="08E80A7C"/>
    <w:rsid w:val="08FD1694"/>
    <w:rsid w:val="08FF7646"/>
    <w:rsid w:val="09195F9B"/>
    <w:rsid w:val="0938692D"/>
    <w:rsid w:val="09423CB2"/>
    <w:rsid w:val="09551105"/>
    <w:rsid w:val="09732BAA"/>
    <w:rsid w:val="09957E1A"/>
    <w:rsid w:val="099B7A84"/>
    <w:rsid w:val="09AB0222"/>
    <w:rsid w:val="09AD23BE"/>
    <w:rsid w:val="09B124FA"/>
    <w:rsid w:val="09CD7056"/>
    <w:rsid w:val="09D83573"/>
    <w:rsid w:val="09EC0C7C"/>
    <w:rsid w:val="0A14574B"/>
    <w:rsid w:val="0A39670A"/>
    <w:rsid w:val="0A3E082C"/>
    <w:rsid w:val="0A744052"/>
    <w:rsid w:val="0A8254DA"/>
    <w:rsid w:val="0A9C41F4"/>
    <w:rsid w:val="0AA862B1"/>
    <w:rsid w:val="0AAF104A"/>
    <w:rsid w:val="0AAF3E31"/>
    <w:rsid w:val="0ADE6EA2"/>
    <w:rsid w:val="0AED7139"/>
    <w:rsid w:val="0B151573"/>
    <w:rsid w:val="0B4A0AB1"/>
    <w:rsid w:val="0B6E3207"/>
    <w:rsid w:val="0B73301E"/>
    <w:rsid w:val="0BAC0F2F"/>
    <w:rsid w:val="0C106DAE"/>
    <w:rsid w:val="0C1959E9"/>
    <w:rsid w:val="0C220AE9"/>
    <w:rsid w:val="0C316499"/>
    <w:rsid w:val="0C643F71"/>
    <w:rsid w:val="0C7F7977"/>
    <w:rsid w:val="0CA777FB"/>
    <w:rsid w:val="0CB25156"/>
    <w:rsid w:val="0CC90ECA"/>
    <w:rsid w:val="0CF95E06"/>
    <w:rsid w:val="0CF970C7"/>
    <w:rsid w:val="0D772A74"/>
    <w:rsid w:val="0D7D3D59"/>
    <w:rsid w:val="0D827683"/>
    <w:rsid w:val="0D8619FC"/>
    <w:rsid w:val="0D915916"/>
    <w:rsid w:val="0DD724F6"/>
    <w:rsid w:val="0DE05730"/>
    <w:rsid w:val="0DED2DE4"/>
    <w:rsid w:val="0DFB07CE"/>
    <w:rsid w:val="0E0148DC"/>
    <w:rsid w:val="0E0A3926"/>
    <w:rsid w:val="0E1C168C"/>
    <w:rsid w:val="0E1C6CD1"/>
    <w:rsid w:val="0E2F361C"/>
    <w:rsid w:val="0E3C5788"/>
    <w:rsid w:val="0E8A0397"/>
    <w:rsid w:val="0EA20E7A"/>
    <w:rsid w:val="0EA9317F"/>
    <w:rsid w:val="0EAF3D7B"/>
    <w:rsid w:val="0EB04E92"/>
    <w:rsid w:val="0ECB0ECB"/>
    <w:rsid w:val="0ED80953"/>
    <w:rsid w:val="0EE47081"/>
    <w:rsid w:val="0EE923AC"/>
    <w:rsid w:val="0EF46447"/>
    <w:rsid w:val="0EFF300A"/>
    <w:rsid w:val="0F181FC8"/>
    <w:rsid w:val="0F333702"/>
    <w:rsid w:val="0F401705"/>
    <w:rsid w:val="0F4E4E37"/>
    <w:rsid w:val="0F6D0D24"/>
    <w:rsid w:val="0F806FED"/>
    <w:rsid w:val="0F8D0BE8"/>
    <w:rsid w:val="0F900831"/>
    <w:rsid w:val="0F900FC5"/>
    <w:rsid w:val="0FA91797"/>
    <w:rsid w:val="0FB33A4E"/>
    <w:rsid w:val="10126394"/>
    <w:rsid w:val="10197D6F"/>
    <w:rsid w:val="104C2A9E"/>
    <w:rsid w:val="107B4D2F"/>
    <w:rsid w:val="10C04DC5"/>
    <w:rsid w:val="10F748EC"/>
    <w:rsid w:val="10FF7F0B"/>
    <w:rsid w:val="11085F6F"/>
    <w:rsid w:val="11097388"/>
    <w:rsid w:val="113B63CB"/>
    <w:rsid w:val="11686758"/>
    <w:rsid w:val="117B5CBE"/>
    <w:rsid w:val="118A1171"/>
    <w:rsid w:val="11985EF8"/>
    <w:rsid w:val="11C8127F"/>
    <w:rsid w:val="11E44062"/>
    <w:rsid w:val="11EB42EE"/>
    <w:rsid w:val="11F95B44"/>
    <w:rsid w:val="122C300C"/>
    <w:rsid w:val="12345CE1"/>
    <w:rsid w:val="12443276"/>
    <w:rsid w:val="124C6797"/>
    <w:rsid w:val="1252238F"/>
    <w:rsid w:val="12A254E6"/>
    <w:rsid w:val="12A94F39"/>
    <w:rsid w:val="12B10A4C"/>
    <w:rsid w:val="12B130B4"/>
    <w:rsid w:val="12CF0A95"/>
    <w:rsid w:val="12DE1B3B"/>
    <w:rsid w:val="12E27BAC"/>
    <w:rsid w:val="12E76BDB"/>
    <w:rsid w:val="13133401"/>
    <w:rsid w:val="134D4C40"/>
    <w:rsid w:val="13575E34"/>
    <w:rsid w:val="136900C9"/>
    <w:rsid w:val="13722F5D"/>
    <w:rsid w:val="139765D8"/>
    <w:rsid w:val="13DC39F1"/>
    <w:rsid w:val="13E9682A"/>
    <w:rsid w:val="13F516F1"/>
    <w:rsid w:val="13FB2D0D"/>
    <w:rsid w:val="14052EBB"/>
    <w:rsid w:val="141B3133"/>
    <w:rsid w:val="14305551"/>
    <w:rsid w:val="14386FD6"/>
    <w:rsid w:val="14432CB6"/>
    <w:rsid w:val="146035E6"/>
    <w:rsid w:val="14984D45"/>
    <w:rsid w:val="14C115D5"/>
    <w:rsid w:val="14CD6141"/>
    <w:rsid w:val="14DD4386"/>
    <w:rsid w:val="150B47D4"/>
    <w:rsid w:val="1521731E"/>
    <w:rsid w:val="1545428F"/>
    <w:rsid w:val="15480EAF"/>
    <w:rsid w:val="156D64AB"/>
    <w:rsid w:val="1580785E"/>
    <w:rsid w:val="1592432C"/>
    <w:rsid w:val="1593133A"/>
    <w:rsid w:val="15967133"/>
    <w:rsid w:val="15B86808"/>
    <w:rsid w:val="15BE6261"/>
    <w:rsid w:val="15D943E3"/>
    <w:rsid w:val="15F55D96"/>
    <w:rsid w:val="15F743BB"/>
    <w:rsid w:val="16011788"/>
    <w:rsid w:val="16145E18"/>
    <w:rsid w:val="161A2D22"/>
    <w:rsid w:val="162E6015"/>
    <w:rsid w:val="16300C8C"/>
    <w:rsid w:val="165D3CF8"/>
    <w:rsid w:val="16612092"/>
    <w:rsid w:val="168122B3"/>
    <w:rsid w:val="16854C1F"/>
    <w:rsid w:val="1688674A"/>
    <w:rsid w:val="16D400EF"/>
    <w:rsid w:val="16DD42E0"/>
    <w:rsid w:val="16F9234C"/>
    <w:rsid w:val="170F2880"/>
    <w:rsid w:val="17115465"/>
    <w:rsid w:val="17223771"/>
    <w:rsid w:val="17884105"/>
    <w:rsid w:val="179405EF"/>
    <w:rsid w:val="17A70F3F"/>
    <w:rsid w:val="17AD26A7"/>
    <w:rsid w:val="17CB0F48"/>
    <w:rsid w:val="17D406F7"/>
    <w:rsid w:val="17D8322F"/>
    <w:rsid w:val="18042B05"/>
    <w:rsid w:val="18137C1B"/>
    <w:rsid w:val="1816511F"/>
    <w:rsid w:val="184F35DE"/>
    <w:rsid w:val="18791FD0"/>
    <w:rsid w:val="187D529B"/>
    <w:rsid w:val="1886755A"/>
    <w:rsid w:val="18983047"/>
    <w:rsid w:val="18A41337"/>
    <w:rsid w:val="18B50E36"/>
    <w:rsid w:val="18C30DC2"/>
    <w:rsid w:val="18CF5CB8"/>
    <w:rsid w:val="18DC6978"/>
    <w:rsid w:val="18F6604F"/>
    <w:rsid w:val="1936128D"/>
    <w:rsid w:val="193B5CC8"/>
    <w:rsid w:val="19A9567A"/>
    <w:rsid w:val="19BF527F"/>
    <w:rsid w:val="19C92DE2"/>
    <w:rsid w:val="19F32656"/>
    <w:rsid w:val="19F46A76"/>
    <w:rsid w:val="1A2F2A0B"/>
    <w:rsid w:val="1A4030A6"/>
    <w:rsid w:val="1A956D0C"/>
    <w:rsid w:val="1AA73CED"/>
    <w:rsid w:val="1AB5503B"/>
    <w:rsid w:val="1AC2553A"/>
    <w:rsid w:val="1ADE2C24"/>
    <w:rsid w:val="1AF6038F"/>
    <w:rsid w:val="1AFE7A29"/>
    <w:rsid w:val="1B073922"/>
    <w:rsid w:val="1B560941"/>
    <w:rsid w:val="1B5D08FA"/>
    <w:rsid w:val="1B5F14D6"/>
    <w:rsid w:val="1B604066"/>
    <w:rsid w:val="1B9B0BC6"/>
    <w:rsid w:val="1BBA2302"/>
    <w:rsid w:val="1C020069"/>
    <w:rsid w:val="1C507121"/>
    <w:rsid w:val="1C7A32F9"/>
    <w:rsid w:val="1C9242A4"/>
    <w:rsid w:val="1C931CB9"/>
    <w:rsid w:val="1CBE3649"/>
    <w:rsid w:val="1CC33C80"/>
    <w:rsid w:val="1D9C0926"/>
    <w:rsid w:val="1DA710C8"/>
    <w:rsid w:val="1E1A3FF8"/>
    <w:rsid w:val="1E26654D"/>
    <w:rsid w:val="1E31206C"/>
    <w:rsid w:val="1E323109"/>
    <w:rsid w:val="1E555EE9"/>
    <w:rsid w:val="1EA10F3E"/>
    <w:rsid w:val="1EB51DD8"/>
    <w:rsid w:val="1EC61F82"/>
    <w:rsid w:val="1EC93386"/>
    <w:rsid w:val="1EED0F1B"/>
    <w:rsid w:val="1EFF7244"/>
    <w:rsid w:val="1F280757"/>
    <w:rsid w:val="1F59427A"/>
    <w:rsid w:val="1F6406C1"/>
    <w:rsid w:val="1FD945B0"/>
    <w:rsid w:val="1FEF1FFA"/>
    <w:rsid w:val="20090507"/>
    <w:rsid w:val="203D0D71"/>
    <w:rsid w:val="20AF05BD"/>
    <w:rsid w:val="20BB2E96"/>
    <w:rsid w:val="20DA6C2C"/>
    <w:rsid w:val="20DD668A"/>
    <w:rsid w:val="20E633FF"/>
    <w:rsid w:val="210118FA"/>
    <w:rsid w:val="210D65EB"/>
    <w:rsid w:val="2119335A"/>
    <w:rsid w:val="211A5B8C"/>
    <w:rsid w:val="21592782"/>
    <w:rsid w:val="215A2EC4"/>
    <w:rsid w:val="216A78CF"/>
    <w:rsid w:val="217627D9"/>
    <w:rsid w:val="21A0370E"/>
    <w:rsid w:val="21B1797A"/>
    <w:rsid w:val="21B814FB"/>
    <w:rsid w:val="21C52D02"/>
    <w:rsid w:val="21C52F88"/>
    <w:rsid w:val="220E3210"/>
    <w:rsid w:val="226E02A2"/>
    <w:rsid w:val="228D0852"/>
    <w:rsid w:val="229D03B1"/>
    <w:rsid w:val="22A355B8"/>
    <w:rsid w:val="22B00566"/>
    <w:rsid w:val="22C471DB"/>
    <w:rsid w:val="22D03D34"/>
    <w:rsid w:val="22D66746"/>
    <w:rsid w:val="231F769B"/>
    <w:rsid w:val="23422E27"/>
    <w:rsid w:val="235201DB"/>
    <w:rsid w:val="2359393E"/>
    <w:rsid w:val="238F1CC8"/>
    <w:rsid w:val="23BE0B86"/>
    <w:rsid w:val="23F95C4D"/>
    <w:rsid w:val="242E4E34"/>
    <w:rsid w:val="243F1DE7"/>
    <w:rsid w:val="248A3A7F"/>
    <w:rsid w:val="249F4236"/>
    <w:rsid w:val="24C377D0"/>
    <w:rsid w:val="24D01574"/>
    <w:rsid w:val="24E52D6B"/>
    <w:rsid w:val="25046EA2"/>
    <w:rsid w:val="25251A25"/>
    <w:rsid w:val="25474606"/>
    <w:rsid w:val="256228E0"/>
    <w:rsid w:val="258F7DD5"/>
    <w:rsid w:val="25AC0E5C"/>
    <w:rsid w:val="25C25E13"/>
    <w:rsid w:val="25C908AF"/>
    <w:rsid w:val="25CE5311"/>
    <w:rsid w:val="25D3637D"/>
    <w:rsid w:val="25FA061E"/>
    <w:rsid w:val="260374EC"/>
    <w:rsid w:val="261939D4"/>
    <w:rsid w:val="261F0590"/>
    <w:rsid w:val="2644580B"/>
    <w:rsid w:val="264C2EC7"/>
    <w:rsid w:val="26966E13"/>
    <w:rsid w:val="26A419A9"/>
    <w:rsid w:val="26AC1452"/>
    <w:rsid w:val="26B4785C"/>
    <w:rsid w:val="26B94E95"/>
    <w:rsid w:val="26DC0CB6"/>
    <w:rsid w:val="26F11CDD"/>
    <w:rsid w:val="26FA16D0"/>
    <w:rsid w:val="270123FB"/>
    <w:rsid w:val="27086393"/>
    <w:rsid w:val="270C20F8"/>
    <w:rsid w:val="27124CA5"/>
    <w:rsid w:val="27135815"/>
    <w:rsid w:val="271925EC"/>
    <w:rsid w:val="272E0FE5"/>
    <w:rsid w:val="273435F1"/>
    <w:rsid w:val="27752D78"/>
    <w:rsid w:val="27A10A77"/>
    <w:rsid w:val="27B93768"/>
    <w:rsid w:val="27D95F36"/>
    <w:rsid w:val="281D243D"/>
    <w:rsid w:val="283322C9"/>
    <w:rsid w:val="285C72E1"/>
    <w:rsid w:val="285E1F2B"/>
    <w:rsid w:val="28932F3A"/>
    <w:rsid w:val="28B142D5"/>
    <w:rsid w:val="28BA0DD2"/>
    <w:rsid w:val="28C052EC"/>
    <w:rsid w:val="28C50201"/>
    <w:rsid w:val="28C608F6"/>
    <w:rsid w:val="28D1042F"/>
    <w:rsid w:val="28DD4BE9"/>
    <w:rsid w:val="290C77C3"/>
    <w:rsid w:val="290D3996"/>
    <w:rsid w:val="29136CF0"/>
    <w:rsid w:val="29777818"/>
    <w:rsid w:val="29C80887"/>
    <w:rsid w:val="29F64D34"/>
    <w:rsid w:val="29FF6391"/>
    <w:rsid w:val="2A2F63F2"/>
    <w:rsid w:val="2A474027"/>
    <w:rsid w:val="2A4C44CF"/>
    <w:rsid w:val="2A7A5071"/>
    <w:rsid w:val="2A911A4E"/>
    <w:rsid w:val="2ADD7D86"/>
    <w:rsid w:val="2B0459FF"/>
    <w:rsid w:val="2B0F2074"/>
    <w:rsid w:val="2B4116FF"/>
    <w:rsid w:val="2B5258B1"/>
    <w:rsid w:val="2B8653EF"/>
    <w:rsid w:val="2B9058DD"/>
    <w:rsid w:val="2BFE19D6"/>
    <w:rsid w:val="2C1B5789"/>
    <w:rsid w:val="2C3118DD"/>
    <w:rsid w:val="2C3562D8"/>
    <w:rsid w:val="2C5A63C9"/>
    <w:rsid w:val="2CB07001"/>
    <w:rsid w:val="2CB3280D"/>
    <w:rsid w:val="2CB922C1"/>
    <w:rsid w:val="2CD25725"/>
    <w:rsid w:val="2CF70F9E"/>
    <w:rsid w:val="2D124A1E"/>
    <w:rsid w:val="2D323752"/>
    <w:rsid w:val="2D3373D5"/>
    <w:rsid w:val="2D39787B"/>
    <w:rsid w:val="2D3B78BA"/>
    <w:rsid w:val="2D4340BD"/>
    <w:rsid w:val="2D4910C7"/>
    <w:rsid w:val="2D4A3339"/>
    <w:rsid w:val="2D6C2573"/>
    <w:rsid w:val="2D9A0AB9"/>
    <w:rsid w:val="2DCD259E"/>
    <w:rsid w:val="2DD97074"/>
    <w:rsid w:val="2E090193"/>
    <w:rsid w:val="2E0A7E69"/>
    <w:rsid w:val="2E3A03E5"/>
    <w:rsid w:val="2E480D98"/>
    <w:rsid w:val="2E5C26B6"/>
    <w:rsid w:val="2E7608C5"/>
    <w:rsid w:val="2E9D4664"/>
    <w:rsid w:val="2EAD6E42"/>
    <w:rsid w:val="2F046F53"/>
    <w:rsid w:val="2F154571"/>
    <w:rsid w:val="2F2F5279"/>
    <w:rsid w:val="2F314A30"/>
    <w:rsid w:val="2F385D1F"/>
    <w:rsid w:val="2F592C0A"/>
    <w:rsid w:val="2F6076E3"/>
    <w:rsid w:val="2F7F11EF"/>
    <w:rsid w:val="2F992B76"/>
    <w:rsid w:val="2F9F7149"/>
    <w:rsid w:val="2FD276BA"/>
    <w:rsid w:val="2FF61F3A"/>
    <w:rsid w:val="2FF76ADE"/>
    <w:rsid w:val="3012581E"/>
    <w:rsid w:val="30427DA1"/>
    <w:rsid w:val="30703AED"/>
    <w:rsid w:val="30D87142"/>
    <w:rsid w:val="30F90615"/>
    <w:rsid w:val="311427E1"/>
    <w:rsid w:val="31144F45"/>
    <w:rsid w:val="311E12EC"/>
    <w:rsid w:val="31263671"/>
    <w:rsid w:val="313D0673"/>
    <w:rsid w:val="313D7621"/>
    <w:rsid w:val="31B06B37"/>
    <w:rsid w:val="31D363EC"/>
    <w:rsid w:val="31F71A84"/>
    <w:rsid w:val="31FB7075"/>
    <w:rsid w:val="32096628"/>
    <w:rsid w:val="320F7CDE"/>
    <w:rsid w:val="321D07ED"/>
    <w:rsid w:val="321F2F90"/>
    <w:rsid w:val="321F3DAE"/>
    <w:rsid w:val="322830A4"/>
    <w:rsid w:val="324003D4"/>
    <w:rsid w:val="3256419C"/>
    <w:rsid w:val="32571548"/>
    <w:rsid w:val="32A07FFE"/>
    <w:rsid w:val="32BD5DCB"/>
    <w:rsid w:val="32C574EA"/>
    <w:rsid w:val="32DD612C"/>
    <w:rsid w:val="32DF1E88"/>
    <w:rsid w:val="32E45B7F"/>
    <w:rsid w:val="32EC1396"/>
    <w:rsid w:val="33155747"/>
    <w:rsid w:val="33245E41"/>
    <w:rsid w:val="3331756A"/>
    <w:rsid w:val="33413B81"/>
    <w:rsid w:val="33460DBD"/>
    <w:rsid w:val="33690A64"/>
    <w:rsid w:val="3372638F"/>
    <w:rsid w:val="33781C4C"/>
    <w:rsid w:val="33C544C3"/>
    <w:rsid w:val="33D347BC"/>
    <w:rsid w:val="33DA0657"/>
    <w:rsid w:val="33EC666B"/>
    <w:rsid w:val="33F062D6"/>
    <w:rsid w:val="33F37344"/>
    <w:rsid w:val="33F50D78"/>
    <w:rsid w:val="33FD4196"/>
    <w:rsid w:val="341E6368"/>
    <w:rsid w:val="342F4322"/>
    <w:rsid w:val="34552CFD"/>
    <w:rsid w:val="34662C2B"/>
    <w:rsid w:val="346E04E1"/>
    <w:rsid w:val="3487529A"/>
    <w:rsid w:val="34994215"/>
    <w:rsid w:val="34C539E4"/>
    <w:rsid w:val="34C74FAE"/>
    <w:rsid w:val="34FE35BC"/>
    <w:rsid w:val="352422D0"/>
    <w:rsid w:val="35270D48"/>
    <w:rsid w:val="35312EA4"/>
    <w:rsid w:val="353B001C"/>
    <w:rsid w:val="354B78A0"/>
    <w:rsid w:val="355043BB"/>
    <w:rsid w:val="35593CAE"/>
    <w:rsid w:val="358C70A8"/>
    <w:rsid w:val="35C176A9"/>
    <w:rsid w:val="35D33D8A"/>
    <w:rsid w:val="35DF2327"/>
    <w:rsid w:val="35DF7216"/>
    <w:rsid w:val="3607269A"/>
    <w:rsid w:val="361946C2"/>
    <w:rsid w:val="3629503A"/>
    <w:rsid w:val="367B3297"/>
    <w:rsid w:val="36960637"/>
    <w:rsid w:val="36970D27"/>
    <w:rsid w:val="36E804BC"/>
    <w:rsid w:val="36ED7E3E"/>
    <w:rsid w:val="372B4C0C"/>
    <w:rsid w:val="37480859"/>
    <w:rsid w:val="376D2BCC"/>
    <w:rsid w:val="37B66803"/>
    <w:rsid w:val="37B750BF"/>
    <w:rsid w:val="37CD02D8"/>
    <w:rsid w:val="37E54B0B"/>
    <w:rsid w:val="380D0A7B"/>
    <w:rsid w:val="381F223B"/>
    <w:rsid w:val="38A0322F"/>
    <w:rsid w:val="38B44C92"/>
    <w:rsid w:val="38E0066F"/>
    <w:rsid w:val="38F81F10"/>
    <w:rsid w:val="38FF1F77"/>
    <w:rsid w:val="39001EE9"/>
    <w:rsid w:val="39050C3E"/>
    <w:rsid w:val="391425B7"/>
    <w:rsid w:val="39226068"/>
    <w:rsid w:val="3925063D"/>
    <w:rsid w:val="39387926"/>
    <w:rsid w:val="39585C08"/>
    <w:rsid w:val="395E5DDB"/>
    <w:rsid w:val="39673DEE"/>
    <w:rsid w:val="39706BA0"/>
    <w:rsid w:val="39827829"/>
    <w:rsid w:val="3993401A"/>
    <w:rsid w:val="39975AFB"/>
    <w:rsid w:val="399D4762"/>
    <w:rsid w:val="39A21DBC"/>
    <w:rsid w:val="39EC707C"/>
    <w:rsid w:val="3A233ECF"/>
    <w:rsid w:val="3A2D7BAB"/>
    <w:rsid w:val="3A4F2B4C"/>
    <w:rsid w:val="3A610625"/>
    <w:rsid w:val="3A684F39"/>
    <w:rsid w:val="3A764FDE"/>
    <w:rsid w:val="3A953982"/>
    <w:rsid w:val="3AC37553"/>
    <w:rsid w:val="3ACD34EE"/>
    <w:rsid w:val="3B291E32"/>
    <w:rsid w:val="3B4C1448"/>
    <w:rsid w:val="3B550C57"/>
    <w:rsid w:val="3B5653C0"/>
    <w:rsid w:val="3B5D79A7"/>
    <w:rsid w:val="3B64241F"/>
    <w:rsid w:val="3B934208"/>
    <w:rsid w:val="3B953CB8"/>
    <w:rsid w:val="3BBB63B0"/>
    <w:rsid w:val="3BEA6A4D"/>
    <w:rsid w:val="3BF975B9"/>
    <w:rsid w:val="3C0C324B"/>
    <w:rsid w:val="3C11779A"/>
    <w:rsid w:val="3C300073"/>
    <w:rsid w:val="3C3263C3"/>
    <w:rsid w:val="3C347876"/>
    <w:rsid w:val="3C3D7350"/>
    <w:rsid w:val="3C5077F0"/>
    <w:rsid w:val="3C5631C1"/>
    <w:rsid w:val="3C6319A5"/>
    <w:rsid w:val="3C6A4416"/>
    <w:rsid w:val="3C6D28C0"/>
    <w:rsid w:val="3CA16B01"/>
    <w:rsid w:val="3CA25450"/>
    <w:rsid w:val="3CB16C19"/>
    <w:rsid w:val="3CBD5B21"/>
    <w:rsid w:val="3CCA3030"/>
    <w:rsid w:val="3CCC585E"/>
    <w:rsid w:val="3CF306F7"/>
    <w:rsid w:val="3CF92AB7"/>
    <w:rsid w:val="3D0521B8"/>
    <w:rsid w:val="3D1F7B03"/>
    <w:rsid w:val="3D4E048A"/>
    <w:rsid w:val="3D74486D"/>
    <w:rsid w:val="3D850CB2"/>
    <w:rsid w:val="3DE72505"/>
    <w:rsid w:val="3DFF3F57"/>
    <w:rsid w:val="3E2E1195"/>
    <w:rsid w:val="3E325ADE"/>
    <w:rsid w:val="3E3D5AF9"/>
    <w:rsid w:val="3EBE0637"/>
    <w:rsid w:val="3EDC43B2"/>
    <w:rsid w:val="3EF04D32"/>
    <w:rsid w:val="3F0424CF"/>
    <w:rsid w:val="3F4F0730"/>
    <w:rsid w:val="3F5564E5"/>
    <w:rsid w:val="3F576913"/>
    <w:rsid w:val="3F874ABF"/>
    <w:rsid w:val="3F886E54"/>
    <w:rsid w:val="3F8B3452"/>
    <w:rsid w:val="3FC02FF0"/>
    <w:rsid w:val="3FCD7D0F"/>
    <w:rsid w:val="3FCE7634"/>
    <w:rsid w:val="40094869"/>
    <w:rsid w:val="400D38CA"/>
    <w:rsid w:val="401D13AA"/>
    <w:rsid w:val="402446DA"/>
    <w:rsid w:val="4031155A"/>
    <w:rsid w:val="40526CB6"/>
    <w:rsid w:val="40B644AB"/>
    <w:rsid w:val="40E07E77"/>
    <w:rsid w:val="40F92E90"/>
    <w:rsid w:val="41155838"/>
    <w:rsid w:val="412D4B19"/>
    <w:rsid w:val="416D6101"/>
    <w:rsid w:val="418A3309"/>
    <w:rsid w:val="419838B5"/>
    <w:rsid w:val="419C4169"/>
    <w:rsid w:val="41BD03DB"/>
    <w:rsid w:val="41C14BA5"/>
    <w:rsid w:val="41DA7D36"/>
    <w:rsid w:val="42001452"/>
    <w:rsid w:val="42107036"/>
    <w:rsid w:val="422100AF"/>
    <w:rsid w:val="42296309"/>
    <w:rsid w:val="422A4B00"/>
    <w:rsid w:val="42484C51"/>
    <w:rsid w:val="424851D2"/>
    <w:rsid w:val="4249668B"/>
    <w:rsid w:val="425E7D14"/>
    <w:rsid w:val="42635FEF"/>
    <w:rsid w:val="426A2760"/>
    <w:rsid w:val="42DC6B49"/>
    <w:rsid w:val="42F913BC"/>
    <w:rsid w:val="42FE5587"/>
    <w:rsid w:val="434C0275"/>
    <w:rsid w:val="43642F5E"/>
    <w:rsid w:val="439811FE"/>
    <w:rsid w:val="43A92D31"/>
    <w:rsid w:val="43BE37E1"/>
    <w:rsid w:val="43EA034A"/>
    <w:rsid w:val="43FD34BC"/>
    <w:rsid w:val="44273C51"/>
    <w:rsid w:val="44443148"/>
    <w:rsid w:val="444824FB"/>
    <w:rsid w:val="44AA77F2"/>
    <w:rsid w:val="44AB3EBA"/>
    <w:rsid w:val="44AB6827"/>
    <w:rsid w:val="44B249B7"/>
    <w:rsid w:val="44B335CA"/>
    <w:rsid w:val="44B546E7"/>
    <w:rsid w:val="44C2688A"/>
    <w:rsid w:val="44D91FD9"/>
    <w:rsid w:val="44DE32E5"/>
    <w:rsid w:val="44FB2F62"/>
    <w:rsid w:val="44FF0F3A"/>
    <w:rsid w:val="451D414B"/>
    <w:rsid w:val="45407AD6"/>
    <w:rsid w:val="454F708F"/>
    <w:rsid w:val="45553894"/>
    <w:rsid w:val="455E567C"/>
    <w:rsid w:val="45671A03"/>
    <w:rsid w:val="457D260A"/>
    <w:rsid w:val="45903BF5"/>
    <w:rsid w:val="45D00574"/>
    <w:rsid w:val="460F694E"/>
    <w:rsid w:val="46100733"/>
    <w:rsid w:val="4611550A"/>
    <w:rsid w:val="46331463"/>
    <w:rsid w:val="46573DC2"/>
    <w:rsid w:val="467C7DAD"/>
    <w:rsid w:val="468B287B"/>
    <w:rsid w:val="468E066B"/>
    <w:rsid w:val="469C5960"/>
    <w:rsid w:val="46A120C6"/>
    <w:rsid w:val="46B12D45"/>
    <w:rsid w:val="46C05E45"/>
    <w:rsid w:val="46DC2CA6"/>
    <w:rsid w:val="46EB204D"/>
    <w:rsid w:val="46FC4CEF"/>
    <w:rsid w:val="471B2B70"/>
    <w:rsid w:val="475964A8"/>
    <w:rsid w:val="479F6F85"/>
    <w:rsid w:val="47CE2905"/>
    <w:rsid w:val="47F83359"/>
    <w:rsid w:val="47FC25FC"/>
    <w:rsid w:val="482D597D"/>
    <w:rsid w:val="488E64B7"/>
    <w:rsid w:val="48952A15"/>
    <w:rsid w:val="48967C88"/>
    <w:rsid w:val="489D7312"/>
    <w:rsid w:val="48A474BC"/>
    <w:rsid w:val="48A633B7"/>
    <w:rsid w:val="48B6678D"/>
    <w:rsid w:val="48C8208F"/>
    <w:rsid w:val="48CD54FC"/>
    <w:rsid w:val="48E05764"/>
    <w:rsid w:val="490D6EF1"/>
    <w:rsid w:val="49607C35"/>
    <w:rsid w:val="496A2326"/>
    <w:rsid w:val="496C770C"/>
    <w:rsid w:val="49833086"/>
    <w:rsid w:val="49E70C75"/>
    <w:rsid w:val="4A06251A"/>
    <w:rsid w:val="4A113DC0"/>
    <w:rsid w:val="4A2F2B46"/>
    <w:rsid w:val="4A547916"/>
    <w:rsid w:val="4A563835"/>
    <w:rsid w:val="4A5A4578"/>
    <w:rsid w:val="4A75653D"/>
    <w:rsid w:val="4A9470AF"/>
    <w:rsid w:val="4B0C4481"/>
    <w:rsid w:val="4B1D7FF9"/>
    <w:rsid w:val="4B3C1FE1"/>
    <w:rsid w:val="4B412FE7"/>
    <w:rsid w:val="4B50629D"/>
    <w:rsid w:val="4B5216F0"/>
    <w:rsid w:val="4B873C90"/>
    <w:rsid w:val="4BA82573"/>
    <w:rsid w:val="4BD319EC"/>
    <w:rsid w:val="4C0F3894"/>
    <w:rsid w:val="4C1603ED"/>
    <w:rsid w:val="4C265C32"/>
    <w:rsid w:val="4C364B5B"/>
    <w:rsid w:val="4C5110C3"/>
    <w:rsid w:val="4C7607DD"/>
    <w:rsid w:val="4C77450A"/>
    <w:rsid w:val="4C935296"/>
    <w:rsid w:val="4C9C05A8"/>
    <w:rsid w:val="4CA93DA4"/>
    <w:rsid w:val="4CAF7F74"/>
    <w:rsid w:val="4D105E89"/>
    <w:rsid w:val="4D39550D"/>
    <w:rsid w:val="4D7E343F"/>
    <w:rsid w:val="4D853B8B"/>
    <w:rsid w:val="4DA82B08"/>
    <w:rsid w:val="4DB552EA"/>
    <w:rsid w:val="4DEA4DFF"/>
    <w:rsid w:val="4DF90F86"/>
    <w:rsid w:val="4E2B6141"/>
    <w:rsid w:val="4E34085A"/>
    <w:rsid w:val="4E4E41E8"/>
    <w:rsid w:val="4E52351E"/>
    <w:rsid w:val="4E586CD5"/>
    <w:rsid w:val="4E6679FD"/>
    <w:rsid w:val="4E7E704C"/>
    <w:rsid w:val="4E995F96"/>
    <w:rsid w:val="4E9C08B1"/>
    <w:rsid w:val="4EAB3D0C"/>
    <w:rsid w:val="4EB418A0"/>
    <w:rsid w:val="4ECC738A"/>
    <w:rsid w:val="4F0F5F83"/>
    <w:rsid w:val="4F767DE0"/>
    <w:rsid w:val="4FB71FA5"/>
    <w:rsid w:val="4FE11B58"/>
    <w:rsid w:val="4FF22F51"/>
    <w:rsid w:val="50061349"/>
    <w:rsid w:val="50102EEB"/>
    <w:rsid w:val="502571C3"/>
    <w:rsid w:val="502C7252"/>
    <w:rsid w:val="50330BAD"/>
    <w:rsid w:val="503F2AAA"/>
    <w:rsid w:val="506D2822"/>
    <w:rsid w:val="506F7531"/>
    <w:rsid w:val="508101EA"/>
    <w:rsid w:val="50AC380C"/>
    <w:rsid w:val="50C13ED4"/>
    <w:rsid w:val="50CD580A"/>
    <w:rsid w:val="50E16CEE"/>
    <w:rsid w:val="50FA2D88"/>
    <w:rsid w:val="51364EAB"/>
    <w:rsid w:val="5137695B"/>
    <w:rsid w:val="515D6CC8"/>
    <w:rsid w:val="518F40A5"/>
    <w:rsid w:val="51AD00C1"/>
    <w:rsid w:val="51DB0A7E"/>
    <w:rsid w:val="51EB6355"/>
    <w:rsid w:val="51F135EC"/>
    <w:rsid w:val="51F8067D"/>
    <w:rsid w:val="520D61E9"/>
    <w:rsid w:val="5236299C"/>
    <w:rsid w:val="52403723"/>
    <w:rsid w:val="52420C2A"/>
    <w:rsid w:val="524F1B93"/>
    <w:rsid w:val="525B7281"/>
    <w:rsid w:val="52630775"/>
    <w:rsid w:val="526627D1"/>
    <w:rsid w:val="526E4E8E"/>
    <w:rsid w:val="52706486"/>
    <w:rsid w:val="527D6C07"/>
    <w:rsid w:val="527F35E6"/>
    <w:rsid w:val="52964727"/>
    <w:rsid w:val="52B6596B"/>
    <w:rsid w:val="52ED2480"/>
    <w:rsid w:val="52FA6AE0"/>
    <w:rsid w:val="53101841"/>
    <w:rsid w:val="53465512"/>
    <w:rsid w:val="536B2CBD"/>
    <w:rsid w:val="5376019D"/>
    <w:rsid w:val="537B72FD"/>
    <w:rsid w:val="5397438F"/>
    <w:rsid w:val="539B6DCD"/>
    <w:rsid w:val="54106881"/>
    <w:rsid w:val="541B28DE"/>
    <w:rsid w:val="54337620"/>
    <w:rsid w:val="54361AD6"/>
    <w:rsid w:val="543D7553"/>
    <w:rsid w:val="546A66AE"/>
    <w:rsid w:val="54771906"/>
    <w:rsid w:val="547C14C6"/>
    <w:rsid w:val="548F7C85"/>
    <w:rsid w:val="54A01754"/>
    <w:rsid w:val="54C35373"/>
    <w:rsid w:val="54D37F7A"/>
    <w:rsid w:val="54D46F91"/>
    <w:rsid w:val="54F915DA"/>
    <w:rsid w:val="5522753E"/>
    <w:rsid w:val="552E29AD"/>
    <w:rsid w:val="556866BD"/>
    <w:rsid w:val="55783F05"/>
    <w:rsid w:val="557E31B0"/>
    <w:rsid w:val="55821F23"/>
    <w:rsid w:val="558656D0"/>
    <w:rsid w:val="55953EBF"/>
    <w:rsid w:val="55A71EC6"/>
    <w:rsid w:val="55D95FFB"/>
    <w:rsid w:val="55E70A99"/>
    <w:rsid w:val="55FD1528"/>
    <w:rsid w:val="5603491C"/>
    <w:rsid w:val="561420A6"/>
    <w:rsid w:val="56401B87"/>
    <w:rsid w:val="564C6D07"/>
    <w:rsid w:val="56733201"/>
    <w:rsid w:val="568C20C6"/>
    <w:rsid w:val="568D5773"/>
    <w:rsid w:val="569C61A7"/>
    <w:rsid w:val="56CD2B8A"/>
    <w:rsid w:val="56D3688C"/>
    <w:rsid w:val="56D400C1"/>
    <w:rsid w:val="56D95440"/>
    <w:rsid w:val="56FB7A14"/>
    <w:rsid w:val="570304E9"/>
    <w:rsid w:val="570E18BA"/>
    <w:rsid w:val="57151246"/>
    <w:rsid w:val="57410C44"/>
    <w:rsid w:val="574C49B4"/>
    <w:rsid w:val="57C919EB"/>
    <w:rsid w:val="57E6237B"/>
    <w:rsid w:val="57EC51AE"/>
    <w:rsid w:val="58427D22"/>
    <w:rsid w:val="58551AFF"/>
    <w:rsid w:val="587A31A5"/>
    <w:rsid w:val="58975311"/>
    <w:rsid w:val="58A72E55"/>
    <w:rsid w:val="58AC5C6F"/>
    <w:rsid w:val="58CD3534"/>
    <w:rsid w:val="58DB67BC"/>
    <w:rsid w:val="58DC7FF8"/>
    <w:rsid w:val="58FC5A0D"/>
    <w:rsid w:val="59074E50"/>
    <w:rsid w:val="59257BBA"/>
    <w:rsid w:val="59291040"/>
    <w:rsid w:val="595E18B4"/>
    <w:rsid w:val="596F6B90"/>
    <w:rsid w:val="5972330C"/>
    <w:rsid w:val="59960F0D"/>
    <w:rsid w:val="599D7DC6"/>
    <w:rsid w:val="59A37C3C"/>
    <w:rsid w:val="59A72AB3"/>
    <w:rsid w:val="59E17C1A"/>
    <w:rsid w:val="59E859EC"/>
    <w:rsid w:val="5A01585A"/>
    <w:rsid w:val="5A064113"/>
    <w:rsid w:val="5A185A21"/>
    <w:rsid w:val="5A1B1406"/>
    <w:rsid w:val="5A4C6153"/>
    <w:rsid w:val="5A4D351C"/>
    <w:rsid w:val="5A5055E7"/>
    <w:rsid w:val="5A590DD3"/>
    <w:rsid w:val="5A5D7326"/>
    <w:rsid w:val="5A8D7A31"/>
    <w:rsid w:val="5AA92DA4"/>
    <w:rsid w:val="5ACA3EE7"/>
    <w:rsid w:val="5ACE7F27"/>
    <w:rsid w:val="5AEF78B5"/>
    <w:rsid w:val="5B0F40E8"/>
    <w:rsid w:val="5B18388D"/>
    <w:rsid w:val="5B2179CB"/>
    <w:rsid w:val="5B4C30C2"/>
    <w:rsid w:val="5B54540F"/>
    <w:rsid w:val="5B686D47"/>
    <w:rsid w:val="5B711B4B"/>
    <w:rsid w:val="5B7331EF"/>
    <w:rsid w:val="5B8C78DE"/>
    <w:rsid w:val="5BBC63FA"/>
    <w:rsid w:val="5BC421DF"/>
    <w:rsid w:val="5BD17AE3"/>
    <w:rsid w:val="5BD769EA"/>
    <w:rsid w:val="5BE258BC"/>
    <w:rsid w:val="5BE82415"/>
    <w:rsid w:val="5C085AF9"/>
    <w:rsid w:val="5C171659"/>
    <w:rsid w:val="5C222B39"/>
    <w:rsid w:val="5C6E50AB"/>
    <w:rsid w:val="5C724CD0"/>
    <w:rsid w:val="5C783EF8"/>
    <w:rsid w:val="5C797997"/>
    <w:rsid w:val="5CAD2CE8"/>
    <w:rsid w:val="5CB52BAD"/>
    <w:rsid w:val="5CB836EE"/>
    <w:rsid w:val="5CD65063"/>
    <w:rsid w:val="5CFE733E"/>
    <w:rsid w:val="5D133FCC"/>
    <w:rsid w:val="5D1B059D"/>
    <w:rsid w:val="5D1E6004"/>
    <w:rsid w:val="5D376CBC"/>
    <w:rsid w:val="5D941A06"/>
    <w:rsid w:val="5DBA7B73"/>
    <w:rsid w:val="5DC219E4"/>
    <w:rsid w:val="5DE07F60"/>
    <w:rsid w:val="5E215894"/>
    <w:rsid w:val="5E6A5417"/>
    <w:rsid w:val="5E9964FC"/>
    <w:rsid w:val="5EA527EB"/>
    <w:rsid w:val="5EA8001D"/>
    <w:rsid w:val="5EB6537C"/>
    <w:rsid w:val="5F3B74E1"/>
    <w:rsid w:val="5F772BB7"/>
    <w:rsid w:val="5F7770CC"/>
    <w:rsid w:val="5F843B10"/>
    <w:rsid w:val="5F923324"/>
    <w:rsid w:val="5F9516DC"/>
    <w:rsid w:val="5FAD2610"/>
    <w:rsid w:val="5FC02283"/>
    <w:rsid w:val="6009601C"/>
    <w:rsid w:val="601E45D8"/>
    <w:rsid w:val="601F2556"/>
    <w:rsid w:val="60595F1D"/>
    <w:rsid w:val="60C91D88"/>
    <w:rsid w:val="60C96A5B"/>
    <w:rsid w:val="60D868EE"/>
    <w:rsid w:val="60E33A8A"/>
    <w:rsid w:val="60EC12B4"/>
    <w:rsid w:val="61576E4B"/>
    <w:rsid w:val="61B11B6E"/>
    <w:rsid w:val="61BF22D5"/>
    <w:rsid w:val="61E3116A"/>
    <w:rsid w:val="62092D04"/>
    <w:rsid w:val="6257385F"/>
    <w:rsid w:val="62661F44"/>
    <w:rsid w:val="62806004"/>
    <w:rsid w:val="62863DF4"/>
    <w:rsid w:val="62986E29"/>
    <w:rsid w:val="629D419A"/>
    <w:rsid w:val="62AB7395"/>
    <w:rsid w:val="62C14349"/>
    <w:rsid w:val="62C16539"/>
    <w:rsid w:val="62DD7032"/>
    <w:rsid w:val="631B31EA"/>
    <w:rsid w:val="633E0BF6"/>
    <w:rsid w:val="635B0ADD"/>
    <w:rsid w:val="636C77D3"/>
    <w:rsid w:val="63C952A8"/>
    <w:rsid w:val="63D622B5"/>
    <w:rsid w:val="63D80532"/>
    <w:rsid w:val="63E547B2"/>
    <w:rsid w:val="63E66104"/>
    <w:rsid w:val="64157661"/>
    <w:rsid w:val="64171B21"/>
    <w:rsid w:val="64254827"/>
    <w:rsid w:val="644E32E2"/>
    <w:rsid w:val="644F08D2"/>
    <w:rsid w:val="644F22F7"/>
    <w:rsid w:val="64560745"/>
    <w:rsid w:val="646D2F9C"/>
    <w:rsid w:val="64B95B48"/>
    <w:rsid w:val="64E345D4"/>
    <w:rsid w:val="64ED2876"/>
    <w:rsid w:val="64F87F36"/>
    <w:rsid w:val="64FE57EB"/>
    <w:rsid w:val="6500669E"/>
    <w:rsid w:val="652B6960"/>
    <w:rsid w:val="652F4EAA"/>
    <w:rsid w:val="65377FA2"/>
    <w:rsid w:val="65536597"/>
    <w:rsid w:val="656C494A"/>
    <w:rsid w:val="659B2D80"/>
    <w:rsid w:val="65A51523"/>
    <w:rsid w:val="65B24D42"/>
    <w:rsid w:val="65F84382"/>
    <w:rsid w:val="660601A5"/>
    <w:rsid w:val="664F0C16"/>
    <w:rsid w:val="666D548D"/>
    <w:rsid w:val="667F0710"/>
    <w:rsid w:val="6694281E"/>
    <w:rsid w:val="669E749A"/>
    <w:rsid w:val="66A74C15"/>
    <w:rsid w:val="66A940F4"/>
    <w:rsid w:val="66AF25D7"/>
    <w:rsid w:val="66FA1F77"/>
    <w:rsid w:val="67363882"/>
    <w:rsid w:val="674628E6"/>
    <w:rsid w:val="67477B38"/>
    <w:rsid w:val="67511783"/>
    <w:rsid w:val="67646470"/>
    <w:rsid w:val="676573C8"/>
    <w:rsid w:val="67947420"/>
    <w:rsid w:val="679D0397"/>
    <w:rsid w:val="67C95746"/>
    <w:rsid w:val="67E605BE"/>
    <w:rsid w:val="67F60E3F"/>
    <w:rsid w:val="67FD2B4E"/>
    <w:rsid w:val="680A3C32"/>
    <w:rsid w:val="68210723"/>
    <w:rsid w:val="682B4FCB"/>
    <w:rsid w:val="688658EC"/>
    <w:rsid w:val="68BA26EC"/>
    <w:rsid w:val="68CE53BB"/>
    <w:rsid w:val="68D02FF4"/>
    <w:rsid w:val="68EA2AA8"/>
    <w:rsid w:val="69033287"/>
    <w:rsid w:val="690925D1"/>
    <w:rsid w:val="69871D5C"/>
    <w:rsid w:val="69914C31"/>
    <w:rsid w:val="6993308B"/>
    <w:rsid w:val="699F0A4B"/>
    <w:rsid w:val="69C03C0D"/>
    <w:rsid w:val="69C20B17"/>
    <w:rsid w:val="69C95365"/>
    <w:rsid w:val="69F04F3A"/>
    <w:rsid w:val="6A090D04"/>
    <w:rsid w:val="6A120357"/>
    <w:rsid w:val="6A2479FA"/>
    <w:rsid w:val="6A4A15B1"/>
    <w:rsid w:val="6A6D5135"/>
    <w:rsid w:val="6A7062A5"/>
    <w:rsid w:val="6A81457D"/>
    <w:rsid w:val="6A862DD0"/>
    <w:rsid w:val="6A932AB3"/>
    <w:rsid w:val="6AA4189B"/>
    <w:rsid w:val="6ACE2F7D"/>
    <w:rsid w:val="6B074CBB"/>
    <w:rsid w:val="6B227D5F"/>
    <w:rsid w:val="6B2E5607"/>
    <w:rsid w:val="6B546867"/>
    <w:rsid w:val="6B572E41"/>
    <w:rsid w:val="6B58707C"/>
    <w:rsid w:val="6B6343EB"/>
    <w:rsid w:val="6B740145"/>
    <w:rsid w:val="6B746B02"/>
    <w:rsid w:val="6B782FC9"/>
    <w:rsid w:val="6BC2624C"/>
    <w:rsid w:val="6BD70B36"/>
    <w:rsid w:val="6BD823E9"/>
    <w:rsid w:val="6BDD7ED6"/>
    <w:rsid w:val="6BDF0D50"/>
    <w:rsid w:val="6BE90B4B"/>
    <w:rsid w:val="6BEA03C1"/>
    <w:rsid w:val="6C1063EA"/>
    <w:rsid w:val="6C180CD2"/>
    <w:rsid w:val="6C247095"/>
    <w:rsid w:val="6C482EED"/>
    <w:rsid w:val="6C82039E"/>
    <w:rsid w:val="6C852D49"/>
    <w:rsid w:val="6C8908D8"/>
    <w:rsid w:val="6C8F1565"/>
    <w:rsid w:val="6C995782"/>
    <w:rsid w:val="6C9D0FB1"/>
    <w:rsid w:val="6D0A4265"/>
    <w:rsid w:val="6D164AC1"/>
    <w:rsid w:val="6D1F5F98"/>
    <w:rsid w:val="6D4E48F3"/>
    <w:rsid w:val="6D857735"/>
    <w:rsid w:val="6D8B427F"/>
    <w:rsid w:val="6D9B2DA9"/>
    <w:rsid w:val="6D9D3859"/>
    <w:rsid w:val="6DAA0F1E"/>
    <w:rsid w:val="6DEF3DE7"/>
    <w:rsid w:val="6DF219F0"/>
    <w:rsid w:val="6E0D3804"/>
    <w:rsid w:val="6E200312"/>
    <w:rsid w:val="6E263A16"/>
    <w:rsid w:val="6E2F7E25"/>
    <w:rsid w:val="6E351DC2"/>
    <w:rsid w:val="6E7A34C8"/>
    <w:rsid w:val="6E822806"/>
    <w:rsid w:val="6EE06260"/>
    <w:rsid w:val="6EEA4C6C"/>
    <w:rsid w:val="6F17521C"/>
    <w:rsid w:val="6F5B4855"/>
    <w:rsid w:val="6F7D00B0"/>
    <w:rsid w:val="6F9C689E"/>
    <w:rsid w:val="6FAB66F6"/>
    <w:rsid w:val="6FB361BB"/>
    <w:rsid w:val="6FD86C44"/>
    <w:rsid w:val="6FFB3BCE"/>
    <w:rsid w:val="6FFC5D64"/>
    <w:rsid w:val="70291231"/>
    <w:rsid w:val="70305B2F"/>
    <w:rsid w:val="70432C36"/>
    <w:rsid w:val="704A2680"/>
    <w:rsid w:val="70577091"/>
    <w:rsid w:val="706E7AC8"/>
    <w:rsid w:val="70901668"/>
    <w:rsid w:val="709B272B"/>
    <w:rsid w:val="70BD07B0"/>
    <w:rsid w:val="70C0153A"/>
    <w:rsid w:val="70C9728E"/>
    <w:rsid w:val="71291DF8"/>
    <w:rsid w:val="712B0DA0"/>
    <w:rsid w:val="712D43F2"/>
    <w:rsid w:val="715251DD"/>
    <w:rsid w:val="717479DE"/>
    <w:rsid w:val="71842C09"/>
    <w:rsid w:val="71906A7F"/>
    <w:rsid w:val="71B2171A"/>
    <w:rsid w:val="71B51EDE"/>
    <w:rsid w:val="71C56127"/>
    <w:rsid w:val="71E16922"/>
    <w:rsid w:val="71E5591F"/>
    <w:rsid w:val="72194DCA"/>
    <w:rsid w:val="7231134F"/>
    <w:rsid w:val="724B7FD3"/>
    <w:rsid w:val="72632151"/>
    <w:rsid w:val="729E2AD1"/>
    <w:rsid w:val="72BD364C"/>
    <w:rsid w:val="72E12F64"/>
    <w:rsid w:val="72F023AF"/>
    <w:rsid w:val="730125F2"/>
    <w:rsid w:val="733A3AC2"/>
    <w:rsid w:val="734E4869"/>
    <w:rsid w:val="73983F11"/>
    <w:rsid w:val="740A6A4A"/>
    <w:rsid w:val="74123AF5"/>
    <w:rsid w:val="74193428"/>
    <w:rsid w:val="741B1524"/>
    <w:rsid w:val="742522EA"/>
    <w:rsid w:val="742B43B3"/>
    <w:rsid w:val="7459417B"/>
    <w:rsid w:val="7471785E"/>
    <w:rsid w:val="74832C68"/>
    <w:rsid w:val="74C154BC"/>
    <w:rsid w:val="74C17090"/>
    <w:rsid w:val="74E837F7"/>
    <w:rsid w:val="74F74698"/>
    <w:rsid w:val="75105DB9"/>
    <w:rsid w:val="755B7303"/>
    <w:rsid w:val="756A42EA"/>
    <w:rsid w:val="75894D67"/>
    <w:rsid w:val="758F0B5D"/>
    <w:rsid w:val="759D24EB"/>
    <w:rsid w:val="75C31666"/>
    <w:rsid w:val="75C865CB"/>
    <w:rsid w:val="75DB6F21"/>
    <w:rsid w:val="75E95796"/>
    <w:rsid w:val="75FE1C50"/>
    <w:rsid w:val="760653F5"/>
    <w:rsid w:val="76382D09"/>
    <w:rsid w:val="763F1347"/>
    <w:rsid w:val="768250F6"/>
    <w:rsid w:val="76CE49B5"/>
    <w:rsid w:val="76CF0232"/>
    <w:rsid w:val="76D83568"/>
    <w:rsid w:val="76E35D13"/>
    <w:rsid w:val="76E51098"/>
    <w:rsid w:val="76FC0BDC"/>
    <w:rsid w:val="7734127E"/>
    <w:rsid w:val="77384934"/>
    <w:rsid w:val="77400BCC"/>
    <w:rsid w:val="77577B6E"/>
    <w:rsid w:val="77626A2C"/>
    <w:rsid w:val="77780912"/>
    <w:rsid w:val="7785352B"/>
    <w:rsid w:val="77B75520"/>
    <w:rsid w:val="77BF49EB"/>
    <w:rsid w:val="77E97109"/>
    <w:rsid w:val="77E974BA"/>
    <w:rsid w:val="77FF0768"/>
    <w:rsid w:val="780920A2"/>
    <w:rsid w:val="781D06DC"/>
    <w:rsid w:val="781F41DD"/>
    <w:rsid w:val="782829F9"/>
    <w:rsid w:val="78381A5E"/>
    <w:rsid w:val="78527B91"/>
    <w:rsid w:val="7855248D"/>
    <w:rsid w:val="788F2D63"/>
    <w:rsid w:val="789A28C7"/>
    <w:rsid w:val="78A57199"/>
    <w:rsid w:val="78AB163D"/>
    <w:rsid w:val="78B404AE"/>
    <w:rsid w:val="78BF1A88"/>
    <w:rsid w:val="78DB705D"/>
    <w:rsid w:val="791075CB"/>
    <w:rsid w:val="791302D5"/>
    <w:rsid w:val="796419CB"/>
    <w:rsid w:val="79794F50"/>
    <w:rsid w:val="7984239D"/>
    <w:rsid w:val="79991EEA"/>
    <w:rsid w:val="79B92076"/>
    <w:rsid w:val="79C47176"/>
    <w:rsid w:val="79E978EB"/>
    <w:rsid w:val="79F0317F"/>
    <w:rsid w:val="7A8C04D2"/>
    <w:rsid w:val="7AAB1658"/>
    <w:rsid w:val="7AB00F74"/>
    <w:rsid w:val="7AC52F60"/>
    <w:rsid w:val="7AE928BD"/>
    <w:rsid w:val="7AEB58E2"/>
    <w:rsid w:val="7B117C64"/>
    <w:rsid w:val="7B48105E"/>
    <w:rsid w:val="7B534BF1"/>
    <w:rsid w:val="7B6B259F"/>
    <w:rsid w:val="7B980680"/>
    <w:rsid w:val="7BAD1212"/>
    <w:rsid w:val="7BF70CB6"/>
    <w:rsid w:val="7BF95732"/>
    <w:rsid w:val="7C11538B"/>
    <w:rsid w:val="7C220378"/>
    <w:rsid w:val="7C613D65"/>
    <w:rsid w:val="7C6723BD"/>
    <w:rsid w:val="7C8F4102"/>
    <w:rsid w:val="7C961098"/>
    <w:rsid w:val="7C9C0F16"/>
    <w:rsid w:val="7C9E7950"/>
    <w:rsid w:val="7CAA2DAF"/>
    <w:rsid w:val="7CB510B4"/>
    <w:rsid w:val="7CBD4E49"/>
    <w:rsid w:val="7CE25225"/>
    <w:rsid w:val="7CE31DA8"/>
    <w:rsid w:val="7CF2390F"/>
    <w:rsid w:val="7D166575"/>
    <w:rsid w:val="7D230305"/>
    <w:rsid w:val="7D2462B5"/>
    <w:rsid w:val="7D252BEB"/>
    <w:rsid w:val="7D287BAE"/>
    <w:rsid w:val="7D4234C4"/>
    <w:rsid w:val="7D606AA6"/>
    <w:rsid w:val="7D6336D6"/>
    <w:rsid w:val="7D671C04"/>
    <w:rsid w:val="7D843919"/>
    <w:rsid w:val="7DBD7FEA"/>
    <w:rsid w:val="7E077300"/>
    <w:rsid w:val="7E225C2D"/>
    <w:rsid w:val="7E297044"/>
    <w:rsid w:val="7E7B758A"/>
    <w:rsid w:val="7EB115E8"/>
    <w:rsid w:val="7EB44151"/>
    <w:rsid w:val="7EFD417D"/>
    <w:rsid w:val="7F5401B9"/>
    <w:rsid w:val="7F6E2CB5"/>
    <w:rsid w:val="7F6F0485"/>
    <w:rsid w:val="7F6F7C74"/>
    <w:rsid w:val="7F736901"/>
    <w:rsid w:val="7F840253"/>
    <w:rsid w:val="7F89110D"/>
    <w:rsid w:val="7FB336A4"/>
    <w:rsid w:val="7FBE2CAA"/>
    <w:rsid w:val="7FCB4823"/>
    <w:rsid w:val="7FD657C5"/>
    <w:rsid w:val="7FF816EC"/>
    <w:rsid w:val="7FFA7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3"/>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97"/>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99"/>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5"/>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89"/>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87"/>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7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6"/>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84"/>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5"/>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Normal Indent"/>
    <w:basedOn w:val="1"/>
    <w:link w:val="82"/>
    <w:qFormat/>
    <w:uiPriority w:val="0"/>
    <w:pPr>
      <w:widowControl w:val="0"/>
      <w:spacing w:line="360" w:lineRule="auto"/>
      <w:ind w:firstLine="420" w:firstLineChars="200"/>
      <w:jc w:val="both"/>
    </w:pPr>
    <w:rPr>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5"/>
    <w:unhideWhenUsed/>
    <w:qFormat/>
    <w:uiPriority w:val="99"/>
    <w:rPr>
      <w:rFonts w:ascii="宋体"/>
      <w:sz w:val="18"/>
      <w:szCs w:val="18"/>
    </w:rPr>
  </w:style>
  <w:style w:type="paragraph" w:styleId="17">
    <w:name w:val="annotation text"/>
    <w:basedOn w:val="1"/>
    <w:link w:val="57"/>
    <w:qFormat/>
    <w:uiPriority w:val="0"/>
    <w:pPr>
      <w:widowControl w:val="0"/>
    </w:pPr>
    <w:rPr>
      <w:kern w:val="2"/>
      <w:sz w:val="18"/>
      <w:szCs w:val="20"/>
    </w:rPr>
  </w:style>
  <w:style w:type="paragraph" w:styleId="18">
    <w:name w:val="Salutation"/>
    <w:basedOn w:val="1"/>
    <w:next w:val="1"/>
    <w:link w:val="83"/>
    <w:qFormat/>
    <w:uiPriority w:val="0"/>
    <w:pPr>
      <w:widowControl w:val="0"/>
      <w:jc w:val="both"/>
    </w:pPr>
    <w:rPr>
      <w:rFonts w:eastAsia="黑体"/>
      <w:kern w:val="2"/>
      <w:szCs w:val="20"/>
    </w:rPr>
  </w:style>
  <w:style w:type="paragraph" w:styleId="19">
    <w:name w:val="Body Text 3"/>
    <w:basedOn w:val="1"/>
    <w:link w:val="96"/>
    <w:qFormat/>
    <w:uiPriority w:val="0"/>
    <w:pPr>
      <w:spacing w:after="120"/>
    </w:pPr>
    <w:rPr>
      <w:sz w:val="16"/>
      <w:szCs w:val="16"/>
    </w:rPr>
  </w:style>
  <w:style w:type="paragraph" w:styleId="20">
    <w:name w:val="Body Text Indent"/>
    <w:basedOn w:val="1"/>
    <w:link w:val="80"/>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toc 5"/>
    <w:basedOn w:val="1"/>
    <w:next w:val="1"/>
    <w:qFormat/>
    <w:uiPriority w:val="0"/>
    <w:pPr>
      <w:widowControl w:val="0"/>
      <w:ind w:left="720"/>
    </w:pPr>
    <w:rPr>
      <w:kern w:val="2"/>
      <w:sz w:val="18"/>
      <w:szCs w:val="20"/>
    </w:rPr>
  </w:style>
  <w:style w:type="paragraph" w:styleId="23">
    <w:name w:val="toc 3"/>
    <w:basedOn w:val="1"/>
    <w:next w:val="1"/>
    <w:qFormat/>
    <w:uiPriority w:val="0"/>
    <w:pPr>
      <w:widowControl w:val="0"/>
      <w:ind w:left="360"/>
    </w:pPr>
    <w:rPr>
      <w:i/>
      <w:kern w:val="2"/>
      <w:sz w:val="20"/>
      <w:szCs w:val="20"/>
    </w:rPr>
  </w:style>
  <w:style w:type="paragraph" w:styleId="24">
    <w:name w:val="Plain Text"/>
    <w:basedOn w:val="1"/>
    <w:link w:val="101"/>
    <w:qFormat/>
    <w:uiPriority w:val="0"/>
    <w:pPr>
      <w:widowControl w:val="0"/>
      <w:autoSpaceDE w:val="0"/>
      <w:autoSpaceDN w:val="0"/>
      <w:adjustRightInd w:val="0"/>
      <w:jc w:val="both"/>
    </w:pPr>
    <w:rPr>
      <w:rFonts w:ascii="宋体" w:hAnsi="Tms Rmn"/>
      <w:sz w:val="21"/>
      <w:szCs w:val="21"/>
    </w:rPr>
  </w:style>
  <w:style w:type="paragraph" w:styleId="25">
    <w:name w:val="toc 8"/>
    <w:basedOn w:val="1"/>
    <w:next w:val="1"/>
    <w:qFormat/>
    <w:uiPriority w:val="0"/>
    <w:pPr>
      <w:widowControl w:val="0"/>
      <w:ind w:left="1260"/>
    </w:pPr>
    <w:rPr>
      <w:kern w:val="2"/>
      <w:sz w:val="18"/>
      <w:szCs w:val="20"/>
    </w:rPr>
  </w:style>
  <w:style w:type="paragraph" w:styleId="26">
    <w:name w:val="Date"/>
    <w:basedOn w:val="1"/>
    <w:next w:val="1"/>
    <w:link w:val="76"/>
    <w:qFormat/>
    <w:uiPriority w:val="0"/>
    <w:pPr>
      <w:ind w:left="100" w:leftChars="2500"/>
    </w:pPr>
  </w:style>
  <w:style w:type="paragraph" w:styleId="27">
    <w:name w:val="Body Text Indent 2"/>
    <w:basedOn w:val="1"/>
    <w:link w:val="94"/>
    <w:qFormat/>
    <w:uiPriority w:val="0"/>
    <w:pPr>
      <w:widowControl w:val="0"/>
      <w:ind w:firstLine="540" w:firstLineChars="257"/>
      <w:jc w:val="both"/>
    </w:pPr>
    <w:rPr>
      <w:kern w:val="2"/>
      <w:sz w:val="21"/>
    </w:rPr>
  </w:style>
  <w:style w:type="paragraph" w:styleId="28">
    <w:name w:val="Balloon Text"/>
    <w:basedOn w:val="1"/>
    <w:link w:val="88"/>
    <w:semiHidden/>
    <w:qFormat/>
    <w:uiPriority w:val="0"/>
    <w:rPr>
      <w:sz w:val="18"/>
      <w:szCs w:val="18"/>
    </w:rPr>
  </w:style>
  <w:style w:type="paragraph" w:styleId="29">
    <w:name w:val="footer"/>
    <w:basedOn w:val="1"/>
    <w:link w:val="73"/>
    <w:qFormat/>
    <w:uiPriority w:val="99"/>
    <w:pPr>
      <w:tabs>
        <w:tab w:val="center" w:pos="4153"/>
        <w:tab w:val="right" w:pos="8306"/>
      </w:tabs>
      <w:snapToGrid w:val="0"/>
    </w:pPr>
    <w:rPr>
      <w:sz w:val="18"/>
      <w:szCs w:val="18"/>
    </w:rPr>
  </w:style>
  <w:style w:type="paragraph" w:styleId="30">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78"/>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69"/>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00"/>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55"/>
    <w:qFormat/>
    <w:uiPriority w:val="0"/>
    <w:rPr>
      <w:b/>
    </w:rPr>
  </w:style>
  <w:style w:type="paragraph" w:styleId="42">
    <w:name w:val="Body Text First Indent"/>
    <w:basedOn w:val="2"/>
    <w:link w:val="81"/>
    <w:qFormat/>
    <w:uiPriority w:val="0"/>
    <w:pPr>
      <w:widowControl w:val="0"/>
      <w:ind w:firstLine="420" w:firstLineChars="100"/>
      <w:jc w:val="both"/>
    </w:pPr>
    <w:rPr>
      <w:rFonts w:ascii="宋体" w:hAnsi="宋体"/>
      <w:kern w:val="2"/>
      <w:sz w:val="21"/>
    </w:rPr>
  </w:style>
  <w:style w:type="paragraph" w:styleId="43">
    <w:name w:val="Body Text First Indent 2"/>
    <w:basedOn w:val="20"/>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styleId="53">
    <w:name w:val="Quote"/>
    <w:basedOn w:val="1"/>
    <w:next w:val="1"/>
    <w:qFormat/>
    <w:uiPriority w:val="0"/>
    <w:pPr>
      <w:wordWrap w:val="0"/>
      <w:spacing w:before="200" w:after="160"/>
      <w:ind w:left="864" w:right="864"/>
      <w:jc w:val="center"/>
    </w:pPr>
    <w:rPr>
      <w:i/>
    </w:rPr>
  </w:style>
  <w:style w:type="paragraph" w:customStyle="1" w:styleId="54">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5">
    <w:name w:val="批注主题 Char"/>
    <w:link w:val="41"/>
    <w:qFormat/>
    <w:uiPriority w:val="0"/>
    <w:rPr>
      <w:b/>
      <w:kern w:val="2"/>
      <w:sz w:val="18"/>
    </w:rPr>
  </w:style>
  <w:style w:type="character" w:customStyle="1" w:styleId="56">
    <w:name w:val="标题 8 Char"/>
    <w:link w:val="10"/>
    <w:qFormat/>
    <w:uiPriority w:val="0"/>
    <w:rPr>
      <w:rFonts w:ascii="Arial" w:hAnsi="Arial" w:eastAsia="黑体"/>
      <w:kern w:val="2"/>
      <w:sz w:val="24"/>
    </w:rPr>
  </w:style>
  <w:style w:type="character" w:customStyle="1" w:styleId="57">
    <w:name w:val="批注文字 Char"/>
    <w:link w:val="17"/>
    <w:qFormat/>
    <w:uiPriority w:val="0"/>
    <w:rPr>
      <w:kern w:val="2"/>
      <w:sz w:val="18"/>
    </w:rPr>
  </w:style>
  <w:style w:type="character" w:customStyle="1" w:styleId="58">
    <w:name w:val="fontblank12"/>
    <w:basedOn w:val="47"/>
    <w:qFormat/>
    <w:uiPriority w:val="0"/>
  </w:style>
  <w:style w:type="character" w:customStyle="1" w:styleId="59">
    <w:name w:val="标书（正文） Char"/>
    <w:link w:val="60"/>
    <w:qFormat/>
    <w:uiPriority w:val="0"/>
    <w:rPr>
      <w:rFonts w:ascii="宋体" w:hAnsi="宋体"/>
      <w:b/>
      <w:kern w:val="10"/>
      <w:sz w:val="21"/>
    </w:rPr>
  </w:style>
  <w:style w:type="paragraph" w:customStyle="1" w:styleId="60">
    <w:name w:val="标书（正文）"/>
    <w:basedOn w:val="1"/>
    <w:link w:val="59"/>
    <w:qFormat/>
    <w:uiPriority w:val="0"/>
    <w:pPr>
      <w:widowControl w:val="0"/>
      <w:spacing w:line="360" w:lineRule="auto"/>
      <w:ind w:firstLine="560" w:firstLineChars="200"/>
      <w:jc w:val="both"/>
    </w:pPr>
    <w:rPr>
      <w:rFonts w:ascii="宋体" w:hAnsi="宋体"/>
      <w:b/>
      <w:kern w:val="10"/>
      <w:sz w:val="21"/>
      <w:szCs w:val="20"/>
    </w:rPr>
  </w:style>
  <w:style w:type="character" w:customStyle="1" w:styleId="61">
    <w:name w:val="Char Char4"/>
    <w:qFormat/>
    <w:uiPriority w:val="0"/>
    <w:rPr>
      <w:rFonts w:ascii="宋体" w:hAnsi="Courier New" w:eastAsia="宋体"/>
      <w:kern w:val="2"/>
      <w:sz w:val="21"/>
      <w:lang w:val="en-US" w:eastAsia="zh-CN"/>
    </w:rPr>
  </w:style>
  <w:style w:type="character" w:customStyle="1" w:styleId="62">
    <w:name w:val="textnormchn1"/>
    <w:basedOn w:val="47"/>
    <w:qFormat/>
    <w:uiPriority w:val="0"/>
  </w:style>
  <w:style w:type="character" w:customStyle="1" w:styleId="63">
    <w:name w:val="标题 1 Char"/>
    <w:link w:val="3"/>
    <w:qFormat/>
    <w:uiPriority w:val="0"/>
    <w:rPr>
      <w:rFonts w:ascii="宋体" w:hAnsi="宋体"/>
      <w:b/>
      <w:bCs/>
      <w:kern w:val="44"/>
      <w:sz w:val="32"/>
      <w:szCs w:val="32"/>
    </w:rPr>
  </w:style>
  <w:style w:type="character" w:customStyle="1" w:styleId="64">
    <w:name w:val="列出段落 Char"/>
    <w:link w:val="65"/>
    <w:qFormat/>
    <w:uiPriority w:val="0"/>
    <w:rPr>
      <w:sz w:val="24"/>
      <w:szCs w:val="24"/>
    </w:rPr>
  </w:style>
  <w:style w:type="paragraph" w:customStyle="1" w:styleId="65">
    <w:name w:val="列出段落1"/>
    <w:basedOn w:val="1"/>
    <w:link w:val="64"/>
    <w:qFormat/>
    <w:uiPriority w:val="0"/>
    <w:pPr>
      <w:ind w:firstLine="420" w:firstLineChars="200"/>
    </w:pPr>
  </w:style>
  <w:style w:type="character" w:customStyle="1" w:styleId="66">
    <w:name w:val="CD正文 Char"/>
    <w:link w:val="67"/>
    <w:qFormat/>
    <w:uiPriority w:val="0"/>
    <w:rPr>
      <w:kern w:val="2"/>
      <w:sz w:val="30"/>
      <w:szCs w:val="28"/>
    </w:rPr>
  </w:style>
  <w:style w:type="paragraph" w:customStyle="1" w:styleId="67">
    <w:name w:val="CD正文"/>
    <w:basedOn w:val="68"/>
    <w:link w:val="66"/>
    <w:qFormat/>
    <w:uiPriority w:val="0"/>
    <w:pPr>
      <w:ind w:firstLine="493"/>
    </w:pPr>
    <w:rPr>
      <w:sz w:val="30"/>
      <w:szCs w:val="28"/>
    </w:rPr>
  </w:style>
  <w:style w:type="paragraph" w:customStyle="1" w:styleId="68">
    <w:name w:val="文章正文"/>
    <w:basedOn w:val="1"/>
    <w:link w:val="77"/>
    <w:qFormat/>
    <w:uiPriority w:val="0"/>
    <w:pPr>
      <w:widowControl w:val="0"/>
      <w:spacing w:line="360" w:lineRule="auto"/>
      <w:ind w:firstLine="420"/>
      <w:jc w:val="both"/>
    </w:pPr>
    <w:rPr>
      <w:kern w:val="2"/>
    </w:rPr>
  </w:style>
  <w:style w:type="character" w:customStyle="1" w:styleId="69">
    <w:name w:val="正文文本 2 Char"/>
    <w:link w:val="38"/>
    <w:qFormat/>
    <w:uiPriority w:val="0"/>
    <w:rPr>
      <w:sz w:val="21"/>
      <w:szCs w:val="21"/>
    </w:rPr>
  </w:style>
  <w:style w:type="character" w:customStyle="1" w:styleId="70">
    <w:name w:val="（符号）三标题1.1 Char Char"/>
    <w:link w:val="71"/>
    <w:qFormat/>
    <w:uiPriority w:val="0"/>
    <w:rPr>
      <w:rFonts w:ascii="宋体" w:hAnsi="宋体"/>
      <w:kern w:val="2"/>
      <w:sz w:val="24"/>
      <w:szCs w:val="24"/>
    </w:rPr>
  </w:style>
  <w:style w:type="paragraph" w:customStyle="1" w:styleId="71">
    <w:name w:val="（符号）三标题1.1"/>
    <w:basedOn w:val="1"/>
    <w:link w:val="70"/>
    <w:qFormat/>
    <w:uiPriority w:val="0"/>
    <w:pPr>
      <w:widowControl w:val="0"/>
      <w:numPr>
        <w:ilvl w:val="1"/>
        <w:numId w:val="4"/>
      </w:numPr>
      <w:tabs>
        <w:tab w:val="left" w:pos="700"/>
        <w:tab w:val="left" w:pos="840"/>
      </w:tabs>
      <w:spacing w:line="500" w:lineRule="exact"/>
      <w:jc w:val="both"/>
    </w:pPr>
    <w:rPr>
      <w:rFonts w:ascii="宋体" w:hAnsi="宋体"/>
      <w:kern w:val="2"/>
    </w:rPr>
  </w:style>
  <w:style w:type="character" w:customStyle="1" w:styleId="72">
    <w:name w:val="grame"/>
    <w:basedOn w:val="47"/>
    <w:qFormat/>
    <w:uiPriority w:val="0"/>
  </w:style>
  <w:style w:type="character" w:customStyle="1" w:styleId="73">
    <w:name w:val="页脚 Char"/>
    <w:link w:val="29"/>
    <w:qFormat/>
    <w:uiPriority w:val="99"/>
    <w:rPr>
      <w:sz w:val="18"/>
      <w:szCs w:val="18"/>
    </w:rPr>
  </w:style>
  <w:style w:type="character" w:customStyle="1" w:styleId="74">
    <w:name w:val="keyword"/>
    <w:basedOn w:val="47"/>
    <w:qFormat/>
    <w:uiPriority w:val="0"/>
  </w:style>
  <w:style w:type="character" w:customStyle="1" w:styleId="75">
    <w:name w:val="文档结构图 Char"/>
    <w:link w:val="16"/>
    <w:semiHidden/>
    <w:qFormat/>
    <w:uiPriority w:val="99"/>
    <w:rPr>
      <w:rFonts w:ascii="宋体"/>
      <w:sz w:val="18"/>
      <w:szCs w:val="18"/>
    </w:rPr>
  </w:style>
  <w:style w:type="character" w:customStyle="1" w:styleId="76">
    <w:name w:val="日期 Char"/>
    <w:link w:val="26"/>
    <w:qFormat/>
    <w:uiPriority w:val="0"/>
    <w:rPr>
      <w:sz w:val="24"/>
      <w:szCs w:val="24"/>
    </w:rPr>
  </w:style>
  <w:style w:type="character" w:customStyle="1" w:styleId="77">
    <w:name w:val="文章正文 Char"/>
    <w:link w:val="68"/>
    <w:qFormat/>
    <w:uiPriority w:val="0"/>
    <w:rPr>
      <w:kern w:val="2"/>
      <w:sz w:val="24"/>
      <w:szCs w:val="24"/>
    </w:rPr>
  </w:style>
  <w:style w:type="character" w:customStyle="1" w:styleId="78">
    <w:name w:val="正文文本缩进 3 Char"/>
    <w:link w:val="35"/>
    <w:qFormat/>
    <w:uiPriority w:val="0"/>
    <w:rPr>
      <w:kern w:val="2"/>
      <w:sz w:val="16"/>
      <w:szCs w:val="16"/>
    </w:rPr>
  </w:style>
  <w:style w:type="character" w:customStyle="1" w:styleId="79">
    <w:name w:val="标题 7 Char"/>
    <w:link w:val="9"/>
    <w:qFormat/>
    <w:uiPriority w:val="0"/>
    <w:rPr>
      <w:rFonts w:ascii="Arial Narrow" w:hAnsi="Arial Narrow"/>
      <w:b/>
      <w:lang w:eastAsia="en-US"/>
    </w:rPr>
  </w:style>
  <w:style w:type="character" w:customStyle="1" w:styleId="80">
    <w:name w:val="正文文本缩进 Char"/>
    <w:link w:val="20"/>
    <w:qFormat/>
    <w:uiPriority w:val="0"/>
    <w:rPr>
      <w:rFonts w:ascii="宋体"/>
      <w:sz w:val="30"/>
      <w:szCs w:val="24"/>
    </w:rPr>
  </w:style>
  <w:style w:type="character" w:customStyle="1" w:styleId="81">
    <w:name w:val="正文首行缩进 Char"/>
    <w:link w:val="42"/>
    <w:qFormat/>
    <w:uiPriority w:val="0"/>
    <w:rPr>
      <w:rFonts w:ascii="宋体" w:hAnsi="宋体"/>
      <w:kern w:val="2"/>
      <w:sz w:val="21"/>
      <w:szCs w:val="24"/>
    </w:rPr>
  </w:style>
  <w:style w:type="character" w:customStyle="1" w:styleId="82">
    <w:name w:val="正文缩进 Char"/>
    <w:link w:val="14"/>
    <w:qFormat/>
    <w:uiPriority w:val="0"/>
    <w:rPr>
      <w:kern w:val="2"/>
      <w:sz w:val="21"/>
      <w:szCs w:val="24"/>
    </w:rPr>
  </w:style>
  <w:style w:type="character" w:customStyle="1" w:styleId="83">
    <w:name w:val="称呼 Char"/>
    <w:link w:val="18"/>
    <w:qFormat/>
    <w:uiPriority w:val="0"/>
    <w:rPr>
      <w:rFonts w:eastAsia="黑体"/>
      <w:kern w:val="2"/>
      <w:sz w:val="24"/>
    </w:rPr>
  </w:style>
  <w:style w:type="character" w:customStyle="1" w:styleId="84">
    <w:name w:val="标题 9 Char"/>
    <w:link w:val="11"/>
    <w:qFormat/>
    <w:uiPriority w:val="0"/>
    <w:rPr>
      <w:rFonts w:ascii="Arial" w:hAnsi="Arial" w:eastAsia="黑体"/>
      <w:kern w:val="2"/>
      <w:sz w:val="21"/>
    </w:rPr>
  </w:style>
  <w:style w:type="character" w:customStyle="1" w:styleId="85">
    <w:name w:val="正文文本 Char"/>
    <w:link w:val="2"/>
    <w:qFormat/>
    <w:uiPriority w:val="0"/>
    <w:rPr>
      <w:sz w:val="24"/>
      <w:szCs w:val="24"/>
    </w:rPr>
  </w:style>
  <w:style w:type="character" w:customStyle="1" w:styleId="86">
    <w:name w:val="Char Char40"/>
    <w:qFormat/>
    <w:uiPriority w:val="0"/>
    <w:rPr>
      <w:kern w:val="2"/>
      <w:sz w:val="24"/>
      <w:szCs w:val="24"/>
    </w:rPr>
  </w:style>
  <w:style w:type="character" w:customStyle="1" w:styleId="87">
    <w:name w:val="标题 6 Char"/>
    <w:link w:val="8"/>
    <w:qFormat/>
    <w:uiPriority w:val="0"/>
    <w:rPr>
      <w:rFonts w:ascii="Arial" w:hAnsi="Arial" w:eastAsia="黑体"/>
      <w:b/>
      <w:bCs/>
      <w:kern w:val="2"/>
      <w:sz w:val="24"/>
      <w:szCs w:val="24"/>
    </w:rPr>
  </w:style>
  <w:style w:type="character" w:customStyle="1" w:styleId="88">
    <w:name w:val="批注框文本 Char"/>
    <w:link w:val="28"/>
    <w:semiHidden/>
    <w:qFormat/>
    <w:uiPriority w:val="0"/>
    <w:rPr>
      <w:sz w:val="18"/>
      <w:szCs w:val="18"/>
    </w:rPr>
  </w:style>
  <w:style w:type="character" w:customStyle="1" w:styleId="89">
    <w:name w:val="标题 5 Char"/>
    <w:link w:val="7"/>
    <w:qFormat/>
    <w:uiPriority w:val="0"/>
    <w:rPr>
      <w:rFonts w:ascii="Times New Roman" w:hAnsi="Times New Roman"/>
      <w:b/>
      <w:bCs/>
      <w:sz w:val="28"/>
      <w:szCs w:val="28"/>
    </w:rPr>
  </w:style>
  <w:style w:type="character" w:customStyle="1" w:styleId="90">
    <w:name w:val="WW8Num9z0"/>
    <w:qFormat/>
    <w:uiPriority w:val="0"/>
    <w:rPr>
      <w:rFonts w:ascii="Wingdings" w:hAnsi="Wingdings"/>
    </w:rPr>
  </w:style>
  <w:style w:type="character" w:customStyle="1" w:styleId="91">
    <w:name w:val="magic-list1"/>
    <w:qFormat/>
    <w:uiPriority w:val="0"/>
    <w:rPr>
      <w:rFonts w:hint="default" w:ascii="ˎ̥" w:hAnsi="ˎ̥"/>
      <w:color w:val="000000"/>
      <w:sz w:val="20"/>
      <w:u w:val="none"/>
    </w:rPr>
  </w:style>
  <w:style w:type="character" w:customStyle="1" w:styleId="92">
    <w:name w:val="small"/>
    <w:basedOn w:val="47"/>
    <w:qFormat/>
    <w:uiPriority w:val="0"/>
  </w:style>
  <w:style w:type="character" w:customStyle="1" w:styleId="93">
    <w:name w:val="页眉 Char"/>
    <w:link w:val="30"/>
    <w:qFormat/>
    <w:uiPriority w:val="0"/>
    <w:rPr>
      <w:sz w:val="18"/>
      <w:szCs w:val="18"/>
    </w:rPr>
  </w:style>
  <w:style w:type="character" w:customStyle="1" w:styleId="94">
    <w:name w:val="正文文本缩进 2 Char"/>
    <w:link w:val="27"/>
    <w:qFormat/>
    <w:uiPriority w:val="0"/>
    <w:rPr>
      <w:kern w:val="2"/>
      <w:sz w:val="21"/>
      <w:szCs w:val="24"/>
    </w:rPr>
  </w:style>
  <w:style w:type="character" w:customStyle="1" w:styleId="95">
    <w:name w:val="标题 4 Char"/>
    <w:link w:val="6"/>
    <w:qFormat/>
    <w:uiPriority w:val="0"/>
    <w:rPr>
      <w:rFonts w:ascii="宋体" w:hAnsi="宋体"/>
      <w:b/>
      <w:bCs/>
      <w:sz w:val="28"/>
      <w:szCs w:val="28"/>
    </w:rPr>
  </w:style>
  <w:style w:type="character" w:customStyle="1" w:styleId="96">
    <w:name w:val="正文文本 3 Char"/>
    <w:link w:val="19"/>
    <w:qFormat/>
    <w:uiPriority w:val="0"/>
    <w:rPr>
      <w:sz w:val="16"/>
      <w:szCs w:val="16"/>
    </w:rPr>
  </w:style>
  <w:style w:type="character" w:customStyle="1" w:styleId="97">
    <w:name w:val="标题 2 Char"/>
    <w:link w:val="4"/>
    <w:qFormat/>
    <w:uiPriority w:val="0"/>
    <w:rPr>
      <w:rFonts w:ascii="宋体" w:hAnsi="宋体"/>
      <w:b/>
      <w:bCs/>
      <w:iCs/>
      <w:sz w:val="28"/>
      <w:szCs w:val="28"/>
    </w:rPr>
  </w:style>
  <w:style w:type="character" w:customStyle="1" w:styleId="98">
    <w:name w:val="纯文本 Char1"/>
    <w:unhideWhenUsed/>
    <w:qFormat/>
    <w:uiPriority w:val="99"/>
    <w:rPr>
      <w:rFonts w:hint="eastAsia" w:ascii="宋体" w:hAnsi="Tms Rmn" w:eastAsia="宋体"/>
      <w:sz w:val="21"/>
      <w:lang w:val="en-US" w:eastAsia="zh-CN"/>
    </w:rPr>
  </w:style>
  <w:style w:type="character" w:customStyle="1" w:styleId="99">
    <w:name w:val="标题 3 Char"/>
    <w:link w:val="5"/>
    <w:qFormat/>
    <w:uiPriority w:val="0"/>
    <w:rPr>
      <w:rFonts w:ascii="宋体" w:hAnsi="宋体"/>
      <w:b/>
      <w:bCs/>
      <w:color w:val="000000"/>
      <w:kern w:val="2"/>
      <w:sz w:val="24"/>
      <w:szCs w:val="28"/>
    </w:rPr>
  </w:style>
  <w:style w:type="character" w:customStyle="1" w:styleId="100">
    <w:name w:val="标题 Char"/>
    <w:link w:val="40"/>
    <w:qFormat/>
    <w:uiPriority w:val="0"/>
    <w:rPr>
      <w:rFonts w:ascii="Cambria" w:hAnsi="Cambria"/>
      <w:b/>
      <w:bCs/>
      <w:kern w:val="2"/>
      <w:sz w:val="32"/>
      <w:szCs w:val="32"/>
    </w:rPr>
  </w:style>
  <w:style w:type="character" w:customStyle="1" w:styleId="101">
    <w:name w:val="纯文本 Char"/>
    <w:link w:val="24"/>
    <w:qFormat/>
    <w:uiPriority w:val="0"/>
    <w:rPr>
      <w:rFonts w:ascii="宋体" w:hAnsi="Tms Rmn" w:cs="宋体"/>
      <w:sz w:val="21"/>
      <w:szCs w:val="21"/>
    </w:rPr>
  </w:style>
  <w:style w:type="character" w:customStyle="1" w:styleId="102">
    <w:name w:val="H4 Char"/>
    <w:qFormat/>
    <w:uiPriority w:val="0"/>
    <w:rPr>
      <w:rFonts w:ascii="Arial" w:hAnsi="Arial" w:eastAsia="宋体"/>
      <w:b/>
      <w:kern w:val="2"/>
      <w:sz w:val="28"/>
      <w:lang w:val="en-US" w:eastAsia="zh-CN"/>
    </w:rPr>
  </w:style>
  <w:style w:type="character" w:customStyle="1" w:styleId="103">
    <w:name w:val="正文缩进 Char1"/>
    <w:qFormat/>
    <w:uiPriority w:val="0"/>
    <w:rPr>
      <w:kern w:val="2"/>
      <w:sz w:val="21"/>
      <w:szCs w:val="24"/>
    </w:rPr>
  </w:style>
  <w:style w:type="paragraph" w:customStyle="1" w:styleId="104">
    <w:name w:val="MM Topic 9"/>
    <w:basedOn w:val="11"/>
    <w:qFormat/>
    <w:uiPriority w:val="0"/>
    <w:pPr>
      <w:tabs>
        <w:tab w:val="left" w:pos="5102"/>
      </w:tabs>
    </w:pPr>
  </w:style>
  <w:style w:type="paragraph" w:customStyle="1" w:styleId="105">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6">
    <w:name w:val="强调2"/>
    <w:basedOn w:val="107"/>
    <w:qFormat/>
    <w:uiPriority w:val="0"/>
    <w:pPr>
      <w:numPr>
        <w:ilvl w:val="1"/>
      </w:numPr>
      <w:tabs>
        <w:tab w:val="left" w:pos="360"/>
        <w:tab w:val="left" w:pos="1918"/>
      </w:tabs>
      <w:ind w:left="1918"/>
    </w:pPr>
  </w:style>
  <w:style w:type="paragraph" w:customStyle="1" w:styleId="107">
    <w:name w:val="强调1"/>
    <w:basedOn w:val="1"/>
    <w:qFormat/>
    <w:uiPriority w:val="0"/>
    <w:pPr>
      <w:widowControl w:val="0"/>
      <w:numPr>
        <w:ilvl w:val="0"/>
        <w:numId w:val="5"/>
      </w:numPr>
      <w:spacing w:line="360" w:lineRule="auto"/>
      <w:ind w:firstLine="0"/>
      <w:jc w:val="both"/>
    </w:pPr>
    <w:rPr>
      <w:rFonts w:ascii="楷体_GB2312" w:hAnsi="仿宋" w:eastAsia="楷体_GB2312"/>
      <w:kern w:val="2"/>
      <w:sz w:val="28"/>
      <w:szCs w:val="28"/>
    </w:rPr>
  </w:style>
  <w:style w:type="paragraph" w:customStyle="1" w:styleId="108">
    <w:name w:val="Char Char Char Char"/>
    <w:basedOn w:val="1"/>
    <w:next w:val="1"/>
    <w:qFormat/>
    <w:uiPriority w:val="0"/>
    <w:pPr>
      <w:widowControl w:val="0"/>
      <w:spacing w:line="240" w:lineRule="atLeast"/>
      <w:ind w:left="420" w:firstLine="420"/>
    </w:pPr>
    <w:rPr>
      <w:sz w:val="21"/>
      <w:szCs w:val="21"/>
    </w:rPr>
  </w:style>
  <w:style w:type="paragraph" w:customStyle="1" w:styleId="109">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0">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1">
    <w:name w:val="默认段落字体 Para Char Char Char Char"/>
    <w:basedOn w:val="1"/>
    <w:qFormat/>
    <w:uiPriority w:val="0"/>
    <w:pPr>
      <w:widowControl w:val="0"/>
      <w:jc w:val="both"/>
    </w:pPr>
    <w:rPr>
      <w:kern w:val="2"/>
      <w:sz w:val="21"/>
    </w:rPr>
  </w:style>
  <w:style w:type="paragraph" w:customStyle="1" w:styleId="112">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3">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1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5">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6">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17">
    <w:name w:val="MM Topic 6"/>
    <w:basedOn w:val="8"/>
    <w:qFormat/>
    <w:uiPriority w:val="0"/>
    <w:pPr>
      <w:numPr>
        <w:ilvl w:val="0"/>
        <w:numId w:val="0"/>
      </w:numPr>
      <w:tabs>
        <w:tab w:val="left" w:pos="3260"/>
      </w:tabs>
      <w:spacing w:line="317" w:lineRule="auto"/>
    </w:pPr>
    <w:rPr>
      <w:bCs w:val="0"/>
      <w:sz w:val="28"/>
      <w:szCs w:val="20"/>
    </w:rPr>
  </w:style>
  <w:style w:type="paragraph" w:customStyle="1" w:styleId="11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19">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0">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1">
    <w:name w:val="标题 5 + 首行缩进:  2 字符"/>
    <w:basedOn w:val="7"/>
    <w:next w:val="20"/>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4">
    <w:name w:val="Char11"/>
    <w:basedOn w:val="1"/>
    <w:next w:val="1"/>
    <w:qFormat/>
    <w:uiPriority w:val="0"/>
    <w:pPr>
      <w:widowControl w:val="0"/>
      <w:spacing w:line="240" w:lineRule="atLeast"/>
      <w:ind w:left="420" w:firstLine="420"/>
    </w:pPr>
    <w:rPr>
      <w:sz w:val="21"/>
      <w:szCs w:val="21"/>
    </w:rPr>
  </w:style>
  <w:style w:type="paragraph" w:customStyle="1" w:styleId="125">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6">
    <w:name w:val="默认段落字体 Para Char Char Char Char Char Char Char"/>
    <w:basedOn w:val="1"/>
    <w:qFormat/>
    <w:uiPriority w:val="0"/>
    <w:pPr>
      <w:widowControl w:val="0"/>
      <w:jc w:val="both"/>
    </w:pPr>
    <w:rPr>
      <w:rFonts w:ascii="Tahoma" w:hAnsi="Tahoma"/>
      <w:kern w:val="2"/>
      <w:szCs w:val="20"/>
    </w:rPr>
  </w:style>
  <w:style w:type="paragraph" w:customStyle="1" w:styleId="127">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28">
    <w:name w:val="样式2"/>
    <w:basedOn w:val="1"/>
    <w:qFormat/>
    <w:uiPriority w:val="0"/>
    <w:pPr>
      <w:widowControl w:val="0"/>
      <w:adjustRightInd w:val="0"/>
      <w:spacing w:line="410" w:lineRule="atLeast"/>
      <w:jc w:val="both"/>
      <w:textAlignment w:val="baseline"/>
    </w:pPr>
    <w:rPr>
      <w:szCs w:val="20"/>
    </w:rPr>
  </w:style>
  <w:style w:type="paragraph" w:customStyle="1" w:styleId="129">
    <w:name w:val="列出段落11"/>
    <w:basedOn w:val="1"/>
    <w:qFormat/>
    <w:uiPriority w:val="34"/>
    <w:pPr>
      <w:ind w:firstLine="420" w:firstLineChars="200"/>
    </w:pPr>
    <w:rPr>
      <w:lang w:val="zh-CN"/>
    </w:rPr>
  </w:style>
  <w:style w:type="paragraph" w:customStyle="1" w:styleId="130">
    <w:name w:val="p4"/>
    <w:basedOn w:val="1"/>
    <w:qFormat/>
    <w:uiPriority w:val="0"/>
    <w:pPr>
      <w:spacing w:before="100" w:beforeAutospacing="1" w:after="100" w:afterAutospacing="1" w:line="360" w:lineRule="auto"/>
      <w:ind w:firstLine="360"/>
    </w:pPr>
    <w:rPr>
      <w:rFonts w:ascii="宋体" w:hAnsi="宋体"/>
    </w:rPr>
  </w:style>
  <w:style w:type="paragraph" w:customStyle="1" w:styleId="131">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2">
    <w:name w:val="默认段落字体 Para Char Char"/>
    <w:basedOn w:val="1"/>
    <w:qFormat/>
    <w:uiPriority w:val="0"/>
    <w:pPr>
      <w:widowControl w:val="0"/>
      <w:jc w:val="both"/>
    </w:pPr>
    <w:rPr>
      <w:kern w:val="2"/>
      <w:sz w:val="21"/>
      <w:szCs w:val="20"/>
    </w:rPr>
  </w:style>
  <w:style w:type="paragraph" w:customStyle="1" w:styleId="133">
    <w:name w:val="Char1 Char Char Char"/>
    <w:basedOn w:val="1"/>
    <w:next w:val="1"/>
    <w:qFormat/>
    <w:uiPriority w:val="0"/>
    <w:pPr>
      <w:widowControl w:val="0"/>
      <w:spacing w:line="240" w:lineRule="atLeast"/>
      <w:ind w:left="420" w:firstLine="420"/>
    </w:pPr>
    <w:rPr>
      <w:sz w:val="21"/>
      <w:szCs w:val="20"/>
    </w:rPr>
  </w:style>
  <w:style w:type="paragraph" w:customStyle="1" w:styleId="134">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5">
    <w:name w:val="1 Char"/>
    <w:basedOn w:val="1"/>
    <w:qFormat/>
    <w:uiPriority w:val="0"/>
    <w:pPr>
      <w:spacing w:after="160" w:line="240" w:lineRule="exact"/>
    </w:pPr>
    <w:rPr>
      <w:rFonts w:ascii="Tahoma" w:hAnsi="Tahoma" w:eastAsia="Times New Roman"/>
      <w:lang w:eastAsia="en-US"/>
    </w:rPr>
  </w:style>
  <w:style w:type="paragraph" w:customStyle="1" w:styleId="136">
    <w:name w:val="MM Topic 8"/>
    <w:basedOn w:val="10"/>
    <w:qFormat/>
    <w:uiPriority w:val="0"/>
    <w:pPr>
      <w:tabs>
        <w:tab w:val="left" w:pos="4394"/>
      </w:tabs>
    </w:pPr>
  </w:style>
  <w:style w:type="paragraph" w:customStyle="1" w:styleId="137">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9">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40">
    <w:name w:val="论文正文"/>
    <w:basedOn w:val="1"/>
    <w:qFormat/>
    <w:uiPriority w:val="0"/>
    <w:pPr>
      <w:widowControl w:val="0"/>
      <w:spacing w:line="300" w:lineRule="auto"/>
      <w:ind w:firstLine="200" w:firstLineChars="200"/>
      <w:jc w:val="both"/>
    </w:pPr>
    <w:rPr>
      <w:kern w:val="2"/>
    </w:rPr>
  </w:style>
  <w:style w:type="paragraph" w:customStyle="1" w:styleId="141">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2">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3">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4">
    <w:name w:val="正文段落"/>
    <w:basedOn w:val="1"/>
    <w:qFormat/>
    <w:uiPriority w:val="0"/>
    <w:pPr>
      <w:widowControl w:val="0"/>
      <w:spacing w:line="300" w:lineRule="auto"/>
      <w:ind w:firstLine="510"/>
      <w:jc w:val="both"/>
    </w:pPr>
    <w:rPr>
      <w:kern w:val="2"/>
      <w:szCs w:val="20"/>
    </w:rPr>
  </w:style>
  <w:style w:type="paragraph" w:customStyle="1" w:styleId="145">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6">
    <w:name w:val="Char1 Char Char Char Char Char Char"/>
    <w:basedOn w:val="1"/>
    <w:qFormat/>
    <w:uiPriority w:val="0"/>
    <w:pPr>
      <w:widowControl w:val="0"/>
      <w:jc w:val="both"/>
    </w:pPr>
    <w:rPr>
      <w:rFonts w:ascii="Tahoma" w:hAnsi="Tahoma"/>
      <w:kern w:val="2"/>
      <w:szCs w:val="20"/>
    </w:rPr>
  </w:style>
  <w:style w:type="paragraph" w:customStyle="1" w:styleId="147">
    <w:name w:val="文章正文 Char Char1"/>
    <w:basedOn w:val="1"/>
    <w:qFormat/>
    <w:uiPriority w:val="0"/>
    <w:pPr>
      <w:widowControl w:val="0"/>
      <w:spacing w:line="360" w:lineRule="auto"/>
      <w:ind w:firstLine="420"/>
      <w:jc w:val="both"/>
    </w:pPr>
    <w:rPr>
      <w:kern w:val="2"/>
      <w:szCs w:val="20"/>
    </w:rPr>
  </w:style>
  <w:style w:type="paragraph" w:customStyle="1" w:styleId="148">
    <w:name w:val="Char"/>
    <w:basedOn w:val="1"/>
    <w:next w:val="1"/>
    <w:qFormat/>
    <w:uiPriority w:val="0"/>
    <w:pPr>
      <w:widowControl w:val="0"/>
      <w:spacing w:line="240" w:lineRule="atLeast"/>
      <w:ind w:left="420" w:firstLine="420"/>
    </w:pPr>
    <w:rPr>
      <w:sz w:val="21"/>
      <w:szCs w:val="21"/>
    </w:rPr>
  </w:style>
  <w:style w:type="paragraph" w:customStyle="1" w:styleId="149">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50">
    <w:name w:val="文章正文 Char Char1 Char"/>
    <w:basedOn w:val="1"/>
    <w:qFormat/>
    <w:uiPriority w:val="0"/>
    <w:pPr>
      <w:widowControl w:val="0"/>
      <w:spacing w:line="360" w:lineRule="auto"/>
      <w:ind w:firstLine="420"/>
      <w:jc w:val="both"/>
    </w:pPr>
    <w:rPr>
      <w:kern w:val="2"/>
    </w:rPr>
  </w:style>
  <w:style w:type="paragraph" w:customStyle="1" w:styleId="151">
    <w:name w:val="正文 首行缩进:  2 字符 Char Char"/>
    <w:basedOn w:val="1"/>
    <w:qFormat/>
    <w:uiPriority w:val="0"/>
    <w:pPr>
      <w:widowControl w:val="0"/>
      <w:spacing w:line="360" w:lineRule="auto"/>
      <w:ind w:firstLine="480"/>
      <w:jc w:val="both"/>
    </w:pPr>
    <w:rPr>
      <w:kern w:val="2"/>
      <w:szCs w:val="20"/>
    </w:rPr>
  </w:style>
  <w:style w:type="paragraph" w:customStyle="1" w:styleId="152">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3">
    <w:name w:val="标题 2 + 楷体_GB2312"/>
    <w:basedOn w:val="1"/>
    <w:qFormat/>
    <w:uiPriority w:val="0"/>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Char12"/>
    <w:basedOn w:val="1"/>
    <w:qFormat/>
    <w:uiPriority w:val="0"/>
    <w:pPr>
      <w:spacing w:after="160" w:line="240" w:lineRule="exact"/>
    </w:pPr>
    <w:rPr>
      <w:rFonts w:ascii="Tahoma" w:hAnsi="Tahoma"/>
      <w:kern w:val="2"/>
      <w:lang w:eastAsia="en-US"/>
    </w:rPr>
  </w:style>
  <w:style w:type="paragraph" w:customStyle="1" w:styleId="156">
    <w:name w:val="p0"/>
    <w:basedOn w:val="1"/>
    <w:qFormat/>
    <w:uiPriority w:val="0"/>
    <w:pPr>
      <w:jc w:val="both"/>
    </w:pPr>
    <w:rPr>
      <w:sz w:val="21"/>
      <w:szCs w:val="20"/>
    </w:rPr>
  </w:style>
  <w:style w:type="paragraph" w:customStyle="1" w:styleId="157">
    <w:name w:val="gb_master正文"/>
    <w:basedOn w:val="1"/>
    <w:qFormat/>
    <w:uiPriority w:val="0"/>
    <w:pPr>
      <w:widowControl w:val="0"/>
      <w:ind w:firstLine="200" w:firstLineChars="200"/>
      <w:jc w:val="both"/>
    </w:pPr>
    <w:rPr>
      <w:kern w:val="2"/>
      <w:sz w:val="21"/>
    </w:rPr>
  </w:style>
  <w:style w:type="paragraph" w:customStyle="1" w:styleId="158">
    <w:name w:val="Char1"/>
    <w:basedOn w:val="1"/>
    <w:next w:val="1"/>
    <w:qFormat/>
    <w:uiPriority w:val="0"/>
    <w:pPr>
      <w:widowControl w:val="0"/>
      <w:spacing w:line="240" w:lineRule="atLeast"/>
      <w:ind w:left="420" w:firstLine="420"/>
    </w:pPr>
    <w:rPr>
      <w:sz w:val="21"/>
      <w:szCs w:val="21"/>
    </w:rPr>
  </w:style>
  <w:style w:type="paragraph" w:customStyle="1" w:styleId="159">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1">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2">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3">
    <w:name w:val="样式 正文缩进 + (中文) 仿宋_GB2312 小四 Char"/>
    <w:basedOn w:val="14"/>
    <w:qFormat/>
    <w:uiPriority w:val="0"/>
    <w:pPr>
      <w:ind w:firstLine="480"/>
    </w:pPr>
    <w:rPr>
      <w:rFonts w:ascii="宋体" w:hAnsi="宋体"/>
      <w:sz w:val="24"/>
      <w:szCs w:val="20"/>
    </w:rPr>
  </w:style>
  <w:style w:type="paragraph" w:customStyle="1" w:styleId="164">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5">
    <w:name w:val="Char2 Char Char Char Char Char Char"/>
    <w:basedOn w:val="1"/>
    <w:qFormat/>
    <w:uiPriority w:val="0"/>
    <w:pPr>
      <w:widowControl w:val="0"/>
      <w:jc w:val="both"/>
    </w:pPr>
    <w:rPr>
      <w:rFonts w:ascii="仿宋_GB2312"/>
      <w:b/>
      <w:kern w:val="2"/>
      <w:sz w:val="30"/>
      <w:szCs w:val="20"/>
    </w:rPr>
  </w:style>
  <w:style w:type="paragraph" w:customStyle="1" w:styleId="166">
    <w:name w:val="项目符号：一级"/>
    <w:basedOn w:val="161"/>
    <w:next w:val="161"/>
    <w:qFormat/>
    <w:uiPriority w:val="0"/>
    <w:pPr>
      <w:tabs>
        <w:tab w:val="left" w:pos="700"/>
      </w:tabs>
      <w:spacing w:beforeLines="0"/>
      <w:ind w:left="630" w:hanging="290" w:firstLineChars="0"/>
    </w:pPr>
  </w:style>
  <w:style w:type="paragraph" w:customStyle="1" w:styleId="167">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68">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6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0">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1">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72">
    <w:name w:val="大纲正文"/>
    <w:basedOn w:val="1"/>
    <w:qFormat/>
    <w:uiPriority w:val="0"/>
    <w:pPr>
      <w:widowControl w:val="0"/>
      <w:spacing w:line="360" w:lineRule="auto"/>
      <w:ind w:firstLine="480" w:firstLineChars="200"/>
      <w:jc w:val="both"/>
    </w:pPr>
    <w:rPr>
      <w:kern w:val="2"/>
      <w:szCs w:val="20"/>
    </w:rPr>
  </w:style>
  <w:style w:type="paragraph" w:customStyle="1" w:styleId="173">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4">
    <w:name w:val="Char2"/>
    <w:basedOn w:val="1"/>
    <w:next w:val="1"/>
    <w:qFormat/>
    <w:uiPriority w:val="0"/>
    <w:pPr>
      <w:widowControl w:val="0"/>
      <w:spacing w:line="240" w:lineRule="atLeast"/>
      <w:ind w:left="420" w:firstLine="420"/>
    </w:pPr>
    <w:rPr>
      <w:kern w:val="2"/>
      <w:szCs w:val="20"/>
    </w:rPr>
  </w:style>
  <w:style w:type="paragraph" w:customStyle="1" w:styleId="175">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6">
    <w:name w:val="Char2 Char Char Char"/>
    <w:basedOn w:val="1"/>
    <w:qFormat/>
    <w:uiPriority w:val="0"/>
    <w:pPr>
      <w:widowControl w:val="0"/>
      <w:jc w:val="both"/>
    </w:pPr>
    <w:rPr>
      <w:rFonts w:ascii="仿宋_GB2312"/>
      <w:b/>
      <w:kern w:val="2"/>
      <w:sz w:val="30"/>
      <w:szCs w:val="20"/>
    </w:rPr>
  </w:style>
  <w:style w:type="paragraph" w:customStyle="1" w:styleId="177">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78">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79">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0">
    <w:name w:val="列出段落2"/>
    <w:basedOn w:val="1"/>
    <w:qFormat/>
    <w:uiPriority w:val="34"/>
    <w:pPr>
      <w:widowControl w:val="0"/>
      <w:ind w:firstLine="420" w:firstLineChars="200"/>
      <w:jc w:val="both"/>
    </w:pPr>
    <w:rPr>
      <w:rFonts w:eastAsia="方正仿宋"/>
      <w:kern w:val="2"/>
      <w:sz w:val="32"/>
    </w:rPr>
  </w:style>
  <w:style w:type="paragraph" w:customStyle="1" w:styleId="181">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2">
    <w:name w:val="彩色列表 - 强调文字颜色 1 Char"/>
    <w:link w:val="183"/>
    <w:qFormat/>
    <w:uiPriority w:val="0"/>
    <w:rPr>
      <w:rFonts w:ascii="Calibri" w:hAnsi="Calibri"/>
      <w:kern w:val="2"/>
      <w:sz w:val="21"/>
      <w:szCs w:val="22"/>
    </w:rPr>
  </w:style>
  <w:style w:type="paragraph" w:customStyle="1" w:styleId="183">
    <w:name w:val="彩色列表 - 强调文字颜色 11"/>
    <w:basedOn w:val="1"/>
    <w:link w:val="182"/>
    <w:qFormat/>
    <w:uiPriority w:val="0"/>
    <w:pPr>
      <w:widowControl w:val="0"/>
      <w:ind w:firstLine="420" w:firstLineChars="200"/>
      <w:jc w:val="both"/>
    </w:pPr>
    <w:rPr>
      <w:rFonts w:ascii="Calibri" w:hAnsi="Calibri"/>
      <w:kern w:val="2"/>
      <w:sz w:val="21"/>
      <w:szCs w:val="22"/>
    </w:rPr>
  </w:style>
  <w:style w:type="character" w:customStyle="1" w:styleId="184">
    <w:name w:val="*正文 Char Char"/>
    <w:link w:val="185"/>
    <w:qFormat/>
    <w:locked/>
    <w:uiPriority w:val="99"/>
    <w:rPr>
      <w:rFonts w:ascii="宋体"/>
      <w:sz w:val="24"/>
    </w:rPr>
  </w:style>
  <w:style w:type="paragraph" w:customStyle="1" w:styleId="185">
    <w:name w:val="*正文"/>
    <w:basedOn w:val="1"/>
    <w:link w:val="184"/>
    <w:qFormat/>
    <w:uiPriority w:val="99"/>
    <w:pPr>
      <w:widowControl w:val="0"/>
      <w:spacing w:line="360" w:lineRule="auto"/>
      <w:ind w:firstLine="200" w:firstLineChars="200"/>
      <w:jc w:val="both"/>
    </w:pPr>
    <w:rPr>
      <w:rFonts w:ascii="宋体"/>
      <w:szCs w:val="20"/>
    </w:rPr>
  </w:style>
  <w:style w:type="paragraph" w:customStyle="1" w:styleId="186">
    <w:name w:val="_Style 1"/>
    <w:basedOn w:val="1"/>
    <w:qFormat/>
    <w:uiPriority w:val="0"/>
    <w:pPr>
      <w:ind w:firstLine="420" w:firstLineChars="200"/>
    </w:pPr>
  </w:style>
  <w:style w:type="paragraph" w:customStyle="1" w:styleId="187">
    <w:name w:val="彩色列表 - 强调文字颜色 12"/>
    <w:basedOn w:val="1"/>
    <w:qFormat/>
    <w:uiPriority w:val="0"/>
    <w:pPr>
      <w:ind w:firstLine="420" w:firstLineChars="200"/>
    </w:pPr>
  </w:style>
  <w:style w:type="character" w:customStyle="1" w:styleId="188">
    <w:name w:val="font21"/>
    <w:basedOn w:val="47"/>
    <w:qFormat/>
    <w:uiPriority w:val="0"/>
    <w:rPr>
      <w:rFonts w:hint="eastAsia" w:ascii="宋体" w:hAnsi="宋体" w:eastAsia="宋体" w:cs="宋体"/>
      <w:color w:val="000000"/>
      <w:sz w:val="20"/>
      <w:szCs w:val="20"/>
      <w:u w:val="none"/>
    </w:rPr>
  </w:style>
  <w:style w:type="character" w:customStyle="1" w:styleId="189">
    <w:name w:val="font31"/>
    <w:basedOn w:val="47"/>
    <w:qFormat/>
    <w:uiPriority w:val="0"/>
    <w:rPr>
      <w:rFonts w:ascii="Tahoma" w:hAnsi="Tahoma" w:eastAsia="Tahoma" w:cs="Tahoma"/>
      <w:color w:val="000000"/>
      <w:sz w:val="20"/>
      <w:szCs w:val="20"/>
      <w:u w:val="none"/>
    </w:rPr>
  </w:style>
  <w:style w:type="paragraph" w:customStyle="1" w:styleId="19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1">
    <w:name w:val="List Paragraph"/>
    <w:basedOn w:val="1"/>
    <w:qFormat/>
    <w:uiPriority w:val="34"/>
    <w:pPr>
      <w:spacing w:after="100" w:line="360" w:lineRule="auto"/>
      <w:ind w:firstLine="420" w:firstLineChars="200"/>
    </w:pPr>
    <w:rPr>
      <w:szCs w:val="22"/>
      <w:lang w:eastAsia="en-US" w:bidi="en-US"/>
    </w:rPr>
  </w:style>
  <w:style w:type="character" w:customStyle="1" w:styleId="192">
    <w:name w:val="font11"/>
    <w:basedOn w:val="47"/>
    <w:qFormat/>
    <w:uiPriority w:val="0"/>
    <w:rPr>
      <w:rFonts w:hint="eastAsia" w:ascii="宋体" w:hAnsi="宋体" w:eastAsia="宋体" w:cs="宋体"/>
      <w:color w:val="000000"/>
      <w:sz w:val="22"/>
      <w:szCs w:val="22"/>
      <w:u w:val="none"/>
    </w:rPr>
  </w:style>
  <w:style w:type="character" w:customStyle="1" w:styleId="193">
    <w:name w:val="font01"/>
    <w:basedOn w:val="47"/>
    <w:qFormat/>
    <w:uiPriority w:val="0"/>
    <w:rPr>
      <w:rFonts w:hint="default" w:ascii="Times New Roman" w:hAnsi="Times New Roman" w:cs="Times New Roman"/>
      <w:color w:val="000000"/>
      <w:sz w:val="22"/>
      <w:szCs w:val="22"/>
      <w:u w:val="none"/>
    </w:rPr>
  </w:style>
  <w:style w:type="paragraph" w:customStyle="1" w:styleId="19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5">
    <w:name w:val="NormalCharacter"/>
    <w:qFormat/>
    <w:uiPriority w:val="0"/>
  </w:style>
  <w:style w:type="paragraph" w:customStyle="1" w:styleId="196">
    <w:name w:val="表格内容"/>
    <w:basedOn w:val="1"/>
    <w:qFormat/>
    <w:uiPriority w:val="0"/>
    <w:pPr>
      <w:spacing w:line="240" w:lineRule="auto"/>
    </w:pPr>
    <w:rPr>
      <w:rFonts w:ascii="Calibri" w:hAnsi="Calibri" w:eastAsia="仿宋"/>
      <w:sz w:val="21"/>
      <w:szCs w:val="22"/>
    </w:rPr>
  </w:style>
  <w:style w:type="paragraph" w:styleId="197">
    <w:name w:val="No Spacing"/>
    <w:qFormat/>
    <w:uiPriority w:val="1"/>
    <w:pPr>
      <w:widowControl w:val="0"/>
    </w:pPr>
    <w:rPr>
      <w:rFonts w:ascii="Calibri" w:hAnsi="Calibri" w:eastAsia="宋体" w:cs="Times New Roman"/>
      <w:kern w:val="2"/>
      <w:sz w:val="21"/>
      <w:szCs w:val="22"/>
      <w:lang w:val="en-US" w:eastAsia="zh-CN" w:bidi="ar-SA"/>
    </w:rPr>
  </w:style>
  <w:style w:type="paragraph" w:customStyle="1" w:styleId="198">
    <w:name w:val="闻政表"/>
    <w:basedOn w:val="1"/>
    <w:qFormat/>
    <w:uiPriority w:val="0"/>
    <w:pPr>
      <w:jc w:val="center"/>
    </w:pPr>
    <w:rPr>
      <w:rFonts w:ascii="Calibri" w:hAnsi="Calibri" w:eastAsia="仿宋_GB2312" w:cs="Times New Roman"/>
      <w:b/>
      <w:sz w:val="24"/>
    </w:rPr>
  </w:style>
  <w:style w:type="paragraph" w:customStyle="1" w:styleId="199">
    <w:name w:val="bullet"/>
    <w:basedOn w:val="1"/>
    <w:qFormat/>
    <w:uiPriority w:val="0"/>
    <w:pPr>
      <w:tabs>
        <w:tab w:val="left" w:pos="720"/>
      </w:tabs>
      <w:spacing w:after="0" w:line="240" w:lineRule="auto"/>
    </w:pPr>
    <w:rPr>
      <w:rFonts w:ascii="Times New Roman" w:hAnsi="Times New Roman"/>
    </w:rPr>
  </w:style>
  <w:style w:type="character" w:customStyle="1" w:styleId="200">
    <w:name w:val="font41"/>
    <w:qFormat/>
    <w:uiPriority w:val="0"/>
    <w:rPr>
      <w:rFonts w:hint="eastAsia" w:ascii="宋体" w:hAnsi="宋体" w:eastAsia="宋体" w:cs="宋体"/>
      <w:color w:val="000000"/>
      <w:sz w:val="21"/>
      <w:szCs w:val="21"/>
      <w:u w:val="none"/>
    </w:rPr>
  </w:style>
  <w:style w:type="paragraph" w:customStyle="1" w:styleId="201">
    <w:name w:val="12、表格内左对齐正文"/>
    <w:basedOn w:val="1"/>
    <w:qFormat/>
    <w:uiPriority w:val="0"/>
    <w:pPr>
      <w:tabs>
        <w:tab w:val="left" w:pos="0"/>
      </w:tabs>
      <w:wordWrap w:val="0"/>
      <w:topLinePunct/>
      <w:spacing w:line="360" w:lineRule="exact"/>
      <w:ind w:left="48" w:leftChars="20"/>
    </w:pPr>
    <w:rPr>
      <w:snapToGrid w:val="0"/>
      <w:sz w:val="21"/>
    </w:rPr>
  </w:style>
  <w:style w:type="paragraph" w:customStyle="1" w:styleId="202">
    <w:name w:val="Table Paragraph"/>
    <w:basedOn w:val="1"/>
    <w:unhideWhenUsed/>
    <w:qFormat/>
    <w:uiPriority w:val="1"/>
    <w:pPr>
      <w:widowControl w:val="0"/>
      <w:jc w:val="both"/>
    </w:pPr>
    <w:rPr>
      <w:rFonts w:ascii="Calibri" w:hAnsi="Calibri"/>
      <w:kern w:val="2"/>
    </w:rPr>
  </w:style>
  <w:style w:type="paragraph" w:customStyle="1" w:styleId="203">
    <w:name w:val="标题 5（有编号）（绿盟科技）"/>
    <w:basedOn w:val="1"/>
    <w:next w:val="204"/>
    <w:qFormat/>
    <w:uiPriority w:val="0"/>
    <w:pPr>
      <w:keepNext/>
      <w:keepLines/>
      <w:numPr>
        <w:ilvl w:val="4"/>
        <w:numId w:val="6"/>
      </w:numPr>
      <w:spacing w:before="280" w:after="156" w:line="377" w:lineRule="auto"/>
      <w:jc w:val="left"/>
      <w:outlineLvl w:val="4"/>
    </w:pPr>
    <w:rPr>
      <w:rFonts w:ascii="Arial" w:hAnsi="Arial" w:eastAsia="黑体"/>
      <w:b/>
      <w:kern w:val="0"/>
      <w:sz w:val="24"/>
      <w:szCs w:val="28"/>
    </w:rPr>
  </w:style>
  <w:style w:type="paragraph" w:customStyle="1" w:styleId="20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55</Pages>
  <Words>24352</Words>
  <Characters>25403</Characters>
  <Lines>199</Lines>
  <Paragraphs>56</Paragraphs>
  <TotalTime>0</TotalTime>
  <ScaleCrop>false</ScaleCrop>
  <LinksUpToDate>false</LinksUpToDate>
  <CharactersWithSpaces>26984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Wàн°</cp:lastModifiedBy>
  <cp:lastPrinted>2014-07-14T08:51:00Z</cp:lastPrinted>
  <dcterms:modified xsi:type="dcterms:W3CDTF">2021-08-31T04:35:28Z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6A75E23F8D48480199BCB04E60D9B6B2</vt:lpwstr>
  </property>
</Properties>
</file>