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20"/>
          <w:sz w:val="28"/>
          <w:szCs w:val="28"/>
          <w:highlight w:val="none"/>
        </w:rPr>
      </w:pPr>
    </w:p>
    <w:p>
      <w:pPr>
        <w:pStyle w:val="20"/>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pStyle w:val="20"/>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spacing w:line="360" w:lineRule="auto"/>
        <w:jc w:val="center"/>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spacing w:line="360" w:lineRule="auto"/>
        <w:ind w:left="2235" w:leftChars="1" w:hanging="2233" w:hangingChars="657"/>
        <w:jc w:val="center"/>
        <w:rPr>
          <w:rFonts w:ascii="华文中宋" w:hAnsi="华文中宋" w:eastAsia="华文中宋"/>
          <w:color w:val="auto"/>
          <w:spacing w:val="20"/>
          <w:sz w:val="30"/>
          <w:szCs w:val="30"/>
          <w:highlight w:val="none"/>
        </w:rPr>
      </w:pPr>
    </w:p>
    <w:p>
      <w:pPr>
        <w:spacing w:line="360" w:lineRule="auto"/>
        <w:ind w:left="2235" w:leftChars="223" w:hanging="1700" w:hangingChars="500"/>
        <w:rPr>
          <w:rFonts w:ascii="华文中宋" w:hAnsi="华文中宋" w:eastAsia="华文中宋"/>
          <w:color w:val="auto"/>
          <w:spacing w:val="20"/>
          <w:sz w:val="30"/>
          <w:szCs w:val="30"/>
          <w:highlight w:val="none"/>
        </w:rPr>
      </w:pPr>
    </w:p>
    <w:p>
      <w:pPr>
        <w:pStyle w:val="20"/>
        <w:rPr>
          <w:rFonts w:ascii="华文中宋" w:hAnsi="华文中宋" w:eastAsia="华文中宋"/>
          <w:color w:val="auto"/>
          <w:spacing w:val="20"/>
          <w:sz w:val="30"/>
          <w:szCs w:val="30"/>
          <w:highlight w:val="none"/>
        </w:rPr>
      </w:pPr>
    </w:p>
    <w:p>
      <w:pPr>
        <w:spacing w:line="360" w:lineRule="auto"/>
        <w:ind w:left="2597" w:leftChars="412" w:hanging="1608" w:hangingChars="473"/>
        <w:rPr>
          <w:rFonts w:ascii="华文中宋" w:hAnsi="华文中宋" w:eastAsia="华文中宋"/>
          <w:color w:val="auto"/>
          <w:spacing w:val="20"/>
          <w:sz w:val="30"/>
          <w:szCs w:val="30"/>
          <w:highlight w:val="none"/>
        </w:rPr>
      </w:pPr>
    </w:p>
    <w:p>
      <w:pPr>
        <w:widowControl w:val="0"/>
        <w:tabs>
          <w:tab w:val="left" w:pos="7680"/>
        </w:tabs>
        <w:spacing w:line="360" w:lineRule="auto"/>
        <w:ind w:firstLine="720" w:firstLineChars="200"/>
        <w:rPr>
          <w:rFonts w:hint="eastAsia" w:ascii="宋体" w:hAnsi="宋体" w:eastAsia="华文中宋" w:cs="宋体"/>
          <w:b/>
          <w:color w:val="auto"/>
          <w:highlight w:val="none"/>
          <w:lang w:eastAsia="zh-CN"/>
        </w:rPr>
      </w:pPr>
      <w:r>
        <w:rPr>
          <w:rFonts w:hint="eastAsia" w:ascii="华文中宋" w:hAnsi="华文中宋" w:eastAsia="华文中宋"/>
          <w:color w:val="auto"/>
          <w:spacing w:val="20"/>
          <w:sz w:val="32"/>
          <w:szCs w:val="32"/>
          <w:highlight w:val="none"/>
        </w:rPr>
        <w:t>项目名称：</w:t>
      </w:r>
      <w:r>
        <w:rPr>
          <w:rFonts w:hint="eastAsia" w:ascii="华文中宋" w:hAnsi="华文中宋" w:eastAsia="华文中宋"/>
          <w:color w:val="auto"/>
          <w:spacing w:val="20"/>
          <w:sz w:val="32"/>
          <w:szCs w:val="32"/>
          <w:highlight w:val="none"/>
          <w:lang w:eastAsia="zh-CN"/>
        </w:rPr>
        <w:t>成都市公安局龙泉驿区分局200个天网点位升级改造租赁服务采购项目</w:t>
      </w:r>
    </w:p>
    <w:p>
      <w:pPr>
        <w:spacing w:line="360" w:lineRule="auto"/>
        <w:ind w:firstLine="720" w:firstLineChars="200"/>
        <w:rPr>
          <w:rFonts w:hint="eastAsia" w:ascii="华文中宋" w:hAnsi="华文中宋" w:eastAsia="华文中宋"/>
          <w:color w:val="auto"/>
          <w:spacing w:val="20"/>
          <w:sz w:val="32"/>
          <w:szCs w:val="32"/>
          <w:highlight w:val="none"/>
          <w:lang w:eastAsia="zh-CN"/>
        </w:rPr>
      </w:pPr>
      <w:r>
        <w:rPr>
          <w:rFonts w:hint="eastAsia" w:ascii="华文中宋" w:hAnsi="华文中宋" w:eastAsia="华文中宋"/>
          <w:color w:val="auto"/>
          <w:spacing w:val="20"/>
          <w:sz w:val="32"/>
          <w:szCs w:val="32"/>
          <w:highlight w:val="none"/>
        </w:rPr>
        <w:t>项目编号：</w:t>
      </w:r>
      <w:r>
        <w:rPr>
          <w:rFonts w:hint="eastAsia" w:ascii="华文中宋" w:hAnsi="华文中宋" w:eastAsia="华文中宋"/>
          <w:color w:val="auto"/>
          <w:spacing w:val="20"/>
          <w:sz w:val="32"/>
          <w:szCs w:val="32"/>
          <w:highlight w:val="none"/>
          <w:lang w:eastAsia="zh-CN"/>
        </w:rPr>
        <w:t>510112202200016</w:t>
      </w:r>
    </w:p>
    <w:p>
      <w:pPr>
        <w:pStyle w:val="20"/>
        <w:rPr>
          <w:color w:val="auto"/>
          <w:highlight w:val="none"/>
        </w:rPr>
      </w:pPr>
    </w:p>
    <w:p>
      <w:pPr>
        <w:pStyle w:val="20"/>
        <w:rPr>
          <w:color w:val="auto"/>
          <w:highlight w:val="none"/>
        </w:rPr>
      </w:pPr>
    </w:p>
    <w:p>
      <w:pPr>
        <w:pStyle w:val="20"/>
        <w:rPr>
          <w:color w:val="auto"/>
          <w:highlight w:val="none"/>
        </w:rPr>
      </w:pPr>
    </w:p>
    <w:p>
      <w:pPr>
        <w:spacing w:line="360" w:lineRule="auto"/>
        <w:ind w:firstLine="3680" w:firstLineChars="115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中国·成都</w:t>
      </w:r>
    </w:p>
    <w:p>
      <w:pPr>
        <w:spacing w:line="360" w:lineRule="auto"/>
        <w:jc w:val="center"/>
        <w:rPr>
          <w:rFonts w:hint="eastAsia" w:ascii="华文中宋" w:hAnsi="华文中宋" w:eastAsia="华文中宋"/>
          <w:color w:val="auto"/>
          <w:sz w:val="32"/>
          <w:szCs w:val="32"/>
          <w:highlight w:val="none"/>
          <w:lang w:val="en-US" w:eastAsia="zh-CN"/>
        </w:rPr>
      </w:pPr>
      <w:r>
        <w:rPr>
          <w:rFonts w:hint="eastAsia" w:ascii="华文中宋" w:hAnsi="华文中宋" w:eastAsia="华文中宋"/>
          <w:color w:val="auto"/>
          <w:spacing w:val="20"/>
          <w:sz w:val="32"/>
          <w:szCs w:val="32"/>
          <w:highlight w:val="none"/>
          <w:lang w:eastAsia="zh-CN"/>
        </w:rPr>
        <w:t>成都市公安局龙泉驿区分局</w:t>
      </w:r>
      <w:r>
        <w:rPr>
          <w:rFonts w:hint="eastAsia" w:ascii="华文中宋" w:hAnsi="华文中宋" w:eastAsia="华文中宋"/>
          <w:color w:val="auto"/>
          <w:spacing w:val="20"/>
          <w:sz w:val="32"/>
          <w:szCs w:val="32"/>
          <w:highlight w:val="none"/>
        </w:rPr>
        <w:t>、</w:t>
      </w:r>
      <w:r>
        <w:rPr>
          <w:rFonts w:hint="eastAsia" w:ascii="华文中宋" w:hAnsi="华文中宋" w:eastAsia="华文中宋"/>
          <w:color w:val="auto"/>
          <w:sz w:val="32"/>
          <w:szCs w:val="32"/>
          <w:highlight w:val="none"/>
        </w:rPr>
        <w:t>四川世科工程咨询有限公司</w:t>
      </w:r>
      <w:r>
        <w:rPr>
          <w:rFonts w:hint="eastAsia" w:ascii="华文中宋" w:hAnsi="华文中宋" w:eastAsia="华文中宋"/>
          <w:color w:val="auto"/>
          <w:sz w:val="32"/>
          <w:szCs w:val="32"/>
          <w:highlight w:val="none"/>
          <w:lang w:val="en-US" w:eastAsia="zh-CN"/>
        </w:rPr>
        <w:t xml:space="preserve">  </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共同编制</w:t>
      </w:r>
    </w:p>
    <w:p>
      <w:pPr>
        <w:ind w:firstLine="0" w:firstLineChars="0"/>
        <w:jc w:val="center"/>
        <w:rPr>
          <w:rFonts w:hint="eastAsia" w:ascii="宋体" w:hAnsi="宋体"/>
          <w:sz w:val="32"/>
          <w:szCs w:val="32"/>
        </w:rPr>
      </w:pPr>
      <w:r>
        <w:rPr>
          <w:rFonts w:hint="eastAsia" w:ascii="宋体" w:hAnsi="宋体"/>
          <w:sz w:val="32"/>
          <w:szCs w:val="32"/>
        </w:rPr>
        <w:t>二〇二</w:t>
      </w:r>
      <w:r>
        <w:rPr>
          <w:rFonts w:hint="eastAsia" w:ascii="宋体" w:hAnsi="宋体"/>
          <w:sz w:val="32"/>
          <w:szCs w:val="32"/>
          <w:lang w:val="en-US" w:eastAsia="zh-CN"/>
        </w:rPr>
        <w:t>二</w:t>
      </w:r>
      <w:r>
        <w:rPr>
          <w:rFonts w:hint="eastAsia" w:ascii="宋体" w:hAnsi="宋体"/>
          <w:sz w:val="32"/>
          <w:szCs w:val="32"/>
        </w:rPr>
        <w:t>年</w:t>
      </w:r>
      <w:r>
        <w:rPr>
          <w:rFonts w:hint="eastAsia" w:ascii="宋体" w:hAnsi="宋体"/>
          <w:sz w:val="32"/>
          <w:szCs w:val="32"/>
          <w:lang w:val="en-US" w:eastAsia="zh-CN"/>
        </w:rPr>
        <w:t>三</w:t>
      </w:r>
      <w:r>
        <w:rPr>
          <w:rFonts w:hint="eastAsia" w:ascii="宋体" w:hAnsi="宋体"/>
          <w:sz w:val="32"/>
          <w:szCs w:val="32"/>
        </w:rPr>
        <w:t>月</w:t>
      </w:r>
    </w:p>
    <w:p>
      <w:pPr>
        <w:tabs>
          <w:tab w:val="center" w:pos="4153"/>
          <w:tab w:val="right" w:pos="8306"/>
        </w:tabs>
        <w:spacing w:line="360" w:lineRule="auto"/>
        <w:rPr>
          <w:rFonts w:ascii="华文中宋" w:hAnsi="华文中宋" w:eastAsia="华文中宋"/>
          <w:bCs/>
          <w:color w:val="auto"/>
          <w:sz w:val="32"/>
          <w:szCs w:val="32"/>
          <w:highlight w:val="none"/>
        </w:rPr>
      </w:pPr>
    </w:p>
    <w:p>
      <w:pPr>
        <w:tabs>
          <w:tab w:val="center" w:pos="4153"/>
          <w:tab w:val="right" w:pos="8306"/>
        </w:tabs>
        <w:spacing w:line="360" w:lineRule="auto"/>
        <w:jc w:val="center"/>
        <w:rPr>
          <w:rFonts w:ascii="宋体" w:hAnsi="宋体"/>
          <w:b/>
          <w:bCs/>
          <w:color w:val="auto"/>
          <w:sz w:val="36"/>
          <w:szCs w:val="36"/>
          <w:highlight w:val="none"/>
        </w:rPr>
      </w:pPr>
    </w:p>
    <w:p>
      <w:pPr>
        <w:rPr>
          <w:rFonts w:ascii="宋体" w:hAnsi="宋体"/>
          <w:b/>
          <w:bCs/>
          <w:color w:val="auto"/>
          <w:sz w:val="36"/>
          <w:szCs w:val="36"/>
          <w:highlight w:val="none"/>
        </w:rPr>
      </w:pPr>
    </w:p>
    <w:p>
      <w:pPr>
        <w:rPr>
          <w:rFonts w:ascii="宋体" w:hAnsi="宋体"/>
          <w:b/>
          <w:bCs/>
          <w:color w:val="auto"/>
          <w:sz w:val="36"/>
          <w:szCs w:val="36"/>
          <w:highlight w:val="none"/>
        </w:rPr>
      </w:pPr>
    </w:p>
    <w:p>
      <w:pPr>
        <w:pStyle w:val="4"/>
        <w:pageBreakBefore w:val="0"/>
        <w:numPr>
          <w:ilvl w:val="1"/>
          <w:numId w:val="0"/>
        </w:numPr>
        <w:tabs>
          <w:tab w:val="clear" w:pos="426"/>
        </w:tabs>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val="0"/>
          <w:color w:val="auto"/>
          <w:sz w:val="36"/>
          <w:szCs w:val="36"/>
          <w:highlight w:val="none"/>
          <w:lang w:eastAsia="zh-CN"/>
        </w:rPr>
      </w:pPr>
      <w:bookmarkStart w:id="0" w:name="_Toc9012"/>
      <w:bookmarkStart w:id="1" w:name="_Toc15564"/>
      <w:bookmarkStart w:id="2" w:name="_Toc14064"/>
      <w:bookmarkStart w:id="3" w:name="_Toc14670"/>
      <w:bookmarkStart w:id="4" w:name="_Toc8149"/>
      <w:bookmarkStart w:id="5" w:name="_Toc28972"/>
      <w:bookmarkStart w:id="6" w:name="_Toc18415"/>
      <w:bookmarkStart w:id="7" w:name="_Toc31100"/>
      <w:bookmarkStart w:id="8" w:name="_Toc13967"/>
      <w:bookmarkStart w:id="9" w:name="_Toc30234"/>
      <w:bookmarkStart w:id="10" w:name="_Toc25145"/>
      <w:bookmarkStart w:id="11" w:name="_Toc11345"/>
      <w:bookmarkStart w:id="12" w:name="_Toc12592"/>
      <w:bookmarkStart w:id="13" w:name="_Toc8202"/>
      <w:bookmarkStart w:id="14" w:name="_Toc16046"/>
      <w:bookmarkStart w:id="15" w:name="_Toc1045"/>
      <w:bookmarkStart w:id="16" w:name="_Toc5180"/>
      <w:bookmarkStart w:id="17" w:name="_Toc6222"/>
      <w:bookmarkStart w:id="18" w:name="_Toc19199"/>
      <w:bookmarkStart w:id="19" w:name="_Toc779"/>
      <w:bookmarkStart w:id="20" w:name="_Toc23370"/>
      <w:r>
        <w:rPr>
          <w:rFonts w:hint="eastAsia" w:ascii="宋体" w:hAnsi="宋体" w:eastAsia="宋体" w:cs="宋体"/>
          <w:b/>
          <w:bCs w:val="0"/>
          <w:color w:val="auto"/>
          <w:sz w:val="36"/>
          <w:szCs w:val="36"/>
          <w:highlight w:val="none"/>
          <w:lang w:eastAsia="zh-CN"/>
        </w:rPr>
        <w:t>“政采贷”业务介绍</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4"/>
        <w:keepNext/>
        <w:keepLines/>
        <w:pageBreakBefore w:val="0"/>
        <w:widowControl w:val="0"/>
        <w:numPr>
          <w:ilvl w:val="1"/>
          <w:numId w:val="0"/>
        </w:numPr>
        <w:tabs>
          <w:tab w:val="clear"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bookmarkStart w:id="21" w:name="_Toc25568"/>
      <w:bookmarkStart w:id="22" w:name="_Toc8671"/>
      <w:bookmarkStart w:id="23" w:name="_Toc5345"/>
      <w:bookmarkStart w:id="24" w:name="_Toc15063"/>
      <w:bookmarkStart w:id="25" w:name="_Toc26503"/>
      <w:bookmarkStart w:id="26" w:name="_Toc5893"/>
      <w:bookmarkStart w:id="27" w:name="_Toc12221"/>
      <w:bookmarkStart w:id="28" w:name="_Toc5582"/>
      <w:bookmarkStart w:id="29" w:name="_Toc7856"/>
      <w:bookmarkStart w:id="30" w:name="_Toc7680"/>
      <w:bookmarkStart w:id="31" w:name="_Toc17493"/>
      <w:bookmarkStart w:id="32" w:name="_Toc5797"/>
      <w:bookmarkStart w:id="33" w:name="_Toc26689"/>
      <w:bookmarkStart w:id="34" w:name="_Toc24259"/>
      <w:bookmarkStart w:id="35" w:name="_Toc20463"/>
      <w:bookmarkStart w:id="36" w:name="_Toc7667"/>
      <w:bookmarkStart w:id="37" w:name="_Toc12919"/>
      <w:bookmarkStart w:id="38" w:name="_Toc8244"/>
      <w:bookmarkStart w:id="39" w:name="_Toc13947"/>
      <w:bookmarkStart w:id="40" w:name="_Toc21868"/>
      <w:bookmarkStart w:id="41" w:name="_Toc28770"/>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rPr>
        <w:t>助力解决政府采购</w:t>
      </w:r>
      <w:r>
        <w:rPr>
          <w:rFonts w:hint="eastAsia"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rPr>
        <w:t>、成交供应商资金不足、融资难、融资贵的困难，促进供应商依法诚信参加政府采购活动</w:t>
      </w:r>
      <w:r>
        <w:rPr>
          <w:rFonts w:hint="eastAsia" w:ascii="宋体" w:hAnsi="宋体" w:eastAsia="宋体" w:cs="宋体"/>
          <w:b w:val="0"/>
          <w:bCs w:val="0"/>
          <w:color w:val="auto"/>
          <w:sz w:val="24"/>
          <w:szCs w:val="24"/>
          <w:highlight w:val="none"/>
          <w:lang w:eastAsia="zh-CN"/>
        </w:rPr>
        <w:t>、营造良好的营商环境</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《四川省财政厅关于推进四川省政府采购供应商信用融资工作的通知》（川财采﹝</w:t>
      </w:r>
      <w:r>
        <w:rPr>
          <w:rFonts w:hint="eastAsia" w:ascii="宋体" w:hAnsi="宋体" w:eastAsia="宋体" w:cs="宋体"/>
          <w:b w:val="0"/>
          <w:bCs w:val="0"/>
          <w:color w:val="auto"/>
          <w:sz w:val="24"/>
          <w:szCs w:val="24"/>
          <w:highlight w:val="none"/>
          <w:lang w:val="en-US" w:eastAsia="zh-CN"/>
        </w:rPr>
        <w:t>2018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123号</w:t>
      </w:r>
      <w:r>
        <w:rPr>
          <w:rFonts w:hint="eastAsia" w:ascii="宋体" w:hAnsi="宋体" w:eastAsia="宋体" w:cs="宋体"/>
          <w:b w:val="0"/>
          <w:bCs w:val="0"/>
          <w:color w:val="auto"/>
          <w:sz w:val="24"/>
          <w:szCs w:val="24"/>
          <w:highlight w:val="none"/>
          <w:lang w:eastAsia="zh-CN"/>
        </w:rPr>
        <w:t>）文件要求。有融资需求的供应商可根据四川政府采购网公示的银行及其“政采贷”产品，自行选择符合自身情况的“政采贷”银行及其产品，凭</w:t>
      </w:r>
      <w:r>
        <w:rPr>
          <w:rFonts w:hint="eastAsia"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lang w:eastAsia="zh-CN"/>
        </w:rPr>
        <w:t>（成交）通知书向银行提出贷款意向申请。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29"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中国建设银行四川省分行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中国工商银行四川省分行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中国农业银行四川省分行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交通银行四川省分行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中国邮储银行四川省分行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华夏银行成都分行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民生银行成都分行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四川天府银行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兴业银行成都分行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成都银行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成都农村商业银行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宜宾市商业银行股份有限公司</w:t>
            </w:r>
          </w:p>
        </w:tc>
      </w:tr>
    </w:tbl>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color w:val="auto"/>
          <w:sz w:val="24"/>
          <w:szCs w:val="24"/>
          <w:highlight w:val="none"/>
          <w:lang w:val="zh-CN" w:eastAsia="zh-CN" w:bidi="ar-SA"/>
        </w:rPr>
      </w:pPr>
    </w:p>
    <w:p>
      <w:pPr>
        <w:pStyle w:val="20"/>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0"/>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0"/>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0"/>
        <w:rPr>
          <w:rFonts w:hint="eastAsia"/>
          <w:highlight w:val="none"/>
          <w:lang w:val="zh-CN" w:eastAsia="zh-CN"/>
        </w:rPr>
      </w:pPr>
    </w:p>
    <w:p>
      <w:pPr>
        <w:rPr>
          <w:rFonts w:hint="eastAsia" w:ascii="宋体" w:hAnsi="宋体" w:eastAsia="宋体" w:cs="宋体"/>
          <w:b w:val="0"/>
          <w:bCs/>
          <w:color w:val="auto"/>
          <w:sz w:val="24"/>
          <w:szCs w:val="24"/>
          <w:highlight w:val="none"/>
          <w:lang w:val="zh-CN" w:eastAsia="zh-CN" w:bidi="ar-SA"/>
        </w:rPr>
      </w:pPr>
    </w:p>
    <w:p>
      <w:pPr>
        <w:pStyle w:val="4"/>
        <w:pageBreakBefore w:val="0"/>
        <w:numPr>
          <w:ilvl w:val="1"/>
          <w:numId w:val="0"/>
        </w:numPr>
        <w:tabs>
          <w:tab w:val="clear" w:pos="426"/>
        </w:tabs>
        <w:kinsoku/>
        <w:wordWrap/>
        <w:overflowPunct/>
        <w:topLinePunct w:val="0"/>
        <w:autoSpaceDE/>
        <w:autoSpaceDN/>
        <w:bidi w:val="0"/>
        <w:adjustRightInd/>
        <w:spacing w:line="360" w:lineRule="auto"/>
        <w:ind w:firstLine="2891" w:firstLineChars="900"/>
        <w:jc w:val="both"/>
        <w:textAlignment w:val="auto"/>
        <w:rPr>
          <w:rFonts w:hint="eastAsia" w:ascii="宋体" w:hAnsi="宋体" w:eastAsia="宋体" w:cs="宋体"/>
          <w:b/>
          <w:bCs w:val="0"/>
          <w:color w:val="auto"/>
          <w:sz w:val="32"/>
          <w:szCs w:val="32"/>
          <w:highlight w:val="none"/>
          <w:lang w:eastAsia="zh-CN"/>
        </w:rPr>
      </w:pPr>
      <w:bookmarkStart w:id="42" w:name="_Toc13945"/>
      <w:bookmarkStart w:id="43" w:name="_Toc25160"/>
      <w:bookmarkStart w:id="44" w:name="_Toc24938"/>
      <w:bookmarkStart w:id="45" w:name="_Toc28336"/>
      <w:bookmarkStart w:id="46" w:name="_Toc6362"/>
      <w:bookmarkStart w:id="47" w:name="_Toc23453"/>
      <w:bookmarkStart w:id="48" w:name="_Toc30977"/>
      <w:bookmarkStart w:id="49" w:name="_Toc10298"/>
      <w:bookmarkStart w:id="50" w:name="_Toc28541"/>
      <w:bookmarkStart w:id="51" w:name="_Toc1125"/>
      <w:bookmarkStart w:id="52" w:name="_Toc25577"/>
      <w:bookmarkStart w:id="53" w:name="_Toc8421"/>
      <w:bookmarkStart w:id="54" w:name="_Toc11470"/>
      <w:bookmarkStart w:id="55" w:name="_Toc3415"/>
      <w:bookmarkStart w:id="56" w:name="_Toc26418"/>
      <w:bookmarkStart w:id="57" w:name="_Toc3992"/>
      <w:bookmarkStart w:id="58" w:name="_Toc15662"/>
      <w:bookmarkStart w:id="59" w:name="_Toc32678"/>
      <w:bookmarkStart w:id="60" w:name="_Toc23043"/>
      <w:bookmarkStart w:id="61" w:name="_Toc5414"/>
      <w:bookmarkStart w:id="62" w:name="_Toc22630"/>
      <w:r>
        <w:rPr>
          <w:rFonts w:hint="eastAsia" w:ascii="宋体" w:hAnsi="宋体" w:eastAsia="宋体" w:cs="宋体"/>
          <w:b/>
          <w:bCs w:val="0"/>
          <w:color w:val="auto"/>
          <w:sz w:val="32"/>
          <w:szCs w:val="32"/>
          <w:highlight w:val="none"/>
          <w:lang w:eastAsia="zh-CN"/>
        </w:rPr>
        <w:t>“蓉采贷”业务介绍</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w:t>
      </w:r>
      <w:r>
        <w:rPr>
          <w:rFonts w:hint="eastAsia" w:ascii="宋体" w:hAnsi="宋体" w:cs="宋体"/>
          <w:b w:val="0"/>
          <w:bCs/>
          <w:color w:val="auto"/>
          <w:sz w:val="24"/>
          <w:szCs w:val="24"/>
          <w:highlight w:val="none"/>
          <w:lang w:eastAsia="zh-CN"/>
        </w:rPr>
        <w:t>成交</w:t>
      </w:r>
      <w:r>
        <w:rPr>
          <w:rFonts w:hint="eastAsia" w:ascii="宋体" w:hAnsi="宋体" w:eastAsia="宋体" w:cs="宋体"/>
          <w:b w:val="0"/>
          <w:bCs/>
          <w:color w:val="auto"/>
          <w:sz w:val="24"/>
          <w:szCs w:val="24"/>
          <w:highlight w:val="none"/>
          <w:lang w:eastAsia="zh-CN"/>
        </w:rPr>
        <w:t>（成交）项目的供应商为中小微企业的，可根据成都市财政局公示的银行及其“蓉采贷”产品，自行选择符合自身情况的银行及产品，凭</w:t>
      </w:r>
      <w:r>
        <w:rPr>
          <w:rFonts w:hint="eastAsia" w:ascii="宋体" w:hAnsi="宋体" w:cs="宋体"/>
          <w:b w:val="0"/>
          <w:bCs/>
          <w:color w:val="auto"/>
          <w:sz w:val="24"/>
          <w:szCs w:val="24"/>
          <w:highlight w:val="none"/>
          <w:lang w:eastAsia="zh-CN"/>
        </w:rPr>
        <w:t>成交</w:t>
      </w:r>
      <w:r>
        <w:rPr>
          <w:rFonts w:hint="eastAsia" w:ascii="宋体" w:hAnsi="宋体" w:eastAsia="宋体" w:cs="宋体"/>
          <w:b w:val="0"/>
          <w:bCs/>
          <w:color w:val="auto"/>
          <w:sz w:val="24"/>
          <w:szCs w:val="24"/>
          <w:highlight w:val="none"/>
          <w:lang w:eastAsia="zh-CN"/>
        </w:rPr>
        <w:t>（成交）通知书向银行提出贷款意向申请，并按照相关规定要求和贷款流程申请信用贷款。</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银行名称</w:t>
            </w:r>
          </w:p>
        </w:tc>
        <w:tc>
          <w:tcPr>
            <w:tcW w:w="280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联系部门</w:t>
            </w:r>
          </w:p>
        </w:tc>
        <w:tc>
          <w:tcPr>
            <w:tcW w:w="2226"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39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成都银行</w:t>
            </w:r>
          </w:p>
        </w:tc>
        <w:tc>
          <w:tcPr>
            <w:tcW w:w="280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中小企业部</w:t>
            </w:r>
          </w:p>
        </w:tc>
        <w:tc>
          <w:tcPr>
            <w:tcW w:w="2226"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中国建设银行成都第六支行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小企业部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交通银行四川省分行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中国农业银行成都天府新区分行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公司业务部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四川天府银行成都分行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浦发银行成都分行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公司业务部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成都农村商业银行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中国民生银行成都分行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公司业务部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中国工商银行成都分行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中国邮政储蓄银行成都分行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小企业金融部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中国银行四川省分行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招商银行成都分行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小企业金融部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广发银行成都分行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东大街支部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重庆银行成都分行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小微企业银行部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渤海银行成都分行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028-86772083</w:t>
            </w:r>
          </w:p>
        </w:tc>
      </w:tr>
    </w:tbl>
    <w:p>
      <w:pPr>
        <w:pStyle w:val="3"/>
        <w:rPr>
          <w:highlight w:val="none"/>
        </w:rPr>
        <w:sectPr>
          <w:headerReference r:id="rId5" w:type="first"/>
          <w:headerReference r:id="rId3" w:type="default"/>
          <w:headerReference r:id="rId4" w:type="even"/>
          <w:footerReference r:id="rId6" w:type="even"/>
          <w:pgSz w:w="11906" w:h="16838"/>
          <w:pgMar w:top="1134" w:right="1274" w:bottom="1440" w:left="1418" w:header="851" w:footer="992" w:gutter="0"/>
          <w:cols w:space="720" w:num="1"/>
          <w:titlePg/>
          <w:docGrid w:type="lines" w:linePitch="312" w:charSpace="0"/>
        </w:sectPr>
      </w:pPr>
    </w:p>
    <w:p>
      <w:pPr>
        <w:tabs>
          <w:tab w:val="center" w:pos="4153"/>
          <w:tab w:val="right" w:pos="8306"/>
        </w:tabs>
        <w:spacing w:line="360" w:lineRule="auto"/>
        <w:jc w:val="center"/>
        <w:rPr>
          <w:rFonts w:ascii="宋体" w:hAnsi="宋体" w:eastAsia="宋体" w:cs="Times New Roman"/>
          <w:bCs/>
          <w:color w:val="auto"/>
          <w:sz w:val="24"/>
          <w:szCs w:val="36"/>
          <w:highlight w:val="none"/>
          <w:lang w:val="en-US" w:eastAsia="zh-CN" w:bidi="ar-SA"/>
        </w:rPr>
      </w:pPr>
      <w:r>
        <w:rPr>
          <w:rFonts w:hint="eastAsia" w:ascii="宋体" w:hAnsi="宋体"/>
          <w:b/>
          <w:bCs/>
          <w:color w:val="auto"/>
          <w:sz w:val="36"/>
          <w:szCs w:val="36"/>
          <w:highlight w:val="none"/>
        </w:rPr>
        <w:t>目 录</w:t>
      </w:r>
      <w:r>
        <w:rPr>
          <w:rFonts w:ascii="宋体" w:hAnsi="宋体"/>
          <w:color w:val="auto"/>
          <w:sz w:val="36"/>
          <w:szCs w:val="36"/>
          <w:highlight w:val="none"/>
        </w:rPr>
        <w:fldChar w:fldCharType="begin"/>
      </w:r>
      <w:r>
        <w:rPr>
          <w:rFonts w:hint="eastAsia" w:ascii="宋体" w:hAnsi="宋体"/>
          <w:color w:val="auto"/>
          <w:sz w:val="36"/>
          <w:szCs w:val="36"/>
          <w:highlight w:val="none"/>
        </w:rPr>
        <w:instrText xml:space="preserve">TOC \o "1-2" \h \z \u</w:instrText>
      </w:r>
      <w:r>
        <w:rPr>
          <w:rFonts w:ascii="宋体" w:hAnsi="宋体"/>
          <w:color w:val="auto"/>
          <w:sz w:val="36"/>
          <w:szCs w:val="36"/>
          <w:highlight w:val="none"/>
        </w:rPr>
        <w:fldChar w:fldCharType="separate"/>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_Toc21444 </w:instrText>
      </w:r>
      <w:r>
        <w:rPr>
          <w:rFonts w:ascii="宋体" w:hAnsi="宋体"/>
          <w:bCs/>
          <w:szCs w:val="36"/>
          <w:highlight w:val="none"/>
        </w:rPr>
        <w:fldChar w:fldCharType="separate"/>
      </w:r>
      <w:r>
        <w:rPr>
          <w:rFonts w:hint="default" w:ascii="Times New Roman" w:hAnsi="Times New Roman" w:eastAsia="宋体"/>
          <w:i w:val="0"/>
          <w:szCs w:val="32"/>
        </w:rPr>
        <w:t xml:space="preserve">第1章 </w:t>
      </w:r>
      <w:r>
        <w:rPr>
          <w:rFonts w:hint="eastAsia"/>
          <w:highlight w:val="none"/>
        </w:rPr>
        <w:t>竞争性磋商邀请</w:t>
      </w:r>
      <w:r>
        <w:tab/>
      </w:r>
      <w:r>
        <w:fldChar w:fldCharType="begin"/>
      </w:r>
      <w:r>
        <w:instrText xml:space="preserve"> PAGEREF _Toc21444 \h </w:instrText>
      </w:r>
      <w:r>
        <w:fldChar w:fldCharType="separate"/>
      </w:r>
      <w:r>
        <w:t>1</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_Toc4168 </w:instrText>
      </w:r>
      <w:r>
        <w:rPr>
          <w:rFonts w:ascii="宋体" w:hAnsi="宋体"/>
          <w:bCs/>
          <w:szCs w:val="36"/>
          <w:highlight w:val="none"/>
        </w:rPr>
        <w:fldChar w:fldCharType="separate"/>
      </w:r>
      <w:r>
        <w:rPr>
          <w:rFonts w:hint="default" w:ascii="Times New Roman" w:hAnsi="Times New Roman" w:eastAsia="宋体"/>
          <w:i w:val="0"/>
          <w:szCs w:val="32"/>
        </w:rPr>
        <w:t xml:space="preserve">第2章 </w:t>
      </w:r>
      <w:r>
        <w:rPr>
          <w:rFonts w:hint="eastAsia"/>
          <w:highlight w:val="none"/>
        </w:rPr>
        <w:t>磋商供应商须知</w:t>
      </w:r>
      <w:r>
        <w:tab/>
      </w:r>
      <w:r>
        <w:fldChar w:fldCharType="begin"/>
      </w:r>
      <w:r>
        <w:instrText xml:space="preserve"> PAGEREF _Toc4168 \h </w:instrText>
      </w:r>
      <w:r>
        <w:fldChar w:fldCharType="separate"/>
      </w:r>
      <w:r>
        <w:t>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_Toc8247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 </w:t>
      </w:r>
      <w:r>
        <w:rPr>
          <w:rFonts w:hint="eastAsia"/>
          <w:szCs w:val="24"/>
          <w:highlight w:val="none"/>
        </w:rPr>
        <w:t>磋商供应商须知附表</w:t>
      </w:r>
      <w:r>
        <w:tab/>
      </w:r>
      <w:r>
        <w:fldChar w:fldCharType="begin"/>
      </w:r>
      <w:r>
        <w:instrText xml:space="preserve"> PAGEREF _Toc8247 \h </w:instrText>
      </w:r>
      <w:r>
        <w:fldChar w:fldCharType="separate"/>
      </w:r>
      <w:r>
        <w:t>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_Toc14117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2.2 </w:t>
      </w:r>
      <w:r>
        <w:rPr>
          <w:rFonts w:hint="eastAsia"/>
          <w:szCs w:val="24"/>
          <w:highlight w:val="none"/>
          <w:lang w:val="en-US" w:eastAsia="zh-CN"/>
        </w:rPr>
        <w:t>总则</w:t>
      </w:r>
      <w:r>
        <w:tab/>
      </w:r>
      <w:r>
        <w:fldChar w:fldCharType="begin"/>
      </w:r>
      <w:r>
        <w:instrText xml:space="preserve"> PAGEREF _Toc14117 \h </w:instrText>
      </w:r>
      <w:r>
        <w:fldChar w:fldCharType="separate"/>
      </w:r>
      <w:r>
        <w:t>10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_Toc6296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2.3 </w:t>
      </w:r>
      <w:r>
        <w:rPr>
          <w:rFonts w:hint="eastAsia"/>
          <w:szCs w:val="24"/>
          <w:highlight w:val="none"/>
          <w:lang w:val="en-US" w:eastAsia="zh-CN"/>
        </w:rPr>
        <w:t>磋商文件</w:t>
      </w:r>
      <w:r>
        <w:tab/>
      </w:r>
      <w:r>
        <w:fldChar w:fldCharType="begin"/>
      </w:r>
      <w:r>
        <w:instrText xml:space="preserve"> PAGEREF _Toc6296 \h </w:instrText>
      </w:r>
      <w:r>
        <w:fldChar w:fldCharType="separate"/>
      </w:r>
      <w:r>
        <w:t>12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_Toc21049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2.4 </w:t>
      </w:r>
      <w:r>
        <w:rPr>
          <w:rFonts w:hint="eastAsia"/>
          <w:szCs w:val="24"/>
          <w:highlight w:val="none"/>
        </w:rPr>
        <w:t>响应文件</w:t>
      </w:r>
      <w:r>
        <w:tab/>
      </w:r>
      <w:r>
        <w:fldChar w:fldCharType="begin"/>
      </w:r>
      <w:r>
        <w:instrText xml:space="preserve"> PAGEREF _Toc21049 \h </w:instrText>
      </w:r>
      <w:r>
        <w:fldChar w:fldCharType="separate"/>
      </w:r>
      <w:r>
        <w:t>13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_Toc22871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2.5 </w:t>
      </w:r>
      <w:r>
        <w:rPr>
          <w:rFonts w:hint="eastAsia"/>
          <w:szCs w:val="24"/>
          <w:highlight w:val="none"/>
        </w:rPr>
        <w:t>竞争性磋商程序</w:t>
      </w:r>
      <w:r>
        <w:tab/>
      </w:r>
      <w:r>
        <w:fldChar w:fldCharType="begin"/>
      </w:r>
      <w:r>
        <w:instrText xml:space="preserve"> PAGEREF _Toc22871 \h </w:instrText>
      </w:r>
      <w:r>
        <w:fldChar w:fldCharType="separate"/>
      </w:r>
      <w:r>
        <w:t>18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_Toc32301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2.6 </w:t>
      </w:r>
      <w:r>
        <w:rPr>
          <w:rFonts w:hint="eastAsia"/>
          <w:szCs w:val="24"/>
          <w:highlight w:val="none"/>
        </w:rPr>
        <w:t>确定成交供应商</w:t>
      </w:r>
      <w:r>
        <w:tab/>
      </w:r>
      <w:r>
        <w:fldChar w:fldCharType="begin"/>
      </w:r>
      <w:r>
        <w:instrText xml:space="preserve"> PAGEREF _Toc32301 \h </w:instrText>
      </w:r>
      <w:r>
        <w:fldChar w:fldCharType="separate"/>
      </w:r>
      <w:r>
        <w:t>28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_Toc7817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2.7 </w:t>
      </w:r>
      <w:r>
        <w:rPr>
          <w:rFonts w:hint="eastAsia"/>
          <w:szCs w:val="24"/>
          <w:highlight w:val="none"/>
        </w:rPr>
        <w:t>成交结果</w:t>
      </w:r>
      <w:r>
        <w:tab/>
      </w:r>
      <w:r>
        <w:fldChar w:fldCharType="begin"/>
      </w:r>
      <w:r>
        <w:instrText xml:space="preserve"> PAGEREF _Toc7817 \h </w:instrText>
      </w:r>
      <w:r>
        <w:fldChar w:fldCharType="separate"/>
      </w:r>
      <w:r>
        <w:t>29</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_Toc6282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2.8 </w:t>
      </w:r>
      <w:r>
        <w:rPr>
          <w:rFonts w:hint="eastAsia"/>
          <w:szCs w:val="24"/>
          <w:highlight w:val="none"/>
        </w:rPr>
        <w:t>询问、质疑和投诉</w:t>
      </w:r>
      <w:r>
        <w:tab/>
      </w:r>
      <w:r>
        <w:fldChar w:fldCharType="begin"/>
      </w:r>
      <w:r>
        <w:instrText xml:space="preserve"> PAGEREF _Toc6282 \h </w:instrText>
      </w:r>
      <w:r>
        <w:fldChar w:fldCharType="separate"/>
      </w:r>
      <w:r>
        <w:t>29</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_Toc16953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2.9 </w:t>
      </w:r>
      <w:r>
        <w:rPr>
          <w:rFonts w:hint="eastAsia" w:ascii="宋体" w:hAnsi="宋体" w:eastAsia="宋体" w:cs="宋体"/>
          <w:szCs w:val="24"/>
          <w:highlight w:val="none"/>
        </w:rPr>
        <w:t>签订合同</w:t>
      </w:r>
      <w:r>
        <w:tab/>
      </w:r>
      <w:r>
        <w:fldChar w:fldCharType="begin"/>
      </w:r>
      <w:r>
        <w:instrText xml:space="preserve"> PAGEREF _Toc16953 \h </w:instrText>
      </w:r>
      <w:r>
        <w:fldChar w:fldCharType="separate"/>
      </w:r>
      <w:r>
        <w:t>30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_Toc17229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2.10 </w:t>
      </w:r>
      <w:r>
        <w:rPr>
          <w:rFonts w:hint="eastAsia"/>
          <w:szCs w:val="24"/>
          <w:highlight w:val="none"/>
        </w:rPr>
        <w:t>采购人增加合同的权利</w:t>
      </w:r>
      <w:r>
        <w:tab/>
      </w:r>
      <w:r>
        <w:fldChar w:fldCharType="begin"/>
      </w:r>
      <w:r>
        <w:instrText xml:space="preserve"> PAGEREF _Toc17229 \h </w:instrText>
      </w:r>
      <w:r>
        <w:fldChar w:fldCharType="separate"/>
      </w:r>
      <w:r>
        <w:t>30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_Toc13852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2.11 </w:t>
      </w:r>
      <w:r>
        <w:rPr>
          <w:rFonts w:hint="eastAsia"/>
          <w:szCs w:val="24"/>
          <w:highlight w:val="none"/>
        </w:rPr>
        <w:t>履行合同</w:t>
      </w:r>
      <w:r>
        <w:tab/>
      </w:r>
      <w:r>
        <w:fldChar w:fldCharType="begin"/>
      </w:r>
      <w:r>
        <w:instrText xml:space="preserve"> PAGEREF _Toc13852 \h </w:instrText>
      </w:r>
      <w:r>
        <w:fldChar w:fldCharType="separate"/>
      </w:r>
      <w:r>
        <w:t>30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_Toc27195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2.12 </w:t>
      </w:r>
      <w:r>
        <w:rPr>
          <w:rFonts w:hint="eastAsia"/>
          <w:szCs w:val="24"/>
          <w:highlight w:val="none"/>
        </w:rPr>
        <w:t>竞争性磋商工作纪律及要求</w:t>
      </w:r>
      <w:r>
        <w:tab/>
      </w:r>
      <w:r>
        <w:fldChar w:fldCharType="begin"/>
      </w:r>
      <w:r>
        <w:instrText xml:space="preserve"> PAGEREF _Toc27195 \h </w:instrText>
      </w:r>
      <w:r>
        <w:fldChar w:fldCharType="separate"/>
      </w:r>
      <w:r>
        <w:t>30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_Toc7208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2.13 </w:t>
      </w:r>
      <w:r>
        <w:rPr>
          <w:rFonts w:hint="eastAsia"/>
          <w:szCs w:val="24"/>
          <w:highlight w:val="none"/>
        </w:rPr>
        <w:t>回避</w:t>
      </w:r>
      <w:r>
        <w:tab/>
      </w:r>
      <w:r>
        <w:fldChar w:fldCharType="begin"/>
      </w:r>
      <w:r>
        <w:instrText xml:space="preserve"> PAGEREF _Toc7208 \h </w:instrText>
      </w:r>
      <w:r>
        <w:fldChar w:fldCharType="separate"/>
      </w:r>
      <w:r>
        <w:t>32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_Toc32689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2.14 </w:t>
      </w:r>
      <w:r>
        <w:rPr>
          <w:rFonts w:hint="eastAsia"/>
          <w:szCs w:val="24"/>
          <w:highlight w:val="none"/>
        </w:rPr>
        <w:t>其他</w:t>
      </w:r>
      <w:r>
        <w:tab/>
      </w:r>
      <w:r>
        <w:fldChar w:fldCharType="begin"/>
      </w:r>
      <w:r>
        <w:instrText xml:space="preserve"> PAGEREF _Toc32689 \h </w:instrText>
      </w:r>
      <w:r>
        <w:fldChar w:fldCharType="separate"/>
      </w:r>
      <w:r>
        <w:t>32</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_Toc31900 </w:instrText>
      </w:r>
      <w:r>
        <w:rPr>
          <w:rFonts w:ascii="宋体" w:hAnsi="宋体"/>
          <w:bCs/>
          <w:szCs w:val="36"/>
          <w:highlight w:val="none"/>
        </w:rPr>
        <w:fldChar w:fldCharType="separate"/>
      </w:r>
      <w:r>
        <w:rPr>
          <w:rFonts w:hint="default" w:ascii="Times New Roman" w:hAnsi="Times New Roman" w:eastAsia="宋体"/>
          <w:i w:val="0"/>
          <w:szCs w:val="32"/>
        </w:rPr>
        <w:t xml:space="preserve">第3章 </w:t>
      </w:r>
      <w:r>
        <w:rPr>
          <w:rFonts w:hint="eastAsia"/>
          <w:highlight w:val="none"/>
        </w:rPr>
        <w:t>项目技术、服务及其他要求</w:t>
      </w:r>
      <w:r>
        <w:tab/>
      </w:r>
      <w:r>
        <w:fldChar w:fldCharType="begin"/>
      </w:r>
      <w:r>
        <w:instrText xml:space="preserve"> PAGEREF _Toc31900 \h </w:instrText>
      </w:r>
      <w:r>
        <w:fldChar w:fldCharType="separate"/>
      </w:r>
      <w:r>
        <w:t>33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_Toc5370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3.1 </w:t>
      </w:r>
      <w:r>
        <w:rPr>
          <w:rFonts w:hint="eastAsia"/>
          <w:szCs w:val="24"/>
          <w:highlight w:val="none"/>
          <w:lang w:val="en-US" w:eastAsia="zh-CN"/>
        </w:rPr>
        <w:t>项目概述</w:t>
      </w:r>
      <w:r>
        <w:tab/>
      </w:r>
      <w:r>
        <w:fldChar w:fldCharType="begin"/>
      </w:r>
      <w:r>
        <w:instrText xml:space="preserve"> PAGEREF _Toc5370 \h </w:instrText>
      </w:r>
      <w:r>
        <w:fldChar w:fldCharType="separate"/>
      </w:r>
      <w:r>
        <w:t>33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_Toc19826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3.2 </w:t>
      </w:r>
      <w:r>
        <w:rPr>
          <w:rFonts w:hint="eastAsia" w:cs="宋体"/>
          <w:szCs w:val="24"/>
          <w:highlight w:val="none"/>
          <w:lang w:val="en-US" w:eastAsia="zh-CN"/>
        </w:rPr>
        <w:t>技术</w:t>
      </w:r>
      <w:r>
        <w:rPr>
          <w:rFonts w:hint="eastAsia" w:eastAsia="宋体" w:cs="宋体"/>
          <w:szCs w:val="24"/>
          <w:highlight w:val="none"/>
          <w:lang w:val="en-US" w:eastAsia="zh-CN"/>
        </w:rPr>
        <w:t>要求</w:t>
      </w:r>
      <w:r>
        <w:tab/>
      </w:r>
      <w:r>
        <w:fldChar w:fldCharType="begin"/>
      </w:r>
      <w:r>
        <w:instrText xml:space="preserve"> PAGEREF _Toc19826 \h </w:instrText>
      </w:r>
      <w:r>
        <w:fldChar w:fldCharType="separate"/>
      </w:r>
      <w:r>
        <w:t>34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_Toc21121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3.3 </w:t>
      </w:r>
      <w:r>
        <w:rPr>
          <w:rFonts w:hint="eastAsia" w:ascii="宋体" w:hAnsi="宋体" w:eastAsia="宋体" w:cs="宋体"/>
          <w:szCs w:val="24"/>
          <w:lang w:val="en-US" w:eastAsia="zh-CN"/>
        </w:rPr>
        <w:t>服务要求及其他要求</w:t>
      </w:r>
      <w:r>
        <w:tab/>
      </w:r>
      <w:r>
        <w:fldChar w:fldCharType="begin"/>
      </w:r>
      <w:r>
        <w:instrText xml:space="preserve"> PAGEREF _Toc21121 \h </w:instrText>
      </w:r>
      <w:r>
        <w:fldChar w:fldCharType="separate"/>
      </w:r>
      <w:r>
        <w:t>36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_Toc24160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3.4 </w:t>
      </w:r>
      <w:r>
        <w:rPr>
          <w:rFonts w:hint="eastAsia" w:ascii="宋体" w:hAnsi="宋体" w:eastAsia="宋体"/>
          <w:szCs w:val="24"/>
        </w:rPr>
        <w:t>天网点位升级改造租赁设备清单</w:t>
      </w:r>
      <w:r>
        <w:tab/>
      </w:r>
      <w:r>
        <w:fldChar w:fldCharType="begin"/>
      </w:r>
      <w:r>
        <w:instrText xml:space="preserve"> PAGEREF _Toc24160 \h </w:instrText>
      </w:r>
      <w:r>
        <w:fldChar w:fldCharType="separate"/>
      </w:r>
      <w:r>
        <w:t>44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_Toc13903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3.5 </w:t>
      </w:r>
      <w:r>
        <w:rPr>
          <w:rFonts w:hint="eastAsia" w:ascii="宋体" w:hAnsi="宋体" w:eastAsia="宋体" w:cs="宋体"/>
          <w:szCs w:val="24"/>
          <w:lang w:val="en-US" w:eastAsia="zh-CN"/>
        </w:rPr>
        <w:t>商务要求</w:t>
      </w:r>
      <w:r>
        <w:tab/>
      </w:r>
      <w:r>
        <w:fldChar w:fldCharType="begin"/>
      </w:r>
      <w:r>
        <w:instrText xml:space="preserve"> PAGEREF _Toc13903 \h </w:instrText>
      </w:r>
      <w:r>
        <w:fldChar w:fldCharType="separate"/>
      </w:r>
      <w:r>
        <w:t>55</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_Toc5578 </w:instrText>
      </w:r>
      <w:r>
        <w:rPr>
          <w:rFonts w:ascii="宋体" w:hAnsi="宋体"/>
          <w:bCs/>
          <w:szCs w:val="36"/>
          <w:highlight w:val="none"/>
        </w:rPr>
        <w:fldChar w:fldCharType="separate"/>
      </w:r>
      <w:r>
        <w:rPr>
          <w:rFonts w:hint="default" w:ascii="Times New Roman" w:hAnsi="Times New Roman" w:eastAsia="宋体" w:cs="宋体"/>
          <w:i w:val="0"/>
          <w:szCs w:val="32"/>
        </w:rPr>
        <w:t xml:space="preserve">第4章 </w:t>
      </w:r>
      <w:r>
        <w:rPr>
          <w:rFonts w:hint="eastAsia" w:ascii="宋体" w:hAnsi="宋体" w:eastAsia="宋体" w:cs="宋体"/>
          <w:szCs w:val="32"/>
          <w:highlight w:val="none"/>
        </w:rPr>
        <w:t>响应文件格式</w:t>
      </w:r>
      <w:r>
        <w:tab/>
      </w:r>
      <w:r>
        <w:fldChar w:fldCharType="begin"/>
      </w:r>
      <w:r>
        <w:instrText xml:space="preserve"> PAGEREF _Toc5578 \h </w:instrText>
      </w:r>
      <w:r>
        <w:fldChar w:fldCharType="separate"/>
      </w:r>
      <w:r>
        <w:t>56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_Toc29621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4.1 </w:t>
      </w:r>
      <w:r>
        <w:rPr>
          <w:rFonts w:hint="eastAsia"/>
          <w:highlight w:val="none"/>
        </w:rPr>
        <w:t>资格性响应文件格式</w:t>
      </w:r>
      <w:r>
        <w:tab/>
      </w:r>
      <w:r>
        <w:fldChar w:fldCharType="begin"/>
      </w:r>
      <w:r>
        <w:instrText xml:space="preserve"> PAGEREF _Toc29621 \h </w:instrText>
      </w:r>
      <w:r>
        <w:fldChar w:fldCharType="separate"/>
      </w:r>
      <w:r>
        <w:t>57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_Toc3665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4.2 </w:t>
      </w:r>
      <w:r>
        <w:rPr>
          <w:rFonts w:hint="eastAsia"/>
          <w:highlight w:val="none"/>
        </w:rPr>
        <w:t>技术、服务性响应文件格式</w:t>
      </w:r>
      <w:r>
        <w:tab/>
      </w:r>
      <w:r>
        <w:fldChar w:fldCharType="begin"/>
      </w:r>
      <w:r>
        <w:instrText xml:space="preserve"> PAGEREF _Toc3665 \h </w:instrText>
      </w:r>
      <w:r>
        <w:fldChar w:fldCharType="separate"/>
      </w:r>
      <w:r>
        <w:t>68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_Toc25879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4.3 </w:t>
      </w:r>
      <w:r>
        <w:rPr>
          <w:rFonts w:hint="eastAsia"/>
          <w:highlight w:val="none"/>
        </w:rPr>
        <w:t>最后报价（格式）</w:t>
      </w:r>
      <w:r>
        <w:tab/>
      </w:r>
      <w:r>
        <w:fldChar w:fldCharType="begin"/>
      </w:r>
      <w:r>
        <w:instrText xml:space="preserve"> PAGEREF _Toc25879 \h </w:instrText>
      </w:r>
      <w:r>
        <w:fldChar w:fldCharType="separate"/>
      </w:r>
      <w:r>
        <w:t>80</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_Toc25067 </w:instrText>
      </w:r>
      <w:r>
        <w:rPr>
          <w:rFonts w:ascii="宋体" w:hAnsi="宋体"/>
          <w:bCs/>
          <w:szCs w:val="36"/>
          <w:highlight w:val="none"/>
        </w:rPr>
        <w:fldChar w:fldCharType="separate"/>
      </w:r>
      <w:r>
        <w:rPr>
          <w:rFonts w:hint="default" w:ascii="Times New Roman" w:hAnsi="Times New Roman" w:eastAsia="宋体"/>
          <w:i w:val="0"/>
          <w:szCs w:val="32"/>
        </w:rPr>
        <w:t xml:space="preserve">第5章 </w:t>
      </w:r>
      <w:r>
        <w:rPr>
          <w:rFonts w:hint="eastAsia"/>
          <w:highlight w:val="none"/>
          <w:lang w:val="en-US" w:eastAsia="zh-CN"/>
        </w:rPr>
        <w:t>采购</w:t>
      </w:r>
      <w:r>
        <w:rPr>
          <w:rFonts w:hint="eastAsia"/>
          <w:highlight w:val="none"/>
        </w:rPr>
        <w:t>合同</w:t>
      </w:r>
      <w:r>
        <w:rPr>
          <w:rFonts w:hint="eastAsia"/>
          <w:highlight w:val="none"/>
          <w:lang w:eastAsia="zh-CN"/>
        </w:rPr>
        <w:t>（</w:t>
      </w:r>
      <w:r>
        <w:rPr>
          <w:rFonts w:hint="eastAsia"/>
          <w:highlight w:val="none"/>
          <w:lang w:val="en-US" w:eastAsia="zh-CN"/>
        </w:rPr>
        <w:t>草案</w:t>
      </w:r>
      <w:r>
        <w:rPr>
          <w:rFonts w:hint="eastAsia"/>
          <w:highlight w:val="none"/>
          <w:lang w:eastAsia="zh-CN"/>
        </w:rPr>
        <w:t>）</w:t>
      </w:r>
      <w:r>
        <w:tab/>
      </w:r>
      <w:r>
        <w:fldChar w:fldCharType="begin"/>
      </w:r>
      <w:r>
        <w:instrText xml:space="preserve"> PAGEREF _Toc25067 \h </w:instrText>
      </w:r>
      <w:r>
        <w:fldChar w:fldCharType="separate"/>
      </w:r>
      <w:r>
        <w:t>81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_Toc18731 </w:instrText>
      </w:r>
      <w:r>
        <w:rPr>
          <w:rFonts w:ascii="宋体" w:hAnsi="宋体"/>
          <w:bCs/>
          <w:szCs w:val="36"/>
          <w:highlight w:val="none"/>
        </w:rPr>
        <w:fldChar w:fldCharType="separate"/>
      </w:r>
      <w:r>
        <w:rPr>
          <w:rFonts w:hint="eastAsia" w:ascii="宋体" w:hAnsi="宋体" w:cs="宋体"/>
          <w:bCs/>
          <w:szCs w:val="32"/>
        </w:rPr>
        <w:t>附件</w:t>
      </w:r>
      <w:r>
        <w:rPr>
          <w:rFonts w:hint="eastAsia" w:ascii="宋体" w:hAnsi="宋体" w:cs="宋体"/>
          <w:bCs/>
          <w:szCs w:val="32"/>
          <w:lang w:val="en-US" w:eastAsia="zh-CN"/>
        </w:rPr>
        <w:t>1</w:t>
      </w:r>
      <w:r>
        <w:rPr>
          <w:rFonts w:hint="eastAsia" w:ascii="宋体" w:hAnsi="宋体" w:cs="宋体"/>
          <w:bCs/>
          <w:szCs w:val="32"/>
        </w:rPr>
        <w:t>：政府采购云平台使用介绍</w:t>
      </w:r>
      <w:r>
        <w:tab/>
      </w:r>
      <w:r>
        <w:fldChar w:fldCharType="begin"/>
      </w:r>
      <w:r>
        <w:instrText xml:space="preserve"> PAGEREF _Toc18731 \h </w:instrText>
      </w:r>
      <w:r>
        <w:fldChar w:fldCharType="separate"/>
      </w:r>
      <w:r>
        <w:t>85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_Toc5798 </w:instrText>
      </w:r>
      <w:r>
        <w:rPr>
          <w:rFonts w:ascii="宋体" w:hAnsi="宋体"/>
          <w:bCs/>
          <w:szCs w:val="36"/>
          <w:highlight w:val="none"/>
        </w:rPr>
        <w:fldChar w:fldCharType="separate"/>
      </w:r>
      <w:r>
        <w:rPr>
          <w:rFonts w:hint="eastAsia" w:ascii="宋体" w:hAnsi="宋体" w:cs="宋体"/>
          <w:bCs/>
          <w:szCs w:val="32"/>
        </w:rPr>
        <w:t>附件</w:t>
      </w:r>
      <w:r>
        <w:rPr>
          <w:rFonts w:hint="eastAsia" w:ascii="宋体" w:hAnsi="宋体" w:cs="宋体"/>
          <w:bCs/>
          <w:szCs w:val="32"/>
          <w:lang w:val="en-US" w:eastAsia="zh-CN"/>
        </w:rPr>
        <w:t>2</w:t>
      </w:r>
      <w:r>
        <w:rPr>
          <w:rFonts w:hint="eastAsia" w:ascii="宋体" w:hAnsi="宋体" w:cs="宋体"/>
          <w:bCs/>
          <w:szCs w:val="32"/>
        </w:rPr>
        <w:t>：</w:t>
      </w:r>
      <w:r>
        <w:rPr>
          <w:rFonts w:hint="eastAsia" w:ascii="宋体" w:hAnsi="宋体" w:cs="宋体"/>
          <w:bCs/>
          <w:szCs w:val="32"/>
          <w:lang w:val="en-US" w:eastAsia="zh-CN"/>
        </w:rPr>
        <w:t>质疑函范本</w:t>
      </w:r>
      <w:r>
        <w:tab/>
      </w:r>
      <w:r>
        <w:fldChar w:fldCharType="begin"/>
      </w:r>
      <w:r>
        <w:instrText xml:space="preserve"> PAGEREF _Toc5798 \h </w:instrText>
      </w:r>
      <w:r>
        <w:fldChar w:fldCharType="separate"/>
      </w:r>
      <w:r>
        <w:t>90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_Toc3891 </w:instrText>
      </w:r>
      <w:r>
        <w:rPr>
          <w:rFonts w:ascii="宋体" w:hAnsi="宋体"/>
          <w:bCs/>
          <w:szCs w:val="36"/>
          <w:highlight w:val="none"/>
        </w:rPr>
        <w:fldChar w:fldCharType="separate"/>
      </w:r>
      <w:r>
        <w:rPr>
          <w:rFonts w:hint="eastAsia" w:ascii="宋体" w:hAnsi="宋体" w:cs="宋体"/>
          <w:bCs/>
          <w:szCs w:val="32"/>
        </w:rPr>
        <w:t>附件</w:t>
      </w:r>
      <w:r>
        <w:rPr>
          <w:rFonts w:hint="eastAsia" w:ascii="宋体" w:hAnsi="宋体" w:cs="宋体"/>
          <w:bCs/>
          <w:szCs w:val="32"/>
          <w:lang w:val="en-US" w:eastAsia="zh-CN"/>
        </w:rPr>
        <w:t>3</w:t>
      </w:r>
      <w:r>
        <w:rPr>
          <w:rFonts w:hint="eastAsia" w:ascii="宋体" w:hAnsi="宋体" w:cs="宋体"/>
          <w:bCs/>
          <w:szCs w:val="32"/>
        </w:rPr>
        <w:t>：</w:t>
      </w:r>
      <w:r>
        <w:rPr>
          <w:rFonts w:hint="eastAsia" w:ascii="宋体" w:hAnsi="宋体" w:cs="宋体"/>
          <w:bCs/>
          <w:szCs w:val="32"/>
          <w:lang w:val="en-US" w:eastAsia="zh-CN"/>
        </w:rPr>
        <w:t>投诉书范本</w:t>
      </w:r>
      <w:r>
        <w:tab/>
      </w:r>
      <w:r>
        <w:fldChar w:fldCharType="begin"/>
      </w:r>
      <w:r>
        <w:instrText xml:space="preserve"> PAGEREF _Toc3891 \h </w:instrText>
      </w:r>
      <w:r>
        <w:fldChar w:fldCharType="separate"/>
      </w:r>
      <w:r>
        <w:t>93</w:t>
      </w:r>
      <w:r>
        <w:fldChar w:fldCharType="end"/>
      </w:r>
      <w:r>
        <w:rPr>
          <w:rFonts w:ascii="宋体" w:hAnsi="宋体"/>
          <w:bCs/>
          <w:color w:val="auto"/>
          <w:szCs w:val="36"/>
          <w:highlight w:val="none"/>
        </w:rPr>
        <w:fldChar w:fldCharType="end"/>
      </w:r>
    </w:p>
    <w:p>
      <w:pPr>
        <w:tabs>
          <w:tab w:val="center" w:pos="4153"/>
          <w:tab w:val="right" w:pos="8306"/>
        </w:tabs>
        <w:spacing w:line="360" w:lineRule="auto"/>
        <w:jc w:val="center"/>
        <w:rPr>
          <w:rFonts w:ascii="宋体" w:hAnsi="宋体"/>
          <w:b/>
          <w:bCs/>
          <w:color w:val="auto"/>
          <w:sz w:val="36"/>
          <w:szCs w:val="36"/>
          <w:highlight w:val="none"/>
        </w:rPr>
        <w:sectPr>
          <w:footerReference r:id="rId8" w:type="first"/>
          <w:footerReference r:id="rId7" w:type="default"/>
          <w:pgSz w:w="11906" w:h="16838"/>
          <w:pgMar w:top="1134" w:right="1274" w:bottom="1440" w:left="1418" w:header="851" w:footer="992" w:gutter="0"/>
          <w:pgNumType w:start="1"/>
          <w:cols w:space="720" w:num="1"/>
          <w:docGrid w:type="lines" w:linePitch="312" w:charSpace="0"/>
        </w:sectPr>
      </w:pPr>
      <w:r>
        <w:rPr>
          <w:rFonts w:ascii="宋体" w:hAnsi="宋体"/>
          <w:bCs/>
          <w:color w:val="auto"/>
          <w:szCs w:val="36"/>
          <w:highlight w:val="none"/>
        </w:rPr>
        <w:fldChar w:fldCharType="end"/>
      </w:r>
    </w:p>
    <w:p>
      <w:pPr>
        <w:pStyle w:val="3"/>
        <w:pageBreakBefore w:val="0"/>
        <w:kinsoku/>
        <w:wordWrap/>
        <w:overflowPunct/>
        <w:topLinePunct w:val="0"/>
        <w:bidi w:val="0"/>
        <w:snapToGrid/>
        <w:spacing w:line="460" w:lineRule="exact"/>
        <w:textAlignment w:val="auto"/>
        <w:rPr>
          <w:color w:val="auto"/>
          <w:highlight w:val="none"/>
        </w:rPr>
      </w:pPr>
      <w:bookmarkStart w:id="63" w:name="_Toc21444"/>
      <w:r>
        <w:rPr>
          <w:rFonts w:hint="eastAsia"/>
          <w:color w:val="auto"/>
          <w:highlight w:val="none"/>
        </w:rPr>
        <w:t>竞争性磋商邀请</w:t>
      </w:r>
      <w:bookmarkEnd w:id="63"/>
    </w:p>
    <w:p>
      <w:pPr>
        <w:keepNext w:val="0"/>
        <w:keepLines w:val="0"/>
        <w:pageBreakBefore w:val="0"/>
        <w:kinsoku/>
        <w:wordWrap/>
        <w:overflowPunct/>
        <w:topLinePunct w:val="0"/>
        <w:bidi w:val="0"/>
        <w:snapToGrid/>
        <w:spacing w:line="460" w:lineRule="exact"/>
        <w:ind w:firstLine="482" w:firstLineChars="200"/>
        <w:textAlignment w:val="auto"/>
        <w:rPr>
          <w:rFonts w:ascii="宋体" w:hAnsi="宋体"/>
          <w:color w:val="auto"/>
          <w:highlight w:val="none"/>
        </w:rPr>
      </w:pPr>
      <w:r>
        <w:rPr>
          <w:rFonts w:hint="eastAsia" w:ascii="宋体" w:hAnsi="宋体"/>
          <w:b/>
          <w:color w:val="auto"/>
          <w:highlight w:val="none"/>
        </w:rPr>
        <w:t>四川世科工程咨询有限公司</w:t>
      </w:r>
      <w:r>
        <w:rPr>
          <w:rFonts w:hint="eastAsia" w:ascii="宋体" w:hAnsi="宋体"/>
          <w:color w:val="auto"/>
          <w:highlight w:val="none"/>
        </w:rPr>
        <w:t>受</w:t>
      </w:r>
      <w:r>
        <w:rPr>
          <w:rFonts w:hint="eastAsia" w:ascii="宋体" w:hAnsi="宋体"/>
          <w:b/>
          <w:bCs/>
          <w:color w:val="auto"/>
          <w:highlight w:val="none"/>
          <w:lang w:eastAsia="zh-CN"/>
        </w:rPr>
        <w:t>成都市公安局龙泉驿区分局</w:t>
      </w:r>
      <w:r>
        <w:rPr>
          <w:rFonts w:hint="eastAsia" w:ascii="宋体" w:hAnsi="宋体"/>
          <w:color w:val="auto"/>
          <w:highlight w:val="none"/>
        </w:rPr>
        <w:t>的委托，拟对</w:t>
      </w:r>
      <w:r>
        <w:rPr>
          <w:rFonts w:hint="eastAsia" w:ascii="宋体" w:hAnsi="宋体"/>
          <w:b/>
          <w:color w:val="auto"/>
          <w:highlight w:val="none"/>
          <w:u w:val="none"/>
          <w:lang w:eastAsia="zh-CN"/>
        </w:rPr>
        <w:t>成都市公安局龙泉驿区分局200个天网点位升级改造租赁服务采购项目</w:t>
      </w:r>
      <w:r>
        <w:rPr>
          <w:rFonts w:hint="eastAsia" w:ascii="宋体" w:hAnsi="宋体"/>
          <w:color w:val="auto"/>
          <w:highlight w:val="none"/>
        </w:rPr>
        <w:t>采用竞争性磋商采购方式进行采购，</w:t>
      </w:r>
      <w:r>
        <w:rPr>
          <w:rFonts w:hint="eastAsia" w:ascii="宋体" w:hAnsi="宋体"/>
          <w:color w:val="auto"/>
          <w:highlight w:val="none"/>
          <w:lang w:val="zh-CN"/>
        </w:rPr>
        <w:t>兹邀请符合本次竞争性磋商要求的供应商参加磋商</w:t>
      </w:r>
      <w:r>
        <w:rPr>
          <w:rFonts w:hint="eastAsia" w:hAnsi="宋体" w:cs="宋体"/>
          <w:color w:val="auto"/>
          <w:highlight w:val="none"/>
          <w:lang w:val="zh-CN"/>
        </w:rPr>
        <w:t>。</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b/>
          <w:bCs/>
          <w:color w:val="auto"/>
          <w:highlight w:val="none"/>
        </w:rPr>
      </w:pPr>
      <w:r>
        <w:rPr>
          <w:rFonts w:hint="eastAsia" w:ascii="宋体" w:hAnsi="宋体"/>
          <w:b/>
          <w:bCs/>
          <w:color w:val="auto"/>
          <w:highlight w:val="none"/>
          <w:lang w:val="en-US" w:eastAsia="zh-CN"/>
        </w:rPr>
        <w:t>项目基本情况</w:t>
      </w:r>
    </w:p>
    <w:p>
      <w:pPr>
        <w:keepNext w:val="0"/>
        <w:keepLines w:val="0"/>
        <w:pageBreakBefore w:val="0"/>
        <w:numPr>
          <w:ilvl w:val="0"/>
          <w:numId w:val="8"/>
        </w:numPr>
        <w:kinsoku/>
        <w:wordWrap/>
        <w:overflowPunct/>
        <w:topLinePunct w:val="0"/>
        <w:bidi w:val="0"/>
        <w:snapToGrid/>
        <w:spacing w:line="460" w:lineRule="exact"/>
        <w:ind w:left="0" w:leftChars="0" w:firstLine="420" w:firstLineChars="0"/>
        <w:textAlignment w:val="auto"/>
        <w:rPr>
          <w:rFonts w:ascii="宋体" w:hAnsi="宋体"/>
          <w:color w:val="auto"/>
          <w:highlight w:val="none"/>
        </w:rPr>
      </w:pPr>
      <w:r>
        <w:rPr>
          <w:rFonts w:hint="eastAsia" w:ascii="宋体" w:hAnsi="宋体"/>
          <w:b/>
          <w:color w:val="auto"/>
          <w:highlight w:val="none"/>
        </w:rPr>
        <w:t>项目编号</w:t>
      </w:r>
      <w:r>
        <w:rPr>
          <w:rFonts w:hint="eastAsia" w:ascii="宋体" w:hAnsi="宋体"/>
          <w:color w:val="auto"/>
          <w:highlight w:val="none"/>
        </w:rPr>
        <w:t>：</w:t>
      </w:r>
      <w:r>
        <w:rPr>
          <w:rFonts w:hint="eastAsia" w:ascii="宋体" w:hAnsi="宋体"/>
          <w:b w:val="0"/>
          <w:bCs/>
          <w:color w:val="auto"/>
          <w:highlight w:val="none"/>
          <w:lang w:eastAsia="zh-CN"/>
        </w:rPr>
        <w:t>510112202200016</w:t>
      </w:r>
    </w:p>
    <w:p>
      <w:pPr>
        <w:keepNext w:val="0"/>
        <w:keepLines w:val="0"/>
        <w:pageBreakBefore w:val="0"/>
        <w:numPr>
          <w:ilvl w:val="0"/>
          <w:numId w:val="8"/>
        </w:numPr>
        <w:kinsoku/>
        <w:wordWrap/>
        <w:overflowPunct/>
        <w:topLinePunct w:val="0"/>
        <w:bidi w:val="0"/>
        <w:snapToGrid/>
        <w:spacing w:line="460" w:lineRule="exact"/>
        <w:ind w:left="0" w:leftChars="0" w:firstLine="420" w:firstLineChars="0"/>
        <w:textAlignment w:val="auto"/>
        <w:rPr>
          <w:rFonts w:ascii="宋体" w:hAnsi="宋体"/>
          <w:color w:val="auto"/>
          <w:highlight w:val="none"/>
        </w:rPr>
      </w:pPr>
      <w:r>
        <w:rPr>
          <w:rFonts w:hint="eastAsia" w:ascii="宋体" w:hAnsi="宋体"/>
          <w:b/>
          <w:color w:val="auto"/>
          <w:highlight w:val="none"/>
        </w:rPr>
        <w:t>项目名称</w:t>
      </w:r>
      <w:r>
        <w:rPr>
          <w:rFonts w:hint="eastAsia" w:ascii="宋体" w:hAnsi="宋体"/>
          <w:color w:val="auto"/>
          <w:highlight w:val="none"/>
        </w:rPr>
        <w:t>：</w:t>
      </w:r>
      <w:r>
        <w:rPr>
          <w:rFonts w:hint="eastAsia" w:ascii="宋体" w:hAnsi="宋体"/>
          <w:b w:val="0"/>
          <w:bCs/>
          <w:color w:val="auto"/>
          <w:highlight w:val="none"/>
          <w:u w:val="none"/>
          <w:lang w:eastAsia="zh-CN"/>
        </w:rPr>
        <w:t>成都市公安局龙泉驿区分局200个天网点位升级改造租赁服务采购项目</w:t>
      </w:r>
    </w:p>
    <w:p>
      <w:pPr>
        <w:keepNext w:val="0"/>
        <w:keepLines w:val="0"/>
        <w:pageBreakBefore w:val="0"/>
        <w:numPr>
          <w:ilvl w:val="0"/>
          <w:numId w:val="8"/>
        </w:numPr>
        <w:kinsoku/>
        <w:wordWrap/>
        <w:overflowPunct/>
        <w:topLinePunct w:val="0"/>
        <w:bidi w:val="0"/>
        <w:snapToGrid/>
        <w:spacing w:line="460" w:lineRule="exact"/>
        <w:ind w:left="0" w:leftChars="0" w:firstLine="420" w:firstLineChars="0"/>
        <w:textAlignment w:val="auto"/>
        <w:rPr>
          <w:rFonts w:ascii="宋体" w:hAnsi="宋体"/>
          <w:color w:val="auto"/>
          <w:highlight w:val="none"/>
        </w:rPr>
      </w:pPr>
      <w:r>
        <w:rPr>
          <w:rFonts w:hint="eastAsia" w:ascii="宋体" w:hAnsi="宋体"/>
          <w:b/>
          <w:color w:val="auto"/>
          <w:highlight w:val="none"/>
        </w:rPr>
        <w:t>资金来源</w:t>
      </w:r>
      <w:r>
        <w:rPr>
          <w:rFonts w:hint="eastAsia" w:ascii="宋体" w:hAnsi="宋体"/>
          <w:b/>
          <w:color w:val="auto"/>
          <w:highlight w:val="none"/>
          <w:lang w:eastAsia="zh-CN"/>
        </w:rPr>
        <w:t>：</w:t>
      </w:r>
      <w:r>
        <w:rPr>
          <w:rFonts w:hint="eastAsia" w:ascii="宋体" w:hAnsi="宋体"/>
          <w:b w:val="0"/>
          <w:bCs w:val="0"/>
          <w:color w:val="auto"/>
          <w:highlight w:val="none"/>
        </w:rPr>
        <w:t>财政性资金</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已落实。</w:t>
      </w:r>
    </w:p>
    <w:p>
      <w:pPr>
        <w:keepNext w:val="0"/>
        <w:keepLines w:val="0"/>
        <w:pageBreakBefore w:val="0"/>
        <w:numPr>
          <w:ilvl w:val="0"/>
          <w:numId w:val="8"/>
        </w:numPr>
        <w:kinsoku/>
        <w:wordWrap/>
        <w:overflowPunct/>
        <w:topLinePunct w:val="0"/>
        <w:bidi w:val="0"/>
        <w:snapToGrid/>
        <w:spacing w:line="460" w:lineRule="exact"/>
        <w:ind w:left="0" w:leftChars="0" w:firstLine="420" w:firstLineChars="0"/>
        <w:textAlignment w:val="auto"/>
        <w:rPr>
          <w:rFonts w:ascii="宋体" w:hAnsi="宋体"/>
          <w:color w:val="auto"/>
          <w:highlight w:val="none"/>
        </w:rPr>
      </w:pPr>
      <w:r>
        <w:rPr>
          <w:rFonts w:hint="eastAsia" w:ascii="宋体" w:hAnsi="宋体"/>
          <w:b/>
          <w:color w:val="auto"/>
          <w:highlight w:val="none"/>
        </w:rPr>
        <w:t>预算金额</w:t>
      </w:r>
      <w:r>
        <w:rPr>
          <w:rFonts w:hint="eastAsia" w:ascii="宋体" w:hAnsi="宋体"/>
          <w:color w:val="auto"/>
          <w:highlight w:val="none"/>
        </w:rPr>
        <w:t>：</w:t>
      </w:r>
      <w:r>
        <w:rPr>
          <w:rFonts w:hint="eastAsia" w:ascii="宋体" w:hAnsi="宋体"/>
          <w:color w:val="auto"/>
          <w:highlight w:val="none"/>
          <w:lang w:val="en-US" w:eastAsia="zh-CN"/>
        </w:rPr>
        <w:t>288万元/年，一招定三年</w:t>
      </w:r>
      <w:r>
        <w:rPr>
          <w:rFonts w:hint="eastAsia" w:ascii="宋体" w:hAnsi="宋体"/>
          <w:color w:val="auto"/>
          <w:highlight w:val="none"/>
        </w:rPr>
        <w:t>。</w:t>
      </w:r>
    </w:p>
    <w:p>
      <w:pPr>
        <w:keepNext w:val="0"/>
        <w:keepLines w:val="0"/>
        <w:pageBreakBefore w:val="0"/>
        <w:numPr>
          <w:ilvl w:val="0"/>
          <w:numId w:val="8"/>
        </w:numPr>
        <w:kinsoku/>
        <w:wordWrap/>
        <w:overflowPunct/>
        <w:topLinePunct w:val="0"/>
        <w:bidi w:val="0"/>
        <w:snapToGrid/>
        <w:spacing w:line="460" w:lineRule="exact"/>
        <w:ind w:left="0" w:leftChars="0" w:firstLine="420" w:firstLineChars="0"/>
        <w:textAlignment w:val="auto"/>
        <w:rPr>
          <w:b/>
          <w:bCs/>
          <w:highlight w:val="none"/>
        </w:rPr>
      </w:pPr>
      <w:r>
        <w:rPr>
          <w:rFonts w:hint="eastAsia"/>
          <w:b/>
          <w:bCs/>
          <w:highlight w:val="none"/>
          <w:lang w:val="en-US" w:eastAsia="zh-CN"/>
        </w:rPr>
        <w:t>预算品目</w:t>
      </w:r>
      <w:r>
        <w:rPr>
          <w:rFonts w:hint="eastAsia" w:ascii="宋体" w:hAnsi="宋体"/>
          <w:b/>
          <w:bCs/>
          <w:color w:val="auto"/>
          <w:highlight w:val="none"/>
          <w:lang w:val="en-US" w:eastAsia="zh-CN"/>
        </w:rPr>
        <w:t>：</w:t>
      </w:r>
      <w:r>
        <w:rPr>
          <w:rFonts w:hint="eastAsia" w:ascii="宋体" w:hAnsi="宋体"/>
          <w:b w:val="0"/>
          <w:bCs w:val="0"/>
          <w:color w:val="auto"/>
          <w:highlight w:val="none"/>
          <w:lang w:val="en-US" w:eastAsia="zh-CN"/>
        </w:rPr>
        <w:t xml:space="preserve">C99其他服务。 </w:t>
      </w:r>
    </w:p>
    <w:p>
      <w:pPr>
        <w:keepNext w:val="0"/>
        <w:keepLines w:val="0"/>
        <w:pageBreakBefore w:val="0"/>
        <w:numPr>
          <w:ilvl w:val="0"/>
          <w:numId w:val="8"/>
        </w:numPr>
        <w:kinsoku/>
        <w:wordWrap/>
        <w:overflowPunct/>
        <w:topLinePunct w:val="0"/>
        <w:bidi w:val="0"/>
        <w:snapToGrid/>
        <w:spacing w:line="460" w:lineRule="exact"/>
        <w:ind w:left="0" w:leftChars="0" w:firstLine="420" w:firstLineChars="0"/>
        <w:textAlignment w:val="auto"/>
        <w:rPr>
          <w:b/>
          <w:bCs/>
        </w:rPr>
      </w:pPr>
      <w:r>
        <w:rPr>
          <w:rFonts w:hint="eastAsia"/>
          <w:b/>
          <w:bCs/>
          <w:lang w:val="en-US" w:eastAsia="zh-CN"/>
        </w:rPr>
        <w:t>采购项目简介</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lang w:val="en-US"/>
        </w:rPr>
      </w:pPr>
      <w:r>
        <w:rPr>
          <w:rFonts w:hint="eastAsia" w:ascii="宋体" w:hAnsi="宋体" w:cs="宋体"/>
          <w:b w:val="0"/>
          <w:bCs/>
          <w:color w:val="auto"/>
          <w:highlight w:val="none"/>
          <w:u w:val="none"/>
          <w:lang w:eastAsia="zh-CN"/>
        </w:rPr>
        <w:t>成都市公安局龙泉驿区分局200个天网点位升级改造租赁服务采购项目</w:t>
      </w:r>
      <w:r>
        <w:rPr>
          <w:rFonts w:hint="eastAsia" w:ascii="宋体" w:hAnsi="宋体" w:eastAsia="宋体" w:cs="宋体"/>
          <w:b w:val="0"/>
          <w:bCs/>
          <w:color w:val="auto"/>
          <w:highlight w:val="none"/>
          <w:u w:val="none"/>
          <w:lang w:eastAsia="zh-CN"/>
        </w:rPr>
        <w:t>，</w:t>
      </w:r>
      <w:r>
        <w:rPr>
          <w:rFonts w:hint="eastAsia" w:ascii="宋体" w:hAnsi="宋体" w:eastAsia="宋体" w:cs="宋体"/>
          <w:b w:val="0"/>
          <w:bCs/>
          <w:color w:val="auto"/>
          <w:highlight w:val="none"/>
          <w:u w:val="none"/>
          <w:lang w:val="en-US" w:eastAsia="zh-CN"/>
        </w:rPr>
        <w:t>本项目共1个包件，</w:t>
      </w:r>
      <w:r>
        <w:rPr>
          <w:rFonts w:hint="eastAsia" w:ascii="宋体" w:hAnsi="宋体" w:eastAsia="宋体" w:cs="宋体"/>
          <w:b w:val="0"/>
          <w:bCs/>
          <w:szCs w:val="24"/>
          <w:lang w:val="en-US" w:eastAsia="zh-CN"/>
        </w:rPr>
        <w:t>供应商</w:t>
      </w:r>
      <w:r>
        <w:rPr>
          <w:rFonts w:hint="eastAsia" w:ascii="宋体" w:hAnsi="宋体" w:eastAsia="宋体" w:cs="宋体"/>
          <w:b w:val="0"/>
          <w:bCs/>
          <w:szCs w:val="24"/>
        </w:rPr>
        <w:t>必须对所有货物及服务内容进行</w:t>
      </w:r>
      <w:r>
        <w:rPr>
          <w:rFonts w:hint="eastAsia" w:ascii="宋体" w:hAnsi="宋体" w:eastAsia="宋体" w:cs="宋体"/>
          <w:b w:val="0"/>
          <w:bCs/>
          <w:szCs w:val="24"/>
          <w:lang w:val="en-US" w:eastAsia="zh-CN"/>
        </w:rPr>
        <w:t>响应</w:t>
      </w:r>
      <w:r>
        <w:rPr>
          <w:rFonts w:hint="eastAsia" w:ascii="宋体" w:hAnsi="宋体" w:eastAsia="宋体" w:cs="宋体"/>
          <w:b w:val="0"/>
          <w:bCs/>
          <w:szCs w:val="24"/>
        </w:rPr>
        <w:t>，并响应</w:t>
      </w:r>
      <w:r>
        <w:rPr>
          <w:rFonts w:hint="eastAsia" w:ascii="宋体" w:hAnsi="宋体" w:eastAsia="宋体" w:cs="宋体"/>
          <w:b w:val="0"/>
          <w:bCs/>
          <w:szCs w:val="24"/>
          <w:lang w:val="en-US" w:eastAsia="zh-CN"/>
        </w:rPr>
        <w:t>竞争性磋商</w:t>
      </w:r>
      <w:r>
        <w:rPr>
          <w:rFonts w:hint="eastAsia" w:ascii="宋体" w:hAnsi="宋体" w:eastAsia="宋体" w:cs="宋体"/>
          <w:b w:val="0"/>
          <w:bCs/>
          <w:szCs w:val="24"/>
        </w:rPr>
        <w:t>文件的要求。详细的技术、</w:t>
      </w:r>
      <w:r>
        <w:rPr>
          <w:rFonts w:hint="eastAsia" w:ascii="宋体" w:hAnsi="宋体" w:eastAsia="宋体" w:cs="宋体"/>
          <w:b w:val="0"/>
          <w:bCs/>
          <w:szCs w:val="24"/>
          <w:lang w:val="en-US" w:eastAsia="zh-CN"/>
        </w:rPr>
        <w:t>服</w:t>
      </w:r>
      <w:r>
        <w:rPr>
          <w:rFonts w:hint="eastAsia" w:ascii="宋体" w:hAnsi="宋体" w:eastAsia="宋体" w:cs="宋体"/>
          <w:b w:val="0"/>
          <w:bCs/>
          <w:szCs w:val="24"/>
        </w:rPr>
        <w:t>务及其他要求见第</w:t>
      </w:r>
      <w:r>
        <w:rPr>
          <w:rFonts w:hint="eastAsia" w:ascii="宋体" w:hAnsi="宋体" w:eastAsia="宋体" w:cs="宋体"/>
          <w:b w:val="0"/>
          <w:bCs/>
          <w:szCs w:val="24"/>
          <w:lang w:val="en-US" w:eastAsia="zh-CN"/>
        </w:rPr>
        <w:t>3</w:t>
      </w:r>
      <w:r>
        <w:rPr>
          <w:rFonts w:hint="eastAsia" w:ascii="宋体" w:hAnsi="宋体" w:eastAsia="宋体" w:cs="宋体"/>
          <w:b w:val="0"/>
          <w:bCs/>
          <w:szCs w:val="24"/>
        </w:rPr>
        <w:t>章。</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供应商邀请方式</w:t>
      </w:r>
    </w:p>
    <w:p>
      <w:pPr>
        <w:keepNext w:val="0"/>
        <w:keepLines w:val="0"/>
        <w:pageBreakBefore w:val="0"/>
        <w:kinsoku/>
        <w:wordWrap/>
        <w:overflowPunct/>
        <w:topLinePunct w:val="0"/>
        <w:bidi w:val="0"/>
        <w:snapToGrid/>
        <w:spacing w:after="120" w:line="460" w:lineRule="exact"/>
        <w:ind w:firstLine="480" w:firstLineChars="200"/>
        <w:textAlignment w:val="auto"/>
        <w:rPr>
          <w:color w:val="auto"/>
          <w:highlight w:val="none"/>
        </w:rPr>
      </w:pPr>
      <w:r>
        <w:rPr>
          <w:rFonts w:hint="eastAsia" w:ascii="宋体" w:hAnsi="宋体"/>
          <w:bCs/>
          <w:color w:val="auto"/>
          <w:highlight w:val="none"/>
        </w:rPr>
        <w:t>公告方式：本次竞争性磋商邀请在四川政府采购网（www.sczfcg.com）上以公告形式发布。</w:t>
      </w:r>
      <w:r>
        <w:rPr>
          <w:rFonts w:hint="eastAsia" w:ascii="宋体" w:hAnsi="宋体" w:eastAsia="宋体" w:cs="宋体"/>
          <w:bCs/>
          <w:kern w:val="0"/>
          <w:sz w:val="24"/>
          <w:szCs w:val="24"/>
          <w:lang w:val="en-US" w:eastAsia="zh-CN" w:bidi="ar-SA"/>
        </w:rPr>
        <w:t>公告期限为发布之日起5个工作日。</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2" w:firstLineChars="200"/>
        <w:textAlignment w:val="auto"/>
        <w:rPr>
          <w:rFonts w:ascii="宋体" w:hAnsi="宋体"/>
          <w:b/>
          <w:color w:val="auto"/>
          <w:highlight w:val="none"/>
        </w:rPr>
      </w:pPr>
      <w:r>
        <w:rPr>
          <w:rFonts w:hint="eastAsia" w:ascii="宋体" w:hAnsi="宋体"/>
          <w:b/>
          <w:color w:val="auto"/>
          <w:highlight w:val="none"/>
        </w:rPr>
        <w:t>供应商参加本次政府采购活动应具备的条件</w:t>
      </w:r>
    </w:p>
    <w:p>
      <w:pPr>
        <w:pStyle w:val="172"/>
        <w:keepNext w:val="0"/>
        <w:keepLines w:val="0"/>
        <w:pageBreakBefore w:val="0"/>
        <w:numPr>
          <w:ilvl w:val="0"/>
          <w:numId w:val="9"/>
        </w:numPr>
        <w:tabs>
          <w:tab w:val="left" w:pos="1260"/>
        </w:tabs>
        <w:kinsoku/>
        <w:wordWrap/>
        <w:overflowPunct/>
        <w:topLinePunct w:val="0"/>
        <w:bidi w:val="0"/>
        <w:snapToGrid/>
        <w:spacing w:line="460" w:lineRule="exact"/>
        <w:ind w:left="0" w:leftChars="0" w:firstLine="240" w:firstLineChars="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满足</w:t>
      </w:r>
      <w:r>
        <w:rPr>
          <w:rFonts w:hint="eastAsia" w:ascii="宋体" w:hAnsi="宋体" w:eastAsia="宋体" w:cs="宋体"/>
          <w:b/>
          <w:bCs/>
          <w:color w:val="auto"/>
          <w:sz w:val="24"/>
          <w:highlight w:val="none"/>
        </w:rPr>
        <w:t>《中华人民共和国政府采购法》第二十二条规定的条件：</w:t>
      </w:r>
    </w:p>
    <w:p>
      <w:pPr>
        <w:keepNext w:val="0"/>
        <w:keepLines w:val="0"/>
        <w:pageBreakBefore w:val="0"/>
        <w:numPr>
          <w:ilvl w:val="0"/>
          <w:numId w:val="10"/>
        </w:numPr>
        <w:shd w:val="clear" w:color="auto" w:fill="FFFFFF"/>
        <w:tabs>
          <w:tab w:val="left" w:pos="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p>
      <w:pPr>
        <w:keepNext w:val="0"/>
        <w:keepLines w:val="0"/>
        <w:pageBreakBefore w:val="0"/>
        <w:numPr>
          <w:ilvl w:val="0"/>
          <w:numId w:val="10"/>
        </w:numPr>
        <w:shd w:val="clear" w:color="auto" w:fill="FFFFFF"/>
        <w:tabs>
          <w:tab w:val="left" w:pos="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pPr>
        <w:keepNext w:val="0"/>
        <w:keepLines w:val="0"/>
        <w:pageBreakBefore w:val="0"/>
        <w:numPr>
          <w:ilvl w:val="0"/>
          <w:numId w:val="10"/>
        </w:numPr>
        <w:shd w:val="clear" w:color="auto" w:fill="FFFFFF"/>
        <w:tabs>
          <w:tab w:val="left" w:pos="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具有履行合同所必须的设备和专业技术能力；</w:t>
      </w:r>
    </w:p>
    <w:p>
      <w:pPr>
        <w:keepNext w:val="0"/>
        <w:keepLines w:val="0"/>
        <w:pageBreakBefore w:val="0"/>
        <w:numPr>
          <w:ilvl w:val="0"/>
          <w:numId w:val="10"/>
        </w:numPr>
        <w:shd w:val="clear" w:color="auto" w:fill="FFFFFF"/>
        <w:tabs>
          <w:tab w:val="left" w:pos="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具有依法缴纳税收和社会保障资金的良好记录；</w:t>
      </w:r>
    </w:p>
    <w:p>
      <w:pPr>
        <w:keepNext w:val="0"/>
        <w:keepLines w:val="0"/>
        <w:pageBreakBefore w:val="0"/>
        <w:numPr>
          <w:ilvl w:val="0"/>
          <w:numId w:val="10"/>
        </w:numPr>
        <w:shd w:val="clear" w:color="auto" w:fill="FFFFFF"/>
        <w:tabs>
          <w:tab w:val="left" w:pos="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参加本次政府采购活动前三年内，在经营活动中没有重大违法记录</w:t>
      </w:r>
      <w:r>
        <w:rPr>
          <w:rFonts w:hint="eastAsia" w:ascii="宋体" w:hAnsi="宋体" w:cs="宋体"/>
          <w:color w:val="auto"/>
          <w:sz w:val="24"/>
          <w:szCs w:val="24"/>
          <w:highlight w:val="none"/>
          <w:lang w:eastAsia="zh-CN"/>
        </w:rPr>
        <w:t>。</w:t>
      </w:r>
    </w:p>
    <w:p>
      <w:pPr>
        <w:pStyle w:val="172"/>
        <w:keepNext w:val="0"/>
        <w:keepLines w:val="0"/>
        <w:pageBreakBefore w:val="0"/>
        <w:numPr>
          <w:ilvl w:val="0"/>
          <w:numId w:val="9"/>
        </w:numPr>
        <w:tabs>
          <w:tab w:val="left" w:pos="1260"/>
        </w:tabs>
        <w:kinsoku/>
        <w:wordWrap/>
        <w:overflowPunct/>
        <w:topLinePunct w:val="0"/>
        <w:bidi w:val="0"/>
        <w:snapToGrid/>
        <w:spacing w:line="460" w:lineRule="exact"/>
        <w:ind w:left="0" w:leftChars="0" w:firstLine="240" w:firstLineChars="0"/>
        <w:textAlignment w:val="auto"/>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法律法规规定的其他条件：</w:t>
      </w:r>
    </w:p>
    <w:p>
      <w:pPr>
        <w:keepNext w:val="0"/>
        <w:keepLines w:val="0"/>
        <w:pageBreakBefore w:val="0"/>
        <w:numPr>
          <w:ilvl w:val="0"/>
          <w:numId w:val="11"/>
        </w:numPr>
        <w:shd w:val="clear" w:color="auto" w:fill="FFFFFF"/>
        <w:tabs>
          <w:tab w:val="left" w:pos="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在行贿犯罪信息查询期限内，</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 xml:space="preserve">及其现任法定代表人、主要负责人没有行贿犯罪记录； </w:t>
      </w:r>
    </w:p>
    <w:p>
      <w:pPr>
        <w:keepNext w:val="0"/>
        <w:keepLines w:val="0"/>
        <w:pageBreakBefore w:val="0"/>
        <w:numPr>
          <w:ilvl w:val="0"/>
          <w:numId w:val="11"/>
        </w:numPr>
        <w:shd w:val="clear" w:color="auto" w:fill="FFFFFF"/>
        <w:tabs>
          <w:tab w:val="left" w:pos="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单位负责人为同一人或者存在控股、管理关系的不同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，不得参加同一合同项下的政府采购活动；</w:t>
      </w:r>
    </w:p>
    <w:p>
      <w:pPr>
        <w:keepNext w:val="0"/>
        <w:keepLines w:val="0"/>
        <w:pageBreakBefore w:val="0"/>
        <w:numPr>
          <w:ilvl w:val="0"/>
          <w:numId w:val="11"/>
        </w:numPr>
        <w:shd w:val="clear" w:color="auto" w:fill="FFFFFF"/>
        <w:tabs>
          <w:tab w:val="left" w:pos="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 xml:space="preserve">未对本次采购项目提供过整体设计、规范编制或者项目管理、监理、检测等服务； </w:t>
      </w:r>
    </w:p>
    <w:p>
      <w:pPr>
        <w:keepNext w:val="0"/>
        <w:keepLines w:val="0"/>
        <w:pageBreakBefore w:val="0"/>
        <w:numPr>
          <w:ilvl w:val="0"/>
          <w:numId w:val="11"/>
        </w:numPr>
        <w:shd w:val="clear" w:color="auto" w:fill="FFFFFF"/>
        <w:tabs>
          <w:tab w:val="left" w:pos="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不得为列入失信被执行人名单、重大税收违法案件当事人名单、政府采购严重违法失信行为记录名单中的供应商；</w:t>
      </w:r>
    </w:p>
    <w:p>
      <w:pPr>
        <w:keepNext w:val="0"/>
        <w:keepLines w:val="0"/>
        <w:pageBreakBefore w:val="0"/>
        <w:numPr>
          <w:ilvl w:val="0"/>
          <w:numId w:val="11"/>
        </w:numPr>
        <w:shd w:val="clear" w:color="auto" w:fill="FFFFFF"/>
        <w:tabs>
          <w:tab w:val="left" w:pos="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（除本项1-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点规定以外的）法律、行政法规规定的其他条件。</w:t>
      </w:r>
    </w:p>
    <w:p>
      <w:pPr>
        <w:pStyle w:val="172"/>
        <w:keepNext w:val="0"/>
        <w:keepLines w:val="0"/>
        <w:pageBreakBefore w:val="0"/>
        <w:widowControl w:val="0"/>
        <w:numPr>
          <w:ilvl w:val="0"/>
          <w:numId w:val="9"/>
        </w:numPr>
        <w:tabs>
          <w:tab w:val="left" w:pos="1260"/>
        </w:tabs>
        <w:kinsoku/>
        <w:wordWrap/>
        <w:overflowPunct/>
        <w:topLinePunct w:val="0"/>
        <w:autoSpaceDE/>
        <w:autoSpaceDN/>
        <w:bidi w:val="0"/>
        <w:adjustRightInd/>
        <w:snapToGrid/>
        <w:spacing w:line="360" w:lineRule="auto"/>
        <w:ind w:left="0" w:leftChars="0" w:firstLine="24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落实政府采购政策需满足的资格要求：</w:t>
      </w:r>
      <w:r>
        <w:rPr>
          <w:rFonts w:hint="eastAsia" w:ascii="宋体" w:hAnsi="宋体" w:cs="宋体"/>
          <w:b/>
          <w:bCs/>
          <w:color w:val="auto"/>
          <w:sz w:val="24"/>
          <w:szCs w:val="24"/>
          <w:highlight w:val="none"/>
          <w:lang w:val="en-US" w:eastAsia="zh-CN"/>
        </w:rPr>
        <w:t>无。</w:t>
      </w:r>
    </w:p>
    <w:p>
      <w:pPr>
        <w:pStyle w:val="172"/>
        <w:keepNext w:val="0"/>
        <w:keepLines w:val="0"/>
        <w:pageBreakBefore w:val="0"/>
        <w:widowControl w:val="0"/>
        <w:numPr>
          <w:ilvl w:val="0"/>
          <w:numId w:val="9"/>
        </w:numPr>
        <w:tabs>
          <w:tab w:val="left" w:pos="1260"/>
        </w:tabs>
        <w:kinsoku/>
        <w:wordWrap/>
        <w:overflowPunct/>
        <w:topLinePunct w:val="0"/>
        <w:autoSpaceDE/>
        <w:autoSpaceDN/>
        <w:bidi w:val="0"/>
        <w:adjustRightInd/>
        <w:snapToGrid/>
        <w:spacing w:line="360" w:lineRule="auto"/>
        <w:ind w:left="0" w:leftChars="0" w:firstLine="240" w:firstLineChars="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本项目不接受联合体磋商。</w:t>
      </w:r>
    </w:p>
    <w:p>
      <w:pPr>
        <w:pStyle w:val="172"/>
        <w:keepNext w:val="0"/>
        <w:keepLines w:val="0"/>
        <w:pageBreakBefore w:val="0"/>
        <w:widowControl w:val="0"/>
        <w:numPr>
          <w:ilvl w:val="0"/>
          <w:numId w:val="9"/>
        </w:numPr>
        <w:tabs>
          <w:tab w:val="left" w:pos="1260"/>
        </w:tabs>
        <w:kinsoku/>
        <w:wordWrap/>
        <w:overflowPunct/>
        <w:topLinePunct w:val="0"/>
        <w:autoSpaceDE/>
        <w:autoSpaceDN/>
        <w:bidi w:val="0"/>
        <w:adjustRightInd/>
        <w:snapToGrid/>
        <w:spacing w:line="360" w:lineRule="auto"/>
        <w:ind w:left="0" w:leftChars="0" w:firstLine="240" w:firstLineChars="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本项目特定资格条件：</w:t>
      </w:r>
    </w:p>
    <w:p>
      <w:pPr>
        <w:pStyle w:val="172"/>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无。</w:t>
      </w:r>
    </w:p>
    <w:p>
      <w:pPr>
        <w:keepNext w:val="0"/>
        <w:keepLines w:val="0"/>
        <w:pageBreakBefore w:val="0"/>
        <w:numPr>
          <w:ilvl w:val="0"/>
          <w:numId w:val="7"/>
        </w:numPr>
        <w:kinsoku/>
        <w:wordWrap/>
        <w:overflowPunct/>
        <w:topLinePunct w:val="0"/>
        <w:bidi w:val="0"/>
        <w:snapToGrid/>
        <w:spacing w:line="440" w:lineRule="exact"/>
        <w:ind w:left="0" w:firstLine="482" w:firstLineChars="200"/>
        <w:textAlignment w:val="auto"/>
        <w:rPr>
          <w:rFonts w:ascii="宋体" w:hAnsi="宋体"/>
          <w:b/>
          <w:color w:val="auto"/>
          <w:highlight w:val="none"/>
        </w:rPr>
      </w:pPr>
      <w:r>
        <w:rPr>
          <w:rFonts w:hint="eastAsia" w:ascii="宋体" w:hAnsi="宋体" w:cs="宋体"/>
          <w:b/>
          <w:bCs/>
          <w:color w:val="auto"/>
          <w:highlight w:val="none"/>
          <w:lang w:val="zh-CN"/>
        </w:rPr>
        <w:t>磋商文件</w:t>
      </w:r>
      <w:r>
        <w:rPr>
          <w:rFonts w:hint="eastAsia" w:ascii="宋体" w:hAnsi="宋体" w:cs="宋体"/>
          <w:b/>
          <w:color w:val="auto"/>
          <w:highlight w:val="none"/>
          <w:lang w:val="en-US" w:eastAsia="zh-CN"/>
        </w:rPr>
        <w:t>获取</w:t>
      </w:r>
      <w:r>
        <w:rPr>
          <w:rFonts w:hint="eastAsia" w:ascii="宋体" w:hAnsi="宋体" w:cs="宋体"/>
          <w:b/>
          <w:color w:val="auto"/>
          <w:highlight w:val="none"/>
        </w:rPr>
        <w:t>时间、地点</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获取</w:t>
      </w:r>
      <w:r>
        <w:rPr>
          <w:rFonts w:hint="eastAsia" w:ascii="宋体" w:hAnsi="宋体"/>
          <w:b/>
          <w:color w:val="auto"/>
          <w:highlight w:val="none"/>
        </w:rPr>
        <w:t>时间：</w:t>
      </w:r>
      <w:r>
        <w:rPr>
          <w:rFonts w:hint="eastAsia" w:ascii="宋体" w:hAnsi="宋体"/>
          <w:color w:val="auto"/>
          <w:highlight w:val="none"/>
        </w:rPr>
        <w:t>202</w:t>
      </w:r>
      <w:r>
        <w:rPr>
          <w:rFonts w:hint="eastAsia" w:ascii="宋体" w:hAnsi="宋体"/>
          <w:color w:val="auto"/>
          <w:highlight w:val="none"/>
          <w:lang w:val="en-US" w:eastAsia="zh-CN"/>
        </w:rPr>
        <w:t>2</w:t>
      </w:r>
      <w:r>
        <w:rPr>
          <w:rFonts w:hint="eastAsia" w:ascii="宋体" w:hAnsi="宋体"/>
          <w:color w:val="auto"/>
          <w:highlight w:val="none"/>
        </w:rPr>
        <w:t>年</w:t>
      </w:r>
      <w:r>
        <w:rPr>
          <w:rFonts w:hint="eastAsia" w:ascii="宋体" w:hAnsi="宋体"/>
          <w:color w:val="auto"/>
          <w:highlight w:val="none"/>
          <w:lang w:val="en-US" w:eastAsia="zh-CN"/>
        </w:rPr>
        <w:t>3</w:t>
      </w:r>
      <w:r>
        <w:rPr>
          <w:rFonts w:hint="eastAsia" w:ascii="宋体" w:hAnsi="宋体"/>
          <w:color w:val="auto"/>
          <w:highlight w:val="none"/>
        </w:rPr>
        <w:t>月</w:t>
      </w:r>
      <w:r>
        <w:rPr>
          <w:rFonts w:hint="eastAsia" w:ascii="宋体" w:hAnsi="宋体"/>
          <w:color w:val="auto"/>
          <w:highlight w:val="none"/>
          <w:lang w:val="en-US" w:eastAsia="zh-CN"/>
        </w:rPr>
        <w:t>7</w:t>
      </w:r>
      <w:r>
        <w:rPr>
          <w:rFonts w:hint="eastAsia" w:ascii="宋体" w:hAnsi="宋体"/>
          <w:color w:val="auto"/>
          <w:highlight w:val="none"/>
        </w:rPr>
        <w:t>日至202</w:t>
      </w:r>
      <w:r>
        <w:rPr>
          <w:rFonts w:hint="eastAsia" w:ascii="宋体" w:hAnsi="宋体"/>
          <w:color w:val="auto"/>
          <w:highlight w:val="none"/>
          <w:lang w:val="en-US" w:eastAsia="zh-CN"/>
        </w:rPr>
        <w:t>2</w:t>
      </w:r>
      <w:r>
        <w:rPr>
          <w:rFonts w:hint="eastAsia" w:ascii="宋体" w:hAnsi="宋体"/>
          <w:color w:val="auto"/>
          <w:highlight w:val="none"/>
        </w:rPr>
        <w:t>年</w:t>
      </w:r>
      <w:r>
        <w:rPr>
          <w:rFonts w:hint="eastAsia" w:ascii="宋体" w:hAnsi="宋体"/>
          <w:color w:val="auto"/>
          <w:highlight w:val="none"/>
          <w:lang w:val="en-US" w:eastAsia="zh-CN"/>
        </w:rPr>
        <w:t>3</w:t>
      </w:r>
      <w:r>
        <w:rPr>
          <w:rFonts w:hint="eastAsia" w:ascii="宋体" w:hAnsi="宋体"/>
          <w:color w:val="auto"/>
          <w:highlight w:val="none"/>
        </w:rPr>
        <w:t>月</w:t>
      </w:r>
      <w:r>
        <w:rPr>
          <w:rFonts w:hint="eastAsia" w:ascii="宋体" w:hAnsi="宋体"/>
          <w:color w:val="auto"/>
          <w:highlight w:val="none"/>
          <w:lang w:val="en-US" w:eastAsia="zh-CN"/>
        </w:rPr>
        <w:t>14</w:t>
      </w:r>
      <w:r>
        <w:rPr>
          <w:rFonts w:hint="eastAsia" w:ascii="宋体" w:hAnsi="宋体"/>
          <w:color w:val="auto"/>
          <w:highlight w:val="none"/>
        </w:rPr>
        <w:t>日。</w:t>
      </w:r>
    </w:p>
    <w:p>
      <w:pPr>
        <w:keepNext w:val="0"/>
        <w:keepLines w:val="0"/>
        <w:pageBreakBefore w:val="0"/>
        <w:widowControl w:val="0"/>
        <w:kinsoku/>
        <w:wordWrap/>
        <w:overflowPunct/>
        <w:topLinePunct w:val="0"/>
        <w:bidi w:val="0"/>
        <w:snapToGrid/>
        <w:spacing w:line="440" w:lineRule="exact"/>
        <w:ind w:firstLine="494"/>
        <w:textAlignment w:val="auto"/>
        <w:rPr>
          <w:rFonts w:hint="eastAsia" w:ascii="宋体" w:hAnsi="宋体"/>
          <w:b/>
          <w:color w:val="auto"/>
          <w:highlight w:val="none"/>
        </w:rPr>
      </w:pPr>
      <w:r>
        <w:rPr>
          <w:rFonts w:hint="eastAsia" w:ascii="宋体" w:hAnsi="宋体"/>
          <w:b/>
          <w:color w:val="auto"/>
          <w:highlight w:val="none"/>
        </w:rPr>
        <w:t>磋商</w:t>
      </w:r>
      <w:r>
        <w:rPr>
          <w:rFonts w:hint="eastAsia" w:ascii="宋体" w:hAnsi="宋体"/>
          <w:b/>
          <w:bCs/>
          <w:color w:val="auto"/>
          <w:highlight w:val="none"/>
        </w:rPr>
        <w:t>文件</w:t>
      </w:r>
      <w:r>
        <w:rPr>
          <w:rFonts w:hint="eastAsia" w:ascii="宋体" w:hAnsi="宋体"/>
          <w:b/>
          <w:bCs/>
          <w:color w:val="auto"/>
          <w:highlight w:val="none"/>
          <w:lang w:val="en-US" w:eastAsia="zh-CN"/>
        </w:rPr>
        <w:t>获取</w:t>
      </w:r>
      <w:r>
        <w:rPr>
          <w:rFonts w:hint="eastAsia" w:ascii="宋体" w:hAnsi="宋体"/>
          <w:b/>
          <w:bCs/>
          <w:color w:val="auto"/>
          <w:highlight w:val="none"/>
        </w:rPr>
        <w:t>方式：</w:t>
      </w:r>
      <w:r>
        <w:rPr>
          <w:rFonts w:hint="eastAsia" w:ascii="宋体" w:hAnsi="宋体"/>
          <w:b/>
          <w:color w:val="auto"/>
          <w:highlight w:val="none"/>
        </w:rPr>
        <w:t>供应商从“政府采购云平台”获取磋商文件（网址：https://www.zcygov.cn）。登录政府采购云平台—项目采购—获取磋商文件—申请获取磋商文件。</w:t>
      </w:r>
    </w:p>
    <w:p>
      <w:pPr>
        <w:spacing w:after="50" w:line="420" w:lineRule="exact"/>
        <w:ind w:firstLine="480"/>
        <w:rPr>
          <w:rFonts w:hint="eastAsia" w:ascii="宋体" w:hAnsi="宋体" w:eastAsia="宋体" w:cs="宋体"/>
          <w:b/>
          <w:bCs/>
        </w:rPr>
      </w:pPr>
      <w:r>
        <w:rPr>
          <w:rFonts w:hint="eastAsia" w:ascii="宋体" w:hAnsi="宋体" w:eastAsia="宋体" w:cs="宋体"/>
          <w:b/>
          <w:bCs/>
          <w:lang w:val="en-US" w:eastAsia="zh-CN"/>
        </w:rPr>
        <w:t>温馨</w:t>
      </w:r>
      <w:r>
        <w:rPr>
          <w:rFonts w:hint="eastAsia" w:ascii="宋体" w:hAnsi="宋体" w:eastAsia="宋体" w:cs="宋体"/>
          <w:b/>
          <w:bCs/>
        </w:rPr>
        <w:t>提示：</w:t>
      </w:r>
    </w:p>
    <w:p>
      <w:pPr>
        <w:numPr>
          <w:ilvl w:val="0"/>
          <w:numId w:val="12"/>
        </w:numPr>
        <w:tabs>
          <w:tab w:val="left" w:pos="240"/>
          <w:tab w:val="clear" w:pos="420"/>
        </w:tabs>
        <w:spacing w:after="50" w:line="420" w:lineRule="exact"/>
        <w:ind w:left="5" w:leftChars="0" w:firstLine="715" w:firstLineChars="0"/>
        <w:rPr>
          <w:rFonts w:hint="eastAsia" w:ascii="宋体" w:hAnsi="宋体" w:eastAsia="宋体" w:cs="宋体"/>
        </w:rPr>
      </w:pPr>
      <w:r>
        <w:rPr>
          <w:rFonts w:hint="eastAsia" w:ascii="宋体" w:hAnsi="宋体" w:eastAsia="宋体" w:cs="宋体"/>
        </w:rPr>
        <w:t>本</w:t>
      </w:r>
      <w:r>
        <w:rPr>
          <w:rFonts w:hint="eastAsia" w:ascii="宋体" w:hAnsi="宋体" w:eastAsia="宋体" w:cs="宋体"/>
          <w:b w:val="0"/>
          <w:bCs w:val="0"/>
        </w:rPr>
        <w:t>项目</w:t>
      </w:r>
      <w:r>
        <w:rPr>
          <w:rFonts w:hint="eastAsia" w:ascii="宋体" w:hAnsi="宋体"/>
          <w:b w:val="0"/>
          <w:bCs w:val="0"/>
          <w:color w:val="auto"/>
          <w:highlight w:val="none"/>
        </w:rPr>
        <w:t>磋商文件免费获取（磋商资格不能转让）</w:t>
      </w:r>
      <w:r>
        <w:rPr>
          <w:rFonts w:hint="eastAsia" w:ascii="宋体" w:hAnsi="宋体" w:eastAsia="宋体" w:cs="宋体"/>
        </w:rPr>
        <w:t>。</w:t>
      </w:r>
    </w:p>
    <w:p>
      <w:pPr>
        <w:numPr>
          <w:ilvl w:val="0"/>
          <w:numId w:val="12"/>
        </w:numPr>
        <w:tabs>
          <w:tab w:val="left" w:pos="240"/>
          <w:tab w:val="clear" w:pos="420"/>
        </w:tabs>
        <w:spacing w:after="50" w:line="420" w:lineRule="exact"/>
        <w:ind w:left="5" w:leftChars="0" w:firstLine="715" w:firstLineChars="0"/>
        <w:rPr>
          <w:rFonts w:hint="eastAsia" w:ascii="宋体" w:hAnsi="宋体" w:eastAsia="宋体" w:cs="宋体"/>
        </w:rPr>
      </w:pPr>
      <w:r>
        <w:rPr>
          <w:rFonts w:hint="eastAsia" w:ascii="宋体" w:hAnsi="宋体" w:cs="宋体"/>
          <w:lang w:val="en-US" w:eastAsia="zh-CN"/>
        </w:rPr>
        <w:t>供应商</w:t>
      </w:r>
      <w:r>
        <w:rPr>
          <w:rFonts w:hint="eastAsia" w:ascii="宋体" w:hAnsi="宋体" w:eastAsia="宋体" w:cs="宋体"/>
        </w:rPr>
        <w:t>只有在“政府采购云平台”完成获取</w:t>
      </w:r>
      <w:r>
        <w:rPr>
          <w:rFonts w:hint="eastAsia" w:ascii="宋体" w:hAnsi="宋体" w:cs="宋体"/>
          <w:lang w:val="en-US" w:eastAsia="zh-CN"/>
        </w:rPr>
        <w:t>磋商</w:t>
      </w:r>
      <w:r>
        <w:rPr>
          <w:rFonts w:hint="eastAsia" w:ascii="宋体" w:hAnsi="宋体" w:eastAsia="宋体" w:cs="宋体"/>
        </w:rPr>
        <w:t>文件申请并下载</w:t>
      </w:r>
      <w:r>
        <w:rPr>
          <w:rFonts w:hint="eastAsia" w:ascii="宋体" w:hAnsi="宋体" w:cs="宋体"/>
          <w:lang w:val="en-US" w:eastAsia="zh-CN"/>
        </w:rPr>
        <w:t>磋商</w:t>
      </w:r>
      <w:r>
        <w:rPr>
          <w:rFonts w:hint="eastAsia" w:ascii="宋体" w:hAnsi="宋体" w:eastAsia="宋体" w:cs="宋体"/>
        </w:rPr>
        <w:t>文件后才视作依法参与本项目。如未在“政府采购云平台”内完成相关流程，引起的</w:t>
      </w:r>
      <w:r>
        <w:rPr>
          <w:rFonts w:hint="eastAsia" w:ascii="宋体" w:hAnsi="宋体" w:cs="宋体"/>
          <w:lang w:val="en-US" w:eastAsia="zh-CN"/>
        </w:rPr>
        <w:t>磋商</w:t>
      </w:r>
      <w:r>
        <w:rPr>
          <w:rFonts w:hint="eastAsia" w:ascii="宋体" w:hAnsi="宋体" w:eastAsia="宋体" w:cs="宋体"/>
        </w:rPr>
        <w:t>无效责任自负。</w:t>
      </w:r>
    </w:p>
    <w:p>
      <w:pPr>
        <w:numPr>
          <w:ilvl w:val="0"/>
          <w:numId w:val="12"/>
        </w:numPr>
        <w:tabs>
          <w:tab w:val="left" w:pos="240"/>
          <w:tab w:val="clear" w:pos="420"/>
        </w:tabs>
        <w:spacing w:after="50" w:line="420" w:lineRule="exact"/>
        <w:ind w:left="5" w:leftChars="0" w:firstLine="715" w:firstLineChars="0"/>
        <w:rPr>
          <w:rFonts w:hint="eastAsia" w:ascii="宋体" w:hAnsi="宋体"/>
          <w:b/>
          <w:color w:val="auto"/>
          <w:highlight w:val="none"/>
        </w:rPr>
      </w:pPr>
      <w:r>
        <w:rPr>
          <w:rFonts w:hint="eastAsia" w:ascii="宋体" w:hAnsi="宋体" w:eastAsia="宋体" w:cs="宋体"/>
        </w:rPr>
        <w:t>本项目为电子</w:t>
      </w:r>
      <w:r>
        <w:rPr>
          <w:rFonts w:hint="eastAsia" w:ascii="宋体" w:hAnsi="宋体" w:cs="宋体"/>
          <w:lang w:val="en-US" w:eastAsia="zh-CN"/>
        </w:rPr>
        <w:t>采购</w:t>
      </w:r>
      <w:r>
        <w:rPr>
          <w:rFonts w:hint="eastAsia" w:ascii="宋体" w:hAnsi="宋体" w:eastAsia="宋体" w:cs="宋体"/>
        </w:rPr>
        <w:t>项目，</w:t>
      </w:r>
      <w:r>
        <w:rPr>
          <w:rFonts w:hint="eastAsia" w:ascii="宋体" w:hAnsi="宋体" w:cs="宋体"/>
          <w:lang w:val="en-US" w:eastAsia="zh-CN"/>
        </w:rPr>
        <w:t>供应商</w:t>
      </w:r>
      <w:r>
        <w:rPr>
          <w:rFonts w:hint="eastAsia" w:ascii="宋体" w:hAnsi="宋体" w:eastAsia="宋体" w:cs="宋体"/>
        </w:rPr>
        <w:t>参与本项目全过程中凡涉及系统操作请详见《供应商政府采购项目电子交易操作指南》。（操作指南以政府采购云平台网站发布为准，获取方式详见：</w:t>
      </w:r>
      <w:r>
        <w:rPr>
          <w:rFonts w:hint="eastAsia" w:ascii="宋体" w:hAnsi="宋体" w:eastAsia="宋体" w:cs="宋体"/>
          <w:b/>
          <w:bCs/>
        </w:rPr>
        <w:t>附件</w:t>
      </w:r>
      <w:r>
        <w:rPr>
          <w:rFonts w:hint="eastAsia" w:ascii="宋体" w:hAnsi="宋体" w:eastAsia="宋体" w:cs="宋体"/>
          <w:b/>
          <w:bCs/>
          <w:lang w:val="en-US" w:eastAsia="zh-CN"/>
        </w:rPr>
        <w:t>1</w:t>
      </w:r>
      <w:r>
        <w:rPr>
          <w:rFonts w:hint="eastAsia" w:ascii="宋体" w:hAnsi="宋体" w:eastAsia="宋体" w:cs="宋体"/>
          <w:b/>
          <w:bCs/>
        </w:rPr>
        <w:t>-政府采购云平台使用介绍</w:t>
      </w:r>
      <w:r>
        <w:rPr>
          <w:rFonts w:hint="eastAsia" w:ascii="宋体" w:hAnsi="宋体" w:eastAsia="宋体" w:cs="宋体"/>
        </w:rPr>
        <w:t>）</w:t>
      </w:r>
    </w:p>
    <w:p>
      <w:pPr>
        <w:keepNext w:val="0"/>
        <w:keepLines w:val="0"/>
        <w:pageBreakBefore w:val="0"/>
        <w:numPr>
          <w:ilvl w:val="0"/>
          <w:numId w:val="7"/>
        </w:numPr>
        <w:kinsoku/>
        <w:wordWrap/>
        <w:overflowPunct/>
        <w:topLinePunct w:val="0"/>
        <w:bidi w:val="0"/>
        <w:snapToGrid/>
        <w:spacing w:line="440" w:lineRule="exact"/>
        <w:ind w:left="0" w:firstLine="482" w:firstLineChars="200"/>
        <w:textAlignment w:val="auto"/>
        <w:rPr>
          <w:rFonts w:ascii="宋体" w:hAnsi="宋体"/>
          <w:color w:val="auto"/>
          <w:highlight w:val="none"/>
        </w:rPr>
      </w:pPr>
      <w:r>
        <w:rPr>
          <w:rFonts w:hint="eastAsia" w:ascii="宋体" w:hAnsi="宋体" w:cs="宋体"/>
          <w:b/>
          <w:color w:val="auto"/>
          <w:highlight w:val="none"/>
        </w:rPr>
        <w:t>响应文件递交截止时间：202</w:t>
      </w:r>
      <w:r>
        <w:rPr>
          <w:rFonts w:hint="eastAsia" w:ascii="宋体" w:hAnsi="宋体" w:cs="宋体"/>
          <w:b/>
          <w:color w:val="auto"/>
          <w:highlight w:val="none"/>
          <w:lang w:val="en-US" w:eastAsia="zh-CN"/>
        </w:rPr>
        <w:t>2</w:t>
      </w:r>
      <w:r>
        <w:rPr>
          <w:rFonts w:hint="eastAsia" w:ascii="宋体" w:hAnsi="宋体" w:cs="宋体"/>
          <w:b/>
          <w:color w:val="auto"/>
          <w:highlight w:val="none"/>
        </w:rPr>
        <w:t>年</w:t>
      </w:r>
      <w:r>
        <w:rPr>
          <w:rFonts w:hint="eastAsia" w:ascii="宋体" w:hAnsi="宋体" w:cs="宋体"/>
          <w:b/>
          <w:color w:val="auto"/>
          <w:highlight w:val="none"/>
          <w:lang w:val="en-US" w:eastAsia="zh-CN"/>
        </w:rPr>
        <w:t>3</w:t>
      </w:r>
      <w:r>
        <w:rPr>
          <w:rFonts w:hint="eastAsia" w:ascii="宋体" w:hAnsi="宋体" w:cs="宋体"/>
          <w:b/>
          <w:color w:val="auto"/>
          <w:highlight w:val="none"/>
        </w:rPr>
        <w:t>月</w:t>
      </w:r>
      <w:r>
        <w:rPr>
          <w:rFonts w:hint="eastAsia" w:ascii="宋体" w:hAnsi="宋体" w:cs="宋体"/>
          <w:b/>
          <w:color w:val="auto"/>
          <w:highlight w:val="none"/>
          <w:lang w:val="en-US" w:eastAsia="zh-CN"/>
        </w:rPr>
        <w:t>18</w:t>
      </w:r>
      <w:r>
        <w:rPr>
          <w:rFonts w:hint="eastAsia" w:ascii="宋体" w:hAnsi="宋体" w:cs="宋体"/>
          <w:b/>
          <w:color w:val="auto"/>
          <w:highlight w:val="none"/>
        </w:rPr>
        <w:t>日10:30(北京时间)。</w:t>
      </w:r>
    </w:p>
    <w:p>
      <w:pPr>
        <w:spacing w:line="360" w:lineRule="auto"/>
        <w:ind w:firstLine="480" w:firstLineChars="200"/>
        <w:rPr>
          <w:rFonts w:hint="eastAsia" w:ascii="宋体" w:hAnsi="宋体" w:eastAsia="宋体" w:cs="宋体"/>
          <w:kern w:val="2"/>
          <w:sz w:val="24"/>
          <w:szCs w:val="22"/>
          <w:highlight w:val="none"/>
        </w:rPr>
      </w:pPr>
      <w:r>
        <w:rPr>
          <w:rFonts w:hint="eastAsia" w:hAnsi="宋体" w:cs="宋体"/>
          <w:kern w:val="2"/>
          <w:sz w:val="24"/>
          <w:szCs w:val="22"/>
          <w:highlight w:val="none"/>
          <w:lang w:val="en-US" w:eastAsia="zh-CN"/>
        </w:rPr>
        <w:t>磋商</w:t>
      </w:r>
      <w:r>
        <w:rPr>
          <w:rFonts w:hint="eastAsia" w:ascii="宋体" w:hAnsi="宋体" w:eastAsia="宋体" w:cs="宋体"/>
          <w:kern w:val="2"/>
          <w:sz w:val="24"/>
          <w:szCs w:val="22"/>
          <w:highlight w:val="none"/>
        </w:rPr>
        <w:t>截止时间前，</w:t>
      </w:r>
      <w:r>
        <w:rPr>
          <w:rFonts w:hint="eastAsia" w:hAnsi="宋体" w:cs="宋体"/>
          <w:kern w:val="2"/>
          <w:sz w:val="24"/>
          <w:szCs w:val="22"/>
          <w:highlight w:val="none"/>
          <w:lang w:val="en-US" w:eastAsia="zh-CN"/>
        </w:rPr>
        <w:t>供应商</w:t>
      </w:r>
      <w:r>
        <w:rPr>
          <w:rFonts w:hint="eastAsia" w:ascii="宋体" w:hAnsi="宋体" w:eastAsia="宋体" w:cs="宋体"/>
          <w:kern w:val="2"/>
          <w:sz w:val="24"/>
          <w:szCs w:val="22"/>
          <w:highlight w:val="none"/>
        </w:rPr>
        <w:t>应将加密的电子</w:t>
      </w:r>
      <w:r>
        <w:rPr>
          <w:rFonts w:hint="eastAsia" w:hAnsi="宋体" w:cs="宋体"/>
          <w:kern w:val="2"/>
          <w:sz w:val="24"/>
          <w:szCs w:val="22"/>
          <w:highlight w:val="none"/>
          <w:lang w:val="en-US" w:eastAsia="zh-CN"/>
        </w:rPr>
        <w:t>响应</w:t>
      </w:r>
      <w:r>
        <w:rPr>
          <w:rFonts w:hint="eastAsia" w:ascii="宋体" w:hAnsi="宋体" w:eastAsia="宋体" w:cs="宋体"/>
          <w:kern w:val="2"/>
          <w:sz w:val="24"/>
          <w:szCs w:val="22"/>
          <w:highlight w:val="none"/>
        </w:rPr>
        <w:t>文件递交至“政府采购云平台”对应项目（包件）。本项目只接受供应商加密并提交至“政府采购云平台” （www.zcygov.cn）的响应文件。</w:t>
      </w:r>
    </w:p>
    <w:p>
      <w:pPr>
        <w:keepNext w:val="0"/>
        <w:keepLines w:val="0"/>
        <w:pageBreakBefore w:val="0"/>
        <w:numPr>
          <w:ilvl w:val="0"/>
          <w:numId w:val="7"/>
        </w:numPr>
        <w:kinsoku/>
        <w:wordWrap/>
        <w:overflowPunct/>
        <w:topLinePunct w:val="0"/>
        <w:bidi w:val="0"/>
        <w:snapToGrid/>
        <w:spacing w:line="420" w:lineRule="exact"/>
        <w:ind w:left="0" w:firstLine="482" w:firstLineChars="200"/>
        <w:textAlignment w:val="auto"/>
        <w:rPr>
          <w:rFonts w:ascii="宋体" w:hAnsi="宋体"/>
          <w:b/>
          <w:bCs/>
          <w:color w:val="auto"/>
          <w:highlight w:val="none"/>
        </w:rPr>
      </w:pPr>
      <w:r>
        <w:rPr>
          <w:rFonts w:hint="eastAsia" w:ascii="宋体" w:hAnsi="宋体"/>
          <w:b/>
          <w:bCs/>
          <w:color w:val="auto"/>
          <w:highlight w:val="none"/>
          <w:lang w:val="en-US" w:eastAsia="zh-CN"/>
        </w:rPr>
        <w:t>响应文件解密</w:t>
      </w:r>
    </w:p>
    <w:p>
      <w:pPr>
        <w:keepNext w:val="0"/>
        <w:keepLines w:val="0"/>
        <w:pageBreakBefore w:val="0"/>
        <w:numPr>
          <w:ilvl w:val="0"/>
          <w:numId w:val="0"/>
        </w:numPr>
        <w:kinsoku/>
        <w:wordWrap/>
        <w:overflowPunct/>
        <w:topLinePunct w:val="0"/>
        <w:bidi w:val="0"/>
        <w:snapToGrid/>
        <w:spacing w:line="420" w:lineRule="exact"/>
        <w:ind w:left="0" w:leftChars="0" w:firstLine="480" w:firstLineChars="200"/>
        <w:textAlignment w:val="auto"/>
        <w:rPr>
          <w:rFonts w:ascii="宋体" w:hAnsi="宋体"/>
          <w:color w:val="auto"/>
          <w:highlight w:val="none"/>
        </w:rPr>
      </w:pPr>
      <w:r>
        <w:rPr>
          <w:rFonts w:hint="eastAsia" w:ascii="宋体" w:hAnsi="宋体" w:eastAsia="宋体" w:cs="宋体"/>
          <w:highlight w:val="none"/>
        </w:rPr>
        <w:t>202</w:t>
      </w:r>
      <w:r>
        <w:rPr>
          <w:rFonts w:hint="eastAsia" w:ascii="宋体" w:hAnsi="宋体" w:cs="宋体"/>
          <w:highlight w:val="none"/>
          <w:lang w:val="en-US" w:eastAsia="zh-CN"/>
        </w:rPr>
        <w:t>2</w:t>
      </w:r>
      <w:r>
        <w:rPr>
          <w:rFonts w:hint="eastAsia" w:ascii="宋体" w:hAnsi="宋体" w:eastAsia="宋体" w:cs="宋体"/>
          <w:highlight w:val="none"/>
        </w:rPr>
        <w:t>年</w:t>
      </w:r>
      <w:r>
        <w:rPr>
          <w:rFonts w:hint="eastAsia" w:ascii="宋体" w:hAnsi="宋体" w:cs="宋体"/>
          <w:highlight w:val="none"/>
          <w:lang w:val="en-US" w:eastAsia="zh-CN"/>
        </w:rPr>
        <w:t>3</w:t>
      </w:r>
      <w:r>
        <w:rPr>
          <w:rFonts w:hint="eastAsia" w:ascii="宋体" w:hAnsi="宋体" w:eastAsia="宋体" w:cs="宋体"/>
          <w:highlight w:val="none"/>
        </w:rPr>
        <w:t>月</w:t>
      </w:r>
      <w:r>
        <w:rPr>
          <w:rFonts w:hint="eastAsia" w:ascii="宋体" w:hAnsi="宋体" w:cs="宋体"/>
          <w:highlight w:val="none"/>
          <w:lang w:val="en-US" w:eastAsia="zh-CN"/>
        </w:rPr>
        <w:t>18</w:t>
      </w:r>
      <w:bookmarkStart w:id="445" w:name="_GoBack"/>
      <w:bookmarkEnd w:id="445"/>
      <w:r>
        <w:rPr>
          <w:rFonts w:hint="eastAsia" w:ascii="宋体" w:hAnsi="宋体" w:cs="宋体"/>
          <w:highlight w:val="none"/>
          <w:lang w:val="en-US" w:eastAsia="zh-CN"/>
        </w:rPr>
        <w:t xml:space="preserve"> </w:t>
      </w:r>
      <w:r>
        <w:rPr>
          <w:rFonts w:hint="eastAsia" w:ascii="宋体" w:hAnsi="宋体" w:eastAsia="宋体" w:cs="宋体"/>
          <w:highlight w:val="none"/>
        </w:rPr>
        <w:t>日10时31分至11时30分</w:t>
      </w:r>
      <w:r>
        <w:rPr>
          <w:rFonts w:hint="eastAsia" w:ascii="宋体" w:hAnsi="宋体" w:eastAsia="宋体" w:cs="宋体"/>
        </w:rPr>
        <w:t>（北京时间）。错过开标解密时间的，由</w:t>
      </w:r>
      <w:r>
        <w:rPr>
          <w:rFonts w:hint="eastAsia" w:ascii="宋体" w:hAnsi="宋体" w:cs="宋体"/>
          <w:lang w:val="en-US" w:eastAsia="zh-CN"/>
        </w:rPr>
        <w:t>供应商</w:t>
      </w:r>
      <w:r>
        <w:rPr>
          <w:rFonts w:hint="eastAsia" w:ascii="宋体" w:hAnsi="宋体" w:eastAsia="宋体" w:cs="宋体"/>
        </w:rPr>
        <w:t>自行承担不利后果。</w:t>
      </w:r>
    </w:p>
    <w:p>
      <w:pPr>
        <w:keepNext w:val="0"/>
        <w:keepLines w:val="0"/>
        <w:pageBreakBefore w:val="0"/>
        <w:numPr>
          <w:ilvl w:val="0"/>
          <w:numId w:val="7"/>
        </w:numPr>
        <w:kinsoku/>
        <w:wordWrap/>
        <w:overflowPunct/>
        <w:topLinePunct w:val="0"/>
        <w:bidi w:val="0"/>
        <w:snapToGrid/>
        <w:spacing w:line="420" w:lineRule="exact"/>
        <w:ind w:left="0" w:firstLine="482" w:firstLineChars="200"/>
        <w:textAlignment w:val="auto"/>
        <w:rPr>
          <w:rFonts w:ascii="宋体" w:hAnsi="宋体"/>
          <w:b/>
          <w:color w:val="auto"/>
          <w:highlight w:val="none"/>
        </w:rPr>
      </w:pPr>
      <w:r>
        <w:rPr>
          <w:rFonts w:hint="eastAsia" w:ascii="宋体" w:hAnsi="宋体"/>
          <w:b/>
          <w:color w:val="auto"/>
          <w:highlight w:val="none"/>
        </w:rPr>
        <w:t>磋商地点</w:t>
      </w:r>
    </w:p>
    <w:p>
      <w:pPr>
        <w:keepNext w:val="0"/>
        <w:keepLines w:val="0"/>
        <w:pageBreakBefore w:val="0"/>
        <w:numPr>
          <w:ilvl w:val="0"/>
          <w:numId w:val="0"/>
        </w:numPr>
        <w:kinsoku/>
        <w:wordWrap/>
        <w:overflowPunct/>
        <w:topLinePunct w:val="0"/>
        <w:bidi w:val="0"/>
        <w:snapToGrid/>
        <w:spacing w:line="42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本项目为不见面磋商。</w:t>
      </w:r>
    </w:p>
    <w:p>
      <w:pPr>
        <w:keepNext w:val="0"/>
        <w:keepLines w:val="0"/>
        <w:pageBreakBefore w:val="0"/>
        <w:numPr>
          <w:ilvl w:val="0"/>
          <w:numId w:val="0"/>
        </w:numPr>
        <w:kinsoku/>
        <w:wordWrap/>
        <w:overflowPunct/>
        <w:topLinePunct w:val="0"/>
        <w:bidi w:val="0"/>
        <w:snapToGrid/>
        <w:spacing w:line="420" w:lineRule="exact"/>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磋商地点：政府采购云平台开标大厅。</w:t>
      </w:r>
    </w:p>
    <w:p>
      <w:pPr>
        <w:keepNext w:val="0"/>
        <w:keepLines w:val="0"/>
        <w:pageBreakBefore w:val="0"/>
        <w:numPr>
          <w:ilvl w:val="0"/>
          <w:numId w:val="7"/>
        </w:numPr>
        <w:kinsoku/>
        <w:wordWrap/>
        <w:overflowPunct/>
        <w:topLinePunct w:val="0"/>
        <w:bidi w:val="0"/>
        <w:snapToGrid/>
        <w:spacing w:line="420" w:lineRule="exact"/>
        <w:ind w:left="0" w:firstLine="482" w:firstLineChars="200"/>
        <w:textAlignment w:val="auto"/>
        <w:rPr>
          <w:rFonts w:ascii="宋体" w:hAnsi="宋体"/>
          <w:b/>
          <w:color w:val="auto"/>
          <w:highlight w:val="none"/>
        </w:rPr>
      </w:pPr>
      <w:r>
        <w:rPr>
          <w:rFonts w:hint="eastAsia" w:ascii="宋体" w:hAnsi="宋体"/>
          <w:b/>
          <w:color w:val="auto"/>
          <w:highlight w:val="none"/>
        </w:rPr>
        <w:t>联系人及联系电话</w:t>
      </w:r>
    </w:p>
    <w:p>
      <w:pPr>
        <w:keepNext w:val="0"/>
        <w:keepLines w:val="0"/>
        <w:pageBreakBefore w:val="0"/>
        <w:widowControl w:val="0"/>
        <w:kinsoku/>
        <w:wordWrap/>
        <w:overflowPunct/>
        <w:topLinePunct w:val="0"/>
        <w:bidi w:val="0"/>
        <w:snapToGrid/>
        <w:spacing w:line="360" w:lineRule="auto"/>
        <w:ind w:left="480" w:leftChars="200"/>
        <w:jc w:val="both"/>
        <w:textAlignment w:val="auto"/>
        <w:rPr>
          <w:color w:val="auto"/>
          <w:kern w:val="2"/>
          <w:highlight w:val="none"/>
        </w:rPr>
      </w:pPr>
      <w:bookmarkStart w:id="64" w:name="_Toc391885334"/>
      <w:bookmarkStart w:id="65" w:name="_Toc381263230"/>
      <w:bookmarkStart w:id="66" w:name="_Toc287623638"/>
      <w:r>
        <w:rPr>
          <w:color w:val="auto"/>
          <w:kern w:val="2"/>
          <w:highlight w:val="none"/>
        </w:rPr>
        <w:t>采 购 人</w:t>
      </w:r>
      <w:r>
        <w:rPr>
          <w:rFonts w:hint="eastAsia" w:ascii="宋体" w:hAnsi="宋体" w:eastAsia="宋体" w:cs="宋体"/>
          <w:bCs/>
          <w:color w:val="auto"/>
          <w:sz w:val="24"/>
          <w:szCs w:val="24"/>
          <w:highlight w:val="none"/>
          <w:lang w:val="en-US" w:eastAsia="zh-CN" w:bidi="ar-SA"/>
        </w:rPr>
        <w:t>：</w:t>
      </w:r>
      <w:r>
        <w:rPr>
          <w:rFonts w:hint="eastAsia" w:ascii="宋体" w:hAnsi="宋体" w:cs="宋体"/>
          <w:bCs/>
          <w:color w:val="auto"/>
          <w:sz w:val="24"/>
          <w:szCs w:val="24"/>
          <w:highlight w:val="none"/>
          <w:lang w:val="en-US" w:eastAsia="zh-CN" w:bidi="ar-SA"/>
        </w:rPr>
        <w:t>成都市公安局龙泉驿区分局</w:t>
      </w:r>
      <w:r>
        <w:rPr>
          <w:rFonts w:hint="eastAsia" w:ascii="宋体" w:hAnsi="宋体" w:eastAsia="宋体" w:cs="宋体"/>
          <w:bCs/>
          <w:color w:val="auto"/>
          <w:sz w:val="24"/>
          <w:szCs w:val="24"/>
          <w:highlight w:val="none"/>
          <w:lang w:val="en-US" w:eastAsia="zh-CN" w:bidi="ar-SA"/>
        </w:rPr>
        <w:t xml:space="preserve"> </w:t>
      </w:r>
    </w:p>
    <w:p>
      <w:pPr>
        <w:pStyle w:val="21"/>
        <w:ind w:left="0" w:leftChars="0" w:firstLine="480"/>
        <w:rPr>
          <w:rFonts w:hint="eastAsia" w:ascii="宋体" w:hAnsi="宋体" w:cs="宋体"/>
          <w:bCs/>
          <w:sz w:val="24"/>
        </w:rPr>
      </w:pPr>
      <w:r>
        <w:rPr>
          <w:rFonts w:hint="eastAsia" w:ascii="宋体" w:hAnsi="宋体" w:cs="宋体"/>
          <w:bCs/>
          <w:sz w:val="24"/>
        </w:rPr>
        <w:t>地 址：</w:t>
      </w:r>
      <w:r>
        <w:rPr>
          <w:rFonts w:hint="eastAsia" w:ascii="宋体" w:hAnsi="宋体" w:cs="宋体"/>
          <w:sz w:val="24"/>
        </w:rPr>
        <w:t>成都市龙泉驿区龙泉街道龙都南路205号</w:t>
      </w:r>
    </w:p>
    <w:p>
      <w:pPr>
        <w:pStyle w:val="21"/>
        <w:ind w:left="0" w:leftChars="0" w:firstLine="480"/>
        <w:rPr>
          <w:rFonts w:hint="eastAsia" w:ascii="宋体" w:hAnsi="宋体" w:cs="宋体"/>
          <w:sz w:val="24"/>
        </w:rPr>
      </w:pPr>
      <w:r>
        <w:rPr>
          <w:rFonts w:hint="eastAsia" w:ascii="宋体" w:hAnsi="宋体" w:cs="宋体"/>
          <w:sz w:val="24"/>
        </w:rPr>
        <w:t xml:space="preserve">联系人： </w:t>
      </w:r>
      <w:r>
        <w:rPr>
          <w:rFonts w:hint="eastAsia" w:hAnsi="宋体" w:cs="宋体"/>
          <w:bCs/>
          <w:sz w:val="24"/>
          <w:lang w:val="en-US" w:eastAsia="zh-CN"/>
        </w:rPr>
        <w:t>沈</w:t>
      </w:r>
      <w:r>
        <w:rPr>
          <w:rFonts w:hint="eastAsia" w:ascii="宋体" w:hAnsi="宋体" w:cs="宋体"/>
          <w:bCs/>
          <w:sz w:val="24"/>
        </w:rPr>
        <w:t>老师</w:t>
      </w:r>
    </w:p>
    <w:p>
      <w:pPr>
        <w:pStyle w:val="21"/>
        <w:ind w:left="0" w:leftChars="0" w:firstLine="480"/>
        <w:rPr>
          <w:rFonts w:hint="eastAsia" w:ascii="宋体" w:hAnsi="宋体" w:cs="宋体"/>
          <w:sz w:val="24"/>
        </w:rPr>
      </w:pPr>
      <w:r>
        <w:rPr>
          <w:rFonts w:hint="eastAsia" w:ascii="宋体" w:hAnsi="宋体" w:cs="宋体"/>
          <w:sz w:val="24"/>
        </w:rPr>
        <w:t>联系电话</w:t>
      </w:r>
      <w:r>
        <w:rPr>
          <w:rFonts w:hint="eastAsia" w:ascii="宋体" w:hAnsi="宋体" w:cs="宋体"/>
          <w:bCs/>
          <w:sz w:val="24"/>
        </w:rPr>
        <w:t>：</w:t>
      </w:r>
      <w:r>
        <w:rPr>
          <w:rFonts w:hint="eastAsia" w:ascii="宋体" w:hAnsi="宋体" w:cs="宋体"/>
          <w:sz w:val="24"/>
        </w:rPr>
        <w:t>028-84882824</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采购代理机构：四川世科工程咨询有限公司 </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Ansi="宋体"/>
          <w:bCs/>
          <w:color w:val="auto"/>
          <w:sz w:val="24"/>
          <w:highlight w:val="none"/>
        </w:rPr>
      </w:pPr>
      <w:r>
        <w:rPr>
          <w:rFonts w:hint="eastAsia" w:hAnsi="宋体" w:cs="宋体"/>
          <w:bCs/>
          <w:color w:val="auto"/>
          <w:sz w:val="24"/>
          <w:highlight w:val="none"/>
        </w:rPr>
        <w:t xml:space="preserve">地 </w:t>
      </w:r>
      <w:r>
        <w:rPr>
          <w:rFonts w:hint="eastAsia" w:hAnsi="宋体" w:cs="宋体"/>
          <w:bCs/>
          <w:color w:val="auto"/>
          <w:sz w:val="24"/>
          <w:highlight w:val="none"/>
          <w:lang w:val="en-US" w:eastAsia="zh-CN"/>
        </w:rPr>
        <w:t xml:space="preserve">   </w:t>
      </w:r>
      <w:r>
        <w:rPr>
          <w:rFonts w:hint="eastAsia" w:hAnsi="宋体" w:cs="宋体"/>
          <w:bCs/>
          <w:color w:val="auto"/>
          <w:sz w:val="24"/>
          <w:highlight w:val="none"/>
        </w:rPr>
        <w:t>址：</w:t>
      </w:r>
      <w:r>
        <w:rPr>
          <w:rFonts w:hint="eastAsia" w:hAnsi="宋体"/>
          <w:bCs/>
          <w:color w:val="auto"/>
          <w:sz w:val="24"/>
          <w:highlight w:val="none"/>
        </w:rPr>
        <w:t>高新区天府三街288号大有智慧广场迈普大厦10楼1010室</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联 系 人：高老师</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联系电话：028-61032618 </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hAnsi="宋体" w:cs="宋体"/>
          <w:bCs/>
          <w:color w:val="auto"/>
          <w:sz w:val="24"/>
          <w:highlight w:val="none"/>
        </w:rPr>
      </w:pPr>
      <w:r>
        <w:rPr>
          <w:rFonts w:hint="eastAsia" w:hAnsi="宋体" w:cs="宋体"/>
          <w:bCs/>
          <w:color w:val="auto"/>
          <w:sz w:val="24"/>
          <w:highlight w:val="none"/>
        </w:rPr>
        <w:t>传</w:t>
      </w:r>
      <w:r>
        <w:rPr>
          <w:rFonts w:hint="eastAsia" w:hAnsi="宋体" w:cs="宋体"/>
          <w:bCs/>
          <w:color w:val="auto"/>
          <w:sz w:val="24"/>
          <w:highlight w:val="none"/>
          <w:lang w:val="en-US" w:eastAsia="zh-CN"/>
        </w:rPr>
        <w:t xml:space="preserve">   </w:t>
      </w:r>
      <w:r>
        <w:rPr>
          <w:rFonts w:hint="eastAsia" w:hAnsi="宋体" w:cs="宋体"/>
          <w:bCs/>
          <w:color w:val="auto"/>
          <w:sz w:val="24"/>
          <w:highlight w:val="none"/>
        </w:rPr>
        <w:t xml:space="preserve"> 真：028-61032618</w:t>
      </w:r>
    </w:p>
    <w:p>
      <w:pPr>
        <w:pStyle w:val="21"/>
        <w:ind w:firstLine="480" w:firstLineChars="200"/>
        <w:jc w:val="left"/>
        <w:rPr>
          <w:rFonts w:hint="eastAsia" w:hAnsi="宋体" w:cs="宋体"/>
          <w:bCs/>
          <w:color w:val="auto"/>
          <w:sz w:val="24"/>
          <w:highlight w:val="none"/>
        </w:rPr>
        <w:sectPr>
          <w:footerReference r:id="rId10" w:type="first"/>
          <w:footerReference r:id="rId9" w:type="default"/>
          <w:pgSz w:w="11906" w:h="16838"/>
          <w:pgMar w:top="1417" w:right="1417" w:bottom="1417" w:left="1417" w:header="851" w:footer="850" w:gutter="0"/>
          <w:pgNumType w:start="1"/>
          <w:cols w:space="0" w:num="1"/>
          <w:titlePg/>
          <w:docGrid w:type="lines" w:linePitch="312" w:charSpace="0"/>
        </w:sectPr>
      </w:pPr>
    </w:p>
    <w:p>
      <w:pPr>
        <w:pStyle w:val="3"/>
        <w:rPr>
          <w:rFonts w:hint="eastAsia"/>
          <w:color w:val="auto"/>
          <w:highlight w:val="none"/>
        </w:rPr>
      </w:pPr>
      <w:bookmarkStart w:id="67" w:name="_Toc4168"/>
      <w:r>
        <w:rPr>
          <w:rFonts w:hint="eastAsia"/>
          <w:color w:val="auto"/>
          <w:highlight w:val="none"/>
        </w:rPr>
        <w:t>磋商供应商须知</w:t>
      </w:r>
      <w:bookmarkEnd w:id="64"/>
      <w:bookmarkEnd w:id="67"/>
    </w:p>
    <w:p>
      <w:pPr>
        <w:pStyle w:val="4"/>
        <w:rPr>
          <w:color w:val="auto"/>
          <w:sz w:val="24"/>
          <w:szCs w:val="24"/>
          <w:highlight w:val="none"/>
        </w:rPr>
      </w:pPr>
      <w:bookmarkStart w:id="68" w:name="_Toc8247"/>
      <w:r>
        <w:rPr>
          <w:rFonts w:hint="eastAsia"/>
          <w:color w:val="auto"/>
          <w:sz w:val="24"/>
          <w:szCs w:val="24"/>
          <w:highlight w:val="none"/>
        </w:rPr>
        <w:t>磋商供应商须知附表</w:t>
      </w:r>
      <w:bookmarkEnd w:id="68"/>
    </w:p>
    <w:tbl>
      <w:tblPr>
        <w:tblStyle w:val="44"/>
        <w:tblW w:w="973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1065"/>
        <w:gridCol w:w="1605"/>
        <w:gridCol w:w="706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1" w:hRule="exact"/>
          <w:tblHeader/>
          <w:jc w:val="center"/>
        </w:trPr>
        <w:tc>
          <w:tcPr>
            <w:tcW w:w="1065"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605"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7063"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p>
        </w:tc>
        <w:tc>
          <w:tcPr>
            <w:tcW w:w="1605"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采购预算（实质性要求）</w:t>
            </w:r>
          </w:p>
        </w:tc>
        <w:tc>
          <w:tcPr>
            <w:tcW w:w="7063" w:type="dxa"/>
            <w:vAlign w:val="center"/>
          </w:tcPr>
          <w:p>
            <w:pPr>
              <w:pStyle w:val="21"/>
              <w:keepNext w:val="0"/>
              <w:keepLines w:val="0"/>
              <w:pageBreakBefore w:val="0"/>
              <w:kinsoku/>
              <w:wordWrap/>
              <w:overflowPunct/>
              <w:topLinePunct w:val="0"/>
              <w:bidi w:val="0"/>
              <w:snapToGrid/>
              <w:spacing w:after="156" w:afterLines="5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本项目采购预算：</w:t>
            </w:r>
            <w:r>
              <w:rPr>
                <w:rFonts w:hint="eastAsia" w:hAnsi="宋体" w:cs="宋体"/>
                <w:b/>
                <w:bCs/>
                <w:color w:val="auto"/>
                <w:sz w:val="24"/>
                <w:szCs w:val="24"/>
                <w:highlight w:val="none"/>
                <w:lang w:val="en-US" w:eastAsia="zh-CN"/>
              </w:rPr>
              <w:t>288万元/年</w:t>
            </w:r>
            <w:r>
              <w:rPr>
                <w:rFonts w:hint="eastAsia" w:ascii="宋体" w:hAnsi="宋体" w:eastAsia="宋体" w:cs="宋体"/>
                <w:b/>
                <w:bCs/>
                <w:color w:val="auto"/>
                <w:sz w:val="24"/>
                <w:szCs w:val="24"/>
                <w:highlight w:val="none"/>
                <w:lang w:val="en-US" w:eastAsia="zh-CN"/>
              </w:rPr>
              <w:t>，供应商报价超过采购预算作无效磋商处理。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p>
        </w:tc>
        <w:tc>
          <w:tcPr>
            <w:tcW w:w="1605"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最高限价（实质性要求）</w:t>
            </w:r>
          </w:p>
        </w:tc>
        <w:tc>
          <w:tcPr>
            <w:tcW w:w="7063" w:type="dxa"/>
            <w:vAlign w:val="center"/>
          </w:tcPr>
          <w:p>
            <w:pPr>
              <w:pStyle w:val="21"/>
              <w:keepNext w:val="0"/>
              <w:keepLines w:val="0"/>
              <w:pageBreakBefore w:val="0"/>
              <w:kinsoku/>
              <w:wordWrap/>
              <w:overflowPunct/>
              <w:topLinePunct w:val="0"/>
              <w:bidi w:val="0"/>
              <w:snapToGrid/>
              <w:spacing w:after="156" w:afterLines="50" w:line="360" w:lineRule="auto"/>
              <w:ind w:firstLine="0" w:firstLineChars="0"/>
              <w:textAlignment w:val="auto"/>
              <w:rPr>
                <w:rFonts w:hint="eastAsia" w:ascii="宋体" w:hAnsi="宋体" w:eastAsia="宋体" w:cs="宋体"/>
                <w:b/>
                <w:bCs w:val="0"/>
                <w:sz w:val="24"/>
                <w:szCs w:val="24"/>
                <w:lang w:val="zh-CN"/>
              </w:rPr>
            </w:pPr>
            <w:r>
              <w:rPr>
                <w:rFonts w:hint="eastAsia" w:ascii="宋体" w:hAnsi="宋体" w:eastAsia="宋体" w:cs="宋体"/>
                <w:b/>
                <w:color w:val="auto"/>
                <w:kern w:val="0"/>
                <w:sz w:val="24"/>
                <w:szCs w:val="24"/>
                <w:highlight w:val="none"/>
              </w:rPr>
              <w:t>本项目</w:t>
            </w:r>
            <w:r>
              <w:rPr>
                <w:rFonts w:hint="eastAsia" w:ascii="宋体" w:hAnsi="宋体" w:eastAsia="宋体" w:cs="宋体"/>
                <w:b/>
                <w:color w:val="auto"/>
                <w:kern w:val="0"/>
                <w:sz w:val="24"/>
                <w:szCs w:val="24"/>
                <w:highlight w:val="none"/>
                <w:lang w:val="en-US" w:eastAsia="zh-CN"/>
              </w:rPr>
              <w:t>最高限价</w:t>
            </w:r>
            <w:r>
              <w:rPr>
                <w:rFonts w:hint="eastAsia" w:hAnsi="宋体" w:cs="宋体"/>
                <w:b/>
                <w:color w:val="auto"/>
                <w:kern w:val="0"/>
                <w:sz w:val="24"/>
                <w:szCs w:val="24"/>
                <w:highlight w:val="none"/>
                <w:lang w:val="en-US" w:eastAsia="zh-CN"/>
              </w:rPr>
              <w:t>288万元/年</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lang w:eastAsia="zh-CN"/>
              </w:rPr>
              <w:t>供应商报</w:t>
            </w:r>
            <w:r>
              <w:rPr>
                <w:rFonts w:hint="eastAsia" w:ascii="宋体" w:hAnsi="宋体" w:eastAsia="宋体" w:cs="宋体"/>
                <w:b/>
                <w:color w:val="auto"/>
                <w:kern w:val="0"/>
                <w:sz w:val="24"/>
                <w:szCs w:val="24"/>
                <w:highlight w:val="none"/>
                <w:lang w:val="en-US" w:eastAsia="zh-CN"/>
              </w:rPr>
              <w:t>价</w:t>
            </w:r>
            <w:r>
              <w:rPr>
                <w:rFonts w:hint="eastAsia" w:ascii="宋体" w:hAnsi="宋体" w:eastAsia="宋体" w:cs="宋体"/>
                <w:b/>
                <w:color w:val="auto"/>
                <w:kern w:val="0"/>
                <w:sz w:val="24"/>
                <w:szCs w:val="24"/>
                <w:highlight w:val="none"/>
                <w:lang w:eastAsia="zh-CN"/>
              </w:rPr>
              <w:t>高于最高限价</w:t>
            </w:r>
            <w:r>
              <w:rPr>
                <w:rFonts w:hint="eastAsia" w:ascii="宋体" w:hAnsi="宋体" w:eastAsia="宋体" w:cs="宋体"/>
                <w:b/>
                <w:color w:val="auto"/>
                <w:kern w:val="0"/>
                <w:sz w:val="24"/>
                <w:szCs w:val="24"/>
                <w:highlight w:val="none"/>
              </w:rPr>
              <w:t>的</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其</w:t>
            </w:r>
            <w:r>
              <w:rPr>
                <w:rFonts w:hint="eastAsia" w:ascii="宋体" w:hAnsi="宋体" w:eastAsia="宋体" w:cs="宋体"/>
                <w:b/>
                <w:color w:val="auto"/>
                <w:kern w:val="0"/>
                <w:sz w:val="24"/>
                <w:szCs w:val="24"/>
                <w:highlight w:val="none"/>
                <w:lang w:eastAsia="zh-CN"/>
              </w:rPr>
              <w:t>响应</w:t>
            </w:r>
            <w:r>
              <w:rPr>
                <w:rFonts w:hint="eastAsia" w:ascii="宋体" w:hAnsi="宋体" w:eastAsia="宋体" w:cs="宋体"/>
                <w:b/>
                <w:color w:val="auto"/>
                <w:kern w:val="0"/>
                <w:sz w:val="24"/>
                <w:szCs w:val="24"/>
                <w:highlight w:val="none"/>
              </w:rPr>
              <w:t>文件将按无效</w:t>
            </w:r>
            <w:r>
              <w:rPr>
                <w:rFonts w:hint="eastAsia" w:ascii="宋体" w:hAnsi="宋体" w:eastAsia="宋体" w:cs="宋体"/>
                <w:b/>
                <w:color w:val="auto"/>
                <w:kern w:val="0"/>
                <w:sz w:val="24"/>
                <w:szCs w:val="24"/>
                <w:highlight w:val="none"/>
                <w:lang w:eastAsia="zh-CN"/>
              </w:rPr>
              <w:t>响应</w:t>
            </w:r>
            <w:r>
              <w:rPr>
                <w:rFonts w:hint="eastAsia" w:ascii="宋体" w:hAnsi="宋体" w:eastAsia="宋体" w:cs="宋体"/>
                <w:b/>
                <w:color w:val="auto"/>
                <w:kern w:val="0"/>
                <w:sz w:val="24"/>
                <w:szCs w:val="24"/>
                <w:highlight w:val="none"/>
              </w:rPr>
              <w:t>文件处理。</w:t>
            </w:r>
            <w:r>
              <w:rPr>
                <w:rFonts w:hint="eastAsia" w:ascii="宋体" w:hAnsi="宋体" w:eastAsia="宋体" w:cs="宋体"/>
                <w:b/>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021" w:hRule="atLeas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p>
        </w:tc>
        <w:tc>
          <w:tcPr>
            <w:tcW w:w="1605"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低于成本价不正当</w:t>
            </w: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竞争预防措施</w:t>
            </w: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（实质性要求）</w:t>
            </w:r>
          </w:p>
        </w:tc>
        <w:tc>
          <w:tcPr>
            <w:tcW w:w="7063" w:type="dxa"/>
            <w:vAlign w:val="center"/>
          </w:tcPr>
          <w:p>
            <w:pPr>
              <w:widowControl/>
              <w:tabs>
                <w:tab w:val="left" w:pos="-2127"/>
                <w:tab w:val="left" w:pos="1134"/>
              </w:tabs>
              <w:snapToGrid w:val="0"/>
              <w:spacing w:after="200" w:line="360" w:lineRule="auto"/>
              <w:ind w:firstLine="480" w:firstLineChars="200"/>
              <w:rPr>
                <w:rFonts w:hint="eastAsia"/>
              </w:rPr>
            </w:pPr>
            <w:r>
              <w:rPr>
                <w:rFonts w:hint="eastAsia" w:ascii="宋体" w:hAnsi="宋体" w:eastAsia="宋体" w:cs="宋体"/>
                <w:color w:val="auto"/>
                <w:sz w:val="24"/>
                <w:szCs w:val="24"/>
                <w:highlight w:val="none"/>
                <w:lang w:val="zh-CN" w:eastAsia="zh-CN" w:bidi="ar-SA"/>
              </w:rPr>
              <w:t>在评审过程中，磋商小组认为供应商最后报价明显低于其他通过符合性审查供应商的最后报价，有可能影响产品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提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shd w:val="clear" w:color="auto" w:fill="auto"/>
            <w:vAlign w:val="center"/>
          </w:tcPr>
          <w:p>
            <w:pPr>
              <w:pStyle w:val="126"/>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rPr>
              <w:t>失信企业</w:t>
            </w:r>
            <w:r>
              <w:rPr>
                <w:rFonts w:hint="eastAsia" w:ascii="宋体" w:hAnsi="宋体" w:eastAsia="宋体" w:cs="宋体"/>
                <w:color w:val="auto"/>
                <w:kern w:val="2"/>
                <w:sz w:val="24"/>
                <w:szCs w:val="24"/>
                <w:highlight w:val="none"/>
                <w:lang w:val="en-US" w:eastAsia="zh-CN"/>
              </w:rPr>
              <w:t>惩戒措施</w:t>
            </w:r>
          </w:p>
          <w:p>
            <w:pPr>
              <w:pStyle w:val="126"/>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highlight w:val="none"/>
                <w:lang w:val="zh-CN"/>
              </w:rPr>
            </w:pPr>
          </w:p>
        </w:tc>
        <w:tc>
          <w:tcPr>
            <w:tcW w:w="7063" w:type="dxa"/>
            <w:shd w:val="clear" w:color="auto" w:fill="auto"/>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严格按照《四川省公共资源交易领域严重失信联合惩戒实施办法》（川发改信用规〔2019〕405号）、《关于对政府采购领域严重违法失信主体开展联合惩戒的合作备案录》（发改财金〔2018〕1614号）等相关文件的规定执行。</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shd w:val="clear" w:color="auto" w:fill="auto"/>
            <w:vAlign w:val="center"/>
          </w:tcPr>
          <w:p>
            <w:pPr>
              <w:keepNext w:val="0"/>
              <w:keepLines w:val="0"/>
              <w:pageBreakBefore w:val="0"/>
              <w:tabs>
                <w:tab w:val="left" w:pos="7665"/>
              </w:tabs>
              <w:kinsoku/>
              <w:wordWrap/>
              <w:overflowPunct/>
              <w:topLinePunct w:val="0"/>
              <w:bidi w:val="0"/>
              <w:snapToGrid/>
              <w:spacing w:line="360" w:lineRule="auto"/>
              <w:ind w:firstLine="0" w:firstLineChars="0"/>
              <w:contextualSpacing/>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 w:val="0"/>
                <w:sz w:val="24"/>
                <w:szCs w:val="24"/>
                <w:lang w:val="en-US" w:eastAsia="zh-CN" w:bidi="ar-SA"/>
              </w:rPr>
              <w:t>中小企业扶持政策</w:t>
            </w:r>
          </w:p>
        </w:tc>
        <w:tc>
          <w:tcPr>
            <w:tcW w:w="7063" w:type="dxa"/>
            <w:shd w:val="clear" w:color="auto" w:fill="auto"/>
            <w:vAlign w:val="center"/>
          </w:tcPr>
          <w:p>
            <w:pPr>
              <w:keepNext w:val="0"/>
              <w:keepLines w:val="0"/>
              <w:pageBreakBefore w:val="0"/>
              <w:widowControl/>
              <w:kinsoku/>
              <w:wordWrap/>
              <w:overflowPunct/>
              <w:topLinePunct w:val="0"/>
              <w:bidi w:val="0"/>
              <w:snapToGrid/>
              <w:spacing w:line="400" w:lineRule="atLeast"/>
              <w:contextualSpacing/>
              <w:jc w:val="lef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本项目</w:t>
            </w:r>
            <w:r>
              <w:rPr>
                <w:rFonts w:hint="eastAsia" w:cs="宋体"/>
                <w:sz w:val="24"/>
                <w:szCs w:val="24"/>
                <w:lang w:val="en-US" w:eastAsia="zh-CN"/>
              </w:rPr>
              <w:t>非</w:t>
            </w:r>
            <w:r>
              <w:rPr>
                <w:rFonts w:hint="eastAsia" w:ascii="宋体" w:hAnsi="宋体" w:eastAsia="宋体" w:cs="宋体"/>
                <w:sz w:val="24"/>
                <w:szCs w:val="24"/>
                <w:lang w:val="zh-CN" w:eastAsia="zh-CN"/>
              </w:rPr>
              <w:t>专门面向中小企业采购。</w:t>
            </w:r>
          </w:p>
          <w:p>
            <w:pPr>
              <w:pStyle w:val="126"/>
              <w:keepNext w:val="0"/>
              <w:keepLines w:val="0"/>
              <w:pageBreakBefore w:val="0"/>
              <w:numPr>
                <w:ilvl w:val="0"/>
                <w:numId w:val="14"/>
              </w:numPr>
              <w:kinsoku/>
              <w:wordWrap/>
              <w:overflowPunct/>
              <w:topLinePunct w:val="0"/>
              <w:bidi w:val="0"/>
              <w:spacing w:line="360" w:lineRule="auto"/>
              <w:ind w:left="5" w:leftChars="0" w:hanging="5" w:firstLineChars="0"/>
              <w:textAlignment w:val="auto"/>
              <w:rPr>
                <w:rFonts w:hint="default" w:ascii="Times New Roman" w:hAnsi="Times New Roman" w:eastAsia="仿宋" w:cs="Times New Roman"/>
                <w:b w:val="0"/>
                <w:color w:val="auto"/>
                <w:sz w:val="24"/>
                <w:szCs w:val="24"/>
                <w:lang w:val="en-US" w:eastAsia="zh-CN" w:bidi="ar-SA"/>
              </w:rPr>
            </w:pPr>
            <w:r>
              <w:rPr>
                <w:rFonts w:hint="default" w:ascii="宋体" w:hAnsi="宋体" w:eastAsia="宋体" w:cs="宋体"/>
                <w:sz w:val="24"/>
                <w:szCs w:val="24"/>
                <w:lang w:val="en-US" w:eastAsia="zh-CN"/>
              </w:rPr>
              <w:t>根据《政府采购促进中小企业发展管理办法》（财库〔</w:t>
            </w:r>
            <w:r>
              <w:rPr>
                <w:rFonts w:hint="eastAsia" w:ascii="宋体" w:hAnsi="宋体" w:eastAsia="宋体" w:cs="宋体"/>
                <w:sz w:val="24"/>
                <w:szCs w:val="24"/>
                <w:lang w:val="en-US" w:eastAsia="zh-CN"/>
              </w:rPr>
              <w:t>2020</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46</w:t>
            </w:r>
            <w:r>
              <w:rPr>
                <w:rFonts w:hint="default" w:ascii="宋体" w:hAnsi="宋体" w:eastAsia="宋体" w:cs="宋体"/>
                <w:sz w:val="24"/>
                <w:szCs w:val="24"/>
                <w:lang w:val="en-US" w:eastAsia="zh-CN"/>
              </w:rPr>
              <w:t>号）的规定</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服务由中小企业承接，即提供服务的人员为中小企业依照《中华人民共和国</w:t>
            </w:r>
            <w:r>
              <w:rPr>
                <w:rFonts w:hint="eastAsia" w:ascii="宋体" w:hAnsi="宋体" w:eastAsia="宋体" w:cs="宋体"/>
                <w:sz w:val="24"/>
                <w:szCs w:val="24"/>
                <w:lang w:val="en-US" w:eastAsia="zh-CN"/>
              </w:rPr>
              <w:t>民法典</w:t>
            </w:r>
            <w:r>
              <w:rPr>
                <w:rFonts w:hint="default" w:ascii="宋体" w:hAnsi="宋体" w:eastAsia="宋体" w:cs="宋体"/>
                <w:sz w:val="24"/>
                <w:szCs w:val="24"/>
                <w:lang w:val="en-US" w:eastAsia="zh-CN"/>
              </w:rPr>
              <w:t>》订立劳动合同的从业人员</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享受本办法规定的中小企业扶持政策（残疾人福利性单位、监狱企业视同小微企业）</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对小微企业报价给予10%的扣除，用扣除后的价格参加评审。</w:t>
            </w:r>
          </w:p>
          <w:p>
            <w:pPr>
              <w:keepNext w:val="0"/>
              <w:keepLines w:val="0"/>
              <w:pageBreakBefore w:val="0"/>
              <w:widowControl w:val="0"/>
              <w:numPr>
                <w:ilvl w:val="0"/>
                <w:numId w:val="14"/>
              </w:numPr>
              <w:tabs>
                <w:tab w:val="left" w:pos="1134"/>
              </w:tabs>
              <w:kinsoku/>
              <w:wordWrap/>
              <w:overflowPunct/>
              <w:topLinePunct w:val="0"/>
              <w:autoSpaceDE/>
              <w:autoSpaceDN/>
              <w:bidi w:val="0"/>
              <w:adjustRightInd/>
              <w:snapToGrid w:val="0"/>
              <w:spacing w:line="360" w:lineRule="auto"/>
              <w:ind w:left="5" w:leftChars="0" w:right="0" w:rightChars="0" w:hanging="5"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政府采购活动的中小企业应当提供《中小企业声明函》原件；符合条件的残疾人福利性单位在参加政府采购活动时，应当提供《残疾人福利性单位声明函》原件；监狱企业参加政府采购活动时，应当提供由省级以上监狱管理局、戒毒管理局（含新疆生产建设兵团）出具的属于监狱企业的证明文件复印件。以上三类证明材料均未提供的，响应文件将作无效处理。</w:t>
            </w:r>
          </w:p>
          <w:p>
            <w:pPr>
              <w:pStyle w:val="20"/>
              <w:keepNext w:val="0"/>
              <w:keepLines w:val="0"/>
              <w:pageBreakBefore w:val="0"/>
              <w:numPr>
                <w:ilvl w:val="0"/>
                <w:numId w:val="14"/>
              </w:numPr>
              <w:kinsoku/>
              <w:wordWrap/>
              <w:overflowPunct/>
              <w:topLinePunct w:val="0"/>
              <w:bidi w:val="0"/>
              <w:spacing w:line="360" w:lineRule="auto"/>
              <w:ind w:left="5" w:leftChars="0" w:hanging="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监狱企业、残疾人福利性单位</w:t>
            </w:r>
            <w:r>
              <w:rPr>
                <w:rFonts w:hint="eastAsia" w:ascii="宋体" w:hAnsi="宋体" w:eastAsia="宋体" w:cs="宋体"/>
                <w:sz w:val="24"/>
                <w:szCs w:val="24"/>
              </w:rPr>
              <w:t>视同小型、微型企业</w:t>
            </w:r>
            <w:r>
              <w:rPr>
                <w:rFonts w:hint="eastAsia" w:ascii="宋体" w:hAnsi="宋体" w:eastAsia="宋体" w:cs="宋体"/>
                <w:sz w:val="24"/>
                <w:szCs w:val="24"/>
                <w:lang w:eastAsia="zh-CN"/>
              </w:rPr>
              <w:t>。</w:t>
            </w:r>
          </w:p>
          <w:p>
            <w:pPr>
              <w:pStyle w:val="20"/>
              <w:keepNext w:val="0"/>
              <w:keepLines w:val="0"/>
              <w:pageBreakBefore w:val="0"/>
              <w:numPr>
                <w:ilvl w:val="0"/>
                <w:numId w:val="14"/>
              </w:numPr>
              <w:kinsoku/>
              <w:wordWrap/>
              <w:overflowPunct/>
              <w:topLinePunct w:val="0"/>
              <w:bidi w:val="0"/>
              <w:spacing w:line="360" w:lineRule="auto"/>
              <w:ind w:left="5" w:leftChars="0" w:hanging="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shd w:val="clear" w:color="auto" w:fill="auto"/>
            <w:vAlign w:val="center"/>
          </w:tcPr>
          <w:p>
            <w:pPr>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b w:val="0"/>
                <w:sz w:val="24"/>
                <w:szCs w:val="24"/>
                <w:lang w:val="en-US" w:eastAsia="zh-CN" w:bidi="ar-SA"/>
              </w:rPr>
            </w:pPr>
            <w:r>
              <w:rPr>
                <w:rFonts w:hint="eastAsia" w:ascii="宋体" w:hAnsi="宋体" w:eastAsia="宋体" w:cs="宋体"/>
                <w:i w:val="0"/>
                <w:color w:val="auto"/>
                <w:sz w:val="24"/>
                <w:szCs w:val="24"/>
                <w:lang w:eastAsia="zh-CN"/>
              </w:rPr>
              <w:t>采购项目需要落实的政府采购政策</w:t>
            </w:r>
          </w:p>
        </w:tc>
        <w:tc>
          <w:tcPr>
            <w:tcW w:w="7063" w:type="dxa"/>
            <w:shd w:val="clear" w:color="auto" w:fill="auto"/>
            <w:vAlign w:val="center"/>
          </w:tcPr>
          <w:p>
            <w:pPr>
              <w:keepNext w:val="0"/>
              <w:keepLines w:val="0"/>
              <w:pageBreakBefore w:val="0"/>
              <w:numPr>
                <w:ilvl w:val="0"/>
                <w:numId w:val="15"/>
              </w:numPr>
              <w:kinsoku/>
              <w:wordWrap/>
              <w:overflowPunct/>
              <w:topLinePunct w:val="0"/>
              <w:bidi w:val="0"/>
              <w:spacing w:line="360" w:lineRule="auto"/>
              <w:ind w:left="5" w:leftChars="0" w:right="202" w:rightChars="84" w:hanging="5" w:firstLineChars="0"/>
              <w:textAlignment w:val="auto"/>
              <w:rPr>
                <w:rFonts w:hint="eastAsia" w:ascii="宋体" w:hAnsi="宋体" w:eastAsia="宋体" w:cs="宋体"/>
                <w:i w:val="0"/>
                <w:color w:val="auto"/>
                <w:sz w:val="24"/>
                <w:szCs w:val="24"/>
                <w:lang w:eastAsia="zh-CN"/>
              </w:rPr>
            </w:pPr>
            <w:r>
              <w:rPr>
                <w:rFonts w:hint="eastAsia" w:ascii="宋体" w:hAnsi="宋体" w:eastAsia="宋体" w:cs="宋体"/>
                <w:b/>
                <w:bCs/>
                <w:i w:val="0"/>
                <w:color w:val="auto"/>
                <w:sz w:val="24"/>
                <w:szCs w:val="24"/>
                <w:lang w:eastAsia="zh-CN"/>
              </w:rPr>
              <w:t>鼓励节能政策</w:t>
            </w:r>
            <w:r>
              <w:rPr>
                <w:rFonts w:hint="eastAsia" w:ascii="宋体" w:hAnsi="宋体" w:eastAsia="宋体" w:cs="宋体"/>
                <w:i w:val="0"/>
                <w:color w:val="auto"/>
                <w:sz w:val="24"/>
                <w:szCs w:val="24"/>
                <w:lang w:eastAsia="zh-CN"/>
              </w:rPr>
              <w:t>：《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keepNext w:val="0"/>
              <w:keepLines w:val="0"/>
              <w:pageBreakBefore w:val="0"/>
              <w:numPr>
                <w:ilvl w:val="0"/>
                <w:numId w:val="15"/>
              </w:numPr>
              <w:kinsoku/>
              <w:wordWrap/>
              <w:overflowPunct/>
              <w:topLinePunct w:val="0"/>
              <w:bidi w:val="0"/>
              <w:spacing w:line="360" w:lineRule="auto"/>
              <w:ind w:left="5" w:leftChars="0" w:right="202" w:rightChars="84" w:hanging="5" w:firstLineChars="0"/>
              <w:textAlignment w:val="auto"/>
              <w:rPr>
                <w:rFonts w:hint="eastAsia" w:ascii="宋体" w:hAnsi="宋体" w:eastAsia="宋体" w:cs="宋体"/>
                <w:i w:val="0"/>
                <w:color w:val="auto"/>
                <w:sz w:val="24"/>
                <w:szCs w:val="24"/>
                <w:lang w:eastAsia="zh-CN"/>
              </w:rPr>
            </w:pPr>
            <w:r>
              <w:rPr>
                <w:rFonts w:hint="eastAsia" w:ascii="宋体" w:hAnsi="宋体" w:eastAsia="宋体" w:cs="宋体"/>
                <w:b/>
                <w:bCs/>
                <w:i w:val="0"/>
                <w:color w:val="auto"/>
                <w:sz w:val="24"/>
                <w:szCs w:val="24"/>
                <w:lang w:eastAsia="zh-CN"/>
              </w:rPr>
              <w:t>鼓励环保政策：</w:t>
            </w:r>
            <w:r>
              <w:rPr>
                <w:rFonts w:hint="eastAsia" w:ascii="宋体" w:hAnsi="宋体" w:eastAsia="宋体" w:cs="宋体"/>
                <w:i w:val="0"/>
                <w:color w:val="auto"/>
                <w:sz w:val="24"/>
                <w:szCs w:val="24"/>
                <w:lang w:eastAsia="zh-CN"/>
              </w:rPr>
              <w:t>《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pPr>
              <w:keepNext w:val="0"/>
              <w:keepLines w:val="0"/>
              <w:pageBreakBefore w:val="0"/>
              <w:numPr>
                <w:ilvl w:val="0"/>
                <w:numId w:val="15"/>
              </w:numPr>
              <w:kinsoku/>
              <w:wordWrap/>
              <w:overflowPunct/>
              <w:topLinePunct w:val="0"/>
              <w:bidi w:val="0"/>
              <w:spacing w:line="360" w:lineRule="auto"/>
              <w:ind w:left="5" w:leftChars="0" w:right="202" w:rightChars="84" w:hanging="5" w:firstLineChars="0"/>
              <w:textAlignment w:val="auto"/>
              <w:rPr>
                <w:rFonts w:hint="eastAsia" w:ascii="宋体" w:hAnsi="宋体" w:eastAsia="宋体" w:cs="宋体"/>
                <w:i w:val="0"/>
                <w:color w:val="auto"/>
                <w:sz w:val="24"/>
                <w:szCs w:val="24"/>
                <w:lang w:eastAsia="zh-CN"/>
              </w:rPr>
            </w:pPr>
            <w:r>
              <w:rPr>
                <w:rFonts w:hint="eastAsia" w:ascii="宋体" w:hAnsi="宋体" w:eastAsia="宋体" w:cs="宋体"/>
                <w:b/>
                <w:bCs/>
                <w:i w:val="0"/>
                <w:color w:val="auto"/>
                <w:sz w:val="24"/>
                <w:szCs w:val="24"/>
                <w:lang w:eastAsia="zh-CN"/>
              </w:rPr>
              <w:t>无线局域网产品政府采购政策：</w:t>
            </w:r>
            <w:r>
              <w:rPr>
                <w:rFonts w:hint="eastAsia" w:ascii="宋体" w:hAnsi="宋体" w:eastAsia="宋体" w:cs="宋体"/>
                <w:i w:val="0"/>
                <w:color w:val="auto"/>
                <w:sz w:val="24"/>
                <w:szCs w:val="24"/>
                <w:lang w:eastAsia="zh-CN"/>
              </w:rPr>
              <w:t>本项目采购的产品属于中国政府采购网公布的《无线局域网认证产品政府采购清单》的，按照本项目</w:t>
            </w:r>
            <w:r>
              <w:rPr>
                <w:rFonts w:hint="eastAsia" w:ascii="宋体" w:hAnsi="宋体" w:eastAsia="宋体" w:cs="宋体"/>
                <w:i w:val="0"/>
                <w:color w:val="auto"/>
                <w:sz w:val="24"/>
                <w:szCs w:val="24"/>
                <w:lang w:val="en-US" w:eastAsia="zh-CN"/>
              </w:rPr>
              <w:t>评分标准</w:t>
            </w:r>
            <w:r>
              <w:rPr>
                <w:rFonts w:hint="eastAsia" w:ascii="宋体" w:hAnsi="宋体" w:eastAsia="宋体" w:cs="宋体"/>
                <w:i w:val="0"/>
                <w:color w:val="auto"/>
                <w:sz w:val="24"/>
                <w:szCs w:val="24"/>
                <w:lang w:eastAsia="zh-CN"/>
              </w:rPr>
              <w:t>的规则进行加分。</w:t>
            </w:r>
          </w:p>
          <w:p>
            <w:pPr>
              <w:keepNext w:val="0"/>
              <w:keepLines w:val="0"/>
              <w:pageBreakBefore w:val="0"/>
              <w:numPr>
                <w:ilvl w:val="0"/>
                <w:numId w:val="15"/>
              </w:numPr>
              <w:kinsoku/>
              <w:wordWrap/>
              <w:overflowPunct/>
              <w:topLinePunct w:val="0"/>
              <w:bidi w:val="0"/>
              <w:spacing w:line="360" w:lineRule="auto"/>
              <w:ind w:left="5" w:leftChars="0" w:right="202" w:rightChars="84" w:hanging="5" w:firstLineChars="0"/>
              <w:textAlignment w:val="auto"/>
              <w:rPr>
                <w:rFonts w:hint="eastAsia" w:ascii="宋体" w:hAnsi="宋体" w:eastAsia="宋体" w:cs="宋体"/>
                <w:i w:val="0"/>
                <w:color w:val="auto"/>
                <w:sz w:val="24"/>
                <w:szCs w:val="24"/>
                <w:lang w:eastAsia="zh-CN"/>
              </w:rPr>
            </w:pPr>
            <w:r>
              <w:rPr>
                <w:rFonts w:hint="eastAsia" w:ascii="宋体" w:hAnsi="宋体" w:eastAsia="宋体" w:cs="宋体"/>
                <w:b/>
                <w:bCs/>
                <w:i w:val="0"/>
                <w:color w:val="auto"/>
                <w:sz w:val="24"/>
                <w:szCs w:val="24"/>
                <w:lang w:eastAsia="zh-CN"/>
              </w:rPr>
              <w:t>扶持中小企业政策</w:t>
            </w:r>
            <w:r>
              <w:rPr>
                <w:rFonts w:hint="eastAsia" w:ascii="宋体" w:hAnsi="宋体" w:eastAsia="宋体" w:cs="宋体"/>
                <w:i w:val="0"/>
                <w:color w:val="auto"/>
                <w:sz w:val="24"/>
                <w:szCs w:val="24"/>
                <w:lang w:eastAsia="zh-CN"/>
              </w:rPr>
              <w:t>：</w:t>
            </w:r>
            <w:r>
              <w:rPr>
                <w:rFonts w:hint="eastAsia" w:ascii="宋体" w:hAnsi="宋体" w:eastAsia="宋体" w:cs="宋体"/>
                <w:i w:val="0"/>
                <w:color w:val="auto"/>
                <w:sz w:val="24"/>
                <w:szCs w:val="24"/>
                <w:lang w:val="en-US" w:eastAsia="zh-CN"/>
              </w:rPr>
              <w:t>按照</w:t>
            </w:r>
            <w:r>
              <w:rPr>
                <w:rFonts w:hint="eastAsia" w:ascii="宋体" w:hAnsi="宋体" w:eastAsia="宋体" w:cs="宋体"/>
                <w:i w:val="0"/>
                <w:color w:val="auto"/>
                <w:sz w:val="24"/>
                <w:szCs w:val="24"/>
                <w:lang w:eastAsia="zh-CN"/>
              </w:rPr>
              <w:t>《政府采购促进中小企业发展管理办法》（财库〔2020〕46 号）</w:t>
            </w:r>
            <w:r>
              <w:rPr>
                <w:rFonts w:hint="eastAsia" w:ascii="宋体" w:hAnsi="宋体" w:eastAsia="宋体" w:cs="宋体"/>
                <w:i w:val="0"/>
                <w:color w:val="auto"/>
                <w:sz w:val="24"/>
                <w:szCs w:val="24"/>
                <w:lang w:val="en-US" w:eastAsia="zh-CN"/>
              </w:rPr>
              <w:t>规定执行</w:t>
            </w:r>
            <w:r>
              <w:rPr>
                <w:rFonts w:hint="eastAsia" w:ascii="宋体" w:hAnsi="宋体" w:eastAsia="宋体" w:cs="宋体"/>
                <w:i w:val="0"/>
                <w:color w:val="auto"/>
                <w:sz w:val="24"/>
                <w:szCs w:val="24"/>
                <w:lang w:eastAsia="zh-CN"/>
              </w:rPr>
              <w:t>。</w:t>
            </w:r>
          </w:p>
          <w:p>
            <w:pPr>
              <w:keepNext w:val="0"/>
              <w:keepLines w:val="0"/>
              <w:pageBreakBefore w:val="0"/>
              <w:numPr>
                <w:ilvl w:val="0"/>
                <w:numId w:val="15"/>
              </w:numPr>
              <w:kinsoku/>
              <w:wordWrap/>
              <w:overflowPunct/>
              <w:topLinePunct w:val="0"/>
              <w:bidi w:val="0"/>
              <w:spacing w:line="360" w:lineRule="auto"/>
              <w:ind w:left="5" w:leftChars="0" w:right="202" w:rightChars="84" w:hanging="5" w:firstLineChars="0"/>
              <w:textAlignment w:val="auto"/>
              <w:rPr>
                <w:rFonts w:hint="eastAsia" w:ascii="宋体" w:hAnsi="宋体" w:eastAsia="宋体" w:cs="宋体"/>
                <w:i w:val="0"/>
                <w:color w:val="auto"/>
                <w:sz w:val="24"/>
                <w:szCs w:val="24"/>
                <w:lang w:eastAsia="zh-CN"/>
              </w:rPr>
            </w:pPr>
            <w:r>
              <w:rPr>
                <w:rFonts w:hint="eastAsia" w:ascii="宋体" w:hAnsi="宋体" w:eastAsia="宋体" w:cs="宋体"/>
                <w:b/>
                <w:bCs/>
                <w:i w:val="0"/>
                <w:color w:val="auto"/>
                <w:sz w:val="24"/>
                <w:szCs w:val="24"/>
                <w:lang w:val="en-US" w:eastAsia="zh-CN"/>
              </w:rPr>
              <w:t>支持</w:t>
            </w:r>
            <w:r>
              <w:rPr>
                <w:rFonts w:hint="eastAsia" w:ascii="宋体" w:hAnsi="宋体" w:eastAsia="宋体" w:cs="宋体"/>
                <w:b/>
                <w:bCs/>
                <w:i w:val="0"/>
                <w:color w:val="auto"/>
                <w:sz w:val="24"/>
                <w:szCs w:val="24"/>
                <w:lang w:eastAsia="zh-CN"/>
              </w:rPr>
              <w:t>监狱企业政策：</w:t>
            </w:r>
            <w:r>
              <w:rPr>
                <w:rFonts w:hint="eastAsia" w:ascii="宋体" w:hAnsi="宋体" w:eastAsia="宋体" w:cs="宋体"/>
                <w:i w:val="0"/>
                <w:color w:val="auto"/>
                <w:sz w:val="24"/>
                <w:szCs w:val="24"/>
                <w:lang w:val="en-US" w:eastAsia="zh-CN"/>
              </w:rPr>
              <w:t>按照</w:t>
            </w:r>
            <w:r>
              <w:rPr>
                <w:rFonts w:hint="eastAsia" w:ascii="宋体" w:hAnsi="宋体" w:eastAsia="宋体" w:cs="宋体"/>
                <w:i w:val="0"/>
                <w:color w:val="auto"/>
                <w:sz w:val="24"/>
                <w:szCs w:val="24"/>
                <w:lang w:eastAsia="zh-CN"/>
              </w:rPr>
              <w:t>《财政部、司法部关于政府采购支持监狱企业发展有关问题的通知》（财库〔2014〕68号）</w:t>
            </w:r>
            <w:r>
              <w:rPr>
                <w:rFonts w:hint="eastAsia" w:ascii="宋体" w:hAnsi="宋体" w:eastAsia="宋体" w:cs="宋体"/>
                <w:i w:val="0"/>
                <w:color w:val="auto"/>
                <w:sz w:val="24"/>
                <w:szCs w:val="24"/>
                <w:lang w:val="en-US" w:eastAsia="zh-CN"/>
              </w:rPr>
              <w:t>规定执行</w:t>
            </w:r>
            <w:r>
              <w:rPr>
                <w:rFonts w:hint="eastAsia" w:ascii="宋体" w:hAnsi="宋体" w:eastAsia="宋体" w:cs="宋体"/>
                <w:i w:val="0"/>
                <w:color w:val="auto"/>
                <w:sz w:val="24"/>
                <w:szCs w:val="24"/>
                <w:lang w:eastAsia="zh-CN"/>
              </w:rPr>
              <w:t>。</w:t>
            </w:r>
          </w:p>
          <w:p>
            <w:pPr>
              <w:keepNext w:val="0"/>
              <w:keepLines w:val="0"/>
              <w:pageBreakBefore w:val="0"/>
              <w:numPr>
                <w:ilvl w:val="0"/>
                <w:numId w:val="15"/>
              </w:numPr>
              <w:kinsoku/>
              <w:wordWrap/>
              <w:overflowPunct/>
              <w:topLinePunct w:val="0"/>
              <w:bidi w:val="0"/>
              <w:spacing w:line="360" w:lineRule="auto"/>
              <w:ind w:left="5" w:leftChars="0" w:right="202" w:rightChars="84" w:hanging="5" w:firstLineChars="0"/>
              <w:textAlignment w:val="auto"/>
              <w:rPr>
                <w:rFonts w:hint="eastAsia" w:ascii="宋体" w:hAnsi="宋体" w:eastAsia="宋体" w:cs="宋体"/>
                <w:i w:val="0"/>
                <w:color w:val="auto"/>
                <w:sz w:val="24"/>
                <w:szCs w:val="24"/>
                <w:lang w:eastAsia="zh-CN"/>
              </w:rPr>
            </w:pPr>
            <w:r>
              <w:rPr>
                <w:rFonts w:hint="eastAsia" w:ascii="宋体" w:hAnsi="宋体" w:eastAsia="宋体" w:cs="宋体"/>
                <w:b/>
                <w:bCs/>
                <w:i w:val="0"/>
                <w:color w:val="auto"/>
                <w:sz w:val="24"/>
                <w:szCs w:val="24"/>
                <w:lang w:eastAsia="zh-CN"/>
              </w:rPr>
              <w:t>促进残疾人就业政府采购政策：</w:t>
            </w:r>
            <w:r>
              <w:rPr>
                <w:rFonts w:hint="eastAsia" w:ascii="宋体" w:hAnsi="宋体" w:eastAsia="宋体" w:cs="宋体"/>
                <w:i w:val="0"/>
                <w:color w:val="auto"/>
                <w:sz w:val="24"/>
                <w:szCs w:val="24"/>
                <w:lang w:val="en-US" w:eastAsia="zh-CN"/>
              </w:rPr>
              <w:t>按照</w:t>
            </w:r>
            <w:r>
              <w:rPr>
                <w:rFonts w:hint="eastAsia" w:ascii="宋体" w:hAnsi="宋体" w:eastAsia="宋体" w:cs="宋体"/>
                <w:i w:val="0"/>
                <w:color w:val="auto"/>
                <w:sz w:val="24"/>
                <w:szCs w:val="24"/>
                <w:lang w:eastAsia="zh-CN"/>
              </w:rPr>
              <w:t>《民政部、财政部、中国残疾人联合会关于促进残疾人就业政府采购政策的通知》（财库〔2017〕141号）</w:t>
            </w:r>
            <w:r>
              <w:rPr>
                <w:rFonts w:hint="eastAsia" w:ascii="宋体" w:hAnsi="宋体" w:eastAsia="宋体" w:cs="宋体"/>
                <w:i w:val="0"/>
                <w:color w:val="auto"/>
                <w:sz w:val="24"/>
                <w:szCs w:val="24"/>
                <w:lang w:val="en-US" w:eastAsia="zh-CN"/>
              </w:rPr>
              <w:t>规定执行</w:t>
            </w:r>
            <w:r>
              <w:rPr>
                <w:rFonts w:hint="eastAsia" w:ascii="宋体" w:hAnsi="宋体" w:eastAsia="宋体" w:cs="宋体"/>
                <w:i w:val="0"/>
                <w:color w:val="auto"/>
                <w:sz w:val="24"/>
                <w:szCs w:val="24"/>
                <w:lang w:eastAsia="zh-CN"/>
              </w:rPr>
              <w:t>。</w:t>
            </w:r>
          </w:p>
          <w:p>
            <w:pPr>
              <w:keepNext w:val="0"/>
              <w:keepLines w:val="0"/>
              <w:pageBreakBefore w:val="0"/>
              <w:numPr>
                <w:ilvl w:val="0"/>
                <w:numId w:val="15"/>
              </w:numPr>
              <w:kinsoku/>
              <w:wordWrap/>
              <w:overflowPunct/>
              <w:topLinePunct w:val="0"/>
              <w:bidi w:val="0"/>
              <w:spacing w:line="360" w:lineRule="auto"/>
              <w:ind w:left="5" w:leftChars="0" w:right="202" w:rightChars="84" w:hanging="5" w:firstLineChars="0"/>
              <w:textAlignment w:val="auto"/>
              <w:rPr>
                <w:rFonts w:hint="eastAsia" w:ascii="宋体" w:hAnsi="宋体" w:eastAsia="宋体" w:cs="宋体"/>
                <w:i w:val="0"/>
                <w:color w:val="auto"/>
                <w:sz w:val="24"/>
                <w:szCs w:val="24"/>
                <w:lang w:eastAsia="zh-CN"/>
              </w:rPr>
            </w:pPr>
            <w:r>
              <w:rPr>
                <w:rFonts w:hint="eastAsia" w:ascii="宋体" w:hAnsi="宋体" w:eastAsia="宋体" w:cs="宋体"/>
                <w:b/>
                <w:bCs/>
                <w:sz w:val="24"/>
                <w:szCs w:val="24"/>
                <w:lang w:val="en-US" w:eastAsia="zh-CN"/>
              </w:rPr>
              <w:t>扶持</w:t>
            </w:r>
            <w:r>
              <w:rPr>
                <w:rFonts w:hint="eastAsia" w:ascii="宋体" w:hAnsi="宋体" w:eastAsia="宋体" w:cs="宋体"/>
                <w:b/>
                <w:bCs/>
                <w:sz w:val="24"/>
                <w:szCs w:val="24"/>
              </w:rPr>
              <w:t>不发达地区</w:t>
            </w:r>
            <w:r>
              <w:rPr>
                <w:rFonts w:hint="eastAsia" w:ascii="宋体" w:hAnsi="宋体" w:eastAsia="宋体" w:cs="宋体"/>
                <w:b/>
                <w:bCs/>
                <w:sz w:val="24"/>
                <w:szCs w:val="24"/>
                <w:lang w:val="en-US" w:eastAsia="zh-CN"/>
              </w:rPr>
              <w:t>或</w:t>
            </w:r>
            <w:r>
              <w:rPr>
                <w:rFonts w:hint="eastAsia" w:ascii="宋体" w:hAnsi="宋体" w:eastAsia="宋体" w:cs="宋体"/>
                <w:b/>
                <w:bCs/>
                <w:sz w:val="24"/>
                <w:szCs w:val="24"/>
              </w:rPr>
              <w:t>少数民族地区</w:t>
            </w:r>
            <w:r>
              <w:rPr>
                <w:rFonts w:hint="eastAsia" w:ascii="宋体" w:hAnsi="宋体" w:eastAsia="宋体" w:cs="宋体"/>
                <w:b/>
                <w:bCs/>
                <w:i w:val="0"/>
                <w:color w:val="auto"/>
                <w:sz w:val="24"/>
                <w:szCs w:val="24"/>
                <w:lang w:eastAsia="zh-CN"/>
              </w:rPr>
              <w:t>政府采购政策</w:t>
            </w:r>
            <w:r>
              <w:rPr>
                <w:rFonts w:hint="eastAsia" w:ascii="宋体" w:hAnsi="宋体" w:eastAsia="宋体" w:cs="宋体"/>
                <w:i w:val="0"/>
                <w:color w:val="auto"/>
                <w:sz w:val="24"/>
                <w:szCs w:val="24"/>
                <w:lang w:eastAsia="zh-CN"/>
              </w:rPr>
              <w:t>：</w:t>
            </w:r>
            <w:r>
              <w:rPr>
                <w:rFonts w:hint="eastAsia" w:ascii="宋体" w:hAnsi="宋体" w:eastAsia="宋体" w:cs="宋体"/>
                <w:sz w:val="24"/>
                <w:szCs w:val="24"/>
                <w:lang w:val="en-US" w:eastAsia="zh-CN"/>
              </w:rPr>
              <w:t>得分和</w:t>
            </w:r>
            <w:r>
              <w:rPr>
                <w:rFonts w:hint="eastAsia" w:ascii="宋体" w:hAnsi="宋体" w:eastAsia="宋体" w:cs="宋体"/>
                <w:sz w:val="24"/>
                <w:szCs w:val="24"/>
                <w:lang w:eastAsia="zh-CN"/>
              </w:rPr>
              <w:t>报价相同且满足</w:t>
            </w:r>
            <w:r>
              <w:rPr>
                <w:rFonts w:hint="eastAsia" w:ascii="宋体" w:hAnsi="宋体" w:eastAsia="宋体" w:cs="宋体"/>
                <w:sz w:val="24"/>
                <w:szCs w:val="24"/>
                <w:lang w:val="en-US" w:eastAsia="zh-CN"/>
              </w:rPr>
              <w:t>磋商</w:t>
            </w:r>
            <w:r>
              <w:rPr>
                <w:rFonts w:hint="eastAsia" w:ascii="宋体" w:hAnsi="宋体" w:eastAsia="宋体" w:cs="宋体"/>
                <w:sz w:val="24"/>
                <w:szCs w:val="24"/>
                <w:lang w:eastAsia="zh-CN"/>
              </w:rPr>
              <w:t>文件全部实质性要求，</w:t>
            </w:r>
            <w:r>
              <w:rPr>
                <w:rFonts w:hint="eastAsia" w:ascii="宋体" w:hAnsi="宋体" w:eastAsia="宋体" w:cs="宋体"/>
                <w:sz w:val="24"/>
                <w:szCs w:val="24"/>
              </w:rPr>
              <w:t>评</w:t>
            </w:r>
            <w:r>
              <w:rPr>
                <w:rFonts w:hint="eastAsia" w:ascii="宋体" w:hAnsi="宋体" w:eastAsia="宋体" w:cs="宋体"/>
                <w:sz w:val="24"/>
                <w:szCs w:val="24"/>
                <w:lang w:val="en-US" w:eastAsia="zh-CN"/>
              </w:rPr>
              <w:t>审</w:t>
            </w:r>
            <w:r>
              <w:rPr>
                <w:rFonts w:hint="eastAsia" w:ascii="宋体" w:hAnsi="宋体" w:eastAsia="宋体" w:cs="宋体"/>
                <w:sz w:val="24"/>
                <w:szCs w:val="24"/>
              </w:rPr>
              <w:t>委员会优先推荐企业注册地在不发达地区</w:t>
            </w:r>
            <w:r>
              <w:rPr>
                <w:rFonts w:hint="eastAsia" w:ascii="宋体" w:hAnsi="宋体" w:eastAsia="宋体" w:cs="宋体"/>
                <w:sz w:val="24"/>
                <w:szCs w:val="24"/>
                <w:lang w:val="en-US" w:eastAsia="zh-CN"/>
              </w:rPr>
              <w:t>或</w:t>
            </w:r>
            <w:r>
              <w:rPr>
                <w:rFonts w:hint="eastAsia" w:ascii="宋体" w:hAnsi="宋体" w:eastAsia="宋体" w:cs="宋体"/>
                <w:sz w:val="24"/>
                <w:szCs w:val="24"/>
              </w:rPr>
              <w:t>少数民族地区的</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w:t>
            </w:r>
          </w:p>
          <w:p>
            <w:pPr>
              <w:keepNext w:val="0"/>
              <w:keepLines w:val="0"/>
              <w:pageBreakBefore w:val="0"/>
              <w:numPr>
                <w:ilvl w:val="0"/>
                <w:numId w:val="15"/>
              </w:numPr>
              <w:kinsoku/>
              <w:wordWrap/>
              <w:overflowPunct/>
              <w:topLinePunct w:val="0"/>
              <w:bidi w:val="0"/>
              <w:spacing w:line="360" w:lineRule="auto"/>
              <w:ind w:left="5" w:leftChars="0" w:right="202" w:rightChars="84" w:hanging="5" w:firstLineChars="0"/>
              <w:textAlignment w:val="auto"/>
              <w:rPr>
                <w:rFonts w:hint="eastAsia" w:ascii="宋体" w:hAnsi="宋体" w:eastAsia="宋体" w:cs="宋体"/>
                <w:i w:val="0"/>
                <w:color w:val="auto"/>
                <w:sz w:val="24"/>
                <w:szCs w:val="24"/>
                <w:lang w:eastAsia="zh-CN"/>
              </w:rPr>
            </w:pPr>
            <w:r>
              <w:rPr>
                <w:rFonts w:hint="eastAsia" w:ascii="宋体" w:hAnsi="宋体" w:eastAsia="宋体" w:cs="宋体"/>
                <w:b/>
                <w:bCs/>
                <w:i w:val="0"/>
                <w:color w:val="auto"/>
                <w:sz w:val="24"/>
                <w:szCs w:val="24"/>
                <w:lang w:eastAsia="zh-CN"/>
              </w:rPr>
              <w:t>推进四川省政府采购供应商信用融资</w:t>
            </w:r>
            <w:r>
              <w:rPr>
                <w:rFonts w:hint="eastAsia" w:ascii="宋体" w:hAnsi="宋体" w:eastAsia="宋体" w:cs="宋体"/>
                <w:i w:val="0"/>
                <w:color w:val="auto"/>
                <w:sz w:val="24"/>
                <w:szCs w:val="24"/>
                <w:lang w:eastAsia="zh-CN"/>
              </w:rPr>
              <w:t>：根据《四川省财政厅关于推进四川省政府采购供应商信用融资工作的通知》（川财采〔2018〕123号）、《成都市中小企业政府采购信用融资暂行办法》、《成都市级支持中小企业政府采购信用融资实施方案》，有融资需求的供应商可根据中国</w:t>
            </w:r>
            <w:r>
              <w:rPr>
                <w:rFonts w:hint="eastAsia" w:ascii="宋体" w:hAnsi="宋体" w:eastAsia="宋体" w:cs="宋体"/>
                <w:i w:val="0"/>
                <w:color w:val="auto"/>
                <w:sz w:val="24"/>
                <w:szCs w:val="24"/>
                <w:lang w:val="en-US" w:eastAsia="zh-CN"/>
              </w:rPr>
              <w:t>四川省政府采购网</w:t>
            </w:r>
            <w:r>
              <w:rPr>
                <w:rFonts w:hint="eastAsia" w:ascii="宋体" w:hAnsi="宋体" w:eastAsia="宋体" w:cs="宋体"/>
                <w:i w:val="0"/>
                <w:color w:val="auto"/>
                <w:sz w:val="24"/>
                <w:szCs w:val="24"/>
                <w:lang w:eastAsia="zh-CN"/>
              </w:rPr>
              <w:t>公示的银行及其“政采贷”产品，自行选择符合自身情况的“政采贷”银行及其产品，凭</w:t>
            </w:r>
            <w:r>
              <w:rPr>
                <w:rFonts w:hint="eastAsia" w:ascii="宋体" w:hAnsi="宋体" w:cs="宋体"/>
                <w:i w:val="0"/>
                <w:color w:val="auto"/>
                <w:sz w:val="24"/>
                <w:szCs w:val="24"/>
                <w:lang w:eastAsia="zh-CN"/>
              </w:rPr>
              <w:t>成交</w:t>
            </w:r>
            <w:r>
              <w:rPr>
                <w:rFonts w:hint="eastAsia" w:ascii="宋体" w:hAnsi="宋体" w:eastAsia="宋体" w:cs="宋体"/>
                <w:i w:val="0"/>
                <w:color w:val="auto"/>
                <w:sz w:val="24"/>
                <w:szCs w:val="24"/>
                <w:lang w:eastAsia="zh-CN"/>
              </w:rPr>
              <w:t>（成交）通知书向银行提出贷款意向申请。银行应及时按照有关规定完成对供应商的信用审查以及开设账户等相关工作。</w:t>
            </w:r>
          </w:p>
          <w:p>
            <w:pPr>
              <w:keepNext w:val="0"/>
              <w:keepLines w:val="0"/>
              <w:pageBreakBefore w:val="0"/>
              <w:numPr>
                <w:ilvl w:val="0"/>
                <w:numId w:val="15"/>
              </w:numPr>
              <w:kinsoku/>
              <w:wordWrap/>
              <w:overflowPunct/>
              <w:topLinePunct w:val="0"/>
              <w:bidi w:val="0"/>
              <w:spacing w:line="360" w:lineRule="auto"/>
              <w:ind w:left="5" w:leftChars="0" w:right="202" w:rightChars="84" w:hanging="5" w:firstLineChars="0"/>
              <w:textAlignment w:val="auto"/>
              <w:rPr>
                <w:rFonts w:hint="eastAsia" w:ascii="宋体" w:hAnsi="宋体" w:eastAsia="宋体" w:cs="宋体"/>
                <w:sz w:val="24"/>
                <w:szCs w:val="24"/>
              </w:rPr>
            </w:pPr>
            <w:r>
              <w:rPr>
                <w:rFonts w:hint="eastAsia" w:ascii="宋体" w:hAnsi="宋体" w:eastAsia="宋体" w:cs="宋体"/>
                <w:b/>
                <w:bCs/>
                <w:i w:val="0"/>
                <w:color w:val="auto"/>
                <w:sz w:val="24"/>
                <w:szCs w:val="24"/>
                <w:lang w:eastAsia="zh-CN"/>
              </w:rPr>
              <w:t>运用政府采购政策支持脱贫攻坚</w:t>
            </w:r>
            <w:r>
              <w:rPr>
                <w:rFonts w:hint="eastAsia" w:ascii="宋体" w:hAnsi="宋体" w:eastAsia="宋体" w:cs="宋体"/>
                <w:i w:val="0"/>
                <w:color w:val="auto"/>
                <w:sz w:val="24"/>
                <w:szCs w:val="24"/>
                <w:lang w:eastAsia="zh-CN"/>
              </w:rPr>
              <w:t>：为贯彻《国务院办公厅关于深入开展消费扶贫助力打赢脱贫攻坚战的指导意见》（国办发〔2018〕129号）要求,根据《财政部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shd w:val="clear" w:color="auto" w:fill="auto"/>
            <w:vAlign w:val="center"/>
          </w:tcPr>
          <w:p>
            <w:pPr>
              <w:pStyle w:val="126"/>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i w:val="0"/>
                <w:color w:val="auto"/>
                <w:sz w:val="24"/>
                <w:szCs w:val="24"/>
                <w:lang w:eastAsia="zh-CN"/>
              </w:rPr>
            </w:pPr>
            <w:r>
              <w:rPr>
                <w:rFonts w:hint="eastAsia" w:ascii="宋体" w:hAnsi="宋体" w:eastAsia="宋体" w:cs="宋体"/>
                <w:color w:val="auto"/>
                <w:sz w:val="24"/>
                <w:szCs w:val="24"/>
                <w:lang w:val="zh-CN"/>
              </w:rPr>
              <w:t>国家规定的强制、优先采购政策体现</w:t>
            </w:r>
          </w:p>
        </w:tc>
        <w:tc>
          <w:tcPr>
            <w:tcW w:w="7063" w:type="dxa"/>
            <w:shd w:val="clear" w:color="auto" w:fill="auto"/>
            <w:vAlign w:val="center"/>
          </w:tcPr>
          <w:p>
            <w:pPr>
              <w:pStyle w:val="126"/>
              <w:keepNext w:val="0"/>
              <w:keepLines w:val="0"/>
              <w:pageBreakBefore w:val="0"/>
              <w:kinsoku/>
              <w:wordWrap/>
              <w:overflowPunct/>
              <w:topLinePunct w:val="0"/>
              <w:bidi w:val="0"/>
              <w:spacing w:line="360" w:lineRule="auto"/>
              <w:contextualSpacing/>
              <w:textAlignment w:val="auto"/>
              <w:rPr>
                <w:rFonts w:hint="eastAsia" w:ascii="宋体" w:hAnsi="宋体" w:eastAsia="宋体" w:cs="宋体"/>
                <w:b/>
                <w:bCs/>
                <w:i w:val="0"/>
                <w:color w:val="auto"/>
                <w:sz w:val="24"/>
                <w:szCs w:val="24"/>
                <w:lang w:eastAsia="zh-CN"/>
              </w:rPr>
            </w:pPr>
            <w:r>
              <w:rPr>
                <w:rFonts w:hint="eastAsia" w:ascii="宋体" w:hAnsi="宋体" w:eastAsia="宋体" w:cs="宋体"/>
                <w:color w:val="auto"/>
                <w:sz w:val="24"/>
                <w:szCs w:val="24"/>
                <w:lang w:val="zh-CN"/>
              </w:rPr>
              <w:t>本项目采购需求中涉及</w:t>
            </w:r>
            <w:r>
              <w:rPr>
                <w:rFonts w:hint="eastAsia" w:ascii="宋体" w:hAnsi="宋体" w:eastAsia="宋体" w:cs="宋体"/>
                <w:color w:val="auto"/>
                <w:sz w:val="24"/>
                <w:szCs w:val="24"/>
              </w:rPr>
              <w:t>国家规定的强制采购范围内产品的，所投产品均应符合国家相关要求。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shd w:val="clear" w:color="auto" w:fill="auto"/>
            <w:vAlign w:val="center"/>
          </w:tcPr>
          <w:p>
            <w:pPr>
              <w:keepNext w:val="0"/>
              <w:keepLines w:val="0"/>
              <w:pageBreakBefore w:val="0"/>
              <w:kinsoku/>
              <w:wordWrap/>
              <w:overflowPunct/>
              <w:topLinePunct w:val="0"/>
              <w:bidi w:val="0"/>
              <w:spacing w:line="360" w:lineRule="auto"/>
              <w:ind w:left="0"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i w:val="0"/>
                <w:color w:val="auto"/>
                <w:sz w:val="24"/>
                <w:szCs w:val="24"/>
                <w:lang w:val="zh-CN" w:eastAsia="zh-CN"/>
              </w:rPr>
              <w:t>进口产品</w:t>
            </w:r>
          </w:p>
        </w:tc>
        <w:tc>
          <w:tcPr>
            <w:tcW w:w="7063" w:type="dxa"/>
            <w:shd w:val="clear" w:color="auto" w:fill="auto"/>
            <w:vAlign w:val="center"/>
          </w:tcPr>
          <w:p>
            <w:pPr>
              <w:keepNext w:val="0"/>
              <w:keepLines w:val="0"/>
              <w:pageBreakBefore w:val="0"/>
              <w:kinsoku/>
              <w:wordWrap/>
              <w:overflowPunct/>
              <w:topLinePunct w:val="0"/>
              <w:bidi w:val="0"/>
              <w:spacing w:line="360" w:lineRule="auto"/>
              <w:ind w:left="0" w:leftChars="0" w:right="276" w:rightChars="115" w:firstLine="0" w:firstLineChars="0"/>
              <w:textAlignment w:val="auto"/>
              <w:rPr>
                <w:rFonts w:hint="eastAsia" w:ascii="宋体" w:hAnsi="宋体" w:eastAsia="宋体" w:cs="宋体"/>
                <w:b/>
                <w:bCs/>
                <w:i w:val="0"/>
                <w:color w:val="auto"/>
                <w:sz w:val="24"/>
                <w:szCs w:val="24"/>
                <w:lang w:eastAsia="zh-CN"/>
              </w:rPr>
            </w:pPr>
            <w:r>
              <w:rPr>
                <w:rFonts w:hint="eastAsia" w:ascii="宋体" w:hAnsi="宋体" w:eastAsia="宋体" w:cs="宋体"/>
                <w:b/>
                <w:bCs/>
                <w:i w:val="0"/>
                <w:color w:val="auto"/>
                <w:sz w:val="24"/>
                <w:szCs w:val="24"/>
                <w:lang w:val="en-US" w:eastAsia="zh-CN"/>
              </w:rPr>
              <w:t>本项目不适用。</w:t>
            </w:r>
          </w:p>
          <w:p>
            <w:pPr>
              <w:keepNext w:val="0"/>
              <w:keepLines w:val="0"/>
              <w:pageBreakBefore w:val="0"/>
              <w:kinsoku/>
              <w:wordWrap/>
              <w:overflowPunct/>
              <w:topLinePunct w:val="0"/>
              <w:bidi w:val="0"/>
              <w:spacing w:line="360" w:lineRule="auto"/>
              <w:ind w:left="0" w:leftChars="0" w:right="276" w:rightChars="115" w:firstLine="0" w:firstLineChars="0"/>
              <w:textAlignment w:val="auto"/>
              <w:rPr>
                <w:rFonts w:hint="eastAsia" w:ascii="宋体" w:hAnsi="宋体" w:eastAsia="宋体" w:cs="宋体"/>
                <w:i w:val="0"/>
                <w:iCs w:val="0"/>
                <w:color w:val="auto"/>
                <w:kern w:val="0"/>
                <w:sz w:val="24"/>
                <w:szCs w:val="24"/>
                <w:lang w:eastAsia="zh-CN" w:bidi="ar-SA"/>
              </w:rPr>
            </w:pPr>
            <w:r>
              <w:rPr>
                <w:rFonts w:hint="eastAsia" w:ascii="宋体" w:hAnsi="宋体" w:eastAsia="宋体" w:cs="宋体"/>
                <w:i w:val="0"/>
                <w:iCs w:val="0"/>
                <w:color w:val="auto"/>
                <w:kern w:val="0"/>
                <w:sz w:val="24"/>
                <w:szCs w:val="24"/>
                <w:lang w:eastAsia="zh-CN" w:bidi="ar-SA"/>
              </w:rPr>
              <w:t>国家关于政府采购进口产品的规定：在没有注明“允许进口产品参与投标”的情况下，只有国产产品（其中可以含进口部件，见以下释义）才可</w:t>
            </w:r>
            <w:r>
              <w:rPr>
                <w:rFonts w:hint="eastAsia" w:ascii="宋体" w:hAnsi="宋体" w:cs="宋体"/>
                <w:i w:val="0"/>
                <w:iCs w:val="0"/>
                <w:color w:val="auto"/>
                <w:kern w:val="0"/>
                <w:sz w:val="24"/>
                <w:szCs w:val="24"/>
                <w:lang w:eastAsia="zh-CN" w:bidi="ar-SA"/>
              </w:rPr>
              <w:t>成交</w:t>
            </w:r>
            <w:r>
              <w:rPr>
                <w:rFonts w:hint="eastAsia" w:ascii="宋体" w:hAnsi="宋体" w:eastAsia="宋体" w:cs="宋体"/>
                <w:i w:val="0"/>
                <w:iCs w:val="0"/>
                <w:color w:val="auto"/>
                <w:kern w:val="0"/>
                <w:sz w:val="24"/>
                <w:szCs w:val="24"/>
                <w:lang w:eastAsia="zh-CN" w:bidi="ar-SA"/>
              </w:rPr>
              <w:t>，只有技术需求</w:t>
            </w:r>
            <w:r>
              <w:rPr>
                <w:rFonts w:hint="eastAsia" w:ascii="宋体" w:hAnsi="宋体" w:cs="宋体"/>
                <w:i w:val="0"/>
                <w:iCs w:val="0"/>
                <w:color w:val="auto"/>
                <w:kern w:val="0"/>
                <w:sz w:val="24"/>
                <w:szCs w:val="24"/>
                <w:lang w:eastAsia="zh-CN" w:bidi="ar-SA"/>
              </w:rPr>
              <w:t>成交</w:t>
            </w:r>
            <w:r>
              <w:rPr>
                <w:rFonts w:hint="eastAsia" w:ascii="宋体" w:hAnsi="宋体" w:eastAsia="宋体" w:cs="宋体"/>
                <w:i w:val="0"/>
                <w:iCs w:val="0"/>
                <w:color w:val="auto"/>
                <w:kern w:val="0"/>
                <w:sz w:val="24"/>
                <w:szCs w:val="24"/>
                <w:lang w:eastAsia="zh-CN" w:bidi="ar-SA"/>
              </w:rPr>
              <w:t>明为“允许进口产品参与投标”，才允许进口产品投标，但不排斥满足条件国产产品投标和</w:t>
            </w:r>
            <w:r>
              <w:rPr>
                <w:rFonts w:hint="eastAsia" w:ascii="宋体" w:hAnsi="宋体" w:cs="宋体"/>
                <w:i w:val="0"/>
                <w:iCs w:val="0"/>
                <w:color w:val="auto"/>
                <w:kern w:val="0"/>
                <w:sz w:val="24"/>
                <w:szCs w:val="24"/>
                <w:lang w:eastAsia="zh-CN" w:bidi="ar-SA"/>
              </w:rPr>
              <w:t>成交</w:t>
            </w:r>
            <w:r>
              <w:rPr>
                <w:rFonts w:hint="eastAsia" w:ascii="宋体" w:hAnsi="宋体" w:eastAsia="宋体" w:cs="宋体"/>
                <w:i w:val="0"/>
                <w:iCs w:val="0"/>
                <w:color w:val="auto"/>
                <w:kern w:val="0"/>
                <w:sz w:val="24"/>
                <w:szCs w:val="24"/>
                <w:lang w:eastAsia="zh-CN" w:bidi="ar-SA"/>
              </w:rPr>
              <w:t>。</w:t>
            </w:r>
          </w:p>
          <w:p>
            <w:pPr>
              <w:keepNext w:val="0"/>
              <w:keepLines w:val="0"/>
              <w:pageBreakBefore w:val="0"/>
              <w:kinsoku/>
              <w:wordWrap/>
              <w:overflowPunct/>
              <w:topLinePunct w:val="0"/>
              <w:bidi w:val="0"/>
              <w:spacing w:line="360" w:lineRule="auto"/>
              <w:ind w:left="0" w:leftChars="0" w:right="276" w:rightChars="115" w:firstLine="0" w:firstLineChars="0"/>
              <w:textAlignment w:val="auto"/>
              <w:rPr>
                <w:rFonts w:hint="eastAsia" w:ascii="宋体" w:hAnsi="宋体" w:eastAsia="宋体" w:cs="宋体"/>
                <w:i w:val="0"/>
                <w:iCs w:val="0"/>
                <w:color w:val="auto"/>
                <w:kern w:val="0"/>
                <w:sz w:val="24"/>
                <w:szCs w:val="24"/>
                <w:lang w:eastAsia="zh-CN" w:bidi="ar-SA"/>
              </w:rPr>
            </w:pPr>
            <w:r>
              <w:rPr>
                <w:rFonts w:hint="eastAsia" w:ascii="宋体" w:hAnsi="宋体" w:eastAsia="宋体" w:cs="宋体"/>
                <w:i w:val="0"/>
                <w:iCs w:val="0"/>
                <w:color w:val="auto"/>
                <w:kern w:val="0"/>
                <w:sz w:val="24"/>
                <w:szCs w:val="24"/>
                <w:lang w:eastAsia="zh-CN" w:bidi="ar-SA"/>
              </w:rPr>
              <w:t>国产产品定义：在中华人民共和国关境内生产的产品。</w:t>
            </w:r>
          </w:p>
          <w:p>
            <w:pPr>
              <w:keepNext w:val="0"/>
              <w:keepLines w:val="0"/>
              <w:pageBreakBefore w:val="0"/>
              <w:kinsoku/>
              <w:wordWrap/>
              <w:overflowPunct/>
              <w:topLinePunct w:val="0"/>
              <w:bidi w:val="0"/>
              <w:spacing w:line="360" w:lineRule="auto"/>
              <w:ind w:left="0" w:leftChars="0" w:right="276" w:rightChars="115" w:firstLine="0" w:firstLineChars="0"/>
              <w:textAlignment w:val="auto"/>
              <w:rPr>
                <w:rFonts w:hint="eastAsia" w:ascii="宋体" w:hAnsi="宋体" w:eastAsia="宋体" w:cs="宋体"/>
                <w:i w:val="0"/>
                <w:iCs w:val="0"/>
                <w:color w:val="auto"/>
                <w:kern w:val="0"/>
                <w:sz w:val="24"/>
                <w:szCs w:val="24"/>
                <w:lang w:eastAsia="zh-CN" w:bidi="ar-SA"/>
              </w:rPr>
            </w:pPr>
            <w:r>
              <w:rPr>
                <w:rFonts w:hint="eastAsia" w:ascii="宋体" w:hAnsi="宋体" w:eastAsia="宋体" w:cs="宋体"/>
                <w:i w:val="0"/>
                <w:iCs w:val="0"/>
                <w:color w:val="auto"/>
                <w:kern w:val="0"/>
                <w:sz w:val="24"/>
                <w:szCs w:val="24"/>
                <w:lang w:eastAsia="zh-CN" w:bidi="ar-SA"/>
              </w:rPr>
              <w:t>根据《中华人民共和国海关法》（以下简称海关法）的规定，我国现行关境是指适用海关法的中华人民共和国行政管辖区域，不包括香港、澳门台湾金马等单独关境地区。</w:t>
            </w:r>
          </w:p>
          <w:p>
            <w:pPr>
              <w:keepNext w:val="0"/>
              <w:keepLines w:val="0"/>
              <w:pageBreakBefore w:val="0"/>
              <w:kinsoku/>
              <w:wordWrap/>
              <w:overflowPunct/>
              <w:topLinePunct w:val="0"/>
              <w:bidi w:val="0"/>
              <w:spacing w:line="360" w:lineRule="auto"/>
              <w:ind w:left="0" w:leftChars="0" w:right="276" w:rightChars="115" w:firstLine="0" w:firstLineChars="0"/>
              <w:textAlignment w:val="auto"/>
              <w:rPr>
                <w:rFonts w:hint="eastAsia" w:ascii="宋体" w:hAnsi="宋体" w:eastAsia="宋体" w:cs="宋体"/>
                <w:i w:val="0"/>
                <w:iCs w:val="0"/>
                <w:color w:val="auto"/>
                <w:kern w:val="0"/>
                <w:sz w:val="24"/>
                <w:szCs w:val="24"/>
                <w:lang w:eastAsia="zh-CN" w:bidi="ar-SA"/>
              </w:rPr>
            </w:pPr>
            <w:r>
              <w:rPr>
                <w:rFonts w:hint="eastAsia" w:ascii="宋体" w:hAnsi="宋体" w:eastAsia="宋体" w:cs="宋体"/>
                <w:i w:val="0"/>
                <w:iCs w:val="0"/>
                <w:color w:val="auto"/>
                <w:kern w:val="0"/>
                <w:sz w:val="24"/>
                <w:szCs w:val="24"/>
                <w:lang w:eastAsia="zh-CN" w:bidi="ar-SA"/>
              </w:rPr>
              <w:t>保税区、出口加工区、保税港区、综合保税区等区域，为海关特殊监管区域，这些区域仅在关税待遇及贸易管制方面实施不同于我国关境内其他地区的特殊政策，但仍属于中华人民共和国关境内区域，由海关按照海关法实施监管。</w:t>
            </w:r>
          </w:p>
          <w:p>
            <w:pPr>
              <w:keepNext w:val="0"/>
              <w:keepLines w:val="0"/>
              <w:pageBreakBefore w:val="0"/>
              <w:kinsoku/>
              <w:wordWrap/>
              <w:overflowPunct/>
              <w:topLinePunct w:val="0"/>
              <w:bidi w:val="0"/>
              <w:spacing w:line="360" w:lineRule="auto"/>
              <w:ind w:left="0" w:leftChars="0" w:right="276" w:rightChars="115" w:firstLine="0" w:firstLineChars="0"/>
              <w:textAlignment w:val="auto"/>
              <w:rPr>
                <w:rFonts w:hint="eastAsia" w:ascii="宋体" w:hAnsi="宋体" w:eastAsia="宋体" w:cs="宋体"/>
                <w:i w:val="0"/>
                <w:iCs w:val="0"/>
                <w:color w:val="auto"/>
                <w:kern w:val="0"/>
                <w:sz w:val="24"/>
                <w:szCs w:val="24"/>
                <w:lang w:eastAsia="zh-CN" w:bidi="ar-SA"/>
              </w:rPr>
            </w:pPr>
            <w:r>
              <w:rPr>
                <w:rFonts w:hint="eastAsia" w:ascii="宋体" w:hAnsi="宋体" w:eastAsia="宋体" w:cs="宋体"/>
                <w:i w:val="0"/>
                <w:iCs w:val="0"/>
                <w:color w:val="auto"/>
                <w:kern w:val="0"/>
                <w:sz w:val="24"/>
                <w:szCs w:val="24"/>
                <w:lang w:eastAsia="zh-CN" w:bidi="ar-SA"/>
              </w:rPr>
              <w:t>因此，凡在海关特殊监管区域内企业生产或加工（包括从境外进口料件）销往境内其他地区的产品，不作为政府采购项下进口产品。</w:t>
            </w:r>
          </w:p>
          <w:p>
            <w:pPr>
              <w:keepNext w:val="0"/>
              <w:keepLines w:val="0"/>
              <w:pageBreakBefore w:val="0"/>
              <w:kinsoku/>
              <w:wordWrap/>
              <w:overflowPunct/>
              <w:topLinePunct w:val="0"/>
              <w:bidi w:val="0"/>
              <w:spacing w:line="360" w:lineRule="auto"/>
              <w:ind w:left="0" w:leftChars="0" w:right="276" w:rightChars="115"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i w:val="0"/>
                <w:iCs w:val="0"/>
                <w:color w:val="auto"/>
                <w:kern w:val="0"/>
                <w:sz w:val="24"/>
                <w:szCs w:val="24"/>
                <w:lang w:eastAsia="zh-CN" w:bidi="ar-SA"/>
              </w:rPr>
              <w:t>对从境外进入海关特殊监管区域，再经办理报关手续后从海关特殊监管区进入境内其他地区的产品，应当认定为进口产品。</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磋商保证金（实质性要求）</w:t>
            </w:r>
          </w:p>
        </w:tc>
        <w:tc>
          <w:tcPr>
            <w:tcW w:w="7063" w:type="dxa"/>
            <w:vAlign w:val="center"/>
          </w:tcPr>
          <w:p>
            <w:pPr>
              <w:keepNext w:val="0"/>
              <w:keepLines w:val="0"/>
              <w:pageBreakBefore w:val="0"/>
              <w:kinsoku/>
              <w:wordWrap/>
              <w:overflowPunct/>
              <w:topLinePunct w:val="0"/>
              <w:bidi w:val="0"/>
              <w:snapToGrid/>
              <w:spacing w:line="360" w:lineRule="auto"/>
              <w:ind w:left="137" w:leftChars="57"/>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本项目无磋商保证金。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49" w:hRule="atLeas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vAlign w:val="center"/>
          </w:tcPr>
          <w:p>
            <w:pPr>
              <w:pStyle w:val="21"/>
              <w:keepNext w:val="0"/>
              <w:keepLines w:val="0"/>
              <w:pageBreakBefore w:val="0"/>
              <w:kinsoku/>
              <w:wordWrap/>
              <w:overflowPunct/>
              <w:topLinePunct w:val="0"/>
              <w:bidi w:val="0"/>
              <w:snapToGrid/>
              <w:spacing w:line="360" w:lineRule="auto"/>
              <w:ind w:left="0" w:leftChars="0" w:firstLine="0" w:firstLineChars="0"/>
              <w:contextualSpacing/>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kern w:val="2"/>
                <w:sz w:val="24"/>
                <w:szCs w:val="24"/>
                <w:lang w:val="en-US" w:eastAsia="zh-CN"/>
              </w:rPr>
              <w:t>履约保证金</w:t>
            </w:r>
          </w:p>
        </w:tc>
        <w:tc>
          <w:tcPr>
            <w:tcW w:w="7063" w:type="dxa"/>
            <w:vAlign w:val="center"/>
          </w:tcPr>
          <w:p>
            <w:pPr>
              <w:keepNext w:val="0"/>
              <w:keepLines w:val="0"/>
              <w:pageBreakBefore w:val="0"/>
              <w:widowControl/>
              <w:kinsoku/>
              <w:wordWrap/>
              <w:overflowPunct/>
              <w:topLinePunct w:val="0"/>
              <w:bidi w:val="0"/>
              <w:snapToGrid/>
              <w:spacing w:line="360" w:lineRule="auto"/>
              <w:ind w:left="0" w:leftChars="0" w:firstLine="0" w:firstLineChars="0"/>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kern w:val="2"/>
                <w:sz w:val="24"/>
                <w:szCs w:val="24"/>
                <w:lang w:val="en-US" w:eastAsia="zh-CN"/>
              </w:rPr>
              <w:t>本项目无履约保证金。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84" w:hRule="exac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vAlign w:val="center"/>
          </w:tcPr>
          <w:p>
            <w:pPr>
              <w:pStyle w:val="126"/>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采购文件咨询</w:t>
            </w:r>
          </w:p>
        </w:tc>
        <w:tc>
          <w:tcPr>
            <w:tcW w:w="7063" w:type="dxa"/>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联系人：高老师</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val="en-US" w:eastAsia="zh-CN"/>
              </w:rPr>
              <w:t>028-</w:t>
            </w:r>
            <w:r>
              <w:rPr>
                <w:rFonts w:hint="eastAsia" w:ascii="宋体" w:hAnsi="宋体" w:eastAsia="宋体" w:cs="宋体"/>
                <w:color w:val="auto"/>
                <w:sz w:val="24"/>
                <w:szCs w:val="24"/>
                <w:highlight w:val="none"/>
              </w:rPr>
              <w:t>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91" w:hRule="exac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vAlign w:val="center"/>
          </w:tcPr>
          <w:p>
            <w:pPr>
              <w:keepNext w:val="0"/>
              <w:keepLines w:val="0"/>
              <w:pageBreakBefore w:val="0"/>
              <w:kinsoku/>
              <w:wordWrap/>
              <w:overflowPunct/>
              <w:topLinePunct w:val="0"/>
              <w:bidi w:val="0"/>
              <w:snapToGrid/>
              <w:spacing w:line="360" w:lineRule="auto"/>
              <w:jc w:val="center"/>
              <w:textAlignment w:val="auto"/>
              <w:outlineLvl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工作咨询</w:t>
            </w:r>
          </w:p>
        </w:tc>
        <w:tc>
          <w:tcPr>
            <w:tcW w:w="7063" w:type="dxa"/>
            <w:vAlign w:val="center"/>
          </w:tcPr>
          <w:p>
            <w:pPr>
              <w:keepNext w:val="0"/>
              <w:keepLines w:val="0"/>
              <w:pageBreakBefore w:val="0"/>
              <w:kinsoku/>
              <w:wordWrap/>
              <w:overflowPunct/>
              <w:topLinePunct w:val="0"/>
              <w:bidi w:val="0"/>
              <w:snapToGrid/>
              <w:spacing w:line="360" w:lineRule="auto"/>
              <w:textAlignment w:val="auto"/>
              <w:outlineLvl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联系人：高老师</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val="en-US" w:eastAsia="zh-CN"/>
              </w:rPr>
              <w:t>028-</w:t>
            </w:r>
            <w:r>
              <w:rPr>
                <w:rFonts w:hint="eastAsia" w:ascii="宋体" w:hAnsi="宋体" w:eastAsia="宋体" w:cs="宋体"/>
                <w:color w:val="auto"/>
                <w:sz w:val="24"/>
                <w:szCs w:val="24"/>
                <w:highlight w:val="none"/>
              </w:rPr>
              <w:t>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307" w:hRule="exac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vAlign w:val="center"/>
          </w:tcPr>
          <w:p>
            <w:pPr>
              <w:keepNext w:val="0"/>
              <w:keepLines w:val="0"/>
              <w:pageBreakBefore w:val="0"/>
              <w:widowControl/>
              <w:tabs>
                <w:tab w:val="left" w:pos="7665"/>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b w:val="0"/>
                <w:bCs/>
              </w:rPr>
              <w:t>磋商开启活动程序</w:t>
            </w:r>
          </w:p>
        </w:tc>
        <w:tc>
          <w:tcPr>
            <w:tcW w:w="7063"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ascii="宋体" w:hAnsi="宋体"/>
                <w:b w:val="0"/>
                <w:bCs/>
                <w:sz w:val="24"/>
                <w:szCs w:val="24"/>
              </w:rPr>
            </w:pPr>
            <w:r>
              <w:rPr>
                <w:rFonts w:hint="eastAsia" w:ascii="宋体" w:hAnsi="宋体"/>
                <w:b w:val="0"/>
                <w:bCs/>
              </w:rPr>
              <w:t>响应文件解密：</w:t>
            </w:r>
            <w:r>
              <w:rPr>
                <w:rFonts w:hint="eastAsia" w:ascii="宋体" w:hAnsi="宋体"/>
                <w:bCs/>
                <w:sz w:val="24"/>
                <w:szCs w:val="24"/>
              </w:rPr>
              <w:t>供应商</w:t>
            </w:r>
            <w:r>
              <w:rPr>
                <w:rFonts w:hint="eastAsia" w:ascii="宋体" w:hAnsi="宋体"/>
                <w:sz w:val="24"/>
                <w:szCs w:val="24"/>
              </w:rPr>
              <w:t>登录政府采购云平台，点击“项目采购—开标评标”模块，找到对应项目，进入“开标大厅”，等待</w:t>
            </w:r>
            <w:r>
              <w:rPr>
                <w:rFonts w:hint="eastAsia" w:ascii="宋体" w:hAnsi="宋体"/>
                <w:b w:val="0"/>
                <w:bCs/>
                <w:sz w:val="24"/>
                <w:szCs w:val="24"/>
              </w:rPr>
              <w:t>开启解密后，供应商应在系统提示的解密开始时间后</w:t>
            </w:r>
            <w:r>
              <w:rPr>
                <w:rFonts w:ascii="宋体" w:hAnsi="宋体"/>
                <w:b w:val="0"/>
                <w:bCs/>
                <w:sz w:val="24"/>
                <w:szCs w:val="24"/>
              </w:rPr>
              <w:t>60</w:t>
            </w:r>
            <w:r>
              <w:rPr>
                <w:rFonts w:hint="eastAsia" w:ascii="宋体" w:hAnsi="宋体"/>
                <w:b w:val="0"/>
                <w:bCs/>
                <w:sz w:val="24"/>
                <w:szCs w:val="24"/>
              </w:rPr>
              <w:t>分钟内，使用对响应文件进行加密的</w:t>
            </w:r>
            <w:r>
              <w:rPr>
                <w:rFonts w:ascii="宋体" w:hAnsi="宋体"/>
                <w:b w:val="0"/>
                <w:bCs/>
                <w:sz w:val="24"/>
                <w:szCs w:val="24"/>
              </w:rPr>
              <w:t>CA证书在线完成对供应商</w:t>
            </w:r>
            <w:r>
              <w:rPr>
                <w:rFonts w:hint="eastAsia" w:ascii="宋体" w:hAnsi="宋体"/>
                <w:b w:val="0"/>
                <w:bCs/>
                <w:sz w:val="24"/>
                <w:szCs w:val="24"/>
              </w:rPr>
              <w:t>提交至政府采购云平台的响应文件的解密。</w:t>
            </w:r>
          </w:p>
          <w:p>
            <w:pPr>
              <w:keepNext w:val="0"/>
              <w:keepLines w:val="0"/>
              <w:pageBreakBefore w:val="0"/>
              <w:widowControl/>
              <w:tabs>
                <w:tab w:val="left" w:pos="1134"/>
              </w:tabs>
              <w:kinsoku/>
              <w:wordWrap/>
              <w:overflowPunct/>
              <w:topLinePunct w:val="0"/>
              <w:autoSpaceDE/>
              <w:autoSpaceDN/>
              <w:bidi w:val="0"/>
              <w:adjustRightInd/>
              <w:spacing w:before="120" w:line="360" w:lineRule="auto"/>
              <w:ind w:left="0" w:leftChars="0" w:firstLine="0" w:firstLineChars="0"/>
              <w:textAlignment w:val="auto"/>
              <w:rPr>
                <w:rFonts w:ascii="宋体" w:hAnsi="宋体"/>
                <w:bCs/>
                <w:sz w:val="24"/>
                <w:szCs w:val="24"/>
              </w:rPr>
            </w:pPr>
            <w:r>
              <w:rPr>
                <w:rFonts w:hint="eastAsia" w:ascii="宋体" w:hAnsi="宋体"/>
                <w:bCs/>
                <w:sz w:val="24"/>
                <w:szCs w:val="24"/>
              </w:rPr>
              <w:t>除因断电、断网、系统故障或其他不可抗力等因素，导致系统无法使用外，供应商在规定的解密时间内，未成功解密的响应文件将视为无效响应文件。</w:t>
            </w:r>
          </w:p>
          <w:p>
            <w:pPr>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rPr>
                <w:rFonts w:ascii="宋体" w:hAnsi="宋体"/>
                <w:b w:val="0"/>
                <w:bCs/>
              </w:rPr>
            </w:pPr>
            <w:r>
              <w:rPr>
                <w:rFonts w:hint="eastAsia" w:ascii="宋体" w:hAnsi="宋体"/>
                <w:b w:val="0"/>
                <w:bCs/>
              </w:rPr>
              <w:t>供应商电脑终端等硬件设备和软件系统配置：供应商电脑终端等硬件设备和软件系统配置应符合开标大厅供应商电脑终端配置要求并运行正常，供应商承担因未尽职责产生的不利后果。</w:t>
            </w:r>
          </w:p>
          <w:p>
            <w:pPr>
              <w:keepNext w:val="0"/>
              <w:keepLines w:val="0"/>
              <w:pageBreakBefore w:val="0"/>
              <w:widowControl/>
              <w:tabs>
                <w:tab w:val="left" w:pos="7665"/>
              </w:tabs>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b w:val="0"/>
                <w:bCs/>
              </w:rPr>
              <w:t>响应文件的解密详见《成都市全流程电子化采购系统操作指南——供应商版》。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成交通知书领取</w:t>
            </w:r>
          </w:p>
        </w:tc>
        <w:tc>
          <w:tcPr>
            <w:tcW w:w="7063" w:type="dxa"/>
            <w:vAlign w:val="center"/>
          </w:tcPr>
          <w:p>
            <w:pPr>
              <w:keepNext w:val="0"/>
              <w:keepLines w:val="0"/>
              <w:pageBreakBefore w:val="0"/>
              <w:tabs>
                <w:tab w:val="left" w:pos="7665"/>
              </w:tabs>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成交公告在四川政府采购网上公告后，成交供应商凭有效身份证明证件到四川世科工程咨询有限公司领取成交通知书。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727" w:hRule="exac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vAlign w:val="center"/>
          </w:tcPr>
          <w:p>
            <w:pPr>
              <w:keepNext w:val="0"/>
              <w:keepLines w:val="0"/>
              <w:pageBreakBefore w:val="0"/>
              <w:kinsoku/>
              <w:wordWrap/>
              <w:overflowPunct/>
              <w:topLinePunct w:val="0"/>
              <w:bidi w:val="0"/>
              <w:snapToGrid/>
              <w:spacing w:line="360" w:lineRule="auto"/>
              <w:ind w:firstLine="0" w:firstLineChars="0"/>
              <w:contextualSpacing/>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sz w:val="24"/>
                <w:szCs w:val="24"/>
                <w:lang w:val="zh-CN" w:eastAsia="zh-CN" w:bidi="ar-SA"/>
              </w:rPr>
              <w:t>询问</w:t>
            </w:r>
          </w:p>
        </w:tc>
        <w:tc>
          <w:tcPr>
            <w:tcW w:w="7063" w:type="dxa"/>
            <w:vAlign w:val="center"/>
          </w:tcPr>
          <w:p>
            <w:pPr>
              <w:pStyle w:val="126"/>
              <w:keepNext w:val="0"/>
              <w:keepLines w:val="0"/>
              <w:pageBreakBefore w:val="0"/>
              <w:kinsoku/>
              <w:wordWrap/>
              <w:overflowPunct/>
              <w:topLinePunct w:val="0"/>
              <w:bidi w:val="0"/>
              <w:spacing w:line="360" w:lineRule="auto"/>
              <w:contextualSpacing/>
              <w:textAlignment w:val="auto"/>
              <w:outlineLvl w:val="9"/>
              <w:rPr>
                <w:rFonts w:hint="eastAsia" w:ascii="宋体" w:hAnsi="宋体" w:eastAsia="宋体" w:cs="宋体"/>
                <w:b w:val="0"/>
                <w:sz w:val="24"/>
                <w:szCs w:val="24"/>
                <w:lang w:val="zh-CN" w:eastAsia="zh-CN" w:bidi="ar-SA"/>
              </w:rPr>
            </w:pPr>
            <w:r>
              <w:rPr>
                <w:rFonts w:hint="eastAsia" w:ascii="宋体" w:hAnsi="宋体" w:eastAsia="宋体" w:cs="宋体"/>
                <w:b w:val="0"/>
                <w:sz w:val="24"/>
                <w:szCs w:val="24"/>
                <w:lang w:val="zh-CN" w:eastAsia="zh-CN" w:bidi="ar-SA"/>
              </w:rPr>
              <w:t>根据委托代理协议约定，供应商询问由采购代理机构负责答复。</w:t>
            </w:r>
          </w:p>
          <w:p>
            <w:pPr>
              <w:pStyle w:val="126"/>
              <w:keepNext w:val="0"/>
              <w:keepLines w:val="0"/>
              <w:pageBreakBefore w:val="0"/>
              <w:kinsoku/>
              <w:wordWrap/>
              <w:overflowPunct/>
              <w:topLinePunct w:val="0"/>
              <w:bidi w:val="0"/>
              <w:spacing w:line="360" w:lineRule="auto"/>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 w:val="0"/>
                <w:sz w:val="24"/>
                <w:szCs w:val="24"/>
                <w:lang w:val="zh-CN" w:eastAsia="zh-CN" w:bidi="ar-SA"/>
              </w:rPr>
              <w:t>联系人、联系电话、联系地址：详见第</w:t>
            </w:r>
            <w:r>
              <w:rPr>
                <w:rFonts w:hint="eastAsia" w:ascii="宋体" w:hAnsi="宋体" w:eastAsia="宋体" w:cs="宋体"/>
                <w:b w:val="0"/>
                <w:sz w:val="24"/>
                <w:szCs w:val="24"/>
                <w:lang w:val="en-US" w:eastAsia="zh-CN" w:bidi="ar-SA"/>
              </w:rPr>
              <w:t>一</w:t>
            </w:r>
            <w:r>
              <w:rPr>
                <w:rFonts w:hint="eastAsia" w:ascii="宋体" w:hAnsi="宋体" w:eastAsia="宋体" w:cs="宋体"/>
                <w:b w:val="0"/>
                <w:sz w:val="24"/>
                <w:szCs w:val="24"/>
                <w:lang w:val="zh-CN" w:eastAsia="zh-CN" w:bidi="ar-SA"/>
              </w:rPr>
              <w:t>章</w:t>
            </w:r>
            <w:r>
              <w:rPr>
                <w:rFonts w:hint="eastAsia" w:ascii="宋体" w:hAnsi="宋体" w:eastAsia="宋体" w:cs="宋体"/>
                <w:b w:val="0"/>
                <w:sz w:val="24"/>
                <w:szCs w:val="24"/>
                <w:lang w:val="en-US" w:eastAsia="zh-CN" w:bidi="ar-SA"/>
              </w:rPr>
              <w:t>竞争性磋商</w:t>
            </w:r>
            <w:r>
              <w:rPr>
                <w:rFonts w:hint="eastAsia" w:ascii="宋体" w:hAnsi="宋体" w:eastAsia="宋体" w:cs="宋体"/>
                <w:b w:val="0"/>
                <w:sz w:val="24"/>
                <w:szCs w:val="24"/>
                <w:lang w:val="zh-CN" w:eastAsia="zh-CN" w:bidi="ar-SA"/>
              </w:rPr>
              <w:t>邀请中的采购代理机构联系方式。</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482" w:hRule="exac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vAlign w:val="center"/>
          </w:tcPr>
          <w:p>
            <w:pPr>
              <w:keepNext w:val="0"/>
              <w:keepLines w:val="0"/>
              <w:pageBreakBefore w:val="0"/>
              <w:kinsoku/>
              <w:wordWrap/>
              <w:overflowPunct/>
              <w:topLinePunct w:val="0"/>
              <w:bidi w:val="0"/>
              <w:snapToGrid/>
              <w:spacing w:line="360" w:lineRule="auto"/>
              <w:ind w:firstLine="0" w:firstLineChars="0"/>
              <w:contextualSpacing/>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b w:val="0"/>
                <w:sz w:val="24"/>
                <w:szCs w:val="24"/>
                <w:lang w:val="zh-CN" w:eastAsia="zh-CN" w:bidi="ar-SA"/>
              </w:rPr>
              <w:t>质疑</w:t>
            </w:r>
          </w:p>
        </w:tc>
        <w:tc>
          <w:tcPr>
            <w:tcW w:w="7063" w:type="dxa"/>
            <w:vAlign w:val="center"/>
          </w:tcPr>
          <w:p>
            <w:pPr>
              <w:pStyle w:val="126"/>
              <w:keepNext w:val="0"/>
              <w:keepLines w:val="0"/>
              <w:pageBreakBefore w:val="0"/>
              <w:kinsoku/>
              <w:wordWrap/>
              <w:overflowPunct/>
              <w:topLinePunct w:val="0"/>
              <w:bidi w:val="0"/>
              <w:spacing w:line="360" w:lineRule="auto"/>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 w:val="0"/>
                <w:sz w:val="24"/>
                <w:szCs w:val="24"/>
                <w:lang w:val="zh-CN" w:eastAsia="zh-CN" w:bidi="ar-SA"/>
              </w:rPr>
              <w:t>根据委托代理协议约定：</w:t>
            </w:r>
          </w:p>
          <w:p>
            <w:pPr>
              <w:pStyle w:val="39"/>
              <w:keepNext w:val="0"/>
              <w:keepLines w:val="0"/>
              <w:pageBreakBefore w:val="0"/>
              <w:numPr>
                <w:ilvl w:val="0"/>
                <w:numId w:val="0"/>
              </w:numPr>
              <w:kinsoku/>
              <w:wordWrap/>
              <w:overflowPunct/>
              <w:topLinePunct w:val="0"/>
              <w:bidi w:val="0"/>
              <w:spacing w:beforeAutospacing="0" w:afterAutospacing="0" w:line="360" w:lineRule="auto"/>
              <w:ind w:left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对于采购文件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采购过程、采购结果</w:t>
            </w:r>
            <w:r>
              <w:rPr>
                <w:rFonts w:hint="eastAsia" w:ascii="宋体" w:hAnsi="宋体" w:eastAsia="宋体" w:cs="宋体"/>
                <w:color w:val="auto"/>
                <w:sz w:val="24"/>
                <w:szCs w:val="24"/>
                <w:highlight w:val="none"/>
              </w:rPr>
              <w:t>的质疑由</w:t>
            </w:r>
            <w:r>
              <w:rPr>
                <w:rFonts w:hint="eastAsia" w:ascii="宋体" w:hAnsi="宋体" w:eastAsia="宋体" w:cs="宋体"/>
                <w:b w:val="0"/>
                <w:sz w:val="24"/>
                <w:szCs w:val="24"/>
                <w:lang w:val="zh-CN" w:eastAsia="zh-CN" w:bidi="ar-SA"/>
              </w:rPr>
              <w:t>采购代理机构负责答复</w:t>
            </w:r>
            <w:r>
              <w:rPr>
                <w:rFonts w:hint="eastAsia" w:ascii="宋体" w:hAnsi="宋体" w:eastAsia="宋体" w:cs="宋体"/>
                <w:color w:val="auto"/>
                <w:sz w:val="24"/>
                <w:szCs w:val="24"/>
                <w:highlight w:val="none"/>
              </w:rPr>
              <w:t>。</w:t>
            </w:r>
          </w:p>
          <w:p>
            <w:pPr>
              <w:pStyle w:val="126"/>
              <w:keepNext w:val="0"/>
              <w:keepLines w:val="0"/>
              <w:pageBreakBefore w:val="0"/>
              <w:kinsoku/>
              <w:wordWrap/>
              <w:overflowPunct/>
              <w:topLinePunct w:val="0"/>
              <w:bidi w:val="0"/>
              <w:spacing w:line="360" w:lineRule="auto"/>
              <w:contextualSpacing/>
              <w:textAlignment w:val="auto"/>
              <w:outlineLvl w:val="9"/>
              <w:rPr>
                <w:rFonts w:hint="eastAsia" w:ascii="宋体" w:hAnsi="宋体" w:eastAsia="宋体" w:cs="宋体"/>
                <w:b w:val="0"/>
                <w:sz w:val="24"/>
                <w:szCs w:val="24"/>
                <w:lang w:val="zh-CN" w:eastAsia="zh-CN" w:bidi="ar-SA"/>
              </w:rPr>
            </w:pPr>
            <w:r>
              <w:rPr>
                <w:rFonts w:hint="eastAsia" w:ascii="宋体" w:hAnsi="宋体" w:eastAsia="宋体" w:cs="宋体"/>
                <w:b w:val="0"/>
                <w:sz w:val="24"/>
                <w:szCs w:val="24"/>
                <w:lang w:val="zh-CN" w:eastAsia="zh-CN" w:bidi="ar-SA"/>
              </w:rPr>
              <w:t>联 系 人、联系电话、联系地址：详见第</w:t>
            </w:r>
            <w:r>
              <w:rPr>
                <w:rFonts w:hint="eastAsia" w:ascii="宋体" w:hAnsi="宋体" w:eastAsia="宋体" w:cs="宋体"/>
                <w:b w:val="0"/>
                <w:sz w:val="24"/>
                <w:szCs w:val="24"/>
                <w:lang w:val="en-US" w:eastAsia="zh-CN" w:bidi="ar-SA"/>
              </w:rPr>
              <w:t>一</w:t>
            </w:r>
            <w:r>
              <w:rPr>
                <w:rFonts w:hint="eastAsia" w:ascii="宋体" w:hAnsi="宋体" w:eastAsia="宋体" w:cs="宋体"/>
                <w:b w:val="0"/>
                <w:sz w:val="24"/>
                <w:szCs w:val="24"/>
                <w:lang w:val="zh-CN" w:eastAsia="zh-CN" w:bidi="ar-SA"/>
              </w:rPr>
              <w:t>章</w:t>
            </w:r>
            <w:r>
              <w:rPr>
                <w:rFonts w:hint="eastAsia" w:ascii="宋体" w:hAnsi="宋体" w:eastAsia="宋体" w:cs="宋体"/>
                <w:b w:val="0"/>
                <w:sz w:val="24"/>
                <w:szCs w:val="24"/>
                <w:lang w:val="en-US" w:eastAsia="zh-CN" w:bidi="ar-SA"/>
              </w:rPr>
              <w:t>竞争性磋商</w:t>
            </w:r>
            <w:r>
              <w:rPr>
                <w:rFonts w:hint="eastAsia" w:ascii="宋体" w:hAnsi="宋体" w:eastAsia="宋体" w:cs="宋体"/>
                <w:b w:val="0"/>
                <w:sz w:val="24"/>
                <w:szCs w:val="24"/>
                <w:lang w:val="zh-CN" w:eastAsia="zh-CN" w:bidi="ar-SA"/>
              </w:rPr>
              <w:t>邀请中的采购代理机构联系方式。</w:t>
            </w:r>
          </w:p>
          <w:p>
            <w:pPr>
              <w:pStyle w:val="126"/>
              <w:keepNext w:val="0"/>
              <w:keepLines w:val="0"/>
              <w:pageBreakBefore w:val="0"/>
              <w:kinsoku/>
              <w:wordWrap/>
              <w:overflowPunct/>
              <w:topLinePunct w:val="0"/>
              <w:bidi w:val="0"/>
              <w:spacing w:line="360" w:lineRule="auto"/>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sz w:val="24"/>
                <w:szCs w:val="24"/>
                <w:lang w:val="zh-CN" w:eastAsia="zh-CN" w:bidi="ar-SA"/>
              </w:rPr>
              <w:t>注：根据《政府采购质疑和投诉办法》（财政部令第94号）等规定，供应商质疑不得超出</w:t>
            </w:r>
            <w:r>
              <w:rPr>
                <w:rFonts w:hint="eastAsia" w:ascii="宋体" w:hAnsi="宋体" w:eastAsia="宋体" w:cs="宋体"/>
                <w:b w:val="0"/>
                <w:sz w:val="24"/>
                <w:szCs w:val="24"/>
                <w:lang w:val="en-US" w:eastAsia="zh-CN" w:bidi="ar-SA"/>
              </w:rPr>
              <w:t>磋商</w:t>
            </w:r>
            <w:r>
              <w:rPr>
                <w:rFonts w:hint="eastAsia" w:ascii="宋体" w:hAnsi="宋体" w:eastAsia="宋体" w:cs="宋体"/>
                <w:b w:val="0"/>
                <w:sz w:val="24"/>
                <w:szCs w:val="24"/>
                <w:lang w:val="zh-CN" w:eastAsia="zh-CN" w:bidi="ar-SA"/>
              </w:rPr>
              <w:t>文件、采购过程、采购结果的范围，供应商应在法定质疑期内一次性提出针对同一采购程序环节的质疑。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28" w:hRule="exac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vAlign w:val="center"/>
          </w:tcPr>
          <w:p>
            <w:pPr>
              <w:keepNext w:val="0"/>
              <w:keepLines w:val="0"/>
              <w:pageBreakBefore w:val="0"/>
              <w:kinsoku/>
              <w:wordWrap/>
              <w:overflowPunct/>
              <w:topLinePunct w:val="0"/>
              <w:bidi w:val="0"/>
              <w:snapToGrid/>
              <w:spacing w:line="360" w:lineRule="auto"/>
              <w:ind w:firstLine="0" w:firstLineChars="0"/>
              <w:contextualSpacing/>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sz w:val="24"/>
                <w:szCs w:val="24"/>
                <w:lang w:val="zh-CN" w:eastAsia="zh-CN" w:bidi="ar-SA"/>
              </w:rPr>
              <w:t>投诉</w:t>
            </w:r>
          </w:p>
        </w:tc>
        <w:tc>
          <w:tcPr>
            <w:tcW w:w="7063" w:type="dxa"/>
            <w:vAlign w:val="center"/>
          </w:tcPr>
          <w:p>
            <w:pPr>
              <w:pStyle w:val="126"/>
              <w:keepNext w:val="0"/>
              <w:keepLines w:val="0"/>
              <w:pageBreakBefore w:val="0"/>
              <w:kinsoku/>
              <w:wordWrap/>
              <w:overflowPunct/>
              <w:topLinePunct w:val="0"/>
              <w:bidi w:val="0"/>
              <w:spacing w:line="360" w:lineRule="auto"/>
              <w:contextualSpacing/>
              <w:textAlignment w:val="auto"/>
              <w:outlineLvl w:val="9"/>
              <w:rPr>
                <w:rFonts w:hint="eastAsia" w:ascii="宋体" w:hAnsi="宋体" w:eastAsia="宋体" w:cs="宋体"/>
                <w:b w:val="0"/>
                <w:sz w:val="24"/>
                <w:szCs w:val="24"/>
                <w:lang w:val="zh-CN" w:eastAsia="zh-CN" w:bidi="ar-SA"/>
              </w:rPr>
            </w:pPr>
            <w:r>
              <w:rPr>
                <w:rFonts w:hint="eastAsia" w:ascii="宋体" w:hAnsi="宋体" w:eastAsia="宋体" w:cs="宋体"/>
                <w:b w:val="0"/>
                <w:sz w:val="24"/>
                <w:szCs w:val="24"/>
                <w:lang w:val="zh-CN" w:eastAsia="zh-CN" w:bidi="ar-SA"/>
              </w:rPr>
              <w:t>投诉受理单位：本项目同级财政部门，即</w:t>
            </w:r>
            <w:r>
              <w:rPr>
                <w:rFonts w:hint="eastAsia" w:ascii="宋体" w:hAnsi="宋体" w:eastAsia="宋体" w:cs="宋体"/>
                <w:b w:val="0"/>
                <w:sz w:val="24"/>
                <w:szCs w:val="24"/>
                <w:lang w:val="en-US" w:eastAsia="zh-CN" w:bidi="ar-SA"/>
              </w:rPr>
              <w:t>成都市龙泉驿区财政局</w:t>
            </w:r>
            <w:r>
              <w:rPr>
                <w:rFonts w:hint="eastAsia" w:ascii="宋体" w:hAnsi="宋体" w:eastAsia="宋体" w:cs="宋体"/>
                <w:b w:val="0"/>
                <w:sz w:val="24"/>
                <w:szCs w:val="24"/>
                <w:lang w:val="zh-CN" w:eastAsia="zh-CN" w:bidi="ar-SA"/>
              </w:rPr>
              <w:t>。</w:t>
            </w:r>
          </w:p>
          <w:p>
            <w:pPr>
              <w:pStyle w:val="126"/>
              <w:keepNext w:val="0"/>
              <w:keepLines w:val="0"/>
              <w:pageBreakBefore w:val="0"/>
              <w:kinsoku/>
              <w:wordWrap/>
              <w:overflowPunct/>
              <w:topLinePunct w:val="0"/>
              <w:bidi w:val="0"/>
              <w:spacing w:line="360" w:lineRule="auto"/>
              <w:contextualSpacing/>
              <w:textAlignment w:val="auto"/>
              <w:outlineLvl w:val="9"/>
              <w:rPr>
                <w:rFonts w:hint="default" w:ascii="宋体" w:hAnsi="宋体" w:eastAsia="宋体" w:cs="宋体"/>
                <w:b w:val="0"/>
                <w:sz w:val="24"/>
                <w:szCs w:val="24"/>
                <w:lang w:val="en-US" w:eastAsia="zh-CN" w:bidi="ar-SA"/>
              </w:rPr>
            </w:pPr>
            <w:r>
              <w:rPr>
                <w:rFonts w:hint="eastAsia" w:ascii="宋体" w:hAnsi="宋体" w:eastAsia="宋体" w:cs="宋体"/>
                <w:b w:val="0"/>
                <w:sz w:val="24"/>
                <w:szCs w:val="24"/>
                <w:lang w:val="zh-CN" w:eastAsia="zh-CN" w:bidi="ar-SA"/>
              </w:rPr>
              <w:t>联系电话：</w:t>
            </w:r>
            <w:r>
              <w:rPr>
                <w:rFonts w:hint="eastAsia" w:ascii="宋体" w:hAnsi="宋体" w:eastAsia="宋体" w:cs="宋体"/>
                <w:b w:val="0"/>
                <w:sz w:val="24"/>
                <w:szCs w:val="24"/>
                <w:lang w:val="en-US" w:eastAsia="zh-CN" w:bidi="ar-SA"/>
              </w:rPr>
              <w:t>028-84636986</w:t>
            </w:r>
            <w:r>
              <w:rPr>
                <w:rFonts w:hint="eastAsia" w:cs="宋体"/>
                <w:b w:val="0"/>
                <w:sz w:val="24"/>
                <w:szCs w:val="24"/>
                <w:lang w:val="en-US" w:eastAsia="zh-CN" w:bidi="ar-SA"/>
              </w:rPr>
              <w:t>。</w:t>
            </w:r>
          </w:p>
          <w:p>
            <w:pPr>
              <w:pStyle w:val="126"/>
              <w:keepNext w:val="0"/>
              <w:keepLines w:val="0"/>
              <w:pageBreakBefore w:val="0"/>
              <w:kinsoku/>
              <w:wordWrap/>
              <w:overflowPunct/>
              <w:topLinePunct w:val="0"/>
              <w:bidi w:val="0"/>
              <w:spacing w:line="360" w:lineRule="auto"/>
              <w:contextualSpacing/>
              <w:textAlignment w:val="auto"/>
              <w:outlineLvl w:val="9"/>
              <w:rPr>
                <w:rFonts w:hint="default" w:ascii="宋体" w:hAnsi="宋体" w:eastAsia="宋体" w:cs="宋体"/>
                <w:b w:val="0"/>
                <w:sz w:val="24"/>
                <w:szCs w:val="24"/>
                <w:lang w:val="en-US" w:eastAsia="zh-CN" w:bidi="ar-SA"/>
              </w:rPr>
            </w:pPr>
            <w:r>
              <w:rPr>
                <w:rFonts w:hint="eastAsia" w:ascii="宋体" w:hAnsi="宋体" w:eastAsia="宋体" w:cs="宋体"/>
                <w:b w:val="0"/>
                <w:sz w:val="24"/>
                <w:szCs w:val="24"/>
                <w:lang w:val="zh-CN" w:eastAsia="zh-CN" w:bidi="ar-SA"/>
              </w:rPr>
              <w:t>联系地址：</w:t>
            </w:r>
            <w:r>
              <w:rPr>
                <w:rFonts w:hint="eastAsia" w:ascii="宋体" w:hAnsi="宋体" w:eastAsia="宋体" w:cs="宋体"/>
                <w:b w:val="0"/>
                <w:sz w:val="24"/>
                <w:szCs w:val="24"/>
                <w:lang w:val="en-US" w:eastAsia="zh-CN" w:bidi="ar-SA"/>
              </w:rPr>
              <w:t>成都市龙泉驿区中街117号</w:t>
            </w:r>
            <w:r>
              <w:rPr>
                <w:rFonts w:hint="eastAsia" w:cs="宋体"/>
                <w:b w:val="0"/>
                <w:sz w:val="24"/>
                <w:szCs w:val="24"/>
                <w:lang w:val="en-US" w:eastAsia="zh-CN" w:bidi="ar-SA"/>
              </w:rPr>
              <w:t>。</w:t>
            </w:r>
          </w:p>
          <w:p>
            <w:pPr>
              <w:pStyle w:val="126"/>
              <w:keepNext w:val="0"/>
              <w:keepLines w:val="0"/>
              <w:pageBreakBefore w:val="0"/>
              <w:kinsoku/>
              <w:wordWrap/>
              <w:overflowPunct/>
              <w:topLinePunct w:val="0"/>
              <w:bidi w:val="0"/>
              <w:spacing w:line="360" w:lineRule="auto"/>
              <w:ind w:firstLine="240" w:firstLineChars="100"/>
              <w:contextualSpacing/>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sz w:val="24"/>
                <w:szCs w:val="24"/>
                <w:lang w:val="zh-CN" w:eastAsia="zh-CN" w:bidi="ar-SA"/>
              </w:rPr>
              <w:t>注：投诉事项不得超出已质疑事项的范围。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28" w:hRule="exac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vAlign w:val="center"/>
          </w:tcPr>
          <w:p>
            <w:pPr>
              <w:pStyle w:val="126"/>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sz w:val="24"/>
                <w:szCs w:val="24"/>
                <w:lang w:val="zh-CN" w:eastAsia="zh-CN" w:bidi="ar-SA"/>
              </w:rPr>
            </w:pPr>
            <w:r>
              <w:rPr>
                <w:rFonts w:hint="eastAsia" w:ascii="宋体" w:hAnsi="宋体" w:eastAsia="宋体" w:cs="宋体"/>
                <w:sz w:val="24"/>
                <w:szCs w:val="24"/>
                <w:lang w:val="zh-CN"/>
              </w:rPr>
              <w:t>政府采购合同公告备案</w:t>
            </w:r>
          </w:p>
        </w:tc>
        <w:tc>
          <w:tcPr>
            <w:tcW w:w="7063" w:type="dxa"/>
            <w:vAlign w:val="center"/>
          </w:tcPr>
          <w:p>
            <w:pPr>
              <w:pStyle w:val="126"/>
              <w:keepNext w:val="0"/>
              <w:keepLines w:val="0"/>
              <w:pageBreakBefore w:val="0"/>
              <w:widowControl w:val="0"/>
              <w:numPr>
                <w:ilvl w:val="0"/>
                <w:numId w:val="16"/>
              </w:numPr>
              <w:kinsoku/>
              <w:wordWrap/>
              <w:overflowPunct/>
              <w:topLinePunct w:val="0"/>
              <w:autoSpaceDE w:val="0"/>
              <w:autoSpaceDN w:val="0"/>
              <w:bidi w:val="0"/>
              <w:adjustRightInd w:val="0"/>
              <w:snapToGrid/>
              <w:spacing w:line="360" w:lineRule="auto"/>
              <w:ind w:left="5" w:leftChars="0" w:hanging="5" w:firstLineChars="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政府采购合同签订之日起2个工作日内，政府采购合同将在四川政府采购网公告；政府采购合同签订之日起</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个工作日内，政府采购合同将向采购项目同级财政部门备案。</w:t>
            </w:r>
          </w:p>
          <w:p>
            <w:pPr>
              <w:pStyle w:val="126"/>
              <w:keepNext w:val="0"/>
              <w:keepLines w:val="0"/>
              <w:pageBreakBefore w:val="0"/>
              <w:widowControl w:val="0"/>
              <w:numPr>
                <w:ilvl w:val="0"/>
                <w:numId w:val="16"/>
              </w:numPr>
              <w:kinsoku/>
              <w:wordWrap/>
              <w:overflowPunct/>
              <w:topLinePunct w:val="0"/>
              <w:autoSpaceDE w:val="0"/>
              <w:autoSpaceDN w:val="0"/>
              <w:bidi w:val="0"/>
              <w:adjustRightInd w:val="0"/>
              <w:snapToGrid/>
              <w:spacing w:line="360" w:lineRule="auto"/>
              <w:ind w:left="5" w:leftChars="0" w:hanging="5" w:firstLineChars="0"/>
              <w:jc w:val="both"/>
              <w:textAlignment w:val="auto"/>
              <w:rPr>
                <w:rFonts w:hint="eastAsia" w:ascii="宋体" w:hAnsi="宋体" w:eastAsia="宋体" w:cs="宋体"/>
                <w:b w:val="0"/>
                <w:sz w:val="24"/>
                <w:szCs w:val="24"/>
                <w:lang w:val="zh-CN" w:eastAsia="zh-CN" w:bidi="ar-SA"/>
              </w:rPr>
            </w:pPr>
            <w:r>
              <w:rPr>
                <w:rFonts w:hint="eastAsia" w:ascii="宋体" w:hAnsi="宋体" w:eastAsia="宋体" w:cs="宋体"/>
                <w:sz w:val="24"/>
                <w:szCs w:val="24"/>
                <w:lang w:val="zh-CN"/>
              </w:rPr>
              <w:t>违规签订政府采购合同将依法追究法律责任。</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28" w:hRule="exac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vAlign w:val="center"/>
          </w:tcPr>
          <w:p>
            <w:pPr>
              <w:pStyle w:val="126"/>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sz w:val="24"/>
                <w:szCs w:val="24"/>
                <w:lang w:val="zh-CN" w:eastAsia="zh-CN" w:bidi="ar-SA"/>
              </w:rPr>
            </w:pPr>
            <w:r>
              <w:rPr>
                <w:rFonts w:hint="eastAsia" w:ascii="宋体" w:hAnsi="宋体" w:eastAsia="宋体" w:cs="宋体"/>
                <w:sz w:val="24"/>
                <w:szCs w:val="24"/>
                <w:lang w:val="zh-CN"/>
              </w:rPr>
              <w:t>声明承诺提醒</w:t>
            </w:r>
          </w:p>
        </w:tc>
        <w:tc>
          <w:tcPr>
            <w:tcW w:w="7063" w:type="dxa"/>
            <w:vAlign w:val="center"/>
          </w:tcPr>
          <w:p>
            <w:pPr>
              <w:pStyle w:val="126"/>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sz w:val="24"/>
                <w:szCs w:val="24"/>
                <w:lang w:val="zh-CN" w:eastAsia="zh-CN" w:bidi="ar-SA"/>
              </w:rPr>
            </w:pPr>
            <w:r>
              <w:rPr>
                <w:rFonts w:hint="eastAsia" w:ascii="宋体" w:hAnsi="宋体" w:eastAsia="宋体" w:cs="宋体"/>
                <w:sz w:val="24"/>
                <w:szCs w:val="24"/>
                <w:lang w:val="en-US" w:eastAsia="zh-CN"/>
              </w:rPr>
              <w:t>供应商响应</w:t>
            </w:r>
            <w:r>
              <w:rPr>
                <w:rFonts w:hint="eastAsia" w:ascii="宋体" w:hAnsi="宋体" w:eastAsia="宋体" w:cs="宋体"/>
                <w:sz w:val="24"/>
                <w:szCs w:val="24"/>
                <w:lang w:val="zh-CN"/>
              </w:rPr>
              <w:t>文件中提供的各种声明和承诺应当真实有效，无效声明和承诺、虚假声明和承诺将由</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自己承担由此带来的任何不利后果，虚假声明和承诺还将报告监管部门追究法律责任。</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vAlign w:val="center"/>
          </w:tcPr>
          <w:p>
            <w:pPr>
              <w:keepNext w:val="0"/>
              <w:keepLines w:val="0"/>
              <w:pageBreakBefore w:val="0"/>
              <w:kinsoku/>
              <w:wordWrap/>
              <w:overflowPunct/>
              <w:topLinePunct w:val="0"/>
              <w:bidi w:val="0"/>
              <w:snapToGrid/>
              <w:spacing w:line="360" w:lineRule="auto"/>
              <w:jc w:val="center"/>
              <w:textAlignment w:val="auto"/>
              <w:outlineLvl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代理服务费</w:t>
            </w:r>
          </w:p>
        </w:tc>
        <w:tc>
          <w:tcPr>
            <w:tcW w:w="7063" w:type="dxa"/>
            <w:vAlign w:val="center"/>
          </w:tcPr>
          <w:p>
            <w:pPr>
              <w:keepNext w:val="0"/>
              <w:keepLines w:val="0"/>
              <w:pageBreakBefore w:val="0"/>
              <w:kinsoku/>
              <w:wordWrap/>
              <w:overflowPunct/>
              <w:topLinePunct w:val="0"/>
              <w:bidi w:val="0"/>
              <w:snapToGrid/>
              <w:spacing w:line="360" w:lineRule="auto"/>
              <w:ind w:firstLine="240" w:firstLineChars="100"/>
              <w:textAlignment w:val="auto"/>
              <w:outlineLvl w:val="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lang w:val="zh-CN"/>
              </w:rPr>
              <w:t>《国家计委关于印发〈招标代理服务费收费标准管理暂行办法〉的通知》（计价格[2002]1980号）</w:t>
            </w:r>
            <w:r>
              <w:rPr>
                <w:rFonts w:hint="eastAsia" w:ascii="宋体" w:hAnsi="宋体" w:eastAsia="宋体" w:cs="宋体"/>
                <w:color w:val="auto"/>
                <w:sz w:val="24"/>
                <w:szCs w:val="24"/>
                <w:highlight w:val="none"/>
                <w:lang w:val="en-US" w:eastAsia="zh-CN"/>
              </w:rPr>
              <w:t>标准收取</w:t>
            </w:r>
            <w:r>
              <w:rPr>
                <w:rFonts w:hint="eastAsia" w:ascii="宋体" w:hAnsi="宋体" w:eastAsia="宋体" w:cs="宋体"/>
                <w:color w:val="auto"/>
                <w:sz w:val="24"/>
                <w:szCs w:val="24"/>
                <w:highlight w:val="none"/>
                <w:lang w:val="zh-CN"/>
              </w:rPr>
              <w:t>，由成交供应商领取成交通知书</w:t>
            </w:r>
            <w:r>
              <w:rPr>
                <w:rFonts w:hint="eastAsia" w:ascii="宋体" w:hAnsi="宋体" w:eastAsia="宋体" w:cs="宋体"/>
                <w:color w:val="auto"/>
                <w:sz w:val="24"/>
                <w:szCs w:val="24"/>
                <w:highlight w:val="none"/>
              </w:rPr>
              <w:t>前</w:t>
            </w:r>
            <w:r>
              <w:rPr>
                <w:rFonts w:hint="eastAsia" w:ascii="宋体" w:hAnsi="宋体" w:eastAsia="宋体" w:cs="宋体"/>
                <w:color w:val="auto"/>
                <w:sz w:val="24"/>
                <w:szCs w:val="24"/>
                <w:highlight w:val="none"/>
                <w:lang w:val="zh-CN"/>
              </w:rPr>
              <w:t>支付。可采取现金支付或银行转账。银行转账相关信息如下：</w:t>
            </w:r>
          </w:p>
          <w:p>
            <w:pPr>
              <w:keepNext w:val="0"/>
              <w:keepLines w:val="0"/>
              <w:pageBreakBefore w:val="0"/>
              <w:kinsoku/>
              <w:wordWrap/>
              <w:overflowPunct/>
              <w:topLinePunct w:val="0"/>
              <w:bidi w:val="0"/>
              <w:snapToGrid/>
              <w:spacing w:line="360" w:lineRule="auto"/>
              <w:ind w:firstLine="240" w:firstLineChars="100"/>
              <w:textAlignment w:val="auto"/>
              <w:outlineLvl w:val="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开户单位：四川世科工程咨询有限公司</w:t>
            </w:r>
          </w:p>
          <w:p>
            <w:pPr>
              <w:keepNext w:val="0"/>
              <w:keepLines w:val="0"/>
              <w:pageBreakBefore w:val="0"/>
              <w:kinsoku/>
              <w:wordWrap/>
              <w:overflowPunct/>
              <w:topLinePunct w:val="0"/>
              <w:bidi w:val="0"/>
              <w:snapToGrid/>
              <w:spacing w:line="360" w:lineRule="auto"/>
              <w:ind w:firstLine="240" w:firstLineChars="100"/>
              <w:textAlignment w:val="auto"/>
              <w:outlineLvl w:val="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开户银行：中国建设银行股份有限公司双流分行</w:t>
            </w:r>
          </w:p>
          <w:p>
            <w:pPr>
              <w:keepNext w:val="0"/>
              <w:keepLines w:val="0"/>
              <w:pageBreakBefore w:val="0"/>
              <w:kinsoku/>
              <w:wordWrap/>
              <w:overflowPunct/>
              <w:topLinePunct w:val="0"/>
              <w:bidi w:val="0"/>
              <w:snapToGrid/>
              <w:spacing w:line="360" w:lineRule="auto"/>
              <w:ind w:firstLine="240" w:firstLineChars="100"/>
              <w:textAlignment w:val="auto"/>
              <w:outlineLvl w:val="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银行</w:t>
            </w:r>
            <w:r>
              <w:rPr>
                <w:rFonts w:hint="eastAsia" w:ascii="宋体" w:hAnsi="宋体" w:eastAsia="宋体" w:cs="宋体"/>
                <w:color w:val="auto"/>
                <w:sz w:val="24"/>
                <w:szCs w:val="24"/>
                <w:highlight w:val="none"/>
                <w:lang w:val="en-US" w:eastAsia="zh-CN"/>
              </w:rPr>
              <w:t>账号</w:t>
            </w:r>
            <w:r>
              <w:rPr>
                <w:rFonts w:hint="eastAsia" w:ascii="宋体" w:hAnsi="宋体" w:eastAsia="宋体" w:cs="宋体"/>
                <w:color w:val="auto"/>
                <w:sz w:val="24"/>
                <w:szCs w:val="24"/>
                <w:highlight w:val="none"/>
                <w:lang w:val="zh-CN"/>
              </w:rPr>
              <w:t>：5100 1527 9080 5152 8329</w:t>
            </w:r>
          </w:p>
          <w:p>
            <w:pPr>
              <w:keepNext w:val="0"/>
              <w:keepLines w:val="0"/>
              <w:pageBreakBefore w:val="0"/>
              <w:kinsoku/>
              <w:wordWrap/>
              <w:overflowPunct/>
              <w:topLinePunct w:val="0"/>
              <w:bidi w:val="0"/>
              <w:snapToGrid/>
              <w:spacing w:line="360" w:lineRule="auto"/>
              <w:ind w:firstLine="240" w:firstLineChars="100"/>
              <w:textAlignment w:val="auto"/>
              <w:outlineLvl w:val="5"/>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转账事由：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510112202200016</w:t>
            </w:r>
            <w:r>
              <w:rPr>
                <w:rFonts w:hint="eastAsia" w:ascii="宋体" w:hAnsi="宋体" w:eastAsia="宋体" w:cs="宋体"/>
                <w:color w:val="auto"/>
                <w:sz w:val="24"/>
                <w:szCs w:val="24"/>
                <w:highlight w:val="none"/>
                <w:lang w:val="zh-CN"/>
              </w:rPr>
              <w:t>项目成交服务费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920" w:hRule="atLeast"/>
          <w:jc w:val="center"/>
        </w:trPr>
        <w:tc>
          <w:tcPr>
            <w:tcW w:w="1065" w:type="dxa"/>
            <w:vAlign w:val="center"/>
          </w:tcPr>
          <w:p>
            <w:pPr>
              <w:keepNext w:val="0"/>
              <w:keepLines w:val="0"/>
              <w:pageBreakBefore w:val="0"/>
              <w:numPr>
                <w:ilvl w:val="0"/>
                <w:numId w:val="13"/>
              </w:numPr>
              <w:kinsoku/>
              <w:wordWrap/>
              <w:overflowPunct/>
              <w:topLinePunct w:val="0"/>
              <w:bidi w:val="0"/>
              <w:snapToGrid/>
              <w:spacing w:line="360" w:lineRule="auto"/>
              <w:ind w:right="62" w:rightChars="26"/>
              <w:jc w:val="center"/>
              <w:textAlignment w:val="auto"/>
              <w:rPr>
                <w:rFonts w:hint="eastAsia" w:ascii="宋体" w:hAnsi="宋体" w:eastAsia="宋体" w:cs="宋体"/>
                <w:color w:val="auto"/>
                <w:sz w:val="24"/>
                <w:szCs w:val="24"/>
                <w:highlight w:val="none"/>
              </w:rPr>
            </w:pPr>
          </w:p>
        </w:tc>
        <w:tc>
          <w:tcPr>
            <w:tcW w:w="1605" w:type="dxa"/>
            <w:vAlign w:val="center"/>
          </w:tcPr>
          <w:p>
            <w:pPr>
              <w:pStyle w:val="126"/>
              <w:keepNext w:val="0"/>
              <w:keepLines w:val="0"/>
              <w:pageBreakBefore w:val="0"/>
              <w:widowControl w:val="0"/>
              <w:kinsoku/>
              <w:wordWrap/>
              <w:overflowPunct/>
              <w:topLinePunct w:val="0"/>
              <w:autoSpaceDE w:val="0"/>
              <w:autoSpaceDN w:val="0"/>
              <w:bidi w:val="0"/>
              <w:adjustRightInd w:val="0"/>
              <w:snapToGrid/>
              <w:spacing w:line="360" w:lineRule="auto"/>
              <w:ind w:left="96" w:lef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温馨提示</w:t>
            </w:r>
          </w:p>
        </w:tc>
        <w:tc>
          <w:tcPr>
            <w:tcW w:w="7063" w:type="dxa"/>
            <w:vAlign w:val="center"/>
          </w:tcPr>
          <w:p>
            <w:pPr>
              <w:pStyle w:val="126"/>
              <w:keepNext w:val="0"/>
              <w:keepLines w:val="0"/>
              <w:pageBreakBefore w:val="0"/>
              <w:widowControl w:val="0"/>
              <w:numPr>
                <w:ilvl w:val="0"/>
                <w:numId w:val="17"/>
              </w:numPr>
              <w:kinsoku/>
              <w:wordWrap/>
              <w:overflowPunct/>
              <w:topLinePunct w:val="0"/>
              <w:autoSpaceDE w:val="0"/>
              <w:autoSpaceDN w:val="0"/>
              <w:bidi w:val="0"/>
              <w:adjustRightInd w:val="0"/>
              <w:snapToGrid/>
              <w:spacing w:line="360" w:lineRule="auto"/>
              <w:ind w:left="5" w:leftChars="0" w:hanging="5"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供应商需准备全流程所必需的硬件设备包括电脑（版本 win7 64位及以上）、麦克风、摄像头、CA证书等。建议使用同一台电脑完成投标、评标相关事宜，推荐安装chrome浏览器，且解密CA必须和加密CA为同一把。</w:t>
            </w:r>
          </w:p>
          <w:p>
            <w:pPr>
              <w:pStyle w:val="126"/>
              <w:keepNext w:val="0"/>
              <w:keepLines w:val="0"/>
              <w:pageBreakBefore w:val="0"/>
              <w:widowControl w:val="0"/>
              <w:numPr>
                <w:ilvl w:val="0"/>
                <w:numId w:val="17"/>
              </w:numPr>
              <w:kinsoku/>
              <w:wordWrap/>
              <w:overflowPunct/>
              <w:topLinePunct w:val="0"/>
              <w:autoSpaceDE w:val="0"/>
              <w:autoSpaceDN w:val="0"/>
              <w:bidi w:val="0"/>
              <w:adjustRightInd w:val="0"/>
              <w:snapToGrid/>
              <w:spacing w:line="360" w:lineRule="auto"/>
              <w:ind w:left="5" w:leftChars="0" w:hanging="5"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政府采购云平台供应商注册地址：</w:t>
            </w:r>
          </w:p>
          <w:p>
            <w:pPr>
              <w:pStyle w:val="126"/>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https://middle.zcygov.cn/v-settle-front/registry?settleCategory=1&amp;entranceType=119&amp;utm=a0017.b1347.cl50.3.c0de9400b91b11eb870ad7da87d69c97</w:t>
            </w:r>
          </w:p>
        </w:tc>
      </w:tr>
    </w:tbl>
    <w:p>
      <w:pPr>
        <w:pStyle w:val="4"/>
        <w:rPr>
          <w:color w:val="auto"/>
          <w:sz w:val="24"/>
          <w:szCs w:val="24"/>
          <w:highlight w:val="none"/>
        </w:rPr>
      </w:pPr>
      <w:bookmarkStart w:id="69" w:name="_Toc14117"/>
      <w:r>
        <w:rPr>
          <w:rFonts w:hint="eastAsia"/>
          <w:color w:val="auto"/>
          <w:sz w:val="24"/>
          <w:szCs w:val="24"/>
          <w:highlight w:val="none"/>
          <w:lang w:val="en-US" w:eastAsia="zh-CN"/>
        </w:rPr>
        <w:t>总则</w:t>
      </w:r>
      <w:bookmarkEnd w:id="69"/>
    </w:p>
    <w:p>
      <w:pPr>
        <w:pStyle w:val="5"/>
        <w:bidi w:val="0"/>
        <w:ind w:left="0" w:leftChars="0" w:firstLine="482" w:firstLineChars="200"/>
      </w:pPr>
      <w:r>
        <w:rPr>
          <w:rFonts w:hint="eastAsia"/>
        </w:rPr>
        <w:t>适用范围</w:t>
      </w:r>
      <w:bookmarkEnd w:id="65"/>
      <w:bookmarkEnd w:id="66"/>
    </w:p>
    <w:p>
      <w:pPr>
        <w:widowControl w:val="0"/>
        <w:tabs>
          <w:tab w:val="left" w:pos="113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本竞争性磋商文件仅适用于本竞争性磋商邀请中所叙述项目的采购。</w:t>
      </w:r>
    </w:p>
    <w:p>
      <w:pPr>
        <w:pStyle w:val="5"/>
        <w:bidi w:val="0"/>
        <w:ind w:left="0" w:leftChars="0" w:firstLine="482" w:firstLineChars="200"/>
        <w:rPr>
          <w:color w:val="auto"/>
          <w:sz w:val="24"/>
          <w:szCs w:val="24"/>
          <w:highlight w:val="none"/>
        </w:rPr>
      </w:pPr>
      <w:bookmarkStart w:id="70" w:name="_Toc287623639"/>
      <w:r>
        <w:rPr>
          <w:rFonts w:hint="eastAsia"/>
          <w:color w:val="auto"/>
          <w:sz w:val="24"/>
          <w:szCs w:val="24"/>
          <w:highlight w:val="none"/>
        </w:rPr>
        <w:t>定义</w:t>
      </w:r>
      <w:bookmarkEnd w:id="70"/>
    </w:p>
    <w:p>
      <w:pPr>
        <w:numPr>
          <w:ilvl w:val="0"/>
          <w:numId w:val="18"/>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“采购人”、“甲方”系指依法进行政府采购的国家机关、事业单位、团体组织。本次竞争性磋商的采购人是</w:t>
      </w:r>
      <w:r>
        <w:rPr>
          <w:rFonts w:hint="eastAsia" w:ascii="宋体" w:hAnsi="宋体" w:cs="宋体"/>
          <w:b/>
          <w:bCs/>
          <w:color w:val="auto"/>
          <w:highlight w:val="none"/>
          <w:u w:val="single"/>
          <w:lang w:eastAsia="zh-CN"/>
        </w:rPr>
        <w:t>成都市公安局龙泉驿区分局</w:t>
      </w:r>
      <w:r>
        <w:rPr>
          <w:rFonts w:hint="eastAsia" w:ascii="宋体" w:hAnsi="宋体" w:cs="宋体"/>
          <w:color w:val="auto"/>
          <w:highlight w:val="none"/>
        </w:rPr>
        <w:t>。</w:t>
      </w:r>
    </w:p>
    <w:p>
      <w:pPr>
        <w:numPr>
          <w:ilvl w:val="0"/>
          <w:numId w:val="18"/>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“采购代理机构” 系指根据采购人的委托依法办理竞争性磋商事宜的采购机构。本次竞争性磋商的采购代理机构是</w:t>
      </w:r>
      <w:r>
        <w:rPr>
          <w:rFonts w:hint="eastAsia" w:ascii="宋体" w:hAnsi="宋体" w:cs="宋体"/>
          <w:b/>
          <w:bCs/>
          <w:color w:val="auto"/>
          <w:highlight w:val="none"/>
          <w:u w:val="single"/>
        </w:rPr>
        <w:t>四川世科工程咨询有限公司</w:t>
      </w:r>
      <w:r>
        <w:rPr>
          <w:rFonts w:hint="eastAsia" w:ascii="宋体" w:hAnsi="宋体" w:cs="宋体"/>
          <w:color w:val="auto"/>
          <w:highlight w:val="none"/>
        </w:rPr>
        <w:t>。</w:t>
      </w:r>
    </w:p>
    <w:p>
      <w:pPr>
        <w:numPr>
          <w:ilvl w:val="0"/>
          <w:numId w:val="18"/>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“采购单位”系指“采购人”和“采购代理机构”的统称。</w:t>
      </w:r>
    </w:p>
    <w:p>
      <w:pPr>
        <w:numPr>
          <w:ilvl w:val="0"/>
          <w:numId w:val="18"/>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“磋商供应商”系指购买了竞争性磋商文件拟参加磋商和向采购人提供货物及相应服务的供应商，“乙方”系指成交的供应商。</w:t>
      </w:r>
    </w:p>
    <w:p>
      <w:pPr>
        <w:pStyle w:val="5"/>
        <w:bidi w:val="0"/>
        <w:ind w:left="0" w:leftChars="0" w:firstLine="482" w:firstLineChars="200"/>
        <w:rPr>
          <w:color w:val="auto"/>
          <w:sz w:val="24"/>
          <w:szCs w:val="24"/>
          <w:highlight w:val="none"/>
        </w:rPr>
      </w:pPr>
      <w:r>
        <w:rPr>
          <w:rFonts w:hint="eastAsia"/>
          <w:color w:val="auto"/>
          <w:sz w:val="24"/>
          <w:szCs w:val="24"/>
          <w:highlight w:val="none"/>
        </w:rPr>
        <w:t>合格供应商的条件（实质性要求）</w:t>
      </w:r>
    </w:p>
    <w:p>
      <w:pPr>
        <w:numPr>
          <w:ilvl w:val="0"/>
          <w:numId w:val="19"/>
        </w:numPr>
        <w:spacing w:line="360" w:lineRule="auto"/>
        <w:ind w:firstLine="480" w:firstLineChars="200"/>
        <w:rPr>
          <w:rFonts w:ascii="宋体" w:hAnsi="宋体" w:cs="宋体"/>
          <w:color w:val="auto"/>
          <w:sz w:val="24"/>
          <w:szCs w:val="24"/>
          <w:highlight w:val="none"/>
        </w:rPr>
      </w:pPr>
      <w:bookmarkStart w:id="71" w:name="_Toc320698717"/>
      <w:r>
        <w:rPr>
          <w:rFonts w:hint="eastAsia" w:ascii="宋体" w:hAnsi="宋体" w:cs="宋体"/>
          <w:color w:val="auto"/>
          <w:sz w:val="24"/>
          <w:szCs w:val="24"/>
          <w:highlight w:val="none"/>
        </w:rPr>
        <w:t>本竞争性磋商文件规定的供应商资格条件；</w:t>
      </w:r>
    </w:p>
    <w:p>
      <w:pPr>
        <w:numPr>
          <w:ilvl w:val="0"/>
          <w:numId w:val="19"/>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向采购代理机构购买了竞争性磋商文件并登记备案；</w:t>
      </w:r>
    </w:p>
    <w:p>
      <w:pPr>
        <w:numPr>
          <w:ilvl w:val="0"/>
          <w:numId w:val="19"/>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遵守国家有关的法律、法规、规章和其他政策制度；</w:t>
      </w:r>
    </w:p>
    <w:p>
      <w:pPr>
        <w:numPr>
          <w:ilvl w:val="0"/>
          <w:numId w:val="19"/>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竞争性磋商文件和法律、行政法规规定的其他条件。</w:t>
      </w:r>
    </w:p>
    <w:bookmarkEnd w:id="71"/>
    <w:p>
      <w:pPr>
        <w:pStyle w:val="5"/>
        <w:bidi w:val="0"/>
        <w:ind w:left="0" w:leftChars="0" w:firstLine="482" w:firstLineChars="200"/>
        <w:rPr>
          <w:color w:val="auto"/>
          <w:highlight w:val="none"/>
        </w:rPr>
      </w:pPr>
      <w:bookmarkStart w:id="72" w:name="_Toc287623640"/>
      <w:r>
        <w:rPr>
          <w:rFonts w:hint="eastAsia"/>
          <w:color w:val="auto"/>
          <w:highlight w:val="none"/>
        </w:rPr>
        <w:t>充分、公平竞争保障措施（实质性要求）</w:t>
      </w:r>
    </w:p>
    <w:p>
      <w:pPr>
        <w:keepNext w:val="0"/>
        <w:keepLines w:val="0"/>
        <w:pageBreakBefore w:val="0"/>
        <w:widowControl/>
        <w:numPr>
          <w:ilvl w:val="0"/>
          <w:numId w:val="20"/>
        </w:numPr>
        <w:tabs>
          <w:tab w:val="left" w:pos="851"/>
          <w:tab w:val="left" w:pos="1560"/>
        </w:tabs>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val="en-US" w:eastAsia="zh-CN"/>
        </w:rPr>
        <w:t>提供相同品牌产品处理</w:t>
      </w:r>
    </w:p>
    <w:p>
      <w:pPr>
        <w:keepNext w:val="0"/>
        <w:keepLines w:val="0"/>
        <w:pageBreakBefore w:val="0"/>
        <w:widowControl/>
        <w:numPr>
          <w:ilvl w:val="0"/>
          <w:numId w:val="21"/>
        </w:numPr>
        <w:tabs>
          <w:tab w:val="left" w:pos="851"/>
          <w:tab w:val="left" w:pos="1560"/>
        </w:tabs>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采用最低评标价法的采购项目</w:t>
      </w:r>
    </w:p>
    <w:p>
      <w:pPr>
        <w:pStyle w:val="141"/>
        <w:keepNext w:val="0"/>
        <w:keepLines w:val="0"/>
        <w:pageBreakBefore w:val="0"/>
        <w:kinsoku/>
        <w:wordWrap/>
        <w:overflowPunct/>
        <w:topLinePunct w:val="0"/>
        <w:autoSpaceDE/>
        <w:autoSpaceDN/>
        <w:bidi w:val="0"/>
        <w:spacing w:line="360" w:lineRule="auto"/>
        <w:ind w:right="0" w:rightChars="0" w:firstLine="48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提供相同品牌产品的不同</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rPr>
        <w:t>参加同一合同项下</w:t>
      </w:r>
      <w:r>
        <w:rPr>
          <w:rFonts w:hint="eastAsia" w:ascii="宋体" w:hAnsi="宋体" w:eastAsia="宋体" w:cs="宋体"/>
          <w:b w:val="0"/>
          <w:bCs/>
          <w:color w:val="auto"/>
          <w:sz w:val="24"/>
          <w:szCs w:val="24"/>
          <w:lang w:val="en-US" w:eastAsia="zh-CN"/>
        </w:rPr>
        <w:t>磋商</w:t>
      </w:r>
      <w:r>
        <w:rPr>
          <w:rFonts w:hint="eastAsia" w:ascii="宋体" w:hAnsi="宋体" w:eastAsia="宋体" w:cs="宋体"/>
          <w:b w:val="0"/>
          <w:bCs/>
          <w:color w:val="auto"/>
          <w:sz w:val="24"/>
          <w:szCs w:val="24"/>
        </w:rPr>
        <w:t>的，以其中通过资格审查、</w:t>
      </w:r>
      <w:r>
        <w:rPr>
          <w:rFonts w:hint="eastAsia" w:ascii="宋体" w:hAnsi="宋体" w:eastAsia="宋体" w:cs="宋体"/>
          <w:b w:val="0"/>
          <w:bCs/>
          <w:color w:val="auto"/>
          <w:sz w:val="24"/>
          <w:szCs w:val="24"/>
          <w:lang w:val="en-US" w:eastAsia="zh-CN"/>
        </w:rPr>
        <w:t>实质性</w:t>
      </w:r>
      <w:r>
        <w:rPr>
          <w:rFonts w:hint="eastAsia" w:ascii="宋体" w:hAnsi="宋体" w:eastAsia="宋体" w:cs="宋体"/>
          <w:b w:val="0"/>
          <w:bCs/>
          <w:color w:val="auto"/>
          <w:sz w:val="24"/>
          <w:szCs w:val="24"/>
        </w:rPr>
        <w:t>审查且报价最低的参加评</w:t>
      </w:r>
      <w:r>
        <w:rPr>
          <w:rFonts w:hint="eastAsia" w:ascii="宋体" w:hAnsi="宋体" w:eastAsia="宋体" w:cs="宋体"/>
          <w:b w:val="0"/>
          <w:bCs/>
          <w:color w:val="auto"/>
          <w:sz w:val="24"/>
          <w:szCs w:val="24"/>
          <w:lang w:val="en-US" w:eastAsia="zh-CN"/>
        </w:rPr>
        <w:t>审</w:t>
      </w:r>
      <w:r>
        <w:rPr>
          <w:rFonts w:hint="eastAsia" w:ascii="宋体" w:hAnsi="宋体" w:eastAsia="宋体" w:cs="宋体"/>
          <w:b w:val="0"/>
          <w:bCs/>
          <w:color w:val="auto"/>
          <w:sz w:val="24"/>
          <w:szCs w:val="24"/>
        </w:rPr>
        <w:t>；报价相同的，由采购人或者采购人委托评</w:t>
      </w:r>
      <w:r>
        <w:rPr>
          <w:rFonts w:hint="eastAsia" w:ascii="宋体" w:hAnsi="宋体" w:eastAsia="宋体" w:cs="宋体"/>
          <w:b w:val="0"/>
          <w:bCs/>
          <w:color w:val="auto"/>
          <w:sz w:val="24"/>
          <w:szCs w:val="24"/>
          <w:lang w:val="en-US" w:eastAsia="zh-CN"/>
        </w:rPr>
        <w:t>审</w:t>
      </w:r>
      <w:r>
        <w:rPr>
          <w:rFonts w:hint="eastAsia" w:ascii="宋体" w:hAnsi="宋体" w:eastAsia="宋体" w:cs="宋体"/>
          <w:b w:val="0"/>
          <w:bCs/>
          <w:color w:val="auto"/>
          <w:sz w:val="24"/>
          <w:szCs w:val="24"/>
        </w:rPr>
        <w:t>委员会按照</w:t>
      </w:r>
      <w:r>
        <w:rPr>
          <w:rFonts w:hint="eastAsia" w:ascii="宋体" w:hAnsi="宋体" w:eastAsia="宋体" w:cs="宋体"/>
          <w:b w:val="0"/>
          <w:bCs/>
          <w:color w:val="auto"/>
          <w:sz w:val="24"/>
          <w:szCs w:val="24"/>
          <w:lang w:val="en-US" w:eastAsia="zh-CN"/>
        </w:rPr>
        <w:t>磋商</w:t>
      </w:r>
      <w:r>
        <w:rPr>
          <w:rFonts w:hint="eastAsia" w:ascii="宋体" w:hAnsi="宋体" w:eastAsia="宋体" w:cs="宋体"/>
          <w:b w:val="0"/>
          <w:bCs/>
          <w:color w:val="auto"/>
          <w:sz w:val="24"/>
          <w:szCs w:val="24"/>
        </w:rPr>
        <w:t>文件规定的方式确定一个参加评</w:t>
      </w:r>
      <w:r>
        <w:rPr>
          <w:rFonts w:hint="eastAsia" w:ascii="宋体" w:hAnsi="宋体" w:eastAsia="宋体" w:cs="宋体"/>
          <w:b w:val="0"/>
          <w:bCs/>
          <w:color w:val="auto"/>
          <w:sz w:val="24"/>
          <w:szCs w:val="24"/>
          <w:lang w:val="en-US" w:eastAsia="zh-CN"/>
        </w:rPr>
        <w:t>审</w:t>
      </w:r>
      <w:r>
        <w:rPr>
          <w:rFonts w:hint="eastAsia" w:ascii="宋体" w:hAnsi="宋体" w:eastAsia="宋体" w:cs="宋体"/>
          <w:b w:val="0"/>
          <w:bCs/>
          <w:color w:val="auto"/>
          <w:sz w:val="24"/>
          <w:szCs w:val="24"/>
        </w:rPr>
        <w:t>的</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磋商</w:t>
      </w:r>
      <w:r>
        <w:rPr>
          <w:rFonts w:hint="eastAsia" w:ascii="宋体" w:hAnsi="宋体" w:eastAsia="宋体" w:cs="宋体"/>
          <w:b w:val="0"/>
          <w:bCs/>
          <w:color w:val="auto"/>
          <w:sz w:val="24"/>
          <w:szCs w:val="24"/>
        </w:rPr>
        <w:t>文件未规定的采取随机抽取方式确定，其他</w:t>
      </w:r>
      <w:r>
        <w:rPr>
          <w:rFonts w:hint="eastAsia" w:ascii="宋体" w:hAnsi="宋体" w:eastAsia="宋体" w:cs="宋体"/>
          <w:b w:val="0"/>
          <w:bCs/>
          <w:color w:val="auto"/>
          <w:sz w:val="24"/>
          <w:szCs w:val="24"/>
          <w:lang w:val="en-US" w:eastAsia="zh-CN"/>
        </w:rPr>
        <w:t>磋商</w:t>
      </w:r>
      <w:r>
        <w:rPr>
          <w:rFonts w:hint="eastAsia" w:ascii="宋体" w:hAnsi="宋体" w:eastAsia="宋体" w:cs="宋体"/>
          <w:b w:val="0"/>
          <w:bCs/>
          <w:color w:val="auto"/>
          <w:sz w:val="24"/>
          <w:szCs w:val="24"/>
        </w:rPr>
        <w:t>无效。</w:t>
      </w:r>
    </w:p>
    <w:p>
      <w:pPr>
        <w:keepNext w:val="0"/>
        <w:keepLines w:val="0"/>
        <w:pageBreakBefore w:val="0"/>
        <w:widowControl/>
        <w:numPr>
          <w:ilvl w:val="0"/>
          <w:numId w:val="21"/>
        </w:numPr>
        <w:tabs>
          <w:tab w:val="left" w:pos="851"/>
          <w:tab w:val="left" w:pos="1560"/>
        </w:tabs>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采用综合评分法的采购项目</w:t>
      </w:r>
    </w:p>
    <w:p>
      <w:pPr>
        <w:pStyle w:val="141"/>
        <w:keepNext w:val="0"/>
        <w:keepLines w:val="0"/>
        <w:pageBreakBefore w:val="0"/>
        <w:kinsoku/>
        <w:wordWrap/>
        <w:overflowPunct/>
        <w:topLinePunct w:val="0"/>
        <w:autoSpaceDE/>
        <w:autoSpaceDN/>
        <w:bidi w:val="0"/>
        <w:spacing w:line="360" w:lineRule="auto"/>
        <w:ind w:right="0" w:rightChars="0" w:firstLine="48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提供相同品牌产品且通过资格审查、</w:t>
      </w:r>
      <w:r>
        <w:rPr>
          <w:rFonts w:hint="eastAsia" w:ascii="宋体" w:hAnsi="宋体" w:eastAsia="宋体" w:cs="宋体"/>
          <w:b w:val="0"/>
          <w:bCs/>
          <w:color w:val="auto"/>
          <w:sz w:val="24"/>
          <w:szCs w:val="24"/>
          <w:lang w:val="en-US" w:eastAsia="zh-CN"/>
        </w:rPr>
        <w:t>实质性</w:t>
      </w:r>
      <w:r>
        <w:rPr>
          <w:rFonts w:hint="eastAsia" w:ascii="宋体" w:hAnsi="宋体" w:eastAsia="宋体" w:cs="宋体"/>
          <w:b w:val="0"/>
          <w:bCs/>
          <w:color w:val="auto"/>
          <w:sz w:val="24"/>
          <w:szCs w:val="24"/>
        </w:rPr>
        <w:t>审查的不同</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rPr>
        <w:t>参加同一合同项下</w:t>
      </w:r>
      <w:r>
        <w:rPr>
          <w:rFonts w:hint="eastAsia" w:ascii="宋体" w:hAnsi="宋体" w:eastAsia="宋体" w:cs="宋体"/>
          <w:b w:val="0"/>
          <w:bCs/>
          <w:color w:val="auto"/>
          <w:sz w:val="24"/>
          <w:szCs w:val="24"/>
          <w:lang w:val="en-US" w:eastAsia="zh-CN"/>
        </w:rPr>
        <w:t>磋商</w:t>
      </w:r>
      <w:r>
        <w:rPr>
          <w:rFonts w:hint="eastAsia" w:ascii="宋体" w:hAnsi="宋体" w:eastAsia="宋体" w:cs="宋体"/>
          <w:b w:val="0"/>
          <w:bCs/>
          <w:color w:val="auto"/>
          <w:sz w:val="24"/>
          <w:szCs w:val="24"/>
        </w:rPr>
        <w:t>的，按一家</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rPr>
        <w:t>计算，评审后得分最高的同品牌</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rPr>
        <w:t>获得</w:t>
      </w:r>
      <w:r>
        <w:rPr>
          <w:rFonts w:hint="eastAsia" w:ascii="宋体" w:hAnsi="宋体" w:eastAsia="宋体" w:cs="宋体"/>
          <w:b w:val="0"/>
          <w:bCs/>
          <w:color w:val="auto"/>
          <w:sz w:val="24"/>
          <w:szCs w:val="24"/>
          <w:lang w:val="en-US" w:eastAsia="zh-CN"/>
        </w:rPr>
        <w:t>成交供应商</w:t>
      </w:r>
      <w:r>
        <w:rPr>
          <w:rFonts w:hint="eastAsia" w:ascii="宋体" w:hAnsi="宋体" w:eastAsia="宋体" w:cs="宋体"/>
          <w:b w:val="0"/>
          <w:bCs/>
          <w:color w:val="auto"/>
          <w:sz w:val="24"/>
          <w:szCs w:val="24"/>
        </w:rPr>
        <w:t>推荐资格；评审得分相同的，由采购人或者采购人委托评</w:t>
      </w:r>
      <w:r>
        <w:rPr>
          <w:rFonts w:hint="eastAsia" w:ascii="宋体" w:hAnsi="宋体" w:eastAsia="宋体" w:cs="宋体"/>
          <w:b w:val="0"/>
          <w:bCs/>
          <w:color w:val="auto"/>
          <w:sz w:val="24"/>
          <w:szCs w:val="24"/>
          <w:lang w:val="en-US" w:eastAsia="zh-CN"/>
        </w:rPr>
        <w:t>审</w:t>
      </w:r>
      <w:r>
        <w:rPr>
          <w:rFonts w:hint="eastAsia" w:ascii="宋体" w:hAnsi="宋体" w:eastAsia="宋体" w:cs="宋体"/>
          <w:b w:val="0"/>
          <w:bCs/>
          <w:color w:val="auto"/>
          <w:sz w:val="24"/>
          <w:szCs w:val="24"/>
        </w:rPr>
        <w:t>委员会按照</w:t>
      </w:r>
      <w:r>
        <w:rPr>
          <w:rFonts w:hint="eastAsia" w:ascii="宋体" w:hAnsi="宋体" w:eastAsia="宋体" w:cs="宋体"/>
          <w:b w:val="0"/>
          <w:bCs/>
          <w:color w:val="auto"/>
          <w:sz w:val="24"/>
          <w:szCs w:val="24"/>
          <w:lang w:val="en-US" w:eastAsia="zh-CN"/>
        </w:rPr>
        <w:t>磋商</w:t>
      </w:r>
      <w:r>
        <w:rPr>
          <w:rFonts w:hint="eastAsia" w:ascii="宋体" w:hAnsi="宋体" w:eastAsia="宋体" w:cs="宋体"/>
          <w:b w:val="0"/>
          <w:bCs/>
          <w:color w:val="auto"/>
          <w:sz w:val="24"/>
          <w:szCs w:val="24"/>
        </w:rPr>
        <w:t>文件规定的方式确定一个</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rPr>
        <w:t>获得</w:t>
      </w:r>
      <w:r>
        <w:rPr>
          <w:rFonts w:hint="eastAsia" w:ascii="宋体" w:hAnsi="宋体" w:eastAsia="宋体" w:cs="宋体"/>
          <w:b w:val="0"/>
          <w:bCs/>
          <w:color w:val="auto"/>
          <w:sz w:val="24"/>
          <w:szCs w:val="24"/>
          <w:lang w:val="en-US" w:eastAsia="zh-CN"/>
        </w:rPr>
        <w:t>成交供应商</w:t>
      </w:r>
      <w:r>
        <w:rPr>
          <w:rFonts w:hint="eastAsia" w:ascii="宋体" w:hAnsi="宋体" w:eastAsia="宋体" w:cs="宋体"/>
          <w:b w:val="0"/>
          <w:bCs/>
          <w:color w:val="auto"/>
          <w:sz w:val="24"/>
          <w:szCs w:val="24"/>
        </w:rPr>
        <w:t>推荐资格，</w:t>
      </w:r>
      <w:r>
        <w:rPr>
          <w:rFonts w:hint="eastAsia" w:ascii="宋体" w:hAnsi="宋体" w:eastAsia="宋体" w:cs="宋体"/>
          <w:b w:val="0"/>
          <w:bCs/>
          <w:color w:val="auto"/>
          <w:sz w:val="24"/>
          <w:szCs w:val="24"/>
          <w:lang w:val="en-US" w:eastAsia="zh-CN"/>
        </w:rPr>
        <w:t>磋商</w:t>
      </w:r>
      <w:r>
        <w:rPr>
          <w:rFonts w:hint="eastAsia" w:ascii="宋体" w:hAnsi="宋体" w:eastAsia="宋体" w:cs="宋体"/>
          <w:b w:val="0"/>
          <w:bCs/>
          <w:color w:val="auto"/>
          <w:sz w:val="24"/>
          <w:szCs w:val="24"/>
        </w:rPr>
        <w:t>文件未规定的采取随机抽取方式确定，其他同品牌</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rPr>
        <w:t>不作为</w:t>
      </w:r>
      <w:r>
        <w:rPr>
          <w:rFonts w:hint="eastAsia" w:ascii="宋体" w:hAnsi="宋体" w:eastAsia="宋体" w:cs="宋体"/>
          <w:b w:val="0"/>
          <w:bCs/>
          <w:color w:val="auto"/>
          <w:sz w:val="24"/>
          <w:szCs w:val="24"/>
          <w:lang w:val="en-US" w:eastAsia="zh-CN"/>
        </w:rPr>
        <w:t>成交</w:t>
      </w:r>
      <w:r>
        <w:rPr>
          <w:rFonts w:hint="eastAsia" w:ascii="宋体" w:hAnsi="宋体" w:eastAsia="宋体" w:cs="宋体"/>
          <w:b w:val="0"/>
          <w:bCs/>
          <w:color w:val="auto"/>
          <w:sz w:val="24"/>
          <w:szCs w:val="24"/>
        </w:rPr>
        <w:t>候选人。</w:t>
      </w:r>
    </w:p>
    <w:p>
      <w:pPr>
        <w:pStyle w:val="197"/>
        <w:keepNext w:val="0"/>
        <w:keepLines w:val="0"/>
        <w:pageBreakBefore w:val="0"/>
        <w:kinsoku/>
        <w:wordWrap/>
        <w:overflowPunct/>
        <w:topLinePunct w:val="0"/>
        <w:autoSpaceDE/>
        <w:autoSpaceDN/>
        <w:bidi w:val="0"/>
        <w:snapToGrid w:val="0"/>
        <w:spacing w:line="360" w:lineRule="auto"/>
        <w:ind w:right="0" w:rightChars="0" w:firstLine="480" w:firstLineChars="200"/>
        <w:rPr>
          <w:rFonts w:hint="default" w:ascii="宋体" w:hAnsi="宋体" w:eastAsia="宋体" w:cs="宋体"/>
          <w:color w:val="auto"/>
          <w:highlight w:val="yellow"/>
          <w:lang w:val="en-US" w:eastAsia="zh-CN"/>
        </w:rPr>
      </w:pPr>
      <w:r>
        <w:rPr>
          <w:rFonts w:hint="eastAsia" w:ascii="宋体" w:hAnsi="宋体" w:eastAsia="宋体" w:cs="宋体"/>
          <w:b w:val="0"/>
          <w:bCs/>
          <w:color w:val="auto"/>
          <w:sz w:val="24"/>
          <w:szCs w:val="24"/>
        </w:rPr>
        <w:t>非单一产品采购项目，采购人应当根据采购项目技术构成、产品价格比重等合理确定核心产品，并在</w:t>
      </w:r>
      <w:r>
        <w:rPr>
          <w:rFonts w:hint="eastAsia" w:ascii="宋体" w:hAnsi="宋体" w:eastAsia="宋体" w:cs="宋体"/>
          <w:b w:val="0"/>
          <w:bCs/>
          <w:color w:val="auto"/>
          <w:sz w:val="24"/>
          <w:szCs w:val="24"/>
          <w:lang w:val="en-US" w:eastAsia="zh-CN"/>
        </w:rPr>
        <w:t>磋商</w:t>
      </w:r>
      <w:r>
        <w:rPr>
          <w:rFonts w:hint="eastAsia" w:ascii="宋体" w:hAnsi="宋体" w:eastAsia="宋体" w:cs="宋体"/>
          <w:b w:val="0"/>
          <w:bCs/>
          <w:color w:val="auto"/>
          <w:sz w:val="24"/>
          <w:szCs w:val="24"/>
        </w:rPr>
        <w:t>文件中载明。多家</w:t>
      </w: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rPr>
        <w:t>提供的任一核心产品品牌相同的，按前两款规定处理。</w:t>
      </w:r>
      <w:r>
        <w:rPr>
          <w:rFonts w:hint="eastAsia" w:ascii="宋体" w:hAnsi="宋体" w:cs="宋体"/>
          <w:b w:val="0"/>
          <w:bCs/>
          <w:color w:val="auto"/>
          <w:sz w:val="24"/>
          <w:szCs w:val="24"/>
          <w:highlight w:val="yellow"/>
          <w:lang w:val="en-US" w:eastAsia="zh-CN"/>
        </w:rPr>
        <w:t>本项目服务配套的产品核心产品为双云台全结构化摄像机。</w:t>
      </w:r>
    </w:p>
    <w:p>
      <w:pPr>
        <w:keepNext w:val="0"/>
        <w:keepLines w:val="0"/>
        <w:pageBreakBefore w:val="0"/>
        <w:widowControl/>
        <w:numPr>
          <w:ilvl w:val="0"/>
          <w:numId w:val="20"/>
        </w:numPr>
        <w:tabs>
          <w:tab w:val="left" w:pos="851"/>
          <w:tab w:val="left" w:pos="1560"/>
        </w:tabs>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ascii="宋体" w:hAnsi="宋体" w:cs="宋体"/>
          <w:color w:val="auto"/>
          <w:highlight w:val="none"/>
        </w:rPr>
      </w:pPr>
      <w:r>
        <w:rPr>
          <w:rFonts w:hint="eastAsia" w:ascii="宋体" w:hAnsi="宋体" w:cs="宋体"/>
          <w:color w:val="auto"/>
          <w:highlight w:val="none"/>
        </w:rPr>
        <w:t>总公司、分公司不能以不同的供应商身份同时参加磋商。</w:t>
      </w:r>
    </w:p>
    <w:p>
      <w:pPr>
        <w:keepNext w:val="0"/>
        <w:keepLines w:val="0"/>
        <w:pageBreakBefore w:val="0"/>
        <w:widowControl/>
        <w:numPr>
          <w:ilvl w:val="0"/>
          <w:numId w:val="20"/>
        </w:numPr>
        <w:tabs>
          <w:tab w:val="left" w:pos="851"/>
          <w:tab w:val="left" w:pos="1560"/>
        </w:tabs>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ascii="宋体" w:hAnsi="宋体" w:cs="宋体"/>
          <w:color w:val="auto"/>
          <w:highlight w:val="none"/>
        </w:rPr>
      </w:pPr>
      <w:r>
        <w:rPr>
          <w:rFonts w:hint="eastAsia" w:ascii="宋体" w:hAnsi="宋体" w:cs="宋体"/>
          <w:color w:val="auto"/>
          <w:highlight w:val="none"/>
        </w:rPr>
        <w:t>单位负责人为同一人或者存在直接控股、管理关系的不同供应商，不得同时参加本项目的磋商。为采购项目提供前期代理服务的供应商，不得再参与该采购项目的磋商。出现前述情况的单位的磋商均按无效磋商处理。</w:t>
      </w:r>
    </w:p>
    <w:p>
      <w:pPr>
        <w:keepNext w:val="0"/>
        <w:keepLines w:val="0"/>
        <w:pageBreakBefore w:val="0"/>
        <w:widowControl/>
        <w:numPr>
          <w:ilvl w:val="0"/>
          <w:numId w:val="20"/>
        </w:numPr>
        <w:tabs>
          <w:tab w:val="left" w:pos="851"/>
          <w:tab w:val="left" w:pos="1560"/>
        </w:tabs>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color w:val="auto"/>
          <w:highlight w:val="none"/>
        </w:rPr>
      </w:pPr>
      <w:r>
        <w:rPr>
          <w:rFonts w:hint="eastAsia" w:ascii="宋体" w:hAnsi="宋体" w:cs="宋体"/>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keepNext w:val="0"/>
        <w:keepLines w:val="0"/>
        <w:pageBreakBefore w:val="0"/>
        <w:widowControl/>
        <w:numPr>
          <w:ilvl w:val="0"/>
          <w:numId w:val="20"/>
        </w:numPr>
        <w:tabs>
          <w:tab w:val="left" w:pos="851"/>
          <w:tab w:val="left" w:pos="1560"/>
        </w:tabs>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color w:val="auto"/>
          <w:highlight w:val="none"/>
        </w:rPr>
      </w:pPr>
      <w:r>
        <w:rPr>
          <w:rFonts w:hint="eastAsia" w:ascii="宋体" w:hAnsi="宋体" w:cs="宋体"/>
          <w:color w:val="auto"/>
          <w:highlight w:val="none"/>
        </w:rPr>
        <w:t>2家以上的供应商不得在同一合同项下的采购项目中，同时委托同一个自然人、同一家庭的人员、同一单位的人员作为其代理人，否则，其响应文件作为无效处理。</w:t>
      </w:r>
    </w:p>
    <w:p>
      <w:pPr>
        <w:pStyle w:val="5"/>
        <w:bidi w:val="0"/>
        <w:ind w:left="0" w:leftChars="0" w:firstLine="482" w:firstLineChars="200"/>
        <w:rPr>
          <w:color w:val="auto"/>
          <w:highlight w:val="none"/>
        </w:rPr>
      </w:pPr>
      <w:r>
        <w:rPr>
          <w:rFonts w:hint="eastAsia"/>
          <w:color w:val="auto"/>
          <w:highlight w:val="none"/>
        </w:rPr>
        <w:t>竞争性磋商采购费用</w:t>
      </w:r>
      <w:bookmarkEnd w:id="72"/>
    </w:p>
    <w:p>
      <w:pPr>
        <w:tabs>
          <w:tab w:val="left" w:pos="766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无论磋商采购的结果如何，供应商自行承担所有与参加竞争性磋商采购活动有关的全部费用。</w:t>
      </w:r>
    </w:p>
    <w:p>
      <w:pPr>
        <w:pStyle w:val="4"/>
        <w:rPr>
          <w:color w:val="auto"/>
          <w:sz w:val="24"/>
          <w:szCs w:val="24"/>
          <w:highlight w:val="none"/>
        </w:rPr>
      </w:pPr>
      <w:bookmarkStart w:id="73" w:name="_Toc6296"/>
      <w:bookmarkStart w:id="74" w:name="_Toc320698720"/>
      <w:r>
        <w:rPr>
          <w:rFonts w:hint="eastAsia"/>
          <w:color w:val="auto"/>
          <w:sz w:val="24"/>
          <w:szCs w:val="24"/>
          <w:highlight w:val="none"/>
          <w:lang w:val="en-US" w:eastAsia="zh-CN"/>
        </w:rPr>
        <w:t>磋商文件</w:t>
      </w:r>
      <w:bookmarkEnd w:id="73"/>
    </w:p>
    <w:p>
      <w:pPr>
        <w:pStyle w:val="5"/>
        <w:bidi w:val="0"/>
        <w:ind w:left="0" w:leftChars="0" w:firstLine="482" w:firstLineChars="200"/>
        <w:rPr>
          <w:rFonts w:hint="eastAsia"/>
          <w:lang w:val="en-US"/>
        </w:rPr>
      </w:pPr>
      <w:r>
        <w:rPr>
          <w:rFonts w:hint="eastAsia"/>
          <w:lang w:val="en-US"/>
        </w:rPr>
        <w:t xml:space="preserve"> 磋商文件的构成（实质性要求）</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FF0000"/>
          <w:sz w:val="24"/>
          <w:szCs w:val="24"/>
          <w:lang w:val="en-US"/>
        </w:rPr>
      </w:pPr>
      <w:r>
        <w:rPr>
          <w:rFonts w:hint="eastAsia" w:ascii="宋体" w:hAnsi="宋体" w:eastAsia="宋体" w:cs="宋体"/>
          <w:b w:val="0"/>
          <w:color w:val="000000"/>
          <w:sz w:val="24"/>
          <w:szCs w:val="24"/>
          <w:lang w:val="en-US"/>
        </w:rPr>
        <w:t>磋商文件是供应商准备响应文件和参加磋商的依据，同时也是磋商的重要依据。磋商文件用以阐明磋商项目所需的资质、技术、服务及报价等要求、磋商程序、有关规定和注意事项以及合同主要条款等。</w:t>
      </w:r>
    </w:p>
    <w:p>
      <w:pPr>
        <w:keepNext w:val="0"/>
        <w:keepLines w:val="0"/>
        <w:pageBreakBefore w:val="0"/>
        <w:widowControl/>
        <w:numPr>
          <w:ilvl w:val="0"/>
          <w:numId w:val="2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000000"/>
          <w:sz w:val="24"/>
          <w:szCs w:val="24"/>
          <w:lang w:val="en-US"/>
        </w:rPr>
      </w:pPr>
      <w:r>
        <w:rPr>
          <w:rFonts w:hint="eastAsia" w:ascii="宋体" w:hAnsi="宋体" w:eastAsia="宋体" w:cs="宋体"/>
          <w:b w:val="0"/>
          <w:color w:val="000000"/>
          <w:sz w:val="24"/>
          <w:szCs w:val="24"/>
          <w:lang w:val="en-US"/>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bidi w:val="0"/>
        <w:ind w:left="0" w:leftChars="0" w:firstLine="482" w:firstLineChars="200"/>
        <w:rPr>
          <w:rFonts w:hint="eastAsia" w:ascii="宋体" w:hAnsi="宋体" w:eastAsia="宋体" w:cs="宋体"/>
          <w:b/>
          <w:sz w:val="24"/>
          <w:szCs w:val="24"/>
          <w:lang w:val="en-US"/>
        </w:rPr>
      </w:pPr>
      <w:bookmarkStart w:id="75" w:name="_Toc183582211"/>
      <w:bookmarkStart w:id="76" w:name="_Toc183682348"/>
      <w:bookmarkStart w:id="77" w:name="_Toc217446040"/>
      <w:r>
        <w:rPr>
          <w:rFonts w:hint="eastAsia" w:ascii="宋体" w:hAnsi="宋体" w:eastAsia="宋体" w:cs="宋体"/>
          <w:b/>
          <w:sz w:val="24"/>
          <w:szCs w:val="24"/>
          <w:lang w:val="en-US"/>
        </w:rPr>
        <w:t xml:space="preserve"> 磋商文件的澄清</w:t>
      </w:r>
      <w:bookmarkEnd w:id="75"/>
      <w:bookmarkEnd w:id="76"/>
      <w:r>
        <w:rPr>
          <w:rFonts w:hint="eastAsia" w:ascii="宋体" w:hAnsi="宋体" w:eastAsia="宋体" w:cs="宋体"/>
          <w:b/>
          <w:sz w:val="24"/>
          <w:szCs w:val="24"/>
          <w:lang w:val="en-US"/>
        </w:rPr>
        <w:t>和修改</w:t>
      </w:r>
      <w:bookmarkEnd w:id="77"/>
    </w:p>
    <w:p>
      <w:pPr>
        <w:keepNext w:val="0"/>
        <w:keepLines w:val="0"/>
        <w:pageBreakBefore w:val="0"/>
        <w:widowControl/>
        <w:numPr>
          <w:ilvl w:val="0"/>
          <w:numId w:val="2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000000"/>
          <w:sz w:val="24"/>
          <w:szCs w:val="24"/>
          <w:lang w:val="en-US"/>
        </w:rPr>
      </w:pPr>
      <w:r>
        <w:rPr>
          <w:rFonts w:hint="eastAsia" w:ascii="宋体" w:hAnsi="宋体" w:eastAsia="宋体" w:cs="宋体"/>
          <w:b w:val="0"/>
          <w:color w:val="000000"/>
          <w:sz w:val="24"/>
          <w:szCs w:val="24"/>
          <w:lang w:val="en-US"/>
        </w:rPr>
        <w:t>在递交响应文件截止时间前，采购人、采购代理机构可以对磋商文件进行澄清或者修改。</w:t>
      </w:r>
    </w:p>
    <w:p>
      <w:pPr>
        <w:keepNext w:val="0"/>
        <w:keepLines w:val="0"/>
        <w:pageBreakBefore w:val="0"/>
        <w:widowControl/>
        <w:numPr>
          <w:ilvl w:val="0"/>
          <w:numId w:val="2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000000"/>
          <w:sz w:val="24"/>
          <w:szCs w:val="24"/>
          <w:lang w:val="en-US"/>
        </w:rPr>
      </w:pPr>
      <w:r>
        <w:rPr>
          <w:rFonts w:hint="eastAsia" w:ascii="宋体" w:hAnsi="宋体" w:eastAsia="宋体" w:cs="宋体"/>
          <w:b w:val="0"/>
          <w:color w:val="000000"/>
          <w:sz w:val="24"/>
          <w:szCs w:val="24"/>
          <w:lang w:val="en-US"/>
        </w:rPr>
        <w:t>澄清或者修改的内容，采购代理机构将在“四川政府采购网”网站上发布澄清公告，同时通过政府采购云平台将澄清或者修改的内容告知所有已获取采购文件的潜在供应商（供应商通过账号或CA证书登录云平台查看），该澄清或者修改的内容为磋商文件的组成部分。</w:t>
      </w:r>
    </w:p>
    <w:p>
      <w:pPr>
        <w:keepNext w:val="0"/>
        <w:keepLines w:val="0"/>
        <w:pageBreakBefore w:val="0"/>
        <w:widowControl/>
        <w:numPr>
          <w:ilvl w:val="0"/>
          <w:numId w:val="2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000000"/>
          <w:sz w:val="24"/>
          <w:szCs w:val="24"/>
          <w:lang w:val="en-US"/>
        </w:rPr>
      </w:pPr>
      <w:r>
        <w:rPr>
          <w:rFonts w:hint="eastAsia" w:ascii="宋体" w:hAnsi="宋体" w:eastAsia="宋体" w:cs="宋体"/>
          <w:b w:val="0"/>
          <w:color w:val="000000"/>
          <w:sz w:val="24"/>
          <w:szCs w:val="24"/>
          <w:lang w:val="en-US"/>
        </w:rPr>
        <w:t>澄清或者修改的内容可能影响响应文件编制的，采购代理机构应当在提交首次响应文件截止时间至少5日前，通过政府采购云平台通知所有已获取采购文件的潜在供应商；不足5日的，采购人或采购代理机构应当顺延提交首次响应文件截止时间。</w:t>
      </w:r>
    </w:p>
    <w:p>
      <w:pPr>
        <w:keepNext w:val="0"/>
        <w:keepLines w:val="0"/>
        <w:pageBreakBefore w:val="0"/>
        <w:widowControl/>
        <w:numPr>
          <w:ilvl w:val="0"/>
          <w:numId w:val="2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000000"/>
          <w:sz w:val="24"/>
          <w:szCs w:val="24"/>
          <w:lang w:val="en-US"/>
        </w:rPr>
      </w:pPr>
      <w:r>
        <w:rPr>
          <w:rFonts w:hint="eastAsia" w:ascii="宋体" w:hAnsi="宋体" w:eastAsia="宋体" w:cs="宋体"/>
          <w:b w:val="0"/>
          <w:color w:val="000000"/>
          <w:sz w:val="24"/>
          <w:szCs w:val="24"/>
          <w:lang w:val="en-US"/>
        </w:rPr>
        <w:t>供应商应于递交响应文件截止前，在</w:t>
      </w:r>
      <w:r>
        <w:rPr>
          <w:rFonts w:hint="eastAsia" w:ascii="宋体" w:hAnsi="宋体" w:eastAsia="宋体" w:cs="宋体"/>
          <w:b w:val="0"/>
          <w:color w:val="000000"/>
          <w:sz w:val="24"/>
          <w:szCs w:val="24"/>
          <w:lang w:val="en-US" w:eastAsia="zh-CN"/>
        </w:rPr>
        <w:t>公告发布网站</w:t>
      </w:r>
      <w:r>
        <w:rPr>
          <w:rFonts w:hint="eastAsia" w:ascii="宋体" w:hAnsi="宋体" w:eastAsia="宋体" w:cs="宋体"/>
          <w:b w:val="0"/>
          <w:color w:val="000000"/>
          <w:sz w:val="24"/>
          <w:szCs w:val="24"/>
          <w:lang w:val="en-US"/>
        </w:rPr>
        <w:t>查询本项目的更正公告，以保证其对磋商文件做出正确的响应。供应商未按要求下载相关文件，或由于未及时关注更正公告的信息造成的后果，其责任由供应商自行负责。</w:t>
      </w:r>
    </w:p>
    <w:p>
      <w:pPr>
        <w:keepNext w:val="0"/>
        <w:keepLines w:val="0"/>
        <w:pageBreakBefore w:val="0"/>
        <w:widowControl/>
        <w:numPr>
          <w:ilvl w:val="0"/>
          <w:numId w:val="2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000000"/>
          <w:sz w:val="24"/>
          <w:szCs w:val="24"/>
          <w:lang w:val="en-US"/>
        </w:rPr>
      </w:pPr>
      <w:r>
        <w:rPr>
          <w:rFonts w:hint="eastAsia" w:ascii="宋体" w:hAnsi="宋体" w:eastAsia="宋体" w:cs="宋体"/>
          <w:b w:val="0"/>
          <w:color w:val="000000"/>
          <w:sz w:val="24"/>
          <w:szCs w:val="24"/>
          <w:lang w:val="en-US"/>
        </w:rPr>
        <w:t>供应商认为需要对磋商文件进行澄清或者修改的，可以以书面形式向采购人或采购代理机构提出申请，由采购人或采购代理机构决定是否采纳供应商的申请事项。</w:t>
      </w:r>
    </w:p>
    <w:p>
      <w:pPr>
        <w:pStyle w:val="5"/>
        <w:bidi w:val="0"/>
        <w:ind w:left="0" w:leftChars="0" w:firstLine="482" w:firstLineChars="200"/>
        <w:rPr>
          <w:rFonts w:hint="eastAsia" w:ascii="宋体" w:hAnsi="宋体" w:eastAsia="宋体" w:cs="宋体"/>
          <w:b/>
          <w:sz w:val="24"/>
          <w:szCs w:val="24"/>
          <w:lang w:val="en-US"/>
        </w:rPr>
      </w:pPr>
      <w:bookmarkStart w:id="78" w:name="_Toc208848971"/>
      <w:bookmarkStart w:id="79" w:name="_Toc217446041"/>
      <w:r>
        <w:rPr>
          <w:rFonts w:hint="eastAsia" w:ascii="宋体" w:hAnsi="宋体" w:eastAsia="宋体" w:cs="宋体"/>
          <w:b/>
          <w:sz w:val="24"/>
          <w:szCs w:val="24"/>
          <w:lang w:val="en-US"/>
        </w:rPr>
        <w:t xml:space="preserve"> 答疑会和现场考察</w:t>
      </w:r>
      <w:bookmarkEnd w:id="78"/>
      <w:bookmarkEnd w:id="79"/>
    </w:p>
    <w:p>
      <w:pPr>
        <w:keepNext w:val="0"/>
        <w:keepLines w:val="0"/>
        <w:pageBreakBefore w:val="0"/>
        <w:widowControl/>
        <w:tabs>
          <w:tab w:val="left" w:pos="851"/>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kern w:val="2"/>
          <w:sz w:val="24"/>
          <w:szCs w:val="24"/>
          <w:lang w:val="en-US"/>
        </w:rPr>
      </w:pPr>
      <w:r>
        <w:rPr>
          <w:rFonts w:hint="eastAsia" w:ascii="宋体" w:hAnsi="宋体" w:eastAsia="宋体" w:cs="宋体"/>
          <w:b w:val="0"/>
          <w:bCs w:val="0"/>
          <w:color w:val="auto"/>
          <w:kern w:val="2"/>
          <w:sz w:val="24"/>
          <w:szCs w:val="24"/>
          <w:lang w:val="en-US"/>
        </w:rPr>
        <w:t>本项目不组织现场考察会或答疑会。</w:t>
      </w:r>
    </w:p>
    <w:p>
      <w:pPr>
        <w:pStyle w:val="4"/>
        <w:rPr>
          <w:color w:val="auto"/>
          <w:sz w:val="24"/>
          <w:szCs w:val="24"/>
          <w:highlight w:val="none"/>
        </w:rPr>
      </w:pPr>
      <w:bookmarkStart w:id="80" w:name="_Toc21049"/>
      <w:r>
        <w:rPr>
          <w:rFonts w:hint="eastAsia"/>
          <w:color w:val="auto"/>
          <w:sz w:val="24"/>
          <w:szCs w:val="24"/>
          <w:highlight w:val="none"/>
        </w:rPr>
        <w:t>响应文件</w:t>
      </w:r>
      <w:bookmarkEnd w:id="74"/>
      <w:bookmarkEnd w:id="80"/>
    </w:p>
    <w:p>
      <w:pPr>
        <w:pStyle w:val="5"/>
        <w:ind w:left="18" w:leftChars="0" w:firstLine="462" w:firstLineChars="0"/>
        <w:rPr>
          <w:rFonts w:cs="宋体"/>
          <w:color w:val="auto"/>
          <w:szCs w:val="24"/>
          <w:highlight w:val="none"/>
        </w:rPr>
      </w:pPr>
      <w:bookmarkStart w:id="81" w:name="_Toc320698721"/>
      <w:r>
        <w:rPr>
          <w:rFonts w:hint="eastAsia" w:cs="宋体"/>
          <w:color w:val="auto"/>
          <w:szCs w:val="24"/>
          <w:highlight w:val="none"/>
        </w:rPr>
        <w:t>响应文件的语言</w:t>
      </w:r>
      <w:bookmarkEnd w:id="81"/>
      <w:r>
        <w:rPr>
          <w:rFonts w:hint="eastAsia" w:cs="宋体"/>
          <w:color w:val="auto"/>
          <w:szCs w:val="24"/>
          <w:highlight w:val="none"/>
        </w:rPr>
        <w:t>、计量单位</w:t>
      </w:r>
      <w:r>
        <w:rPr>
          <w:rFonts w:hint="eastAsia"/>
          <w:color w:val="auto"/>
          <w:highlight w:val="none"/>
        </w:rPr>
        <w:t>（实质性要求）</w:t>
      </w:r>
    </w:p>
    <w:p>
      <w:pPr>
        <w:widowControl w:val="0"/>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提交的响应文件以及供应商与四川世科工程咨询有限公司就有关竞争性磋商采购活动的所有来往书面文件均须使用中文，响应文件中所附或引用的外文资料，应翻译成中文（说明：供应商的法定代表人为外籍人士的，则法定代表人的签字和护照除外。）。</w:t>
      </w:r>
    </w:p>
    <w:p>
      <w:pPr>
        <w:widowControl w:val="0"/>
        <w:numPr>
          <w:ilvl w:val="0"/>
          <w:numId w:val="24"/>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对不同文字文本响应文件的解释发生异议的，以中文文本为准。若供应商响应文件中提供的外文资料未翻译成中文，则磋商小组可将其视为无效材料。</w:t>
      </w:r>
    </w:p>
    <w:p>
      <w:pPr>
        <w:widowControl w:val="0"/>
        <w:numPr>
          <w:ilvl w:val="0"/>
          <w:numId w:val="24"/>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除技术参数及要求中另有规定外，计量单位均采用国家法定的计量单位。</w:t>
      </w:r>
    </w:p>
    <w:p>
      <w:pPr>
        <w:pStyle w:val="5"/>
        <w:bidi w:val="0"/>
        <w:ind w:left="0" w:leftChars="0" w:firstLine="482" w:firstLineChars="200"/>
        <w:rPr>
          <w:rFonts w:cs="宋体"/>
          <w:color w:val="auto"/>
          <w:szCs w:val="24"/>
          <w:highlight w:val="none"/>
        </w:rPr>
      </w:pPr>
      <w:bookmarkStart w:id="82" w:name="_Toc320698722"/>
      <w:r>
        <w:rPr>
          <w:rFonts w:hint="eastAsia" w:cs="宋体"/>
          <w:color w:val="auto"/>
          <w:szCs w:val="24"/>
          <w:highlight w:val="none"/>
        </w:rPr>
        <w:t>报价货币</w:t>
      </w:r>
      <w:bookmarkEnd w:id="82"/>
      <w:r>
        <w:rPr>
          <w:rFonts w:hint="eastAsia"/>
          <w:color w:val="auto"/>
          <w:highlight w:val="none"/>
        </w:rPr>
        <w:t>（实质性要求）</w:t>
      </w:r>
    </w:p>
    <w:p>
      <w:pPr>
        <w:spacing w:line="400" w:lineRule="exact"/>
        <w:ind w:firstLine="468" w:firstLineChars="195"/>
        <w:rPr>
          <w:rFonts w:ascii="宋体" w:hAnsi="宋体"/>
          <w:bCs/>
          <w:color w:val="auto"/>
          <w:highlight w:val="none"/>
        </w:rPr>
      </w:pPr>
      <w:bookmarkStart w:id="83" w:name="_Toc320698723"/>
      <w:r>
        <w:rPr>
          <w:rFonts w:hint="eastAsia" w:ascii="宋体" w:hAnsi="宋体"/>
          <w:bCs/>
          <w:color w:val="auto"/>
          <w:highlight w:val="none"/>
        </w:rPr>
        <w:t>本次磋商项目的</w:t>
      </w:r>
      <w:r>
        <w:rPr>
          <w:rFonts w:hint="eastAsia" w:ascii="宋体" w:hAnsi="宋体"/>
          <w:color w:val="auto"/>
          <w:highlight w:val="none"/>
        </w:rPr>
        <w:t>报价货币为</w:t>
      </w:r>
      <w:r>
        <w:rPr>
          <w:rFonts w:hint="eastAsia" w:ascii="宋体" w:hAnsi="宋体"/>
          <w:bCs/>
          <w:color w:val="auto"/>
          <w:highlight w:val="none"/>
        </w:rPr>
        <w:t>人民币，报价以磋商文件规定为准。</w:t>
      </w:r>
    </w:p>
    <w:p>
      <w:pPr>
        <w:pStyle w:val="5"/>
        <w:bidi w:val="0"/>
        <w:ind w:left="0" w:leftChars="0" w:firstLine="482" w:firstLineChars="200"/>
        <w:rPr>
          <w:rFonts w:cs="宋体"/>
          <w:color w:val="auto"/>
          <w:szCs w:val="24"/>
          <w:highlight w:val="none"/>
        </w:rPr>
      </w:pPr>
      <w:r>
        <w:rPr>
          <w:rFonts w:hint="eastAsia" w:cs="宋体"/>
          <w:color w:val="auto"/>
          <w:szCs w:val="24"/>
          <w:highlight w:val="none"/>
        </w:rPr>
        <w:t>知识产权</w:t>
      </w:r>
      <w:r>
        <w:rPr>
          <w:rFonts w:hint="eastAsia"/>
          <w:color w:val="auto"/>
          <w:highlight w:val="none"/>
        </w:rPr>
        <w:t>（实质性要求）</w:t>
      </w:r>
    </w:p>
    <w:p>
      <w:pPr>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如采用供应商所不拥有的知识产权的产品，则在报价中必须包括合法获取该知识产权的相关费用。 </w:t>
      </w:r>
    </w:p>
    <w:p>
      <w:pPr>
        <w:pStyle w:val="5"/>
        <w:bidi w:val="0"/>
        <w:ind w:left="0" w:leftChars="0" w:firstLine="482" w:firstLineChars="200"/>
        <w:rPr>
          <w:rFonts w:cs="宋体"/>
          <w:color w:val="auto"/>
          <w:szCs w:val="24"/>
          <w:highlight w:val="none"/>
        </w:rPr>
      </w:pPr>
      <w:r>
        <w:rPr>
          <w:rFonts w:hint="eastAsia" w:cs="宋体"/>
          <w:color w:val="auto"/>
          <w:szCs w:val="24"/>
          <w:highlight w:val="none"/>
        </w:rPr>
        <w:t>联合体</w:t>
      </w:r>
      <w:bookmarkEnd w:id="83"/>
      <w:r>
        <w:rPr>
          <w:rFonts w:hint="eastAsia" w:cs="宋体"/>
          <w:color w:val="auto"/>
          <w:szCs w:val="24"/>
          <w:highlight w:val="none"/>
        </w:rPr>
        <w:t>（实质性要求）</w:t>
      </w:r>
    </w:p>
    <w:p>
      <w:pPr>
        <w:widowControl w:val="0"/>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本次政府采购活动</w:t>
      </w:r>
      <w:r>
        <w:rPr>
          <w:rFonts w:hint="eastAsia" w:ascii="宋体" w:hAnsi="宋体" w:cs="宋体"/>
          <w:b/>
          <w:color w:val="auto"/>
          <w:highlight w:val="none"/>
        </w:rPr>
        <w:t>不接受</w:t>
      </w:r>
      <w:r>
        <w:rPr>
          <w:rFonts w:hint="eastAsia" w:ascii="宋体" w:hAnsi="宋体" w:cs="宋体"/>
          <w:color w:val="auto"/>
          <w:highlight w:val="none"/>
        </w:rPr>
        <w:t>供应商以联合体的形式参加磋商。</w:t>
      </w:r>
    </w:p>
    <w:p>
      <w:pPr>
        <w:pStyle w:val="5"/>
        <w:bidi w:val="0"/>
        <w:ind w:left="0" w:leftChars="0" w:firstLine="482" w:firstLineChars="200"/>
        <w:rPr>
          <w:rFonts w:cs="宋体"/>
          <w:color w:val="auto"/>
          <w:szCs w:val="24"/>
          <w:highlight w:val="none"/>
        </w:rPr>
      </w:pPr>
      <w:bookmarkStart w:id="84" w:name="_Toc320698724"/>
      <w:r>
        <w:rPr>
          <w:rFonts w:hint="eastAsia" w:cs="宋体"/>
          <w:color w:val="auto"/>
          <w:szCs w:val="24"/>
          <w:highlight w:val="none"/>
        </w:rPr>
        <w:t>响应文件的组成</w:t>
      </w:r>
      <w:bookmarkEnd w:id="84"/>
      <w:bookmarkStart w:id="85" w:name="_Toc320698725"/>
      <w:r>
        <w:rPr>
          <w:rFonts w:hint="eastAsia" w:cs="宋体"/>
          <w:color w:val="auto"/>
          <w:szCs w:val="24"/>
          <w:highlight w:val="none"/>
        </w:rPr>
        <w:t>（实质性要求）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一、资格性响应文件：用于磋商小组资格性审查；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二、技术、服务性响应文件：用于供应商与磋商小组磋商；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三、最后报价（最后报价格式由磋商小组提供）。</w:t>
      </w:r>
    </w:p>
    <w:p>
      <w:pPr>
        <w:pStyle w:val="5"/>
        <w:numPr>
          <w:ilvl w:val="3"/>
          <w:numId w:val="1"/>
        </w:numPr>
        <w:ind w:left="0" w:firstLine="482"/>
        <w:rPr>
          <w:rFonts w:cs="宋体"/>
          <w:color w:val="auto"/>
          <w:szCs w:val="24"/>
          <w:highlight w:val="none"/>
        </w:rPr>
      </w:pPr>
      <w:r>
        <w:rPr>
          <w:rFonts w:hint="eastAsia" w:cs="宋体"/>
          <w:color w:val="auto"/>
          <w:szCs w:val="24"/>
          <w:highlight w:val="none"/>
        </w:rPr>
        <w:t>资格性响应文件</w:t>
      </w:r>
      <w:bookmarkEnd w:id="85"/>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关于供应商资格声明的函；</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具有独立承担民事责任的能力证明材料；</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健全的财务会计制度的证明材料；</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供应商依法缴纳税收的证明材料；</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供应商依法缴纳社会保障资金的证明材料；</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承诺函；</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eastAsia="宋体" w:cs="宋体"/>
          <w:sz w:val="24"/>
          <w:szCs w:val="24"/>
          <w:lang w:val="en-US" w:eastAsia="zh-CN"/>
        </w:rPr>
        <w:t>关联情况说明；</w:t>
      </w:r>
    </w:p>
    <w:p>
      <w:pPr>
        <w:pStyle w:val="172"/>
        <w:numPr>
          <w:ilvl w:val="0"/>
          <w:numId w:val="26"/>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法定代表人身份证明书；</w:t>
      </w:r>
    </w:p>
    <w:p>
      <w:pPr>
        <w:pStyle w:val="172"/>
        <w:numPr>
          <w:ilvl w:val="0"/>
          <w:numId w:val="26"/>
        </w:numPr>
        <w:tabs>
          <w:tab w:val="left" w:pos="1134"/>
        </w:tabs>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法定代表人授权书原件；（响应文件均由供应商法定代表人签字的可不提供）。</w:t>
      </w:r>
    </w:p>
    <w:p>
      <w:pPr>
        <w:pStyle w:val="5"/>
        <w:numPr>
          <w:ilvl w:val="3"/>
          <w:numId w:val="1"/>
        </w:numPr>
        <w:ind w:left="0" w:firstLine="482"/>
        <w:rPr>
          <w:rFonts w:cs="宋体"/>
          <w:color w:val="auto"/>
          <w:szCs w:val="24"/>
          <w:highlight w:val="none"/>
        </w:rPr>
      </w:pPr>
      <w:bookmarkStart w:id="86" w:name="_Toc320698726"/>
      <w:r>
        <w:rPr>
          <w:rFonts w:hint="eastAsia" w:cs="宋体"/>
          <w:color w:val="auto"/>
          <w:szCs w:val="24"/>
          <w:highlight w:val="none"/>
        </w:rPr>
        <w:t>技术、服务性响应文件</w:t>
      </w:r>
      <w:bookmarkEnd w:id="86"/>
    </w:p>
    <w:p>
      <w:pPr>
        <w:pStyle w:val="20"/>
        <w:numPr>
          <w:ilvl w:val="0"/>
          <w:numId w:val="27"/>
        </w:numPr>
        <w:tabs>
          <w:tab w:val="left" w:pos="1134"/>
        </w:tabs>
        <w:spacing w:after="0" w:line="360" w:lineRule="auto"/>
        <w:ind w:firstLine="480" w:firstLineChars="200"/>
        <w:rPr>
          <w:rFonts w:ascii="宋体" w:hAnsi="宋体" w:cs="宋体"/>
          <w:bCs/>
          <w:color w:val="auto"/>
          <w:highlight w:val="none"/>
        </w:rPr>
      </w:pPr>
      <w:bookmarkStart w:id="87" w:name="_Toc320698727"/>
      <w:r>
        <w:rPr>
          <w:rFonts w:hint="eastAsia" w:ascii="宋体" w:hAnsi="宋体" w:cs="宋体"/>
          <w:color w:val="auto"/>
          <w:highlight w:val="none"/>
        </w:rPr>
        <w:t>报价书</w:t>
      </w:r>
      <w:r>
        <w:rPr>
          <w:rFonts w:hint="eastAsia" w:ascii="宋体" w:hAnsi="宋体" w:cs="宋体"/>
          <w:bCs/>
          <w:color w:val="auto"/>
          <w:highlight w:val="none"/>
        </w:rPr>
        <w:t>；</w:t>
      </w:r>
    </w:p>
    <w:p>
      <w:pPr>
        <w:pStyle w:val="20"/>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技术、</w:t>
      </w:r>
      <w:r>
        <w:rPr>
          <w:rFonts w:hint="eastAsia" w:ascii="宋体" w:hAnsi="宋体" w:cs="宋体"/>
          <w:color w:val="auto"/>
          <w:highlight w:val="none"/>
        </w:rPr>
        <w:t>商务</w:t>
      </w:r>
      <w:r>
        <w:rPr>
          <w:rFonts w:hint="eastAsia" w:ascii="宋体" w:hAnsi="宋体" w:cs="宋体"/>
          <w:color w:val="auto"/>
          <w:highlight w:val="none"/>
          <w:lang w:val="en-US" w:eastAsia="zh-CN"/>
        </w:rPr>
        <w:t>应答</w:t>
      </w:r>
      <w:r>
        <w:rPr>
          <w:rFonts w:hint="eastAsia" w:ascii="宋体" w:hAnsi="宋体" w:cs="宋体"/>
          <w:color w:val="auto"/>
          <w:highlight w:val="none"/>
        </w:rPr>
        <w:t>表</w:t>
      </w:r>
      <w:r>
        <w:rPr>
          <w:rFonts w:hint="eastAsia" w:ascii="宋体" w:hAnsi="宋体" w:cs="宋体"/>
          <w:bCs/>
          <w:color w:val="auto"/>
          <w:highlight w:val="none"/>
        </w:rPr>
        <w:t>；</w:t>
      </w:r>
    </w:p>
    <w:p>
      <w:pPr>
        <w:pStyle w:val="20"/>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sz w:val="24"/>
          <w:szCs w:val="24"/>
          <w:highlight w:val="none"/>
          <w:lang w:val="en-US" w:eastAsia="zh-CN"/>
        </w:rPr>
        <w:t>实施</w:t>
      </w:r>
      <w:r>
        <w:rPr>
          <w:rFonts w:hint="eastAsia" w:ascii="宋体" w:hAnsi="宋体" w:eastAsia="宋体" w:cs="宋体"/>
          <w:sz w:val="24"/>
          <w:szCs w:val="24"/>
          <w:highlight w:val="none"/>
        </w:rPr>
        <w:t>方案</w:t>
      </w:r>
      <w:r>
        <w:rPr>
          <w:rFonts w:hint="eastAsia" w:ascii="宋体" w:hAnsi="宋体" w:cs="宋体"/>
          <w:color w:val="auto"/>
          <w:highlight w:val="none"/>
        </w:rPr>
        <w:t>；</w:t>
      </w:r>
    </w:p>
    <w:p>
      <w:pPr>
        <w:pStyle w:val="20"/>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bCs/>
          <w:color w:val="auto"/>
          <w:highlight w:val="none"/>
        </w:rPr>
        <w:t>报价表；</w:t>
      </w:r>
    </w:p>
    <w:p>
      <w:pPr>
        <w:pStyle w:val="20"/>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sz w:val="24"/>
          <w:highlight w:val="none"/>
          <w:lang w:val="en-US" w:eastAsia="zh-CN"/>
        </w:rPr>
        <w:t>实施本项目的主要人员配置情况表</w:t>
      </w:r>
      <w:r>
        <w:rPr>
          <w:rFonts w:hint="eastAsia" w:ascii="宋体" w:hAnsi="宋体" w:cs="宋体"/>
          <w:sz w:val="24"/>
          <w:highlight w:val="none"/>
          <w:lang w:eastAsia="zh-CN"/>
        </w:rPr>
        <w:t>；</w:t>
      </w:r>
    </w:p>
    <w:p>
      <w:pPr>
        <w:pStyle w:val="20"/>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类似</w:t>
      </w:r>
      <w:r>
        <w:rPr>
          <w:rFonts w:hint="eastAsia" w:ascii="宋体" w:hAnsi="宋体" w:cs="宋体"/>
          <w:color w:val="auto"/>
          <w:highlight w:val="none"/>
        </w:rPr>
        <w:t>业绩一览表；</w:t>
      </w:r>
      <w:r>
        <w:rPr>
          <w:rFonts w:hint="eastAsia" w:ascii="宋体" w:hAnsi="宋体" w:eastAsia="宋体" w:cs="宋体"/>
          <w:sz w:val="24"/>
          <w:szCs w:val="24"/>
        </w:rPr>
        <w:t>（如有）</w:t>
      </w:r>
    </w:p>
    <w:p>
      <w:pPr>
        <w:pStyle w:val="20"/>
        <w:numPr>
          <w:ilvl w:val="0"/>
          <w:numId w:val="27"/>
        </w:numPr>
        <w:tabs>
          <w:tab w:val="left" w:pos="1134"/>
        </w:tabs>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中小企业声明函；</w:t>
      </w:r>
      <w:r>
        <w:rPr>
          <w:rFonts w:hint="eastAsia" w:ascii="宋体" w:hAnsi="宋体" w:cs="宋体"/>
          <w:highlight w:val="none"/>
        </w:rPr>
        <w:t>（如未提供中小企业声明函的，则其报价不能享受</w:t>
      </w:r>
      <w:r>
        <w:rPr>
          <w:rFonts w:hint="eastAsia" w:ascii="宋体" w:hAnsi="宋体" w:cs="宋体"/>
          <w:highlight w:val="none"/>
          <w:lang w:val="en-US" w:eastAsia="zh-CN"/>
        </w:rPr>
        <w:t>磋商</w:t>
      </w:r>
      <w:r>
        <w:rPr>
          <w:rFonts w:hint="eastAsia" w:ascii="宋体" w:hAnsi="宋体" w:cs="宋体"/>
          <w:highlight w:val="none"/>
        </w:rPr>
        <w:t>文件规定的价格扣除，但不影响</w:t>
      </w:r>
      <w:r>
        <w:rPr>
          <w:rFonts w:hint="eastAsia" w:ascii="宋体" w:hAnsi="宋体" w:cs="宋体"/>
          <w:highlight w:val="none"/>
          <w:lang w:val="en-US" w:eastAsia="zh-CN"/>
        </w:rPr>
        <w:t>供应商响应</w:t>
      </w:r>
      <w:r>
        <w:rPr>
          <w:rFonts w:hint="eastAsia" w:ascii="宋体" w:hAnsi="宋体" w:cs="宋体"/>
          <w:highlight w:val="none"/>
        </w:rPr>
        <w:t>文件的有效性）；</w:t>
      </w:r>
    </w:p>
    <w:p>
      <w:pPr>
        <w:pStyle w:val="20"/>
        <w:numPr>
          <w:ilvl w:val="0"/>
          <w:numId w:val="27"/>
        </w:numPr>
        <w:tabs>
          <w:tab w:val="left" w:pos="1134"/>
        </w:tabs>
        <w:spacing w:after="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残疾人福利性单位声明函；（如未提供残疾人福利性单位声明函的，则其</w:t>
      </w:r>
      <w:r>
        <w:rPr>
          <w:rFonts w:hint="eastAsia" w:ascii="宋体" w:hAnsi="宋体" w:cs="宋体"/>
          <w:highlight w:val="none"/>
          <w:lang w:val="en-US" w:eastAsia="zh-CN"/>
        </w:rPr>
        <w:t>报价</w:t>
      </w:r>
      <w:r>
        <w:rPr>
          <w:rFonts w:hint="eastAsia" w:ascii="宋体" w:hAnsi="宋体" w:eastAsia="宋体" w:cs="宋体"/>
          <w:highlight w:val="none"/>
        </w:rPr>
        <w:t>不能享受招</w:t>
      </w:r>
      <w:r>
        <w:rPr>
          <w:rFonts w:hint="eastAsia" w:ascii="宋体" w:hAnsi="宋体" w:cs="宋体"/>
          <w:highlight w:val="none"/>
          <w:lang w:val="en-US" w:eastAsia="zh-CN"/>
        </w:rPr>
        <w:t>磋商</w:t>
      </w:r>
      <w:r>
        <w:rPr>
          <w:rFonts w:hint="eastAsia" w:ascii="宋体" w:hAnsi="宋体" w:eastAsia="宋体" w:cs="宋体"/>
          <w:highlight w:val="none"/>
        </w:rPr>
        <w:t>件规定的价格扣除，但不影响</w:t>
      </w:r>
      <w:r>
        <w:rPr>
          <w:rFonts w:hint="eastAsia" w:ascii="宋体" w:hAnsi="宋体" w:eastAsia="宋体" w:cs="宋体"/>
          <w:highlight w:val="none"/>
          <w:lang w:val="en-US" w:eastAsia="zh-CN"/>
        </w:rPr>
        <w:t>供应商响应</w:t>
      </w:r>
      <w:r>
        <w:rPr>
          <w:rFonts w:hint="eastAsia" w:ascii="宋体" w:hAnsi="宋体" w:eastAsia="宋体" w:cs="宋体"/>
          <w:highlight w:val="none"/>
        </w:rPr>
        <w:t>文件的有效性）；</w:t>
      </w:r>
    </w:p>
    <w:p>
      <w:pPr>
        <w:pStyle w:val="20"/>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监狱企业证明材料；</w:t>
      </w:r>
      <w:r>
        <w:rPr>
          <w:rFonts w:hint="eastAsia" w:ascii="宋体" w:hAnsi="宋体" w:eastAsia="宋体" w:cs="宋体"/>
          <w:highlight w:val="none"/>
        </w:rPr>
        <w:t>（如</w:t>
      </w:r>
      <w:r>
        <w:rPr>
          <w:rFonts w:hint="eastAsia" w:ascii="宋体" w:hAnsi="宋体" w:eastAsia="宋体" w:cs="宋体"/>
          <w:highlight w:val="none"/>
          <w:lang w:val="en-US" w:eastAsia="zh-CN"/>
        </w:rPr>
        <w:t>非监狱企业</w:t>
      </w:r>
      <w:r>
        <w:rPr>
          <w:rFonts w:hint="eastAsia" w:ascii="宋体" w:hAnsi="宋体" w:eastAsia="宋体" w:cs="宋体"/>
          <w:highlight w:val="none"/>
        </w:rPr>
        <w:t>，则其</w:t>
      </w:r>
      <w:r>
        <w:rPr>
          <w:rFonts w:hint="eastAsia" w:ascii="宋体" w:hAnsi="宋体" w:cs="宋体"/>
          <w:highlight w:val="none"/>
          <w:lang w:val="en-US" w:eastAsia="zh-CN"/>
        </w:rPr>
        <w:t>报价</w:t>
      </w:r>
      <w:r>
        <w:rPr>
          <w:rFonts w:hint="eastAsia" w:ascii="宋体" w:hAnsi="宋体" w:eastAsia="宋体" w:cs="宋体"/>
          <w:highlight w:val="none"/>
        </w:rPr>
        <w:t>不能享受招</w:t>
      </w:r>
      <w:r>
        <w:rPr>
          <w:rFonts w:hint="eastAsia" w:ascii="宋体" w:hAnsi="宋体" w:cs="宋体"/>
          <w:highlight w:val="none"/>
          <w:lang w:val="en-US" w:eastAsia="zh-CN"/>
        </w:rPr>
        <w:t>磋商</w:t>
      </w:r>
      <w:r>
        <w:rPr>
          <w:rFonts w:hint="eastAsia" w:ascii="宋体" w:hAnsi="宋体" w:eastAsia="宋体" w:cs="宋体"/>
          <w:highlight w:val="none"/>
        </w:rPr>
        <w:t>件规定的价格扣除，但不影响</w:t>
      </w:r>
      <w:r>
        <w:rPr>
          <w:rFonts w:hint="eastAsia" w:ascii="宋体" w:hAnsi="宋体" w:eastAsia="宋体" w:cs="宋体"/>
          <w:highlight w:val="none"/>
          <w:lang w:val="en-US" w:eastAsia="zh-CN"/>
        </w:rPr>
        <w:t>供应商响应</w:t>
      </w:r>
      <w:r>
        <w:rPr>
          <w:rFonts w:hint="eastAsia" w:ascii="宋体" w:hAnsi="宋体" w:eastAsia="宋体" w:cs="宋体"/>
          <w:highlight w:val="none"/>
        </w:rPr>
        <w:t>文件的有效性）；</w:t>
      </w:r>
    </w:p>
    <w:p>
      <w:pPr>
        <w:pStyle w:val="20"/>
        <w:numPr>
          <w:ilvl w:val="0"/>
          <w:numId w:val="27"/>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磋商供应商认为需要提供的文件和资料。（如有）</w:t>
      </w:r>
    </w:p>
    <w:p>
      <w:pPr>
        <w:pStyle w:val="5"/>
        <w:bidi w:val="0"/>
        <w:ind w:left="0" w:leftChars="0" w:firstLine="482" w:firstLineChars="200"/>
        <w:rPr>
          <w:rFonts w:cs="宋体"/>
          <w:color w:val="auto"/>
          <w:szCs w:val="24"/>
          <w:highlight w:val="none"/>
        </w:rPr>
      </w:pPr>
      <w:r>
        <w:rPr>
          <w:rFonts w:hint="eastAsia" w:cs="宋体"/>
          <w:color w:val="auto"/>
          <w:szCs w:val="24"/>
          <w:highlight w:val="none"/>
        </w:rPr>
        <w:t>最后报价</w:t>
      </w:r>
    </w:p>
    <w:p>
      <w:pPr>
        <w:widowControl/>
        <w:numPr>
          <w:ilvl w:val="0"/>
          <w:numId w:val="28"/>
        </w:numPr>
        <w:tabs>
          <w:tab w:val="left" w:pos="1134"/>
        </w:tabs>
        <w:snapToGrid w:val="0"/>
        <w:spacing w:after="200"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磋商结束后，磋商小组应当要求所有实质性响应的供应商在规定时间内进行最后报价。磋商小组开启报价后，供应商应随时关注“政府采购云平台”站内信息或短信提醒，登录“政府采购云平台”，通过“开标大厅”进行报价。登录政府采购云平台(www.zcygov.cn)—我的工作台—项目采购—开标评标—开标大厅（找到对应项目）—报价，进行报价并签章后递交</w:t>
      </w:r>
      <w:r>
        <w:rPr>
          <w:rFonts w:hint="eastAsia" w:ascii="宋体" w:hAnsi="宋体" w:eastAsia="宋体" w:cs="宋体"/>
          <w:sz w:val="24"/>
          <w:szCs w:val="24"/>
          <w:lang w:eastAsia="zh-CN"/>
        </w:rPr>
        <w:t>（</w:t>
      </w:r>
      <w:r>
        <w:rPr>
          <w:rFonts w:hint="eastAsia" w:ascii="宋体" w:hAnsi="宋体" w:eastAsia="宋体" w:cs="宋体"/>
          <w:sz w:val="24"/>
          <w:szCs w:val="24"/>
        </w:rPr>
        <w:t>说明：供应商在最后报价环节应在政府采购云平台填写最后报价以及以附件形式上传</w:t>
      </w:r>
      <w:r>
        <w:rPr>
          <w:rFonts w:hint="eastAsia" w:ascii="宋体" w:hAnsi="宋体" w:eastAsia="宋体" w:cs="宋体"/>
          <w:sz w:val="24"/>
          <w:szCs w:val="24"/>
          <w:lang w:eastAsia="zh-CN"/>
        </w:rPr>
        <w:t>）</w:t>
      </w:r>
      <w:r>
        <w:rPr>
          <w:rFonts w:hint="eastAsia" w:ascii="宋体" w:hAnsi="宋体" w:eastAsia="宋体" w:cs="宋体"/>
          <w:sz w:val="24"/>
          <w:szCs w:val="24"/>
        </w:rPr>
        <w:t>。报价时间截止后，</w:t>
      </w:r>
      <w:r>
        <w:rPr>
          <w:rFonts w:hint="eastAsia" w:ascii="宋体" w:hAnsi="宋体" w:eastAsia="宋体" w:cs="宋体"/>
          <w:sz w:val="24"/>
          <w:szCs w:val="24"/>
          <w:highlight w:val="yellow"/>
        </w:rPr>
        <w:t>系统统一公布报价</w:t>
      </w:r>
      <w:r>
        <w:rPr>
          <w:rFonts w:hint="eastAsia" w:ascii="宋体" w:hAnsi="宋体" w:eastAsia="宋体" w:cs="宋体"/>
          <w:sz w:val="24"/>
          <w:szCs w:val="24"/>
        </w:rPr>
        <w:t>。提示：供应商未按时登录不见面开标系统，未在报价截止时间内提交最后报价或未按要求上传最后报价明细表的，视为供应商响应文件无效，由供应商自行承担不利后果。</w:t>
      </w:r>
    </w:p>
    <w:p>
      <w:pPr>
        <w:widowControl/>
        <w:numPr>
          <w:ilvl w:val="0"/>
          <w:numId w:val="28"/>
        </w:numPr>
        <w:tabs>
          <w:tab w:val="left" w:pos="1134"/>
        </w:tabs>
        <w:snapToGrid w:val="0"/>
        <w:spacing w:after="200"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已提交响应文件的供应商，在提交最后报价之前，可以根据磋商情况退出磋商。</w:t>
      </w:r>
    </w:p>
    <w:p>
      <w:pPr>
        <w:widowControl/>
        <w:numPr>
          <w:ilvl w:val="0"/>
          <w:numId w:val="28"/>
        </w:numPr>
        <w:tabs>
          <w:tab w:val="left" w:pos="1134"/>
        </w:tabs>
        <w:snapToGrid w:val="0"/>
        <w:spacing w:after="200"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供应商未按磋商小组要求在规定时间内提交最后报价的，视为其退出磋商。</w:t>
      </w:r>
    </w:p>
    <w:p>
      <w:pPr>
        <w:widowControl/>
        <w:numPr>
          <w:ilvl w:val="0"/>
          <w:numId w:val="28"/>
        </w:numPr>
        <w:tabs>
          <w:tab w:val="left" w:pos="1134"/>
        </w:tabs>
        <w:snapToGrid w:val="0"/>
        <w:spacing w:after="200"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最后报价一旦提交后，供应商不得以任何理由撤回。</w:t>
      </w:r>
    </w:p>
    <w:p>
      <w:pPr>
        <w:widowControl/>
        <w:numPr>
          <w:ilvl w:val="0"/>
          <w:numId w:val="28"/>
        </w:numPr>
        <w:tabs>
          <w:tab w:val="left" w:pos="1134"/>
        </w:tabs>
        <w:snapToGrid w:val="0"/>
        <w:spacing w:after="200"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最后报价为有效报价应符合下列条件：</w:t>
      </w:r>
    </w:p>
    <w:p>
      <w:pPr>
        <w:widowControl/>
        <w:numPr>
          <w:ilvl w:val="0"/>
          <w:numId w:val="29"/>
        </w:numPr>
        <w:tabs>
          <w:tab w:val="left" w:pos="-2127"/>
          <w:tab w:val="left" w:pos="1134"/>
        </w:tabs>
        <w:snapToGrid w:val="0"/>
        <w:spacing w:after="200" w:line="360" w:lineRule="auto"/>
        <w:ind w:left="0" w:firstLine="557"/>
        <w:rPr>
          <w:rFonts w:hint="eastAsia" w:ascii="宋体" w:hAnsi="宋体" w:eastAsia="宋体" w:cs="宋体"/>
          <w:sz w:val="24"/>
          <w:szCs w:val="24"/>
        </w:rPr>
      </w:pPr>
      <w:r>
        <w:rPr>
          <w:rFonts w:hint="eastAsia" w:ascii="宋体" w:hAnsi="宋体" w:eastAsia="宋体" w:cs="宋体"/>
          <w:sz w:val="24"/>
          <w:szCs w:val="24"/>
        </w:rPr>
        <w:t>供应商所提供的最后报价是在规定的时间内提交。</w:t>
      </w:r>
    </w:p>
    <w:p>
      <w:pPr>
        <w:widowControl/>
        <w:numPr>
          <w:ilvl w:val="0"/>
          <w:numId w:val="29"/>
        </w:numPr>
        <w:tabs>
          <w:tab w:val="left" w:pos="-2127"/>
          <w:tab w:val="left" w:pos="1134"/>
        </w:tabs>
        <w:snapToGrid w:val="0"/>
        <w:spacing w:after="200" w:line="360" w:lineRule="auto"/>
        <w:ind w:left="0" w:firstLine="557"/>
        <w:rPr>
          <w:rFonts w:hint="eastAsia" w:ascii="宋体" w:hAnsi="宋体" w:eastAsia="宋体" w:cs="宋体"/>
          <w:sz w:val="24"/>
          <w:szCs w:val="24"/>
        </w:rPr>
      </w:pPr>
      <w:r>
        <w:rPr>
          <w:rFonts w:hint="eastAsia" w:ascii="宋体" w:hAnsi="宋体" w:eastAsia="宋体" w:cs="宋体"/>
          <w:sz w:val="24"/>
          <w:szCs w:val="24"/>
        </w:rPr>
        <w:t>供应商的最后报价应加盖供应商（法定名称）电子签章。</w:t>
      </w:r>
    </w:p>
    <w:p>
      <w:pPr>
        <w:widowControl/>
        <w:numPr>
          <w:ilvl w:val="0"/>
          <w:numId w:val="29"/>
        </w:numPr>
        <w:tabs>
          <w:tab w:val="left" w:pos="-2127"/>
          <w:tab w:val="left" w:pos="1134"/>
        </w:tabs>
        <w:snapToGrid w:val="0"/>
        <w:spacing w:after="200" w:line="360" w:lineRule="auto"/>
        <w:ind w:left="0" w:firstLine="557"/>
        <w:rPr>
          <w:rFonts w:hint="eastAsia" w:ascii="宋体" w:hAnsi="宋体" w:eastAsia="宋体" w:cs="宋体"/>
          <w:sz w:val="24"/>
          <w:szCs w:val="24"/>
        </w:rPr>
      </w:pPr>
      <w:r>
        <w:rPr>
          <w:rFonts w:hint="eastAsia" w:ascii="宋体" w:hAnsi="宋体" w:eastAsia="宋体" w:cs="宋体"/>
          <w:sz w:val="24"/>
          <w:szCs w:val="24"/>
        </w:rPr>
        <w:t>供应商的最后报价符合磋商文件的要求。</w:t>
      </w:r>
    </w:p>
    <w:p>
      <w:pPr>
        <w:widowControl/>
        <w:numPr>
          <w:ilvl w:val="0"/>
          <w:numId w:val="29"/>
        </w:numPr>
        <w:tabs>
          <w:tab w:val="left" w:pos="-2127"/>
          <w:tab w:val="left" w:pos="1134"/>
        </w:tabs>
        <w:snapToGrid w:val="0"/>
        <w:spacing w:after="200" w:line="360" w:lineRule="auto"/>
        <w:ind w:left="0" w:firstLine="557"/>
        <w:rPr>
          <w:rFonts w:hint="eastAsia" w:ascii="宋体" w:hAnsi="宋体" w:eastAsia="宋体" w:cs="宋体"/>
          <w:sz w:val="24"/>
          <w:szCs w:val="24"/>
        </w:rPr>
      </w:pPr>
      <w:r>
        <w:rPr>
          <w:rFonts w:hint="eastAsia" w:ascii="宋体" w:hAnsi="宋体" w:eastAsia="宋体" w:cs="宋体"/>
          <w:sz w:val="24"/>
          <w:szCs w:val="24"/>
        </w:rPr>
        <w:t>最后报价唯一，且不高于最高限价。</w:t>
      </w:r>
    </w:p>
    <w:p>
      <w:pPr>
        <w:widowControl/>
        <w:numPr>
          <w:ilvl w:val="0"/>
          <w:numId w:val="28"/>
        </w:numPr>
        <w:tabs>
          <w:tab w:val="left" w:pos="-2127"/>
          <w:tab w:val="left" w:pos="1134"/>
        </w:tabs>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在未提高响应文件中承诺的实质性要求的情况下，最后报价不得高于对该项目之前的报价（首次响应文件中的报价以政府采购云平台中填报的报价为准），否则，磋商小组应当对其响应文件按无效处理。</w:t>
      </w:r>
    </w:p>
    <w:p>
      <w:pPr>
        <w:widowControl/>
        <w:numPr>
          <w:ilvl w:val="0"/>
          <w:numId w:val="28"/>
        </w:numPr>
        <w:tabs>
          <w:tab w:val="left" w:pos="-2127"/>
          <w:tab w:val="left" w:pos="1134"/>
        </w:tabs>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最后报价出现下列情况的，不需要供应商澄清，按以下原则处理：</w:t>
      </w:r>
    </w:p>
    <w:p>
      <w:pPr>
        <w:pStyle w:val="186"/>
        <w:numPr>
          <w:ilvl w:val="0"/>
          <w:numId w:val="30"/>
        </w:numPr>
        <w:tabs>
          <w:tab w:val="left" w:pos="1134"/>
          <w:tab w:val="clear" w:pos="846"/>
        </w:tabs>
        <w:snapToGrid w:val="0"/>
        <w:spacing w:line="360" w:lineRule="auto"/>
        <w:ind w:left="0" w:firstLine="567" w:firstLineChars="0"/>
        <w:rPr>
          <w:rFonts w:hint="eastAsia" w:ascii="宋体" w:hAnsi="宋体" w:eastAsia="宋体" w:cs="宋体"/>
          <w:sz w:val="24"/>
          <w:szCs w:val="24"/>
        </w:rPr>
      </w:pPr>
      <w:r>
        <w:rPr>
          <w:rFonts w:hint="eastAsia" w:ascii="宋体" w:hAnsi="宋体" w:eastAsia="宋体" w:cs="宋体"/>
          <w:sz w:val="24"/>
          <w:szCs w:val="24"/>
        </w:rPr>
        <w:t>最后报价中的大写金额和小写金额不一致的，以大写金额为准，但大写金额出现文字错误，导致金额无法判断的除外；</w:t>
      </w:r>
    </w:p>
    <w:p>
      <w:pPr>
        <w:pStyle w:val="186"/>
        <w:numPr>
          <w:ilvl w:val="0"/>
          <w:numId w:val="30"/>
        </w:numPr>
        <w:tabs>
          <w:tab w:val="left" w:pos="1134"/>
          <w:tab w:val="clear" w:pos="846"/>
        </w:tabs>
        <w:snapToGrid w:val="0"/>
        <w:spacing w:line="360" w:lineRule="auto"/>
        <w:ind w:left="0" w:firstLine="525" w:firstLineChars="0"/>
        <w:rPr>
          <w:rFonts w:hint="eastAsia" w:ascii="宋体" w:hAnsi="宋体" w:eastAsia="宋体" w:cs="宋体"/>
          <w:sz w:val="24"/>
          <w:szCs w:val="24"/>
        </w:rPr>
      </w:pPr>
      <w:r>
        <w:rPr>
          <w:rFonts w:hint="eastAsia" w:ascii="宋体" w:hAnsi="宋体" w:eastAsia="宋体" w:cs="宋体"/>
          <w:sz w:val="24"/>
          <w:szCs w:val="24"/>
        </w:rPr>
        <w:t>单价金额小数点或者百分比有明显错位的，应以总价为准，并修改单价；</w:t>
      </w:r>
    </w:p>
    <w:p>
      <w:pPr>
        <w:pStyle w:val="186"/>
        <w:numPr>
          <w:ilvl w:val="0"/>
          <w:numId w:val="30"/>
        </w:numPr>
        <w:tabs>
          <w:tab w:val="left" w:pos="1134"/>
          <w:tab w:val="clear" w:pos="846"/>
        </w:tabs>
        <w:snapToGrid w:val="0"/>
        <w:spacing w:line="360" w:lineRule="auto"/>
        <w:ind w:left="0" w:firstLine="525" w:firstLineChars="0"/>
        <w:rPr>
          <w:rFonts w:hint="eastAsia" w:ascii="宋体" w:hAnsi="宋体" w:eastAsia="宋体" w:cs="宋体"/>
          <w:sz w:val="24"/>
          <w:szCs w:val="24"/>
        </w:rPr>
      </w:pPr>
      <w:r>
        <w:rPr>
          <w:rFonts w:hint="eastAsia" w:ascii="宋体" w:hAnsi="宋体" w:eastAsia="宋体" w:cs="宋体"/>
          <w:sz w:val="24"/>
          <w:szCs w:val="24"/>
        </w:rPr>
        <w:t>总价金额与按单价汇总金额不一致的，以单价汇总金额计算结果为准；</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最后报价经加盖供应商（法定名称）电子签章后产生约束力，供应商不确认的，其最后报价无效。磋商小组不得未经要求供应商确认，直接将供应商响应文件作无效处理。</w:t>
      </w:r>
    </w:p>
    <w:p>
      <w:pPr>
        <w:pStyle w:val="20"/>
        <w:spacing w:after="0"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对不同语言文本施工响应文件的解释发生异议的，以中文文本为准。</w:t>
      </w:r>
    </w:p>
    <w:p>
      <w:pPr>
        <w:widowControl/>
        <w:numPr>
          <w:ilvl w:val="0"/>
          <w:numId w:val="28"/>
        </w:numPr>
        <w:tabs>
          <w:tab w:val="left" w:pos="-2127"/>
          <w:tab w:val="left" w:pos="1134"/>
        </w:tabs>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有效最后报价的供应商不足三家的，采购失败。</w:t>
      </w: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p>
    <w:bookmarkEnd w:id="87"/>
    <w:p>
      <w:pPr>
        <w:pStyle w:val="5"/>
        <w:bidi w:val="0"/>
        <w:ind w:left="0" w:leftChars="0" w:firstLine="482" w:firstLineChars="200"/>
        <w:rPr>
          <w:rFonts w:cs="宋体"/>
          <w:color w:val="auto"/>
          <w:szCs w:val="24"/>
          <w:highlight w:val="none"/>
        </w:rPr>
      </w:pPr>
      <w:bookmarkStart w:id="88" w:name="_Toc320698728"/>
      <w:r>
        <w:rPr>
          <w:rFonts w:hint="eastAsia" w:cs="宋体"/>
          <w:color w:val="auto"/>
          <w:szCs w:val="24"/>
          <w:highlight w:val="none"/>
        </w:rPr>
        <w:t>响应文件有效期</w:t>
      </w:r>
      <w:bookmarkEnd w:id="88"/>
      <w:r>
        <w:rPr>
          <w:rFonts w:hint="eastAsia" w:cs="宋体"/>
          <w:color w:val="auto"/>
          <w:szCs w:val="24"/>
          <w:highlight w:val="none"/>
        </w:rPr>
        <w:t>（实质性要求）</w:t>
      </w:r>
    </w:p>
    <w:p>
      <w:pPr>
        <w:numPr>
          <w:ilvl w:val="0"/>
          <w:numId w:val="31"/>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响应文件有效期为递交响应文件截止日期起</w:t>
      </w:r>
      <w:r>
        <w:rPr>
          <w:rFonts w:hint="eastAsia" w:ascii="宋体" w:hAnsi="宋体" w:cs="宋体"/>
          <w:color w:val="auto"/>
          <w:highlight w:val="none"/>
          <w:u w:val="single"/>
        </w:rPr>
        <w:t>90</w:t>
      </w:r>
      <w:r>
        <w:rPr>
          <w:rFonts w:hint="eastAsia" w:ascii="宋体" w:hAnsi="宋体" w:cs="宋体"/>
          <w:color w:val="auto"/>
          <w:highlight w:val="none"/>
        </w:rPr>
        <w:t>天。响应文件有效期短于此规定期限的或不作响应的，则其响应文件将按无效响应文件处理。</w:t>
      </w:r>
    </w:p>
    <w:p>
      <w:pPr>
        <w:numPr>
          <w:ilvl w:val="0"/>
          <w:numId w:val="31"/>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特殊情况下，采购人可于磋商有效期满之前要求磋商供应商同意延长有效期，要求与答复均应为书面形式。拒绝延长磋商有效期的磋商供应商不得再参与该项目后续采购活动。同意延长磋商有效期的磋商供应商不能修改其响应文件。</w:t>
      </w:r>
    </w:p>
    <w:p>
      <w:pPr>
        <w:pStyle w:val="5"/>
        <w:bidi w:val="0"/>
        <w:ind w:left="0" w:leftChars="0" w:firstLine="482" w:firstLineChars="200"/>
        <w:rPr>
          <w:rFonts w:cs="宋体"/>
          <w:color w:val="auto"/>
          <w:szCs w:val="24"/>
          <w:highlight w:val="none"/>
        </w:rPr>
      </w:pPr>
      <w:bookmarkStart w:id="89" w:name="_Toc320698729"/>
      <w:r>
        <w:rPr>
          <w:rFonts w:hint="eastAsia" w:cs="宋体"/>
          <w:color w:val="auto"/>
          <w:szCs w:val="24"/>
          <w:highlight w:val="none"/>
        </w:rPr>
        <w:t>响应文件</w:t>
      </w:r>
      <w:bookmarkEnd w:id="89"/>
      <w:r>
        <w:rPr>
          <w:rFonts w:hint="eastAsia" w:cs="宋体"/>
          <w:color w:val="auto"/>
          <w:szCs w:val="24"/>
          <w:highlight w:val="none"/>
          <w:lang w:val="en-US" w:eastAsia="zh-CN"/>
        </w:rPr>
        <w:t>制作、签章、加密</w:t>
      </w:r>
    </w:p>
    <w:p>
      <w:pPr>
        <w:numPr>
          <w:ilvl w:val="0"/>
          <w:numId w:val="32"/>
        </w:numPr>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lang w:val="zh-CN"/>
        </w:rPr>
        <w:t>（不允许实质性变动的实质性要求）</w:t>
      </w:r>
      <w:r>
        <w:rPr>
          <w:rFonts w:hint="eastAsia" w:ascii="宋体" w:hAnsi="宋体" w:eastAsia="宋体" w:cs="宋体"/>
          <w:sz w:val="24"/>
          <w:szCs w:val="24"/>
        </w:rPr>
        <w:t>响应文件应根据磋商文件的要求进行制作。（说明：1、响应文件中要求提供复印件证明材料的，包含提供原件的影印件或复印件。2、要求提供复印件的证明材料须清晰可辨。）</w:t>
      </w:r>
    </w:p>
    <w:p>
      <w:pPr>
        <w:numPr>
          <w:ilvl w:val="0"/>
          <w:numId w:val="32"/>
        </w:numPr>
        <w:spacing w:line="360" w:lineRule="auto"/>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响应文件制作详情：</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本项目实行电子采购。供应商应先安装“政采云投标客户端”。供应商应按要求，通过“政采云投标客户端”制作、加密并提交响应文件。</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zh-CN"/>
        </w:rPr>
        <w:t>（不允许实质性变动的实质性要求）</w:t>
      </w:r>
      <w:r>
        <w:rPr>
          <w:rFonts w:hint="eastAsia" w:ascii="宋体" w:hAnsi="宋体" w:eastAsia="宋体" w:cs="宋体"/>
          <w:b/>
          <w:sz w:val="24"/>
          <w:szCs w:val="24"/>
        </w:rPr>
        <w:t>响应文件应加盖有供应商（法定名称）电子签章，不得使用供应商专用章（如经济合同章、投标专用章等）或下属单位印章代替</w:t>
      </w:r>
      <w:r>
        <w:rPr>
          <w:rFonts w:hint="eastAsia" w:ascii="宋体" w:hAnsi="宋体" w:eastAsia="宋体" w:cs="宋体"/>
          <w:sz w:val="24"/>
          <w:szCs w:val="24"/>
        </w:rPr>
        <w:t>。</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sz w:val="24"/>
          <w:szCs w:val="24"/>
        </w:rPr>
      </w:pPr>
      <w:r>
        <w:rPr>
          <w:rFonts w:hint="eastAsia" w:ascii="宋体" w:hAnsi="宋体" w:eastAsia="宋体" w:cs="宋体"/>
          <w:b/>
          <w:sz w:val="24"/>
          <w:szCs w:val="24"/>
        </w:rPr>
        <w:t>供应商应使用本企业CA数字证书对响应文件进行加密。</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磋商文件有修改的，供应商须重新下载修改后的磋商文件（修改后的磋商文件在更正公告中下载），根据修改后的磋商文件制作、撤回修改，并提交首次响应文件。</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使用“政府采购云平台”（含政采云电子交易客户端）需要提前申领CA数字证书及电子签章，请自行前往四川CA、天威CA 、CFCA服务点办理，供应商只需办理其中一家CA数字证书及签章（提示：办理时请说明参与成都市政府采购项目）。供应商应及时完成在“政府采购云平台”的CA账号绑定，确保顺利参与电子采购。</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政府采购云平台所支持的CA证书及签章：四川CA及金格签章，天威CA（金润版）及金润签章，CFCA及金格签章。</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政府采购云平台技术支持：（1）钉钉群号：34165101（注：本群有3家CA办理人员加入）；如遇钉钉群满，请加钉钉群号：33782435（注：只加其中一个即可）。（2）统一热线电话：4008817190</w:t>
      </w:r>
    </w:p>
    <w:p>
      <w:pPr>
        <w:keepNext w:val="0"/>
        <w:keepLines w:val="0"/>
        <w:pageBreakBefore w:val="0"/>
        <w:widowControl/>
        <w:numPr>
          <w:ilvl w:val="0"/>
          <w:numId w:val="3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CA技术支持：四川CA：400-0281130；天威CA： 028-86694886、1592864708；CFCA：028-65785326、18033549468。</w:t>
      </w:r>
    </w:p>
    <w:p>
      <w:pPr>
        <w:pStyle w:val="5"/>
        <w:bidi w:val="0"/>
        <w:ind w:left="0" w:leftChars="0" w:firstLine="482" w:firstLineChars="200"/>
        <w:rPr>
          <w:rFonts w:cs="宋体"/>
          <w:color w:val="auto"/>
          <w:szCs w:val="24"/>
          <w:highlight w:val="none"/>
        </w:rPr>
      </w:pPr>
      <w:bookmarkStart w:id="90" w:name="_Toc320698730"/>
      <w:r>
        <w:rPr>
          <w:rFonts w:hint="eastAsia" w:cs="宋体"/>
          <w:color w:val="auto"/>
          <w:szCs w:val="24"/>
          <w:highlight w:val="none"/>
          <w:lang w:val="en-US" w:eastAsia="zh-CN"/>
        </w:rPr>
        <w:t>响应文件提交</w:t>
      </w:r>
    </w:p>
    <w:p>
      <w:pPr>
        <w:numPr>
          <w:ilvl w:val="0"/>
          <w:numId w:val="34"/>
        </w:numPr>
        <w:tabs>
          <w:tab w:val="left" w:pos="1134"/>
        </w:tabs>
        <w:spacing w:line="600" w:lineRule="exact"/>
        <w:ind w:left="0" w:firstLine="567"/>
        <w:rPr>
          <w:rFonts w:hint="eastAsia" w:ascii="宋体" w:hAnsi="宋体" w:eastAsia="宋体" w:cs="宋体"/>
          <w:bCs/>
          <w:sz w:val="24"/>
          <w:szCs w:val="24"/>
        </w:rPr>
      </w:pPr>
      <w:r>
        <w:rPr>
          <w:rFonts w:hint="eastAsia" w:ascii="宋体" w:hAnsi="宋体" w:eastAsia="宋体" w:cs="宋体"/>
          <w:sz w:val="24"/>
          <w:szCs w:val="24"/>
          <w:lang w:val="zh-CN"/>
        </w:rPr>
        <w:t>（不允许实质性变动的实质性要求）</w:t>
      </w:r>
      <w:r>
        <w:rPr>
          <w:rFonts w:hint="eastAsia" w:ascii="宋体" w:hAnsi="宋体" w:eastAsia="宋体" w:cs="宋体"/>
          <w:bCs/>
          <w:sz w:val="24"/>
          <w:szCs w:val="24"/>
        </w:rPr>
        <w:t>供应商应当在</w:t>
      </w:r>
      <w:r>
        <w:rPr>
          <w:rFonts w:hint="eastAsia" w:ascii="宋体" w:hAnsi="宋体" w:eastAsia="宋体" w:cs="宋体"/>
          <w:bCs/>
          <w:sz w:val="24"/>
          <w:szCs w:val="24"/>
          <w:lang w:val="en-US" w:eastAsia="zh-CN"/>
        </w:rPr>
        <w:t>磋商截止</w:t>
      </w:r>
      <w:r>
        <w:rPr>
          <w:rFonts w:hint="eastAsia" w:ascii="宋体" w:hAnsi="宋体" w:eastAsia="宋体" w:cs="宋体"/>
          <w:bCs/>
          <w:sz w:val="24"/>
          <w:szCs w:val="24"/>
        </w:rPr>
        <w:t>时间前，将生成的已加密的响应文件成功提交至“政府采购云平台”。</w:t>
      </w:r>
    </w:p>
    <w:p>
      <w:pPr>
        <w:numPr>
          <w:ilvl w:val="0"/>
          <w:numId w:val="34"/>
        </w:numPr>
        <w:tabs>
          <w:tab w:val="left" w:pos="1134"/>
        </w:tabs>
        <w:spacing w:line="600" w:lineRule="exact"/>
        <w:ind w:left="0" w:firstLine="567"/>
        <w:rPr>
          <w:rFonts w:hint="eastAsia" w:ascii="宋体" w:hAnsi="宋体" w:eastAsia="宋体" w:cs="宋体"/>
          <w:bCs/>
          <w:sz w:val="24"/>
          <w:szCs w:val="24"/>
        </w:rPr>
      </w:pPr>
      <w:r>
        <w:rPr>
          <w:rFonts w:hint="eastAsia" w:ascii="宋体" w:hAnsi="宋体" w:eastAsia="宋体" w:cs="宋体"/>
          <w:bCs/>
          <w:sz w:val="24"/>
          <w:szCs w:val="24"/>
        </w:rPr>
        <w:t>因磋商文件的修改推迟</w:t>
      </w:r>
      <w:r>
        <w:rPr>
          <w:rFonts w:hint="eastAsia" w:ascii="宋体" w:hAnsi="宋体" w:eastAsia="宋体" w:cs="宋体"/>
          <w:bCs/>
          <w:sz w:val="24"/>
          <w:szCs w:val="24"/>
          <w:lang w:val="en-US" w:eastAsia="zh-CN"/>
        </w:rPr>
        <w:t>磋商截</w:t>
      </w:r>
      <w:r>
        <w:rPr>
          <w:rFonts w:hint="eastAsia" w:ascii="宋体" w:hAnsi="宋体" w:eastAsia="宋体" w:cs="宋体"/>
          <w:bCs/>
          <w:sz w:val="24"/>
          <w:szCs w:val="24"/>
        </w:rPr>
        <w:t>止时间的，供应商按</w:t>
      </w:r>
      <w:r>
        <w:rPr>
          <w:rFonts w:hint="eastAsia" w:ascii="宋体" w:hAnsi="宋体" w:eastAsia="宋体" w:cs="宋体"/>
          <w:bCs/>
          <w:sz w:val="24"/>
          <w:szCs w:val="24"/>
          <w:lang w:val="en-US" w:eastAsia="zh-CN"/>
        </w:rPr>
        <w:t>采购代理机构</w:t>
      </w:r>
      <w:r>
        <w:rPr>
          <w:rFonts w:hint="eastAsia" w:ascii="宋体" w:hAnsi="宋体" w:eastAsia="宋体" w:cs="宋体"/>
          <w:bCs/>
          <w:sz w:val="24"/>
          <w:szCs w:val="24"/>
        </w:rPr>
        <w:t>在“四川政府采购网”上发布的澄清公告中修改的时间提交。</w:t>
      </w:r>
    </w:p>
    <w:p>
      <w:pPr>
        <w:numPr>
          <w:ilvl w:val="0"/>
          <w:numId w:val="34"/>
        </w:numPr>
        <w:tabs>
          <w:tab w:val="left" w:pos="1134"/>
        </w:tabs>
        <w:spacing w:line="600" w:lineRule="exact"/>
        <w:ind w:left="0" w:firstLine="567"/>
        <w:rPr>
          <w:rFonts w:hint="eastAsia" w:ascii="宋体" w:hAnsi="宋体" w:eastAsia="宋体" w:cs="宋体"/>
          <w:bCs/>
          <w:sz w:val="24"/>
          <w:szCs w:val="24"/>
        </w:rPr>
      </w:pPr>
      <w:r>
        <w:rPr>
          <w:rFonts w:hint="eastAsia" w:ascii="宋体" w:hAnsi="宋体" w:eastAsia="宋体" w:cs="宋体"/>
          <w:bCs/>
          <w:sz w:val="24"/>
          <w:szCs w:val="24"/>
        </w:rPr>
        <w:t>供应商应充分考虑提交响应文件的不可预见因素，未在</w:t>
      </w:r>
      <w:r>
        <w:rPr>
          <w:rFonts w:hint="eastAsia" w:ascii="宋体" w:hAnsi="宋体" w:eastAsia="宋体" w:cs="宋体"/>
          <w:bCs/>
          <w:sz w:val="24"/>
          <w:szCs w:val="24"/>
          <w:lang w:val="en-US" w:eastAsia="zh-CN"/>
        </w:rPr>
        <w:t>磋商截止</w:t>
      </w:r>
      <w:r>
        <w:rPr>
          <w:rFonts w:hint="eastAsia" w:ascii="宋体" w:hAnsi="宋体" w:cs="宋体"/>
          <w:bCs/>
          <w:sz w:val="24"/>
          <w:szCs w:val="24"/>
          <w:lang w:val="en-US" w:eastAsia="zh-CN"/>
        </w:rPr>
        <w:t>时间</w:t>
      </w:r>
      <w:r>
        <w:rPr>
          <w:rFonts w:hint="eastAsia" w:ascii="宋体" w:hAnsi="宋体" w:eastAsia="宋体" w:cs="宋体"/>
          <w:bCs/>
          <w:sz w:val="24"/>
          <w:szCs w:val="24"/>
        </w:rPr>
        <w:t>前完成提交的，在</w:t>
      </w:r>
      <w:r>
        <w:rPr>
          <w:rFonts w:hint="eastAsia" w:ascii="宋体" w:hAnsi="宋体" w:eastAsia="宋体" w:cs="宋体"/>
          <w:bCs/>
          <w:sz w:val="24"/>
          <w:szCs w:val="24"/>
          <w:lang w:val="en-US" w:eastAsia="zh-CN"/>
        </w:rPr>
        <w:t>磋商截止</w:t>
      </w:r>
      <w:r>
        <w:rPr>
          <w:rFonts w:hint="eastAsia" w:ascii="宋体" w:hAnsi="宋体" w:eastAsia="宋体" w:cs="宋体"/>
          <w:bCs/>
          <w:sz w:val="24"/>
          <w:szCs w:val="24"/>
        </w:rPr>
        <w:t>时间后将无法提交。</w:t>
      </w:r>
    </w:p>
    <w:bookmarkEnd w:id="90"/>
    <w:p>
      <w:pPr>
        <w:pStyle w:val="5"/>
        <w:bidi w:val="0"/>
        <w:ind w:left="0" w:leftChars="0" w:firstLine="482" w:firstLineChars="200"/>
        <w:rPr>
          <w:rFonts w:cs="宋体"/>
          <w:color w:val="auto"/>
          <w:szCs w:val="24"/>
          <w:highlight w:val="none"/>
        </w:rPr>
      </w:pPr>
      <w:bookmarkStart w:id="91" w:name="_Toc446487098"/>
      <w:r>
        <w:rPr>
          <w:rFonts w:hint="eastAsia" w:cs="宋体"/>
          <w:color w:val="auto"/>
          <w:szCs w:val="24"/>
          <w:highlight w:val="none"/>
        </w:rPr>
        <w:t>响应文件的补充、修改和撤回</w:t>
      </w:r>
      <w:bookmarkEnd w:id="91"/>
    </w:p>
    <w:p>
      <w:pPr>
        <w:numPr>
          <w:ilvl w:val="0"/>
          <w:numId w:val="35"/>
        </w:numPr>
        <w:tabs>
          <w:tab w:val="left" w:pos="1134"/>
        </w:tabs>
        <w:spacing w:line="360" w:lineRule="auto"/>
        <w:ind w:left="0" w:leftChars="0" w:firstLine="420" w:firstLineChars="0"/>
        <w:rPr>
          <w:rFonts w:ascii="宋体" w:hAnsi="宋体"/>
          <w:sz w:val="24"/>
          <w:szCs w:val="24"/>
        </w:rPr>
      </w:pPr>
      <w:r>
        <w:rPr>
          <w:rFonts w:hint="eastAsia" w:ascii="宋体" w:hAnsi="宋体"/>
          <w:sz w:val="24"/>
          <w:szCs w:val="24"/>
        </w:rPr>
        <w:t>在</w:t>
      </w:r>
      <w:r>
        <w:rPr>
          <w:rFonts w:hint="eastAsia" w:ascii="宋体" w:hAnsi="宋体"/>
          <w:sz w:val="24"/>
          <w:szCs w:val="24"/>
          <w:lang w:val="en-US" w:eastAsia="zh-CN"/>
        </w:rPr>
        <w:t>磋商</w:t>
      </w:r>
      <w:r>
        <w:rPr>
          <w:rFonts w:hint="eastAsia" w:ascii="宋体" w:hAnsi="宋体"/>
          <w:sz w:val="24"/>
          <w:szCs w:val="24"/>
        </w:rPr>
        <w:t>截止时间之前，供应商可对已提交的响应文件进行补充、修改。补充或者修改响应文件的，应当先撤回已提交的响应文件，在“政采云投标客户端”补充、修改响应文件并签章、加密后重新提交。撤回响应文件进行补充、修改，在</w:t>
      </w:r>
      <w:r>
        <w:rPr>
          <w:rFonts w:hint="eastAsia" w:ascii="宋体" w:hAnsi="宋体"/>
          <w:sz w:val="24"/>
          <w:szCs w:val="24"/>
          <w:lang w:val="en-US" w:eastAsia="zh-CN"/>
        </w:rPr>
        <w:t>磋商</w:t>
      </w:r>
      <w:r>
        <w:rPr>
          <w:rFonts w:hint="eastAsia" w:ascii="宋体" w:hAnsi="宋体"/>
          <w:sz w:val="24"/>
          <w:szCs w:val="24"/>
        </w:rPr>
        <w:t>截止时间前未重新提交的，视为撤回响应文件。</w:t>
      </w:r>
    </w:p>
    <w:p>
      <w:pPr>
        <w:numPr>
          <w:ilvl w:val="0"/>
          <w:numId w:val="35"/>
        </w:numPr>
        <w:tabs>
          <w:tab w:val="left" w:pos="1134"/>
        </w:tabs>
        <w:spacing w:line="360" w:lineRule="auto"/>
        <w:ind w:left="0" w:leftChars="0" w:firstLine="420" w:firstLineChars="0"/>
        <w:rPr>
          <w:rFonts w:ascii="宋体" w:hAnsi="宋体"/>
          <w:sz w:val="24"/>
          <w:szCs w:val="24"/>
        </w:rPr>
      </w:pPr>
      <w:r>
        <w:rPr>
          <w:rFonts w:hint="eastAsia" w:ascii="宋体" w:hAnsi="宋体"/>
          <w:sz w:val="24"/>
          <w:szCs w:val="24"/>
        </w:rPr>
        <w:t>在</w:t>
      </w:r>
      <w:r>
        <w:rPr>
          <w:rFonts w:hint="eastAsia" w:ascii="宋体" w:hAnsi="宋体"/>
          <w:sz w:val="24"/>
          <w:szCs w:val="24"/>
          <w:lang w:val="en-US" w:eastAsia="zh-CN"/>
        </w:rPr>
        <w:t>磋商</w:t>
      </w:r>
      <w:r>
        <w:rPr>
          <w:rFonts w:hint="eastAsia" w:ascii="宋体" w:hAnsi="宋体"/>
          <w:sz w:val="24"/>
          <w:szCs w:val="24"/>
        </w:rPr>
        <w:t>截止时间之后，供应商不得对其提交的响应文件做任何补充、修改。</w:t>
      </w:r>
    </w:p>
    <w:p>
      <w:pPr>
        <w:numPr>
          <w:ilvl w:val="0"/>
          <w:numId w:val="35"/>
        </w:numPr>
        <w:tabs>
          <w:tab w:val="left" w:pos="1134"/>
        </w:tabs>
        <w:spacing w:line="360" w:lineRule="auto"/>
        <w:ind w:left="0" w:leftChars="0" w:firstLine="420" w:firstLineChars="0"/>
        <w:rPr>
          <w:rFonts w:ascii="宋体" w:hAnsi="宋体"/>
          <w:sz w:val="24"/>
          <w:szCs w:val="24"/>
        </w:rPr>
      </w:pPr>
      <w:r>
        <w:rPr>
          <w:rFonts w:hint="eastAsia" w:ascii="宋体" w:hAnsi="宋体"/>
          <w:sz w:val="24"/>
          <w:szCs w:val="24"/>
        </w:rPr>
        <w:t>在</w:t>
      </w:r>
      <w:r>
        <w:rPr>
          <w:rFonts w:hint="eastAsia" w:ascii="宋体" w:hAnsi="宋体"/>
          <w:sz w:val="24"/>
          <w:szCs w:val="24"/>
          <w:lang w:val="en-US" w:eastAsia="zh-CN"/>
        </w:rPr>
        <w:t>磋商</w:t>
      </w:r>
      <w:r>
        <w:rPr>
          <w:rFonts w:hint="eastAsia" w:ascii="宋体" w:hAnsi="宋体"/>
          <w:sz w:val="24"/>
          <w:szCs w:val="24"/>
        </w:rPr>
        <w:t>截止时间之前，供应商可对已提交的响应文件进行撤回。在</w:t>
      </w:r>
      <w:r>
        <w:rPr>
          <w:rFonts w:hint="eastAsia" w:ascii="宋体" w:hAnsi="宋体"/>
          <w:sz w:val="24"/>
          <w:szCs w:val="24"/>
          <w:lang w:val="en-US" w:eastAsia="zh-CN"/>
        </w:rPr>
        <w:t>磋商</w:t>
      </w:r>
      <w:r>
        <w:rPr>
          <w:rFonts w:hint="eastAsia" w:ascii="宋体" w:hAnsi="宋体"/>
          <w:sz w:val="24"/>
          <w:szCs w:val="24"/>
        </w:rPr>
        <w:t>截止时间之后，供应商不得撤回响应文件。</w:t>
      </w:r>
    </w:p>
    <w:p>
      <w:pPr>
        <w:widowControl w:val="0"/>
        <w:numPr>
          <w:ilvl w:val="0"/>
          <w:numId w:val="35"/>
        </w:numPr>
        <w:tabs>
          <w:tab w:val="left" w:pos="1134"/>
        </w:tabs>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补充、修改的内容为响应文件的组成部分，补充、修改的内容与响应文件不一致的，以补充、修改的内容为准</w:t>
      </w:r>
      <w:r>
        <w:rPr>
          <w:rFonts w:hint="eastAsia" w:ascii="宋体" w:hAnsi="宋体" w:cs="宋体"/>
          <w:color w:val="auto"/>
          <w:sz w:val="24"/>
          <w:szCs w:val="24"/>
          <w:highlight w:val="none"/>
          <w:lang w:eastAsia="zh-CN"/>
        </w:rPr>
        <w:t>。</w:t>
      </w:r>
    </w:p>
    <w:p>
      <w:pPr>
        <w:pStyle w:val="5"/>
        <w:bidi w:val="0"/>
        <w:ind w:left="0" w:leftChars="0" w:firstLine="482" w:firstLineChars="200"/>
      </w:pPr>
      <w:r>
        <w:rPr>
          <w:rFonts w:hint="eastAsia"/>
          <w:lang w:val="en-US" w:eastAsia="zh-CN"/>
        </w:rPr>
        <w:t>响应文件解密</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b w:val="0"/>
          <w:bCs/>
          <w:sz w:val="24"/>
          <w:szCs w:val="24"/>
        </w:rPr>
      </w:pPr>
      <w:r>
        <w:rPr>
          <w:rFonts w:hint="eastAsia" w:ascii="宋体" w:hAnsi="宋体"/>
          <w:bCs/>
          <w:sz w:val="24"/>
          <w:szCs w:val="24"/>
        </w:rPr>
        <w:t>供应商</w:t>
      </w:r>
      <w:r>
        <w:rPr>
          <w:rFonts w:hint="eastAsia" w:ascii="宋体" w:hAnsi="宋体"/>
          <w:sz w:val="24"/>
          <w:szCs w:val="24"/>
        </w:rPr>
        <w:t>登录政府采购云平台，点击“项目采购—开标评标”模块，找到对应项目，进入“开标大厅”，等待</w:t>
      </w:r>
      <w:r>
        <w:rPr>
          <w:rFonts w:hint="eastAsia" w:ascii="宋体" w:hAnsi="宋体"/>
          <w:b w:val="0"/>
          <w:bCs/>
          <w:sz w:val="24"/>
          <w:szCs w:val="24"/>
        </w:rPr>
        <w:t>开启解密后，供应商应在系统提示的解密开始时间后</w:t>
      </w:r>
      <w:r>
        <w:rPr>
          <w:rFonts w:ascii="宋体" w:hAnsi="宋体"/>
          <w:b w:val="0"/>
          <w:bCs/>
          <w:sz w:val="24"/>
          <w:szCs w:val="24"/>
        </w:rPr>
        <w:t>60</w:t>
      </w:r>
      <w:r>
        <w:rPr>
          <w:rFonts w:hint="eastAsia" w:ascii="宋体" w:hAnsi="宋体"/>
          <w:b w:val="0"/>
          <w:bCs/>
          <w:sz w:val="24"/>
          <w:szCs w:val="24"/>
        </w:rPr>
        <w:t>分钟内，使用对响应文件进行加密的</w:t>
      </w:r>
      <w:r>
        <w:rPr>
          <w:rFonts w:ascii="宋体" w:hAnsi="宋体"/>
          <w:b w:val="0"/>
          <w:bCs/>
          <w:sz w:val="24"/>
          <w:szCs w:val="24"/>
        </w:rPr>
        <w:t>CA证书在线完成对供应商</w:t>
      </w:r>
      <w:r>
        <w:rPr>
          <w:rFonts w:hint="eastAsia" w:ascii="宋体" w:hAnsi="宋体"/>
          <w:b w:val="0"/>
          <w:bCs/>
          <w:sz w:val="24"/>
          <w:szCs w:val="24"/>
        </w:rPr>
        <w:t>提交至政府采购云平台的响应文件的解密。</w:t>
      </w:r>
    </w:p>
    <w:p>
      <w:pPr>
        <w:keepNext w:val="0"/>
        <w:keepLines w:val="0"/>
        <w:pageBreakBefore w:val="0"/>
        <w:widowControl/>
        <w:tabs>
          <w:tab w:val="left" w:pos="1134"/>
        </w:tabs>
        <w:kinsoku/>
        <w:wordWrap/>
        <w:overflowPunct/>
        <w:topLinePunct w:val="0"/>
        <w:autoSpaceDE/>
        <w:autoSpaceDN/>
        <w:bidi w:val="0"/>
        <w:adjustRightInd/>
        <w:spacing w:before="120" w:line="360" w:lineRule="auto"/>
        <w:ind w:firstLine="484" w:firstLineChars="202"/>
        <w:textAlignment w:val="auto"/>
        <w:rPr>
          <w:rFonts w:ascii="宋体" w:hAnsi="宋体"/>
          <w:bCs/>
          <w:sz w:val="24"/>
          <w:szCs w:val="24"/>
        </w:rPr>
      </w:pPr>
      <w:r>
        <w:rPr>
          <w:rFonts w:hint="eastAsia" w:ascii="宋体" w:hAnsi="宋体"/>
          <w:bCs/>
          <w:sz w:val="24"/>
          <w:szCs w:val="24"/>
        </w:rPr>
        <w:t>除因断电、断网、系统故障或其他不可抗力等因素，导致系统无法使用外，供应商在规定的解密时间内，未成功解密的响应文件将视为无效响应文件。</w:t>
      </w:r>
    </w:p>
    <w:p/>
    <w:p>
      <w:pPr>
        <w:pStyle w:val="4"/>
        <w:rPr>
          <w:color w:val="auto"/>
          <w:sz w:val="24"/>
          <w:szCs w:val="24"/>
          <w:highlight w:val="none"/>
        </w:rPr>
      </w:pPr>
      <w:bookmarkStart w:id="92" w:name="_Toc287623645"/>
      <w:bookmarkStart w:id="93" w:name="_Toc22871"/>
      <w:r>
        <w:rPr>
          <w:rFonts w:hint="eastAsia"/>
          <w:color w:val="auto"/>
          <w:sz w:val="24"/>
          <w:szCs w:val="24"/>
          <w:highlight w:val="none"/>
        </w:rPr>
        <w:t>竞争性磋商程序</w:t>
      </w:r>
      <w:bookmarkEnd w:id="92"/>
      <w:bookmarkEnd w:id="93"/>
    </w:p>
    <w:p>
      <w:pPr>
        <w:pStyle w:val="5"/>
        <w:bidi w:val="0"/>
        <w:ind w:left="0" w:leftChars="0" w:firstLine="480" w:firstLineChars="200"/>
        <w:rPr>
          <w:rFonts w:hint="eastAsia"/>
          <w:b w:val="0"/>
          <w:bCs w:val="0"/>
        </w:rPr>
      </w:pPr>
      <w:r>
        <w:rPr>
          <w:rFonts w:hint="eastAsia"/>
          <w:b w:val="0"/>
          <w:bCs w:val="0"/>
        </w:rPr>
        <w:t>提交响应文件的供应商不足三家的，不予继续开展磋商采购活动。</w:t>
      </w:r>
    </w:p>
    <w:p>
      <w:pPr>
        <w:pStyle w:val="5"/>
        <w:bidi w:val="0"/>
        <w:ind w:left="0"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准备工作。供应商需在</w:t>
      </w:r>
      <w:r>
        <w:rPr>
          <w:rFonts w:hint="eastAsia" w:ascii="宋体" w:hAnsi="宋体" w:eastAsia="宋体" w:cs="宋体"/>
          <w:b w:val="0"/>
          <w:bCs/>
          <w:sz w:val="24"/>
          <w:szCs w:val="24"/>
          <w:lang w:val="en-US" w:eastAsia="zh-CN"/>
        </w:rPr>
        <w:t>磋商</w:t>
      </w:r>
      <w:r>
        <w:rPr>
          <w:rFonts w:hint="eastAsia" w:ascii="宋体" w:hAnsi="宋体" w:eastAsia="宋体" w:cs="宋体"/>
          <w:b w:val="0"/>
          <w:bCs/>
          <w:sz w:val="24"/>
          <w:szCs w:val="24"/>
        </w:rPr>
        <w:t>截止时间前登录“政府采购云平台”，通过“开标大厅”参与。登录政府采购云平台(www.zcygov.cn)—我的工作台—项目采购—开标评标—开标大厅[找到对应项目（包件）]。提示：供应商未按时登录不见面开标系统，错过解密时间的，由供应商自行承担不利后果。</w:t>
      </w:r>
    </w:p>
    <w:p>
      <w:pPr>
        <w:pStyle w:val="5"/>
        <w:bidi w:val="0"/>
        <w:ind w:left="0"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解密响应文件。待</w:t>
      </w:r>
      <w:r>
        <w:rPr>
          <w:rFonts w:hint="eastAsia" w:ascii="宋体" w:hAnsi="宋体" w:eastAsia="宋体" w:cs="宋体"/>
          <w:b w:val="0"/>
          <w:bCs/>
          <w:sz w:val="24"/>
          <w:szCs w:val="24"/>
          <w:lang w:val="en-US" w:eastAsia="zh-CN"/>
        </w:rPr>
        <w:t>采购代理机构</w:t>
      </w:r>
      <w:r>
        <w:rPr>
          <w:rFonts w:hint="eastAsia" w:ascii="宋体" w:hAnsi="宋体" w:eastAsia="宋体" w:cs="宋体"/>
          <w:b w:val="0"/>
          <w:bCs/>
          <w:sz w:val="24"/>
          <w:szCs w:val="24"/>
        </w:rPr>
        <w:t>开启解密后，供应商进行线上解密。除因断电、断网、系统故障或其他不可抗力等因素，导致系统无法使用外，供应商在规定的解密时间内，未成功解密的响应文件将视为无效响应文件。</w:t>
      </w:r>
    </w:p>
    <w:p>
      <w:pPr>
        <w:pStyle w:val="5"/>
        <w:bidi w:val="0"/>
        <w:ind w:left="0"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确认。解密时间截止或者所有供应商响应文件均完成解密后（以发生在先的时间为准），由“政府采购云平台”系统展示供应商名称、响应文件解密情况等内容。</w:t>
      </w:r>
    </w:p>
    <w:p>
      <w:pPr>
        <w:pStyle w:val="5"/>
        <w:bidi w:val="0"/>
        <w:ind w:left="0"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供应商对过程和记录有异议，以及认为采购人</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采购代理机构</w:t>
      </w:r>
      <w:r>
        <w:rPr>
          <w:rFonts w:hint="eastAsia" w:ascii="宋体" w:hAnsi="宋体" w:eastAsia="宋体" w:cs="宋体"/>
          <w:b w:val="0"/>
          <w:bCs/>
          <w:sz w:val="24"/>
          <w:szCs w:val="24"/>
        </w:rPr>
        <w:t>相关工作人员有需要回避的情形的，及时向工作人员提出询问或者回避申请。采购人、</w:t>
      </w:r>
      <w:r>
        <w:rPr>
          <w:rFonts w:hint="eastAsia" w:ascii="宋体" w:hAnsi="宋体" w:eastAsia="宋体" w:cs="宋体"/>
          <w:b w:val="0"/>
          <w:bCs/>
          <w:sz w:val="24"/>
          <w:szCs w:val="24"/>
          <w:lang w:val="en-US" w:eastAsia="zh-CN"/>
        </w:rPr>
        <w:t>采购代理机构</w:t>
      </w:r>
      <w:r>
        <w:rPr>
          <w:rFonts w:hint="eastAsia" w:ascii="宋体" w:hAnsi="宋体" w:eastAsia="宋体" w:cs="宋体"/>
          <w:b w:val="0"/>
          <w:bCs/>
          <w:sz w:val="24"/>
          <w:szCs w:val="24"/>
        </w:rPr>
        <w:t>对供应商提出的询问或者回避申请应当及时处理。</w:t>
      </w:r>
    </w:p>
    <w:p>
      <w:pPr>
        <w:pStyle w:val="5"/>
        <w:bidi w:val="0"/>
        <w:ind w:left="0"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政府采购云平台运行基本环境要求：电脑应安装并顺利运行64位win7以上操作系统，谷歌浏览器；正确的CA及签章驱动等；能流畅访问互联网。</w:t>
      </w:r>
    </w:p>
    <w:p>
      <w:pPr>
        <w:pStyle w:val="5"/>
        <w:bidi w:val="0"/>
        <w:ind w:left="0"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供应商电脑终端等硬件设备和软件系统配置：供应商电脑终端等硬件设备和软件系统配置应符合电子投标（含不见面开标大厅）供应商电脑终端配置要求并运行正常，供应商承担因未尽职责产生的不利后果。因断电、断网、系统故障或其他不可抗力等因素导致不见面开标系统无法正常运行的，磋商开启活动中止或延迟，待系统恢复正常后继续进行。</w:t>
      </w:r>
    </w:p>
    <w:p>
      <w:pPr>
        <w:pStyle w:val="5"/>
        <w:bidi w:val="0"/>
        <w:ind w:left="0"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磋商开启活动过程中，各方主体均应遵守互联网有关规定，不得发表与交易活动无关的言论。</w:t>
      </w:r>
    </w:p>
    <w:p>
      <w:pPr>
        <w:pStyle w:val="5"/>
        <w:bidi w:val="0"/>
        <w:ind w:left="0" w:leftChars="0" w:firstLine="482" w:firstLineChars="200"/>
        <w:rPr>
          <w:rFonts w:cs="宋体"/>
          <w:color w:val="auto"/>
          <w:szCs w:val="24"/>
          <w:highlight w:val="none"/>
        </w:rPr>
      </w:pPr>
      <w:bookmarkStart w:id="94" w:name="_Toc287623646"/>
      <w:r>
        <w:rPr>
          <w:rFonts w:hint="eastAsia" w:cs="宋体"/>
          <w:color w:val="auto"/>
          <w:szCs w:val="24"/>
          <w:highlight w:val="none"/>
        </w:rPr>
        <w:t>成立磋商小组</w:t>
      </w:r>
      <w:bookmarkEnd w:id="94"/>
    </w:p>
    <w:p>
      <w:pPr>
        <w:pStyle w:val="25"/>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磋商小组由采购人代表和根据采购项目情况确定的技术或经济或法律等有关专家三人以上的单数组成。磋商小组负责本项目的磋商和评审工作。</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如通过资格性审查的供应商不足三家的，采购活动终止，并发布终止竞争性磋商公告。</w:t>
      </w:r>
    </w:p>
    <w:p>
      <w:pPr>
        <w:pStyle w:val="5"/>
        <w:bidi w:val="0"/>
        <w:ind w:left="0" w:leftChars="0" w:firstLine="482" w:firstLineChars="200"/>
        <w:rPr>
          <w:rFonts w:cs="宋体"/>
          <w:color w:val="auto"/>
          <w:szCs w:val="24"/>
          <w:highlight w:val="none"/>
        </w:rPr>
      </w:pPr>
      <w:r>
        <w:rPr>
          <w:rFonts w:hint="eastAsia" w:cs="宋体"/>
          <w:color w:val="auto"/>
          <w:szCs w:val="24"/>
          <w:highlight w:val="none"/>
        </w:rPr>
        <w:t>资格性审查</w:t>
      </w:r>
    </w:p>
    <w:p>
      <w:pPr>
        <w:rPr>
          <w:color w:val="auto"/>
          <w:highlight w:val="none"/>
        </w:rPr>
      </w:pPr>
      <w:r>
        <w:rPr>
          <w:rFonts w:hint="eastAsia" w:ascii="宋体" w:hAnsi="宋体" w:cs="宋体"/>
          <w:color w:val="auto"/>
          <w:highlight w:val="none"/>
        </w:rPr>
        <w:t>资格审查内容：</w:t>
      </w:r>
    </w:p>
    <w:tbl>
      <w:tblPr>
        <w:tblStyle w:val="44"/>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245"/>
        <w:gridCol w:w="2550"/>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75" w:type="dxa"/>
            <w:gridSpan w:val="3"/>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4622"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6" w:hRule="atLeast"/>
        </w:trPr>
        <w:tc>
          <w:tcPr>
            <w:tcW w:w="138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要求</w:t>
            </w:r>
          </w:p>
        </w:tc>
        <w:tc>
          <w:tcPr>
            <w:tcW w:w="379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具有独立承担民事责任的能力</w:t>
            </w:r>
          </w:p>
        </w:tc>
        <w:tc>
          <w:tcPr>
            <w:tcW w:w="4622" w:type="dxa"/>
            <w:vAlign w:val="center"/>
          </w:tcPr>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leftChars="0" w:hanging="5" w:firstLineChars="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zh-CN"/>
              </w:rPr>
              <w:t>供应商为企业法人：提供“统一社会信用代码营业执照”；</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leftChars="0" w:hanging="5" w:firstLineChars="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zh-CN"/>
              </w:rPr>
              <w:t>供应商为事业法人：提供“统一社会信用代码法人登记证书”；</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leftChars="0" w:hanging="5" w:firstLineChars="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zh-CN"/>
              </w:rPr>
              <w:t>供应商为其他组织：提供“对应主管部门颁发的准许执业证明文件”或“统一社会信用代码的社会团体法人登记证书”或“统一社会信用代码的民办非企业单位登记证书”或“统一社会信用代码的基金会法人登记证书”；</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leftChars="0" w:hanging="5" w:firstLineChars="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zh-CN"/>
              </w:rPr>
              <w:t>供应商</w:t>
            </w:r>
            <w:r>
              <w:rPr>
                <w:rFonts w:hint="eastAsia" w:ascii="宋体" w:hAnsi="宋体" w:eastAsia="宋体" w:cs="宋体"/>
                <w:bCs/>
                <w:kern w:val="0"/>
                <w:sz w:val="24"/>
                <w:szCs w:val="24"/>
                <w:lang w:val="en-US" w:eastAsia="zh-CN"/>
              </w:rPr>
              <w:t>为个体工商户</w:t>
            </w:r>
            <w:r>
              <w:rPr>
                <w:rFonts w:hint="eastAsia" w:ascii="宋体" w:hAnsi="宋体" w:eastAsia="宋体" w:cs="宋体"/>
                <w:bCs/>
                <w:kern w:val="0"/>
                <w:sz w:val="24"/>
                <w:szCs w:val="24"/>
                <w:lang w:val="zh-CN"/>
              </w:rPr>
              <w:t>：提供“统一社会信用代码营业执照”；</w:t>
            </w:r>
          </w:p>
          <w:p>
            <w:pPr>
              <w:keepNext w:val="0"/>
              <w:keepLines w:val="0"/>
              <w:pageBreakBefore w:val="0"/>
              <w:widowControl/>
              <w:numPr>
                <w:ilvl w:val="0"/>
                <w:numId w:val="37"/>
              </w:numPr>
              <w:kinsoku/>
              <w:wordWrap/>
              <w:overflowPunct/>
              <w:topLinePunct w:val="0"/>
              <w:autoSpaceDE/>
              <w:autoSpaceDN/>
              <w:bidi w:val="0"/>
              <w:adjustRightInd/>
              <w:snapToGrid/>
              <w:spacing w:line="360" w:lineRule="auto"/>
              <w:ind w:left="0" w:leftChars="0" w:hanging="5" w:firstLineChars="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zh-CN"/>
              </w:rPr>
              <w:t>供应商为自然人：提供“身份证明材料”。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若为</w:t>
            </w:r>
            <w:r>
              <w:rPr>
                <w:rFonts w:hint="eastAsia" w:ascii="宋体" w:hAnsi="宋体" w:eastAsia="宋体" w:cs="宋体"/>
                <w:sz w:val="24"/>
                <w:highlight w:val="none"/>
                <w:lang w:eastAsia="zh-CN"/>
              </w:rPr>
              <w:t>银行、保险、石油石化、电力、电信等有行业特殊情况的，分公司参与</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lang w:eastAsia="zh-CN"/>
              </w:rPr>
              <w:t>需提供总公司的授权函或授权链。</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kern w:val="0"/>
                <w:sz w:val="24"/>
                <w:szCs w:val="24"/>
                <w:lang w:val="zh-CN"/>
              </w:rPr>
              <w:t>以上</w:t>
            </w:r>
            <w:r>
              <w:rPr>
                <w:rFonts w:hint="eastAsia" w:ascii="宋体" w:hAnsi="宋体" w:eastAsia="宋体" w:cs="宋体"/>
                <w:bCs/>
                <w:kern w:val="0"/>
                <w:sz w:val="24"/>
                <w:szCs w:val="24"/>
                <w:lang w:val="en-US" w:eastAsia="zh-CN"/>
              </w:rPr>
              <w:t>资料供应商提供</w:t>
            </w:r>
            <w:r>
              <w:rPr>
                <w:rFonts w:hint="eastAsia" w:ascii="宋体" w:hAnsi="宋体" w:eastAsia="宋体" w:cs="宋体"/>
                <w:bCs/>
                <w:kern w:val="0"/>
                <w:sz w:val="24"/>
                <w:szCs w:val="24"/>
                <w:lang w:val="zh-CN"/>
              </w:rPr>
              <w:t>复印件</w:t>
            </w:r>
            <w:r>
              <w:rPr>
                <w:rFonts w:hint="eastAsia" w:ascii="宋体" w:hAnsi="宋体" w:eastAsia="宋体" w:cs="宋体"/>
                <w:bCs/>
                <w:kern w:val="0"/>
                <w:sz w:val="24"/>
                <w:szCs w:val="24"/>
                <w:lang w:val="en-US" w:eastAsia="zh-CN"/>
              </w:rPr>
              <w:t>即可</w:t>
            </w:r>
            <w:r>
              <w:rPr>
                <w:rFonts w:hint="eastAsia" w:ascii="宋体" w:hAnsi="宋体" w:eastAsia="宋体" w:cs="宋体"/>
                <w:bCs/>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795" w:type="dxa"/>
            <w:gridSpan w:val="2"/>
            <w:vAlign w:val="center"/>
          </w:tcPr>
          <w:p>
            <w:pPr>
              <w:keepNext w:val="0"/>
              <w:keepLines w:val="0"/>
              <w:pageBreakBefore w:val="0"/>
              <w:widowControl/>
              <w:numPr>
                <w:ilvl w:val="0"/>
                <w:numId w:val="36"/>
              </w:numPr>
              <w:tabs>
                <w:tab w:val="left" w:pos="0"/>
                <w:tab w:val="clear" w:pos="420"/>
              </w:tabs>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w:t>
            </w:r>
          </w:p>
        </w:tc>
        <w:tc>
          <w:tcPr>
            <w:tcW w:w="4622" w:type="dxa"/>
            <w:vMerge w:val="restart"/>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按第四章的格式及要求提供承诺函原件。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795" w:type="dxa"/>
            <w:gridSpan w:val="2"/>
            <w:vAlign w:val="center"/>
          </w:tcPr>
          <w:p>
            <w:pPr>
              <w:keepNext w:val="0"/>
              <w:keepLines w:val="0"/>
              <w:pageBreakBefore w:val="0"/>
              <w:widowControl/>
              <w:numPr>
                <w:ilvl w:val="0"/>
                <w:numId w:val="36"/>
              </w:numPr>
              <w:tabs>
                <w:tab w:val="left" w:pos="0"/>
                <w:tab w:val="clear" w:pos="420"/>
              </w:tabs>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具有履行合同所必须的设备和专业技术能力</w:t>
            </w:r>
          </w:p>
        </w:tc>
        <w:tc>
          <w:tcPr>
            <w:tcW w:w="462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795" w:type="dxa"/>
            <w:gridSpan w:val="2"/>
            <w:vAlign w:val="center"/>
          </w:tcPr>
          <w:p>
            <w:pPr>
              <w:keepNext w:val="0"/>
              <w:keepLines w:val="0"/>
              <w:pageBreakBefore w:val="0"/>
              <w:widowControl/>
              <w:numPr>
                <w:ilvl w:val="0"/>
                <w:numId w:val="36"/>
              </w:numPr>
              <w:tabs>
                <w:tab w:val="left" w:pos="0"/>
                <w:tab w:val="clear" w:pos="420"/>
              </w:tabs>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参加政府采购活动前三年内，在经营活动中没有重大违法记录</w:t>
            </w:r>
          </w:p>
        </w:tc>
        <w:tc>
          <w:tcPr>
            <w:tcW w:w="462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795" w:type="dxa"/>
            <w:gridSpan w:val="2"/>
            <w:vAlign w:val="center"/>
          </w:tcPr>
          <w:p>
            <w:pPr>
              <w:keepNext w:val="0"/>
              <w:keepLines w:val="0"/>
              <w:pageBreakBefore w:val="0"/>
              <w:widowControl/>
              <w:numPr>
                <w:ilvl w:val="0"/>
                <w:numId w:val="36"/>
              </w:numPr>
              <w:tabs>
                <w:tab w:val="left" w:pos="0"/>
                <w:tab w:val="clear" w:pos="420"/>
              </w:tabs>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在行贿犯罪信息查询期限内，</w:t>
            </w:r>
            <w:r>
              <w:rPr>
                <w:rFonts w:hint="eastAsia" w:ascii="宋体" w:hAnsi="宋体" w:eastAsia="宋体" w:cs="宋体"/>
                <w:sz w:val="24"/>
                <w:szCs w:val="24"/>
                <w:lang w:val="en-US" w:eastAsia="zh-CN"/>
              </w:rPr>
              <w:t>供应商</w:t>
            </w:r>
            <w:r>
              <w:rPr>
                <w:rFonts w:hint="eastAsia" w:ascii="宋体" w:hAnsi="宋体" w:eastAsia="宋体" w:cs="宋体"/>
                <w:sz w:val="24"/>
                <w:szCs w:val="24"/>
              </w:rPr>
              <w:t>及其现任法定代表人、主要负责人没有行贿犯罪记录</w:t>
            </w:r>
          </w:p>
        </w:tc>
        <w:tc>
          <w:tcPr>
            <w:tcW w:w="462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795" w:type="dxa"/>
            <w:gridSpan w:val="2"/>
            <w:vAlign w:val="center"/>
          </w:tcPr>
          <w:p>
            <w:pPr>
              <w:keepNext w:val="0"/>
              <w:keepLines w:val="0"/>
              <w:pageBreakBefore w:val="0"/>
              <w:widowControl/>
              <w:numPr>
                <w:ilvl w:val="0"/>
                <w:numId w:val="36"/>
              </w:numPr>
              <w:tabs>
                <w:tab w:val="left" w:pos="0"/>
                <w:tab w:val="clear" w:pos="420"/>
              </w:tabs>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单位负责人为同一人或者存在控股、管理关系的不同供应商，不得参加同一合同项下的政府采购活动</w:t>
            </w:r>
          </w:p>
        </w:tc>
        <w:tc>
          <w:tcPr>
            <w:tcW w:w="462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795" w:type="dxa"/>
            <w:gridSpan w:val="2"/>
            <w:vAlign w:val="center"/>
          </w:tcPr>
          <w:p>
            <w:pPr>
              <w:keepNext w:val="0"/>
              <w:keepLines w:val="0"/>
              <w:pageBreakBefore w:val="0"/>
              <w:widowControl/>
              <w:numPr>
                <w:ilvl w:val="0"/>
                <w:numId w:val="36"/>
              </w:numPr>
              <w:tabs>
                <w:tab w:val="left" w:pos="0"/>
                <w:tab w:val="clear" w:pos="420"/>
              </w:tabs>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供应商未对本次采购项目提供过整体设计、规范编制或者项目管理、监理、检测等服务</w:t>
            </w:r>
          </w:p>
        </w:tc>
        <w:tc>
          <w:tcPr>
            <w:tcW w:w="462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795" w:type="dxa"/>
            <w:gridSpan w:val="2"/>
            <w:vAlign w:val="center"/>
          </w:tcPr>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非联合体磋商</w:t>
            </w:r>
          </w:p>
        </w:tc>
        <w:tc>
          <w:tcPr>
            <w:tcW w:w="462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795" w:type="dxa"/>
            <w:gridSpan w:val="2"/>
            <w:vAlign w:val="center"/>
          </w:tcPr>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rPr>
              <w:t>法律、行政法规规定的其他条件</w:t>
            </w:r>
          </w:p>
        </w:tc>
        <w:tc>
          <w:tcPr>
            <w:tcW w:w="462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3795" w:type="dxa"/>
            <w:gridSpan w:val="2"/>
            <w:vAlign w:val="center"/>
          </w:tcPr>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b w:val="0"/>
                <w:bCs/>
                <w:color w:val="auto"/>
                <w:sz w:val="24"/>
                <w:szCs w:val="24"/>
              </w:rPr>
            </w:pPr>
            <w:r>
              <w:rPr>
                <w:rFonts w:hint="eastAsia" w:ascii="宋体" w:hAnsi="宋体" w:cs="宋体"/>
                <w:sz w:val="24"/>
                <w:szCs w:val="24"/>
                <w:lang w:val="en-US" w:eastAsia="zh-CN"/>
              </w:rPr>
              <w:t>供应商</w:t>
            </w:r>
            <w:r>
              <w:rPr>
                <w:rFonts w:hint="eastAsia" w:ascii="宋体" w:hAnsi="宋体" w:eastAsia="宋体" w:cs="宋体"/>
                <w:sz w:val="24"/>
                <w:szCs w:val="24"/>
                <w:lang w:eastAsia="zh-CN"/>
              </w:rPr>
              <w:t>不得为列入失信被执行人名单、重大税收违法案件当事人名单、政府采购严重违法失信行为记录名单中的供应商</w:t>
            </w:r>
          </w:p>
        </w:tc>
        <w:tc>
          <w:tcPr>
            <w:tcW w:w="4622" w:type="dxa"/>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资格审查小组</w:t>
            </w:r>
            <w:r>
              <w:rPr>
                <w:rFonts w:hint="eastAsia" w:ascii="宋体" w:hAnsi="宋体" w:eastAsia="宋体" w:cs="宋体"/>
                <w:sz w:val="24"/>
                <w:szCs w:val="24"/>
                <w:lang w:val="en-US" w:eastAsia="zh-CN"/>
              </w:rPr>
              <w:t>在</w:t>
            </w:r>
            <w:r>
              <w:rPr>
                <w:rFonts w:hint="eastAsia" w:ascii="宋体" w:hAnsi="宋体" w:eastAsia="宋体" w:cs="宋体"/>
                <w:sz w:val="24"/>
                <w:szCs w:val="24"/>
              </w:rPr>
              <w:t>“信用中国”和“中国政府采购网”网站的查询</w:t>
            </w:r>
            <w:r>
              <w:rPr>
                <w:rFonts w:hint="eastAsia" w:ascii="宋体" w:hAnsi="宋体" w:eastAsia="宋体" w:cs="宋体"/>
                <w:sz w:val="24"/>
                <w:szCs w:val="24"/>
                <w:lang w:eastAsia="zh-CN"/>
              </w:rPr>
              <w:t>：</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是否被列入失信被执行人；是否有重大税收违法案件；是否有政府采购严重违法失信行为。</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有以上情况之一的</w:t>
            </w:r>
            <w:r>
              <w:rPr>
                <w:rFonts w:hint="eastAsia" w:ascii="宋体" w:hAnsi="宋体" w:eastAsia="宋体" w:cs="宋体"/>
                <w:sz w:val="24"/>
                <w:szCs w:val="24"/>
              </w:rPr>
              <w:t>资格审查不予通过。若因供应商为事业单位、团体组织、自然人等原因，未查询到</w:t>
            </w:r>
            <w:r>
              <w:rPr>
                <w:rFonts w:hint="eastAsia" w:ascii="宋体" w:hAnsi="宋体" w:eastAsia="宋体" w:cs="宋体"/>
                <w:sz w:val="24"/>
                <w:szCs w:val="24"/>
                <w:lang w:val="en-US" w:eastAsia="zh-CN"/>
              </w:rPr>
              <w:t>相关</w:t>
            </w:r>
            <w:r>
              <w:rPr>
                <w:rFonts w:hint="eastAsia" w:ascii="宋体" w:hAnsi="宋体" w:eastAsia="宋体" w:cs="宋体"/>
                <w:sz w:val="24"/>
                <w:szCs w:val="24"/>
              </w:rPr>
              <w:t>信息的，视为未被列入失信记录。</w:t>
            </w:r>
            <w:r>
              <w:rPr>
                <w:rFonts w:hint="eastAsia" w:ascii="宋体" w:hAnsi="宋体" w:eastAsia="宋体" w:cs="宋体"/>
                <w:sz w:val="24"/>
                <w:szCs w:val="24"/>
                <w:lang w:eastAsia="zh-CN"/>
              </w:rPr>
              <w:t>信用信息查询截止时点：同</w:t>
            </w:r>
            <w:r>
              <w:rPr>
                <w:rFonts w:hint="eastAsia" w:ascii="宋体" w:hAnsi="宋体" w:cs="宋体"/>
                <w:sz w:val="24"/>
                <w:szCs w:val="24"/>
                <w:lang w:val="en-US" w:eastAsia="zh-CN"/>
              </w:rPr>
              <w:t>磋商</w:t>
            </w:r>
            <w:r>
              <w:rPr>
                <w:rFonts w:hint="eastAsia" w:ascii="宋体" w:hAnsi="宋体" w:eastAsia="宋体" w:cs="宋体"/>
                <w:sz w:val="24"/>
                <w:szCs w:val="24"/>
                <w:lang w:eastAsia="zh-CN"/>
              </w:rPr>
              <w:t>截止日。信用记录</w:t>
            </w:r>
            <w:r>
              <w:rPr>
                <w:rFonts w:hint="eastAsia" w:ascii="宋体" w:hAnsi="宋体" w:eastAsia="宋体" w:cs="宋体"/>
                <w:sz w:val="24"/>
                <w:szCs w:val="24"/>
                <w:lang w:val="en-US" w:eastAsia="zh-CN"/>
              </w:rPr>
              <w:t>查询</w:t>
            </w:r>
            <w:r>
              <w:rPr>
                <w:rFonts w:hint="eastAsia" w:ascii="宋体" w:hAnsi="宋体" w:eastAsia="宋体" w:cs="宋体"/>
                <w:sz w:val="24"/>
                <w:szCs w:val="24"/>
                <w:lang w:eastAsia="zh-CN"/>
              </w:rPr>
              <w:t>结果网页截图保存。</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1245" w:type="dxa"/>
            <w:vMerge w:val="restart"/>
            <w:vAlign w:val="center"/>
          </w:tcPr>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0" w:leftChars="0" w:hanging="5" w:firstLine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2550"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hanging="5"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（1）缴纳社会保障资金的证明材料</w:t>
            </w:r>
          </w:p>
        </w:tc>
        <w:tc>
          <w:tcPr>
            <w:tcW w:w="462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lang w:eastAsia="zh-CN"/>
              </w:rPr>
              <w:t>供应商</w:t>
            </w:r>
            <w:r>
              <w:rPr>
                <w:rFonts w:hint="eastAsia" w:ascii="宋体" w:hAnsi="宋体" w:eastAsia="宋体" w:cs="宋体"/>
                <w:sz w:val="24"/>
                <w:szCs w:val="24"/>
              </w:rPr>
              <w:t>缴纳2021年</w:t>
            </w:r>
            <w:r>
              <w:rPr>
                <w:rFonts w:hint="eastAsia" w:ascii="宋体" w:hAnsi="宋体" w:eastAsia="宋体" w:cs="宋体"/>
                <w:sz w:val="24"/>
                <w:szCs w:val="24"/>
                <w:shd w:val="clear" w:color="auto" w:fill="FFFFFF"/>
              </w:rPr>
              <w:t>以来</w:t>
            </w:r>
            <w:r>
              <w:rPr>
                <w:rFonts w:hint="eastAsia" w:ascii="宋体" w:hAnsi="宋体" w:eastAsia="宋体" w:cs="宋体"/>
                <w:sz w:val="24"/>
                <w:szCs w:val="24"/>
              </w:rPr>
              <w:t>任意时段的缴纳税收的银行电子回单</w:t>
            </w:r>
            <w:r>
              <w:rPr>
                <w:rFonts w:hint="eastAsia" w:ascii="宋体" w:hAnsi="宋体" w:eastAsia="宋体" w:cs="宋体"/>
                <w:b/>
                <w:bCs/>
                <w:sz w:val="24"/>
                <w:szCs w:val="24"/>
              </w:rPr>
              <w:t>或</w:t>
            </w:r>
            <w:r>
              <w:rPr>
                <w:rFonts w:hint="eastAsia" w:ascii="宋体" w:hAnsi="宋体" w:eastAsia="宋体" w:cs="宋体"/>
                <w:sz w:val="24"/>
                <w:szCs w:val="24"/>
              </w:rPr>
              <w:t>税务部门出具的纳税证明</w:t>
            </w:r>
            <w:r>
              <w:rPr>
                <w:rFonts w:hint="eastAsia" w:ascii="宋体" w:hAnsi="宋体" w:eastAsia="宋体" w:cs="宋体"/>
                <w:b/>
                <w:bCs/>
                <w:sz w:val="24"/>
                <w:szCs w:val="24"/>
              </w:rPr>
              <w:t>或</w:t>
            </w:r>
            <w:r>
              <w:rPr>
                <w:rFonts w:hint="eastAsia" w:ascii="宋体" w:hAnsi="宋体" w:eastAsia="宋体" w:cs="宋体"/>
                <w:sz w:val="24"/>
                <w:szCs w:val="24"/>
              </w:rPr>
              <w:t>完税证明的复印件</w:t>
            </w:r>
            <w:r>
              <w:rPr>
                <w:rFonts w:hint="eastAsia" w:ascii="宋体" w:hAnsi="宋体" w:eastAsia="宋体" w:cs="宋体"/>
                <w:b/>
                <w:bCs/>
                <w:sz w:val="24"/>
                <w:szCs w:val="24"/>
              </w:rPr>
              <w:t>或</w:t>
            </w:r>
            <w:r>
              <w:rPr>
                <w:rFonts w:hint="eastAsia" w:ascii="宋体" w:hAnsi="宋体" w:eastAsia="宋体" w:cs="宋体"/>
                <w:sz w:val="24"/>
                <w:szCs w:val="24"/>
                <w:shd w:val="clear" w:color="auto" w:fill="FFFFFF"/>
              </w:rPr>
              <w:t>承诺函原件</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p>
        </w:tc>
        <w:tc>
          <w:tcPr>
            <w:tcW w:w="124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hanging="5" w:firstLineChars="0"/>
              <w:textAlignment w:val="auto"/>
              <w:rPr>
                <w:rFonts w:hint="eastAsia" w:ascii="宋体" w:hAnsi="宋体" w:eastAsia="宋体" w:cs="宋体"/>
                <w:color w:val="auto"/>
                <w:sz w:val="24"/>
                <w:szCs w:val="24"/>
                <w:highlight w:val="none"/>
              </w:rPr>
            </w:pPr>
          </w:p>
        </w:tc>
        <w:tc>
          <w:tcPr>
            <w:tcW w:w="2550"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hanging="5"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（2）缴纳税收的证明材料</w:t>
            </w:r>
          </w:p>
        </w:tc>
        <w:tc>
          <w:tcPr>
            <w:tcW w:w="462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lang w:eastAsia="zh-CN"/>
              </w:rPr>
              <w:t>供应商</w:t>
            </w:r>
            <w:r>
              <w:rPr>
                <w:rFonts w:hint="eastAsia" w:ascii="宋体" w:hAnsi="宋体" w:eastAsia="宋体" w:cs="宋体"/>
                <w:sz w:val="24"/>
                <w:szCs w:val="24"/>
              </w:rPr>
              <w:t>缴纳2021年</w:t>
            </w:r>
            <w:r>
              <w:rPr>
                <w:rFonts w:hint="eastAsia" w:ascii="宋体" w:hAnsi="宋体" w:eastAsia="宋体" w:cs="宋体"/>
                <w:sz w:val="24"/>
                <w:szCs w:val="24"/>
                <w:shd w:val="clear" w:color="auto" w:fill="FFFFFF"/>
              </w:rPr>
              <w:t>以来</w:t>
            </w:r>
            <w:r>
              <w:rPr>
                <w:rFonts w:hint="eastAsia" w:ascii="宋体" w:hAnsi="宋体" w:eastAsia="宋体" w:cs="宋体"/>
                <w:sz w:val="24"/>
                <w:szCs w:val="24"/>
              </w:rPr>
              <w:t>任意时段的缴纳社保的银行电子回单</w:t>
            </w:r>
            <w:r>
              <w:rPr>
                <w:rFonts w:hint="eastAsia" w:ascii="宋体" w:hAnsi="宋体" w:eastAsia="宋体" w:cs="宋体"/>
                <w:b/>
                <w:bCs/>
                <w:sz w:val="24"/>
                <w:szCs w:val="24"/>
              </w:rPr>
              <w:t>或</w:t>
            </w:r>
            <w:r>
              <w:rPr>
                <w:rFonts w:hint="eastAsia" w:ascii="宋体" w:hAnsi="宋体" w:eastAsia="宋体" w:cs="宋体"/>
                <w:sz w:val="24"/>
                <w:szCs w:val="24"/>
              </w:rPr>
              <w:t>社保部门出具的社保缴纳证明材料复印件</w:t>
            </w:r>
            <w:r>
              <w:rPr>
                <w:rFonts w:hint="eastAsia" w:ascii="宋体" w:hAnsi="宋体" w:eastAsia="宋体" w:cs="宋体"/>
                <w:b/>
                <w:bCs/>
                <w:sz w:val="24"/>
                <w:szCs w:val="24"/>
              </w:rPr>
              <w:t>或</w:t>
            </w:r>
            <w:r>
              <w:rPr>
                <w:rFonts w:hint="eastAsia" w:ascii="宋体" w:hAnsi="宋体" w:eastAsia="宋体" w:cs="宋体"/>
                <w:sz w:val="24"/>
                <w:szCs w:val="24"/>
                <w:shd w:val="clear" w:color="auto" w:fill="FFFFFF"/>
              </w:rPr>
              <w:t>承诺函原件</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3795" w:type="dxa"/>
            <w:gridSpan w:val="2"/>
            <w:vAlign w:val="center"/>
          </w:tcPr>
          <w:p>
            <w:pPr>
              <w:keepNext w:val="0"/>
              <w:keepLines w:val="0"/>
              <w:pageBreakBefore w:val="0"/>
              <w:widowControl/>
              <w:numPr>
                <w:ilvl w:val="0"/>
                <w:numId w:val="36"/>
              </w:numPr>
              <w:tabs>
                <w:tab w:val="left" w:pos="240"/>
                <w:tab w:val="clear" w:pos="420"/>
              </w:tabs>
              <w:kinsoku/>
              <w:wordWrap/>
              <w:overflowPunct/>
              <w:topLinePunct w:val="0"/>
              <w:autoSpaceDE/>
              <w:autoSpaceDN/>
              <w:bidi w:val="0"/>
              <w:adjustRightInd/>
              <w:snapToGrid/>
              <w:spacing w:line="360" w:lineRule="auto"/>
              <w:ind w:left="-15" w:leftChars="0" w:firstLine="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健全的财务会计制度的证明材料</w:t>
            </w:r>
          </w:p>
        </w:tc>
        <w:tc>
          <w:tcPr>
            <w:tcW w:w="4622" w:type="dxa"/>
            <w:vAlign w:val="center"/>
          </w:tcPr>
          <w:p>
            <w:pPr>
              <w:pStyle w:val="20"/>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供应商根据自身情况</w:t>
            </w:r>
            <w:r>
              <w:rPr>
                <w:rFonts w:hint="eastAsia" w:ascii="宋体" w:hAnsi="宋体" w:eastAsia="宋体" w:cs="宋体"/>
                <w:sz w:val="24"/>
                <w:szCs w:val="24"/>
              </w:rPr>
              <w:t>提供</w:t>
            </w:r>
            <w:r>
              <w:rPr>
                <w:rFonts w:hint="eastAsia" w:ascii="宋体" w:hAnsi="宋体" w:eastAsia="宋体" w:cs="宋体"/>
                <w:sz w:val="24"/>
                <w:szCs w:val="24"/>
                <w:lang w:val="en-US" w:eastAsia="zh-CN"/>
              </w:rPr>
              <w:t>以下任意一种证明材料</w:t>
            </w:r>
            <w:r>
              <w:rPr>
                <w:rFonts w:hint="eastAsia" w:ascii="宋体" w:hAnsi="宋体" w:eastAsia="宋体" w:cs="宋体"/>
                <w:sz w:val="24"/>
                <w:szCs w:val="24"/>
                <w:lang w:eastAsia="zh-CN"/>
              </w:rPr>
              <w:t>：</w:t>
            </w:r>
          </w:p>
          <w:p>
            <w:pPr>
              <w:pStyle w:val="20"/>
              <w:keepNext w:val="0"/>
              <w:keepLines w:val="0"/>
              <w:pageBreakBefore w:val="0"/>
              <w:widowControl/>
              <w:numPr>
                <w:ilvl w:val="0"/>
                <w:numId w:val="38"/>
              </w:numPr>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2019年度或2020年度经审计的财务报告复印件（包含审计报告和审计报告中所涉及的财务报表和报表附注）</w:t>
            </w:r>
            <w:r>
              <w:rPr>
                <w:rFonts w:hint="eastAsia" w:ascii="宋体" w:hAnsi="宋体" w:eastAsia="宋体" w:cs="宋体"/>
                <w:sz w:val="24"/>
                <w:szCs w:val="24"/>
                <w:lang w:eastAsia="zh-CN"/>
              </w:rPr>
              <w:t>；</w:t>
            </w:r>
          </w:p>
          <w:p>
            <w:pPr>
              <w:pStyle w:val="20"/>
              <w:keepNext w:val="0"/>
              <w:keepLines w:val="0"/>
              <w:pageBreakBefore w:val="0"/>
              <w:widowControl/>
              <w:numPr>
                <w:ilvl w:val="0"/>
                <w:numId w:val="38"/>
              </w:numPr>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2019年度或2020年度</w:t>
            </w:r>
            <w:r>
              <w:rPr>
                <w:rFonts w:hint="eastAsia" w:ascii="宋体" w:hAnsi="宋体" w:eastAsia="宋体" w:cs="宋体"/>
                <w:sz w:val="24"/>
                <w:szCs w:val="24"/>
                <w:lang w:eastAsia="zh-CN"/>
              </w:rPr>
              <w:t>供应商</w:t>
            </w:r>
            <w:r>
              <w:rPr>
                <w:rFonts w:hint="eastAsia" w:ascii="宋体" w:hAnsi="宋体" w:eastAsia="宋体" w:cs="宋体"/>
                <w:sz w:val="24"/>
                <w:szCs w:val="24"/>
              </w:rPr>
              <w:t>内部的财务报表复印件（至少包含资产负债表）</w:t>
            </w:r>
            <w:r>
              <w:rPr>
                <w:rFonts w:hint="eastAsia" w:ascii="宋体" w:hAnsi="宋体" w:eastAsia="宋体" w:cs="宋体"/>
                <w:sz w:val="24"/>
                <w:szCs w:val="24"/>
                <w:lang w:eastAsia="zh-CN"/>
              </w:rPr>
              <w:t>；</w:t>
            </w:r>
          </w:p>
          <w:p>
            <w:pPr>
              <w:pStyle w:val="20"/>
              <w:keepNext w:val="0"/>
              <w:keepLines w:val="0"/>
              <w:pageBreakBefore w:val="0"/>
              <w:widowControl/>
              <w:numPr>
                <w:ilvl w:val="0"/>
                <w:numId w:val="38"/>
              </w:numPr>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截至</w:t>
            </w:r>
            <w:r>
              <w:rPr>
                <w:rFonts w:hint="eastAsia" w:ascii="宋体" w:hAnsi="宋体" w:eastAsia="宋体" w:cs="宋体"/>
                <w:sz w:val="24"/>
                <w:szCs w:val="24"/>
                <w:lang w:eastAsia="zh-CN"/>
              </w:rPr>
              <w:t>响应文件</w:t>
            </w:r>
            <w:r>
              <w:rPr>
                <w:rFonts w:hint="eastAsia" w:ascii="宋体" w:hAnsi="宋体" w:eastAsia="宋体" w:cs="宋体"/>
                <w:sz w:val="24"/>
                <w:szCs w:val="24"/>
              </w:rPr>
              <w:t>递交截止日一年内银行出具的资信证明（复印件）</w:t>
            </w:r>
            <w:r>
              <w:rPr>
                <w:rFonts w:hint="eastAsia" w:ascii="宋体" w:hAnsi="宋体" w:eastAsia="宋体" w:cs="宋体"/>
                <w:sz w:val="24"/>
                <w:szCs w:val="24"/>
                <w:lang w:eastAsia="zh-CN"/>
              </w:rPr>
              <w:t>；</w:t>
            </w:r>
          </w:p>
          <w:p>
            <w:pPr>
              <w:pStyle w:val="20"/>
              <w:keepNext w:val="0"/>
              <w:keepLines w:val="0"/>
              <w:pageBreakBefore w:val="0"/>
              <w:widowControl/>
              <w:numPr>
                <w:ilvl w:val="0"/>
                <w:numId w:val="38"/>
              </w:numPr>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rPr>
              <w:t>注册时间截至</w:t>
            </w:r>
            <w:r>
              <w:rPr>
                <w:rFonts w:hint="eastAsia" w:ascii="宋体" w:hAnsi="宋体" w:eastAsia="宋体" w:cs="宋体"/>
                <w:sz w:val="24"/>
                <w:szCs w:val="24"/>
                <w:lang w:eastAsia="zh-CN"/>
              </w:rPr>
              <w:t>响应文件</w:t>
            </w:r>
            <w:r>
              <w:rPr>
                <w:rFonts w:hint="eastAsia" w:ascii="宋体" w:hAnsi="宋体" w:eastAsia="宋体" w:cs="宋体"/>
                <w:sz w:val="24"/>
                <w:szCs w:val="24"/>
              </w:rPr>
              <w:t>递交截止日不足一年的，可提供公司章程（复印件）</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3795" w:type="dxa"/>
            <w:gridSpan w:val="2"/>
            <w:vAlign w:val="center"/>
          </w:tcPr>
          <w:p>
            <w:pPr>
              <w:keepNext w:val="0"/>
              <w:keepLines w:val="0"/>
              <w:pageBreakBefore w:val="0"/>
              <w:widowControl/>
              <w:numPr>
                <w:ilvl w:val="0"/>
                <w:numId w:val="36"/>
              </w:numPr>
              <w:tabs>
                <w:tab w:val="left" w:pos="240"/>
                <w:tab w:val="clear" w:pos="420"/>
              </w:tabs>
              <w:kinsoku/>
              <w:wordWrap/>
              <w:overflowPunct/>
              <w:topLinePunct w:val="0"/>
              <w:autoSpaceDE/>
              <w:autoSpaceDN/>
              <w:bidi w:val="0"/>
              <w:adjustRightInd/>
              <w:snapToGrid/>
              <w:spacing w:line="360" w:lineRule="auto"/>
              <w:ind w:left="-15" w:leftChars="0" w:firstLine="1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法定代表人身份证明书</w:t>
            </w:r>
          </w:p>
        </w:tc>
        <w:tc>
          <w:tcPr>
            <w:tcW w:w="462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法定代表人身份证明书原件（自然人参加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的不须提供身份证明书）及身份证复印件或护照复印件【注：（1）法定代表人身份证明书符合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3795" w:type="dxa"/>
            <w:gridSpan w:val="2"/>
            <w:vAlign w:val="center"/>
          </w:tcPr>
          <w:p>
            <w:pPr>
              <w:keepNext w:val="0"/>
              <w:keepLines w:val="0"/>
              <w:pageBreakBefore w:val="0"/>
              <w:widowControl/>
              <w:numPr>
                <w:ilvl w:val="0"/>
                <w:numId w:val="36"/>
              </w:numPr>
              <w:kinsoku/>
              <w:wordWrap/>
              <w:overflowPunct/>
              <w:topLinePunct w:val="0"/>
              <w:autoSpaceDE/>
              <w:autoSpaceDN/>
              <w:bidi w:val="0"/>
              <w:adjustRightInd/>
              <w:snapToGrid/>
              <w:spacing w:line="360" w:lineRule="auto"/>
              <w:ind w:left="5" w:leftChars="0" w:hanging="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tc>
        <w:tc>
          <w:tcPr>
            <w:tcW w:w="462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法定代表人授权书原件及身份证复印件【注：（1）代理人身份证复印件（身份证两面均应复印，在有效期内）；（2）如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文件均由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法定代表人签字的或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8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特定资格</w:t>
            </w:r>
            <w:r>
              <w:rPr>
                <w:rFonts w:hint="eastAsia" w:ascii="宋体" w:hAnsi="宋体" w:eastAsia="宋体" w:cs="宋体"/>
                <w:color w:val="auto"/>
                <w:sz w:val="24"/>
                <w:szCs w:val="24"/>
                <w:highlight w:val="none"/>
              </w:rPr>
              <w:t>要求</w:t>
            </w:r>
          </w:p>
        </w:tc>
        <w:tc>
          <w:tcPr>
            <w:tcW w:w="3795" w:type="dxa"/>
            <w:gridSpan w:val="2"/>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w:t>
            </w:r>
          </w:p>
        </w:tc>
        <w:tc>
          <w:tcPr>
            <w:tcW w:w="462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8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其他要求</w:t>
            </w:r>
          </w:p>
        </w:tc>
        <w:tc>
          <w:tcPr>
            <w:tcW w:w="3795" w:type="dxa"/>
            <w:gridSpan w:val="2"/>
            <w:vAlign w:val="center"/>
          </w:tcPr>
          <w:p>
            <w:pPr>
              <w:keepNext w:val="0"/>
              <w:keepLines w:val="0"/>
              <w:pageBreakBefore w:val="0"/>
              <w:widowControl/>
              <w:tabs>
                <w:tab w:val="left" w:pos="851"/>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sz w:val="24"/>
                <w:szCs w:val="24"/>
                <w:lang w:val="en-US" w:eastAsia="zh-CN"/>
              </w:rPr>
              <w:t>响应</w:t>
            </w:r>
            <w:r>
              <w:rPr>
                <w:rFonts w:hint="eastAsia" w:ascii="宋体" w:hAnsi="宋体" w:eastAsia="宋体" w:cs="宋体"/>
                <w:sz w:val="24"/>
                <w:szCs w:val="24"/>
              </w:rPr>
              <w:t>文件解密情况</w:t>
            </w:r>
          </w:p>
        </w:tc>
        <w:tc>
          <w:tcPr>
            <w:tcW w:w="4622" w:type="dxa"/>
            <w:vAlign w:val="center"/>
          </w:tcPr>
          <w:p>
            <w:pPr>
              <w:keepNext w:val="0"/>
              <w:keepLines w:val="0"/>
              <w:pageBreakBefore w:val="0"/>
              <w:widowControl/>
              <w:tabs>
                <w:tab w:val="left" w:pos="851"/>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rPr>
              <w:t>除因断电、断网、系统故障或其他不可抗力等因素，导致系统无法使用外，</w:t>
            </w:r>
            <w:r>
              <w:rPr>
                <w:rFonts w:hint="eastAsia" w:ascii="宋体" w:hAnsi="宋体" w:cs="宋体"/>
                <w:sz w:val="24"/>
                <w:szCs w:val="24"/>
                <w:lang w:val="en-US" w:eastAsia="zh-CN"/>
              </w:rPr>
              <w:t>响应</w:t>
            </w:r>
            <w:r>
              <w:rPr>
                <w:rFonts w:hint="eastAsia" w:ascii="宋体" w:hAnsi="宋体" w:eastAsia="宋体" w:cs="宋体"/>
                <w:sz w:val="24"/>
                <w:szCs w:val="24"/>
              </w:rPr>
              <w:t>文件已成功解密。</w:t>
            </w:r>
            <w:r>
              <w:rPr>
                <w:rFonts w:hint="eastAsia" w:ascii="宋体" w:hAnsi="宋体" w:eastAsia="宋体" w:cs="宋体"/>
                <w:kern w:val="0"/>
                <w:sz w:val="24"/>
                <w:szCs w:val="24"/>
              </w:rPr>
              <w:t>（说明：</w:t>
            </w:r>
            <w:r>
              <w:rPr>
                <w:rFonts w:hint="eastAsia" w:ascii="宋体" w:hAnsi="宋体" w:eastAsia="宋体" w:cs="宋体"/>
                <w:kern w:val="0"/>
                <w:sz w:val="24"/>
                <w:szCs w:val="24"/>
                <w:lang w:val="en-US" w:eastAsia="zh-CN"/>
              </w:rPr>
              <w:t>根据</w:t>
            </w:r>
            <w:r>
              <w:rPr>
                <w:rFonts w:hint="eastAsia" w:ascii="宋体" w:hAnsi="宋体" w:cs="宋体"/>
                <w:kern w:val="0"/>
                <w:sz w:val="24"/>
                <w:szCs w:val="24"/>
                <w:lang w:val="en-US" w:eastAsia="zh-CN"/>
              </w:rPr>
              <w:t>响应</w:t>
            </w:r>
            <w:r>
              <w:rPr>
                <w:rFonts w:hint="eastAsia" w:ascii="宋体" w:hAnsi="宋体" w:eastAsia="宋体" w:cs="宋体"/>
                <w:kern w:val="0"/>
                <w:sz w:val="24"/>
                <w:szCs w:val="24"/>
                <w:lang w:val="en-US" w:eastAsia="zh-CN"/>
              </w:rPr>
              <w:t>文件是否解密判断</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8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3795" w:type="dxa"/>
            <w:gridSpan w:val="2"/>
            <w:vAlign w:val="center"/>
          </w:tcPr>
          <w:p>
            <w:pPr>
              <w:keepNext w:val="0"/>
              <w:keepLines w:val="0"/>
              <w:pageBreakBefore w:val="0"/>
              <w:widowControl/>
              <w:tabs>
                <w:tab w:val="left" w:pos="851"/>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lang w:val="en-US" w:eastAsia="zh-CN"/>
              </w:rPr>
              <w:t>资格性</w:t>
            </w:r>
            <w:r>
              <w:rPr>
                <w:rFonts w:hint="eastAsia" w:ascii="宋体" w:hAnsi="宋体" w:cs="宋体"/>
                <w:kern w:val="0"/>
                <w:sz w:val="24"/>
                <w:szCs w:val="24"/>
                <w:lang w:val="en-US" w:eastAsia="zh-CN"/>
              </w:rPr>
              <w:t>响应</w:t>
            </w:r>
            <w:r>
              <w:rPr>
                <w:rFonts w:hint="eastAsia" w:ascii="宋体" w:hAnsi="宋体" w:eastAsia="宋体" w:cs="宋体"/>
                <w:kern w:val="0"/>
                <w:sz w:val="24"/>
                <w:szCs w:val="24"/>
              </w:rPr>
              <w:t>文件</w:t>
            </w:r>
            <w:r>
              <w:rPr>
                <w:rFonts w:hint="eastAsia" w:ascii="宋体" w:hAnsi="宋体" w:eastAsia="宋体" w:cs="宋体"/>
                <w:kern w:val="0"/>
                <w:sz w:val="24"/>
                <w:szCs w:val="24"/>
                <w:lang w:val="en-US" w:eastAsia="zh-CN"/>
              </w:rPr>
              <w:t>签字盖章情况</w:t>
            </w:r>
          </w:p>
        </w:tc>
        <w:tc>
          <w:tcPr>
            <w:tcW w:w="4622" w:type="dxa"/>
            <w:vAlign w:val="center"/>
          </w:tcPr>
          <w:p>
            <w:pPr>
              <w:keepNext w:val="0"/>
              <w:keepLines w:val="0"/>
              <w:pageBreakBefore w:val="0"/>
              <w:widowControl/>
              <w:tabs>
                <w:tab w:val="left" w:pos="851"/>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rPr>
              <w:t>均按</w:t>
            </w:r>
            <w:r>
              <w:rPr>
                <w:rFonts w:hint="eastAsia" w:ascii="宋体" w:hAnsi="宋体" w:cs="宋体"/>
                <w:kern w:val="0"/>
                <w:sz w:val="24"/>
                <w:szCs w:val="24"/>
                <w:lang w:val="en-US" w:eastAsia="zh-CN"/>
              </w:rPr>
              <w:t>磋商</w:t>
            </w:r>
            <w:r>
              <w:rPr>
                <w:rFonts w:hint="eastAsia" w:ascii="宋体" w:hAnsi="宋体" w:eastAsia="宋体" w:cs="宋体"/>
                <w:kern w:val="0"/>
                <w:sz w:val="24"/>
                <w:szCs w:val="24"/>
              </w:rPr>
              <w:t>文件要求签章。（说明：</w:t>
            </w:r>
            <w:r>
              <w:rPr>
                <w:rFonts w:hint="eastAsia" w:ascii="宋体" w:hAnsi="宋体" w:eastAsia="宋体" w:cs="宋体"/>
                <w:kern w:val="0"/>
                <w:sz w:val="24"/>
                <w:szCs w:val="24"/>
                <w:lang w:val="en-US" w:eastAsia="zh-CN"/>
              </w:rPr>
              <w:t>根据</w:t>
            </w:r>
            <w:r>
              <w:rPr>
                <w:rFonts w:hint="eastAsia" w:ascii="宋体" w:hAnsi="宋体" w:cs="宋体"/>
                <w:kern w:val="0"/>
                <w:sz w:val="24"/>
                <w:szCs w:val="24"/>
                <w:lang w:val="en-US" w:eastAsia="zh-CN"/>
              </w:rPr>
              <w:t>供应商</w:t>
            </w:r>
            <w:r>
              <w:rPr>
                <w:rFonts w:hint="eastAsia" w:ascii="宋体" w:hAnsi="宋体" w:eastAsia="宋体" w:cs="宋体"/>
                <w:kern w:val="0"/>
                <w:sz w:val="24"/>
                <w:szCs w:val="24"/>
                <w:lang w:val="en-US" w:eastAsia="zh-CN"/>
              </w:rPr>
              <w:t>上传的资格性</w:t>
            </w:r>
            <w:r>
              <w:rPr>
                <w:rFonts w:hint="eastAsia" w:ascii="宋体" w:hAnsi="宋体" w:cs="宋体"/>
                <w:kern w:val="0"/>
                <w:sz w:val="24"/>
                <w:szCs w:val="24"/>
                <w:lang w:val="en-US" w:eastAsia="zh-CN"/>
              </w:rPr>
              <w:t>响应</w:t>
            </w:r>
            <w:r>
              <w:rPr>
                <w:rFonts w:hint="eastAsia" w:ascii="宋体" w:hAnsi="宋体" w:eastAsia="宋体" w:cs="宋体"/>
                <w:kern w:val="0"/>
                <w:sz w:val="24"/>
                <w:szCs w:val="24"/>
                <w:lang w:val="en-US" w:eastAsia="zh-CN"/>
              </w:rPr>
              <w:t>文件签字盖章情况判断</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tc>
      </w:tr>
    </w:tbl>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一、递交响应文件截止时间结束后，由磋商小组对递交响应文件的供应商进行资格性审查。磋商小组在资格性审查过程中，磋商小组成员对供应商资格是否符合规定存在争议的，应当以少数服从多数的原则处理，但不得违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中华人民共和国</w:t>
      </w:r>
      <w:r>
        <w:rPr>
          <w:rFonts w:hint="eastAsia" w:ascii="宋体" w:hAnsi="宋体" w:cs="宋体"/>
          <w:color w:val="auto"/>
          <w:highlight w:val="none"/>
        </w:rPr>
        <w:t>政府采购法</w:t>
      </w:r>
      <w:r>
        <w:rPr>
          <w:rFonts w:hint="eastAsia" w:ascii="宋体" w:hAnsi="宋体" w:cs="宋体"/>
          <w:color w:val="auto"/>
          <w:highlight w:val="none"/>
          <w:lang w:eastAsia="zh-CN"/>
        </w:rPr>
        <w:t>》</w:t>
      </w:r>
      <w:r>
        <w:rPr>
          <w:rFonts w:hint="eastAsia" w:ascii="宋体" w:hAnsi="宋体" w:cs="宋体"/>
          <w:color w:val="auto"/>
          <w:highlight w:val="none"/>
        </w:rPr>
        <w:t>和竞争性磋商文件规定。</w:t>
      </w:r>
    </w:p>
    <w:p>
      <w:pPr>
        <w:pStyle w:val="20"/>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二、磋商小组资格审查结束后，应当向采购组织单位出具资格审查报告。没有通过资格审查的供应商，磋商小组应当在资格审查报告中说明原因。</w:t>
      </w:r>
    </w:p>
    <w:p>
      <w:pPr>
        <w:pStyle w:val="5"/>
        <w:bidi w:val="0"/>
        <w:ind w:left="0" w:leftChars="0" w:firstLine="482" w:firstLineChars="200"/>
        <w:rPr>
          <w:rFonts w:cs="宋体"/>
          <w:color w:val="auto"/>
          <w:szCs w:val="24"/>
          <w:highlight w:val="none"/>
        </w:rPr>
      </w:pPr>
      <w:r>
        <w:rPr>
          <w:rFonts w:hint="eastAsia" w:cs="宋体"/>
          <w:color w:val="auto"/>
          <w:szCs w:val="24"/>
          <w:highlight w:val="none"/>
        </w:rPr>
        <w:t>磋商</w:t>
      </w:r>
    </w:p>
    <w:p>
      <w:pPr>
        <w:pStyle w:val="5"/>
        <w:keepNext w:val="0"/>
        <w:keepLines w:val="0"/>
        <w:numPr>
          <w:ilvl w:val="0"/>
          <w:numId w:val="39"/>
        </w:numPr>
        <w:tabs>
          <w:tab w:val="left" w:pos="426"/>
          <w:tab w:val="left" w:pos="567"/>
        </w:tabs>
        <w:outlineLvl w:val="2"/>
        <w:rPr>
          <w:b w:val="0"/>
          <w:color w:val="auto"/>
          <w:sz w:val="24"/>
          <w:szCs w:val="24"/>
          <w:highlight w:val="none"/>
        </w:rPr>
      </w:pPr>
      <w:bookmarkStart w:id="95" w:name="_Toc12948"/>
      <w:bookmarkStart w:id="96" w:name="_Toc30871"/>
      <w:bookmarkStart w:id="97" w:name="_Toc11240"/>
      <w:bookmarkStart w:id="98" w:name="_Toc18863"/>
      <w:bookmarkStart w:id="99" w:name="_Toc20686"/>
      <w:bookmarkStart w:id="100" w:name="_Toc21637"/>
      <w:bookmarkStart w:id="101" w:name="_Toc23472"/>
      <w:bookmarkStart w:id="102" w:name="_Toc1186"/>
      <w:bookmarkStart w:id="103" w:name="_Toc26653"/>
      <w:bookmarkStart w:id="104" w:name="_Toc8445"/>
      <w:bookmarkStart w:id="105" w:name="_Toc9096"/>
      <w:bookmarkStart w:id="106" w:name="_Toc28961"/>
      <w:bookmarkStart w:id="107" w:name="_Toc1823"/>
      <w:bookmarkStart w:id="108" w:name="_Toc28211"/>
      <w:bookmarkStart w:id="109" w:name="_Toc234"/>
      <w:bookmarkStart w:id="110" w:name="_Toc43566521"/>
      <w:bookmarkStart w:id="111" w:name="_Toc24086"/>
      <w:bookmarkStart w:id="112" w:name="_Toc24322"/>
      <w:bookmarkStart w:id="113" w:name="_Toc25820"/>
      <w:bookmarkStart w:id="114" w:name="_Toc19824"/>
      <w:bookmarkStart w:id="115" w:name="_Toc7480"/>
      <w:bookmarkStart w:id="116" w:name="_Toc6686"/>
      <w:bookmarkStart w:id="117" w:name="_Toc12921"/>
      <w:bookmarkStart w:id="118" w:name="_Toc30664"/>
      <w:bookmarkStart w:id="119" w:name="_Toc177"/>
      <w:bookmarkStart w:id="120" w:name="_Toc18778"/>
      <w:bookmarkStart w:id="121" w:name="_Toc5957"/>
      <w:bookmarkStart w:id="122" w:name="_Toc16430"/>
      <w:bookmarkStart w:id="123" w:name="_Toc5653"/>
      <w:bookmarkStart w:id="124" w:name="_Toc13463"/>
      <w:bookmarkStart w:id="125" w:name="_Toc28704"/>
      <w:r>
        <w:rPr>
          <w:rFonts w:hint="eastAsia"/>
          <w:b w:val="0"/>
          <w:color w:val="auto"/>
          <w:sz w:val="24"/>
          <w:szCs w:val="24"/>
          <w:highlight w:val="none"/>
        </w:rPr>
        <w:t>磋商小组所有成员集中与单一供应商分别进行一轮或多轮磋商，并给予所有参加磋商的供应商平等的磋商机会。磋商过程中，磋商小组可以根据磋商情况调整磋商轮次。</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pStyle w:val="5"/>
        <w:keepNext w:val="0"/>
        <w:keepLines w:val="0"/>
        <w:numPr>
          <w:ilvl w:val="0"/>
          <w:numId w:val="39"/>
        </w:numPr>
        <w:tabs>
          <w:tab w:val="left" w:pos="426"/>
          <w:tab w:val="left" w:pos="567"/>
        </w:tabs>
        <w:outlineLvl w:val="2"/>
        <w:rPr>
          <w:b w:val="0"/>
          <w:color w:val="auto"/>
          <w:sz w:val="24"/>
          <w:szCs w:val="24"/>
          <w:highlight w:val="none"/>
        </w:rPr>
      </w:pPr>
      <w:bookmarkStart w:id="126" w:name="_Toc14644"/>
      <w:bookmarkStart w:id="127" w:name="_Toc19239"/>
      <w:bookmarkStart w:id="128" w:name="_Toc5725"/>
      <w:bookmarkStart w:id="129" w:name="_Toc28551"/>
      <w:bookmarkStart w:id="130" w:name="_Toc26144"/>
      <w:bookmarkStart w:id="131" w:name="_Toc24798"/>
      <w:bookmarkStart w:id="132" w:name="_Toc5547"/>
      <w:bookmarkStart w:id="133" w:name="_Toc19501"/>
      <w:bookmarkStart w:id="134" w:name="_Toc18309"/>
      <w:bookmarkStart w:id="135" w:name="_Toc10664"/>
      <w:bookmarkStart w:id="136" w:name="_Toc16300"/>
      <w:bookmarkStart w:id="137" w:name="_Toc17010"/>
      <w:bookmarkStart w:id="138" w:name="_Toc11203"/>
      <w:bookmarkStart w:id="139" w:name="_Toc29643"/>
      <w:bookmarkStart w:id="140" w:name="_Toc21274"/>
      <w:bookmarkStart w:id="141" w:name="_Toc13670"/>
      <w:bookmarkStart w:id="142" w:name="_Toc7651"/>
      <w:bookmarkStart w:id="143" w:name="_Toc14958"/>
      <w:bookmarkStart w:id="144" w:name="_Toc3073"/>
      <w:bookmarkStart w:id="145" w:name="_Toc28752"/>
      <w:bookmarkStart w:id="146" w:name="_Toc1058"/>
      <w:bookmarkStart w:id="147" w:name="_Toc8363"/>
      <w:bookmarkStart w:id="148" w:name="_Toc22424"/>
      <w:bookmarkStart w:id="149" w:name="_Toc16950"/>
      <w:bookmarkStart w:id="150" w:name="_Toc7100"/>
      <w:bookmarkStart w:id="151" w:name="_Toc12027"/>
      <w:bookmarkStart w:id="152" w:name="_Toc5759"/>
      <w:bookmarkStart w:id="153" w:name="_Toc20275"/>
      <w:bookmarkStart w:id="154" w:name="_Toc43566522"/>
      <w:bookmarkStart w:id="155" w:name="_Toc16346"/>
      <w:bookmarkStart w:id="156" w:name="_Toc13414"/>
      <w:r>
        <w:rPr>
          <w:rFonts w:hint="eastAsia"/>
          <w:b w:val="0"/>
          <w:color w:val="auto"/>
          <w:sz w:val="24"/>
          <w:szCs w:val="24"/>
          <w:highlight w:val="none"/>
        </w:rPr>
        <w:t>每轮磋商开始前，磋商小组应根据磋商文件的规定，并结合各供应商的响应文件拟定磋商内容。</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5"/>
        <w:keepNext w:val="0"/>
        <w:keepLines w:val="0"/>
        <w:numPr>
          <w:ilvl w:val="0"/>
          <w:numId w:val="39"/>
        </w:numPr>
        <w:tabs>
          <w:tab w:val="left" w:pos="426"/>
          <w:tab w:val="left" w:pos="567"/>
        </w:tabs>
        <w:outlineLvl w:val="2"/>
        <w:rPr>
          <w:b w:val="0"/>
          <w:color w:val="auto"/>
          <w:sz w:val="24"/>
          <w:szCs w:val="24"/>
          <w:highlight w:val="none"/>
        </w:rPr>
      </w:pPr>
      <w:bookmarkStart w:id="157" w:name="_Toc1260"/>
      <w:bookmarkStart w:id="158" w:name="_Toc1515"/>
      <w:bookmarkStart w:id="159" w:name="_Toc43566523"/>
      <w:bookmarkStart w:id="160" w:name="_Toc14027"/>
      <w:bookmarkStart w:id="161" w:name="_Toc12444"/>
      <w:bookmarkStart w:id="162" w:name="_Toc22981"/>
      <w:bookmarkStart w:id="163" w:name="_Toc12563"/>
      <w:bookmarkStart w:id="164" w:name="_Toc31513"/>
      <w:bookmarkStart w:id="165" w:name="_Toc11261"/>
      <w:bookmarkStart w:id="166" w:name="_Toc24429"/>
      <w:bookmarkStart w:id="167" w:name="_Toc1822"/>
      <w:bookmarkStart w:id="168" w:name="_Toc7955"/>
      <w:bookmarkStart w:id="169" w:name="_Toc30727"/>
      <w:bookmarkStart w:id="170" w:name="_Toc18130"/>
      <w:bookmarkStart w:id="171" w:name="_Toc3129"/>
      <w:bookmarkStart w:id="172" w:name="_Toc3093"/>
      <w:bookmarkStart w:id="173" w:name="_Toc14318"/>
      <w:bookmarkStart w:id="174" w:name="_Toc28031"/>
      <w:bookmarkStart w:id="175" w:name="_Toc8711"/>
      <w:bookmarkStart w:id="176" w:name="_Toc17631"/>
      <w:bookmarkStart w:id="177" w:name="_Toc2076"/>
      <w:bookmarkStart w:id="178" w:name="_Toc9387"/>
      <w:bookmarkStart w:id="179" w:name="_Toc31379"/>
      <w:bookmarkStart w:id="180" w:name="_Toc7002"/>
      <w:bookmarkStart w:id="181" w:name="_Toc29139"/>
      <w:bookmarkStart w:id="182" w:name="_Toc5655"/>
      <w:bookmarkStart w:id="183" w:name="_Toc15259"/>
      <w:bookmarkStart w:id="184" w:name="_Toc32131"/>
      <w:bookmarkStart w:id="185" w:name="_Toc3854"/>
      <w:bookmarkStart w:id="186" w:name="_Toc12103"/>
      <w:bookmarkStart w:id="187" w:name="_Toc26003"/>
      <w:r>
        <w:rPr>
          <w:rFonts w:hint="eastAsia"/>
          <w:b w:val="0"/>
          <w:color w:val="auto"/>
          <w:sz w:val="24"/>
          <w:szCs w:val="24"/>
          <w:highlight w:val="none"/>
        </w:rPr>
        <w:t>在磋商过程中，磋商小组可以根据磋商文件和磋商情况实质性变动磋商文件第3章中要求以及合同草案条款，但不得变动磋商文件中的其他内容。实质性变动的内容，须经采购人代表书面确认。</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pStyle w:val="5"/>
        <w:keepNext w:val="0"/>
        <w:keepLines w:val="0"/>
        <w:numPr>
          <w:ilvl w:val="0"/>
          <w:numId w:val="39"/>
        </w:numPr>
        <w:tabs>
          <w:tab w:val="left" w:pos="426"/>
          <w:tab w:val="left" w:pos="567"/>
        </w:tabs>
        <w:outlineLvl w:val="2"/>
        <w:rPr>
          <w:b w:val="0"/>
          <w:color w:val="auto"/>
          <w:sz w:val="24"/>
          <w:szCs w:val="24"/>
          <w:highlight w:val="none"/>
        </w:rPr>
      </w:pPr>
      <w:bookmarkStart w:id="188" w:name="_Toc9861"/>
      <w:bookmarkStart w:id="189" w:name="_Toc15891"/>
      <w:bookmarkStart w:id="190" w:name="_Toc23592"/>
      <w:bookmarkStart w:id="191" w:name="_Toc22086"/>
      <w:bookmarkStart w:id="192" w:name="_Toc20339"/>
      <w:bookmarkStart w:id="193" w:name="_Toc30395"/>
      <w:bookmarkStart w:id="194" w:name="_Toc19446"/>
      <w:bookmarkStart w:id="195" w:name="_Toc12380"/>
      <w:bookmarkStart w:id="196" w:name="_Toc23382"/>
      <w:bookmarkStart w:id="197" w:name="_Toc5170"/>
      <w:bookmarkStart w:id="198" w:name="_Toc17886"/>
      <w:bookmarkStart w:id="199" w:name="_Toc23230"/>
      <w:bookmarkStart w:id="200" w:name="_Toc20322"/>
      <w:bookmarkStart w:id="201" w:name="_Toc217"/>
      <w:bookmarkStart w:id="202" w:name="_Toc15692"/>
      <w:bookmarkStart w:id="203" w:name="_Toc12026"/>
      <w:bookmarkStart w:id="204" w:name="_Toc14624"/>
      <w:bookmarkStart w:id="205" w:name="_Toc24161"/>
      <w:bookmarkStart w:id="206" w:name="_Toc23880"/>
      <w:bookmarkStart w:id="207" w:name="_Toc18133"/>
      <w:bookmarkStart w:id="208" w:name="_Toc5480"/>
      <w:bookmarkStart w:id="209" w:name="_Toc1947"/>
      <w:bookmarkStart w:id="210" w:name="_Toc2802"/>
      <w:bookmarkStart w:id="211" w:name="_Toc26943"/>
      <w:bookmarkStart w:id="212" w:name="_Toc15411"/>
      <w:bookmarkStart w:id="213" w:name="_Toc20165"/>
      <w:bookmarkStart w:id="214" w:name="_Toc43566524"/>
      <w:bookmarkStart w:id="215" w:name="_Toc20981"/>
      <w:bookmarkStart w:id="216" w:name="_Toc15406"/>
      <w:bookmarkStart w:id="217" w:name="_Toc25538"/>
      <w:bookmarkStart w:id="218" w:name="_Toc30040"/>
      <w:r>
        <w:rPr>
          <w:rFonts w:hint="eastAsia"/>
          <w:b w:val="0"/>
          <w:color w:val="auto"/>
          <w:sz w:val="24"/>
          <w:szCs w:val="24"/>
          <w:highlight w:val="none"/>
        </w:rPr>
        <w:t>对磋商文件作出的实质性变动是磋商文件的有效组成部分，磋商小组应当及时以书面形式同时通知所有参加磋商的供应商。</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5"/>
        <w:keepNext w:val="0"/>
        <w:keepLines w:val="0"/>
        <w:numPr>
          <w:ilvl w:val="0"/>
          <w:numId w:val="39"/>
        </w:numPr>
        <w:tabs>
          <w:tab w:val="left" w:pos="426"/>
          <w:tab w:val="left" w:pos="567"/>
        </w:tabs>
        <w:outlineLvl w:val="2"/>
        <w:rPr>
          <w:b w:val="0"/>
          <w:color w:val="auto"/>
          <w:sz w:val="24"/>
          <w:szCs w:val="24"/>
          <w:highlight w:val="none"/>
        </w:rPr>
      </w:pPr>
      <w:bookmarkStart w:id="219" w:name="_Toc25838"/>
      <w:bookmarkStart w:id="220" w:name="_Toc12219"/>
      <w:bookmarkStart w:id="221" w:name="_Toc6250"/>
      <w:bookmarkStart w:id="222" w:name="_Toc20410"/>
      <w:bookmarkStart w:id="223" w:name="_Toc29518"/>
      <w:bookmarkStart w:id="224" w:name="_Toc17566"/>
      <w:bookmarkStart w:id="225" w:name="_Toc26817"/>
      <w:bookmarkStart w:id="226" w:name="_Toc5435"/>
      <w:bookmarkStart w:id="227" w:name="_Toc18506"/>
      <w:bookmarkStart w:id="228" w:name="_Toc29632"/>
      <w:bookmarkStart w:id="229" w:name="_Toc23403"/>
      <w:bookmarkStart w:id="230" w:name="_Toc31030"/>
      <w:bookmarkStart w:id="231" w:name="_Toc25226"/>
      <w:bookmarkStart w:id="232" w:name="_Toc7936"/>
      <w:bookmarkStart w:id="233" w:name="_Toc7148"/>
      <w:bookmarkStart w:id="234" w:name="_Toc18974"/>
      <w:bookmarkStart w:id="235" w:name="_Toc18549"/>
      <w:bookmarkStart w:id="236" w:name="_Toc22606"/>
      <w:bookmarkStart w:id="237" w:name="_Toc13764"/>
      <w:bookmarkStart w:id="238" w:name="_Toc19631"/>
      <w:bookmarkStart w:id="239" w:name="_Toc2784"/>
      <w:bookmarkStart w:id="240" w:name="_Toc19144"/>
      <w:bookmarkStart w:id="241" w:name="_Toc22337"/>
      <w:bookmarkStart w:id="242" w:name="_Toc16727"/>
      <w:bookmarkStart w:id="243" w:name="_Toc15795"/>
      <w:bookmarkStart w:id="244" w:name="_Toc43566525"/>
      <w:bookmarkStart w:id="245" w:name="_Toc7430"/>
      <w:bookmarkStart w:id="246" w:name="_Toc15620"/>
      <w:bookmarkStart w:id="247" w:name="_Toc11224"/>
      <w:bookmarkStart w:id="248" w:name="_Toc7401"/>
      <w:bookmarkStart w:id="249" w:name="_Toc31776"/>
      <w:r>
        <w:rPr>
          <w:rFonts w:hint="eastAsia"/>
          <w:b w:val="0"/>
          <w:color w:val="auto"/>
          <w:sz w:val="24"/>
          <w:szCs w:val="24"/>
          <w:highlight w:val="none"/>
        </w:rPr>
        <w:t>磋商过程中，磋商文件变动的，供应商应当按照磋商文件的变动情况和磋商小组的要求重新提交响应文件，并由其法定代表人/主要负责人/本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5"/>
        <w:keepNext w:val="0"/>
        <w:keepLines w:val="0"/>
        <w:numPr>
          <w:ilvl w:val="0"/>
          <w:numId w:val="39"/>
        </w:numPr>
        <w:tabs>
          <w:tab w:val="left" w:pos="426"/>
          <w:tab w:val="left" w:pos="567"/>
        </w:tabs>
        <w:outlineLvl w:val="2"/>
        <w:rPr>
          <w:b w:val="0"/>
          <w:color w:val="auto"/>
          <w:sz w:val="24"/>
          <w:szCs w:val="24"/>
          <w:highlight w:val="none"/>
        </w:rPr>
      </w:pPr>
      <w:bookmarkStart w:id="250" w:name="_Toc11494"/>
      <w:bookmarkStart w:id="251" w:name="_Toc27402"/>
      <w:bookmarkStart w:id="252" w:name="_Toc7797"/>
      <w:bookmarkStart w:id="253" w:name="_Toc30181"/>
      <w:bookmarkStart w:id="254" w:name="_Toc685"/>
      <w:bookmarkStart w:id="255" w:name="_Toc28606"/>
      <w:bookmarkStart w:id="256" w:name="_Toc10100"/>
      <w:bookmarkStart w:id="257" w:name="_Toc43566526"/>
      <w:bookmarkStart w:id="258" w:name="_Toc14008"/>
      <w:bookmarkStart w:id="259" w:name="_Toc15180"/>
      <w:bookmarkStart w:id="260" w:name="_Toc3023"/>
      <w:bookmarkStart w:id="261" w:name="_Toc18387"/>
      <w:bookmarkStart w:id="262" w:name="_Toc5575"/>
      <w:bookmarkStart w:id="263" w:name="_Toc4343"/>
      <w:bookmarkStart w:id="264" w:name="_Toc14295"/>
      <w:bookmarkStart w:id="265" w:name="_Toc4947"/>
      <w:bookmarkStart w:id="266" w:name="_Toc25847"/>
      <w:bookmarkStart w:id="267" w:name="_Toc11758"/>
      <w:bookmarkStart w:id="268" w:name="_Toc6692"/>
      <w:bookmarkStart w:id="269" w:name="_Toc22757"/>
      <w:bookmarkStart w:id="270" w:name="_Toc1180"/>
      <w:bookmarkStart w:id="271" w:name="_Toc4052"/>
      <w:bookmarkStart w:id="272" w:name="_Toc9008"/>
      <w:bookmarkStart w:id="273" w:name="_Toc7926"/>
      <w:bookmarkStart w:id="274" w:name="_Toc961"/>
      <w:bookmarkStart w:id="275" w:name="_Toc32216"/>
      <w:bookmarkStart w:id="276" w:name="_Toc6346"/>
      <w:bookmarkStart w:id="277" w:name="_Toc13223"/>
      <w:bookmarkStart w:id="278" w:name="_Toc12081"/>
      <w:bookmarkStart w:id="279" w:name="_Toc26127"/>
      <w:bookmarkStart w:id="280" w:name="_Toc4895"/>
      <w:r>
        <w:rPr>
          <w:rFonts w:hint="eastAsia"/>
          <w:b w:val="0"/>
          <w:color w:val="auto"/>
          <w:sz w:val="24"/>
          <w:szCs w:val="24"/>
          <w:highlight w:val="none"/>
        </w:rPr>
        <w:t>磋商过程中，磋商的任何一方不得透露与磋商有关的其他供应商的技术资料、价格和其他信息。</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5"/>
        <w:keepNext w:val="0"/>
        <w:keepLines w:val="0"/>
        <w:numPr>
          <w:ilvl w:val="0"/>
          <w:numId w:val="39"/>
        </w:numPr>
        <w:tabs>
          <w:tab w:val="left" w:pos="426"/>
          <w:tab w:val="left" w:pos="567"/>
        </w:tabs>
        <w:outlineLvl w:val="2"/>
        <w:rPr>
          <w:b w:val="0"/>
          <w:color w:val="auto"/>
          <w:sz w:val="24"/>
          <w:szCs w:val="24"/>
          <w:highlight w:val="none"/>
        </w:rPr>
      </w:pPr>
      <w:bookmarkStart w:id="281" w:name="_Toc22105"/>
      <w:bookmarkStart w:id="282" w:name="_Toc23573"/>
      <w:bookmarkStart w:id="283" w:name="_Toc7697"/>
      <w:bookmarkStart w:id="284" w:name="_Toc4662"/>
      <w:bookmarkStart w:id="285" w:name="_Toc30367"/>
      <w:bookmarkStart w:id="286" w:name="_Toc19525"/>
      <w:bookmarkStart w:id="287" w:name="_Toc9766"/>
      <w:bookmarkStart w:id="288" w:name="_Toc3944"/>
      <w:bookmarkStart w:id="289" w:name="_Toc6585"/>
      <w:bookmarkStart w:id="290" w:name="_Toc9842"/>
      <w:bookmarkStart w:id="291" w:name="_Toc8490"/>
      <w:bookmarkStart w:id="292" w:name="_Toc26261"/>
      <w:bookmarkStart w:id="293" w:name="_Toc30506"/>
      <w:bookmarkStart w:id="294" w:name="_Toc30011"/>
      <w:bookmarkStart w:id="295" w:name="_Toc25172"/>
      <w:bookmarkStart w:id="296" w:name="_Toc20680"/>
      <w:bookmarkStart w:id="297" w:name="_Toc4159"/>
      <w:bookmarkStart w:id="298" w:name="_Toc9431"/>
      <w:bookmarkStart w:id="299" w:name="_Toc30938"/>
      <w:bookmarkStart w:id="300" w:name="_Toc15744"/>
      <w:bookmarkStart w:id="301" w:name="_Toc20292"/>
      <w:bookmarkStart w:id="302" w:name="_Toc1340"/>
      <w:bookmarkStart w:id="303" w:name="_Toc31442"/>
      <w:bookmarkStart w:id="304" w:name="_Toc4331"/>
      <w:bookmarkStart w:id="305" w:name="_Toc3164"/>
      <w:bookmarkStart w:id="306" w:name="_Toc10212"/>
      <w:bookmarkStart w:id="307" w:name="_Toc5251"/>
      <w:bookmarkStart w:id="308" w:name="_Toc18334"/>
      <w:bookmarkStart w:id="309" w:name="_Toc43566527"/>
      <w:bookmarkStart w:id="310" w:name="_Toc16194"/>
      <w:bookmarkStart w:id="311" w:name="_Toc31972"/>
      <w:r>
        <w:rPr>
          <w:rFonts w:hint="eastAsia"/>
          <w:b w:val="0"/>
          <w:color w:val="auto"/>
          <w:sz w:val="24"/>
          <w:szCs w:val="24"/>
          <w:highlight w:val="none"/>
        </w:rPr>
        <w:t>磋商过程中，磋商小组发现或者知晓供应商存在违法、违纪行为的，磋商小组应当将该供应商响应文件作无效处理，不允许其提交最后报价。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numPr>
          <w:ilvl w:val="0"/>
          <w:numId w:val="39"/>
        </w:numPr>
        <w:spacing w:line="360" w:lineRule="auto"/>
        <w:outlineLvl w:val="2"/>
        <w:rPr>
          <w:color w:val="auto"/>
          <w:highlight w:val="none"/>
        </w:rPr>
      </w:pPr>
      <w:r>
        <w:rPr>
          <w:rFonts w:hint="eastAsia" w:ascii="宋体" w:hAnsi="宋体"/>
          <w:color w:val="auto"/>
          <w:highlight w:val="none"/>
        </w:rPr>
        <w:t xml:space="preserve">磋商完成后，磋商小组应出具磋商情况记录表，磋商情况记录表需包含磋商内容、磋商意见、实质性变动内容等。   </w:t>
      </w:r>
    </w:p>
    <w:p>
      <w:pPr>
        <w:pStyle w:val="5"/>
        <w:bidi w:val="0"/>
        <w:ind w:left="0" w:leftChars="0" w:firstLine="482" w:firstLineChars="200"/>
        <w:rPr>
          <w:rFonts w:cs="宋体"/>
          <w:color w:val="auto"/>
          <w:szCs w:val="24"/>
          <w:highlight w:val="none"/>
        </w:rPr>
      </w:pPr>
      <w:r>
        <w:rPr>
          <w:rFonts w:hint="eastAsia" w:cs="宋体"/>
          <w:color w:val="auto"/>
          <w:szCs w:val="24"/>
          <w:highlight w:val="none"/>
        </w:rPr>
        <w:t>供应商的澄清、说明或者更正</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w:t>
      </w:r>
    </w:p>
    <w:p>
      <w:pPr>
        <w:keepNext w:val="0"/>
        <w:keepLines w:val="0"/>
        <w:pageBreakBefore w:val="0"/>
        <w:widowControl/>
        <w:numPr>
          <w:ilvl w:val="0"/>
          <w:numId w:val="40"/>
        </w:numPr>
        <w:tabs>
          <w:tab w:val="left" w:pos="1134"/>
        </w:tabs>
        <w:kinsoku/>
        <w:wordWrap/>
        <w:overflowPunct/>
        <w:topLinePunct w:val="0"/>
        <w:autoSpaceDE/>
        <w:autoSpaceDN/>
        <w:bidi w:val="0"/>
        <w:adjustRightInd/>
        <w:snapToGrid/>
        <w:spacing w:after="200" w:line="360" w:lineRule="auto"/>
        <w:ind w:left="0" w:firstLine="567"/>
        <w:textAlignment w:val="auto"/>
        <w:rPr>
          <w:rFonts w:ascii="宋体" w:hAnsi="宋体"/>
          <w:sz w:val="24"/>
          <w:szCs w:val="24"/>
        </w:rPr>
      </w:pPr>
      <w:r>
        <w:rPr>
          <w:rFonts w:hint="eastAsia" w:ascii="宋体" w:hAnsi="宋体"/>
          <w:sz w:val="24"/>
          <w:szCs w:val="24"/>
        </w:rPr>
        <w:t>评审过程中，磋商小组认为磋商文件有关事项表述不明确或需要说明的，可以提请</w:t>
      </w:r>
      <w:r>
        <w:rPr>
          <w:rFonts w:hint="eastAsia" w:ascii="宋体" w:hAnsi="宋体"/>
          <w:sz w:val="24"/>
          <w:szCs w:val="24"/>
          <w:lang w:val="en-US" w:eastAsia="zh-CN"/>
        </w:rPr>
        <w:t>采购代理机构</w:t>
      </w:r>
      <w:r>
        <w:rPr>
          <w:rFonts w:hint="eastAsia" w:ascii="宋体" w:hAnsi="宋体"/>
          <w:sz w:val="24"/>
          <w:szCs w:val="24"/>
        </w:rPr>
        <w:t>书面解释。</w:t>
      </w:r>
      <w:r>
        <w:rPr>
          <w:rFonts w:hint="eastAsia" w:ascii="宋体" w:hAnsi="宋体"/>
          <w:sz w:val="24"/>
          <w:szCs w:val="24"/>
          <w:lang w:val="en-US" w:eastAsia="zh-CN"/>
        </w:rPr>
        <w:t>采购代理机构</w:t>
      </w:r>
      <w:r>
        <w:rPr>
          <w:rFonts w:hint="eastAsia" w:ascii="宋体" w:hAnsi="宋体"/>
          <w:sz w:val="24"/>
          <w:szCs w:val="24"/>
        </w:rPr>
        <w:t>的解释不得改变磋商文件的原义或者影响公平、公正，解释事项如果涉及供应商权益的以有利于供应商的原则进行解释。</w:t>
      </w:r>
    </w:p>
    <w:p>
      <w:pPr>
        <w:keepNext w:val="0"/>
        <w:keepLines w:val="0"/>
        <w:pageBreakBefore w:val="0"/>
        <w:widowControl/>
        <w:numPr>
          <w:ilvl w:val="0"/>
          <w:numId w:val="40"/>
        </w:numPr>
        <w:tabs>
          <w:tab w:val="left" w:pos="1134"/>
        </w:tabs>
        <w:kinsoku/>
        <w:wordWrap/>
        <w:overflowPunct/>
        <w:topLinePunct w:val="0"/>
        <w:autoSpaceDE/>
        <w:autoSpaceDN/>
        <w:bidi w:val="0"/>
        <w:adjustRightInd/>
        <w:snapToGrid/>
        <w:spacing w:after="200" w:line="360" w:lineRule="auto"/>
        <w:ind w:left="0" w:firstLine="567"/>
        <w:textAlignment w:val="auto"/>
        <w:rPr>
          <w:rFonts w:ascii="宋体" w:hAnsi="宋体"/>
          <w:sz w:val="24"/>
          <w:szCs w:val="24"/>
        </w:rPr>
      </w:pPr>
      <w:r>
        <w:rPr>
          <w:rFonts w:hint="eastAsia" w:ascii="宋体" w:hAnsi="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hAnsi="宋体"/>
          <w:b/>
          <w:sz w:val="24"/>
          <w:szCs w:val="24"/>
        </w:rPr>
      </w:pPr>
      <w:r>
        <w:rPr>
          <w:rFonts w:hint="eastAsia" w:ascii="宋体" w:hAnsi="宋体"/>
          <w:b/>
          <w:sz w:val="24"/>
          <w:szCs w:val="24"/>
        </w:rPr>
        <w:t>三、评审结束之前，供应商应随时关注系统提示，及时通过“政府采购云平台”在线响应磋商小组发出的澄清、说明或补正要求，签章并确认提交成功。逾时回复将不能提交，视为供应商自行放弃澄清、说明或补正，其损失由供应商承担。磋商小组应当积极履行澄清、说明或者更正的职责，不得滥用权力。</w:t>
      </w:r>
    </w:p>
    <w:p>
      <w:pPr>
        <w:pStyle w:val="5"/>
        <w:bidi w:val="0"/>
        <w:ind w:left="0" w:leftChars="0" w:firstLine="482" w:firstLineChars="200"/>
        <w:rPr>
          <w:rFonts w:cs="宋体"/>
          <w:color w:val="auto"/>
          <w:szCs w:val="24"/>
          <w:highlight w:val="none"/>
        </w:rPr>
      </w:pPr>
      <w:r>
        <w:rPr>
          <w:rFonts w:hint="eastAsia" w:cs="宋体"/>
          <w:color w:val="auto"/>
          <w:szCs w:val="24"/>
          <w:highlight w:val="none"/>
        </w:rPr>
        <w:t>磋商失败情形</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磋商过程中，如有下列情形之一的，磋商失败：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一、参加本节规定的磋商的供应商不足三家的，通过资格性审查不足三家的；</w:t>
      </w:r>
    </w:p>
    <w:p>
      <w:pPr>
        <w:tabs>
          <w:tab w:val="left" w:pos="851"/>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二、磋商结束，响应文件满足竞争性磋商文件规定的采购项目最低要求的供应商不足三家的(符合《财政部关于政府采购竞争性磋商采购方式管理暂行办法有关问题的补充通知》财库</w:t>
      </w:r>
      <w:r>
        <w:rPr>
          <w:rFonts w:hint="eastAsia"/>
          <w:color w:val="auto"/>
          <w:highlight w:val="none"/>
          <w:lang w:val="en-US" w:eastAsia="zh-CN"/>
        </w:rPr>
        <w:t>〔2015〕</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三、提交最后报价的供应商不足三家的(符合《财政部关于政府采购竞争性磋商采购方式管理暂行办法有关问题的补充通知》财库</w:t>
      </w:r>
      <w:r>
        <w:rPr>
          <w:rFonts w:hint="eastAsia"/>
          <w:color w:val="auto"/>
          <w:highlight w:val="none"/>
          <w:lang w:val="en-US" w:eastAsia="zh-CN"/>
        </w:rPr>
        <w:t>〔2015〕</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四、经磋商小组评审，最后报价符合竞争性磋商文件要求的供应商不足三家的(符合《财政部关于政府采购竞争性磋商采购方式管理暂行办法有关问题的补充通知》财库</w:t>
      </w:r>
      <w:r>
        <w:rPr>
          <w:rFonts w:hint="eastAsia"/>
          <w:color w:val="auto"/>
          <w:highlight w:val="none"/>
          <w:lang w:val="en-US" w:eastAsia="zh-CN"/>
        </w:rPr>
        <w:t>〔2015〕</w:t>
      </w:r>
      <w:r>
        <w:rPr>
          <w:rFonts w:hint="eastAsia" w:ascii="宋体" w:hAnsi="宋体" w:cs="宋体"/>
          <w:color w:val="auto"/>
          <w:highlight w:val="none"/>
        </w:rPr>
        <w:t>124号文要求的除外)。</w:t>
      </w:r>
    </w:p>
    <w:p>
      <w:pPr>
        <w:pStyle w:val="5"/>
        <w:bidi w:val="0"/>
        <w:ind w:left="0" w:leftChars="0" w:firstLine="482" w:firstLineChars="200"/>
        <w:rPr>
          <w:rFonts w:cs="宋体"/>
          <w:color w:val="auto"/>
          <w:szCs w:val="24"/>
          <w:highlight w:val="none"/>
        </w:rPr>
      </w:pPr>
      <w:r>
        <w:rPr>
          <w:rFonts w:hint="eastAsia" w:cs="宋体"/>
          <w:color w:val="auto"/>
          <w:szCs w:val="24"/>
          <w:highlight w:val="none"/>
        </w:rPr>
        <w:t>综合评分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综合评分法，是指响应文件满足竞争性磋商文件全部实质性要求且按评审因素的量化指标评审得分最高的供应商为成交候选供应商的评审方法。</w:t>
      </w:r>
    </w:p>
    <w:p>
      <w:pPr>
        <w:pStyle w:val="25"/>
        <w:snapToGrid w:val="0"/>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一、评分细则及标准</w:t>
      </w:r>
    </w:p>
    <w:p>
      <w:pPr>
        <w:pStyle w:val="25"/>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（一）经磋商确定最终采购需求和提交最后报价的供应商后，由磋商小组采用综合评分法对提交最后报价的供应商的响应文件和最后报价进行综合评分；</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（二）本次综合评分的因素是：价格、技术、服务等；</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（三）评审时，磋商小组各成员应当独立对每个有效响应的文件进行评价、打分，然后汇总每个供应商每项评分因素的得分。</w:t>
      </w:r>
    </w:p>
    <w:p>
      <w:pPr>
        <w:widowControl w:val="0"/>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二、评分办法</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磋商小组各成员独立对每个有效响应文件进行评审和打分，各位评委得分的算术平均数为供应商的最终得分。</w:t>
      </w:r>
    </w:p>
    <w:p>
      <w:pPr>
        <w:spacing w:line="360" w:lineRule="auto"/>
        <w:ind w:firstLine="480" w:firstLineChars="200"/>
        <w:rPr>
          <w:rFonts w:ascii="宋体" w:hAnsi="宋体"/>
          <w:color w:val="auto"/>
          <w:highlight w:val="none"/>
        </w:rPr>
      </w:pPr>
      <w:r>
        <w:rPr>
          <w:rFonts w:hint="eastAsia" w:ascii="宋体" w:hAnsi="宋体"/>
          <w:color w:val="auto"/>
          <w:highlight w:val="none"/>
        </w:rPr>
        <w:t>评审得分＝（A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）/n</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3</w:t>
      </w:r>
    </w:p>
    <w:p>
      <w:pPr>
        <w:spacing w:line="360" w:lineRule="auto"/>
        <w:ind w:firstLine="480" w:firstLineChars="200"/>
        <w:rPr>
          <w:rFonts w:ascii="宋体" w:hAnsi="宋体"/>
          <w:color w:val="auto"/>
          <w:highlight w:val="none"/>
        </w:rPr>
      </w:pPr>
      <w:r>
        <w:rPr>
          <w:rFonts w:hint="eastAsia" w:ascii="宋体" w:hAnsi="宋体"/>
          <w:color w:val="auto"/>
          <w:highlight w:val="none"/>
        </w:rPr>
        <w:t>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分别为每个</w:t>
      </w:r>
      <w:r>
        <w:rPr>
          <w:rFonts w:hint="eastAsia" w:ascii="宋体" w:hAnsi="宋体" w:cs="宋体"/>
          <w:color w:val="auto"/>
          <w:highlight w:val="none"/>
        </w:rPr>
        <w:t>经济类</w:t>
      </w:r>
      <w:r>
        <w:rPr>
          <w:rFonts w:hint="eastAsia" w:ascii="宋体" w:hAnsi="宋体"/>
          <w:color w:val="auto"/>
          <w:highlight w:val="none"/>
        </w:rPr>
        <w:t>评委的打分，n</w:t>
      </w:r>
      <w:r>
        <w:rPr>
          <w:rFonts w:hint="eastAsia" w:ascii="宋体" w:hAnsi="宋体"/>
          <w:color w:val="auto"/>
          <w:highlight w:val="none"/>
          <w:vertAlign w:val="subscript"/>
        </w:rPr>
        <w:t>1</w:t>
      </w:r>
      <w:r>
        <w:rPr>
          <w:rFonts w:hint="eastAsia" w:ascii="宋体" w:hAnsi="宋体"/>
          <w:color w:val="auto"/>
          <w:highlight w:val="none"/>
        </w:rPr>
        <w:t>为</w:t>
      </w:r>
      <w:r>
        <w:rPr>
          <w:rFonts w:hint="eastAsia" w:ascii="宋体" w:hAnsi="宋体" w:cs="宋体"/>
          <w:color w:val="auto"/>
          <w:highlight w:val="none"/>
        </w:rPr>
        <w:t>经济类</w:t>
      </w:r>
      <w:r>
        <w:rPr>
          <w:rFonts w:hint="eastAsia" w:ascii="宋体" w:hAnsi="宋体"/>
          <w:color w:val="auto"/>
          <w:highlight w:val="none"/>
        </w:rPr>
        <w:t>评委人数；B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xml:space="preserve"> 分别为每个技术类评委（含采购人代表）的打分，n</w:t>
      </w:r>
      <w:r>
        <w:rPr>
          <w:rFonts w:hint="eastAsia" w:ascii="宋体" w:hAnsi="宋体"/>
          <w:color w:val="auto"/>
          <w:highlight w:val="none"/>
          <w:vertAlign w:val="subscript"/>
        </w:rPr>
        <w:t>2</w:t>
      </w:r>
      <w:r>
        <w:rPr>
          <w:rFonts w:hint="eastAsia" w:ascii="宋体" w:hAnsi="宋体"/>
          <w:color w:val="auto"/>
          <w:highlight w:val="none"/>
        </w:rPr>
        <w:t>为</w:t>
      </w:r>
      <w:r>
        <w:rPr>
          <w:rFonts w:hint="eastAsia" w:ascii="宋体" w:hAnsi="宋体" w:cs="宋体"/>
          <w:color w:val="auto"/>
          <w:highlight w:val="none"/>
        </w:rPr>
        <w:t>技术类</w:t>
      </w:r>
      <w:r>
        <w:rPr>
          <w:rFonts w:hint="eastAsia" w:ascii="宋体" w:hAnsi="宋体"/>
          <w:color w:val="auto"/>
          <w:highlight w:val="none"/>
        </w:rPr>
        <w:t>评委（含采购人代表）人数；C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xml:space="preserve"> 分别为评审委员会每个成员的打分，n</w:t>
      </w:r>
      <w:r>
        <w:rPr>
          <w:rFonts w:hint="eastAsia" w:ascii="宋体" w:hAnsi="宋体"/>
          <w:color w:val="auto"/>
          <w:highlight w:val="none"/>
          <w:vertAlign w:val="subscript"/>
        </w:rPr>
        <w:t>3</w:t>
      </w:r>
      <w:r>
        <w:rPr>
          <w:rFonts w:hint="eastAsia" w:ascii="宋体" w:hAnsi="宋体"/>
          <w:color w:val="auto"/>
          <w:highlight w:val="none"/>
        </w:rPr>
        <w:t>为评委人数。</w:t>
      </w:r>
    </w:p>
    <w:p>
      <w:pPr>
        <w:widowControl w:val="0"/>
        <w:numPr>
          <w:ilvl w:val="0"/>
          <w:numId w:val="41"/>
        </w:numPr>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评分标准</w:t>
      </w:r>
    </w:p>
    <w:tbl>
      <w:tblPr>
        <w:tblStyle w:val="44"/>
        <w:tblW w:w="0" w:type="auto"/>
        <w:jc w:val="center"/>
        <w:tblLayout w:type="fixed"/>
        <w:tblCellMar>
          <w:top w:w="0" w:type="dxa"/>
          <w:left w:w="108" w:type="dxa"/>
          <w:bottom w:w="0" w:type="dxa"/>
          <w:right w:w="108" w:type="dxa"/>
        </w:tblCellMar>
      </w:tblPr>
      <w:tblGrid>
        <w:gridCol w:w="968"/>
        <w:gridCol w:w="1200"/>
        <w:gridCol w:w="1210"/>
        <w:gridCol w:w="4717"/>
        <w:gridCol w:w="968"/>
      </w:tblGrid>
      <w:tr>
        <w:tblPrEx>
          <w:tblCellMar>
            <w:top w:w="0" w:type="dxa"/>
            <w:left w:w="108" w:type="dxa"/>
            <w:bottom w:w="0" w:type="dxa"/>
            <w:right w:w="108" w:type="dxa"/>
          </w:tblCellMar>
        </w:tblPrEx>
        <w:trPr>
          <w:trHeight w:val="684" w:hRule="atLeast"/>
          <w:jc w:val="center"/>
        </w:trPr>
        <w:tc>
          <w:tcPr>
            <w:tcW w:w="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12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rPr>
            </w:pPr>
            <w:r>
              <w:rPr>
                <w:rFonts w:hint="eastAsia" w:ascii="宋体" w:hAnsi="宋体" w:eastAsia="宋体" w:cs="宋体"/>
                <w:bCs/>
                <w:sz w:val="24"/>
                <w:szCs w:val="24"/>
              </w:rPr>
              <w:t>评分</w:t>
            </w:r>
          </w:p>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rPr>
            </w:pPr>
            <w:r>
              <w:rPr>
                <w:rFonts w:hint="eastAsia" w:ascii="宋体" w:hAnsi="宋体" w:eastAsia="宋体" w:cs="宋体"/>
                <w:bCs/>
                <w:sz w:val="24"/>
                <w:szCs w:val="24"/>
              </w:rPr>
              <w:t>因素</w:t>
            </w:r>
          </w:p>
        </w:tc>
        <w:tc>
          <w:tcPr>
            <w:tcW w:w="121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rPr>
            </w:pPr>
            <w:r>
              <w:rPr>
                <w:rFonts w:hint="eastAsia" w:ascii="宋体" w:hAnsi="宋体" w:eastAsia="宋体" w:cs="宋体"/>
                <w:bCs/>
                <w:sz w:val="24"/>
                <w:szCs w:val="24"/>
              </w:rPr>
              <w:t>权重分值</w:t>
            </w:r>
          </w:p>
        </w:tc>
        <w:tc>
          <w:tcPr>
            <w:tcW w:w="471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rPr>
            </w:pPr>
            <w:r>
              <w:rPr>
                <w:rFonts w:hint="eastAsia" w:ascii="宋体" w:hAnsi="宋体" w:eastAsia="宋体" w:cs="宋体"/>
                <w:bCs/>
                <w:sz w:val="24"/>
                <w:szCs w:val="24"/>
              </w:rPr>
              <w:t>评分标准</w:t>
            </w:r>
          </w:p>
        </w:tc>
        <w:tc>
          <w:tcPr>
            <w:tcW w:w="96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rPr>
            </w:pPr>
            <w:r>
              <w:rPr>
                <w:rFonts w:hint="eastAsia" w:ascii="宋体" w:hAnsi="宋体" w:eastAsia="宋体" w:cs="宋体"/>
                <w:bCs/>
                <w:sz w:val="24"/>
                <w:szCs w:val="24"/>
              </w:rPr>
              <w:t>备注</w:t>
            </w:r>
          </w:p>
        </w:tc>
      </w:tr>
      <w:tr>
        <w:tblPrEx>
          <w:tblCellMar>
            <w:top w:w="0" w:type="dxa"/>
            <w:left w:w="108" w:type="dxa"/>
            <w:bottom w:w="0" w:type="dxa"/>
            <w:right w:w="108" w:type="dxa"/>
          </w:tblCellMar>
        </w:tblPrEx>
        <w:trPr>
          <w:trHeight w:val="350" w:hRule="atLeast"/>
          <w:jc w:val="center"/>
        </w:trPr>
        <w:tc>
          <w:tcPr>
            <w:tcW w:w="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rPr>
              <w:t>报价</w:t>
            </w:r>
            <w:r>
              <w:rPr>
                <w:rFonts w:hint="eastAsia" w:ascii="宋体" w:hAnsi="宋体" w:eastAsia="宋体" w:cs="宋体"/>
                <w:bCs/>
                <w:sz w:val="24"/>
                <w:szCs w:val="24"/>
                <w:lang w:val="en-US" w:eastAsia="zh-CN"/>
              </w:rPr>
              <w:t>（15％）</w:t>
            </w:r>
          </w:p>
        </w:tc>
        <w:tc>
          <w:tcPr>
            <w:tcW w:w="121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15分 </w:t>
            </w:r>
          </w:p>
        </w:tc>
        <w:tc>
          <w:tcPr>
            <w:tcW w:w="471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numPr>
                <w:ilvl w:val="0"/>
                <w:numId w:val="42"/>
              </w:numPr>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rPr>
              <w:t>满足</w:t>
            </w:r>
            <w:r>
              <w:rPr>
                <w:rFonts w:hint="eastAsia" w:ascii="宋体" w:hAnsi="宋体" w:eastAsia="宋体" w:cs="宋体"/>
                <w:bCs/>
                <w:sz w:val="24"/>
                <w:szCs w:val="24"/>
                <w:lang w:val="en-US" w:eastAsia="zh-CN"/>
              </w:rPr>
              <w:t>磋商</w:t>
            </w:r>
            <w:r>
              <w:rPr>
                <w:rFonts w:hint="eastAsia" w:ascii="宋体" w:hAnsi="宋体" w:eastAsia="宋体" w:cs="宋体"/>
                <w:bCs/>
                <w:sz w:val="24"/>
                <w:szCs w:val="24"/>
                <w:lang w:val="en-US"/>
              </w:rPr>
              <w:t>文件要求且最后报价最低的供应商的价格为磋商基准价，其价格分为满分。</w:t>
            </w:r>
          </w:p>
          <w:p>
            <w:pPr>
              <w:keepNext w:val="0"/>
              <w:keepLines w:val="0"/>
              <w:pageBreakBefore w:val="0"/>
              <w:widowControl w:val="0"/>
              <w:numPr>
                <w:ilvl w:val="0"/>
                <w:numId w:val="42"/>
              </w:numPr>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rPr>
              <w:t>其他供应商的价格分统一按照下列公式计算：磋商报价得分=（磋商基准价/最后磋商报价）×价格权值×100</w:t>
            </w:r>
            <w:r>
              <w:rPr>
                <w:rFonts w:hint="eastAsia" w:ascii="宋体" w:hAnsi="宋体" w:eastAsia="宋体" w:cs="宋体"/>
                <w:bCs/>
                <w:sz w:val="24"/>
                <w:szCs w:val="24"/>
                <w:lang w:val="en-US" w:eastAsia="zh-CN"/>
              </w:rPr>
              <w:t>。</w:t>
            </w:r>
          </w:p>
          <w:p>
            <w:pPr>
              <w:keepNext w:val="0"/>
              <w:keepLines w:val="0"/>
              <w:pageBreakBefore w:val="0"/>
              <w:widowControl w:val="0"/>
              <w:numPr>
                <w:ilvl w:val="0"/>
                <w:numId w:val="42"/>
              </w:numPr>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对小型和微型企业（监狱企业和残疾人企业视同小微企业）产品的价格给予10%的扣除，用扣除后的价格参与评审。</w:t>
            </w:r>
          </w:p>
        </w:tc>
        <w:tc>
          <w:tcPr>
            <w:tcW w:w="96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350" w:hRule="atLeast"/>
          <w:jc w:val="center"/>
        </w:trPr>
        <w:tc>
          <w:tcPr>
            <w:tcW w:w="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lang w:val="en-US" w:eastAsia="zh-CN"/>
              </w:rPr>
              <w:t>商务、服务及其他要求</w:t>
            </w:r>
          </w:p>
        </w:tc>
        <w:tc>
          <w:tcPr>
            <w:tcW w:w="121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42分</w:t>
            </w:r>
          </w:p>
        </w:tc>
        <w:tc>
          <w:tcPr>
            <w:tcW w:w="471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供应商完全满足竞争性磋商文件要求的，得42分；</w:t>
            </w:r>
          </w:p>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其他则按以下原则计分：</w:t>
            </w:r>
          </w:p>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1、每有一个“▲”项（共11项）不满足要求的扣1分，本项共计11分，扣完为止；</w:t>
            </w:r>
          </w:p>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2、完全满足一般性技术参数条款得31分，不满足要求的，按以下原则扣分：（</w:t>
            </w: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lang w:val="en-US" w:eastAsia="zh-CN"/>
              </w:rPr>
              <w:t>不满足一般性技术参数条款的数量÷一般性技术参数条款的总数量）×31分。</w:t>
            </w:r>
          </w:p>
        </w:tc>
        <w:tc>
          <w:tcPr>
            <w:tcW w:w="96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350" w:hRule="atLeast"/>
          <w:jc w:val="center"/>
        </w:trPr>
        <w:tc>
          <w:tcPr>
            <w:tcW w:w="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项目实施方案（20％）</w:t>
            </w:r>
          </w:p>
        </w:tc>
        <w:tc>
          <w:tcPr>
            <w:tcW w:w="121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20分</w:t>
            </w:r>
          </w:p>
        </w:tc>
        <w:tc>
          <w:tcPr>
            <w:tcW w:w="471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根据供应针对本项目提供的项目实施方案（内容包括但不限于：①技术保障措施、②进度保障措施、③质量保障措施、④安全保障措施、⑤现场资料管理措施等）进行综合评分。方案内容齐全且满足磋商文件要求得20分；以上方面中每有一项存在缺失的扣4分；每有一项存在缺陷（缺陷为内容与实际情况不符或存在偏差或过于简略或存在无关的内容或内容不要求)的扣2分，扣完为止。</w:t>
            </w:r>
          </w:p>
        </w:tc>
        <w:tc>
          <w:tcPr>
            <w:tcW w:w="96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350" w:hRule="atLeast"/>
          <w:jc w:val="center"/>
        </w:trPr>
        <w:tc>
          <w:tcPr>
            <w:tcW w:w="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售后服务（10％）</w:t>
            </w:r>
          </w:p>
        </w:tc>
        <w:tc>
          <w:tcPr>
            <w:tcW w:w="121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10分</w:t>
            </w:r>
          </w:p>
        </w:tc>
        <w:tc>
          <w:tcPr>
            <w:tcW w:w="471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1、根据供应商针对本项目提供的售后服务方案（内容包括但不限于：①备品备件、②售后人员配备 、③售后服务响应时间、④应急措施等）进行综合评分。方案内容齐全且满足磋商文件要求得8分；以上方面中每有一项存在缺失的扣2分；每有一项存在缺陷（缺陷为方案内容与实际情况不符或存在偏差或过于简略或存在无关的内容或分析内容不完全不满足要求)的扣1分，扣完为止。</w:t>
            </w:r>
          </w:p>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sz w:val="24"/>
                <w:szCs w:val="24"/>
                <w:lang w:val="en-US" w:eastAsia="zh-CN"/>
              </w:rPr>
            </w:pPr>
            <w:r>
              <w:rPr>
                <w:rFonts w:hint="eastAsia" w:ascii="宋体" w:hAnsi="宋体" w:eastAsia="宋体" w:cs="宋体"/>
                <w:bCs/>
                <w:sz w:val="24"/>
                <w:szCs w:val="24"/>
                <w:highlight w:val="none"/>
                <w:lang w:val="en-US" w:eastAsia="zh-CN"/>
              </w:rPr>
              <w:t>2、供应商提供或承诺“中标后提供所投视频存储主机制造厂商针对本项目的售后服务承诺函”的得2分，否则不得分。(说明：提供视频存储主机制造厂商针对本项目的售后服务承诺函或供应商承诺中标后提供的售后服务承诺函。)</w:t>
            </w:r>
          </w:p>
        </w:tc>
        <w:tc>
          <w:tcPr>
            <w:tcW w:w="96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350" w:hRule="atLeast"/>
          <w:jc w:val="center"/>
        </w:trPr>
        <w:tc>
          <w:tcPr>
            <w:tcW w:w="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信誉与实力（10％）</w:t>
            </w:r>
          </w:p>
        </w:tc>
        <w:tc>
          <w:tcPr>
            <w:tcW w:w="121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lang w:val="en-US" w:eastAsia="zh-CN"/>
              </w:rPr>
              <w:t>10分</w:t>
            </w:r>
          </w:p>
        </w:tc>
        <w:tc>
          <w:tcPr>
            <w:tcW w:w="471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1、供应商或所属集团公司、上级公司具有“中华人民共和国境内基础电信业务经营许可证”，得1分，没有或者未提供的不得分。</w:t>
            </w:r>
          </w:p>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2、供应商或供应商所投前端摄像机产品制造商具备较强的安全服务保障能力，获得中国信息安全测评中心颁发的信息安全服务资质（安全工程类）证书的得3分，未提供的不得分。</w:t>
            </w:r>
          </w:p>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供应商或供应商所投前端摄像机产品制造商拥有信息化及工业化相融合的先进能力，具备较强的创新技术实力，获得由国家工业和信息化部颁布的两化融合管理体系贯标试点或贯标示范企业的得3分，未提供的不得分。</w:t>
            </w:r>
          </w:p>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4、供应商或供应商所投前端摄像机产品制造商应具备较好的服务能力、研发创新能力，获得国家发展和改革委员会认定的国家地方联合工程研究中心或工程实验室的得3分，未提供的不得分。</w:t>
            </w:r>
          </w:p>
        </w:tc>
        <w:tc>
          <w:tcPr>
            <w:tcW w:w="96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textAlignment w:val="auto"/>
              <w:rPr>
                <w:rFonts w:hint="eastAsia" w:ascii="宋体" w:hAnsi="宋体" w:eastAsia="宋体" w:cs="宋体"/>
                <w:sz w:val="24"/>
                <w:szCs w:val="24"/>
              </w:rPr>
            </w:pPr>
          </w:p>
        </w:tc>
      </w:tr>
      <w:tr>
        <w:trPr>
          <w:trHeight w:val="1829" w:hRule="atLeast"/>
          <w:jc w:val="center"/>
        </w:trPr>
        <w:tc>
          <w:tcPr>
            <w:tcW w:w="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履约能力（2％）</w:t>
            </w:r>
          </w:p>
        </w:tc>
        <w:tc>
          <w:tcPr>
            <w:tcW w:w="121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2分</w:t>
            </w:r>
          </w:p>
        </w:tc>
        <w:tc>
          <w:tcPr>
            <w:tcW w:w="471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供应商2019年1月1日（含1日）以后，具有一个类似项目业绩的得1分，最多得2分。未提供不得分。（说明：提供合同或中标/成交通知书复印件。）</w:t>
            </w:r>
          </w:p>
        </w:tc>
        <w:tc>
          <w:tcPr>
            <w:tcW w:w="96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textAlignment w:val="auto"/>
              <w:rPr>
                <w:rFonts w:hint="eastAsia" w:ascii="宋体" w:hAnsi="宋体" w:eastAsia="宋体" w:cs="宋体"/>
                <w:sz w:val="24"/>
                <w:szCs w:val="24"/>
              </w:rPr>
            </w:pPr>
          </w:p>
        </w:tc>
      </w:tr>
      <w:tr>
        <w:tblPrEx>
          <w:tblCellMar>
            <w:top w:w="0" w:type="dxa"/>
            <w:left w:w="108" w:type="dxa"/>
            <w:bottom w:w="0" w:type="dxa"/>
            <w:right w:w="108" w:type="dxa"/>
          </w:tblCellMar>
        </w:tblPrEx>
        <w:trPr>
          <w:trHeight w:val="350" w:hRule="atLeast"/>
          <w:jc w:val="center"/>
        </w:trPr>
        <w:tc>
          <w:tcPr>
            <w:tcW w:w="9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节能、环境标志、无线局域网产品（1％）</w:t>
            </w:r>
          </w:p>
        </w:tc>
        <w:tc>
          <w:tcPr>
            <w:tcW w:w="121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1分</w:t>
            </w:r>
          </w:p>
        </w:tc>
        <w:tc>
          <w:tcPr>
            <w:tcW w:w="471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服务配套产品中属于政府采购优先采购范围的，则每有一项为节能产品或者环境标志产品或者无线局域网产品的得0.5分，非节能、环境标志产品的、无线局域网产品的不得分。本项最多得1分。</w:t>
            </w:r>
          </w:p>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注：</w:t>
            </w:r>
          </w:p>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1、所投产品属于节能产品或环境标志产品政府采购品目清单中优先采购范围的，需提供国家确定的认证机构出具的、处于有效期之内的节能产品、环境标志产品认证证书复印件加盖公章。</w:t>
            </w:r>
          </w:p>
          <w:p>
            <w:pPr>
              <w:keepNext w:val="0"/>
              <w:keepLines w:val="0"/>
              <w:pageBreakBefore w:val="0"/>
              <w:widowControl w:val="0"/>
              <w:kinsoku/>
              <w:wordWrap/>
              <w:overflowPunct/>
              <w:topLinePunct w:val="0"/>
              <w:autoSpaceDE/>
              <w:autoSpaceDN w:val="0"/>
              <w:bidi w:val="0"/>
              <w:adjustRightInd/>
              <w:snapToGrid/>
              <w:spacing w:line="360" w:lineRule="auto"/>
              <w:ind w:firstLine="28"/>
              <w:jc w:val="left"/>
              <w:textAlignment w:val="auto"/>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2、所投产品属于优先采购范围内的无线局域网产品的，需提供《中国政府采购网》公布的无线局域网产品政府采购清单封面及对应页并加盖公章。</w:t>
            </w:r>
          </w:p>
        </w:tc>
        <w:tc>
          <w:tcPr>
            <w:tcW w:w="96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textAlignment w:val="auto"/>
              <w:rPr>
                <w:rFonts w:hint="eastAsia" w:ascii="宋体" w:hAnsi="宋体" w:eastAsia="宋体" w:cs="宋体"/>
                <w:sz w:val="24"/>
                <w:szCs w:val="24"/>
              </w:rPr>
            </w:pPr>
          </w:p>
        </w:tc>
      </w:tr>
    </w:tbl>
    <w:p>
      <w:pPr>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说明：</w:t>
      </w:r>
    </w:p>
    <w:p>
      <w:pPr>
        <w:pageBreakBefore w:val="0"/>
        <w:numPr>
          <w:ilvl w:val="0"/>
          <w:numId w:val="43"/>
        </w:numPr>
        <w:kinsoku/>
        <w:wordWrap/>
        <w:overflowPunct/>
        <w:topLinePunct w:val="0"/>
        <w:bidi w:val="0"/>
        <w:spacing w:line="360" w:lineRule="auto"/>
        <w:ind w:left="5" w:leftChars="0" w:firstLine="755" w:firstLineChars="0"/>
        <w:rPr>
          <w:rFonts w:hint="eastAsia" w:ascii="宋体" w:hAnsi="宋体" w:eastAsia="宋体" w:cs="宋体"/>
          <w:b/>
          <w:sz w:val="24"/>
          <w:szCs w:val="24"/>
        </w:rPr>
      </w:pPr>
      <w:r>
        <w:rPr>
          <w:rFonts w:hint="eastAsia" w:ascii="宋体" w:hAnsi="宋体" w:eastAsia="宋体" w:cs="宋体"/>
          <w:b/>
          <w:sz w:val="24"/>
          <w:szCs w:val="24"/>
        </w:rPr>
        <w:t>评分的取值按四舍五入法，保留小数点后两位；</w:t>
      </w:r>
    </w:p>
    <w:p>
      <w:pPr>
        <w:pageBreakBefore w:val="0"/>
        <w:numPr>
          <w:ilvl w:val="0"/>
          <w:numId w:val="43"/>
        </w:numPr>
        <w:kinsoku/>
        <w:wordWrap/>
        <w:overflowPunct/>
        <w:topLinePunct w:val="0"/>
        <w:bidi w:val="0"/>
        <w:spacing w:line="360" w:lineRule="auto"/>
        <w:ind w:left="5" w:leftChars="0" w:firstLine="755" w:firstLineChars="0"/>
        <w:rPr>
          <w:rFonts w:hint="eastAsia" w:ascii="宋体" w:hAnsi="宋体" w:eastAsia="宋体" w:cs="宋体"/>
          <w:b/>
          <w:bCs w:val="0"/>
        </w:rPr>
      </w:pPr>
      <w:r>
        <w:rPr>
          <w:rFonts w:hint="eastAsia" w:ascii="宋体" w:hAnsi="宋体" w:eastAsia="宋体" w:cs="宋体"/>
          <w:b/>
          <w:bCs w:val="0"/>
          <w:color w:val="auto"/>
          <w:kern w:val="2"/>
          <w:sz w:val="24"/>
          <w:szCs w:val="24"/>
          <w:lang w:val="en-US" w:eastAsia="zh-CN"/>
        </w:rPr>
        <w:t>本表中要求提供的复印件材料，均需加盖供应商单位公章（空白页可不加盖，存在正反面的，只加盖单面或双面加盖均可），复印件证明材料须清晰可辨，否则将不认可该项复印件材料的有效性。</w:t>
      </w:r>
    </w:p>
    <w:p>
      <w:pPr>
        <w:pStyle w:val="5"/>
        <w:bidi w:val="0"/>
        <w:ind w:left="0" w:leftChars="0" w:firstLine="482" w:firstLineChars="200"/>
        <w:rPr>
          <w:rFonts w:cs="宋体"/>
          <w:color w:val="auto"/>
          <w:szCs w:val="24"/>
          <w:highlight w:val="none"/>
        </w:rPr>
      </w:pPr>
      <w:r>
        <w:rPr>
          <w:rFonts w:hint="eastAsia" w:cs="宋体"/>
          <w:color w:val="auto"/>
          <w:szCs w:val="24"/>
          <w:highlight w:val="none"/>
        </w:rPr>
        <w:t>推荐成交候选供应商</w:t>
      </w:r>
    </w:p>
    <w:p>
      <w:pPr>
        <w:spacing w:line="360" w:lineRule="auto"/>
        <w:ind w:firstLine="480" w:firstLineChars="200"/>
        <w:rPr>
          <w:rFonts w:ascii="宋体" w:hAnsi="宋体" w:cs="宋体"/>
          <w:color w:val="auto"/>
          <w:highlight w:val="none"/>
        </w:rPr>
      </w:pPr>
      <w:r>
        <w:rPr>
          <w:rFonts w:hint="eastAsia"/>
          <w:lang w:val="en-US" w:eastAsia="zh-CN"/>
        </w:rPr>
        <w:t>磋商小组应当根据综合评分情况，按照评审得分由高到低顺序推荐3名以上成交候选供应商（符合《财政部关于政府采购竞争性磋商采购方式管理暂行办法有关问题的补充通知》财库</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201</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cs="宋体"/>
          <w:color w:val="auto"/>
          <w:highlight w:val="none"/>
        </w:rPr>
        <w:t>124</w:t>
      </w:r>
      <w:r>
        <w:rPr>
          <w:rFonts w:hint="eastAsia"/>
          <w:lang w:val="en-US" w:eastAsia="zh-CN"/>
        </w:rPr>
        <w:t>号文要求的除外），并编写评审报告。评审得分相同的，按照最后报价由低到高的顺序推荐。</w:t>
      </w:r>
      <w:r>
        <w:rPr>
          <w:rFonts w:hint="eastAsia" w:ascii="宋体" w:hAnsi="宋体" w:eastAsia="宋体" w:cs="宋体"/>
          <w:sz w:val="24"/>
          <w:szCs w:val="24"/>
          <w:lang w:val="en-US" w:eastAsia="zh-CN"/>
        </w:rPr>
        <w:t>得分和</w:t>
      </w:r>
      <w:r>
        <w:rPr>
          <w:rFonts w:hint="eastAsia" w:ascii="宋体" w:hAnsi="宋体" w:eastAsia="宋体" w:cs="宋体"/>
          <w:sz w:val="24"/>
          <w:szCs w:val="24"/>
          <w:lang w:eastAsia="zh-CN"/>
        </w:rPr>
        <w:t>报价相同且满足</w:t>
      </w:r>
      <w:r>
        <w:rPr>
          <w:rFonts w:hint="eastAsia" w:ascii="宋体" w:hAnsi="宋体" w:eastAsia="宋体" w:cs="宋体"/>
          <w:sz w:val="24"/>
          <w:szCs w:val="24"/>
          <w:lang w:val="en-US" w:eastAsia="zh-CN"/>
        </w:rPr>
        <w:t>磋商</w:t>
      </w:r>
      <w:r>
        <w:rPr>
          <w:rFonts w:hint="eastAsia" w:ascii="宋体" w:hAnsi="宋体" w:eastAsia="宋体" w:cs="宋体"/>
          <w:sz w:val="24"/>
          <w:szCs w:val="24"/>
          <w:lang w:eastAsia="zh-CN"/>
        </w:rPr>
        <w:t>文件全部实质性要求，</w:t>
      </w:r>
      <w:r>
        <w:rPr>
          <w:rFonts w:hint="eastAsia" w:ascii="宋体" w:hAnsi="宋体" w:eastAsia="宋体" w:cs="宋体"/>
          <w:sz w:val="24"/>
          <w:szCs w:val="24"/>
        </w:rPr>
        <w:t>评</w:t>
      </w:r>
      <w:r>
        <w:rPr>
          <w:rFonts w:hint="eastAsia" w:ascii="宋体" w:hAnsi="宋体" w:eastAsia="宋体" w:cs="宋体"/>
          <w:sz w:val="24"/>
          <w:szCs w:val="24"/>
          <w:lang w:val="en-US" w:eastAsia="zh-CN"/>
        </w:rPr>
        <w:t>审</w:t>
      </w:r>
      <w:r>
        <w:rPr>
          <w:rFonts w:hint="eastAsia" w:ascii="宋体" w:hAnsi="宋体" w:eastAsia="宋体" w:cs="宋体"/>
          <w:sz w:val="24"/>
          <w:szCs w:val="24"/>
        </w:rPr>
        <w:t>委员会优先推荐企业注册地在不发达地区</w:t>
      </w:r>
      <w:r>
        <w:rPr>
          <w:rFonts w:hint="eastAsia" w:ascii="宋体" w:hAnsi="宋体" w:eastAsia="宋体" w:cs="宋体"/>
          <w:sz w:val="24"/>
          <w:szCs w:val="24"/>
          <w:lang w:val="en-US" w:eastAsia="zh-CN"/>
        </w:rPr>
        <w:t>或</w:t>
      </w:r>
      <w:r>
        <w:rPr>
          <w:rFonts w:hint="eastAsia" w:ascii="宋体" w:hAnsi="宋体" w:eastAsia="宋体" w:cs="宋体"/>
          <w:sz w:val="24"/>
          <w:szCs w:val="24"/>
        </w:rPr>
        <w:t>少数民族地区的</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w:t>
      </w:r>
    </w:p>
    <w:p>
      <w:pPr>
        <w:pStyle w:val="4"/>
        <w:rPr>
          <w:color w:val="auto"/>
          <w:sz w:val="24"/>
          <w:szCs w:val="24"/>
          <w:highlight w:val="none"/>
        </w:rPr>
      </w:pPr>
      <w:bookmarkStart w:id="312" w:name="_Toc287623648"/>
      <w:bookmarkStart w:id="313" w:name="_Toc32301"/>
      <w:r>
        <w:rPr>
          <w:rFonts w:hint="eastAsia"/>
          <w:color w:val="auto"/>
          <w:sz w:val="24"/>
          <w:szCs w:val="24"/>
          <w:highlight w:val="none"/>
        </w:rPr>
        <w:t>确定成交供应商</w:t>
      </w:r>
      <w:bookmarkEnd w:id="312"/>
      <w:bookmarkEnd w:id="313"/>
    </w:p>
    <w:p>
      <w:pPr>
        <w:pStyle w:val="5"/>
        <w:bidi w:val="0"/>
        <w:ind w:left="0" w:leftChars="0" w:firstLine="482" w:firstLineChars="200"/>
        <w:rPr>
          <w:rFonts w:cs="宋体"/>
          <w:color w:val="auto"/>
          <w:szCs w:val="24"/>
          <w:highlight w:val="none"/>
        </w:rPr>
      </w:pPr>
      <w:r>
        <w:rPr>
          <w:rFonts w:hint="eastAsia" w:cs="宋体"/>
          <w:color w:val="auto"/>
          <w:szCs w:val="24"/>
          <w:highlight w:val="none"/>
        </w:rPr>
        <w:t>原则</w:t>
      </w:r>
    </w:p>
    <w:p>
      <w:p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本项目根据磋商小组推荐的成交候选人名单，按顺序确定成交供应商。</w:t>
      </w:r>
    </w:p>
    <w:p>
      <w:pPr>
        <w:pStyle w:val="5"/>
        <w:bidi w:val="0"/>
        <w:ind w:left="0" w:leftChars="0" w:firstLine="482" w:firstLineChars="200"/>
        <w:rPr>
          <w:rFonts w:cs="宋体"/>
          <w:color w:val="auto"/>
          <w:szCs w:val="24"/>
          <w:highlight w:val="none"/>
        </w:rPr>
      </w:pPr>
      <w:r>
        <w:rPr>
          <w:rFonts w:hint="eastAsia" w:cs="宋体"/>
          <w:color w:val="auto"/>
          <w:szCs w:val="24"/>
          <w:highlight w:val="none"/>
        </w:rPr>
        <w:t>定标程序</w:t>
      </w:r>
    </w:p>
    <w:p>
      <w:pPr>
        <w:numPr>
          <w:ilvl w:val="0"/>
          <w:numId w:val="44"/>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评审结束后，四川世科工程咨询有限公司于2个工作日将评审报告及有关资料送交采购人确定成交供应商。</w:t>
      </w:r>
    </w:p>
    <w:p>
      <w:pPr>
        <w:numPr>
          <w:ilvl w:val="0"/>
          <w:numId w:val="44"/>
        </w:numPr>
        <w:tabs>
          <w:tab w:val="left" w:pos="1155"/>
        </w:tabs>
        <w:snapToGrid w:val="0"/>
        <w:spacing w:line="360" w:lineRule="auto"/>
        <w:ind w:firstLine="480" w:firstLineChars="200"/>
        <w:rPr>
          <w:color w:val="auto"/>
          <w:highlight w:val="none"/>
        </w:rPr>
      </w:pPr>
      <w:r>
        <w:rPr>
          <w:rFonts w:hint="eastAsia" w:ascii="宋体" w:hAnsi="宋体" w:cs="宋体"/>
          <w:color w:val="auto"/>
          <w:highlight w:val="none"/>
        </w:rPr>
        <w:t>采购人在收到评审报告后，5个工作日内按照评审报告中推荐的成交候选人顺序确定成交供应商。如果成交候选人及其现任法定代表人、主要负责人存在行贿犯罪记录，采购人不确定其为成交人。</w:t>
      </w:r>
    </w:p>
    <w:p>
      <w:pPr>
        <w:numPr>
          <w:ilvl w:val="0"/>
          <w:numId w:val="44"/>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44"/>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采购人确定成交供应商过程中，发现成交候选供应商有下列情形之一的，应当不予确定其为成交供应商, 由后一位成交候选供应商接替，依次类推，或重新组织采购：</w:t>
      </w:r>
    </w:p>
    <w:p>
      <w:pPr>
        <w:numPr>
          <w:ilvl w:val="1"/>
          <w:numId w:val="45"/>
        </w:numPr>
        <w:tabs>
          <w:tab w:val="left" w:pos="851"/>
          <w:tab w:val="left" w:pos="1134"/>
          <w:tab w:val="left" w:pos="1276"/>
        </w:tabs>
        <w:snapToGrid w:val="0"/>
        <w:spacing w:line="360" w:lineRule="auto"/>
        <w:ind w:left="0" w:firstLine="480" w:firstLineChars="200"/>
        <w:rPr>
          <w:rFonts w:ascii="宋体" w:hAnsi="宋体" w:cs="宋体"/>
          <w:color w:val="auto"/>
          <w:highlight w:val="none"/>
        </w:rPr>
      </w:pPr>
      <w:bookmarkStart w:id="314" w:name="_Toc287623649"/>
      <w:r>
        <w:rPr>
          <w:rFonts w:hint="eastAsia" w:ascii="宋体" w:hAnsi="宋体" w:cs="宋体"/>
          <w:color w:val="auto"/>
          <w:highlight w:val="none"/>
        </w:rPr>
        <w:t>成交候选供应商存在违法、违纪行为的；</w:t>
      </w:r>
    </w:p>
    <w:p>
      <w:pPr>
        <w:numPr>
          <w:ilvl w:val="1"/>
          <w:numId w:val="45"/>
        </w:numPr>
        <w:tabs>
          <w:tab w:val="left" w:pos="851"/>
          <w:tab w:val="left" w:pos="1134"/>
          <w:tab w:val="left" w:pos="1276"/>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成交候选供应商因不可抗力、社会经济形势发生重大变化、破产、重组等原因确定无法履行政府采购合同的。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采购人不按要求确定候选供应商为成交供应商的，应提供相关证明材料并报财政部门备案。</w:t>
      </w:r>
    </w:p>
    <w:p>
      <w:pPr>
        <w:pStyle w:val="4"/>
        <w:rPr>
          <w:color w:val="auto"/>
          <w:sz w:val="24"/>
          <w:szCs w:val="24"/>
          <w:highlight w:val="none"/>
        </w:rPr>
      </w:pPr>
      <w:bookmarkStart w:id="315" w:name="_Toc7817"/>
      <w:r>
        <w:rPr>
          <w:rFonts w:hint="eastAsia"/>
          <w:color w:val="auto"/>
          <w:sz w:val="24"/>
          <w:szCs w:val="24"/>
          <w:highlight w:val="none"/>
        </w:rPr>
        <w:t>成交</w:t>
      </w:r>
      <w:bookmarkEnd w:id="314"/>
      <w:r>
        <w:rPr>
          <w:rFonts w:hint="eastAsia"/>
          <w:color w:val="auto"/>
          <w:sz w:val="24"/>
          <w:szCs w:val="24"/>
          <w:highlight w:val="none"/>
        </w:rPr>
        <w:t>结果</w:t>
      </w:r>
      <w:bookmarkEnd w:id="315"/>
    </w:p>
    <w:p>
      <w:pPr>
        <w:widowControl w:val="0"/>
        <w:numPr>
          <w:ilvl w:val="0"/>
          <w:numId w:val="46"/>
        </w:numPr>
        <w:spacing w:line="360" w:lineRule="auto"/>
        <w:ind w:left="0" w:leftChars="0" w:firstLine="420" w:firstLineChars="0"/>
        <w:rPr>
          <w:rFonts w:ascii="宋体" w:hAnsi="宋体"/>
          <w:color w:val="auto"/>
          <w:sz w:val="24"/>
          <w:szCs w:val="24"/>
          <w:highlight w:val="none"/>
        </w:rPr>
      </w:pPr>
      <w:r>
        <w:rPr>
          <w:rFonts w:hint="eastAsia" w:ascii="宋体" w:hAnsi="宋体"/>
          <w:color w:val="auto"/>
          <w:sz w:val="24"/>
          <w:szCs w:val="24"/>
          <w:highlight w:val="none"/>
        </w:rPr>
        <w:t>根据采购人确定的成交供应商，采购代理机构自采购人确定成交之日起2个工作日内在《四川政府采购网》上发布成交公告，同时向成交供应商发出成交通知书。</w:t>
      </w:r>
    </w:p>
    <w:p>
      <w:pPr>
        <w:widowControl w:val="0"/>
        <w:numPr>
          <w:ilvl w:val="0"/>
          <w:numId w:val="46"/>
        </w:numPr>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成交公告在四川政府采购网上公告后，成交供应商自行登录政府采购云平台下载成交通知书。</w:t>
      </w:r>
    </w:p>
    <w:p>
      <w:pPr>
        <w:pStyle w:val="4"/>
        <w:rPr>
          <w:color w:val="auto"/>
          <w:sz w:val="24"/>
          <w:szCs w:val="24"/>
          <w:highlight w:val="none"/>
        </w:rPr>
      </w:pPr>
      <w:bookmarkStart w:id="316" w:name="_Toc405886181"/>
      <w:bookmarkStart w:id="317" w:name="_Toc6282"/>
      <w:r>
        <w:rPr>
          <w:rFonts w:hint="eastAsia"/>
          <w:color w:val="auto"/>
          <w:sz w:val="24"/>
          <w:szCs w:val="24"/>
          <w:highlight w:val="none"/>
        </w:rPr>
        <w:t>询问、质疑</w:t>
      </w:r>
      <w:bookmarkEnd w:id="316"/>
      <w:r>
        <w:rPr>
          <w:rFonts w:hint="eastAsia"/>
          <w:color w:val="auto"/>
          <w:sz w:val="24"/>
          <w:szCs w:val="24"/>
          <w:highlight w:val="none"/>
        </w:rPr>
        <w:t>和投诉</w:t>
      </w:r>
      <w:bookmarkEnd w:id="317"/>
    </w:p>
    <w:p>
      <w:pPr>
        <w:pStyle w:val="2"/>
        <w:pageBreakBefore w:val="0"/>
        <w:numPr>
          <w:ilvl w:val="0"/>
          <w:numId w:val="47"/>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质疑、投诉的接收和处理严格按照《中华人民共和国政府采购法》(主席令【2002】第68号)、《中华人民共和国政府采购法实施条例》(国务院令第658号)、《政府采购质疑和投诉办法》(财政部令第94号)以及《关于贯彻落实</w:t>
      </w:r>
      <w:r>
        <w:rPr>
          <w:rFonts w:hint="eastAsia" w:ascii="宋体" w:hAnsi="宋体" w:eastAsia="宋体" w:cs="宋体"/>
          <w:bCs/>
          <w:color w:val="auto"/>
          <w:kern w:val="36"/>
          <w:sz w:val="24"/>
          <w:szCs w:val="24"/>
          <w:highlight w:val="none"/>
        </w:rPr>
        <w:t>&lt;中华人民共和国政府采购法实施条例&gt;等的若干规定</w:t>
      </w:r>
      <w:r>
        <w:rPr>
          <w:rFonts w:hint="eastAsia" w:ascii="宋体" w:hAnsi="宋体" w:eastAsia="宋体" w:cs="宋体"/>
          <w:color w:val="auto"/>
          <w:sz w:val="24"/>
          <w:szCs w:val="24"/>
          <w:highlight w:val="none"/>
        </w:rPr>
        <w:t>》的规定办理。</w:t>
      </w:r>
    </w:p>
    <w:p>
      <w:pPr>
        <w:pStyle w:val="2"/>
        <w:pageBreakBefore w:val="0"/>
        <w:numPr>
          <w:ilvl w:val="0"/>
          <w:numId w:val="47"/>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供应商提出的询问，应当明确询问事项，如以书面形式提出的，应由供应商签字并加盖单位公章。</w:t>
      </w:r>
    </w:p>
    <w:p>
      <w:pPr>
        <w:pStyle w:val="2"/>
        <w:pageBreakBefore w:val="0"/>
        <w:numPr>
          <w:ilvl w:val="0"/>
          <w:numId w:val="47"/>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或者成交结果使自己的权益受到损害的，可以在知道或者应知其权益受到损害之日起7个工作日内，以书面形式向采购人、采购代理机构提出质疑。供应商应当在法定质疑期内一次性提出针对同一采购程序环节的质疑。</w:t>
      </w:r>
    </w:p>
    <w:p>
      <w:pPr>
        <w:pStyle w:val="2"/>
        <w:keepNext w:val="0"/>
        <w:keepLines w:val="0"/>
        <w:pageBreakBefore w:val="0"/>
        <w:numPr>
          <w:ilvl w:val="0"/>
          <w:numId w:val="47"/>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（一）供应商的姓名或者名称、地址、邮编、联系人及联系电话；</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（三）具体、明确的质疑事项和与质疑事项相关的请求；</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（五）必要的法律依据；</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（六）提出质疑的日期。</w:t>
      </w:r>
    </w:p>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318" w:name="_Toc287623650"/>
      <w:bookmarkStart w:id="319" w:name="_Toc16953"/>
      <w:r>
        <w:rPr>
          <w:rFonts w:hint="eastAsia" w:ascii="宋体" w:hAnsi="宋体" w:eastAsia="宋体" w:cs="宋体"/>
          <w:color w:val="auto"/>
          <w:sz w:val="24"/>
          <w:szCs w:val="24"/>
          <w:highlight w:val="none"/>
        </w:rPr>
        <w:t>签订合同</w:t>
      </w:r>
      <w:bookmarkEnd w:id="318"/>
      <w:bookmarkEnd w:id="319"/>
    </w:p>
    <w:p>
      <w:pPr>
        <w:numPr>
          <w:ilvl w:val="0"/>
          <w:numId w:val="48"/>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收到四川世科工程咨询有限公司发出的成交通知书30天内与采购人签订采购合同。由于成交供应商的原因逾期未与采购人签订采购合同的，将视为放弃成交，取消其成交资格并将按相关规定进行处理。</w:t>
      </w:r>
    </w:p>
    <w:p>
      <w:pPr>
        <w:numPr>
          <w:ilvl w:val="0"/>
          <w:numId w:val="48"/>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采购人不得向成交供应商提出任何不合理的要求，作为签订合同的条件，不得与成交供应商私下订立背离合同实质性内容的任何协议，所签订的合同不得对竞争性磋商文件和成交供应商响应文件作实质性修改。</w:t>
      </w:r>
    </w:p>
    <w:p>
      <w:pPr>
        <w:numPr>
          <w:ilvl w:val="0"/>
          <w:numId w:val="48"/>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成交供应商在合同签订之后三个工作日内，将签订的合同(原件一份)送至采购代理公司备案。联系人：李老师，联系电话：028-61032618。</w:t>
      </w:r>
    </w:p>
    <w:p>
      <w:pPr>
        <w:numPr>
          <w:ilvl w:val="0"/>
          <w:numId w:val="48"/>
        </w:numPr>
        <w:tabs>
          <w:tab w:val="left" w:pos="1134"/>
        </w:tabs>
        <w:snapToGrid w:val="0"/>
        <w:spacing w:line="360" w:lineRule="auto"/>
        <w:ind w:firstLine="480" w:firstLineChars="200"/>
        <w:rPr>
          <w:rFonts w:ascii="宋体" w:hAnsi="宋体" w:cs="宋体"/>
          <w:color w:val="auto"/>
          <w:highlight w:val="none"/>
        </w:rPr>
      </w:pPr>
      <w:bookmarkStart w:id="320" w:name="_Toc217446069"/>
      <w:r>
        <w:rPr>
          <w:rFonts w:hint="eastAsia" w:ascii="宋体" w:hAnsi="宋体" w:cs="宋体"/>
          <w:color w:val="auto"/>
          <w:highlight w:val="none"/>
        </w:rPr>
        <w:t>询问或者质疑事项可能影响成交结果的，采购人应当暂停签订合同，已经签订合同的，应当中止履行合同。</w:t>
      </w:r>
    </w:p>
    <w:bookmarkEnd w:id="320"/>
    <w:p>
      <w:pPr>
        <w:pStyle w:val="4"/>
        <w:rPr>
          <w:color w:val="auto"/>
          <w:sz w:val="24"/>
          <w:szCs w:val="24"/>
          <w:highlight w:val="none"/>
        </w:rPr>
      </w:pPr>
      <w:bookmarkStart w:id="321" w:name="_Toc17229"/>
      <w:bookmarkStart w:id="322" w:name="_Toc217446070"/>
      <w:r>
        <w:rPr>
          <w:rFonts w:hint="eastAsia"/>
          <w:color w:val="auto"/>
          <w:sz w:val="24"/>
          <w:szCs w:val="24"/>
          <w:highlight w:val="none"/>
        </w:rPr>
        <w:t>采购人增加合同的权利</w:t>
      </w:r>
      <w:bookmarkEnd w:id="321"/>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rPr>
          <w:color w:val="auto"/>
          <w:sz w:val="24"/>
          <w:szCs w:val="24"/>
          <w:highlight w:val="none"/>
        </w:rPr>
      </w:pPr>
      <w:bookmarkStart w:id="323" w:name="_Toc13852"/>
      <w:r>
        <w:rPr>
          <w:rFonts w:hint="eastAsia"/>
          <w:color w:val="auto"/>
          <w:sz w:val="24"/>
          <w:szCs w:val="24"/>
          <w:highlight w:val="none"/>
        </w:rPr>
        <w:t>履行合同</w:t>
      </w:r>
      <w:bookmarkEnd w:id="323"/>
    </w:p>
    <w:p>
      <w:pPr>
        <w:widowControl w:val="0"/>
        <w:numPr>
          <w:ilvl w:val="0"/>
          <w:numId w:val="49"/>
        </w:numPr>
        <w:tabs>
          <w:tab w:val="left" w:pos="113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合同一经签订，双方应严格履行合同规定的义务。</w:t>
      </w:r>
    </w:p>
    <w:p>
      <w:pPr>
        <w:widowControl w:val="0"/>
        <w:numPr>
          <w:ilvl w:val="0"/>
          <w:numId w:val="49"/>
        </w:numPr>
        <w:tabs>
          <w:tab w:val="left" w:pos="113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在合同履行过程中，如发生合同纠纷，合同双方应按照《</w:t>
      </w:r>
      <w:r>
        <w:rPr>
          <w:rFonts w:hint="eastAsia" w:ascii="宋体" w:hAnsi="宋体" w:cs="宋体"/>
          <w:color w:val="auto"/>
          <w:sz w:val="24"/>
          <w:szCs w:val="24"/>
          <w:highlight w:val="none"/>
          <w:lang w:val="en-US" w:eastAsia="zh-CN"/>
        </w:rPr>
        <w:t>中华人民共和国民法典</w:t>
      </w:r>
      <w:r>
        <w:rPr>
          <w:rFonts w:hint="eastAsia" w:ascii="宋体" w:hAnsi="宋体" w:cs="宋体"/>
          <w:color w:val="auto"/>
          <w:sz w:val="24"/>
          <w:szCs w:val="24"/>
          <w:highlight w:val="none"/>
        </w:rPr>
        <w:t>》及合同条款的有关规定进行处理。</w:t>
      </w:r>
    </w:p>
    <w:bookmarkEnd w:id="322"/>
    <w:p>
      <w:pPr>
        <w:pStyle w:val="4"/>
        <w:rPr>
          <w:color w:val="auto"/>
          <w:sz w:val="24"/>
          <w:szCs w:val="24"/>
          <w:highlight w:val="none"/>
        </w:rPr>
      </w:pPr>
      <w:bookmarkStart w:id="324" w:name="_Toc27195"/>
      <w:r>
        <w:rPr>
          <w:rFonts w:hint="eastAsia"/>
          <w:color w:val="auto"/>
          <w:sz w:val="24"/>
          <w:szCs w:val="24"/>
          <w:highlight w:val="none"/>
        </w:rPr>
        <w:t>竞争性磋商工作纪律及要求</w:t>
      </w:r>
      <w:bookmarkEnd w:id="324"/>
    </w:p>
    <w:p>
      <w:pPr>
        <w:pStyle w:val="5"/>
        <w:bidi w:val="0"/>
        <w:ind w:left="0" w:leftChars="0" w:firstLine="482" w:firstLineChars="200"/>
        <w:rPr>
          <w:rFonts w:cs="宋体"/>
          <w:color w:val="auto"/>
          <w:sz w:val="24"/>
          <w:szCs w:val="24"/>
          <w:highlight w:val="none"/>
        </w:rPr>
      </w:pPr>
      <w:bookmarkStart w:id="325" w:name="_Toc421781446"/>
      <w:bookmarkStart w:id="326" w:name="_Toc320698748"/>
      <w:r>
        <w:rPr>
          <w:rFonts w:hint="eastAsia" w:cs="宋体"/>
          <w:color w:val="auto"/>
          <w:sz w:val="24"/>
          <w:szCs w:val="24"/>
          <w:highlight w:val="none"/>
        </w:rPr>
        <w:t>采购人工作职责</w:t>
      </w:r>
      <w:bookmarkEnd w:id="325"/>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竞争性磋商采购活动中，采购人应当履行下列工作职责：</w:t>
      </w:r>
      <w:bookmarkEnd w:id="326"/>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提出科学合理的采购需求；</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委托采购人代表；</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配合采购执行机构制定没有倾向性、歧视性的竞争性磋商文件；</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依法确定成交供应商；</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依法开展供应商履约验收；</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按照合同约定及时支付采购资金；</w:t>
      </w:r>
    </w:p>
    <w:p>
      <w:pPr>
        <w:numPr>
          <w:ilvl w:val="0"/>
          <w:numId w:val="5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bidi w:val="0"/>
        <w:ind w:left="0" w:leftChars="0" w:firstLine="482" w:firstLineChars="200"/>
        <w:rPr>
          <w:rFonts w:cs="宋体"/>
          <w:color w:val="auto"/>
          <w:szCs w:val="24"/>
          <w:highlight w:val="none"/>
        </w:rPr>
      </w:pPr>
      <w:bookmarkStart w:id="327" w:name="_Toc421781447"/>
      <w:bookmarkStart w:id="328" w:name="_Toc320698749"/>
      <w:r>
        <w:rPr>
          <w:rFonts w:hint="eastAsia" w:cs="宋体"/>
          <w:color w:val="auto"/>
          <w:szCs w:val="24"/>
          <w:highlight w:val="none"/>
        </w:rPr>
        <w:t>采购执行机构工作职责</w:t>
      </w:r>
      <w:bookmarkEnd w:id="327"/>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竞争性磋商采购活动中，采购执行机构应当履行下列工作职责：</w:t>
      </w:r>
      <w:bookmarkEnd w:id="328"/>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依法组建磋商小组；</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制定没有倾向性、歧视性的竞争性磋商文件；</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依法发布政府采购信息公告；</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支付磋商小组成员报酬；</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严格执行采购程序；</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组织采购活动；</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依法处理供应商质疑；</w:t>
      </w:r>
    </w:p>
    <w:p>
      <w:pPr>
        <w:numPr>
          <w:ilvl w:val="0"/>
          <w:numId w:val="5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bidi w:val="0"/>
        <w:ind w:left="0" w:leftChars="0" w:firstLine="482" w:firstLineChars="200"/>
        <w:rPr>
          <w:rFonts w:cs="宋体"/>
          <w:color w:val="auto"/>
          <w:szCs w:val="24"/>
          <w:highlight w:val="none"/>
        </w:rPr>
      </w:pPr>
      <w:bookmarkStart w:id="329" w:name="_Toc421781448"/>
      <w:bookmarkStart w:id="330" w:name="_Toc320698750"/>
      <w:r>
        <w:rPr>
          <w:rFonts w:hint="eastAsia" w:cs="宋体"/>
          <w:color w:val="auto"/>
          <w:szCs w:val="24"/>
          <w:highlight w:val="none"/>
        </w:rPr>
        <w:t>磋商小组工作职责</w:t>
      </w:r>
      <w:bookmarkEnd w:id="329"/>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竞争性磋商采购活动中，磋商小组成员应当履行下列工作职责：</w:t>
      </w:r>
      <w:bookmarkEnd w:id="330"/>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确认或者制定竞争性磋商文件；</w:t>
      </w:r>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参加竞争性磋商活动；</w:t>
      </w:r>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依法、客观、公平、公正开展供应商资格审查、磋商和推荐成交候选供应商；</w:t>
      </w:r>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保守供应商的商业秘密；</w:t>
      </w:r>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配合处理供应商投诉；</w:t>
      </w:r>
    </w:p>
    <w:p>
      <w:pPr>
        <w:numPr>
          <w:ilvl w:val="0"/>
          <w:numId w:val="52"/>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bidi w:val="0"/>
        <w:ind w:left="0" w:leftChars="0" w:firstLine="482" w:firstLineChars="200"/>
        <w:rPr>
          <w:rFonts w:cs="宋体"/>
          <w:color w:val="auto"/>
          <w:szCs w:val="24"/>
          <w:highlight w:val="none"/>
        </w:rPr>
      </w:pPr>
      <w:bookmarkStart w:id="331" w:name="_Toc421781449"/>
      <w:bookmarkStart w:id="332" w:name="_Toc320698751"/>
      <w:r>
        <w:rPr>
          <w:rFonts w:hint="eastAsia" w:cs="宋体"/>
          <w:color w:val="auto"/>
          <w:szCs w:val="24"/>
          <w:highlight w:val="none"/>
        </w:rPr>
        <w:t>供应商职责</w:t>
      </w:r>
      <w:bookmarkEnd w:id="331"/>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竞争性磋商采购活动中，供应商应当履行下列职责：</w:t>
      </w:r>
      <w:bookmarkEnd w:id="332"/>
    </w:p>
    <w:p>
      <w:pPr>
        <w:numPr>
          <w:ilvl w:val="0"/>
          <w:numId w:val="5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依法、诚信参加政府采购活动；</w:t>
      </w:r>
    </w:p>
    <w:p>
      <w:pPr>
        <w:numPr>
          <w:ilvl w:val="0"/>
          <w:numId w:val="5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5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严格履行政府采购合同约定；</w:t>
      </w:r>
    </w:p>
    <w:p>
      <w:pPr>
        <w:numPr>
          <w:ilvl w:val="0"/>
          <w:numId w:val="5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其他需要履行的职责。</w:t>
      </w:r>
    </w:p>
    <w:p>
      <w:pPr>
        <w:pStyle w:val="4"/>
        <w:rPr>
          <w:color w:val="auto"/>
          <w:sz w:val="24"/>
          <w:szCs w:val="24"/>
          <w:highlight w:val="none"/>
        </w:rPr>
      </w:pPr>
      <w:bookmarkStart w:id="333" w:name="_Toc7208"/>
      <w:r>
        <w:rPr>
          <w:rFonts w:hint="eastAsia"/>
          <w:color w:val="auto"/>
          <w:sz w:val="24"/>
          <w:szCs w:val="24"/>
          <w:highlight w:val="none"/>
        </w:rPr>
        <w:t>回避</w:t>
      </w:r>
      <w:bookmarkEnd w:id="333"/>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（一）参加采购活动前3年内与供应商存在劳动关系；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（二）参加采购活动前3年内担任供应商的董事、监事；</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（三）参加采购活动前3年内是供应商的控股股东或者实际控制人；</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（四）与供应商的法定代表人或者负责人有夫妻、直系血亲、三代以内旁系血亲或者近姻亲关系；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（五）与供应商有其他可能影响政府采购活动公平、公正进行的关系。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rPr>
          <w:color w:val="auto"/>
          <w:sz w:val="24"/>
          <w:szCs w:val="24"/>
          <w:highlight w:val="none"/>
        </w:rPr>
      </w:pPr>
      <w:bookmarkStart w:id="334" w:name="_Toc32689"/>
      <w:r>
        <w:rPr>
          <w:rFonts w:hint="eastAsia"/>
          <w:color w:val="auto"/>
          <w:sz w:val="24"/>
          <w:szCs w:val="24"/>
          <w:highlight w:val="none"/>
        </w:rPr>
        <w:t>其他</w:t>
      </w:r>
      <w:bookmarkEnd w:id="334"/>
    </w:p>
    <w:p>
      <w:p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采购人可以要求参加政府采购的供应商提供有关资质证明文件和业绩情况，并根据《中华人民共和国政府采购法》规定的供应商条件和采购项目对供应商的特定要求，对供应商的资格进行审查。</w:t>
      </w:r>
    </w:p>
    <w:p>
      <w:pPr>
        <w:widowControl w:val="0"/>
        <w:numPr>
          <w:ilvl w:val="2"/>
          <w:numId w:val="54"/>
        </w:numPr>
        <w:tabs>
          <w:tab w:val="left" w:pos="1200"/>
        </w:tabs>
        <w:spacing w:line="360" w:lineRule="auto"/>
        <w:ind w:left="0" w:firstLine="480" w:firstLineChars="200"/>
        <w:rPr>
          <w:rFonts w:ascii="宋体" w:hAnsi="宋体" w:cs="宋体"/>
          <w:color w:val="auto"/>
          <w:highlight w:val="none"/>
        </w:rPr>
        <w:sectPr>
          <w:pgSz w:w="11906" w:h="16838"/>
          <w:pgMar w:top="1417" w:right="1417" w:bottom="1417" w:left="1417" w:header="851" w:footer="850" w:gutter="0"/>
          <w:cols w:space="0" w:num="1"/>
          <w:titlePg/>
          <w:docGrid w:type="lines" w:linePitch="312" w:charSpace="0"/>
        </w:sectPr>
      </w:pPr>
    </w:p>
    <w:p>
      <w:pPr>
        <w:pStyle w:val="3"/>
        <w:rPr>
          <w:rFonts w:hint="eastAsia"/>
          <w:color w:val="auto"/>
          <w:highlight w:val="none"/>
        </w:rPr>
      </w:pPr>
      <w:bookmarkStart w:id="335" w:name="_Toc31900"/>
      <w:r>
        <w:rPr>
          <w:rFonts w:hint="eastAsia"/>
          <w:color w:val="auto"/>
          <w:highlight w:val="none"/>
        </w:rPr>
        <w:t>项目技术、服务及其他要求</w:t>
      </w:r>
      <w:bookmarkEnd w:id="335"/>
    </w:p>
    <w:p>
      <w:pPr>
        <w:pStyle w:val="4"/>
        <w:pageBreakBefore w:val="0"/>
        <w:widowControl w:val="0"/>
        <w:kinsoku/>
        <w:wordWrap/>
        <w:overflowPunct/>
        <w:topLinePunct w:val="0"/>
        <w:autoSpaceDE/>
        <w:autoSpaceDN/>
        <w:bidi w:val="0"/>
        <w:spacing w:line="360" w:lineRule="auto"/>
        <w:textAlignment w:val="auto"/>
        <w:rPr>
          <w:color w:val="auto"/>
          <w:sz w:val="24"/>
          <w:szCs w:val="24"/>
          <w:highlight w:val="none"/>
        </w:rPr>
      </w:pPr>
      <w:bookmarkStart w:id="336" w:name="_Toc5370"/>
      <w:bookmarkStart w:id="337" w:name="_Toc23195"/>
      <w:r>
        <w:rPr>
          <w:rFonts w:hint="eastAsia"/>
          <w:color w:val="auto"/>
          <w:sz w:val="24"/>
          <w:szCs w:val="24"/>
          <w:highlight w:val="none"/>
          <w:lang w:val="en-US" w:eastAsia="zh-CN"/>
        </w:rPr>
        <w:t>项目概述</w:t>
      </w:r>
      <w:bookmarkEnd w:id="336"/>
    </w:p>
    <w:p>
      <w:pPr>
        <w:pStyle w:val="20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为积极应对社会治安发展形势，“深入推进立体化社会治安防控体系建设，全面提升动态化、信息化条件下社会治安治理能力。”党和国家出台了一系列政策法规，对社会治安防控体系和平安城市的建设提出了新的要求。2021年作为“十四五”的开局之年，保障经济社会发展、维护国家政治安全和社会稳定，加强对公安基础设施建设、装备建设、信息化建设和社会治安防控体系建设等事关公安事业长远发展。</w:t>
      </w:r>
    </w:p>
    <w:p>
      <w:pPr>
        <w:pStyle w:val="20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2020年5月，公安部发布《公安视频图像智能化建设应用指南》，从总体架构、视频图像设施、视频图像服务、视频图像数据、视频图像应用等方面进行了详细解读，明确提出视频图像解析和处理的基础能力主要包括检测解析、特征比对、关联聚类、视图处理以及分析管理等功能，实现视频图像信息识别检索、分析挖掘。</w:t>
      </w:r>
    </w:p>
    <w:p>
      <w:pPr>
        <w:pStyle w:val="20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2020年10月，四川省公安厅发布《四川公安视频图像智能化（视觉计算）建设应用指南》，为促进公安部《公安视频图像智能化建设应用指南》落地，充分发挥示范建设的引领作用，省厅在总结梳理各地视频图像智能应用业务的基础上，提出“一中心、多边缘、泛感知、全融合”的视觉计算新思路，推进视觉计算系统建设及应用，解决当前存在的主要问题。</w:t>
      </w:r>
    </w:p>
    <w:p>
      <w:pPr>
        <w:pStyle w:val="20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都市公安局也在近年来根据部、省指导要求，结合自身管理特性针对“视频图像信息类”建设方面提供了建设指导意见，如《成都市人像识别平台应用系统建设指导规范》、《成都市公安局多维感知网建设技术导则（V 1.0）》等规范文件，重点在全局架构模块建设、人像业务标准化建设、点位布点规划、标准化数据整合、区县基本应用等方面做出了相应指导，让区县建设更加清晰，为龙泉驿分局视图智能化应用信息化项目建设规划提供了明确、坚实的基础。</w:t>
      </w:r>
    </w:p>
    <w:p>
      <w:pPr>
        <w:pStyle w:val="20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认真落实成都市委“东进”“中优”战略部署，力争到2025年，将龙泉驿区基本建成践行新发展理念的“先进汽车智造区、美好生活品质城”，努力走在成都建设践行新发展理念的公园城市示范区前列，同时全力确保第31届世界大学生夏季运动会成功举办，成都市公安局龙泉驿分局为进一步优化完善全区立体化治安防控体系，提升信息化“打、防、管、控、服”能力，在现有基础上进一步织密龙泉驿区防控圈层，提升智慧化警务应用，为智慧社区、智慧交通等信息化警务建设打牢基础。</w:t>
      </w:r>
    </w:p>
    <w:p>
      <w:pPr>
        <w:pStyle w:val="20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从平安城市、“天网”工程到“雪亮”工程，视频监控已经从最初的点位建设、近几年的联网整合，到如今的智能分析、智能识别、智能应用。在视图数据的采集、存储、共享，特别是分析、应用、融合系统方面，龙泉驿区公安分局结合自身业务特点做出了大量积极尝试，已经实现了部分基于智能视觉的人脸和视频结构化相关应用场景，初步形成了一张“人像轨迹网”，能够实现覆盖区域内的人像轨迹“秒级查询”等应用，对犯罪嫌疑人目标定位、落脚点分析起到了高效的辅助手段，取得了丰富的战果。</w:t>
      </w:r>
    </w:p>
    <w:p>
      <w:pPr>
        <w:pStyle w:val="20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在针对龙泉驿区治安管控、“打、防、管、控、服”方面开启了前所未有的高效率，为龙泉驿区分局警务实战提供了“利器”。但就目前情况来看，针对人像网络覆盖密度、视频结构化应用、数据共享整合等方面还存在一定需要深挖升级的建设部分。</w:t>
      </w:r>
    </w:p>
    <w:p>
      <w:pPr>
        <w:pStyle w:val="4"/>
        <w:pageBreakBefore w:val="0"/>
        <w:kinsoku/>
        <w:wordWrap/>
        <w:overflowPunct/>
        <w:topLinePunct w:val="0"/>
        <w:autoSpaceDE/>
        <w:autoSpaceDN/>
        <w:bidi w:val="0"/>
        <w:spacing w:line="460" w:lineRule="exact"/>
        <w:ind w:left="325" w:leftChars="0" w:firstLine="0" w:firstLineChars="0"/>
        <w:textAlignment w:val="auto"/>
        <w:rPr>
          <w:rFonts w:hint="eastAsia" w:ascii="宋体" w:hAnsi="宋体" w:eastAsia="宋体" w:cs="宋体"/>
          <w:color w:val="auto"/>
          <w:sz w:val="24"/>
          <w:szCs w:val="24"/>
          <w:highlight w:val="none"/>
          <w:lang w:val="en-US" w:eastAsia="zh-CN"/>
        </w:rPr>
      </w:pPr>
      <w:bookmarkStart w:id="338" w:name="_Toc13272"/>
      <w:bookmarkStart w:id="339" w:name="_Toc19826"/>
      <w:bookmarkStart w:id="340" w:name="_Toc9279"/>
      <w:r>
        <w:rPr>
          <w:rFonts w:hint="eastAsia" w:cs="宋体"/>
          <w:color w:val="auto"/>
          <w:sz w:val="24"/>
          <w:szCs w:val="24"/>
          <w:highlight w:val="none"/>
          <w:lang w:val="en-US" w:eastAsia="zh-CN"/>
        </w:rPr>
        <w:t>技术</w:t>
      </w:r>
      <w:r>
        <w:rPr>
          <w:rFonts w:hint="eastAsia" w:eastAsia="宋体" w:cs="宋体"/>
          <w:color w:val="auto"/>
          <w:sz w:val="24"/>
          <w:szCs w:val="24"/>
          <w:highlight w:val="none"/>
          <w:lang w:val="en-US" w:eastAsia="zh-CN"/>
        </w:rPr>
        <w:t>要求</w:t>
      </w:r>
      <w:bookmarkEnd w:id="338"/>
      <w:bookmarkEnd w:id="339"/>
    </w:p>
    <w:p>
      <w:pPr>
        <w:pStyle w:val="5"/>
        <w:pageBreakBefore w:val="0"/>
        <w:widowControl w:val="0"/>
        <w:kinsoku/>
        <w:wordWrap/>
        <w:overflowPunct/>
        <w:topLinePunct w:val="0"/>
        <w:autoSpaceDE/>
        <w:autoSpaceDN/>
        <w:bidi w:val="0"/>
        <w:adjustRightInd/>
        <w:snapToGrid/>
        <w:spacing w:line="360" w:lineRule="auto"/>
        <w:ind w:left="5" w:leftChars="0" w:firstLine="475" w:firstLineChars="197"/>
        <w:textAlignment w:val="auto"/>
        <w:rPr>
          <w:rFonts w:hint="eastAsia" w:ascii="宋体" w:hAnsi="宋体" w:eastAsia="宋体" w:cs="宋体"/>
          <w:b/>
          <w:bCs/>
          <w:sz w:val="24"/>
          <w:szCs w:val="24"/>
        </w:rPr>
      </w:pPr>
      <w:r>
        <w:rPr>
          <w:rFonts w:hint="eastAsia" w:cs="宋体"/>
          <w:b/>
          <w:bCs/>
          <w:sz w:val="24"/>
          <w:szCs w:val="24"/>
          <w:lang w:val="en-US" w:eastAsia="zh-CN"/>
        </w:rPr>
        <w:t>建设目标</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以科技信息化为牵引，大力推进打防管控一体化，努力实现集约合成、高效运作，着力提高社会治安防控体系的整体效能，增强社会治安整体防控能力，使各类犯罪等得到有效遏制，使影响群众安全感的多发性案件和公共安全事故得到有效防范，人民群众安全感和满意度明显提升，社会更加和谐有序。</w:t>
      </w:r>
    </w:p>
    <w:p>
      <w:pPr>
        <w:pStyle w:val="20"/>
        <w:pageBreakBefore w:val="0"/>
        <w:widowControl w:val="0"/>
        <w:numPr>
          <w:ilvl w:val="0"/>
          <w:numId w:val="5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为智慧龙泉驿建设打下坚实基础</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建设以数据资源为核心、业务应用为基础、信息技术为支撑、适应现代社会发展为目标，构建全域智慧发展体系的“智慧龙泉驿”建设指导思想，从战略层面确定未来“智慧龙泉驿”建设的目标，本期工程建设为智慧龙泉驿建设打下坚实基础，提供智慧龙泉驿重要的数据资源和业务应用。</w:t>
      </w:r>
    </w:p>
    <w:p>
      <w:pPr>
        <w:pStyle w:val="20"/>
        <w:pageBreakBefore w:val="0"/>
        <w:widowControl w:val="0"/>
        <w:numPr>
          <w:ilvl w:val="0"/>
          <w:numId w:val="5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为平安龙泉驿提供高效管控手段</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通过在重点区域、重要位置、重点场所等位置部署高清前端视频图像采集设备，机房部署后端解析和管理软硬件，提供基于视频图像的智能化应用，实现新形势下对龙泉驿区范围内的人、车、物的流动管控，提高公安机关打防管控能力，降低犯罪率，增强平安感和幸福感。</w:t>
      </w:r>
    </w:p>
    <w:p>
      <w:pPr>
        <w:pStyle w:val="20"/>
        <w:pageBreakBefore w:val="0"/>
        <w:widowControl w:val="0"/>
        <w:numPr>
          <w:ilvl w:val="0"/>
          <w:numId w:val="5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为信息安全提供技术基础</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按照国家最新信息安全等保规范和要求部署网络安全系统软硬件，确保前端接入安全、终端使用安全、数据操作和审计安全，实现公安安全视频图像数据采集、传输、存储和使用的全过程安全可靠。</w:t>
      </w:r>
    </w:p>
    <w:p>
      <w:pPr>
        <w:pStyle w:val="20"/>
        <w:pageBreakBefore w:val="0"/>
        <w:widowControl w:val="0"/>
        <w:numPr>
          <w:ilvl w:val="0"/>
          <w:numId w:val="5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实现自动化运维和可视化管控</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i w:val="0"/>
          <w:iCs w:val="0"/>
          <w:kern w:val="2"/>
          <w:sz w:val="24"/>
          <w:szCs w:val="24"/>
          <w:lang w:val="en-US" w:eastAsia="zh-CN" w:bidi="ar-SA"/>
        </w:rPr>
        <w:t>采用先进成熟的技术进行视频质量的自动诊断和可视化管控，及时发现和修复各类设备和链路故障，提高公共安全视频图像的在线率、完好率，为服务质量考核提供基础和依据。</w:t>
      </w:r>
    </w:p>
    <w:p>
      <w:pPr>
        <w:pStyle w:val="5"/>
        <w:pageBreakBefore w:val="0"/>
        <w:widowControl w:val="0"/>
        <w:kinsoku/>
        <w:wordWrap/>
        <w:overflowPunct/>
        <w:topLinePunct w:val="0"/>
        <w:autoSpaceDE/>
        <w:autoSpaceDN/>
        <w:bidi w:val="0"/>
        <w:adjustRightInd/>
        <w:snapToGrid/>
        <w:spacing w:line="360" w:lineRule="auto"/>
        <w:ind w:left="5" w:leftChars="0" w:firstLine="475" w:firstLineChars="197"/>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建设内容</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本次视频智能化建设将基于犯罪地理学的防卫空间理论，开展具有针对性、因地制宜的场景式布建，密织天网防控网络，实现多角度、多层次、多维度的信息采集，对人、地、事物、组织开展全方位、全天候的整体防控；依托前沿智能视频分析技术，采用高清智能抓拍机，在前端实现数据的分类抓拍，最大化有价值视频信息提取，结合云计算、大数据技术运用，实现各系统内部、系统之间价值数据的比对碰撞、深入挖掘，并以智能应用为展现方式，服务于公安各项业务，使海量的信息数据真正成为实现预防预警、精确防控的源头活水，推动立体化治安防控体系建设，促进预警预防能力、打击犯罪能力、整体防控能力、基础管控能力显著提升。</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将原有200个点位的球机进行升级更换，在重点部位增设智能抓拍机，对已建视频图像综合应用平台进行升级扩容，实现450路视图数据管理应用，视频专网内构建一套支持多警种业务的视图信息智能应用体系；同时，通过标准视图库，完成分局到市局的标准化数据汇聚传递。</w:t>
      </w:r>
    </w:p>
    <w:p>
      <w:pPr>
        <w:pStyle w:val="20"/>
        <w:pageBreakBefore w:val="0"/>
        <w:widowControl w:val="0"/>
        <w:numPr>
          <w:ilvl w:val="0"/>
          <w:numId w:val="5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前端感知系统增密提档</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前端感知系统包括各类前端数据采集设备及配套的杆体、配电、装饰等内容，本次计划将原有200个点位设备进行升级改造，并对视频图像应用系统进行扩容升级，解决我局辖区视频监控存在的设备老旧、智能化程度低的问题，实现人脸、人体、车辆等公共安全多维数据资源的获取。</w:t>
      </w:r>
    </w:p>
    <w:p>
      <w:pPr>
        <w:pStyle w:val="20"/>
        <w:pageBreakBefore w:val="0"/>
        <w:widowControl w:val="0"/>
        <w:numPr>
          <w:ilvl w:val="0"/>
          <w:numId w:val="5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视频共享平台升级改造</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根据本次项目的建设需求，对视频专网内已建设的视频共享平台进行配套的升级改造，包括公安视频图像应用软件功能完善、系统媒体数据处理能力提升、系统软件支撑硬件设备增配、系统软件设备接入授权扩容等内容，逐步丰富和完善我局天网系统的容纳能力和应用功能。</w:t>
      </w:r>
    </w:p>
    <w:p>
      <w:pPr>
        <w:pStyle w:val="20"/>
        <w:pageBreakBefore w:val="0"/>
        <w:widowControl w:val="0"/>
        <w:numPr>
          <w:ilvl w:val="0"/>
          <w:numId w:val="5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视图解析和视图库系统扩容</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本次将对原有的视图解析系统和图像信息数据库进行扩容，按照公安部GA/T 1400《公安视频图像信息应用系统》的视频图像信息数据库进行设计，并可提供标准的视图库级联接口，实现视图库数据和成都市局的交互传输。</w:t>
      </w:r>
    </w:p>
    <w:p>
      <w:pPr>
        <w:pStyle w:val="20"/>
        <w:pageBreakBefore w:val="0"/>
        <w:widowControl w:val="0"/>
        <w:numPr>
          <w:ilvl w:val="0"/>
          <w:numId w:val="5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视频图像解析系统扩容</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在本次新建天网系统建设完成后，系统所提供分析能力与计算资源将出现缺口，综合我局的视图解析应用现状与远期规划，需配套扩容3台智能分析设备，挖掘我局视频图像资源数据的深度价值，形成完善的视频图像应用体系基础。</w:t>
      </w:r>
    </w:p>
    <w:p>
      <w:pPr>
        <w:pStyle w:val="5"/>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视频图像信息数据库系统扩容</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结合本次项目规模，前端多维感知数据将统一汇聚至视图库，基于现有视频图像信息数据库，对视图库的数据存储、处理能力进行提升。包括视频图像存储设备2台、结构化数据存储设备1台、图片存储设备2台，同时按照《成都市公安局区县级视频图像智能化建设导则（征求意见稿）》的相关要求，扩容后的视频存储时间不少于32天，图片及结构化数据存储时间不少于规定周期不少于180天。</w:t>
      </w:r>
    </w:p>
    <w:p>
      <w:pPr>
        <w:pStyle w:val="20"/>
        <w:pageBreakBefore w:val="0"/>
        <w:widowControl w:val="0"/>
        <w:numPr>
          <w:ilvl w:val="0"/>
          <w:numId w:val="5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信息数据传输网络</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建设接入视频监控信息流的视频专网承载网络，满足各业务单位的网络传输需求，搭建高速信息交互通道，实现各系统间、网域间快速、高效、稳定的资源交换。</w:t>
      </w:r>
    </w:p>
    <w:p>
      <w:pPr>
        <w:pStyle w:val="20"/>
        <w:pageBreakBefore w:val="0"/>
        <w:widowControl w:val="0"/>
        <w:numPr>
          <w:ilvl w:val="0"/>
          <w:numId w:val="5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信息安全防护系统</w:t>
      </w:r>
    </w:p>
    <w:p>
      <w:pPr>
        <w:pStyle w:val="2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i w:val="0"/>
          <w:iCs w:val="0"/>
          <w:kern w:val="2"/>
          <w:sz w:val="24"/>
          <w:szCs w:val="24"/>
          <w:lang w:val="en-US" w:eastAsia="zh-CN" w:bidi="ar-SA"/>
        </w:rPr>
      </w:pPr>
      <w:r>
        <w:rPr>
          <w:rFonts w:hint="eastAsia" w:ascii="宋体" w:hAnsi="宋体" w:eastAsia="宋体" w:cs="宋体"/>
          <w:bCs/>
          <w:i w:val="0"/>
          <w:iCs w:val="0"/>
          <w:kern w:val="2"/>
          <w:sz w:val="24"/>
          <w:szCs w:val="24"/>
          <w:lang w:val="en-US" w:eastAsia="zh-CN" w:bidi="ar-SA"/>
        </w:rPr>
        <w:t>按照等保2.0三级保护要求，加强各个系统间、系统内的信息安全防护手段，设信息安全防护设备，在视频专网内部署数据库审计、日志审计、态势感知等设备，确保视频专网公共安全防控体系的整体安全性。</w:t>
      </w:r>
    </w:p>
    <w:p>
      <w:pPr>
        <w:pStyle w:val="4"/>
        <w:pageBreakBefore w:val="0"/>
        <w:kinsoku/>
        <w:wordWrap/>
        <w:overflowPunct/>
        <w:topLinePunct w:val="0"/>
        <w:autoSpaceDE/>
        <w:autoSpaceDN/>
        <w:bidi w:val="0"/>
        <w:spacing w:line="460" w:lineRule="exact"/>
        <w:ind w:left="5" w:leftChars="0" w:hanging="5" w:firstLineChars="0"/>
        <w:textAlignment w:val="auto"/>
        <w:rPr>
          <w:rFonts w:hint="eastAsia" w:ascii="宋体" w:hAnsi="宋体" w:eastAsia="宋体" w:cs="宋体"/>
          <w:sz w:val="24"/>
          <w:szCs w:val="24"/>
          <w:lang w:val="en-US" w:eastAsia="zh-CN"/>
        </w:rPr>
      </w:pPr>
      <w:bookmarkStart w:id="341" w:name="_Toc21121"/>
      <w:r>
        <w:rPr>
          <w:rFonts w:hint="eastAsia" w:ascii="宋体" w:hAnsi="宋体" w:eastAsia="宋体" w:cs="宋体"/>
          <w:sz w:val="24"/>
          <w:szCs w:val="24"/>
          <w:lang w:val="en-US" w:eastAsia="zh-CN"/>
        </w:rPr>
        <w:t>服务要求及其他要求</w:t>
      </w:r>
      <w:bookmarkEnd w:id="341"/>
    </w:p>
    <w:p>
      <w:pPr>
        <w:pStyle w:val="5"/>
        <w:bidi w:val="0"/>
        <w:ind w:left="0" w:leftChars="0" w:firstLine="482" w:firstLineChars="200"/>
      </w:pPr>
      <w:r>
        <w:rPr>
          <w:rFonts w:hint="eastAsia"/>
        </w:rPr>
        <w:t>系统建设要求</w:t>
      </w:r>
    </w:p>
    <w:p>
      <w:pPr>
        <w:pStyle w:val="14"/>
        <w:spacing w:line="360" w:lineRule="auto"/>
        <w:ind w:firstLine="480"/>
        <w:contextualSpacing/>
        <w:rPr>
          <w:rFonts w:ascii="宋体" w:hAnsi="宋体" w:cs="宋体"/>
          <w:sz w:val="24"/>
        </w:rPr>
      </w:pPr>
      <w:r>
        <w:rPr>
          <w:rFonts w:hint="eastAsia" w:ascii="宋体" w:hAnsi="宋体" w:cs="宋体"/>
          <w:sz w:val="24"/>
        </w:rPr>
        <w:t>系统完全支持GB/T28181-2016的协议，同时为保证与其他各类系统的有效对接和兼容，为更大范围的实现深度共享，采用符合GB/T28181-2016协议族的h.264视频制式。</w:t>
      </w:r>
    </w:p>
    <w:p>
      <w:pPr>
        <w:pStyle w:val="5"/>
        <w:numPr>
          <w:ilvl w:val="3"/>
          <w:numId w:val="1"/>
        </w:numPr>
        <w:bidi w:val="0"/>
        <w:ind w:left="0" w:leftChars="0" w:firstLine="241" w:firstLineChars="100"/>
        <w:rPr>
          <w:rFonts w:ascii="宋体" w:hAnsi="宋体" w:eastAsia="宋体"/>
          <w:sz w:val="24"/>
          <w:szCs w:val="24"/>
        </w:rPr>
      </w:pPr>
      <w:r>
        <w:rPr>
          <w:rFonts w:hint="eastAsia" w:ascii="宋体" w:hAnsi="宋体" w:eastAsia="宋体"/>
          <w:sz w:val="24"/>
          <w:szCs w:val="24"/>
        </w:rPr>
        <w:t>协议构架</w:t>
      </w:r>
    </w:p>
    <w:p>
      <w:pPr>
        <w:spacing w:line="360" w:lineRule="auto"/>
        <w:ind w:firstLine="480"/>
        <w:contextualSpacing/>
        <w:rPr>
          <w:rFonts w:ascii="宋体" w:hAnsi="宋体" w:eastAsia="宋体" w:cs="宋体"/>
          <w:sz w:val="24"/>
          <w:szCs w:val="24"/>
        </w:rPr>
      </w:pPr>
      <w:bookmarkStart w:id="342" w:name="_Toc301257323"/>
      <w:r>
        <w:rPr>
          <w:rFonts w:hint="eastAsia" w:ascii="宋体" w:hAnsi="宋体" w:eastAsia="宋体" w:cs="宋体"/>
          <w:sz w:val="24"/>
          <w:szCs w:val="24"/>
        </w:rPr>
        <w:t xml:space="preserve">系统的信令格式、媒体格式、信令流程和协议接口、与其他系统的数据交换严格遵循《安全防范视频监控联网系统信息传输、交换、控制技术要求》 GB/T 28181-2016强制执行的相关规定。 </w:t>
      </w:r>
      <w:bookmarkEnd w:id="342"/>
    </w:p>
    <w:p>
      <w:pPr>
        <w:spacing w:line="360" w:lineRule="auto"/>
        <w:ind w:firstLine="480"/>
        <w:contextualSpacing/>
        <w:rPr>
          <w:rFonts w:ascii="宋体" w:hAnsi="宋体" w:eastAsia="宋体" w:cs="宋体"/>
          <w:sz w:val="24"/>
          <w:szCs w:val="24"/>
        </w:rPr>
      </w:pPr>
      <w:r>
        <w:rPr>
          <w:rFonts w:hint="eastAsia" w:ascii="宋体" w:hAnsi="宋体" w:eastAsia="宋体" w:cs="宋体"/>
          <w:sz w:val="24"/>
          <w:szCs w:val="24"/>
        </w:rPr>
        <w:t>系统内部进行视频、音频、数据等信息传输、交换、控制时，遵循的通信协议结构见下图。</w:t>
      </w:r>
    </w:p>
    <w:p>
      <w:pPr>
        <w:spacing w:line="360" w:lineRule="auto"/>
        <w:contextualSpacing/>
        <w:rPr>
          <w:rFonts w:ascii="宋体" w:hAnsi="宋体" w:eastAsia="宋体" w:cs="宋体"/>
          <w:sz w:val="24"/>
          <w:szCs w:val="24"/>
        </w:rPr>
      </w:pPr>
      <w:r>
        <w:rPr>
          <w:rFonts w:hint="eastAsia" w:ascii="宋体" w:hAnsi="宋体" w:eastAsia="宋体" w:cs="宋体"/>
          <w:sz w:val="24"/>
          <w:szCs w:val="24"/>
        </w:rPr>
        <w:drawing>
          <wp:inline distT="0" distB="0" distL="114300" distR="114300">
            <wp:extent cx="5813425" cy="1890395"/>
            <wp:effectExtent l="0" t="0" r="15875" b="1460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2"/>
                    <a:stretch>
                      <a:fillRect/>
                    </a:stretch>
                  </pic:blipFill>
                  <pic:spPr>
                    <a:xfrm>
                      <a:off x="0" y="0"/>
                      <a:ext cx="5822019" cy="1893487"/>
                    </a:xfrm>
                    <a:prstGeom prst="rect">
                      <a:avLst/>
                    </a:prstGeom>
                    <a:noFill/>
                    <a:ln>
                      <a:noFill/>
                    </a:ln>
                  </pic:spPr>
                </pic:pic>
              </a:graphicData>
            </a:graphic>
          </wp:inline>
        </w:drawing>
      </w:r>
    </w:p>
    <w:p>
      <w:pPr>
        <w:pStyle w:val="5"/>
        <w:numPr>
          <w:ilvl w:val="3"/>
          <w:numId w:val="1"/>
        </w:numPr>
        <w:bidi w:val="0"/>
        <w:ind w:left="0" w:leftChars="0" w:firstLine="241" w:firstLineChars="100"/>
        <w:rPr>
          <w:rFonts w:ascii="宋体" w:hAnsi="宋体" w:eastAsia="宋体"/>
          <w:sz w:val="24"/>
          <w:szCs w:val="24"/>
        </w:rPr>
      </w:pPr>
      <w:r>
        <w:rPr>
          <w:rFonts w:hint="eastAsia" w:ascii="宋体" w:hAnsi="宋体" w:eastAsia="宋体"/>
          <w:sz w:val="24"/>
          <w:szCs w:val="24"/>
        </w:rPr>
        <w:t>信令格式</w:t>
      </w:r>
    </w:p>
    <w:p>
      <w:pPr>
        <w:pStyle w:val="6"/>
        <w:numPr>
          <w:ilvl w:val="0"/>
          <w:numId w:val="58"/>
        </w:numPr>
        <w:spacing w:before="0" w:after="0" w:line="360" w:lineRule="auto"/>
        <w:ind w:left="0" w:leftChars="0" w:firstLine="420" w:firstLineChars="0"/>
        <w:contextualSpacing/>
        <w:rPr>
          <w:rFonts w:ascii="宋体" w:hAnsi="宋体" w:eastAsia="宋体" w:cstheme="minorBidi"/>
          <w:sz w:val="24"/>
          <w:szCs w:val="24"/>
        </w:rPr>
      </w:pPr>
      <w:bookmarkStart w:id="343" w:name="_Toc16646"/>
      <w:bookmarkStart w:id="344" w:name="_Toc504139135"/>
      <w:bookmarkStart w:id="345" w:name="_Toc475460479"/>
      <w:bookmarkStart w:id="346" w:name="_Toc1607"/>
      <w:r>
        <w:rPr>
          <w:rFonts w:hint="eastAsia" w:ascii="宋体" w:hAnsi="宋体" w:eastAsia="宋体" w:cstheme="minorBidi"/>
          <w:sz w:val="24"/>
          <w:szCs w:val="24"/>
        </w:rPr>
        <w:t>SIP协议</w:t>
      </w:r>
      <w:bookmarkEnd w:id="343"/>
      <w:bookmarkEnd w:id="344"/>
      <w:bookmarkEnd w:id="345"/>
      <w:bookmarkEnd w:id="346"/>
    </w:p>
    <w:p>
      <w:pPr>
        <w:pStyle w:val="14"/>
        <w:spacing w:line="360" w:lineRule="auto"/>
        <w:ind w:firstLine="480"/>
        <w:contextualSpacing/>
        <w:rPr>
          <w:rFonts w:ascii="宋体" w:hAnsi="宋体" w:cs="宋体"/>
          <w:sz w:val="24"/>
        </w:rPr>
      </w:pPr>
      <w:r>
        <w:rPr>
          <w:rFonts w:hint="eastAsia" w:ascii="宋体" w:hAnsi="宋体" w:cs="宋体"/>
          <w:sz w:val="24"/>
        </w:rPr>
        <w:t xml:space="preserve">SIP协议用于建立、修改和终止IP 网上的双方或多方多媒体会话，是一个基于文本的应用层控制协议，独立于底层传输协议。 </w:t>
      </w:r>
    </w:p>
    <w:p>
      <w:pPr>
        <w:pStyle w:val="14"/>
        <w:spacing w:line="360" w:lineRule="auto"/>
        <w:ind w:firstLine="480"/>
        <w:contextualSpacing/>
        <w:rPr>
          <w:rFonts w:ascii="宋体" w:hAnsi="宋体" w:cs="宋体"/>
          <w:sz w:val="24"/>
        </w:rPr>
      </w:pPr>
      <w:r>
        <w:rPr>
          <w:rFonts w:hint="eastAsia" w:ascii="宋体" w:hAnsi="宋体" w:cs="宋体"/>
          <w:sz w:val="24"/>
        </w:rPr>
        <w:t xml:space="preserve">系统的安全注册、实时视音频点播、历史视音频的回放等应用的信令控制采用 RFC3261（SIP）规定的REGISTER、INVITE 等请求和响应方法实现。历史视音频回放控制采用 SIP 扩展协议 RFC2976规定的INFO 方法实现。前端设备控制、信息查询、报警事件通知和分发等应用的会话控制采用 SIP扩展协议RFC3428规定的 MESSAGE方法实现。 </w:t>
      </w:r>
    </w:p>
    <w:p>
      <w:pPr>
        <w:pStyle w:val="14"/>
        <w:spacing w:line="360" w:lineRule="auto"/>
        <w:ind w:firstLine="480"/>
        <w:contextualSpacing/>
        <w:rPr>
          <w:rFonts w:ascii="宋体" w:hAnsi="宋体" w:cs="宋体"/>
          <w:sz w:val="24"/>
        </w:rPr>
      </w:pPr>
      <w:r>
        <w:rPr>
          <w:rFonts w:hint="eastAsia" w:ascii="宋体" w:hAnsi="宋体" w:cs="宋体"/>
          <w:sz w:val="24"/>
        </w:rPr>
        <w:t>系统内设备进行统一编码，具有全局唯一性，设备编码遵循国标GB/T 28181-2016附录D.1，为20位十进制数字字符。</w:t>
      </w:r>
    </w:p>
    <w:p>
      <w:pPr>
        <w:pStyle w:val="14"/>
        <w:spacing w:line="360" w:lineRule="auto"/>
        <w:ind w:firstLine="480"/>
        <w:contextualSpacing/>
        <w:rPr>
          <w:rFonts w:ascii="宋体" w:hAnsi="宋体" w:cs="宋体"/>
          <w:sz w:val="24"/>
        </w:rPr>
      </w:pPr>
      <w:r>
        <w:rPr>
          <w:rFonts w:hint="eastAsia" w:ascii="宋体" w:hAnsi="宋体" w:cs="宋体"/>
          <w:sz w:val="24"/>
        </w:rPr>
        <w:t>系统标准设备的SIP URI命名参照RFC3261的规定，须采用如下格式：sip[s]:username@domain:port。其中，用户名“username”的命名采用前述统一的20位编码；“domain”采用统一编码的前10位编码；“port”采用5060。</w:t>
      </w:r>
    </w:p>
    <w:p>
      <w:pPr>
        <w:pStyle w:val="6"/>
        <w:numPr>
          <w:ilvl w:val="0"/>
          <w:numId w:val="58"/>
        </w:numPr>
        <w:spacing w:before="0" w:after="0" w:line="360" w:lineRule="auto"/>
        <w:ind w:left="0" w:leftChars="0" w:firstLine="420" w:firstLineChars="0"/>
        <w:contextualSpacing/>
        <w:rPr>
          <w:rFonts w:ascii="宋体" w:hAnsi="宋体" w:eastAsia="宋体" w:cstheme="minorBidi"/>
          <w:sz w:val="24"/>
          <w:szCs w:val="24"/>
        </w:rPr>
      </w:pPr>
      <w:bookmarkStart w:id="347" w:name="_Toc30587"/>
      <w:bookmarkStart w:id="348" w:name="_Toc5167"/>
      <w:bookmarkStart w:id="349" w:name="_Toc475460480"/>
      <w:bookmarkStart w:id="350" w:name="_Toc504139136"/>
      <w:r>
        <w:rPr>
          <w:rFonts w:hint="eastAsia" w:ascii="宋体" w:hAnsi="宋体" w:eastAsia="宋体" w:cstheme="minorBidi"/>
          <w:sz w:val="24"/>
          <w:szCs w:val="24"/>
        </w:rPr>
        <w:t>SDP协议</w:t>
      </w:r>
      <w:bookmarkEnd w:id="347"/>
      <w:bookmarkEnd w:id="348"/>
      <w:bookmarkEnd w:id="349"/>
      <w:bookmarkEnd w:id="350"/>
    </w:p>
    <w:p>
      <w:pPr>
        <w:pStyle w:val="14"/>
        <w:spacing w:line="360" w:lineRule="auto"/>
        <w:ind w:firstLine="480"/>
        <w:contextualSpacing/>
        <w:rPr>
          <w:rFonts w:ascii="宋体" w:hAnsi="宋体" w:cs="宋体"/>
          <w:sz w:val="24"/>
        </w:rPr>
      </w:pPr>
      <w:r>
        <w:rPr>
          <w:rFonts w:hint="eastAsia" w:ascii="宋体" w:hAnsi="宋体" w:cs="宋体"/>
          <w:sz w:val="24"/>
        </w:rPr>
        <w:t>系统中SIP消息体中携带的SDP内容必须符合RFC2327（SDP）的相关要求，具备国标GB/T 28181-2016附录F所要求字段，另外，扩展SDP中rtpmap字段用于携带厂家信息。</w:t>
      </w:r>
    </w:p>
    <w:p>
      <w:pPr>
        <w:pStyle w:val="6"/>
        <w:numPr>
          <w:ilvl w:val="0"/>
          <w:numId w:val="58"/>
        </w:numPr>
        <w:spacing w:before="0" w:after="0" w:line="360" w:lineRule="auto"/>
        <w:ind w:left="0" w:leftChars="0" w:firstLine="420" w:firstLineChars="0"/>
        <w:contextualSpacing/>
        <w:rPr>
          <w:rFonts w:ascii="宋体" w:hAnsi="宋体" w:eastAsia="宋体" w:cstheme="minorBidi"/>
          <w:sz w:val="24"/>
          <w:szCs w:val="24"/>
        </w:rPr>
      </w:pPr>
      <w:bookmarkStart w:id="351" w:name="_Toc475460481"/>
      <w:bookmarkStart w:id="352" w:name="_Toc27228"/>
      <w:bookmarkStart w:id="353" w:name="_Toc504139137"/>
      <w:bookmarkStart w:id="354" w:name="_Toc22008"/>
      <w:r>
        <w:rPr>
          <w:rFonts w:hint="eastAsia" w:ascii="宋体" w:hAnsi="宋体" w:eastAsia="宋体" w:cstheme="minorBidi"/>
          <w:sz w:val="24"/>
          <w:szCs w:val="24"/>
        </w:rPr>
        <w:t>MANSCDP协议</w:t>
      </w:r>
      <w:bookmarkEnd w:id="351"/>
      <w:bookmarkEnd w:id="352"/>
      <w:bookmarkEnd w:id="353"/>
      <w:bookmarkEnd w:id="354"/>
    </w:p>
    <w:p>
      <w:pPr>
        <w:pStyle w:val="14"/>
        <w:spacing w:line="360" w:lineRule="auto"/>
        <w:ind w:firstLine="480"/>
        <w:contextualSpacing/>
        <w:rPr>
          <w:rFonts w:ascii="宋体" w:hAnsi="宋体" w:cs="宋体"/>
          <w:sz w:val="24"/>
        </w:rPr>
      </w:pPr>
      <w:r>
        <w:rPr>
          <w:rFonts w:hint="eastAsia" w:ascii="宋体" w:hAnsi="宋体" w:cs="宋体"/>
          <w:sz w:val="24"/>
        </w:rPr>
        <w:t xml:space="preserve">系统有关前端设备控制、报警信息、设备目录信息等控制命令采用MANSCDP协议（监控报警联网系统控制协议）描述，见国标GB/T 28181-2016附录 A。 </w:t>
      </w:r>
    </w:p>
    <w:p>
      <w:pPr>
        <w:pStyle w:val="6"/>
        <w:numPr>
          <w:ilvl w:val="0"/>
          <w:numId w:val="58"/>
        </w:numPr>
        <w:spacing w:before="0" w:after="0" w:line="360" w:lineRule="auto"/>
        <w:ind w:left="0" w:leftChars="0" w:firstLine="420" w:firstLineChars="0"/>
        <w:contextualSpacing/>
        <w:rPr>
          <w:rFonts w:ascii="宋体" w:hAnsi="宋体" w:eastAsia="宋体" w:cstheme="minorBidi"/>
          <w:sz w:val="24"/>
          <w:szCs w:val="24"/>
        </w:rPr>
      </w:pPr>
      <w:bookmarkStart w:id="355" w:name="_Toc504139138"/>
      <w:bookmarkStart w:id="356" w:name="_Toc29549"/>
      <w:bookmarkStart w:id="357" w:name="_Toc475460482"/>
      <w:bookmarkStart w:id="358" w:name="_Toc22026"/>
      <w:r>
        <w:rPr>
          <w:rFonts w:hint="eastAsia" w:ascii="宋体" w:hAnsi="宋体" w:eastAsia="宋体" w:cstheme="minorBidi"/>
          <w:sz w:val="24"/>
          <w:szCs w:val="24"/>
        </w:rPr>
        <w:t>MANSRTSP协议</w:t>
      </w:r>
      <w:bookmarkEnd w:id="355"/>
      <w:bookmarkEnd w:id="356"/>
      <w:bookmarkEnd w:id="357"/>
      <w:bookmarkEnd w:id="358"/>
    </w:p>
    <w:p>
      <w:pPr>
        <w:spacing w:line="360" w:lineRule="auto"/>
        <w:ind w:firstLine="480"/>
        <w:contextualSpacing/>
        <w:rPr>
          <w:rFonts w:ascii="宋体" w:hAnsi="宋体" w:eastAsia="宋体" w:cs="宋体"/>
          <w:sz w:val="24"/>
          <w:szCs w:val="24"/>
        </w:rPr>
      </w:pPr>
      <w:r>
        <w:rPr>
          <w:rFonts w:hint="eastAsia" w:ascii="宋体" w:hAnsi="宋体" w:eastAsia="宋体" w:cs="宋体"/>
          <w:sz w:val="24"/>
          <w:szCs w:val="24"/>
        </w:rPr>
        <w:t>系统有关历史录像的回放控制命令采用MANSRTSP协议（监控报警联网系统实时流协议），实现对录像的正常播放、快/慢放、暂停、随机拖动等远程控制，见国标GB/T 28181-2016附录 B。</w:t>
      </w:r>
    </w:p>
    <w:p>
      <w:pPr>
        <w:pStyle w:val="5"/>
        <w:numPr>
          <w:ilvl w:val="3"/>
          <w:numId w:val="1"/>
        </w:numPr>
        <w:bidi w:val="0"/>
        <w:ind w:left="0" w:leftChars="0" w:firstLine="241" w:firstLineChars="100"/>
        <w:rPr>
          <w:rFonts w:ascii="宋体" w:hAnsi="宋体" w:eastAsia="宋体"/>
          <w:sz w:val="24"/>
          <w:szCs w:val="24"/>
        </w:rPr>
      </w:pPr>
      <w:r>
        <w:rPr>
          <w:rFonts w:hint="eastAsia" w:ascii="宋体" w:hAnsi="宋体" w:eastAsia="宋体"/>
          <w:sz w:val="24"/>
          <w:szCs w:val="24"/>
        </w:rPr>
        <w:t>媒体格式要求</w:t>
      </w:r>
    </w:p>
    <w:p>
      <w:pPr>
        <w:pStyle w:val="6"/>
        <w:numPr>
          <w:ilvl w:val="0"/>
          <w:numId w:val="59"/>
        </w:numPr>
        <w:spacing w:before="0" w:after="0" w:line="360" w:lineRule="auto"/>
        <w:ind w:left="0" w:leftChars="0" w:firstLine="420" w:firstLineChars="0"/>
        <w:contextualSpacing/>
        <w:rPr>
          <w:rFonts w:ascii="宋体" w:hAnsi="宋体" w:eastAsia="宋体" w:cstheme="minorBidi"/>
          <w:sz w:val="24"/>
          <w:szCs w:val="24"/>
        </w:rPr>
      </w:pPr>
      <w:bookmarkStart w:id="359" w:name="_Toc475460484"/>
      <w:bookmarkStart w:id="360" w:name="_Toc504139140"/>
      <w:bookmarkStart w:id="361" w:name="_Toc3567"/>
      <w:bookmarkStart w:id="362" w:name="_Toc26187"/>
      <w:r>
        <w:rPr>
          <w:rFonts w:hint="eastAsia" w:ascii="宋体" w:hAnsi="宋体" w:eastAsia="宋体" w:cstheme="minorBidi"/>
          <w:sz w:val="24"/>
          <w:szCs w:val="24"/>
        </w:rPr>
        <w:t>媒体流封装格式</w:t>
      </w:r>
      <w:bookmarkEnd w:id="359"/>
      <w:bookmarkEnd w:id="360"/>
      <w:bookmarkEnd w:id="361"/>
      <w:bookmarkEnd w:id="362"/>
    </w:p>
    <w:p>
      <w:pPr>
        <w:spacing w:line="360" w:lineRule="auto"/>
        <w:ind w:firstLine="480"/>
        <w:contextualSpacing/>
        <w:rPr>
          <w:rFonts w:ascii="宋体" w:hAnsi="宋体" w:eastAsia="宋体" w:cs="宋体"/>
          <w:sz w:val="24"/>
          <w:szCs w:val="24"/>
        </w:rPr>
      </w:pPr>
      <w:r>
        <w:rPr>
          <w:rFonts w:hint="eastAsia" w:ascii="宋体" w:hAnsi="宋体" w:eastAsia="宋体" w:cs="宋体"/>
          <w:sz w:val="24"/>
          <w:szCs w:val="24"/>
        </w:rPr>
        <w:t>媒体流在IP 网络上传输时须支持 RTP协议，媒体流须采用PS格式封装，见国标GB/T 28181-2016附录 C。</w:t>
      </w:r>
    </w:p>
    <w:p>
      <w:pPr>
        <w:pStyle w:val="6"/>
        <w:numPr>
          <w:ilvl w:val="0"/>
          <w:numId w:val="59"/>
        </w:numPr>
        <w:spacing w:before="0" w:after="0" w:line="360" w:lineRule="auto"/>
        <w:ind w:left="0" w:leftChars="0" w:firstLine="420" w:firstLineChars="0"/>
        <w:contextualSpacing/>
        <w:rPr>
          <w:rFonts w:ascii="宋体" w:hAnsi="宋体" w:eastAsia="宋体" w:cstheme="minorBidi"/>
          <w:sz w:val="24"/>
          <w:szCs w:val="24"/>
        </w:rPr>
      </w:pPr>
      <w:bookmarkStart w:id="363" w:name="_Toc8188"/>
      <w:bookmarkStart w:id="364" w:name="_Toc504139141"/>
      <w:bookmarkStart w:id="365" w:name="_Toc26449"/>
      <w:bookmarkStart w:id="366" w:name="_Toc475460485"/>
      <w:r>
        <w:rPr>
          <w:rFonts w:hint="eastAsia" w:ascii="宋体" w:hAnsi="宋体" w:eastAsia="宋体" w:cstheme="minorBidi"/>
          <w:sz w:val="24"/>
          <w:szCs w:val="24"/>
        </w:rPr>
        <w:t>视频编解码格式</w:t>
      </w:r>
      <w:bookmarkEnd w:id="363"/>
      <w:bookmarkEnd w:id="364"/>
      <w:bookmarkEnd w:id="365"/>
      <w:bookmarkEnd w:id="366"/>
    </w:p>
    <w:p>
      <w:pPr>
        <w:pStyle w:val="14"/>
        <w:spacing w:line="360" w:lineRule="auto"/>
        <w:ind w:firstLine="480"/>
        <w:contextualSpacing/>
        <w:rPr>
          <w:rFonts w:ascii="宋体" w:hAnsi="宋体" w:cs="宋体"/>
          <w:sz w:val="24"/>
        </w:rPr>
      </w:pPr>
      <w:r>
        <w:rPr>
          <w:rFonts w:hint="eastAsia" w:ascii="宋体" w:hAnsi="宋体" w:cs="宋体"/>
          <w:sz w:val="24"/>
        </w:rPr>
        <w:t>系统中视频编码格式应采用H.264视频编码标准，不准添加编码标准规范格式之外的私有数据。视频解码应支持H.264。</w:t>
      </w:r>
    </w:p>
    <w:p>
      <w:pPr>
        <w:pStyle w:val="14"/>
        <w:spacing w:line="360" w:lineRule="auto"/>
        <w:ind w:firstLine="0" w:firstLineChars="0"/>
        <w:contextualSpacing/>
        <w:rPr>
          <w:rFonts w:ascii="宋体" w:hAnsi="宋体" w:cs="宋体"/>
          <w:b/>
          <w:bCs/>
          <w:sz w:val="24"/>
        </w:rPr>
      </w:pPr>
      <w:r>
        <w:rPr>
          <w:rFonts w:hint="eastAsia" w:ascii="宋体" w:hAnsi="宋体" w:cs="宋体"/>
          <w:b/>
          <w:bCs/>
          <w:sz w:val="24"/>
        </w:rPr>
        <w:t xml:space="preserve">（1）基于H.264的视频编、解码技术要求 </w:t>
      </w:r>
    </w:p>
    <w:p>
      <w:pPr>
        <w:pStyle w:val="14"/>
        <w:spacing w:line="360" w:lineRule="auto"/>
        <w:ind w:firstLine="480"/>
        <w:contextualSpacing/>
        <w:rPr>
          <w:rFonts w:ascii="宋体" w:hAnsi="宋体" w:cs="宋体"/>
          <w:sz w:val="24"/>
        </w:rPr>
      </w:pPr>
      <w:r>
        <w:rPr>
          <w:rFonts w:hint="eastAsia" w:ascii="宋体" w:hAnsi="宋体" w:cs="宋体"/>
          <w:sz w:val="24"/>
        </w:rPr>
        <w:t>H. 264标准共有三种模式：Main、Main 10和Main Still Picture。Main模式支持8bit色深(即红绿蓝三色各有256个色度，共1670万色)，Main 10模式支持10bit色深。</w:t>
      </w:r>
    </w:p>
    <w:p>
      <w:pPr>
        <w:pStyle w:val="14"/>
        <w:spacing w:line="360" w:lineRule="auto"/>
        <w:ind w:firstLine="0" w:firstLineChars="0"/>
        <w:contextualSpacing/>
        <w:rPr>
          <w:rFonts w:ascii="宋体" w:hAnsi="宋体" w:cs="宋体"/>
          <w:b/>
          <w:bCs/>
          <w:sz w:val="24"/>
        </w:rPr>
      </w:pPr>
      <w:r>
        <w:rPr>
          <w:rFonts w:hint="eastAsia" w:ascii="宋体" w:hAnsi="宋体" w:cs="宋体"/>
          <w:b/>
          <w:bCs/>
          <w:sz w:val="24"/>
        </w:rPr>
        <w:t xml:space="preserve">（2）基于H.264的视频编、解码技术要求 </w:t>
      </w:r>
    </w:p>
    <w:p>
      <w:pPr>
        <w:spacing w:line="360" w:lineRule="auto"/>
        <w:ind w:firstLine="480"/>
        <w:contextualSpacing/>
        <w:rPr>
          <w:rFonts w:ascii="宋体" w:hAnsi="宋体" w:eastAsia="宋体" w:cs="宋体"/>
          <w:sz w:val="24"/>
          <w:szCs w:val="24"/>
        </w:rPr>
      </w:pPr>
      <w:r>
        <w:rPr>
          <w:rFonts w:hint="eastAsia" w:ascii="宋体" w:hAnsi="宋体" w:eastAsia="宋体" w:cs="宋体"/>
          <w:sz w:val="24"/>
          <w:szCs w:val="24"/>
        </w:rPr>
        <w:t>采用H.264标准的视频编码必须至少支持ITU-T Rec. H.264-2005视频标准的基本档次（Baseline Profile），级别（Level）至少支持到Level 3；视频解码所支持的档次和级别至少支持到H.264视频标准基本档次的Level 3，须扩展支持H.264主档次（Main Profile）中的隔行扫描和B帧工具，且相邻两P帧间的B帧个数不大于2。</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采用H.264标准编码的高清视频，视频尺寸应不低于1080P, 视频编解码必须至少支持ITU-T Rec. H.264-2005视频标准的基本档次（Baseline Profile），级别（Level）至少支持到Level 3.1。</w:t>
      </w:r>
    </w:p>
    <w:p>
      <w:pPr>
        <w:pStyle w:val="6"/>
        <w:numPr>
          <w:ilvl w:val="0"/>
          <w:numId w:val="59"/>
        </w:numPr>
        <w:spacing w:before="0" w:after="0" w:line="360" w:lineRule="auto"/>
        <w:ind w:left="0" w:leftChars="0" w:firstLine="420" w:firstLineChars="0"/>
        <w:contextualSpacing/>
        <w:rPr>
          <w:rFonts w:ascii="宋体" w:hAnsi="宋体" w:eastAsia="宋体" w:cstheme="minorBidi"/>
          <w:sz w:val="24"/>
          <w:szCs w:val="24"/>
        </w:rPr>
      </w:pPr>
      <w:bookmarkStart w:id="367" w:name="_Toc26435"/>
      <w:bookmarkStart w:id="368" w:name="_Toc475460486"/>
      <w:bookmarkStart w:id="369" w:name="_Toc3583"/>
      <w:bookmarkStart w:id="370" w:name="_Toc504139142"/>
      <w:r>
        <w:rPr>
          <w:rFonts w:hint="eastAsia" w:ascii="宋体" w:hAnsi="宋体" w:eastAsia="宋体" w:cstheme="minorBidi"/>
          <w:sz w:val="24"/>
          <w:szCs w:val="24"/>
        </w:rPr>
        <w:t>信令流程和协议接口</w:t>
      </w:r>
      <w:bookmarkEnd w:id="367"/>
      <w:bookmarkEnd w:id="368"/>
      <w:bookmarkEnd w:id="369"/>
      <w:bookmarkEnd w:id="370"/>
      <w:r>
        <w:rPr>
          <w:rFonts w:hint="eastAsia" w:ascii="宋体" w:hAnsi="宋体" w:eastAsia="宋体" w:cstheme="minorBidi"/>
          <w:sz w:val="24"/>
          <w:szCs w:val="24"/>
        </w:rPr>
        <w:t>基本要求</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系统中各级联网平台必须具备注册/注销、实时视音频点播、设备控制、网络设备信息查询、状态信息报送、设备视音频文件检索、历史视音频回放、历史视音频文件下载、校时等信令，具体的信令流程和协议接口规范见国标GB/T 28181-2016第9章。</w:t>
      </w:r>
    </w:p>
    <w:p>
      <w:pPr>
        <w:pStyle w:val="5"/>
        <w:bidi w:val="0"/>
        <w:ind w:left="0" w:leftChars="0" w:firstLine="482" w:firstLineChars="200"/>
        <w:rPr>
          <w:rFonts w:ascii="宋体" w:hAnsi="宋体" w:eastAsia="宋体"/>
          <w:sz w:val="24"/>
          <w:szCs w:val="24"/>
        </w:rPr>
      </w:pPr>
      <w:r>
        <w:rPr>
          <w:rFonts w:hint="eastAsia" w:ascii="宋体" w:hAnsi="宋体" w:eastAsia="宋体"/>
          <w:sz w:val="24"/>
          <w:szCs w:val="24"/>
        </w:rPr>
        <w:t>前端点位建设要求</w:t>
      </w:r>
    </w:p>
    <w:p>
      <w:pPr>
        <w:pStyle w:val="5"/>
        <w:numPr>
          <w:ilvl w:val="3"/>
          <w:numId w:val="1"/>
        </w:numPr>
        <w:bidi w:val="0"/>
        <w:ind w:left="0" w:leftChars="0" w:firstLine="482" w:firstLineChars="200"/>
        <w:rPr>
          <w:rFonts w:ascii="宋体" w:hAnsi="宋体" w:eastAsia="宋体"/>
          <w:sz w:val="24"/>
          <w:szCs w:val="24"/>
          <w:highlight w:val="none"/>
        </w:rPr>
      </w:pPr>
      <w:r>
        <w:rPr>
          <w:rFonts w:hint="eastAsia" w:ascii="宋体" w:hAnsi="宋体" w:eastAsia="宋体"/>
          <w:sz w:val="24"/>
          <w:szCs w:val="24"/>
          <w:highlight w:val="none"/>
        </w:rPr>
        <w:t>点位现状与建设模式</w:t>
      </w:r>
    </w:p>
    <w:p>
      <w:pPr>
        <w:spacing w:line="360" w:lineRule="auto"/>
        <w:ind w:firstLine="480"/>
        <w:contextualSpacing/>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本次计划将原有点位球机全部升级更换为双云台全结构化摄像机的共为</w:t>
      </w:r>
      <w:r>
        <w:rPr>
          <w:rFonts w:ascii="宋体" w:hAnsi="宋体" w:eastAsia="宋体" w:cs="宋体"/>
          <w:sz w:val="24"/>
          <w:szCs w:val="24"/>
          <w:highlight w:val="none"/>
          <w:lang w:val="zh-CN"/>
        </w:rPr>
        <w:t>200</w:t>
      </w:r>
      <w:r>
        <w:rPr>
          <w:rFonts w:hint="eastAsia" w:ascii="宋体" w:hAnsi="宋体" w:eastAsia="宋体" w:cs="宋体"/>
          <w:sz w:val="24"/>
          <w:szCs w:val="24"/>
          <w:highlight w:val="none"/>
          <w:lang w:val="zh-CN"/>
        </w:rPr>
        <w:t>台，并在重点区域加装共计5</w:t>
      </w:r>
      <w:r>
        <w:rPr>
          <w:rFonts w:ascii="宋体" w:hAnsi="宋体" w:eastAsia="宋体" w:cs="宋体"/>
          <w:sz w:val="24"/>
          <w:szCs w:val="24"/>
          <w:highlight w:val="none"/>
          <w:lang w:val="zh-CN"/>
        </w:rPr>
        <w:t>0</w:t>
      </w:r>
      <w:r>
        <w:rPr>
          <w:rFonts w:hint="eastAsia" w:ascii="宋体" w:hAnsi="宋体" w:eastAsia="宋体" w:cs="宋体"/>
          <w:sz w:val="24"/>
          <w:szCs w:val="24"/>
          <w:highlight w:val="none"/>
          <w:lang w:val="zh-CN"/>
        </w:rPr>
        <w:t>台智能抓拍相机。</w:t>
      </w:r>
    </w:p>
    <w:p>
      <w:pPr>
        <w:pStyle w:val="5"/>
        <w:numPr>
          <w:ilvl w:val="3"/>
          <w:numId w:val="1"/>
        </w:numPr>
        <w:bidi w:val="0"/>
        <w:ind w:left="0" w:leftChars="0" w:firstLine="482" w:firstLineChars="200"/>
        <w:rPr>
          <w:rFonts w:ascii="宋体" w:hAnsi="宋体" w:eastAsia="宋体"/>
          <w:sz w:val="24"/>
          <w:szCs w:val="24"/>
        </w:rPr>
      </w:pPr>
      <w:r>
        <w:rPr>
          <w:rFonts w:hint="eastAsia" w:ascii="宋体" w:hAnsi="宋体" w:eastAsia="宋体"/>
          <w:sz w:val="24"/>
          <w:szCs w:val="24"/>
        </w:rPr>
        <w:t>前端功能要求</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视频监控前端应考虑实时视频流、存储流、图片流等实际接入需要，配备足够网络带宽。视频图像前端应实现对数据的全量采集，全量汇集和一端多用。前端摄像机技术要求应遵循《成都市公安局多维感知网建设技术导则》（V1.0）相关规定，具体如下：</w:t>
      </w:r>
    </w:p>
    <w:p>
      <w:pPr>
        <w:pStyle w:val="6"/>
        <w:numPr>
          <w:ilvl w:val="0"/>
          <w:numId w:val="60"/>
        </w:numPr>
        <w:spacing w:before="0" w:after="0" w:line="360" w:lineRule="auto"/>
        <w:ind w:left="0" w:leftChars="0" w:firstLine="420" w:firstLineChars="0"/>
        <w:contextualSpacing/>
        <w:rPr>
          <w:rFonts w:ascii="宋体" w:hAnsi="宋体" w:eastAsia="宋体" w:cstheme="minorBidi"/>
          <w:sz w:val="24"/>
          <w:szCs w:val="24"/>
        </w:rPr>
      </w:pPr>
      <w:r>
        <w:rPr>
          <w:rFonts w:hint="eastAsia" w:ascii="宋体" w:hAnsi="宋体" w:eastAsia="宋体" w:cstheme="minorBidi"/>
          <w:sz w:val="24"/>
          <w:szCs w:val="24"/>
        </w:rPr>
        <w:t>设备要求</w:t>
      </w:r>
    </w:p>
    <w:p>
      <w:pPr>
        <w:spacing w:line="360" w:lineRule="auto"/>
        <w:ind w:firstLine="424" w:firstLineChars="176"/>
        <w:contextualSpacing/>
        <w:rPr>
          <w:rFonts w:ascii="宋体" w:hAnsi="宋体" w:eastAsia="宋体" w:cs="宋体"/>
          <w:b/>
          <w:bCs/>
          <w:sz w:val="24"/>
          <w:szCs w:val="24"/>
          <w:lang w:val="zh-CN"/>
        </w:rPr>
      </w:pPr>
      <w:r>
        <w:rPr>
          <w:rFonts w:hint="eastAsia" w:ascii="宋体" w:hAnsi="宋体" w:eastAsia="宋体" w:cs="宋体"/>
          <w:b/>
          <w:bCs/>
          <w:sz w:val="24"/>
          <w:szCs w:val="24"/>
          <w:lang w:val="zh-CN"/>
        </w:rPr>
        <w:t>双云台球机</w:t>
      </w:r>
    </w:p>
    <w:p>
      <w:pPr>
        <w:numPr>
          <w:ilvl w:val="0"/>
          <w:numId w:val="61"/>
        </w:numPr>
        <w:spacing w:line="360" w:lineRule="auto"/>
        <w:ind w:left="562" w:firstLine="422" w:firstLineChars="176"/>
        <w:contextualSpacing/>
        <w:rPr>
          <w:rFonts w:ascii="宋体" w:hAnsi="宋体" w:eastAsia="宋体" w:cs="仿宋"/>
          <w:sz w:val="24"/>
          <w:szCs w:val="24"/>
          <w:lang w:val="zh-CN"/>
        </w:rPr>
      </w:pPr>
      <w:r>
        <w:rPr>
          <w:rFonts w:hint="eastAsia" w:ascii="宋体" w:hAnsi="宋体" w:eastAsia="宋体" w:cs="仿宋"/>
          <w:sz w:val="24"/>
          <w:szCs w:val="24"/>
        </w:rPr>
        <w:t>设备为400万像素双云台全结构化摄像机</w:t>
      </w:r>
      <w:r>
        <w:rPr>
          <w:rFonts w:hint="eastAsia" w:ascii="宋体" w:hAnsi="宋体" w:eastAsia="宋体" w:cs="仿宋"/>
          <w:sz w:val="24"/>
          <w:szCs w:val="24"/>
          <w:lang w:val="zh-CN"/>
        </w:rPr>
        <w:t>；</w:t>
      </w:r>
    </w:p>
    <w:p>
      <w:pPr>
        <w:numPr>
          <w:ilvl w:val="0"/>
          <w:numId w:val="61"/>
        </w:numPr>
        <w:spacing w:line="360" w:lineRule="auto"/>
        <w:ind w:left="562" w:firstLine="422" w:firstLineChars="176"/>
        <w:contextualSpacing/>
        <w:rPr>
          <w:rFonts w:ascii="宋体" w:hAnsi="宋体" w:eastAsia="宋体" w:cs="仿宋"/>
          <w:sz w:val="24"/>
          <w:szCs w:val="24"/>
          <w:lang w:val="zh-CN"/>
        </w:rPr>
      </w:pPr>
      <w:r>
        <w:rPr>
          <w:rFonts w:hint="eastAsia" w:ascii="宋体" w:hAnsi="宋体" w:eastAsia="宋体" w:cs="仿宋"/>
          <w:sz w:val="24"/>
          <w:szCs w:val="24"/>
          <w:lang w:val="zh-CN"/>
        </w:rPr>
        <w:t>光学变倍</w:t>
      </w:r>
      <w:r>
        <w:rPr>
          <w:rFonts w:hint="eastAsia" w:ascii="宋体" w:hAnsi="宋体" w:eastAsia="宋体" w:cs="仿宋"/>
          <w:sz w:val="24"/>
          <w:szCs w:val="24"/>
        </w:rPr>
        <w:t>【全景】</w:t>
      </w:r>
      <w:r>
        <w:rPr>
          <w:rFonts w:hint="eastAsia" w:ascii="宋体" w:hAnsi="宋体" w:eastAsia="宋体" w:cs="仿宋"/>
          <w:sz w:val="24"/>
          <w:szCs w:val="24"/>
          <w:lang w:val="zh-CN"/>
        </w:rPr>
        <w:t>≥</w:t>
      </w:r>
      <w:r>
        <w:rPr>
          <w:rFonts w:hint="eastAsia" w:ascii="宋体" w:hAnsi="宋体" w:eastAsia="宋体" w:cs="仿宋"/>
          <w:sz w:val="24"/>
          <w:szCs w:val="24"/>
        </w:rPr>
        <w:t>4倍；【细节】</w:t>
      </w:r>
      <w:r>
        <w:rPr>
          <w:rFonts w:hint="eastAsia" w:ascii="宋体" w:hAnsi="宋体" w:eastAsia="宋体" w:cs="仿宋"/>
          <w:sz w:val="24"/>
          <w:szCs w:val="24"/>
          <w:lang w:val="zh-CN"/>
        </w:rPr>
        <w:t>≥</w:t>
      </w:r>
      <w:r>
        <w:rPr>
          <w:rFonts w:hint="eastAsia" w:ascii="宋体" w:hAnsi="宋体" w:eastAsia="宋体" w:cs="仿宋"/>
          <w:sz w:val="24"/>
          <w:szCs w:val="24"/>
        </w:rPr>
        <w:t>25倍</w:t>
      </w:r>
      <w:r>
        <w:rPr>
          <w:rFonts w:hint="eastAsia" w:ascii="宋体" w:hAnsi="宋体" w:eastAsia="宋体" w:cs="仿宋"/>
          <w:sz w:val="24"/>
          <w:szCs w:val="24"/>
          <w:lang w:val="zh-CN"/>
        </w:rPr>
        <w:t>；</w:t>
      </w:r>
    </w:p>
    <w:p>
      <w:pPr>
        <w:numPr>
          <w:ilvl w:val="0"/>
          <w:numId w:val="61"/>
        </w:numPr>
        <w:spacing w:line="360" w:lineRule="auto"/>
        <w:ind w:left="562" w:firstLine="422" w:firstLineChars="176"/>
        <w:contextualSpacing/>
        <w:rPr>
          <w:rFonts w:ascii="宋体" w:hAnsi="宋体" w:eastAsia="宋体" w:cs="仿宋"/>
          <w:sz w:val="24"/>
          <w:szCs w:val="24"/>
        </w:rPr>
      </w:pPr>
      <w:r>
        <w:rPr>
          <w:rFonts w:hint="eastAsia" w:ascii="宋体" w:hAnsi="宋体" w:eastAsia="宋体" w:cs="仿宋"/>
          <w:sz w:val="24"/>
          <w:szCs w:val="24"/>
        </w:rPr>
        <w:t>支持最低照度彩色≤0.0005 Lx，黑白≤0.0001Lx；</w:t>
      </w:r>
    </w:p>
    <w:p>
      <w:pPr>
        <w:numPr>
          <w:ilvl w:val="0"/>
          <w:numId w:val="61"/>
        </w:numPr>
        <w:spacing w:line="360" w:lineRule="auto"/>
        <w:ind w:left="562" w:firstLine="422" w:firstLineChars="176"/>
        <w:contextualSpacing/>
        <w:rPr>
          <w:rFonts w:ascii="宋体" w:hAnsi="宋体" w:eastAsia="宋体" w:cs="仿宋"/>
          <w:sz w:val="24"/>
          <w:szCs w:val="24"/>
          <w:lang w:val="zh-CN"/>
        </w:rPr>
      </w:pPr>
      <w:r>
        <w:rPr>
          <w:rFonts w:hint="eastAsia" w:ascii="宋体" w:hAnsi="宋体" w:eastAsia="宋体" w:cs="仿宋"/>
          <w:sz w:val="24"/>
          <w:szCs w:val="24"/>
        </w:rPr>
        <w:t>支持人脸人体结构化属性信息提取，支持人员布控功能；</w:t>
      </w:r>
    </w:p>
    <w:p>
      <w:pPr>
        <w:numPr>
          <w:ilvl w:val="0"/>
          <w:numId w:val="61"/>
        </w:numPr>
        <w:spacing w:line="360" w:lineRule="auto"/>
        <w:ind w:left="562" w:firstLine="422" w:firstLineChars="176"/>
        <w:contextualSpacing/>
        <w:rPr>
          <w:rFonts w:ascii="宋体" w:hAnsi="宋体" w:eastAsia="宋体" w:cs="仿宋"/>
          <w:sz w:val="24"/>
          <w:szCs w:val="24"/>
          <w:lang w:val="zh-CN"/>
        </w:rPr>
      </w:pPr>
      <w:r>
        <w:rPr>
          <w:rFonts w:hint="eastAsia" w:ascii="宋体" w:hAnsi="宋体" w:eastAsia="宋体" w:cs="仿宋"/>
          <w:sz w:val="24"/>
          <w:szCs w:val="24"/>
        </w:rPr>
        <w:t>支持对运动人脸进行检测、跟踪、抓拍、评分、筛选，输出最优的人脸</w:t>
      </w:r>
      <w:r>
        <w:rPr>
          <w:rFonts w:hint="eastAsia" w:ascii="宋体" w:hAnsi="宋体" w:eastAsia="宋体" w:cs="仿宋"/>
          <w:sz w:val="24"/>
          <w:szCs w:val="24"/>
          <w:lang w:val="zh-CN"/>
        </w:rPr>
        <w:t xml:space="preserve">； </w:t>
      </w:r>
    </w:p>
    <w:p>
      <w:pPr>
        <w:numPr>
          <w:ilvl w:val="0"/>
          <w:numId w:val="61"/>
        </w:numPr>
        <w:spacing w:line="360" w:lineRule="auto"/>
        <w:ind w:left="562" w:firstLine="422" w:firstLineChars="176"/>
        <w:contextualSpacing/>
        <w:rPr>
          <w:rFonts w:ascii="宋体" w:hAnsi="宋体" w:eastAsia="宋体" w:cs="仿宋"/>
          <w:sz w:val="24"/>
          <w:szCs w:val="24"/>
          <w:lang w:val="zh-CN"/>
        </w:rPr>
      </w:pPr>
      <w:r>
        <w:rPr>
          <w:rFonts w:hint="eastAsia" w:ascii="宋体" w:hAnsi="宋体" w:eastAsia="宋体" w:cs="仿宋"/>
          <w:sz w:val="24"/>
          <w:szCs w:val="24"/>
        </w:rPr>
        <w:t>防护: IP66</w:t>
      </w:r>
      <w:r>
        <w:rPr>
          <w:rFonts w:hint="eastAsia" w:ascii="宋体" w:hAnsi="宋体" w:eastAsia="宋体" w:cs="仿宋"/>
          <w:sz w:val="24"/>
          <w:szCs w:val="24"/>
          <w:lang w:val="zh-CN"/>
        </w:rPr>
        <w:t>；</w:t>
      </w:r>
    </w:p>
    <w:p>
      <w:pPr>
        <w:numPr>
          <w:ilvl w:val="0"/>
          <w:numId w:val="61"/>
        </w:numPr>
        <w:spacing w:line="360" w:lineRule="auto"/>
        <w:ind w:left="562" w:firstLine="422" w:firstLineChars="176"/>
        <w:contextualSpacing/>
        <w:rPr>
          <w:rFonts w:ascii="宋体" w:hAnsi="宋体" w:eastAsia="宋体" w:cs="仿宋"/>
          <w:sz w:val="24"/>
          <w:szCs w:val="24"/>
          <w:lang w:val="zh-CN"/>
        </w:rPr>
      </w:pPr>
      <w:r>
        <w:rPr>
          <w:rFonts w:hint="eastAsia" w:ascii="宋体" w:hAnsi="宋体" w:eastAsia="宋体" w:cs="仿宋"/>
          <w:sz w:val="24"/>
          <w:szCs w:val="24"/>
        </w:rPr>
        <w:t>工作温湿度: -40℃-70℃。</w:t>
      </w:r>
    </w:p>
    <w:p>
      <w:pPr>
        <w:spacing w:line="360" w:lineRule="auto"/>
        <w:ind w:firstLine="424" w:firstLineChars="176"/>
        <w:contextualSpacing/>
        <w:rPr>
          <w:rFonts w:ascii="宋体" w:hAnsi="宋体" w:eastAsia="宋体" w:cs="宋体"/>
          <w:b/>
          <w:bCs/>
          <w:sz w:val="24"/>
          <w:szCs w:val="24"/>
          <w:lang w:val="zh-CN"/>
        </w:rPr>
      </w:pPr>
      <w:r>
        <w:rPr>
          <w:rFonts w:hint="eastAsia" w:ascii="宋体" w:hAnsi="宋体" w:eastAsia="宋体" w:cs="宋体"/>
          <w:b/>
          <w:bCs/>
          <w:sz w:val="24"/>
          <w:szCs w:val="24"/>
          <w:lang w:val="zh-CN"/>
        </w:rPr>
        <w:t>智能抓拍相机</w:t>
      </w:r>
    </w:p>
    <w:p>
      <w:pPr>
        <w:numPr>
          <w:ilvl w:val="0"/>
          <w:numId w:val="61"/>
        </w:numPr>
        <w:spacing w:line="360" w:lineRule="auto"/>
        <w:ind w:left="562" w:firstLine="422" w:firstLineChars="176"/>
        <w:contextualSpacing/>
        <w:rPr>
          <w:rFonts w:ascii="宋体" w:hAnsi="宋体" w:eastAsia="宋体" w:cs="仿宋"/>
          <w:sz w:val="24"/>
          <w:szCs w:val="24"/>
        </w:rPr>
      </w:pPr>
      <w:r>
        <w:rPr>
          <w:rFonts w:hint="eastAsia" w:ascii="宋体" w:hAnsi="宋体" w:eastAsia="宋体" w:cs="仿宋"/>
          <w:sz w:val="24"/>
          <w:szCs w:val="24"/>
        </w:rPr>
        <w:t>设备为400万像素智能抓拍摄像机；</w:t>
      </w:r>
    </w:p>
    <w:p>
      <w:pPr>
        <w:numPr>
          <w:ilvl w:val="0"/>
          <w:numId w:val="61"/>
        </w:numPr>
        <w:spacing w:line="360" w:lineRule="auto"/>
        <w:ind w:left="562" w:firstLine="422" w:firstLineChars="176"/>
        <w:contextualSpacing/>
        <w:rPr>
          <w:rFonts w:ascii="宋体" w:hAnsi="宋体" w:eastAsia="宋体" w:cs="仿宋"/>
          <w:sz w:val="24"/>
          <w:szCs w:val="24"/>
        </w:rPr>
      </w:pPr>
      <w:r>
        <w:rPr>
          <w:rFonts w:hint="eastAsia" w:ascii="宋体" w:hAnsi="宋体" w:eastAsia="宋体" w:cs="仿宋"/>
          <w:sz w:val="24"/>
          <w:szCs w:val="24"/>
        </w:rPr>
        <w:t>通道1：彩色：≤0.0005 Lx  ；黑白：≤0.0001 Lx；通道2：彩色：≤0.0005 Lx；黑白：≤0.0001 Lx；</w:t>
      </w:r>
    </w:p>
    <w:p>
      <w:pPr>
        <w:numPr>
          <w:ilvl w:val="0"/>
          <w:numId w:val="61"/>
        </w:numPr>
        <w:spacing w:line="360" w:lineRule="auto"/>
        <w:ind w:left="562" w:firstLine="422" w:firstLineChars="176"/>
        <w:contextualSpacing/>
        <w:rPr>
          <w:rFonts w:ascii="宋体" w:hAnsi="宋体" w:eastAsia="宋体" w:cs="仿宋"/>
          <w:sz w:val="24"/>
          <w:szCs w:val="24"/>
        </w:rPr>
      </w:pPr>
      <w:r>
        <w:rPr>
          <w:rFonts w:hint="eastAsia" w:ascii="宋体" w:hAnsi="宋体" w:eastAsia="宋体" w:cs="仿宋"/>
          <w:sz w:val="24"/>
          <w:szCs w:val="24"/>
        </w:rPr>
        <w:t>支持对运动人脸进行检测、跟踪、抓拍、评分、筛选，输出最优的人脸抓图；</w:t>
      </w:r>
    </w:p>
    <w:p>
      <w:pPr>
        <w:numPr>
          <w:ilvl w:val="0"/>
          <w:numId w:val="61"/>
        </w:numPr>
        <w:spacing w:line="360" w:lineRule="auto"/>
        <w:ind w:left="562" w:firstLine="422" w:firstLineChars="176"/>
        <w:contextualSpacing/>
        <w:rPr>
          <w:rFonts w:ascii="宋体" w:hAnsi="宋体" w:eastAsia="宋体" w:cs="仿宋"/>
          <w:sz w:val="24"/>
          <w:szCs w:val="24"/>
        </w:rPr>
      </w:pPr>
      <w:r>
        <w:rPr>
          <w:rFonts w:hint="eastAsia" w:ascii="宋体" w:hAnsi="宋体" w:eastAsia="宋体" w:cs="仿宋"/>
          <w:sz w:val="24"/>
          <w:szCs w:val="24"/>
        </w:rPr>
        <w:t>支持Micro SD(即TF卡)，最大支持256G；</w:t>
      </w:r>
    </w:p>
    <w:p>
      <w:pPr>
        <w:numPr>
          <w:ilvl w:val="0"/>
          <w:numId w:val="61"/>
        </w:numPr>
        <w:spacing w:line="360" w:lineRule="auto"/>
        <w:ind w:left="562" w:firstLine="422" w:firstLineChars="176"/>
        <w:contextualSpacing/>
        <w:rPr>
          <w:rFonts w:ascii="宋体" w:hAnsi="宋体" w:eastAsia="宋体" w:cs="仿宋"/>
          <w:sz w:val="24"/>
          <w:szCs w:val="24"/>
        </w:rPr>
      </w:pPr>
      <w:r>
        <w:rPr>
          <w:rFonts w:hint="eastAsia" w:ascii="宋体" w:hAnsi="宋体" w:eastAsia="宋体" w:cs="仿宋"/>
          <w:sz w:val="24"/>
          <w:szCs w:val="24"/>
        </w:rPr>
        <w:t>防护: IP66；</w:t>
      </w:r>
    </w:p>
    <w:p>
      <w:pPr>
        <w:numPr>
          <w:ilvl w:val="0"/>
          <w:numId w:val="61"/>
        </w:numPr>
        <w:spacing w:line="360" w:lineRule="auto"/>
        <w:ind w:left="562" w:firstLine="422" w:firstLineChars="176"/>
        <w:contextualSpacing/>
        <w:rPr>
          <w:rFonts w:ascii="宋体" w:hAnsi="宋体" w:eastAsia="宋体" w:cs="仿宋"/>
          <w:sz w:val="24"/>
          <w:szCs w:val="24"/>
        </w:rPr>
      </w:pPr>
      <w:r>
        <w:rPr>
          <w:rFonts w:hint="eastAsia" w:ascii="宋体" w:hAnsi="宋体" w:eastAsia="宋体" w:cs="仿宋"/>
          <w:sz w:val="24"/>
          <w:szCs w:val="24"/>
        </w:rPr>
        <w:t>工作温湿度: -30 ℃~60 ℃。</w:t>
      </w:r>
    </w:p>
    <w:p>
      <w:pPr>
        <w:pStyle w:val="6"/>
        <w:numPr>
          <w:ilvl w:val="0"/>
          <w:numId w:val="60"/>
        </w:numPr>
        <w:spacing w:before="0" w:after="0" w:line="360" w:lineRule="auto"/>
        <w:ind w:left="0" w:leftChars="0" w:firstLine="420" w:firstLineChars="0"/>
        <w:contextualSpacing/>
        <w:rPr>
          <w:rFonts w:ascii="宋体" w:hAnsi="宋体" w:eastAsia="宋体" w:cstheme="minorBidi"/>
          <w:sz w:val="24"/>
          <w:szCs w:val="24"/>
        </w:rPr>
      </w:pPr>
      <w:r>
        <w:rPr>
          <w:rFonts w:hint="eastAsia" w:ascii="宋体" w:hAnsi="宋体" w:eastAsia="宋体" w:cstheme="minorBidi"/>
          <w:sz w:val="24"/>
          <w:szCs w:val="24"/>
        </w:rPr>
        <w:t>前端点位建设</w:t>
      </w:r>
      <w:r>
        <w:rPr>
          <w:rFonts w:hint="eastAsia" w:ascii="宋体" w:hAnsi="宋体" w:eastAsia="宋体"/>
          <w:sz w:val="24"/>
          <w:szCs w:val="24"/>
        </w:rPr>
        <w:t>要求</w:t>
      </w:r>
    </w:p>
    <w:p>
      <w:pPr>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若前端点位需要进行点位迁移，需要提供以下内容：</w:t>
      </w:r>
    </w:p>
    <w:p>
      <w:pPr>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（1）杆体（含支臂、地笼、简易接地等）</w:t>
      </w:r>
    </w:p>
    <w:p>
      <w:pPr>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（2）箱体（含插线板、熔纤盘等）</w:t>
      </w:r>
    </w:p>
    <w:p>
      <w:pPr>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（3）避雷器（电源避雷器、网络信号避雷器）</w:t>
      </w:r>
    </w:p>
    <w:p>
      <w:pPr>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（4）摄像机</w:t>
      </w:r>
    </w:p>
    <w:p>
      <w:pPr>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（5）自动重合闸</w:t>
      </w:r>
    </w:p>
    <w:p>
      <w:pPr>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（6）设备取电</w:t>
      </w:r>
    </w:p>
    <w:p>
      <w:pPr>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（7）基础开挖</w:t>
      </w:r>
    </w:p>
    <w:p>
      <w:pPr>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（8）网络接入设备</w:t>
      </w:r>
    </w:p>
    <w:p>
      <w:pPr>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（9）网络传输带宽</w:t>
      </w:r>
    </w:p>
    <w:p>
      <w:pPr>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若前端点位未发生迁移，需要更换摄像机及部分配件。</w:t>
      </w:r>
    </w:p>
    <w:p>
      <w:pPr>
        <w:pStyle w:val="7"/>
        <w:numPr>
          <w:ilvl w:val="0"/>
          <w:numId w:val="62"/>
        </w:numPr>
        <w:spacing w:before="0" w:after="0" w:line="360" w:lineRule="auto"/>
        <w:ind w:left="0" w:leftChars="0" w:firstLine="420" w:firstLineChars="0"/>
        <w:contextualSpacing/>
        <w:rPr>
          <w:rFonts w:ascii="宋体" w:hAnsi="宋体" w:eastAsia="宋体"/>
          <w:sz w:val="24"/>
          <w:szCs w:val="24"/>
        </w:rPr>
      </w:pPr>
      <w:r>
        <w:rPr>
          <w:rFonts w:hint="eastAsia" w:ascii="宋体" w:hAnsi="宋体" w:eastAsia="宋体"/>
          <w:sz w:val="24"/>
          <w:szCs w:val="24"/>
        </w:rPr>
        <w:t>杆体选型</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选用立杆的杆体满足以下要求：</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（1）考虑扩展性，预留摄像机安装位。</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（2）杆体高度和支臂长度满足监控场景的要求。</w:t>
      </w:r>
    </w:p>
    <w:p>
      <w:pPr>
        <w:pStyle w:val="7"/>
        <w:numPr>
          <w:ilvl w:val="0"/>
          <w:numId w:val="62"/>
        </w:numPr>
        <w:spacing w:before="0" w:after="0" w:line="360" w:lineRule="auto"/>
        <w:ind w:left="0" w:leftChars="0" w:firstLine="420" w:firstLineChars="0"/>
        <w:contextualSpacing/>
        <w:rPr>
          <w:rFonts w:ascii="宋体" w:hAnsi="宋体" w:eastAsia="宋体"/>
          <w:sz w:val="24"/>
          <w:szCs w:val="24"/>
        </w:rPr>
      </w:pPr>
      <w:r>
        <w:rPr>
          <w:rFonts w:hint="eastAsia" w:ascii="宋体" w:hAnsi="宋体" w:eastAsia="宋体"/>
          <w:sz w:val="24"/>
          <w:szCs w:val="24"/>
        </w:rPr>
        <w:t>箱体选型</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选用专为高清监控点位设计的箱体，满足以下要求：</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（1）所有的电源、ONU、防雷器、自动重合闸等前端辅助设备都可安装在设备箱内。</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（2）具有防雨、防尘、防高温、防盗等功能。</w:t>
      </w:r>
    </w:p>
    <w:p>
      <w:pPr>
        <w:pStyle w:val="7"/>
        <w:numPr>
          <w:ilvl w:val="0"/>
          <w:numId w:val="62"/>
        </w:numPr>
        <w:spacing w:before="0" w:after="0" w:line="360" w:lineRule="auto"/>
        <w:ind w:left="0" w:leftChars="0" w:firstLine="420" w:firstLineChars="0"/>
        <w:contextualSpacing/>
        <w:rPr>
          <w:rFonts w:ascii="宋体" w:hAnsi="宋体" w:eastAsia="宋体"/>
          <w:sz w:val="24"/>
          <w:szCs w:val="24"/>
        </w:rPr>
      </w:pPr>
      <w:r>
        <w:rPr>
          <w:rFonts w:hint="eastAsia" w:ascii="宋体" w:hAnsi="宋体" w:eastAsia="宋体"/>
          <w:sz w:val="24"/>
          <w:szCs w:val="24"/>
        </w:rPr>
        <w:t>防雷接地</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前端设备安装于室外，易遭到雷电打击，前端设备的电源一般在现场就近取用，易受雷电波影响产生高压和浪涌电流，因此需采用电源防雷措施，摄像机立杆和前端机箱须接地，同时使用钢材，采用适当工艺做好密封、散热、防水和防锈等工作。</w:t>
      </w:r>
    </w:p>
    <w:p>
      <w:pPr>
        <w:pStyle w:val="7"/>
        <w:numPr>
          <w:ilvl w:val="0"/>
          <w:numId w:val="62"/>
        </w:numPr>
        <w:spacing w:before="0" w:after="0" w:line="360" w:lineRule="auto"/>
        <w:ind w:left="0" w:leftChars="0" w:firstLine="420" w:firstLineChars="0"/>
        <w:contextualSpacing/>
        <w:rPr>
          <w:rFonts w:ascii="宋体" w:hAnsi="宋体" w:eastAsia="宋体"/>
          <w:sz w:val="24"/>
          <w:szCs w:val="24"/>
        </w:rPr>
      </w:pPr>
      <w:r>
        <w:rPr>
          <w:rFonts w:hint="eastAsia" w:ascii="宋体" w:hAnsi="宋体" w:eastAsia="宋体"/>
          <w:sz w:val="24"/>
          <w:szCs w:val="24"/>
        </w:rPr>
        <w:t>环境选择</w:t>
      </w:r>
    </w:p>
    <w:p>
      <w:pPr>
        <w:pStyle w:val="14"/>
        <w:numPr>
          <w:ilvl w:val="0"/>
          <w:numId w:val="63"/>
        </w:numPr>
        <w:spacing w:line="360" w:lineRule="auto"/>
        <w:ind w:hanging="51" w:firstLineChars="0"/>
        <w:contextualSpacing/>
        <w:rPr>
          <w:rFonts w:ascii="宋体" w:hAnsi="宋体" w:cs="宋体"/>
          <w:b/>
          <w:bCs/>
          <w:sz w:val="24"/>
        </w:rPr>
      </w:pPr>
      <w:r>
        <w:rPr>
          <w:rFonts w:hint="eastAsia" w:ascii="宋体" w:hAnsi="宋体" w:cs="宋体"/>
          <w:b/>
          <w:bCs/>
          <w:sz w:val="24"/>
        </w:rPr>
        <w:t>单位</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单位场景主要指政府机关单位、银行、医院等重点单位。该类场景主要部署在人员通道、车辆通道及人车混行通道，对前往此类单位及在附近通过的人车进行监测。</w:t>
      </w:r>
    </w:p>
    <w:p>
      <w:pPr>
        <w:pStyle w:val="14"/>
        <w:numPr>
          <w:ilvl w:val="0"/>
          <w:numId w:val="63"/>
        </w:numPr>
        <w:spacing w:line="360" w:lineRule="auto"/>
        <w:ind w:firstLineChars="0"/>
        <w:contextualSpacing/>
        <w:rPr>
          <w:rFonts w:ascii="宋体" w:hAnsi="宋体" w:cs="宋体"/>
          <w:b/>
          <w:bCs/>
          <w:sz w:val="24"/>
        </w:rPr>
      </w:pPr>
      <w:r>
        <w:rPr>
          <w:rFonts w:hint="eastAsia" w:ascii="宋体" w:hAnsi="宋体" w:cs="宋体"/>
          <w:b/>
          <w:bCs/>
          <w:sz w:val="24"/>
        </w:rPr>
        <w:t>学校</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大学、中学、小学等各类教育机构出入口，人车混行场景。</w:t>
      </w:r>
    </w:p>
    <w:p>
      <w:pPr>
        <w:pStyle w:val="14"/>
        <w:numPr>
          <w:ilvl w:val="0"/>
          <w:numId w:val="63"/>
        </w:numPr>
        <w:spacing w:line="360" w:lineRule="auto"/>
        <w:ind w:firstLineChars="0"/>
        <w:contextualSpacing/>
        <w:rPr>
          <w:rFonts w:ascii="宋体" w:hAnsi="宋体" w:cs="宋体"/>
          <w:b/>
          <w:bCs/>
          <w:sz w:val="24"/>
        </w:rPr>
      </w:pPr>
      <w:r>
        <w:rPr>
          <w:rFonts w:hint="eastAsia" w:ascii="宋体" w:hAnsi="宋体" w:cs="宋体"/>
          <w:b/>
          <w:bCs/>
          <w:sz w:val="24"/>
        </w:rPr>
        <w:t>社区</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社区场景主要指城镇、乡村、小区等出入口。</w:t>
      </w:r>
    </w:p>
    <w:p>
      <w:pPr>
        <w:pStyle w:val="14"/>
        <w:numPr>
          <w:ilvl w:val="0"/>
          <w:numId w:val="63"/>
        </w:numPr>
        <w:spacing w:line="360" w:lineRule="auto"/>
        <w:ind w:firstLineChars="0"/>
        <w:contextualSpacing/>
        <w:rPr>
          <w:rFonts w:ascii="宋体" w:hAnsi="宋体" w:cs="宋体"/>
          <w:b/>
          <w:bCs/>
          <w:sz w:val="24"/>
        </w:rPr>
      </w:pPr>
      <w:r>
        <w:rPr>
          <w:rFonts w:hint="eastAsia" w:ascii="宋体" w:hAnsi="宋体" w:cs="宋体"/>
          <w:b/>
          <w:bCs/>
          <w:sz w:val="24"/>
        </w:rPr>
        <w:t>街面</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街面场景主要指人车隔离或非隔离状态的路截面中段以及人车混行的街道路口等。</w:t>
      </w:r>
    </w:p>
    <w:p>
      <w:pPr>
        <w:pStyle w:val="14"/>
        <w:numPr>
          <w:ilvl w:val="0"/>
          <w:numId w:val="63"/>
        </w:numPr>
        <w:spacing w:line="360" w:lineRule="auto"/>
        <w:ind w:firstLineChars="0"/>
        <w:contextualSpacing/>
        <w:rPr>
          <w:rFonts w:ascii="宋体" w:hAnsi="宋体" w:cs="宋体"/>
          <w:b/>
          <w:bCs/>
          <w:sz w:val="24"/>
        </w:rPr>
      </w:pPr>
      <w:r>
        <w:rPr>
          <w:rFonts w:hint="eastAsia" w:ascii="宋体" w:hAnsi="宋体" w:cs="宋体"/>
          <w:b/>
          <w:bCs/>
          <w:sz w:val="24"/>
        </w:rPr>
        <w:t>商业公共区域</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商业公共区域即商业步行街、CBD商圈等开方式人车混行场景。</w:t>
      </w:r>
    </w:p>
    <w:p>
      <w:pPr>
        <w:pStyle w:val="14"/>
        <w:numPr>
          <w:ilvl w:val="0"/>
          <w:numId w:val="63"/>
        </w:numPr>
        <w:spacing w:line="360" w:lineRule="auto"/>
        <w:ind w:firstLineChars="0"/>
        <w:contextualSpacing/>
        <w:rPr>
          <w:rFonts w:ascii="宋体" w:hAnsi="宋体" w:cs="宋体"/>
          <w:b/>
          <w:bCs/>
          <w:sz w:val="24"/>
        </w:rPr>
      </w:pPr>
      <w:r>
        <w:rPr>
          <w:rFonts w:hint="eastAsia" w:ascii="宋体" w:hAnsi="宋体" w:cs="宋体"/>
          <w:b/>
          <w:bCs/>
          <w:sz w:val="24"/>
        </w:rPr>
        <w:t>公园广场</w:t>
      </w:r>
    </w:p>
    <w:p>
      <w:pPr>
        <w:pStyle w:val="14"/>
        <w:spacing w:line="360" w:lineRule="auto"/>
        <w:ind w:firstLine="480"/>
        <w:contextualSpacing/>
        <w:rPr>
          <w:rFonts w:ascii="宋体" w:hAnsi="宋体" w:cs="宋体"/>
          <w:sz w:val="24"/>
          <w:lang w:val="zh-CN"/>
        </w:rPr>
      </w:pPr>
      <w:r>
        <w:rPr>
          <w:rFonts w:hint="eastAsia" w:ascii="宋体" w:hAnsi="宋体" w:cs="宋体"/>
          <w:sz w:val="24"/>
          <w:lang w:val="zh-CN"/>
        </w:rPr>
        <w:t>公园广场等开放式公共区域出入口等人车混行场景。</w:t>
      </w:r>
    </w:p>
    <w:p>
      <w:pPr>
        <w:pStyle w:val="5"/>
        <w:numPr>
          <w:ilvl w:val="3"/>
          <w:numId w:val="1"/>
        </w:numPr>
        <w:bidi w:val="0"/>
        <w:ind w:left="0" w:leftChars="0" w:firstLine="482" w:firstLineChars="200"/>
        <w:rPr>
          <w:rFonts w:ascii="宋体" w:hAnsi="宋体" w:eastAsia="宋体"/>
          <w:sz w:val="24"/>
          <w:szCs w:val="24"/>
        </w:rPr>
      </w:pPr>
      <w:r>
        <w:rPr>
          <w:rFonts w:hint="eastAsia" w:ascii="宋体" w:hAnsi="宋体" w:eastAsia="宋体"/>
          <w:sz w:val="24"/>
          <w:szCs w:val="24"/>
        </w:rPr>
        <w:t>传输网络建设要求</w:t>
      </w:r>
    </w:p>
    <w:p>
      <w:pPr>
        <w:spacing w:line="360" w:lineRule="auto"/>
        <w:ind w:firstLine="480"/>
        <w:rPr>
          <w:rFonts w:ascii="宋体" w:hAnsi="宋体" w:eastAsia="宋体" w:cs="宋体"/>
          <w:sz w:val="24"/>
          <w:szCs w:val="24"/>
          <w:lang w:val="zh-CN"/>
        </w:rPr>
      </w:pPr>
      <w:bookmarkStart w:id="371" w:name="_Toc418456166"/>
      <w:bookmarkStart w:id="372" w:name="_Toc415475138"/>
      <w:r>
        <w:rPr>
          <w:rFonts w:hint="eastAsia" w:ascii="宋体" w:hAnsi="宋体" w:eastAsia="宋体" w:cs="宋体"/>
          <w:sz w:val="24"/>
          <w:szCs w:val="24"/>
          <w:lang w:val="zh-CN"/>
        </w:rPr>
        <w:t>本次建设点位所采集视频与图片数据均依托于视频专网进行数据传输。本次视频专网采用专线方式建设，全部采用光纤专线承载，确保与其他网络（含互联网、公安信息网）的隔离。</w:t>
      </w:r>
    </w:p>
    <w:p>
      <w:pPr>
        <w:pStyle w:val="5"/>
        <w:numPr>
          <w:ilvl w:val="0"/>
          <w:numId w:val="64"/>
        </w:numPr>
        <w:bidi w:val="0"/>
        <w:ind w:left="0" w:leftChars="0" w:firstLine="420" w:firstLineChars="0"/>
        <w:rPr>
          <w:rFonts w:ascii="宋体" w:hAnsi="宋体" w:eastAsia="宋体" w:cstheme="minorBidi"/>
          <w:sz w:val="24"/>
          <w:szCs w:val="24"/>
        </w:rPr>
      </w:pPr>
      <w:bookmarkStart w:id="373" w:name="_Toc523503666"/>
      <w:bookmarkStart w:id="374" w:name="_Toc514430484"/>
      <w:bookmarkStart w:id="375" w:name="_Toc40614915"/>
      <w:bookmarkStart w:id="376" w:name="_Toc438739121"/>
      <w:r>
        <w:rPr>
          <w:rFonts w:hint="eastAsia" w:ascii="宋体" w:hAnsi="宋体" w:eastAsia="宋体" w:cstheme="minorBidi"/>
          <w:sz w:val="24"/>
          <w:szCs w:val="24"/>
        </w:rPr>
        <w:t>应用技术</w:t>
      </w:r>
      <w:bookmarkEnd w:id="373"/>
      <w:bookmarkEnd w:id="374"/>
      <w:bookmarkEnd w:id="375"/>
      <w:bookmarkEnd w:id="376"/>
    </w:p>
    <w:p>
      <w:pPr>
        <w:spacing w:line="360" w:lineRule="auto"/>
        <w:ind w:left="0" w:leftChars="0" w:firstLine="480" w:firstLineChars="200"/>
        <w:rPr>
          <w:rFonts w:ascii="宋体" w:hAnsi="宋体" w:eastAsia="宋体" w:cs="宋体"/>
          <w:sz w:val="24"/>
          <w:szCs w:val="24"/>
          <w:lang w:val="zh-CN"/>
        </w:rPr>
      </w:pPr>
      <w:r>
        <w:rPr>
          <w:rFonts w:hint="eastAsia" w:ascii="宋体" w:hAnsi="宋体" w:eastAsia="宋体" w:cs="宋体"/>
          <w:sz w:val="24"/>
          <w:szCs w:val="24"/>
          <w:lang w:val="zh-CN"/>
        </w:rPr>
        <w:t>本次天网项目综合考虑图像分辨率、传输稳定性、点位位置、建设投资成本以及前期建设模式等因素，采用PON接入方式。相对于传统LAN接入模式，以PON方式接入在带宽提升、网络故障发生率降低、网管功能、综合接入等方面，均有显著的提升。</w:t>
      </w:r>
    </w:p>
    <w:p>
      <w:pPr>
        <w:pStyle w:val="5"/>
        <w:numPr>
          <w:ilvl w:val="0"/>
          <w:numId w:val="64"/>
        </w:numPr>
        <w:bidi w:val="0"/>
        <w:ind w:left="0" w:leftChars="0" w:firstLine="420" w:firstLineChars="0"/>
        <w:rPr>
          <w:rFonts w:ascii="宋体" w:hAnsi="宋体" w:eastAsia="宋体" w:cstheme="minorBidi"/>
          <w:sz w:val="24"/>
          <w:szCs w:val="24"/>
        </w:rPr>
      </w:pPr>
      <w:bookmarkStart w:id="377" w:name="_Toc438739122"/>
      <w:bookmarkStart w:id="378" w:name="_Toc357410185"/>
      <w:bookmarkStart w:id="379" w:name="_Toc523503667"/>
      <w:bookmarkStart w:id="380" w:name="_Toc514430485"/>
      <w:bookmarkStart w:id="381" w:name="_Toc40614916"/>
      <w:r>
        <w:rPr>
          <w:rFonts w:hint="eastAsia" w:ascii="宋体" w:hAnsi="宋体" w:eastAsia="宋体" w:cstheme="minorBidi"/>
          <w:sz w:val="24"/>
          <w:szCs w:val="24"/>
        </w:rPr>
        <w:t>网络拓扑</w:t>
      </w:r>
      <w:bookmarkEnd w:id="377"/>
      <w:bookmarkEnd w:id="378"/>
      <w:r>
        <w:rPr>
          <w:rFonts w:hint="eastAsia" w:ascii="宋体" w:hAnsi="宋体" w:eastAsia="宋体" w:cstheme="minorBidi"/>
          <w:sz w:val="24"/>
          <w:szCs w:val="24"/>
        </w:rPr>
        <w:t>结构</w:t>
      </w:r>
      <w:bookmarkEnd w:id="379"/>
      <w:bookmarkEnd w:id="380"/>
      <w:bookmarkEnd w:id="381"/>
    </w:p>
    <w:p>
      <w:pPr>
        <w:spacing w:line="360" w:lineRule="auto"/>
        <w:ind w:left="0" w:leftChars="0" w:firstLine="480" w:firstLineChars="200"/>
        <w:rPr>
          <w:rFonts w:ascii="宋体" w:hAnsi="宋体" w:eastAsia="宋体" w:cs="宋体"/>
          <w:sz w:val="24"/>
          <w:szCs w:val="24"/>
          <w:lang w:val="zh-CN"/>
        </w:rPr>
      </w:pPr>
      <w:r>
        <w:rPr>
          <w:rFonts w:hint="eastAsia" w:ascii="宋体" w:hAnsi="宋体" w:eastAsia="宋体" w:cs="宋体"/>
          <w:sz w:val="24"/>
          <w:szCs w:val="24"/>
          <w:lang w:val="zh-CN"/>
        </w:rPr>
        <w:t>本次传输网络建设根据龙泉驿区已有构架，拟采用集中式组网方案，并要求汇聚层网络采用双路由冗余设计，以保证数据传输的稳定性与容灾性。所有后端存储和数据分发设备集中部署在后端通信机房。</w:t>
      </w:r>
    </w:p>
    <w:p>
      <w:pPr>
        <w:pStyle w:val="5"/>
        <w:numPr>
          <w:ilvl w:val="0"/>
          <w:numId w:val="64"/>
        </w:numPr>
        <w:bidi w:val="0"/>
        <w:ind w:left="0" w:leftChars="0" w:firstLine="420" w:firstLineChars="0"/>
        <w:rPr>
          <w:rFonts w:ascii="宋体" w:hAnsi="宋体" w:eastAsia="宋体" w:cstheme="minorBidi"/>
          <w:sz w:val="24"/>
          <w:szCs w:val="24"/>
        </w:rPr>
      </w:pPr>
      <w:bookmarkStart w:id="382" w:name="_Toc438739123"/>
      <w:bookmarkStart w:id="383" w:name="_Toc514430486"/>
      <w:bookmarkStart w:id="384" w:name="_Toc523503668"/>
      <w:bookmarkStart w:id="385" w:name="_Toc40614917"/>
      <w:bookmarkStart w:id="386" w:name="_Toc357410186"/>
      <w:r>
        <w:rPr>
          <w:rFonts w:hint="eastAsia" w:ascii="宋体" w:hAnsi="宋体" w:eastAsia="宋体" w:cstheme="minorBidi"/>
          <w:sz w:val="24"/>
          <w:szCs w:val="24"/>
        </w:rPr>
        <w:t>前端网络</w:t>
      </w:r>
      <w:bookmarkEnd w:id="382"/>
      <w:bookmarkEnd w:id="383"/>
      <w:bookmarkEnd w:id="384"/>
      <w:bookmarkEnd w:id="385"/>
      <w:bookmarkEnd w:id="386"/>
    </w:p>
    <w:p>
      <w:pPr>
        <w:spacing w:line="360" w:lineRule="auto"/>
        <w:ind w:firstLine="480" w:firstLineChars="200"/>
        <w:rPr>
          <w:rFonts w:hint="eastAsia" w:ascii="宋体" w:hAnsi="宋体" w:eastAsia="宋体" w:cs="宋体"/>
          <w:lang w:eastAsia="zh-CN"/>
        </w:rPr>
      </w:pPr>
      <w:bookmarkStart w:id="387" w:name="_Toc438739125"/>
      <w:bookmarkStart w:id="388" w:name="_Toc357410188"/>
      <w:bookmarkStart w:id="389" w:name="_Toc40614918"/>
      <w:bookmarkStart w:id="390" w:name="_Toc514430488"/>
      <w:bookmarkStart w:id="391" w:name="_Toc523503670"/>
      <w:r>
        <w:rPr>
          <w:rFonts w:hint="eastAsia" w:ascii="宋体" w:hAnsi="宋体" w:cs="宋体"/>
          <w:lang w:val="zh-CN"/>
        </w:rPr>
        <w:t>本次建设，为了保证后端视频预览的流畅性和结构化数据分析的实时性，前端网络带宽应不低于50M，</w:t>
      </w:r>
      <w:r>
        <w:rPr>
          <w:rFonts w:hint="eastAsia" w:ascii="宋体" w:hAnsi="宋体" w:cs="宋体"/>
        </w:rPr>
        <w:t>同时增加10G汇聚带宽。</w:t>
      </w:r>
    </w:p>
    <w:p>
      <w:pPr>
        <w:pStyle w:val="5"/>
        <w:numPr>
          <w:ilvl w:val="0"/>
          <w:numId w:val="64"/>
        </w:numPr>
        <w:bidi w:val="0"/>
        <w:ind w:left="0" w:leftChars="0" w:firstLine="420" w:firstLineChars="0"/>
        <w:rPr>
          <w:rFonts w:ascii="宋体" w:hAnsi="宋体" w:eastAsia="宋体" w:cstheme="minorBidi"/>
          <w:sz w:val="24"/>
          <w:szCs w:val="24"/>
        </w:rPr>
      </w:pPr>
      <w:r>
        <w:rPr>
          <w:rFonts w:hint="eastAsia" w:ascii="宋体" w:hAnsi="宋体" w:eastAsia="宋体" w:cstheme="minorBidi"/>
          <w:sz w:val="24"/>
          <w:szCs w:val="24"/>
        </w:rPr>
        <w:t>监控中心网络</w:t>
      </w:r>
      <w:bookmarkEnd w:id="387"/>
      <w:bookmarkEnd w:id="388"/>
      <w:bookmarkEnd w:id="389"/>
      <w:bookmarkEnd w:id="390"/>
      <w:bookmarkEnd w:id="391"/>
    </w:p>
    <w:p>
      <w:pPr>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监控中心必须按照实际视频图像传输与应用需求进行带宽提升。</w:t>
      </w:r>
    </w:p>
    <w:bookmarkEnd w:id="371"/>
    <w:bookmarkEnd w:id="372"/>
    <w:p>
      <w:pPr>
        <w:pStyle w:val="5"/>
        <w:bidi w:val="0"/>
        <w:ind w:left="0" w:leftChars="0" w:firstLine="482" w:firstLineChars="200"/>
        <w:rPr>
          <w:rFonts w:ascii="宋体" w:hAnsi="宋体" w:eastAsia="宋体"/>
          <w:sz w:val="24"/>
          <w:szCs w:val="24"/>
        </w:rPr>
      </w:pPr>
      <w:r>
        <w:rPr>
          <w:rFonts w:hint="eastAsia" w:ascii="宋体" w:hAnsi="宋体" w:eastAsia="宋体"/>
          <w:sz w:val="24"/>
          <w:szCs w:val="24"/>
          <w:lang w:val="en-US" w:eastAsia="zh-CN"/>
        </w:rPr>
        <w:t>运维</w:t>
      </w:r>
      <w:r>
        <w:rPr>
          <w:rFonts w:hint="eastAsia" w:ascii="宋体" w:hAnsi="宋体" w:eastAsia="宋体"/>
          <w:sz w:val="24"/>
          <w:szCs w:val="24"/>
        </w:rPr>
        <w:t>服务要求</w:t>
      </w:r>
    </w:p>
    <w:p>
      <w:pPr>
        <w:pStyle w:val="5"/>
        <w:numPr>
          <w:ilvl w:val="3"/>
          <w:numId w:val="1"/>
        </w:numPr>
        <w:spacing w:before="0" w:after="0" w:line="360" w:lineRule="auto"/>
        <w:ind w:left="420" w:leftChars="0" w:firstLine="60" w:firstLineChars="25"/>
        <w:contextualSpacing/>
        <w:rPr>
          <w:rFonts w:ascii="宋体" w:hAnsi="宋体" w:eastAsia="宋体"/>
          <w:sz w:val="24"/>
          <w:szCs w:val="24"/>
        </w:rPr>
      </w:pPr>
      <w:r>
        <w:rPr>
          <w:rFonts w:hint="eastAsia" w:ascii="宋体" w:hAnsi="宋体" w:eastAsia="宋体"/>
          <w:sz w:val="24"/>
          <w:szCs w:val="24"/>
        </w:rPr>
        <w:t>运维与服务</w:t>
      </w:r>
    </w:p>
    <w:p>
      <w:pPr>
        <w:pStyle w:val="209"/>
        <w:spacing w:line="360" w:lineRule="auto"/>
        <w:ind w:firstLine="480"/>
        <w:contextualSpacing/>
        <w:rPr>
          <w:rFonts w:hAnsi="宋体" w:cs="仿宋"/>
          <w:szCs w:val="24"/>
        </w:rPr>
      </w:pPr>
      <w:r>
        <w:rPr>
          <w:rFonts w:hint="eastAsia" w:hAnsi="宋体" w:cs="仿宋"/>
          <w:szCs w:val="24"/>
        </w:rPr>
        <w:t>针对该监控项目的特点以及项目的重要性，为了更好的完成技术支持和服务工作，成立针对该项目技术支持与服务队伍。</w:t>
      </w:r>
    </w:p>
    <w:p>
      <w:pPr>
        <w:pStyle w:val="209"/>
        <w:numPr>
          <w:ilvl w:val="0"/>
          <w:numId w:val="65"/>
        </w:numPr>
        <w:spacing w:line="360" w:lineRule="auto"/>
        <w:ind w:left="0" w:leftChars="0" w:firstLine="420" w:firstLineChars="0"/>
        <w:contextualSpacing/>
        <w:rPr>
          <w:rFonts w:hAnsi="宋体" w:cs="仿宋"/>
          <w:szCs w:val="24"/>
        </w:rPr>
      </w:pPr>
      <w:r>
        <w:rPr>
          <w:rFonts w:hint="eastAsia" w:hAnsi="宋体" w:cs="仿宋"/>
          <w:szCs w:val="24"/>
        </w:rPr>
        <w:t>服务需要实现的目标</w:t>
      </w:r>
    </w:p>
    <w:p>
      <w:pPr>
        <w:pStyle w:val="209"/>
        <w:numPr>
          <w:ilvl w:val="0"/>
          <w:numId w:val="65"/>
        </w:numPr>
        <w:spacing w:line="360" w:lineRule="auto"/>
        <w:ind w:left="0" w:leftChars="0" w:firstLine="420" w:firstLineChars="0"/>
        <w:contextualSpacing/>
        <w:rPr>
          <w:rFonts w:hAnsi="宋体" w:cs="仿宋"/>
          <w:szCs w:val="24"/>
        </w:rPr>
      </w:pPr>
      <w:r>
        <w:rPr>
          <w:rFonts w:hint="eastAsia" w:hAnsi="宋体" w:cs="仿宋"/>
          <w:szCs w:val="24"/>
        </w:rPr>
        <w:t>投标人应提供专业、快捷、优质的服务，保证设备可用率≥95%。</w:t>
      </w:r>
    </w:p>
    <w:p>
      <w:pPr>
        <w:pStyle w:val="209"/>
        <w:numPr>
          <w:ilvl w:val="0"/>
          <w:numId w:val="65"/>
        </w:numPr>
        <w:spacing w:line="360" w:lineRule="auto"/>
        <w:ind w:left="0" w:leftChars="0" w:firstLine="420" w:firstLineChars="0"/>
        <w:contextualSpacing/>
        <w:rPr>
          <w:rFonts w:hAnsi="宋体" w:cs="仿宋"/>
          <w:szCs w:val="24"/>
        </w:rPr>
      </w:pPr>
      <w:r>
        <w:rPr>
          <w:rFonts w:hint="eastAsia" w:hAnsi="宋体" w:cs="仿宋"/>
          <w:szCs w:val="24"/>
        </w:rPr>
        <w:t>售后服务本地化</w:t>
      </w:r>
    </w:p>
    <w:p>
      <w:pPr>
        <w:pStyle w:val="209"/>
        <w:numPr>
          <w:ilvl w:val="0"/>
          <w:numId w:val="65"/>
        </w:numPr>
        <w:spacing w:line="360" w:lineRule="auto"/>
        <w:ind w:left="0" w:leftChars="0" w:firstLine="420" w:firstLineChars="0"/>
        <w:contextualSpacing/>
        <w:rPr>
          <w:rFonts w:hAnsi="宋体" w:cs="仿宋"/>
          <w:szCs w:val="24"/>
        </w:rPr>
      </w:pPr>
      <w:r>
        <w:rPr>
          <w:rFonts w:hint="eastAsia" w:hAnsi="宋体" w:cs="仿宋"/>
          <w:szCs w:val="24"/>
        </w:rPr>
        <w:t>针对本项目的特点提供方便的、快速响应的本地化的服务。各分支机构有高、中级技术人员，可以对用户进行设备调试、网络和产品培训、排障等服务。</w:t>
      </w:r>
    </w:p>
    <w:p>
      <w:pPr>
        <w:pStyle w:val="209"/>
        <w:numPr>
          <w:ilvl w:val="0"/>
          <w:numId w:val="65"/>
        </w:numPr>
        <w:spacing w:line="360" w:lineRule="auto"/>
        <w:ind w:left="0" w:leftChars="0" w:firstLine="420" w:firstLineChars="0"/>
        <w:contextualSpacing/>
        <w:rPr>
          <w:rFonts w:hAnsi="宋体" w:cs="仿宋"/>
          <w:szCs w:val="24"/>
        </w:rPr>
      </w:pPr>
      <w:r>
        <w:rPr>
          <w:rFonts w:hint="eastAsia" w:hAnsi="宋体" w:cs="仿宋"/>
          <w:szCs w:val="24"/>
        </w:rPr>
        <w:t>技术支持服务内容和措施</w:t>
      </w:r>
    </w:p>
    <w:p>
      <w:pPr>
        <w:pStyle w:val="209"/>
        <w:spacing w:line="360" w:lineRule="auto"/>
        <w:ind w:firstLine="480"/>
        <w:contextualSpacing/>
        <w:rPr>
          <w:rFonts w:hAnsi="宋体" w:cs="仿宋"/>
          <w:szCs w:val="24"/>
        </w:rPr>
      </w:pPr>
      <w:r>
        <w:rPr>
          <w:rFonts w:hint="eastAsia" w:hAnsi="宋体" w:cs="仿宋"/>
          <w:szCs w:val="24"/>
        </w:rPr>
        <w:t>成立由软、硬件与系统集成工程师组成的技术支持及售后服务小组，为项目提供全程的售后技术支持与服务。本次项目售后服务的内容包括工程建设中网络系统所有的软硬件技术支持及服务。</w:t>
      </w:r>
    </w:p>
    <w:p>
      <w:pPr>
        <w:pStyle w:val="209"/>
        <w:spacing w:line="360" w:lineRule="auto"/>
        <w:ind w:firstLine="480"/>
        <w:contextualSpacing/>
        <w:rPr>
          <w:rFonts w:hAnsi="宋体" w:cs="仿宋"/>
          <w:szCs w:val="24"/>
        </w:rPr>
      </w:pPr>
      <w:r>
        <w:rPr>
          <w:rFonts w:hint="eastAsia" w:hAnsi="宋体" w:cs="仿宋"/>
          <w:szCs w:val="24"/>
        </w:rPr>
        <w:t>服务包含以下内容：</w:t>
      </w:r>
    </w:p>
    <w:p>
      <w:pPr>
        <w:pStyle w:val="209"/>
        <w:spacing w:line="360" w:lineRule="auto"/>
        <w:ind w:firstLine="480"/>
        <w:contextualSpacing/>
        <w:rPr>
          <w:rFonts w:hAnsi="宋体" w:cs="仿宋"/>
          <w:szCs w:val="24"/>
        </w:rPr>
      </w:pPr>
      <w:r>
        <w:rPr>
          <w:rFonts w:hint="eastAsia" w:hAnsi="宋体" w:cs="仿宋"/>
          <w:szCs w:val="24"/>
        </w:rPr>
        <w:t>（1）技术咨询服务</w:t>
      </w:r>
    </w:p>
    <w:p>
      <w:pPr>
        <w:pStyle w:val="209"/>
        <w:spacing w:line="360" w:lineRule="auto"/>
        <w:ind w:firstLine="480"/>
        <w:contextualSpacing/>
        <w:rPr>
          <w:rFonts w:hAnsi="宋体" w:cs="仿宋"/>
          <w:szCs w:val="24"/>
        </w:rPr>
      </w:pPr>
      <w:r>
        <w:rPr>
          <w:rFonts w:hint="eastAsia" w:hAnsi="宋体" w:cs="仿宋"/>
          <w:szCs w:val="24"/>
        </w:rPr>
        <w:t>（2）响应式服务</w:t>
      </w:r>
    </w:p>
    <w:p>
      <w:pPr>
        <w:pStyle w:val="209"/>
        <w:spacing w:line="360" w:lineRule="auto"/>
        <w:ind w:firstLine="480"/>
        <w:contextualSpacing/>
        <w:rPr>
          <w:rFonts w:hAnsi="宋体" w:cs="仿宋"/>
          <w:szCs w:val="24"/>
        </w:rPr>
      </w:pPr>
      <w:r>
        <w:rPr>
          <w:rFonts w:hint="eastAsia" w:hAnsi="宋体" w:cs="仿宋"/>
          <w:szCs w:val="24"/>
        </w:rPr>
        <w:t>（3）文档提供和更新服务</w:t>
      </w:r>
    </w:p>
    <w:p>
      <w:pPr>
        <w:pStyle w:val="209"/>
        <w:spacing w:line="360" w:lineRule="auto"/>
        <w:ind w:firstLine="480"/>
        <w:contextualSpacing/>
        <w:rPr>
          <w:rFonts w:hAnsi="宋体" w:cs="仿宋"/>
          <w:szCs w:val="24"/>
        </w:rPr>
      </w:pPr>
      <w:r>
        <w:rPr>
          <w:rFonts w:hint="eastAsia" w:hAnsi="宋体" w:cs="仿宋"/>
          <w:szCs w:val="24"/>
        </w:rPr>
        <w:t>（4）培训服务</w:t>
      </w:r>
    </w:p>
    <w:p>
      <w:pPr>
        <w:pStyle w:val="5"/>
        <w:numPr>
          <w:ilvl w:val="3"/>
          <w:numId w:val="1"/>
        </w:numPr>
        <w:spacing w:before="0" w:after="0" w:line="360" w:lineRule="auto"/>
        <w:ind w:left="420" w:leftChars="0" w:firstLine="60" w:firstLineChars="25"/>
        <w:contextualSpacing/>
        <w:rPr>
          <w:rFonts w:ascii="宋体" w:hAnsi="宋体" w:eastAsia="宋体" w:cstheme="minorBidi"/>
          <w:sz w:val="24"/>
          <w:szCs w:val="24"/>
        </w:rPr>
      </w:pPr>
      <w:bookmarkStart w:id="392" w:name="_Toc523503688"/>
      <w:bookmarkStart w:id="393" w:name="_Toc40614926"/>
      <w:bookmarkStart w:id="394" w:name="_Toc442112869"/>
      <w:bookmarkStart w:id="395" w:name="_Toc514430491"/>
      <w:r>
        <w:rPr>
          <w:rFonts w:hint="eastAsia" w:ascii="宋体" w:hAnsi="宋体" w:eastAsia="宋体" w:cstheme="minorBidi"/>
          <w:sz w:val="24"/>
          <w:szCs w:val="24"/>
        </w:rPr>
        <w:t>技术咨询服务</w:t>
      </w:r>
      <w:bookmarkEnd w:id="392"/>
      <w:bookmarkEnd w:id="393"/>
      <w:bookmarkEnd w:id="394"/>
      <w:bookmarkEnd w:id="395"/>
    </w:p>
    <w:p>
      <w:pPr>
        <w:pStyle w:val="209"/>
        <w:spacing w:line="360" w:lineRule="auto"/>
        <w:ind w:firstLine="480"/>
        <w:contextualSpacing/>
        <w:rPr>
          <w:rFonts w:hAnsi="宋体" w:cs="仿宋"/>
          <w:szCs w:val="24"/>
        </w:rPr>
      </w:pPr>
      <w:r>
        <w:rPr>
          <w:rFonts w:hint="eastAsia" w:hAnsi="宋体" w:cs="仿宋"/>
          <w:szCs w:val="24"/>
        </w:rPr>
        <w:t>所涉及的技术问题以及其他相关专业的IT技术问题提供咨询服务。</w:t>
      </w:r>
    </w:p>
    <w:p>
      <w:pPr>
        <w:pStyle w:val="209"/>
        <w:numPr>
          <w:ilvl w:val="0"/>
          <w:numId w:val="66"/>
        </w:numPr>
        <w:spacing w:line="360" w:lineRule="auto"/>
        <w:ind w:left="0" w:leftChars="0" w:firstLine="420" w:firstLineChars="0"/>
        <w:contextualSpacing/>
        <w:rPr>
          <w:rFonts w:hAnsi="宋体" w:cs="仿宋"/>
          <w:szCs w:val="24"/>
        </w:rPr>
      </w:pPr>
      <w:r>
        <w:rPr>
          <w:rFonts w:hint="eastAsia" w:hAnsi="宋体" w:cs="仿宋"/>
          <w:szCs w:val="24"/>
        </w:rPr>
        <w:t>服务方式</w:t>
      </w:r>
    </w:p>
    <w:p>
      <w:pPr>
        <w:pStyle w:val="209"/>
        <w:spacing w:line="360" w:lineRule="auto"/>
        <w:ind w:firstLine="480"/>
        <w:contextualSpacing/>
        <w:rPr>
          <w:rFonts w:hAnsi="宋体" w:cs="仿宋"/>
          <w:szCs w:val="24"/>
        </w:rPr>
      </w:pPr>
      <w:r>
        <w:rPr>
          <w:rFonts w:hint="eastAsia" w:hAnsi="宋体" w:cs="仿宋"/>
          <w:szCs w:val="24"/>
        </w:rPr>
        <w:t>提供2种方式的技术咨询服务：</w:t>
      </w:r>
    </w:p>
    <w:p>
      <w:pPr>
        <w:pStyle w:val="209"/>
        <w:spacing w:line="360" w:lineRule="auto"/>
        <w:ind w:firstLine="480"/>
        <w:contextualSpacing/>
        <w:rPr>
          <w:rFonts w:hAnsi="宋体" w:cs="仿宋"/>
          <w:szCs w:val="24"/>
        </w:rPr>
      </w:pPr>
      <w:r>
        <w:rPr>
          <w:rFonts w:hint="eastAsia" w:hAnsi="宋体" w:cs="仿宋"/>
          <w:szCs w:val="24"/>
        </w:rPr>
        <w:t>远程技术咨询服务：以邮件、电子文档、语音电话等多种方式远程解答客户提出的技术问题；</w:t>
      </w:r>
    </w:p>
    <w:p>
      <w:pPr>
        <w:pStyle w:val="209"/>
        <w:spacing w:line="360" w:lineRule="auto"/>
        <w:ind w:firstLine="480"/>
        <w:contextualSpacing/>
        <w:rPr>
          <w:rFonts w:hAnsi="宋体" w:cs="仿宋"/>
          <w:szCs w:val="24"/>
        </w:rPr>
      </w:pPr>
      <w:r>
        <w:rPr>
          <w:rFonts w:hint="eastAsia" w:hAnsi="宋体" w:cs="仿宋"/>
          <w:szCs w:val="24"/>
        </w:rPr>
        <w:t>现场技术咨询服务：为客户提供一般性现场技术咨询；</w:t>
      </w:r>
    </w:p>
    <w:p>
      <w:pPr>
        <w:pStyle w:val="209"/>
        <w:numPr>
          <w:ilvl w:val="0"/>
          <w:numId w:val="66"/>
        </w:numPr>
        <w:spacing w:line="360" w:lineRule="auto"/>
        <w:ind w:left="0" w:leftChars="0" w:firstLine="420" w:firstLineChars="0"/>
        <w:contextualSpacing/>
        <w:rPr>
          <w:rFonts w:hAnsi="宋体" w:cs="仿宋"/>
          <w:szCs w:val="24"/>
        </w:rPr>
      </w:pPr>
      <w:r>
        <w:rPr>
          <w:rFonts w:hint="eastAsia" w:hAnsi="宋体" w:cs="仿宋"/>
          <w:szCs w:val="24"/>
        </w:rPr>
        <w:t>服务内容</w:t>
      </w:r>
    </w:p>
    <w:p>
      <w:pPr>
        <w:pStyle w:val="209"/>
        <w:spacing w:line="360" w:lineRule="auto"/>
        <w:ind w:firstLine="480"/>
        <w:contextualSpacing/>
        <w:rPr>
          <w:rFonts w:hAnsi="宋体" w:cs="仿宋"/>
          <w:szCs w:val="24"/>
        </w:rPr>
      </w:pPr>
      <w:r>
        <w:rPr>
          <w:rFonts w:hint="eastAsia" w:hAnsi="宋体" w:cs="仿宋"/>
          <w:szCs w:val="24"/>
        </w:rPr>
        <w:t>电话支持服务，7×24小时客户技术支持和技术咨询电话，并安排专职客服代表接听视频监控的咨询电话。</w:t>
      </w:r>
    </w:p>
    <w:p>
      <w:pPr>
        <w:pStyle w:val="5"/>
        <w:numPr>
          <w:ilvl w:val="3"/>
          <w:numId w:val="1"/>
        </w:numPr>
        <w:spacing w:before="0" w:after="0" w:line="360" w:lineRule="auto"/>
        <w:ind w:left="420" w:leftChars="0" w:firstLine="60" w:firstLineChars="25"/>
        <w:contextualSpacing/>
        <w:rPr>
          <w:rFonts w:ascii="宋体" w:hAnsi="宋体" w:eastAsia="宋体" w:cstheme="minorBidi"/>
          <w:sz w:val="24"/>
          <w:szCs w:val="24"/>
        </w:rPr>
      </w:pPr>
      <w:bookmarkStart w:id="396" w:name="_Toc514430492"/>
      <w:bookmarkStart w:id="397" w:name="_Toc523503689"/>
      <w:bookmarkStart w:id="398" w:name="_Toc40614927"/>
      <w:bookmarkStart w:id="399" w:name="_Toc442112870"/>
      <w:r>
        <w:rPr>
          <w:rFonts w:hint="eastAsia" w:ascii="宋体" w:hAnsi="宋体" w:eastAsia="宋体" w:cstheme="minorBidi"/>
          <w:sz w:val="24"/>
          <w:szCs w:val="24"/>
        </w:rPr>
        <w:t>响应式服务</w:t>
      </w:r>
      <w:bookmarkEnd w:id="396"/>
      <w:bookmarkEnd w:id="397"/>
      <w:bookmarkEnd w:id="398"/>
      <w:bookmarkEnd w:id="399"/>
    </w:p>
    <w:p>
      <w:pPr>
        <w:pStyle w:val="209"/>
        <w:spacing w:line="360" w:lineRule="auto"/>
        <w:ind w:firstLine="480"/>
        <w:contextualSpacing/>
        <w:rPr>
          <w:rFonts w:hAnsi="宋体" w:cs="仿宋"/>
          <w:szCs w:val="24"/>
        </w:rPr>
      </w:pPr>
      <w:r>
        <w:rPr>
          <w:rFonts w:hint="eastAsia" w:hAnsi="宋体" w:cs="仿宋"/>
          <w:szCs w:val="24"/>
        </w:rPr>
        <w:t>保证所提供、使用产品、设备等均为正规厂家通过正规渠道销售的产品、设备。是原厂家生产、全新、未使用过（包括零部件）的产品、设备。符合国家相关行业标准。自项目竣工验收合格之日起在合同约定租赁期内及时响应解决故障，响应时间要求如故障响应时间，设备、系统一般性小故障在1小时候内响应，8小时内予以解决；重大故障，1小时内响应，安排人员 24 小时内赶到现场并排除故障使系统正常运行。</w:t>
      </w:r>
    </w:p>
    <w:p>
      <w:pPr>
        <w:pStyle w:val="5"/>
        <w:numPr>
          <w:ilvl w:val="3"/>
          <w:numId w:val="1"/>
        </w:numPr>
        <w:spacing w:before="0" w:after="0" w:line="360" w:lineRule="auto"/>
        <w:ind w:left="420" w:leftChars="0" w:firstLine="60" w:firstLineChars="25"/>
        <w:contextualSpacing/>
        <w:rPr>
          <w:rFonts w:ascii="宋体" w:hAnsi="宋体" w:eastAsia="宋体" w:cstheme="minorBidi"/>
          <w:sz w:val="24"/>
          <w:szCs w:val="24"/>
        </w:rPr>
      </w:pPr>
      <w:bookmarkStart w:id="400" w:name="_Toc40614928"/>
      <w:bookmarkStart w:id="401" w:name="_Toc523503690"/>
      <w:bookmarkStart w:id="402" w:name="_Toc442112871"/>
      <w:bookmarkStart w:id="403" w:name="_Toc514430493"/>
      <w:r>
        <w:rPr>
          <w:rFonts w:hint="eastAsia" w:ascii="宋体" w:hAnsi="宋体" w:eastAsia="宋体" w:cstheme="minorBidi"/>
          <w:sz w:val="24"/>
          <w:szCs w:val="24"/>
        </w:rPr>
        <w:t>文档提供和更新服务</w:t>
      </w:r>
      <w:bookmarkEnd w:id="400"/>
      <w:bookmarkEnd w:id="401"/>
      <w:bookmarkEnd w:id="402"/>
      <w:bookmarkEnd w:id="403"/>
    </w:p>
    <w:p>
      <w:pPr>
        <w:pStyle w:val="209"/>
        <w:spacing w:line="360" w:lineRule="auto"/>
        <w:ind w:firstLine="480"/>
        <w:contextualSpacing/>
        <w:rPr>
          <w:rFonts w:hAnsi="宋体" w:cs="仿宋"/>
          <w:szCs w:val="24"/>
        </w:rPr>
      </w:pPr>
      <w:r>
        <w:rPr>
          <w:rFonts w:hint="eastAsia" w:hAnsi="宋体" w:cs="仿宋"/>
          <w:szCs w:val="24"/>
        </w:rPr>
        <w:t>提供完整的软、硬件产品的文档。当产品升级后，提供更新后的文档。</w:t>
      </w:r>
    </w:p>
    <w:p>
      <w:pPr>
        <w:pStyle w:val="5"/>
        <w:numPr>
          <w:ilvl w:val="3"/>
          <w:numId w:val="1"/>
        </w:numPr>
        <w:spacing w:before="0" w:after="0" w:line="360" w:lineRule="auto"/>
        <w:ind w:left="420" w:leftChars="0" w:firstLine="60" w:firstLineChars="25"/>
        <w:contextualSpacing/>
        <w:rPr>
          <w:rFonts w:ascii="宋体" w:hAnsi="宋体" w:eastAsia="宋体" w:cstheme="minorBidi"/>
          <w:sz w:val="24"/>
          <w:szCs w:val="24"/>
        </w:rPr>
      </w:pPr>
      <w:bookmarkStart w:id="404" w:name="_Toc40614929"/>
      <w:bookmarkStart w:id="405" w:name="_Toc442112872"/>
      <w:bookmarkStart w:id="406" w:name="_Toc523503691"/>
      <w:bookmarkStart w:id="407" w:name="_Toc514430494"/>
      <w:r>
        <w:rPr>
          <w:rFonts w:hint="eastAsia" w:ascii="宋体" w:hAnsi="宋体" w:eastAsia="宋体" w:cstheme="minorBidi"/>
          <w:sz w:val="24"/>
          <w:szCs w:val="24"/>
        </w:rPr>
        <w:t>培训服务</w:t>
      </w:r>
      <w:bookmarkEnd w:id="404"/>
      <w:bookmarkEnd w:id="405"/>
      <w:bookmarkEnd w:id="406"/>
      <w:bookmarkEnd w:id="407"/>
    </w:p>
    <w:p>
      <w:pPr>
        <w:pStyle w:val="209"/>
        <w:spacing w:line="360" w:lineRule="auto"/>
        <w:ind w:firstLine="480"/>
        <w:contextualSpacing/>
        <w:rPr>
          <w:rFonts w:hAnsi="宋体" w:cs="仿宋"/>
          <w:szCs w:val="24"/>
        </w:rPr>
      </w:pPr>
      <w:r>
        <w:rPr>
          <w:rFonts w:hint="eastAsia" w:hAnsi="宋体" w:cs="仿宋"/>
          <w:szCs w:val="24"/>
        </w:rPr>
        <w:t>培训服务包括：</w:t>
      </w:r>
    </w:p>
    <w:p>
      <w:pPr>
        <w:pStyle w:val="209"/>
        <w:numPr>
          <w:ilvl w:val="0"/>
          <w:numId w:val="67"/>
        </w:numPr>
        <w:spacing w:line="360" w:lineRule="auto"/>
        <w:ind w:left="0" w:leftChars="0" w:firstLine="420" w:firstLineChars="0"/>
        <w:contextualSpacing/>
        <w:rPr>
          <w:rFonts w:hAnsi="宋体" w:cs="仿宋"/>
          <w:szCs w:val="24"/>
        </w:rPr>
      </w:pPr>
      <w:r>
        <w:rPr>
          <w:rFonts w:hint="eastAsia" w:hAnsi="宋体" w:cs="仿宋"/>
          <w:szCs w:val="24"/>
        </w:rPr>
        <w:t>系统日常操作培训</w:t>
      </w:r>
    </w:p>
    <w:p>
      <w:pPr>
        <w:pStyle w:val="209"/>
        <w:numPr>
          <w:ilvl w:val="0"/>
          <w:numId w:val="67"/>
        </w:numPr>
        <w:spacing w:line="360" w:lineRule="auto"/>
        <w:ind w:left="0" w:leftChars="0" w:firstLine="420" w:firstLineChars="0"/>
        <w:contextualSpacing/>
        <w:rPr>
          <w:rFonts w:hAnsi="宋体" w:cs="仿宋"/>
          <w:szCs w:val="24"/>
        </w:rPr>
      </w:pPr>
      <w:r>
        <w:rPr>
          <w:rFonts w:hint="eastAsia" w:hAnsi="宋体" w:cs="仿宋"/>
          <w:szCs w:val="24"/>
        </w:rPr>
        <w:t>系统日常维护培训</w:t>
      </w:r>
    </w:p>
    <w:p>
      <w:pPr>
        <w:pStyle w:val="209"/>
        <w:numPr>
          <w:ilvl w:val="0"/>
          <w:numId w:val="67"/>
        </w:numPr>
        <w:spacing w:line="360" w:lineRule="auto"/>
        <w:ind w:left="0" w:leftChars="0" w:firstLine="420" w:firstLineChars="0"/>
        <w:contextualSpacing/>
        <w:rPr>
          <w:rFonts w:hAnsi="宋体" w:cs="仿宋"/>
          <w:szCs w:val="24"/>
        </w:rPr>
      </w:pPr>
      <w:r>
        <w:rPr>
          <w:rFonts w:hint="eastAsia" w:hAnsi="宋体" w:cs="仿宋"/>
          <w:szCs w:val="24"/>
        </w:rPr>
        <w:t>典型故障排除培训</w:t>
      </w:r>
    </w:p>
    <w:p>
      <w:pPr>
        <w:pStyle w:val="209"/>
        <w:numPr>
          <w:ilvl w:val="0"/>
          <w:numId w:val="67"/>
        </w:numPr>
        <w:spacing w:line="360" w:lineRule="auto"/>
        <w:ind w:left="0" w:leftChars="0" w:firstLine="420" w:firstLineChars="0"/>
        <w:contextualSpacing/>
        <w:rPr>
          <w:rFonts w:hAnsi="宋体" w:cs="仿宋"/>
          <w:szCs w:val="24"/>
        </w:rPr>
      </w:pPr>
      <w:r>
        <w:rPr>
          <w:rFonts w:hint="eastAsia" w:hAnsi="宋体" w:cs="仿宋"/>
          <w:szCs w:val="24"/>
        </w:rPr>
        <w:t>系统安全培训</w:t>
      </w:r>
    </w:p>
    <w:p>
      <w:pPr>
        <w:pStyle w:val="209"/>
        <w:numPr>
          <w:ilvl w:val="0"/>
          <w:numId w:val="67"/>
        </w:numPr>
        <w:spacing w:line="360" w:lineRule="auto"/>
        <w:ind w:left="0" w:leftChars="0" w:firstLine="420" w:firstLineChars="0"/>
        <w:contextualSpacing/>
        <w:rPr>
          <w:rFonts w:hAnsi="宋体" w:cs="仿宋"/>
          <w:szCs w:val="24"/>
        </w:rPr>
      </w:pPr>
      <w:r>
        <w:rPr>
          <w:rFonts w:hint="eastAsia" w:hAnsi="宋体" w:cs="仿宋"/>
          <w:szCs w:val="24"/>
        </w:rPr>
        <w:t>随工现场培训</w:t>
      </w:r>
    </w:p>
    <w:p>
      <w:pPr>
        <w:pStyle w:val="5"/>
        <w:numPr>
          <w:ilvl w:val="3"/>
          <w:numId w:val="1"/>
        </w:numPr>
        <w:spacing w:before="0" w:after="0" w:line="360" w:lineRule="auto"/>
        <w:ind w:left="420" w:leftChars="0" w:firstLine="60" w:firstLineChars="25"/>
        <w:contextualSpacing/>
        <w:rPr>
          <w:rFonts w:ascii="宋体" w:hAnsi="宋体" w:eastAsia="宋体" w:cstheme="minorBidi"/>
          <w:sz w:val="24"/>
          <w:szCs w:val="24"/>
        </w:rPr>
      </w:pPr>
      <w:bookmarkStart w:id="408" w:name="_Toc24380916"/>
      <w:bookmarkStart w:id="409" w:name="_Toc514430495"/>
      <w:r>
        <w:rPr>
          <w:rFonts w:hint="eastAsia" w:ascii="宋体" w:hAnsi="宋体" w:eastAsia="宋体" w:cstheme="minorBidi"/>
          <w:sz w:val="24"/>
          <w:szCs w:val="24"/>
        </w:rPr>
        <w:t>系统日常操作培训</w:t>
      </w:r>
      <w:bookmarkEnd w:id="408"/>
      <w:bookmarkEnd w:id="409"/>
    </w:p>
    <w:p>
      <w:pPr>
        <w:pStyle w:val="209"/>
        <w:spacing w:line="360" w:lineRule="auto"/>
        <w:ind w:firstLine="480"/>
        <w:contextualSpacing/>
        <w:rPr>
          <w:rFonts w:hAnsi="宋体" w:cs="仿宋"/>
          <w:szCs w:val="24"/>
        </w:rPr>
      </w:pPr>
      <w:r>
        <w:rPr>
          <w:rFonts w:hint="eastAsia" w:hAnsi="宋体" w:cs="仿宋"/>
          <w:szCs w:val="24"/>
        </w:rPr>
        <w:t>培训目标能够熟练系统的使用方法和基本技术要求。</w:t>
      </w:r>
    </w:p>
    <w:p>
      <w:pPr>
        <w:pStyle w:val="209"/>
        <w:spacing w:line="360" w:lineRule="auto"/>
        <w:ind w:firstLine="480"/>
        <w:contextualSpacing/>
        <w:rPr>
          <w:rFonts w:hAnsi="宋体" w:cs="仿宋"/>
          <w:szCs w:val="24"/>
        </w:rPr>
      </w:pPr>
      <w:r>
        <w:rPr>
          <w:rFonts w:hint="eastAsia" w:hAnsi="宋体" w:cs="仿宋"/>
          <w:szCs w:val="24"/>
        </w:rPr>
        <w:t>培训内容系统的原理、功能及结构的讲解；系统各硬件的安装、调试、维护及故障判断，软件的安装、编制、调试、投运及维护；对系统工作流程和管理流程的介绍。</w:t>
      </w:r>
    </w:p>
    <w:p>
      <w:pPr>
        <w:pStyle w:val="209"/>
        <w:spacing w:line="360" w:lineRule="auto"/>
        <w:ind w:firstLine="480"/>
        <w:contextualSpacing/>
        <w:rPr>
          <w:rFonts w:hAnsi="宋体" w:cs="仿宋"/>
          <w:szCs w:val="24"/>
        </w:rPr>
      </w:pPr>
      <w:r>
        <w:rPr>
          <w:rFonts w:hint="eastAsia" w:hAnsi="宋体" w:cs="仿宋"/>
          <w:szCs w:val="24"/>
        </w:rPr>
        <w:t>培训目标</w:t>
      </w:r>
    </w:p>
    <w:p>
      <w:pPr>
        <w:pStyle w:val="209"/>
        <w:spacing w:line="360" w:lineRule="auto"/>
        <w:ind w:firstLine="480"/>
        <w:contextualSpacing/>
        <w:rPr>
          <w:rFonts w:hAnsi="宋体" w:cs="仿宋"/>
          <w:szCs w:val="24"/>
        </w:rPr>
      </w:pPr>
      <w:r>
        <w:rPr>
          <w:rFonts w:hint="eastAsia" w:hAnsi="宋体" w:cs="仿宋"/>
          <w:szCs w:val="24"/>
        </w:rPr>
        <w:t>能够完成基本的系统配置，性能管理，数据维护与保存。</w:t>
      </w:r>
    </w:p>
    <w:p>
      <w:pPr>
        <w:pStyle w:val="209"/>
        <w:spacing w:line="360" w:lineRule="auto"/>
        <w:ind w:firstLine="480"/>
        <w:contextualSpacing/>
        <w:rPr>
          <w:rFonts w:hAnsi="宋体" w:cs="仿宋"/>
          <w:szCs w:val="24"/>
        </w:rPr>
      </w:pPr>
      <w:r>
        <w:rPr>
          <w:rFonts w:hint="eastAsia" w:hAnsi="宋体" w:cs="仿宋"/>
          <w:szCs w:val="24"/>
        </w:rPr>
        <w:t>培训内容包括系统各硬件产品和软件正常使用时需要配置的参数和需要定期保存的数据的打包和存储方式等软硬件知识。</w:t>
      </w:r>
    </w:p>
    <w:p>
      <w:pPr>
        <w:pStyle w:val="5"/>
        <w:numPr>
          <w:ilvl w:val="3"/>
          <w:numId w:val="1"/>
        </w:numPr>
        <w:spacing w:before="0" w:after="0" w:line="360" w:lineRule="auto"/>
        <w:ind w:left="420" w:leftChars="0" w:firstLine="60" w:firstLineChars="25"/>
        <w:contextualSpacing/>
        <w:rPr>
          <w:rFonts w:ascii="宋体" w:hAnsi="宋体" w:eastAsia="宋体" w:cstheme="minorBidi"/>
          <w:sz w:val="24"/>
          <w:szCs w:val="24"/>
        </w:rPr>
      </w:pPr>
      <w:bookmarkStart w:id="410" w:name="_Toc24380917"/>
      <w:bookmarkStart w:id="411" w:name="_Toc514430496"/>
      <w:r>
        <w:rPr>
          <w:rFonts w:hint="eastAsia" w:ascii="宋体" w:hAnsi="宋体" w:eastAsia="宋体" w:cstheme="minorBidi"/>
          <w:sz w:val="24"/>
          <w:szCs w:val="24"/>
        </w:rPr>
        <w:t>典型故障排除培训</w:t>
      </w:r>
      <w:bookmarkEnd w:id="410"/>
      <w:bookmarkEnd w:id="411"/>
    </w:p>
    <w:p>
      <w:pPr>
        <w:pStyle w:val="209"/>
        <w:spacing w:line="360" w:lineRule="auto"/>
        <w:ind w:firstLine="480"/>
        <w:contextualSpacing/>
        <w:rPr>
          <w:rFonts w:hAnsi="宋体" w:cs="仿宋"/>
          <w:szCs w:val="24"/>
        </w:rPr>
      </w:pPr>
      <w:r>
        <w:rPr>
          <w:rFonts w:hint="eastAsia" w:hAnsi="宋体" w:cs="仿宋"/>
          <w:szCs w:val="24"/>
        </w:rPr>
        <w:t>培训目标系统常遇的典型故障的诊断与处理。</w:t>
      </w:r>
    </w:p>
    <w:p>
      <w:pPr>
        <w:pStyle w:val="209"/>
        <w:spacing w:line="360" w:lineRule="auto"/>
        <w:ind w:firstLine="480"/>
        <w:contextualSpacing/>
        <w:rPr>
          <w:rFonts w:hAnsi="宋体" w:cs="仿宋"/>
          <w:szCs w:val="24"/>
        </w:rPr>
      </w:pPr>
      <w:r>
        <w:rPr>
          <w:rFonts w:hint="eastAsia" w:hAnsi="宋体" w:cs="仿宋"/>
          <w:szCs w:val="24"/>
        </w:rPr>
        <w:t>培训内容包括系统常遇的典型故障的种类、表现形式、产生的原因、解决方法、恢复正常后的表现形式等软硬件知识。</w:t>
      </w:r>
    </w:p>
    <w:p>
      <w:pPr>
        <w:pStyle w:val="5"/>
        <w:numPr>
          <w:ilvl w:val="3"/>
          <w:numId w:val="1"/>
        </w:numPr>
        <w:spacing w:before="0" w:after="0" w:line="360" w:lineRule="auto"/>
        <w:ind w:left="420" w:leftChars="0" w:firstLine="60" w:firstLineChars="25"/>
        <w:contextualSpacing/>
        <w:rPr>
          <w:rFonts w:ascii="宋体" w:hAnsi="宋体" w:eastAsia="宋体" w:cstheme="minorBidi"/>
          <w:sz w:val="24"/>
          <w:szCs w:val="24"/>
        </w:rPr>
      </w:pPr>
      <w:bookmarkStart w:id="412" w:name="_Toc514430497"/>
      <w:bookmarkStart w:id="413" w:name="_Toc24380918"/>
      <w:r>
        <w:rPr>
          <w:rFonts w:hint="eastAsia" w:ascii="宋体" w:hAnsi="宋体" w:eastAsia="宋体" w:cstheme="minorBidi"/>
          <w:sz w:val="24"/>
          <w:szCs w:val="24"/>
        </w:rPr>
        <w:t>系统安全培训</w:t>
      </w:r>
      <w:bookmarkEnd w:id="412"/>
      <w:bookmarkEnd w:id="413"/>
    </w:p>
    <w:p>
      <w:pPr>
        <w:pStyle w:val="209"/>
        <w:spacing w:line="360" w:lineRule="auto"/>
        <w:ind w:firstLine="480"/>
        <w:contextualSpacing/>
        <w:rPr>
          <w:rFonts w:hAnsi="宋体" w:cs="仿宋"/>
          <w:szCs w:val="24"/>
        </w:rPr>
      </w:pPr>
      <w:r>
        <w:rPr>
          <w:rFonts w:hint="eastAsia" w:hAnsi="宋体" w:cs="仿宋"/>
          <w:szCs w:val="24"/>
        </w:rPr>
        <w:t>培训目标使系统管理人员掌握保证系统安全的知识。</w:t>
      </w:r>
    </w:p>
    <w:p>
      <w:pPr>
        <w:pStyle w:val="209"/>
        <w:spacing w:line="360" w:lineRule="auto"/>
        <w:ind w:firstLine="480"/>
        <w:contextualSpacing/>
        <w:rPr>
          <w:rFonts w:hAnsi="宋体" w:cs="仿宋"/>
          <w:szCs w:val="24"/>
        </w:rPr>
      </w:pPr>
      <w:r>
        <w:rPr>
          <w:rFonts w:hint="eastAsia" w:hAnsi="宋体" w:cs="仿宋"/>
          <w:szCs w:val="24"/>
        </w:rPr>
        <w:t>培训内容保证系统安全运行的各种权限分配、密码、操作人员可能引起安全隐患的预防知识等。</w:t>
      </w:r>
    </w:p>
    <w:p>
      <w:pPr>
        <w:pStyle w:val="4"/>
        <w:spacing w:before="0" w:after="0" w:line="360" w:lineRule="auto"/>
        <w:contextualSpacing/>
        <w:rPr>
          <w:rFonts w:ascii="宋体" w:hAnsi="宋体" w:eastAsia="宋体"/>
          <w:sz w:val="24"/>
          <w:szCs w:val="24"/>
        </w:rPr>
      </w:pPr>
      <w:bookmarkStart w:id="414" w:name="_Toc24160"/>
      <w:r>
        <w:rPr>
          <w:rFonts w:hint="eastAsia" w:ascii="宋体" w:hAnsi="宋体" w:eastAsia="宋体"/>
          <w:sz w:val="24"/>
          <w:szCs w:val="24"/>
        </w:rPr>
        <w:t>天网点位升级改造租赁设备清单</w:t>
      </w:r>
      <w:bookmarkEnd w:id="414"/>
    </w:p>
    <w:p>
      <w:pPr>
        <w:pStyle w:val="5"/>
        <w:spacing w:before="0" w:after="0" w:line="360" w:lineRule="auto"/>
        <w:contextualSpacing/>
        <w:rPr>
          <w:rFonts w:ascii="宋体" w:hAnsi="宋体" w:eastAsia="宋体"/>
          <w:sz w:val="24"/>
          <w:szCs w:val="24"/>
        </w:rPr>
      </w:pPr>
      <w:r>
        <w:rPr>
          <w:rFonts w:hint="eastAsia" w:ascii="宋体" w:hAnsi="宋体" w:eastAsia="宋体"/>
          <w:sz w:val="24"/>
          <w:szCs w:val="24"/>
        </w:rPr>
        <w:t>前端设备清单及技术参数要求</w:t>
      </w:r>
    </w:p>
    <w:tbl>
      <w:tblPr>
        <w:tblStyle w:val="44"/>
        <w:tblW w:w="5192"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018"/>
        <w:gridCol w:w="6116"/>
        <w:gridCol w:w="776"/>
        <w:gridCol w:w="721"/>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67" w:type="pct"/>
            <w:vAlign w:val="center"/>
          </w:tcPr>
          <w:p>
            <w:pPr>
              <w:widowControl/>
              <w:spacing w:line="360" w:lineRule="auto"/>
              <w:jc w:val="center"/>
              <w:rPr>
                <w:rFonts w:ascii="宋体" w:hAnsi="宋体" w:eastAsia="宋体" w:cs="仿宋"/>
                <w:b/>
                <w:kern w:val="0"/>
                <w:sz w:val="24"/>
                <w:szCs w:val="24"/>
              </w:rPr>
            </w:pPr>
            <w:r>
              <w:rPr>
                <w:rFonts w:hint="eastAsia" w:ascii="宋体" w:hAnsi="宋体" w:eastAsia="宋体" w:cs="仿宋"/>
                <w:b/>
                <w:kern w:val="0"/>
                <w:sz w:val="24"/>
                <w:szCs w:val="24"/>
              </w:rPr>
              <w:t>序号</w:t>
            </w:r>
          </w:p>
        </w:tc>
        <w:tc>
          <w:tcPr>
            <w:tcW w:w="520" w:type="pct"/>
            <w:vAlign w:val="center"/>
          </w:tcPr>
          <w:p>
            <w:pPr>
              <w:widowControl/>
              <w:spacing w:line="360" w:lineRule="auto"/>
              <w:jc w:val="center"/>
              <w:rPr>
                <w:rFonts w:ascii="宋体" w:hAnsi="宋体" w:eastAsia="宋体" w:cs="仿宋"/>
                <w:b/>
                <w:kern w:val="0"/>
                <w:sz w:val="24"/>
                <w:szCs w:val="24"/>
              </w:rPr>
            </w:pPr>
            <w:r>
              <w:rPr>
                <w:rFonts w:hint="eastAsia" w:ascii="宋体" w:hAnsi="宋体" w:eastAsia="宋体" w:cs="仿宋"/>
                <w:b/>
                <w:kern w:val="0"/>
                <w:sz w:val="24"/>
                <w:szCs w:val="24"/>
              </w:rPr>
              <w:t>名称</w:t>
            </w:r>
          </w:p>
        </w:tc>
        <w:tc>
          <w:tcPr>
            <w:tcW w:w="3123" w:type="pct"/>
            <w:vAlign w:val="center"/>
          </w:tcPr>
          <w:p>
            <w:pPr>
              <w:widowControl/>
              <w:spacing w:line="360" w:lineRule="auto"/>
              <w:rPr>
                <w:rFonts w:ascii="宋体" w:hAnsi="宋体" w:eastAsia="宋体" w:cs="仿宋"/>
                <w:b/>
                <w:kern w:val="0"/>
                <w:sz w:val="24"/>
                <w:szCs w:val="24"/>
              </w:rPr>
            </w:pPr>
            <w:r>
              <w:rPr>
                <w:rFonts w:hint="eastAsia" w:ascii="宋体" w:hAnsi="宋体" w:eastAsia="宋体" w:cs="仿宋"/>
                <w:b/>
                <w:kern w:val="0"/>
                <w:sz w:val="24"/>
                <w:szCs w:val="24"/>
              </w:rPr>
              <w:t>技术规格</w:t>
            </w:r>
          </w:p>
        </w:tc>
        <w:tc>
          <w:tcPr>
            <w:tcW w:w="396" w:type="pct"/>
            <w:vAlign w:val="center"/>
          </w:tcPr>
          <w:p>
            <w:pPr>
              <w:widowControl/>
              <w:spacing w:line="360" w:lineRule="auto"/>
              <w:jc w:val="center"/>
              <w:rPr>
                <w:rFonts w:ascii="宋体" w:hAnsi="宋体" w:eastAsia="宋体" w:cs="仿宋"/>
                <w:b/>
                <w:kern w:val="0"/>
                <w:sz w:val="24"/>
                <w:szCs w:val="24"/>
              </w:rPr>
            </w:pPr>
            <w:r>
              <w:rPr>
                <w:rFonts w:hint="eastAsia" w:ascii="宋体" w:hAnsi="宋体" w:eastAsia="宋体" w:cs="仿宋"/>
                <w:b/>
                <w:kern w:val="0"/>
                <w:sz w:val="24"/>
                <w:szCs w:val="24"/>
              </w:rPr>
              <w:t>单位</w:t>
            </w:r>
          </w:p>
        </w:tc>
        <w:tc>
          <w:tcPr>
            <w:tcW w:w="368" w:type="pct"/>
            <w:vAlign w:val="center"/>
          </w:tcPr>
          <w:p>
            <w:pPr>
              <w:widowControl/>
              <w:spacing w:line="360" w:lineRule="auto"/>
              <w:jc w:val="center"/>
              <w:rPr>
                <w:rFonts w:ascii="宋体" w:hAnsi="宋体" w:eastAsia="宋体" w:cs="仿宋"/>
                <w:b/>
                <w:kern w:val="0"/>
                <w:sz w:val="24"/>
                <w:szCs w:val="24"/>
              </w:rPr>
            </w:pPr>
            <w:r>
              <w:rPr>
                <w:rFonts w:hint="eastAsia" w:ascii="宋体" w:hAnsi="宋体" w:eastAsia="宋体" w:cs="仿宋"/>
                <w:b/>
                <w:kern w:val="0"/>
                <w:sz w:val="24"/>
                <w:szCs w:val="24"/>
              </w:rPr>
              <w:t>数量</w:t>
            </w:r>
          </w:p>
        </w:tc>
        <w:tc>
          <w:tcPr>
            <w:tcW w:w="226" w:type="pct"/>
            <w:vAlign w:val="center"/>
          </w:tcPr>
          <w:p>
            <w:pPr>
              <w:widowControl/>
              <w:spacing w:line="360" w:lineRule="auto"/>
              <w:jc w:val="center"/>
              <w:rPr>
                <w:rFonts w:ascii="宋体" w:hAnsi="宋体" w:eastAsia="宋体" w:cs="仿宋"/>
                <w:b/>
                <w:kern w:val="0"/>
                <w:sz w:val="24"/>
                <w:szCs w:val="24"/>
              </w:rPr>
            </w:pPr>
            <w:r>
              <w:rPr>
                <w:rFonts w:hint="eastAsia" w:ascii="宋体" w:hAnsi="宋体" w:eastAsia="宋体" w:cs="仿宋"/>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6"/>
            <w:vAlign w:val="center"/>
          </w:tcPr>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前端点位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67"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520"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双云台全结构化摄像机</w:t>
            </w:r>
          </w:p>
        </w:tc>
        <w:tc>
          <w:tcPr>
            <w:tcW w:w="3123" w:type="pct"/>
            <w:vAlign w:val="center"/>
          </w:tcPr>
          <w:p>
            <w:pPr>
              <w:widowControl/>
              <w:spacing w:line="360" w:lineRule="auto"/>
              <w:rPr>
                <w:rFonts w:ascii="宋体" w:hAnsi="宋体" w:eastAsia="宋体" w:cs="仿宋"/>
                <w:kern w:val="0"/>
                <w:sz w:val="24"/>
                <w:szCs w:val="24"/>
              </w:rPr>
            </w:pPr>
            <w:r>
              <w:rPr>
                <w:rFonts w:ascii="宋体" w:hAnsi="宋体" w:eastAsia="宋体" w:cs="仿宋"/>
                <w:kern w:val="0"/>
                <w:sz w:val="24"/>
                <w:szCs w:val="24"/>
              </w:rPr>
              <w:t>1.</w:t>
            </w:r>
            <w:r>
              <w:rPr>
                <w:rFonts w:hint="eastAsia" w:ascii="宋体" w:hAnsi="宋体" w:eastAsia="宋体" w:cs="仿宋"/>
                <w:kern w:val="0"/>
                <w:sz w:val="24"/>
                <w:szCs w:val="24"/>
              </w:rPr>
              <w:t>由全景和细节两个镜头组成；全景通道视频分辨率≥</w:t>
            </w:r>
            <w:r>
              <w:rPr>
                <w:rFonts w:ascii="宋体" w:hAnsi="宋体" w:eastAsia="宋体" w:cs="仿宋"/>
                <w:kern w:val="0"/>
                <w:sz w:val="24"/>
                <w:szCs w:val="24"/>
              </w:rPr>
              <w:t>2560×1440</w:t>
            </w:r>
            <w:r>
              <w:rPr>
                <w:rFonts w:hint="eastAsia" w:ascii="宋体" w:hAnsi="宋体" w:eastAsia="宋体" w:cs="仿宋"/>
                <w:kern w:val="0"/>
                <w:sz w:val="24"/>
                <w:szCs w:val="24"/>
              </w:rPr>
              <w:t>，靶面尺寸≥</w:t>
            </w:r>
            <w:r>
              <w:rPr>
                <w:rFonts w:ascii="宋体" w:hAnsi="宋体" w:eastAsia="宋体" w:cs="仿宋"/>
                <w:kern w:val="0"/>
                <w:sz w:val="24"/>
                <w:szCs w:val="24"/>
              </w:rPr>
              <w:t>1/1.8</w:t>
            </w:r>
            <w:r>
              <w:rPr>
                <w:rFonts w:hint="eastAsia" w:ascii="宋体" w:hAnsi="宋体" w:eastAsia="宋体" w:cs="仿宋"/>
                <w:kern w:val="0"/>
                <w:sz w:val="24"/>
                <w:szCs w:val="24"/>
              </w:rPr>
              <w:t>，镜头倍率≥</w:t>
            </w:r>
            <w:r>
              <w:rPr>
                <w:rFonts w:ascii="宋体" w:hAnsi="宋体" w:eastAsia="宋体" w:cs="仿宋"/>
                <w:kern w:val="0"/>
                <w:sz w:val="24"/>
                <w:szCs w:val="24"/>
              </w:rPr>
              <w:t>4</w:t>
            </w:r>
            <w:r>
              <w:rPr>
                <w:rFonts w:hint="eastAsia" w:ascii="宋体" w:hAnsi="宋体" w:eastAsia="宋体" w:cs="仿宋"/>
                <w:kern w:val="0"/>
                <w:sz w:val="24"/>
                <w:szCs w:val="24"/>
              </w:rPr>
              <w:t>倍，最大焦距≥</w:t>
            </w:r>
            <w:r>
              <w:rPr>
                <w:rFonts w:ascii="宋体" w:hAnsi="宋体" w:eastAsia="宋体" w:cs="仿宋"/>
                <w:kern w:val="0"/>
                <w:sz w:val="24"/>
                <w:szCs w:val="24"/>
              </w:rPr>
              <w:t>30mm</w:t>
            </w:r>
            <w:r>
              <w:rPr>
                <w:rFonts w:hint="eastAsia" w:ascii="宋体" w:hAnsi="宋体" w:eastAsia="宋体" w:cs="仿宋"/>
                <w:kern w:val="0"/>
                <w:sz w:val="24"/>
                <w:szCs w:val="24"/>
              </w:rPr>
              <w:t>；细节通道视频分辨率≥</w:t>
            </w:r>
            <w:r>
              <w:rPr>
                <w:rFonts w:ascii="宋体" w:hAnsi="宋体" w:eastAsia="宋体" w:cs="仿宋"/>
                <w:kern w:val="0"/>
                <w:sz w:val="24"/>
                <w:szCs w:val="24"/>
              </w:rPr>
              <w:t>2560×1440</w:t>
            </w:r>
            <w:r>
              <w:rPr>
                <w:rFonts w:hint="eastAsia" w:ascii="宋体" w:hAnsi="宋体" w:eastAsia="宋体" w:cs="仿宋"/>
                <w:kern w:val="0"/>
                <w:sz w:val="24"/>
                <w:szCs w:val="24"/>
              </w:rPr>
              <w:t>，靶面尺寸≥</w:t>
            </w:r>
            <w:r>
              <w:rPr>
                <w:rFonts w:ascii="宋体" w:hAnsi="宋体" w:eastAsia="宋体" w:cs="仿宋"/>
                <w:kern w:val="0"/>
                <w:sz w:val="24"/>
                <w:szCs w:val="24"/>
              </w:rPr>
              <w:t>1/1.8</w:t>
            </w:r>
            <w:r>
              <w:rPr>
                <w:rFonts w:hint="eastAsia" w:ascii="宋体" w:hAnsi="宋体" w:eastAsia="宋体" w:cs="仿宋"/>
                <w:kern w:val="0"/>
                <w:sz w:val="24"/>
                <w:szCs w:val="24"/>
              </w:rPr>
              <w:t>，镜头倍率≥</w:t>
            </w:r>
            <w:r>
              <w:rPr>
                <w:rFonts w:ascii="宋体" w:hAnsi="宋体" w:eastAsia="宋体" w:cs="仿宋"/>
                <w:kern w:val="0"/>
                <w:sz w:val="24"/>
                <w:szCs w:val="24"/>
              </w:rPr>
              <w:t>25</w:t>
            </w:r>
            <w:r>
              <w:rPr>
                <w:rFonts w:hint="eastAsia" w:ascii="宋体" w:hAnsi="宋体" w:eastAsia="宋体" w:cs="仿宋"/>
                <w:kern w:val="0"/>
                <w:sz w:val="24"/>
                <w:szCs w:val="24"/>
              </w:rPr>
              <w:t>倍，最大焦距≥</w:t>
            </w:r>
            <w:r>
              <w:rPr>
                <w:rFonts w:ascii="宋体" w:hAnsi="宋体" w:eastAsia="宋体" w:cs="仿宋"/>
                <w:kern w:val="0"/>
                <w:sz w:val="24"/>
                <w:szCs w:val="24"/>
              </w:rPr>
              <w:t>145mm</w:t>
            </w:r>
            <w:r>
              <w:rPr>
                <w:rFonts w:hint="eastAsia" w:ascii="宋体" w:hAnsi="宋体" w:eastAsia="宋体" w:cs="仿宋"/>
                <w:kern w:val="0"/>
                <w:sz w:val="24"/>
                <w:szCs w:val="24"/>
              </w:rPr>
              <w:t>；</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2.</w:t>
            </w:r>
            <w:r>
              <w:rPr>
                <w:rFonts w:hint="eastAsia" w:ascii="宋体" w:hAnsi="宋体" w:eastAsia="宋体" w:cs="仿宋"/>
                <w:kern w:val="0"/>
                <w:sz w:val="24"/>
                <w:szCs w:val="24"/>
              </w:rPr>
              <w:t>最低照度：彩色≤</w:t>
            </w:r>
            <w:r>
              <w:rPr>
                <w:rFonts w:ascii="宋体" w:hAnsi="宋体" w:eastAsia="宋体" w:cs="仿宋"/>
                <w:kern w:val="0"/>
                <w:sz w:val="24"/>
                <w:szCs w:val="24"/>
              </w:rPr>
              <w:t>0.0002 lx</w:t>
            </w:r>
            <w:r>
              <w:rPr>
                <w:rFonts w:hint="eastAsia" w:ascii="宋体" w:hAnsi="宋体" w:eastAsia="宋体" w:cs="仿宋"/>
                <w:kern w:val="0"/>
                <w:sz w:val="24"/>
                <w:szCs w:val="24"/>
              </w:rPr>
              <w:t>，黑白≤</w:t>
            </w:r>
            <w:r>
              <w:rPr>
                <w:rFonts w:ascii="宋体" w:hAnsi="宋体" w:eastAsia="宋体" w:cs="仿宋"/>
                <w:kern w:val="0"/>
                <w:sz w:val="24"/>
                <w:szCs w:val="24"/>
              </w:rPr>
              <w:t>0.0001 lx</w:t>
            </w:r>
            <w:r>
              <w:rPr>
                <w:rFonts w:hint="eastAsia" w:ascii="宋体" w:hAnsi="宋体" w:eastAsia="宋体" w:cs="仿宋"/>
                <w:kern w:val="0"/>
                <w:sz w:val="24"/>
                <w:szCs w:val="24"/>
              </w:rPr>
              <w:t>；</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3.</w:t>
            </w:r>
            <w:r>
              <w:rPr>
                <w:rFonts w:hint="eastAsia" w:ascii="宋体" w:hAnsi="宋体" w:eastAsia="宋体" w:cs="仿宋"/>
                <w:kern w:val="0"/>
                <w:sz w:val="24"/>
                <w:szCs w:val="24"/>
              </w:rPr>
              <w:t>全景通道水平可</w:t>
            </w:r>
            <w:r>
              <w:rPr>
                <w:rFonts w:ascii="宋体" w:hAnsi="宋体" w:eastAsia="宋体" w:cs="仿宋"/>
                <w:kern w:val="0"/>
                <w:sz w:val="24"/>
                <w:szCs w:val="24"/>
              </w:rPr>
              <w:t>360°</w:t>
            </w:r>
            <w:r>
              <w:rPr>
                <w:rFonts w:hint="eastAsia" w:ascii="宋体" w:hAnsi="宋体" w:eastAsia="宋体" w:cs="仿宋"/>
                <w:kern w:val="0"/>
                <w:sz w:val="24"/>
                <w:szCs w:val="24"/>
              </w:rPr>
              <w:t>旋转，垂直旋转范围≥</w:t>
            </w:r>
            <w:r>
              <w:rPr>
                <w:rFonts w:ascii="宋体" w:hAnsi="宋体" w:eastAsia="宋体" w:cs="仿宋"/>
                <w:kern w:val="0"/>
                <w:sz w:val="24"/>
                <w:szCs w:val="24"/>
              </w:rPr>
              <w:t>0°~30°</w:t>
            </w:r>
            <w:r>
              <w:rPr>
                <w:rFonts w:hint="eastAsia" w:ascii="宋体" w:hAnsi="宋体" w:eastAsia="宋体" w:cs="仿宋"/>
                <w:kern w:val="0"/>
                <w:sz w:val="24"/>
                <w:szCs w:val="24"/>
              </w:rPr>
              <w:t>；细节通道水平旋转范围≥</w:t>
            </w:r>
            <w:r>
              <w:rPr>
                <w:rFonts w:ascii="宋体" w:hAnsi="宋体" w:eastAsia="宋体" w:cs="仿宋"/>
                <w:kern w:val="0"/>
                <w:sz w:val="24"/>
                <w:szCs w:val="24"/>
              </w:rPr>
              <w:t>0°~330°</w:t>
            </w:r>
            <w:r>
              <w:rPr>
                <w:rFonts w:hint="eastAsia" w:ascii="宋体" w:hAnsi="宋体" w:eastAsia="宋体" w:cs="仿宋"/>
                <w:kern w:val="0"/>
                <w:sz w:val="24"/>
                <w:szCs w:val="24"/>
              </w:rPr>
              <w:t>，垂直旋转范围≥</w:t>
            </w:r>
            <w:r>
              <w:rPr>
                <w:rFonts w:ascii="宋体" w:hAnsi="宋体" w:eastAsia="宋体" w:cs="仿宋"/>
                <w:kern w:val="0"/>
                <w:sz w:val="24"/>
                <w:szCs w:val="24"/>
              </w:rPr>
              <w:t>-10°~90°</w:t>
            </w:r>
            <w:r>
              <w:rPr>
                <w:rFonts w:hint="eastAsia" w:ascii="宋体" w:hAnsi="宋体" w:eastAsia="宋体" w:cs="仿宋"/>
                <w:kern w:val="0"/>
                <w:sz w:val="24"/>
                <w:szCs w:val="24"/>
              </w:rPr>
              <w:t>；</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4.</w:t>
            </w:r>
            <w:r>
              <w:rPr>
                <w:rFonts w:hint="eastAsia" w:ascii="宋体" w:hAnsi="宋体" w:eastAsia="宋体" w:cs="仿宋"/>
                <w:kern w:val="0"/>
                <w:sz w:val="24"/>
                <w:szCs w:val="24"/>
              </w:rPr>
              <w:t>在混合目标检测模式下，可同时对行人、非机动车、机动车进行检测、跟踪及抓拍，并关联显示人脸与人体、车牌与车辆；</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5.</w:t>
            </w:r>
            <w:r>
              <w:rPr>
                <w:rFonts w:hint="eastAsia" w:ascii="宋体" w:hAnsi="宋体" w:eastAsia="宋体" w:cs="仿宋"/>
                <w:kern w:val="0"/>
                <w:sz w:val="24"/>
                <w:szCs w:val="24"/>
              </w:rPr>
              <w:t>具备人脸库功能，可通过</w:t>
            </w:r>
            <w:r>
              <w:rPr>
                <w:rFonts w:ascii="宋体" w:hAnsi="宋体" w:eastAsia="宋体" w:cs="仿宋"/>
                <w:kern w:val="0"/>
                <w:sz w:val="24"/>
                <w:szCs w:val="24"/>
              </w:rPr>
              <w:t>IE</w:t>
            </w:r>
            <w:r>
              <w:rPr>
                <w:rFonts w:hint="eastAsia" w:ascii="宋体" w:hAnsi="宋体" w:eastAsia="宋体" w:cs="仿宋"/>
                <w:kern w:val="0"/>
                <w:sz w:val="24"/>
                <w:szCs w:val="24"/>
              </w:rPr>
              <w:t>浏览器或客户端软件新建布控人脸库并可向指定布控人脸库中添加人脸图片；布控人脸库数量≥</w:t>
            </w:r>
            <w:r>
              <w:rPr>
                <w:rFonts w:ascii="宋体" w:hAnsi="宋体" w:eastAsia="宋体" w:cs="仿宋"/>
                <w:kern w:val="0"/>
                <w:sz w:val="24"/>
                <w:szCs w:val="24"/>
              </w:rPr>
              <w:t>10</w:t>
            </w:r>
            <w:r>
              <w:rPr>
                <w:rFonts w:hint="eastAsia" w:ascii="宋体" w:hAnsi="宋体" w:eastAsia="宋体" w:cs="仿宋"/>
                <w:kern w:val="0"/>
                <w:sz w:val="24"/>
                <w:szCs w:val="24"/>
              </w:rPr>
              <w:t>个，单个布控人脸库存储人脸图片数量≥</w:t>
            </w:r>
            <w:r>
              <w:rPr>
                <w:rFonts w:ascii="宋体" w:hAnsi="宋体" w:eastAsia="宋体" w:cs="仿宋"/>
                <w:kern w:val="0"/>
                <w:sz w:val="24"/>
                <w:szCs w:val="24"/>
              </w:rPr>
              <w:t>15</w:t>
            </w:r>
            <w:r>
              <w:rPr>
                <w:rFonts w:hint="eastAsia" w:ascii="宋体" w:hAnsi="宋体" w:eastAsia="宋体" w:cs="仿宋"/>
                <w:kern w:val="0"/>
                <w:sz w:val="24"/>
                <w:szCs w:val="24"/>
              </w:rPr>
              <w:t>万张；</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6.</w:t>
            </w:r>
            <w:r>
              <w:rPr>
                <w:rFonts w:hint="eastAsia" w:ascii="宋体" w:hAnsi="宋体" w:eastAsia="宋体" w:cs="宋体"/>
                <w:kern w:val="0"/>
                <w:sz w:val="24"/>
                <w:szCs w:val="24"/>
              </w:rPr>
              <w:t>▲</w:t>
            </w:r>
            <w:r>
              <w:rPr>
                <w:rFonts w:hint="eastAsia" w:ascii="宋体" w:hAnsi="宋体" w:eastAsia="宋体" w:cs="仿宋"/>
                <w:kern w:val="0"/>
                <w:sz w:val="24"/>
                <w:szCs w:val="24"/>
              </w:rPr>
              <w:t>镜头具备雨刷及除雾功能；</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7.</w:t>
            </w:r>
            <w:r>
              <w:rPr>
                <w:rFonts w:hint="eastAsia" w:ascii="宋体" w:hAnsi="宋体" w:eastAsia="宋体" w:cs="仿宋"/>
                <w:kern w:val="0"/>
                <w:sz w:val="24"/>
                <w:szCs w:val="24"/>
              </w:rPr>
              <w:t>红外补光距离≥</w:t>
            </w:r>
            <w:r>
              <w:rPr>
                <w:rFonts w:ascii="宋体" w:hAnsi="宋体" w:eastAsia="宋体" w:cs="仿宋"/>
                <w:kern w:val="0"/>
                <w:sz w:val="24"/>
                <w:szCs w:val="24"/>
              </w:rPr>
              <w:t>200</w:t>
            </w:r>
            <w:r>
              <w:rPr>
                <w:rFonts w:hint="eastAsia" w:ascii="宋体" w:hAnsi="宋体" w:eastAsia="宋体" w:cs="仿宋"/>
                <w:kern w:val="0"/>
                <w:sz w:val="24"/>
                <w:szCs w:val="24"/>
              </w:rPr>
              <w:t>米；</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8.</w:t>
            </w:r>
            <w:r>
              <w:rPr>
                <w:rFonts w:hint="eastAsia" w:ascii="宋体" w:hAnsi="宋体" w:eastAsia="宋体" w:cs="仿宋"/>
                <w:kern w:val="0"/>
                <w:sz w:val="24"/>
                <w:szCs w:val="24"/>
              </w:rPr>
              <w:t>防护等级≥</w:t>
            </w:r>
            <w:r>
              <w:rPr>
                <w:rFonts w:ascii="宋体" w:hAnsi="宋体" w:eastAsia="宋体" w:cs="仿宋"/>
                <w:kern w:val="0"/>
                <w:sz w:val="24"/>
                <w:szCs w:val="24"/>
              </w:rPr>
              <w:t>IP66</w:t>
            </w:r>
            <w:r>
              <w:rPr>
                <w:rFonts w:hint="eastAsia" w:ascii="宋体" w:hAnsi="宋体" w:eastAsia="宋体" w:cs="仿宋"/>
                <w:kern w:val="0"/>
                <w:sz w:val="24"/>
                <w:szCs w:val="24"/>
              </w:rPr>
              <w:t>。</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以上加“▲”项需提供公安部所属检验机构出具的检测报告复印件，并加盖投标人鲜章。</w:t>
            </w:r>
          </w:p>
        </w:tc>
        <w:tc>
          <w:tcPr>
            <w:tcW w:w="396"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台</w:t>
            </w:r>
          </w:p>
        </w:tc>
        <w:tc>
          <w:tcPr>
            <w:tcW w:w="368"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200</w:t>
            </w:r>
          </w:p>
        </w:tc>
        <w:tc>
          <w:tcPr>
            <w:tcW w:w="226" w:type="pct"/>
            <w:vAlign w:val="center"/>
          </w:tcPr>
          <w:p>
            <w:pPr>
              <w:widowControl/>
              <w:spacing w:line="360" w:lineRule="auto"/>
              <w:jc w:val="center"/>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67"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2</w:t>
            </w:r>
          </w:p>
        </w:tc>
        <w:tc>
          <w:tcPr>
            <w:tcW w:w="520"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智能化抓拍机</w:t>
            </w:r>
          </w:p>
        </w:tc>
        <w:tc>
          <w:tcPr>
            <w:tcW w:w="3123" w:type="pct"/>
            <w:vAlign w:val="center"/>
          </w:tcPr>
          <w:p>
            <w:pPr>
              <w:widowControl/>
              <w:spacing w:line="360" w:lineRule="auto"/>
              <w:rPr>
                <w:rFonts w:ascii="宋体" w:hAnsi="宋体" w:eastAsia="宋体" w:cs="仿宋"/>
                <w:kern w:val="0"/>
                <w:sz w:val="24"/>
                <w:szCs w:val="24"/>
              </w:rPr>
            </w:pPr>
            <w:r>
              <w:rPr>
                <w:rFonts w:ascii="宋体" w:hAnsi="宋体" w:eastAsia="宋体" w:cs="仿宋"/>
                <w:kern w:val="0"/>
                <w:sz w:val="24"/>
                <w:szCs w:val="24"/>
              </w:rPr>
              <w:t>1.</w:t>
            </w:r>
            <w:r>
              <w:rPr>
                <w:rFonts w:hint="eastAsia" w:ascii="宋体" w:hAnsi="宋体" w:eastAsia="宋体" w:cs="仿宋"/>
                <w:kern w:val="0"/>
                <w:sz w:val="24"/>
                <w:szCs w:val="24"/>
              </w:rPr>
              <w:t>最大分辨率和帧率：≥</w:t>
            </w:r>
            <w:r>
              <w:rPr>
                <w:rFonts w:ascii="宋体" w:hAnsi="宋体" w:eastAsia="宋体" w:cs="仿宋"/>
                <w:kern w:val="0"/>
                <w:sz w:val="24"/>
                <w:szCs w:val="24"/>
              </w:rPr>
              <w:t>2560×1440@25fps</w:t>
            </w:r>
            <w:r>
              <w:rPr>
                <w:rFonts w:hint="eastAsia" w:ascii="宋体" w:hAnsi="宋体" w:eastAsia="宋体" w:cs="仿宋"/>
                <w:kern w:val="0"/>
                <w:sz w:val="24"/>
                <w:szCs w:val="24"/>
              </w:rPr>
              <w:t>；最低照度均满足彩色≤</w:t>
            </w:r>
            <w:r>
              <w:rPr>
                <w:rFonts w:ascii="宋体" w:hAnsi="宋体" w:eastAsia="宋体" w:cs="仿宋"/>
                <w:kern w:val="0"/>
                <w:sz w:val="24"/>
                <w:szCs w:val="24"/>
              </w:rPr>
              <w:t>0.0005 Lx</w:t>
            </w:r>
            <w:r>
              <w:rPr>
                <w:rFonts w:hint="eastAsia" w:ascii="宋体" w:hAnsi="宋体" w:eastAsia="宋体" w:cs="仿宋"/>
                <w:kern w:val="0"/>
                <w:sz w:val="24"/>
                <w:szCs w:val="24"/>
              </w:rPr>
              <w:t>、黑白≤</w:t>
            </w:r>
            <w:r>
              <w:rPr>
                <w:rFonts w:ascii="宋体" w:hAnsi="宋体" w:eastAsia="宋体" w:cs="仿宋"/>
                <w:kern w:val="0"/>
                <w:sz w:val="24"/>
                <w:szCs w:val="24"/>
              </w:rPr>
              <w:t>0.0001 Lx</w:t>
            </w:r>
            <w:r>
              <w:rPr>
                <w:rFonts w:hint="eastAsia" w:ascii="宋体" w:hAnsi="宋体" w:eastAsia="宋体" w:cs="仿宋"/>
                <w:kern w:val="0"/>
                <w:sz w:val="24"/>
                <w:szCs w:val="24"/>
              </w:rPr>
              <w:t>；</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2.</w:t>
            </w:r>
            <w:r>
              <w:rPr>
                <w:rFonts w:hint="eastAsia" w:ascii="宋体" w:hAnsi="宋体" w:eastAsia="宋体" w:cs="仿宋"/>
                <w:kern w:val="0"/>
                <w:sz w:val="24"/>
                <w:szCs w:val="24"/>
              </w:rPr>
              <w:t xml:space="preserve"> 具备对运动人脸进行检测、跟踪、抓拍、评分、筛选，输出最优的人脸</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3.</w:t>
            </w:r>
            <w:r>
              <w:rPr>
                <w:rFonts w:hint="eastAsia" w:ascii="宋体" w:hAnsi="宋体" w:eastAsia="宋体" w:cs="仿宋"/>
                <w:kern w:val="0"/>
                <w:sz w:val="24"/>
                <w:szCs w:val="24"/>
              </w:rPr>
              <w:t>具备人脸去误报、快速抓拍人脸，最多同时检测30张人脸具备人脸去重</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4.</w:t>
            </w:r>
            <w:r>
              <w:rPr>
                <w:rFonts w:hint="eastAsia" w:ascii="宋体" w:hAnsi="宋体" w:eastAsia="宋体" w:cs="仿宋"/>
                <w:kern w:val="0"/>
                <w:sz w:val="24"/>
                <w:szCs w:val="24"/>
              </w:rPr>
              <w:t>内置≥</w:t>
            </w:r>
            <w:r>
              <w:rPr>
                <w:rFonts w:ascii="宋体" w:hAnsi="宋体" w:eastAsia="宋体" w:cs="仿宋"/>
                <w:kern w:val="0"/>
                <w:sz w:val="24"/>
                <w:szCs w:val="24"/>
              </w:rPr>
              <w:t>1</w:t>
            </w:r>
            <w:r>
              <w:rPr>
                <w:rFonts w:hint="eastAsia" w:ascii="宋体" w:hAnsi="宋体" w:eastAsia="宋体" w:cs="仿宋"/>
                <w:kern w:val="0"/>
                <w:sz w:val="24"/>
                <w:szCs w:val="24"/>
              </w:rPr>
              <w:t>个</w:t>
            </w:r>
            <w:r>
              <w:rPr>
                <w:rFonts w:ascii="宋体" w:hAnsi="宋体" w:eastAsia="宋体" w:cs="仿宋"/>
                <w:kern w:val="0"/>
                <w:sz w:val="24"/>
                <w:szCs w:val="24"/>
              </w:rPr>
              <w:t>GPU</w:t>
            </w:r>
            <w:r>
              <w:rPr>
                <w:rFonts w:hint="eastAsia" w:ascii="宋体" w:hAnsi="宋体" w:eastAsia="宋体" w:cs="仿宋"/>
                <w:kern w:val="0"/>
                <w:sz w:val="24"/>
                <w:szCs w:val="24"/>
              </w:rPr>
              <w:t>芯片，内置≥</w:t>
            </w:r>
            <w:r>
              <w:rPr>
                <w:rFonts w:ascii="宋体" w:hAnsi="宋体" w:eastAsia="宋体" w:cs="仿宋"/>
                <w:kern w:val="0"/>
                <w:sz w:val="24"/>
                <w:szCs w:val="24"/>
              </w:rPr>
              <w:t>6</w:t>
            </w:r>
            <w:r>
              <w:rPr>
                <w:rFonts w:hint="eastAsia" w:ascii="宋体" w:hAnsi="宋体" w:eastAsia="宋体" w:cs="仿宋"/>
                <w:kern w:val="0"/>
                <w:sz w:val="24"/>
                <w:szCs w:val="24"/>
              </w:rPr>
              <w:t>颗混合补光灯（均由红外灯、白光灯组成），支持自动、手动亮度调节模式，在开启白光灯或混合补光灯补光时，可输出彩色视频图像；</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5</w:t>
            </w:r>
            <w:r>
              <w:rPr>
                <w:rFonts w:hint="eastAsia" w:ascii="宋体" w:hAnsi="宋体" w:eastAsia="宋体" w:cs="仿宋"/>
                <w:kern w:val="0"/>
                <w:sz w:val="24"/>
                <w:szCs w:val="24"/>
              </w:rPr>
              <w:t>.▲具有镜头前盖玻璃加热功能，支持手动或自动开启/关闭加热功能，可对镜头前盖玻璃加热，去除玻璃上的冰状和水状附着物；</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6</w:t>
            </w:r>
            <w:r>
              <w:rPr>
                <w:rFonts w:hint="eastAsia" w:ascii="宋体" w:hAnsi="宋体" w:eastAsia="宋体" w:cs="仿宋"/>
                <w:kern w:val="0"/>
                <w:sz w:val="24"/>
                <w:szCs w:val="24"/>
              </w:rPr>
              <w:t>.具有≥2个内置麦克风、≥1个内置扬声器；</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7</w:t>
            </w:r>
            <w:r>
              <w:rPr>
                <w:rFonts w:hint="eastAsia" w:ascii="宋体" w:hAnsi="宋体" w:eastAsia="宋体" w:cs="仿宋"/>
                <w:kern w:val="0"/>
                <w:sz w:val="24"/>
                <w:szCs w:val="24"/>
              </w:rPr>
              <w:t>.细节通道补光距离≥50米，全景通道补光距离≥30米；</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8</w:t>
            </w:r>
            <w:r>
              <w:rPr>
                <w:rFonts w:hint="eastAsia" w:ascii="宋体" w:hAnsi="宋体" w:eastAsia="宋体" w:cs="仿宋"/>
                <w:kern w:val="0"/>
                <w:sz w:val="24"/>
                <w:szCs w:val="24"/>
              </w:rPr>
              <w:t>.防护等级≥IP66。</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以上加“▲”项需提供公安部所属检验机构出具的检测报告复印件，并加盖投标人鲜章。</w:t>
            </w:r>
          </w:p>
        </w:tc>
        <w:tc>
          <w:tcPr>
            <w:tcW w:w="396"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台</w:t>
            </w:r>
          </w:p>
        </w:tc>
        <w:tc>
          <w:tcPr>
            <w:tcW w:w="368"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5</w:t>
            </w:r>
            <w:r>
              <w:rPr>
                <w:rFonts w:ascii="宋体" w:hAnsi="宋体" w:eastAsia="宋体" w:cs="仿宋"/>
                <w:kern w:val="0"/>
                <w:sz w:val="24"/>
                <w:szCs w:val="24"/>
              </w:rPr>
              <w:t>0</w:t>
            </w:r>
          </w:p>
        </w:tc>
        <w:tc>
          <w:tcPr>
            <w:tcW w:w="226" w:type="pct"/>
            <w:vAlign w:val="center"/>
          </w:tcPr>
          <w:p>
            <w:pPr>
              <w:widowControl/>
              <w:spacing w:line="360" w:lineRule="auto"/>
              <w:jc w:val="center"/>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7" w:type="pct"/>
            <w:vAlign w:val="center"/>
          </w:tcPr>
          <w:p>
            <w:pPr>
              <w:widowControl/>
              <w:spacing w:line="360" w:lineRule="auto"/>
              <w:jc w:val="center"/>
              <w:rPr>
                <w:rFonts w:ascii="宋体" w:hAnsi="宋体" w:eastAsia="宋体" w:cs="仿宋"/>
                <w:kern w:val="0"/>
                <w:sz w:val="24"/>
                <w:szCs w:val="24"/>
              </w:rPr>
            </w:pPr>
            <w:r>
              <w:rPr>
                <w:rFonts w:ascii="宋体" w:hAnsi="宋体" w:eastAsia="宋体" w:cs="仿宋"/>
                <w:kern w:val="0"/>
                <w:sz w:val="24"/>
                <w:szCs w:val="24"/>
              </w:rPr>
              <w:t>3</w:t>
            </w:r>
          </w:p>
        </w:tc>
        <w:tc>
          <w:tcPr>
            <w:tcW w:w="520"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TF卡</w:t>
            </w:r>
          </w:p>
        </w:tc>
        <w:tc>
          <w:tcPr>
            <w:tcW w:w="3123" w:type="pct"/>
            <w:vAlign w:val="center"/>
          </w:tcPr>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1.容量≥64G</w:t>
            </w:r>
          </w:p>
        </w:tc>
        <w:tc>
          <w:tcPr>
            <w:tcW w:w="396"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张</w:t>
            </w:r>
          </w:p>
        </w:tc>
        <w:tc>
          <w:tcPr>
            <w:tcW w:w="368"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200</w:t>
            </w:r>
          </w:p>
        </w:tc>
        <w:tc>
          <w:tcPr>
            <w:tcW w:w="226" w:type="pct"/>
            <w:vAlign w:val="center"/>
          </w:tcPr>
          <w:p>
            <w:pPr>
              <w:widowControl/>
              <w:spacing w:line="360" w:lineRule="auto"/>
              <w:jc w:val="center"/>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67" w:type="pct"/>
            <w:vAlign w:val="center"/>
          </w:tcPr>
          <w:p>
            <w:pPr>
              <w:widowControl/>
              <w:spacing w:line="360" w:lineRule="auto"/>
              <w:jc w:val="center"/>
              <w:rPr>
                <w:rFonts w:ascii="宋体" w:hAnsi="宋体" w:eastAsia="宋体" w:cs="仿宋"/>
                <w:kern w:val="0"/>
                <w:sz w:val="24"/>
                <w:szCs w:val="24"/>
              </w:rPr>
            </w:pPr>
            <w:r>
              <w:rPr>
                <w:rFonts w:ascii="宋体" w:hAnsi="宋体" w:eastAsia="宋体" w:cs="仿宋"/>
                <w:kern w:val="0"/>
                <w:sz w:val="24"/>
                <w:szCs w:val="24"/>
              </w:rPr>
              <w:t>4</w:t>
            </w:r>
          </w:p>
        </w:tc>
        <w:tc>
          <w:tcPr>
            <w:tcW w:w="520"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防雷组件</w:t>
            </w:r>
          </w:p>
        </w:tc>
        <w:tc>
          <w:tcPr>
            <w:tcW w:w="3123" w:type="pct"/>
            <w:vAlign w:val="center"/>
          </w:tcPr>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1、工作电压AC220V，放电电流20KA；</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2、响应时间≤25nS，保护水平≤1500V；</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3、并联安装，用于摄像机电源线防雷保护；</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4、标称工作电压5V，标称放电电流5KA；</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5、响应时间≤1nS，传输速率100Mbps；</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6、串联安装，用于网络信号防雷保护；</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7、包含自动重合闸开关。</w:t>
            </w:r>
          </w:p>
        </w:tc>
        <w:tc>
          <w:tcPr>
            <w:tcW w:w="396"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个</w:t>
            </w:r>
          </w:p>
        </w:tc>
        <w:tc>
          <w:tcPr>
            <w:tcW w:w="368"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200</w:t>
            </w:r>
          </w:p>
        </w:tc>
        <w:tc>
          <w:tcPr>
            <w:tcW w:w="226"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　</w:t>
            </w:r>
          </w:p>
        </w:tc>
      </w:tr>
    </w:tbl>
    <w:p>
      <w:pPr>
        <w:spacing w:line="360" w:lineRule="auto"/>
        <w:contextualSpacing/>
        <w:rPr>
          <w:rFonts w:ascii="宋体" w:hAnsi="宋体" w:eastAsia="宋体"/>
          <w:sz w:val="24"/>
          <w:szCs w:val="24"/>
        </w:rPr>
      </w:pPr>
    </w:p>
    <w:p>
      <w:pPr>
        <w:pStyle w:val="5"/>
        <w:spacing w:before="0" w:after="0" w:line="360" w:lineRule="auto"/>
        <w:contextualSpacing/>
        <w:rPr>
          <w:rFonts w:ascii="宋体" w:hAnsi="宋体" w:eastAsia="宋体"/>
          <w:sz w:val="24"/>
          <w:szCs w:val="24"/>
        </w:rPr>
      </w:pPr>
      <w:r>
        <w:rPr>
          <w:rFonts w:hint="eastAsia" w:ascii="宋体" w:hAnsi="宋体" w:eastAsia="宋体"/>
          <w:sz w:val="24"/>
          <w:szCs w:val="24"/>
        </w:rPr>
        <w:t>后端设备清单及技术参数要求</w:t>
      </w:r>
    </w:p>
    <w:tbl>
      <w:tblPr>
        <w:tblStyle w:val="44"/>
        <w:tblW w:w="10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230"/>
        <w:gridCol w:w="6265"/>
        <w:gridCol w:w="709"/>
        <w:gridCol w:w="707"/>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pct"/>
            <w:vAlign w:val="center"/>
          </w:tcPr>
          <w:p>
            <w:pPr>
              <w:widowControl/>
              <w:spacing w:line="360" w:lineRule="auto"/>
              <w:jc w:val="center"/>
              <w:rPr>
                <w:rFonts w:ascii="宋体" w:hAnsi="宋体" w:eastAsia="宋体" w:cs="仿宋"/>
                <w:b/>
                <w:kern w:val="0"/>
                <w:sz w:val="24"/>
                <w:szCs w:val="24"/>
              </w:rPr>
            </w:pPr>
            <w:r>
              <w:rPr>
                <w:rFonts w:hint="eastAsia" w:ascii="宋体" w:hAnsi="宋体" w:eastAsia="宋体" w:cs="仿宋"/>
                <w:b/>
                <w:kern w:val="0"/>
                <w:sz w:val="24"/>
                <w:szCs w:val="24"/>
              </w:rPr>
              <w:t>序号</w:t>
            </w:r>
          </w:p>
        </w:tc>
        <w:tc>
          <w:tcPr>
            <w:tcW w:w="583" w:type="pct"/>
            <w:vAlign w:val="center"/>
          </w:tcPr>
          <w:p>
            <w:pPr>
              <w:widowControl/>
              <w:spacing w:line="360" w:lineRule="auto"/>
              <w:jc w:val="center"/>
              <w:rPr>
                <w:rFonts w:ascii="宋体" w:hAnsi="宋体" w:eastAsia="宋体" w:cs="仿宋"/>
                <w:b/>
                <w:kern w:val="0"/>
                <w:sz w:val="24"/>
                <w:szCs w:val="24"/>
              </w:rPr>
            </w:pPr>
            <w:r>
              <w:rPr>
                <w:rFonts w:hint="eastAsia" w:ascii="宋体" w:hAnsi="宋体" w:eastAsia="宋体" w:cs="仿宋"/>
                <w:b/>
                <w:kern w:val="0"/>
                <w:sz w:val="24"/>
                <w:szCs w:val="24"/>
              </w:rPr>
              <w:t>名称</w:t>
            </w:r>
          </w:p>
        </w:tc>
        <w:tc>
          <w:tcPr>
            <w:tcW w:w="2969" w:type="pct"/>
            <w:vAlign w:val="center"/>
          </w:tcPr>
          <w:p>
            <w:pPr>
              <w:widowControl/>
              <w:spacing w:line="360" w:lineRule="auto"/>
              <w:rPr>
                <w:rFonts w:ascii="宋体" w:hAnsi="宋体" w:eastAsia="宋体" w:cs="仿宋"/>
                <w:b/>
                <w:kern w:val="0"/>
                <w:sz w:val="24"/>
                <w:szCs w:val="24"/>
              </w:rPr>
            </w:pPr>
            <w:r>
              <w:rPr>
                <w:rFonts w:hint="eastAsia" w:ascii="宋体" w:hAnsi="宋体" w:eastAsia="宋体" w:cs="仿宋"/>
                <w:b/>
                <w:kern w:val="0"/>
                <w:sz w:val="24"/>
                <w:szCs w:val="24"/>
              </w:rPr>
              <w:t>技术规格</w:t>
            </w:r>
          </w:p>
        </w:tc>
        <w:tc>
          <w:tcPr>
            <w:tcW w:w="336" w:type="pct"/>
            <w:vAlign w:val="center"/>
          </w:tcPr>
          <w:p>
            <w:pPr>
              <w:widowControl/>
              <w:spacing w:line="360" w:lineRule="auto"/>
              <w:jc w:val="center"/>
              <w:rPr>
                <w:rFonts w:ascii="宋体" w:hAnsi="宋体" w:eastAsia="宋体" w:cs="仿宋"/>
                <w:b/>
                <w:kern w:val="0"/>
                <w:sz w:val="24"/>
                <w:szCs w:val="24"/>
              </w:rPr>
            </w:pPr>
            <w:r>
              <w:rPr>
                <w:rFonts w:hint="eastAsia" w:ascii="宋体" w:hAnsi="宋体" w:eastAsia="宋体" w:cs="仿宋"/>
                <w:b/>
                <w:kern w:val="0"/>
                <w:sz w:val="24"/>
                <w:szCs w:val="24"/>
              </w:rPr>
              <w:t>单位</w:t>
            </w:r>
          </w:p>
        </w:tc>
        <w:tc>
          <w:tcPr>
            <w:tcW w:w="335" w:type="pct"/>
            <w:vAlign w:val="center"/>
          </w:tcPr>
          <w:p>
            <w:pPr>
              <w:widowControl/>
              <w:spacing w:line="360" w:lineRule="auto"/>
              <w:jc w:val="center"/>
              <w:rPr>
                <w:rFonts w:ascii="宋体" w:hAnsi="宋体" w:eastAsia="宋体" w:cs="仿宋"/>
                <w:b/>
                <w:kern w:val="0"/>
                <w:sz w:val="24"/>
                <w:szCs w:val="24"/>
              </w:rPr>
            </w:pPr>
            <w:r>
              <w:rPr>
                <w:rFonts w:hint="eastAsia" w:ascii="宋体" w:hAnsi="宋体" w:eastAsia="宋体" w:cs="仿宋"/>
                <w:b/>
                <w:kern w:val="0"/>
                <w:sz w:val="24"/>
                <w:szCs w:val="24"/>
              </w:rPr>
              <w:t>数量</w:t>
            </w:r>
          </w:p>
        </w:tc>
        <w:tc>
          <w:tcPr>
            <w:tcW w:w="344" w:type="pct"/>
            <w:vAlign w:val="center"/>
          </w:tcPr>
          <w:p>
            <w:pPr>
              <w:widowControl/>
              <w:spacing w:line="360" w:lineRule="auto"/>
              <w:jc w:val="center"/>
              <w:rPr>
                <w:rFonts w:ascii="宋体" w:hAnsi="宋体" w:eastAsia="宋体" w:cs="仿宋"/>
                <w:b/>
                <w:kern w:val="0"/>
                <w:sz w:val="24"/>
                <w:szCs w:val="24"/>
              </w:rPr>
            </w:pPr>
            <w:r>
              <w:rPr>
                <w:rFonts w:hint="eastAsia" w:ascii="宋体" w:hAnsi="宋体" w:eastAsia="宋体" w:cs="仿宋"/>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6"/>
            <w:noWrap/>
            <w:vAlign w:val="center"/>
          </w:tcPr>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后端设备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433"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583"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视频存储主机</w:t>
            </w:r>
          </w:p>
        </w:tc>
        <w:tc>
          <w:tcPr>
            <w:tcW w:w="2969" w:type="pct"/>
            <w:vAlign w:val="center"/>
          </w:tcPr>
          <w:p>
            <w:pPr>
              <w:widowControl/>
              <w:spacing w:line="360" w:lineRule="auto"/>
              <w:rPr>
                <w:rFonts w:ascii="宋体" w:hAnsi="宋体" w:eastAsia="宋体" w:cs="仿宋"/>
                <w:kern w:val="0"/>
                <w:sz w:val="24"/>
                <w:szCs w:val="24"/>
              </w:rPr>
            </w:pPr>
            <w:r>
              <w:rPr>
                <w:rFonts w:ascii="宋体" w:hAnsi="宋体" w:eastAsia="宋体" w:cs="仿宋"/>
                <w:kern w:val="0"/>
                <w:sz w:val="24"/>
                <w:szCs w:val="24"/>
              </w:rPr>
              <w:t xml:space="preserve">1. </w:t>
            </w:r>
            <w:r>
              <w:rPr>
                <w:rFonts w:hint="eastAsia" w:ascii="宋体" w:hAnsi="宋体" w:eastAsia="宋体" w:cs="仿宋"/>
                <w:kern w:val="0"/>
                <w:sz w:val="24"/>
                <w:szCs w:val="24"/>
              </w:rPr>
              <w:t>网络存储主机，可接入硬盘≥4</w:t>
            </w:r>
            <w:r>
              <w:rPr>
                <w:rFonts w:ascii="宋体" w:hAnsi="宋体" w:eastAsia="宋体" w:cs="仿宋"/>
                <w:kern w:val="0"/>
                <w:sz w:val="24"/>
                <w:szCs w:val="24"/>
              </w:rPr>
              <w:t>8</w:t>
            </w:r>
            <w:r>
              <w:rPr>
                <w:rFonts w:hint="eastAsia" w:ascii="宋体" w:hAnsi="宋体" w:eastAsia="宋体" w:cs="仿宋"/>
                <w:kern w:val="0"/>
                <w:sz w:val="24"/>
                <w:szCs w:val="24"/>
              </w:rPr>
              <w:t>块，配置≥</w:t>
            </w:r>
            <w:r>
              <w:rPr>
                <w:rFonts w:ascii="宋体" w:hAnsi="宋体" w:eastAsia="宋体" w:cs="仿宋"/>
                <w:kern w:val="0"/>
                <w:sz w:val="24"/>
                <w:szCs w:val="24"/>
              </w:rPr>
              <w:t>48</w:t>
            </w:r>
            <w:r>
              <w:rPr>
                <w:rFonts w:hint="eastAsia" w:ascii="宋体" w:hAnsi="宋体" w:eastAsia="宋体" w:cs="仿宋"/>
                <w:kern w:val="0"/>
                <w:sz w:val="24"/>
                <w:szCs w:val="24"/>
              </w:rPr>
              <w:t>块</w:t>
            </w:r>
            <w:r>
              <w:rPr>
                <w:rFonts w:ascii="宋体" w:hAnsi="宋体" w:eastAsia="宋体" w:cs="仿宋"/>
                <w:kern w:val="0"/>
                <w:sz w:val="24"/>
                <w:szCs w:val="24"/>
              </w:rPr>
              <w:t>6T</w:t>
            </w:r>
            <w:r>
              <w:rPr>
                <w:rFonts w:hint="eastAsia" w:ascii="宋体" w:hAnsi="宋体" w:eastAsia="宋体" w:cs="仿宋"/>
                <w:kern w:val="0"/>
                <w:sz w:val="24"/>
                <w:szCs w:val="24"/>
              </w:rPr>
              <w:t>企业级硬盘；不低于</w:t>
            </w:r>
            <w:r>
              <w:rPr>
                <w:rFonts w:ascii="宋体" w:hAnsi="宋体" w:eastAsia="宋体" w:cs="仿宋"/>
                <w:kern w:val="0"/>
                <w:sz w:val="24"/>
                <w:szCs w:val="24"/>
              </w:rPr>
              <w:t>64</w:t>
            </w:r>
            <w:r>
              <w:rPr>
                <w:rFonts w:hint="eastAsia" w:ascii="宋体" w:hAnsi="宋体" w:eastAsia="宋体" w:cs="仿宋"/>
                <w:kern w:val="0"/>
                <w:sz w:val="24"/>
                <w:szCs w:val="24"/>
              </w:rPr>
              <w:t>位多核处理器，≥</w:t>
            </w:r>
            <w:r>
              <w:rPr>
                <w:rFonts w:ascii="宋体" w:hAnsi="宋体" w:eastAsia="宋体" w:cs="仿宋"/>
                <w:kern w:val="0"/>
                <w:sz w:val="24"/>
                <w:szCs w:val="24"/>
              </w:rPr>
              <w:t>4GB</w:t>
            </w:r>
            <w:r>
              <w:rPr>
                <w:rFonts w:hint="eastAsia" w:ascii="宋体" w:hAnsi="宋体" w:eastAsia="宋体" w:cs="仿宋"/>
                <w:kern w:val="0"/>
                <w:sz w:val="24"/>
                <w:szCs w:val="24"/>
              </w:rPr>
              <w:t>内存，内存支持扩展到≥</w:t>
            </w:r>
            <w:r>
              <w:rPr>
                <w:rFonts w:ascii="宋体" w:hAnsi="宋体" w:eastAsia="宋体" w:cs="仿宋"/>
                <w:kern w:val="0"/>
                <w:sz w:val="24"/>
                <w:szCs w:val="24"/>
              </w:rPr>
              <w:t>64GB</w:t>
            </w:r>
            <w:r>
              <w:rPr>
                <w:rFonts w:hint="eastAsia" w:ascii="宋体" w:hAnsi="宋体" w:eastAsia="宋体" w:cs="仿宋"/>
                <w:kern w:val="0"/>
                <w:sz w:val="24"/>
                <w:szCs w:val="24"/>
              </w:rPr>
              <w:t>，≥</w:t>
            </w:r>
            <w:r>
              <w:rPr>
                <w:rFonts w:ascii="宋体" w:hAnsi="宋体" w:eastAsia="宋体" w:cs="仿宋"/>
                <w:kern w:val="0"/>
                <w:sz w:val="24"/>
                <w:szCs w:val="24"/>
              </w:rPr>
              <w:t>2</w:t>
            </w:r>
            <w:r>
              <w:rPr>
                <w:rFonts w:hint="eastAsia" w:ascii="宋体" w:hAnsi="宋体" w:eastAsia="宋体" w:cs="仿宋"/>
                <w:kern w:val="0"/>
                <w:sz w:val="24"/>
                <w:szCs w:val="24"/>
              </w:rPr>
              <w:t>个千兆网口，支持增扩≥</w:t>
            </w:r>
            <w:r>
              <w:rPr>
                <w:rFonts w:ascii="宋体" w:hAnsi="宋体" w:eastAsia="宋体" w:cs="仿宋"/>
                <w:kern w:val="0"/>
                <w:sz w:val="24"/>
                <w:szCs w:val="24"/>
              </w:rPr>
              <w:t>2</w:t>
            </w:r>
            <w:r>
              <w:rPr>
                <w:rFonts w:hint="eastAsia" w:ascii="宋体" w:hAnsi="宋体" w:eastAsia="宋体" w:cs="仿宋"/>
                <w:kern w:val="0"/>
                <w:sz w:val="24"/>
                <w:szCs w:val="24"/>
              </w:rPr>
              <w:t>个万兆网口或≥</w:t>
            </w:r>
            <w:r>
              <w:rPr>
                <w:rFonts w:ascii="宋体" w:hAnsi="宋体" w:eastAsia="宋体" w:cs="仿宋"/>
                <w:kern w:val="0"/>
                <w:sz w:val="24"/>
                <w:szCs w:val="24"/>
              </w:rPr>
              <w:t>4</w:t>
            </w:r>
            <w:r>
              <w:rPr>
                <w:rFonts w:hint="eastAsia" w:ascii="宋体" w:hAnsi="宋体" w:eastAsia="宋体" w:cs="仿宋"/>
                <w:kern w:val="0"/>
                <w:sz w:val="24"/>
                <w:szCs w:val="24"/>
              </w:rPr>
              <w:t>个千兆网口；</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 xml:space="preserve">2. </w:t>
            </w:r>
            <w:r>
              <w:rPr>
                <w:rFonts w:hint="eastAsia" w:ascii="宋体" w:hAnsi="宋体" w:eastAsia="宋体" w:cs="仿宋"/>
                <w:kern w:val="0"/>
                <w:sz w:val="24"/>
                <w:szCs w:val="24"/>
              </w:rPr>
              <w:t>应支持</w:t>
            </w:r>
            <w:r>
              <w:rPr>
                <w:rFonts w:ascii="宋体" w:hAnsi="宋体" w:eastAsia="宋体" w:cs="仿宋"/>
                <w:kern w:val="0"/>
                <w:sz w:val="24"/>
                <w:szCs w:val="24"/>
              </w:rPr>
              <w:t>1TB</w:t>
            </w:r>
            <w:r>
              <w:rPr>
                <w:rFonts w:hint="eastAsia" w:ascii="宋体" w:hAnsi="宋体" w:eastAsia="宋体" w:cs="仿宋"/>
                <w:kern w:val="0"/>
                <w:sz w:val="24"/>
                <w:szCs w:val="24"/>
              </w:rPr>
              <w:t>、</w:t>
            </w:r>
            <w:r>
              <w:rPr>
                <w:rFonts w:ascii="宋体" w:hAnsi="宋体" w:eastAsia="宋体" w:cs="仿宋"/>
                <w:kern w:val="0"/>
                <w:sz w:val="24"/>
                <w:szCs w:val="24"/>
              </w:rPr>
              <w:t>2TB</w:t>
            </w:r>
            <w:r>
              <w:rPr>
                <w:rFonts w:hint="eastAsia" w:ascii="宋体" w:hAnsi="宋体" w:eastAsia="宋体" w:cs="仿宋"/>
                <w:kern w:val="0"/>
                <w:sz w:val="24"/>
                <w:szCs w:val="24"/>
              </w:rPr>
              <w:t>、</w:t>
            </w:r>
            <w:r>
              <w:rPr>
                <w:rFonts w:ascii="宋体" w:hAnsi="宋体" w:eastAsia="宋体" w:cs="仿宋"/>
                <w:kern w:val="0"/>
                <w:sz w:val="24"/>
                <w:szCs w:val="24"/>
              </w:rPr>
              <w:t>4TB</w:t>
            </w:r>
            <w:r>
              <w:rPr>
                <w:rFonts w:hint="eastAsia" w:ascii="宋体" w:hAnsi="宋体" w:eastAsia="宋体" w:cs="仿宋"/>
                <w:kern w:val="0"/>
                <w:sz w:val="24"/>
                <w:szCs w:val="24"/>
              </w:rPr>
              <w:t>、</w:t>
            </w:r>
            <w:r>
              <w:rPr>
                <w:rFonts w:ascii="宋体" w:hAnsi="宋体" w:eastAsia="宋体" w:cs="仿宋"/>
                <w:kern w:val="0"/>
                <w:sz w:val="24"/>
                <w:szCs w:val="24"/>
              </w:rPr>
              <w:t>6TB</w:t>
            </w:r>
            <w:r>
              <w:rPr>
                <w:rFonts w:hint="eastAsia" w:ascii="宋体" w:hAnsi="宋体" w:eastAsia="宋体" w:cs="仿宋"/>
                <w:kern w:val="0"/>
                <w:sz w:val="24"/>
                <w:szCs w:val="24"/>
              </w:rPr>
              <w:t>、</w:t>
            </w:r>
            <w:r>
              <w:rPr>
                <w:rFonts w:ascii="宋体" w:hAnsi="宋体" w:eastAsia="宋体" w:cs="仿宋"/>
                <w:kern w:val="0"/>
                <w:sz w:val="24"/>
                <w:szCs w:val="24"/>
              </w:rPr>
              <w:t>8TB</w:t>
            </w:r>
            <w:r>
              <w:rPr>
                <w:rFonts w:hint="eastAsia" w:ascii="宋体" w:hAnsi="宋体" w:eastAsia="宋体" w:cs="仿宋"/>
                <w:kern w:val="0"/>
                <w:sz w:val="24"/>
                <w:szCs w:val="24"/>
              </w:rPr>
              <w:t>、</w:t>
            </w:r>
            <w:r>
              <w:rPr>
                <w:rFonts w:ascii="宋体" w:hAnsi="宋体" w:eastAsia="宋体" w:cs="仿宋"/>
                <w:kern w:val="0"/>
                <w:sz w:val="24"/>
                <w:szCs w:val="24"/>
              </w:rPr>
              <w:t>10TB</w:t>
            </w:r>
            <w:r>
              <w:rPr>
                <w:rFonts w:hint="eastAsia" w:ascii="宋体" w:hAnsi="宋体" w:eastAsia="宋体" w:cs="仿宋"/>
                <w:kern w:val="0"/>
                <w:sz w:val="24"/>
                <w:szCs w:val="24"/>
              </w:rPr>
              <w:t>、</w:t>
            </w:r>
            <w:r>
              <w:rPr>
                <w:rFonts w:ascii="宋体" w:hAnsi="宋体" w:eastAsia="宋体" w:cs="仿宋"/>
                <w:kern w:val="0"/>
                <w:sz w:val="24"/>
                <w:szCs w:val="24"/>
              </w:rPr>
              <w:t>12TB</w:t>
            </w:r>
            <w:r>
              <w:rPr>
                <w:rFonts w:hint="eastAsia" w:ascii="宋体" w:hAnsi="宋体" w:eastAsia="宋体" w:cs="仿宋"/>
                <w:kern w:val="0"/>
                <w:sz w:val="24"/>
                <w:szCs w:val="24"/>
              </w:rPr>
              <w:t>、</w:t>
            </w:r>
            <w:r>
              <w:rPr>
                <w:rFonts w:ascii="宋体" w:hAnsi="宋体" w:eastAsia="宋体" w:cs="仿宋"/>
                <w:kern w:val="0"/>
                <w:sz w:val="24"/>
                <w:szCs w:val="24"/>
              </w:rPr>
              <w:t>14TB</w:t>
            </w:r>
            <w:r>
              <w:rPr>
                <w:rFonts w:hint="eastAsia" w:ascii="宋体" w:hAnsi="宋体" w:eastAsia="宋体" w:cs="仿宋"/>
                <w:kern w:val="0"/>
                <w:sz w:val="24"/>
                <w:szCs w:val="24"/>
              </w:rPr>
              <w:t>、</w:t>
            </w:r>
            <w:r>
              <w:rPr>
                <w:rFonts w:ascii="宋体" w:hAnsi="宋体" w:eastAsia="宋体" w:cs="仿宋"/>
                <w:kern w:val="0"/>
                <w:sz w:val="24"/>
                <w:szCs w:val="24"/>
              </w:rPr>
              <w:t>16TB</w:t>
            </w:r>
            <w:r>
              <w:rPr>
                <w:rFonts w:hint="eastAsia" w:ascii="宋体" w:hAnsi="宋体" w:eastAsia="宋体" w:cs="仿宋"/>
                <w:kern w:val="0"/>
                <w:sz w:val="24"/>
                <w:szCs w:val="24"/>
              </w:rPr>
              <w:t>、</w:t>
            </w:r>
            <w:r>
              <w:rPr>
                <w:rFonts w:ascii="宋体" w:hAnsi="宋体" w:eastAsia="宋体" w:cs="仿宋"/>
                <w:kern w:val="0"/>
                <w:sz w:val="24"/>
                <w:szCs w:val="24"/>
              </w:rPr>
              <w:t>18TB</w:t>
            </w:r>
            <w:r>
              <w:rPr>
                <w:rFonts w:hint="eastAsia" w:ascii="宋体" w:hAnsi="宋体" w:eastAsia="宋体" w:cs="仿宋"/>
                <w:kern w:val="0"/>
                <w:sz w:val="24"/>
                <w:szCs w:val="24"/>
              </w:rPr>
              <w:t>、</w:t>
            </w:r>
            <w:r>
              <w:rPr>
                <w:rFonts w:ascii="宋体" w:hAnsi="宋体" w:eastAsia="宋体" w:cs="仿宋"/>
                <w:kern w:val="0"/>
                <w:sz w:val="24"/>
                <w:szCs w:val="24"/>
              </w:rPr>
              <w:t>20TB</w:t>
            </w:r>
            <w:r>
              <w:rPr>
                <w:rFonts w:hint="eastAsia" w:ascii="宋体" w:hAnsi="宋体" w:eastAsia="宋体" w:cs="仿宋"/>
                <w:kern w:val="0"/>
                <w:sz w:val="24"/>
                <w:szCs w:val="24"/>
              </w:rPr>
              <w:t>等容量硬盘，支持氦气硬盘和空气硬盘，支持硬盘交错</w:t>
            </w:r>
            <w:r>
              <w:rPr>
                <w:rFonts w:ascii="宋体" w:hAnsi="宋体" w:eastAsia="宋体" w:cs="仿宋"/>
                <w:kern w:val="0"/>
                <w:sz w:val="24"/>
                <w:szCs w:val="24"/>
              </w:rPr>
              <w:t>/</w:t>
            </w:r>
            <w:r>
              <w:rPr>
                <w:rFonts w:hint="eastAsia" w:ascii="宋体" w:hAnsi="宋体" w:eastAsia="宋体" w:cs="仿宋"/>
                <w:kern w:val="0"/>
                <w:sz w:val="24"/>
                <w:szCs w:val="24"/>
              </w:rPr>
              <w:t>分时启动；</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 xml:space="preserve">3. </w:t>
            </w:r>
            <w:r>
              <w:rPr>
                <w:rFonts w:hint="eastAsia" w:ascii="宋体" w:hAnsi="宋体" w:eastAsia="宋体" w:cs="仿宋"/>
                <w:kern w:val="0"/>
                <w:sz w:val="24"/>
                <w:szCs w:val="24"/>
              </w:rPr>
              <w:t>▲支持</w:t>
            </w:r>
            <w:r>
              <w:rPr>
                <w:rFonts w:ascii="宋体" w:hAnsi="宋体" w:eastAsia="宋体" w:cs="仿宋"/>
                <w:kern w:val="0"/>
                <w:sz w:val="24"/>
                <w:szCs w:val="24"/>
              </w:rPr>
              <w:t>RAID0</w:t>
            </w:r>
            <w:r>
              <w:rPr>
                <w:rFonts w:hint="eastAsia" w:ascii="宋体" w:hAnsi="宋体" w:eastAsia="宋体" w:cs="仿宋"/>
                <w:kern w:val="0"/>
                <w:sz w:val="24"/>
                <w:szCs w:val="24"/>
              </w:rPr>
              <w:t>、</w:t>
            </w:r>
            <w:r>
              <w:rPr>
                <w:rFonts w:ascii="宋体" w:hAnsi="宋体" w:eastAsia="宋体" w:cs="仿宋"/>
                <w:kern w:val="0"/>
                <w:sz w:val="24"/>
                <w:szCs w:val="24"/>
              </w:rPr>
              <w:t>1</w:t>
            </w:r>
            <w:r>
              <w:rPr>
                <w:rFonts w:hint="eastAsia" w:ascii="宋体" w:hAnsi="宋体" w:eastAsia="宋体" w:cs="仿宋"/>
                <w:kern w:val="0"/>
                <w:sz w:val="24"/>
                <w:szCs w:val="24"/>
              </w:rPr>
              <w:t>、</w:t>
            </w:r>
            <w:r>
              <w:rPr>
                <w:rFonts w:ascii="宋体" w:hAnsi="宋体" w:eastAsia="宋体" w:cs="仿宋"/>
                <w:kern w:val="0"/>
                <w:sz w:val="24"/>
                <w:szCs w:val="24"/>
              </w:rPr>
              <w:t>5</w:t>
            </w:r>
            <w:r>
              <w:rPr>
                <w:rFonts w:hint="eastAsia" w:ascii="宋体" w:hAnsi="宋体" w:eastAsia="宋体" w:cs="仿宋"/>
                <w:kern w:val="0"/>
                <w:sz w:val="24"/>
                <w:szCs w:val="24"/>
              </w:rPr>
              <w:t>、</w:t>
            </w:r>
            <w:r>
              <w:rPr>
                <w:rFonts w:ascii="宋体" w:hAnsi="宋体" w:eastAsia="宋体" w:cs="仿宋"/>
                <w:kern w:val="0"/>
                <w:sz w:val="24"/>
                <w:szCs w:val="24"/>
              </w:rPr>
              <w:t>6</w:t>
            </w:r>
            <w:r>
              <w:rPr>
                <w:rFonts w:hint="eastAsia" w:ascii="宋体" w:hAnsi="宋体" w:eastAsia="宋体" w:cs="仿宋"/>
                <w:kern w:val="0"/>
                <w:sz w:val="24"/>
                <w:szCs w:val="24"/>
              </w:rPr>
              <w:t>、</w:t>
            </w:r>
            <w:r>
              <w:rPr>
                <w:rFonts w:ascii="宋体" w:hAnsi="宋体" w:eastAsia="宋体" w:cs="仿宋"/>
                <w:kern w:val="0"/>
                <w:sz w:val="24"/>
                <w:szCs w:val="24"/>
              </w:rPr>
              <w:t>10</w:t>
            </w:r>
            <w:r>
              <w:rPr>
                <w:rFonts w:hint="eastAsia" w:ascii="宋体" w:hAnsi="宋体" w:eastAsia="宋体" w:cs="仿宋"/>
                <w:kern w:val="0"/>
                <w:sz w:val="24"/>
                <w:szCs w:val="24"/>
              </w:rPr>
              <w:t>、</w:t>
            </w:r>
            <w:r>
              <w:rPr>
                <w:rFonts w:ascii="宋体" w:hAnsi="宋体" w:eastAsia="宋体" w:cs="仿宋"/>
                <w:kern w:val="0"/>
                <w:sz w:val="24"/>
                <w:szCs w:val="24"/>
              </w:rPr>
              <w:t>50</w:t>
            </w:r>
            <w:r>
              <w:rPr>
                <w:rFonts w:hint="eastAsia" w:ascii="宋体" w:hAnsi="宋体" w:eastAsia="宋体" w:cs="仿宋"/>
                <w:kern w:val="0"/>
                <w:sz w:val="24"/>
                <w:szCs w:val="24"/>
              </w:rPr>
              <w:t>，支持全局、局部等多种热备选择，支持坏盘自动重构；支持当磁盘处于非工作状态下，进入休眠状态，进行读写操作时可被唤醒，增加磁盘寿命；支持智能风扇调速，支持智能</w:t>
            </w:r>
            <w:r>
              <w:rPr>
                <w:rFonts w:ascii="宋体" w:hAnsi="宋体" w:eastAsia="宋体" w:cs="仿宋"/>
                <w:kern w:val="0"/>
                <w:sz w:val="24"/>
                <w:szCs w:val="24"/>
              </w:rPr>
              <w:t>CPU</w:t>
            </w:r>
            <w:r>
              <w:rPr>
                <w:rFonts w:hint="eastAsia" w:ascii="宋体" w:hAnsi="宋体" w:eastAsia="宋体" w:cs="仿宋"/>
                <w:kern w:val="0"/>
                <w:sz w:val="24"/>
                <w:szCs w:val="24"/>
              </w:rPr>
              <w:t>调频等功能；</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 xml:space="preserve">4. </w:t>
            </w:r>
            <w:r>
              <w:rPr>
                <w:rFonts w:hint="eastAsia" w:ascii="宋体" w:hAnsi="宋体" w:eastAsia="宋体" w:cs="仿宋"/>
                <w:kern w:val="0"/>
                <w:sz w:val="24"/>
                <w:szCs w:val="24"/>
              </w:rPr>
              <w:t>接入带宽≥</w:t>
            </w:r>
            <w:r>
              <w:rPr>
                <w:rFonts w:ascii="宋体" w:hAnsi="宋体" w:eastAsia="宋体" w:cs="仿宋"/>
                <w:kern w:val="0"/>
                <w:sz w:val="24"/>
                <w:szCs w:val="24"/>
              </w:rPr>
              <w:t>1500Mbps</w:t>
            </w:r>
            <w:r>
              <w:rPr>
                <w:rFonts w:hint="eastAsia" w:ascii="宋体" w:hAnsi="宋体" w:eastAsia="宋体" w:cs="仿宋"/>
                <w:kern w:val="0"/>
                <w:sz w:val="24"/>
                <w:szCs w:val="24"/>
              </w:rPr>
              <w:t>，支持对视频流进行混合直存；</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 xml:space="preserve">5. </w:t>
            </w:r>
            <w:r>
              <w:rPr>
                <w:rFonts w:hint="eastAsia" w:ascii="宋体" w:hAnsi="宋体" w:eastAsia="宋体" w:cs="仿宋"/>
                <w:kern w:val="0"/>
                <w:sz w:val="24"/>
                <w:szCs w:val="24"/>
              </w:rPr>
              <w:t>支持磁盘自动修复功能，当磁盘发生非物理性损坏导致读写中断等异常时，设备可自动判断磁盘损坏程度，可通过磁盘冷启动进行恢复操作，业务不中断；</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 xml:space="preserve">6. </w:t>
            </w:r>
            <w:r>
              <w:rPr>
                <w:rFonts w:hint="eastAsia" w:ascii="宋体" w:hAnsi="宋体" w:eastAsia="宋体" w:cs="仿宋"/>
                <w:kern w:val="0"/>
                <w:sz w:val="24"/>
                <w:szCs w:val="24"/>
              </w:rPr>
              <w:t>支持故障隔离功能，存储业务模块可存放在不同容器中，一个业务模块故障时，不影响其它业务模块，系统可自动重启业务模块并恢复原有业务；</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 xml:space="preserve">7. </w:t>
            </w:r>
            <w:r>
              <w:rPr>
                <w:rFonts w:hint="eastAsia" w:ascii="宋体" w:hAnsi="宋体" w:eastAsia="宋体" w:cs="仿宋"/>
                <w:kern w:val="0"/>
                <w:sz w:val="24"/>
                <w:szCs w:val="24"/>
              </w:rPr>
              <w:t>▲支持硬盘体检功能，支持硬盘体检报告、磁盘深度体检与磁盘档案查看，支持图形化显示硬盘生命周期曲线、显示硬盘原始数据读取错误率、上电时间、上电时长计数、意外断电计数、重映射扇区数、磁盘振动等多种硬盘相关健康值；</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 xml:space="preserve">8. </w:t>
            </w:r>
            <w:r>
              <w:rPr>
                <w:rFonts w:hint="eastAsia" w:ascii="宋体" w:hAnsi="宋体" w:eastAsia="宋体" w:cs="仿宋"/>
                <w:kern w:val="0"/>
                <w:sz w:val="24"/>
                <w:szCs w:val="24"/>
              </w:rPr>
              <w:t>支持全帧索引回放，并支持下载视频文件；支持在录像文件目录损坏时重建索引、恢复录像查询；支持硬盘无螺丝安装，支持远程实现每一块硬盘指示灯的单独点亮操作，可定位磁盘位置；</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以上加“▲”项需提供公安部所属检验机构出具的检测报告复印件，并加盖投标人鲜章。</w:t>
            </w:r>
          </w:p>
        </w:tc>
        <w:tc>
          <w:tcPr>
            <w:tcW w:w="336"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台</w:t>
            </w:r>
          </w:p>
        </w:tc>
        <w:tc>
          <w:tcPr>
            <w:tcW w:w="335" w:type="pct"/>
            <w:noWrap/>
            <w:vAlign w:val="center"/>
          </w:tcPr>
          <w:p>
            <w:pPr>
              <w:widowControl/>
              <w:spacing w:line="360" w:lineRule="auto"/>
              <w:jc w:val="center"/>
              <w:rPr>
                <w:rFonts w:ascii="宋体" w:hAnsi="宋体" w:eastAsia="宋体" w:cs="仿宋"/>
                <w:kern w:val="0"/>
                <w:sz w:val="24"/>
                <w:szCs w:val="24"/>
              </w:rPr>
            </w:pPr>
            <w:r>
              <w:rPr>
                <w:rFonts w:ascii="宋体" w:hAnsi="宋体" w:eastAsia="宋体" w:cs="仿宋"/>
                <w:kern w:val="0"/>
                <w:sz w:val="24"/>
                <w:szCs w:val="24"/>
              </w:rPr>
              <w:t>4</w:t>
            </w:r>
          </w:p>
        </w:tc>
        <w:tc>
          <w:tcPr>
            <w:tcW w:w="344" w:type="pct"/>
            <w:noWrap/>
            <w:vAlign w:val="center"/>
          </w:tcPr>
          <w:p>
            <w:pPr>
              <w:widowControl/>
              <w:spacing w:line="360" w:lineRule="auto"/>
              <w:jc w:val="center"/>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433"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2</w:t>
            </w:r>
          </w:p>
        </w:tc>
        <w:tc>
          <w:tcPr>
            <w:tcW w:w="583"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图片存储节点</w:t>
            </w:r>
          </w:p>
        </w:tc>
        <w:tc>
          <w:tcPr>
            <w:tcW w:w="2969" w:type="pct"/>
            <w:vAlign w:val="center"/>
          </w:tcPr>
          <w:p>
            <w:pPr>
              <w:widowControl/>
              <w:spacing w:line="360" w:lineRule="auto"/>
              <w:rPr>
                <w:rFonts w:ascii="宋体" w:hAnsi="宋体" w:eastAsia="宋体" w:cs="仿宋"/>
                <w:sz w:val="24"/>
                <w:szCs w:val="24"/>
              </w:rPr>
            </w:pPr>
            <w:r>
              <w:rPr>
                <w:rFonts w:ascii="宋体" w:hAnsi="宋体" w:eastAsia="宋体" w:cs="仿宋"/>
                <w:sz w:val="24"/>
                <w:szCs w:val="24"/>
              </w:rPr>
              <w:tab/>
            </w:r>
            <w:r>
              <w:rPr>
                <w:rFonts w:ascii="宋体" w:hAnsi="宋体" w:eastAsia="宋体" w:cs="仿宋"/>
                <w:sz w:val="24"/>
                <w:szCs w:val="24"/>
              </w:rPr>
              <w:t xml:space="preserve">1. </w:t>
            </w:r>
            <w:r>
              <w:rPr>
                <w:rFonts w:hint="eastAsia" w:ascii="宋体" w:hAnsi="宋体" w:eastAsia="宋体" w:cs="仿宋"/>
                <w:sz w:val="24"/>
                <w:szCs w:val="24"/>
              </w:rPr>
              <w:t>高性能图片专用云存储主机，可接入硬盘≥</w:t>
            </w:r>
            <w:r>
              <w:rPr>
                <w:rFonts w:ascii="宋体" w:hAnsi="宋体" w:eastAsia="宋体" w:cs="仿宋"/>
                <w:sz w:val="24"/>
                <w:szCs w:val="24"/>
              </w:rPr>
              <w:t>48</w:t>
            </w:r>
            <w:r>
              <w:rPr>
                <w:rFonts w:hint="eastAsia" w:ascii="宋体" w:hAnsi="宋体" w:eastAsia="宋体" w:cs="仿宋"/>
                <w:sz w:val="24"/>
                <w:szCs w:val="24"/>
              </w:rPr>
              <w:t>块，配置≥</w:t>
            </w:r>
            <w:r>
              <w:rPr>
                <w:rFonts w:ascii="宋体" w:hAnsi="宋体" w:eastAsia="宋体" w:cs="仿宋"/>
                <w:sz w:val="24"/>
                <w:szCs w:val="24"/>
              </w:rPr>
              <w:t>48</w:t>
            </w:r>
            <w:r>
              <w:rPr>
                <w:rFonts w:hint="eastAsia" w:ascii="宋体" w:hAnsi="宋体" w:eastAsia="宋体" w:cs="仿宋"/>
                <w:sz w:val="24"/>
                <w:szCs w:val="24"/>
              </w:rPr>
              <w:t>块</w:t>
            </w:r>
            <w:r>
              <w:rPr>
                <w:rFonts w:ascii="宋体" w:hAnsi="宋体" w:eastAsia="宋体" w:cs="仿宋"/>
                <w:sz w:val="24"/>
                <w:szCs w:val="24"/>
              </w:rPr>
              <w:t>6T</w:t>
            </w:r>
            <w:r>
              <w:rPr>
                <w:rFonts w:hint="eastAsia" w:ascii="宋体" w:hAnsi="宋体" w:eastAsia="宋体" w:cs="仿宋"/>
                <w:sz w:val="24"/>
                <w:szCs w:val="24"/>
              </w:rPr>
              <w:t>企业级硬盘，内置</w:t>
            </w:r>
            <w:r>
              <w:rPr>
                <w:rFonts w:ascii="宋体" w:hAnsi="宋体" w:eastAsia="宋体" w:cs="仿宋"/>
                <w:sz w:val="24"/>
                <w:szCs w:val="24"/>
              </w:rPr>
              <w:t>SSD</w:t>
            </w:r>
            <w:r>
              <w:rPr>
                <w:rFonts w:hint="eastAsia" w:ascii="宋体" w:hAnsi="宋体" w:eastAsia="宋体" w:cs="仿宋"/>
                <w:sz w:val="24"/>
                <w:szCs w:val="24"/>
              </w:rPr>
              <w:t>系统盘、内置加速缓存，≥</w:t>
            </w:r>
            <w:r>
              <w:rPr>
                <w:rFonts w:ascii="宋体" w:hAnsi="宋体" w:eastAsia="宋体" w:cs="仿宋"/>
                <w:sz w:val="24"/>
                <w:szCs w:val="24"/>
              </w:rPr>
              <w:t>2</w:t>
            </w:r>
            <w:r>
              <w:rPr>
                <w:rFonts w:hint="eastAsia" w:ascii="宋体" w:hAnsi="宋体" w:eastAsia="宋体" w:cs="仿宋"/>
                <w:sz w:val="24"/>
                <w:szCs w:val="24"/>
              </w:rPr>
              <w:t>颗</w:t>
            </w:r>
            <w:r>
              <w:rPr>
                <w:rFonts w:ascii="宋体" w:hAnsi="宋体" w:eastAsia="宋体" w:cs="仿宋"/>
                <w:sz w:val="24"/>
                <w:szCs w:val="24"/>
              </w:rPr>
              <w:t>64</w:t>
            </w:r>
            <w:r>
              <w:rPr>
                <w:rFonts w:hint="eastAsia" w:ascii="宋体" w:hAnsi="宋体" w:eastAsia="宋体" w:cs="仿宋"/>
                <w:sz w:val="24"/>
                <w:szCs w:val="24"/>
              </w:rPr>
              <w:t>位多核处理器，≥</w:t>
            </w:r>
            <w:r>
              <w:rPr>
                <w:rFonts w:ascii="宋体" w:hAnsi="宋体" w:eastAsia="宋体" w:cs="仿宋"/>
                <w:sz w:val="24"/>
                <w:szCs w:val="24"/>
              </w:rPr>
              <w:t>32GB</w:t>
            </w:r>
            <w:r>
              <w:rPr>
                <w:rFonts w:hint="eastAsia" w:ascii="宋体" w:hAnsi="宋体" w:eastAsia="宋体" w:cs="仿宋"/>
                <w:sz w:val="24"/>
                <w:szCs w:val="24"/>
              </w:rPr>
              <w:t>内存，内存支持扩展到≥</w:t>
            </w:r>
            <w:r>
              <w:rPr>
                <w:rFonts w:ascii="宋体" w:hAnsi="宋体" w:eastAsia="宋体" w:cs="仿宋"/>
                <w:sz w:val="24"/>
                <w:szCs w:val="24"/>
              </w:rPr>
              <w:t>256GB</w:t>
            </w:r>
            <w:r>
              <w:rPr>
                <w:rFonts w:hint="eastAsia" w:ascii="宋体" w:hAnsi="宋体" w:eastAsia="宋体" w:cs="仿宋"/>
                <w:sz w:val="24"/>
                <w:szCs w:val="24"/>
              </w:rPr>
              <w:t>，≥</w:t>
            </w:r>
            <w:r>
              <w:rPr>
                <w:rFonts w:ascii="宋体" w:hAnsi="宋体" w:eastAsia="宋体" w:cs="仿宋"/>
                <w:sz w:val="24"/>
                <w:szCs w:val="24"/>
              </w:rPr>
              <w:t>6</w:t>
            </w:r>
            <w:r>
              <w:rPr>
                <w:rFonts w:hint="eastAsia" w:ascii="宋体" w:hAnsi="宋体" w:eastAsia="宋体" w:cs="仿宋"/>
                <w:sz w:val="24"/>
                <w:szCs w:val="24"/>
              </w:rPr>
              <w:t>个千兆数据网口，支持扩展≥</w:t>
            </w:r>
            <w:r>
              <w:rPr>
                <w:rFonts w:ascii="宋体" w:hAnsi="宋体" w:eastAsia="宋体" w:cs="仿宋"/>
                <w:sz w:val="24"/>
                <w:szCs w:val="24"/>
              </w:rPr>
              <w:t>4</w:t>
            </w:r>
            <w:r>
              <w:rPr>
                <w:rFonts w:hint="eastAsia" w:ascii="宋体" w:hAnsi="宋体" w:eastAsia="宋体" w:cs="仿宋"/>
                <w:sz w:val="24"/>
                <w:szCs w:val="24"/>
              </w:rPr>
              <w:t>个千兆口或</w:t>
            </w:r>
            <w:r>
              <w:rPr>
                <w:rFonts w:ascii="宋体" w:hAnsi="宋体" w:eastAsia="宋体" w:cs="仿宋"/>
                <w:sz w:val="24"/>
                <w:szCs w:val="24"/>
              </w:rPr>
              <w:t>2</w:t>
            </w:r>
            <w:r>
              <w:rPr>
                <w:rFonts w:hint="eastAsia" w:ascii="宋体" w:hAnsi="宋体" w:eastAsia="宋体" w:cs="仿宋"/>
                <w:sz w:val="24"/>
                <w:szCs w:val="24"/>
              </w:rPr>
              <w:t>个万兆口，具有≥</w:t>
            </w:r>
            <w:r>
              <w:rPr>
                <w:rFonts w:ascii="宋体" w:hAnsi="宋体" w:eastAsia="宋体" w:cs="仿宋"/>
                <w:sz w:val="24"/>
                <w:szCs w:val="24"/>
              </w:rPr>
              <w:t>2</w:t>
            </w:r>
            <w:r>
              <w:rPr>
                <w:rFonts w:hint="eastAsia" w:ascii="宋体" w:hAnsi="宋体" w:eastAsia="宋体" w:cs="仿宋"/>
                <w:sz w:val="24"/>
                <w:szCs w:val="24"/>
              </w:rPr>
              <w:t>个</w:t>
            </w:r>
            <w:r>
              <w:rPr>
                <w:rFonts w:ascii="宋体" w:hAnsi="宋体" w:eastAsia="宋体" w:cs="仿宋"/>
                <w:sz w:val="24"/>
                <w:szCs w:val="24"/>
              </w:rPr>
              <w:t>USB3.0</w:t>
            </w:r>
            <w:r>
              <w:rPr>
                <w:rFonts w:hint="eastAsia" w:ascii="宋体" w:hAnsi="宋体" w:eastAsia="宋体" w:cs="仿宋"/>
                <w:sz w:val="24"/>
                <w:szCs w:val="24"/>
              </w:rPr>
              <w:t>接口；</w:t>
            </w:r>
          </w:p>
          <w:p>
            <w:pPr>
              <w:widowControl/>
              <w:spacing w:line="360" w:lineRule="auto"/>
              <w:rPr>
                <w:rFonts w:ascii="宋体" w:hAnsi="宋体" w:eastAsia="宋体" w:cs="仿宋"/>
                <w:sz w:val="24"/>
                <w:szCs w:val="24"/>
              </w:rPr>
            </w:pPr>
            <w:r>
              <w:rPr>
                <w:rFonts w:ascii="宋体" w:hAnsi="宋体" w:eastAsia="宋体" w:cs="仿宋"/>
                <w:sz w:val="24"/>
                <w:szCs w:val="24"/>
              </w:rPr>
              <w:t xml:space="preserve">2. </w:t>
            </w:r>
            <w:r>
              <w:rPr>
                <w:rFonts w:hint="eastAsia" w:ascii="宋体" w:hAnsi="宋体" w:eastAsia="宋体" w:cs="仿宋"/>
                <w:kern w:val="0"/>
                <w:sz w:val="24"/>
                <w:szCs w:val="24"/>
              </w:rPr>
              <w:t>▲</w:t>
            </w:r>
            <w:r>
              <w:rPr>
                <w:rFonts w:hint="eastAsia" w:ascii="宋体" w:hAnsi="宋体" w:eastAsia="宋体" w:cs="仿宋"/>
                <w:sz w:val="24"/>
                <w:szCs w:val="24"/>
              </w:rPr>
              <w:t>应支持</w:t>
            </w:r>
            <w:r>
              <w:rPr>
                <w:rFonts w:ascii="宋体" w:hAnsi="宋体" w:eastAsia="宋体" w:cs="仿宋"/>
                <w:sz w:val="24"/>
                <w:szCs w:val="24"/>
              </w:rPr>
              <w:t>1TB</w:t>
            </w:r>
            <w:r>
              <w:rPr>
                <w:rFonts w:hint="eastAsia" w:ascii="宋体" w:hAnsi="宋体" w:eastAsia="宋体" w:cs="仿宋"/>
                <w:sz w:val="24"/>
                <w:szCs w:val="24"/>
              </w:rPr>
              <w:t>、</w:t>
            </w:r>
            <w:r>
              <w:rPr>
                <w:rFonts w:ascii="宋体" w:hAnsi="宋体" w:eastAsia="宋体" w:cs="仿宋"/>
                <w:sz w:val="24"/>
                <w:szCs w:val="24"/>
              </w:rPr>
              <w:t>2TB</w:t>
            </w:r>
            <w:r>
              <w:rPr>
                <w:rFonts w:hint="eastAsia" w:ascii="宋体" w:hAnsi="宋体" w:eastAsia="宋体" w:cs="仿宋"/>
                <w:sz w:val="24"/>
                <w:szCs w:val="24"/>
              </w:rPr>
              <w:t>、</w:t>
            </w:r>
            <w:r>
              <w:rPr>
                <w:rFonts w:ascii="宋体" w:hAnsi="宋体" w:eastAsia="宋体" w:cs="仿宋"/>
                <w:sz w:val="24"/>
                <w:szCs w:val="24"/>
              </w:rPr>
              <w:t>4TB</w:t>
            </w:r>
            <w:r>
              <w:rPr>
                <w:rFonts w:hint="eastAsia" w:ascii="宋体" w:hAnsi="宋体" w:eastAsia="宋体" w:cs="仿宋"/>
                <w:sz w:val="24"/>
                <w:szCs w:val="24"/>
              </w:rPr>
              <w:t>、</w:t>
            </w:r>
            <w:r>
              <w:rPr>
                <w:rFonts w:ascii="宋体" w:hAnsi="宋体" w:eastAsia="宋体" w:cs="仿宋"/>
                <w:sz w:val="24"/>
                <w:szCs w:val="24"/>
              </w:rPr>
              <w:t>6TB</w:t>
            </w:r>
            <w:r>
              <w:rPr>
                <w:rFonts w:hint="eastAsia" w:ascii="宋体" w:hAnsi="宋体" w:eastAsia="宋体" w:cs="仿宋"/>
                <w:sz w:val="24"/>
                <w:szCs w:val="24"/>
              </w:rPr>
              <w:t>、</w:t>
            </w:r>
            <w:r>
              <w:rPr>
                <w:rFonts w:ascii="宋体" w:hAnsi="宋体" w:eastAsia="宋体" w:cs="仿宋"/>
                <w:sz w:val="24"/>
                <w:szCs w:val="24"/>
              </w:rPr>
              <w:t>8TB</w:t>
            </w:r>
            <w:r>
              <w:rPr>
                <w:rFonts w:hint="eastAsia" w:ascii="宋体" w:hAnsi="宋体" w:eastAsia="宋体" w:cs="仿宋"/>
                <w:sz w:val="24"/>
                <w:szCs w:val="24"/>
              </w:rPr>
              <w:t>、</w:t>
            </w:r>
            <w:r>
              <w:rPr>
                <w:rFonts w:ascii="宋体" w:hAnsi="宋体" w:eastAsia="宋体" w:cs="仿宋"/>
                <w:sz w:val="24"/>
                <w:szCs w:val="24"/>
              </w:rPr>
              <w:t>10TB</w:t>
            </w:r>
            <w:r>
              <w:rPr>
                <w:rFonts w:hint="eastAsia" w:ascii="宋体" w:hAnsi="宋体" w:eastAsia="宋体" w:cs="仿宋"/>
                <w:sz w:val="24"/>
                <w:szCs w:val="24"/>
              </w:rPr>
              <w:t>、</w:t>
            </w:r>
            <w:r>
              <w:rPr>
                <w:rFonts w:ascii="宋体" w:hAnsi="宋体" w:eastAsia="宋体" w:cs="仿宋"/>
                <w:sz w:val="24"/>
                <w:szCs w:val="24"/>
              </w:rPr>
              <w:t>12TB</w:t>
            </w:r>
            <w:r>
              <w:rPr>
                <w:rFonts w:hint="eastAsia" w:ascii="宋体" w:hAnsi="宋体" w:eastAsia="宋体" w:cs="仿宋"/>
                <w:sz w:val="24"/>
                <w:szCs w:val="24"/>
              </w:rPr>
              <w:t>、</w:t>
            </w:r>
            <w:r>
              <w:rPr>
                <w:rFonts w:ascii="宋体" w:hAnsi="宋体" w:eastAsia="宋体" w:cs="仿宋"/>
                <w:sz w:val="24"/>
                <w:szCs w:val="24"/>
              </w:rPr>
              <w:t>14TB</w:t>
            </w:r>
            <w:r>
              <w:rPr>
                <w:rFonts w:hint="eastAsia" w:ascii="宋体" w:hAnsi="宋体" w:eastAsia="宋体" w:cs="仿宋"/>
                <w:sz w:val="24"/>
                <w:szCs w:val="24"/>
              </w:rPr>
              <w:t>、</w:t>
            </w:r>
            <w:r>
              <w:rPr>
                <w:rFonts w:ascii="宋体" w:hAnsi="宋体" w:eastAsia="宋体" w:cs="仿宋"/>
                <w:sz w:val="24"/>
                <w:szCs w:val="24"/>
              </w:rPr>
              <w:t>16TB</w:t>
            </w:r>
            <w:r>
              <w:rPr>
                <w:rFonts w:hint="eastAsia" w:ascii="宋体" w:hAnsi="宋体" w:eastAsia="宋体" w:cs="仿宋"/>
                <w:sz w:val="24"/>
                <w:szCs w:val="24"/>
              </w:rPr>
              <w:t>、</w:t>
            </w:r>
            <w:r>
              <w:rPr>
                <w:rFonts w:ascii="宋体" w:hAnsi="宋体" w:eastAsia="宋体" w:cs="仿宋"/>
                <w:sz w:val="24"/>
                <w:szCs w:val="24"/>
              </w:rPr>
              <w:t>18TB</w:t>
            </w:r>
            <w:r>
              <w:rPr>
                <w:rFonts w:hint="eastAsia" w:ascii="宋体" w:hAnsi="宋体" w:eastAsia="宋体" w:cs="仿宋"/>
                <w:sz w:val="24"/>
                <w:szCs w:val="24"/>
              </w:rPr>
              <w:t>、</w:t>
            </w:r>
            <w:r>
              <w:rPr>
                <w:rFonts w:ascii="宋体" w:hAnsi="宋体" w:eastAsia="宋体" w:cs="仿宋"/>
                <w:sz w:val="24"/>
                <w:szCs w:val="24"/>
              </w:rPr>
              <w:t>20TB</w:t>
            </w:r>
            <w:r>
              <w:rPr>
                <w:rFonts w:hint="eastAsia" w:ascii="宋体" w:hAnsi="宋体" w:eastAsia="宋体" w:cs="仿宋"/>
                <w:sz w:val="24"/>
                <w:szCs w:val="24"/>
              </w:rPr>
              <w:t>等容量硬盘，支持氦气硬盘和空气硬盘，支持硬盘交错</w:t>
            </w:r>
            <w:r>
              <w:rPr>
                <w:rFonts w:ascii="宋体" w:hAnsi="宋体" w:eastAsia="宋体" w:cs="仿宋"/>
                <w:sz w:val="24"/>
                <w:szCs w:val="24"/>
              </w:rPr>
              <w:t>/</w:t>
            </w:r>
            <w:r>
              <w:rPr>
                <w:rFonts w:hint="eastAsia" w:ascii="宋体" w:hAnsi="宋体" w:eastAsia="宋体" w:cs="仿宋"/>
                <w:sz w:val="24"/>
                <w:szCs w:val="24"/>
              </w:rPr>
              <w:t>分时启动；</w:t>
            </w:r>
          </w:p>
          <w:p>
            <w:pPr>
              <w:widowControl/>
              <w:spacing w:line="360" w:lineRule="auto"/>
              <w:rPr>
                <w:rFonts w:ascii="宋体" w:hAnsi="宋体" w:eastAsia="宋体" w:cs="仿宋"/>
                <w:sz w:val="24"/>
                <w:szCs w:val="24"/>
              </w:rPr>
            </w:pPr>
            <w:r>
              <w:rPr>
                <w:rFonts w:ascii="宋体" w:hAnsi="宋体" w:eastAsia="宋体" w:cs="仿宋"/>
                <w:sz w:val="24"/>
                <w:szCs w:val="24"/>
              </w:rPr>
              <w:t xml:space="preserve">3. </w:t>
            </w:r>
            <w:r>
              <w:rPr>
                <w:rFonts w:hint="eastAsia" w:ascii="宋体" w:hAnsi="宋体" w:eastAsia="宋体" w:cs="仿宋"/>
                <w:sz w:val="24"/>
                <w:szCs w:val="24"/>
              </w:rPr>
              <w:t>支持不同的物理节点之间建立</w:t>
            </w:r>
            <w:r>
              <w:rPr>
                <w:rFonts w:ascii="宋体" w:hAnsi="宋体" w:eastAsia="宋体" w:cs="仿宋"/>
                <w:sz w:val="24"/>
                <w:szCs w:val="24"/>
              </w:rPr>
              <w:t>RAID</w:t>
            </w:r>
            <w:r>
              <w:rPr>
                <w:rFonts w:hint="eastAsia" w:ascii="宋体" w:hAnsi="宋体" w:eastAsia="宋体" w:cs="仿宋"/>
                <w:sz w:val="24"/>
                <w:szCs w:val="24"/>
              </w:rPr>
              <w:t>，配置设备冗余后，当某个物理节点宕机后，整个系统的数据可以通过其他物理节点恢复；</w:t>
            </w:r>
          </w:p>
          <w:p>
            <w:pPr>
              <w:widowControl/>
              <w:spacing w:line="360" w:lineRule="auto"/>
              <w:rPr>
                <w:rFonts w:ascii="宋体" w:hAnsi="宋体" w:eastAsia="宋体" w:cs="仿宋"/>
                <w:sz w:val="24"/>
                <w:szCs w:val="24"/>
              </w:rPr>
            </w:pPr>
            <w:r>
              <w:rPr>
                <w:rFonts w:ascii="宋体" w:hAnsi="宋体" w:eastAsia="宋体" w:cs="仿宋"/>
                <w:sz w:val="24"/>
                <w:szCs w:val="24"/>
              </w:rPr>
              <w:t xml:space="preserve">4. </w:t>
            </w:r>
            <w:r>
              <w:rPr>
                <w:rFonts w:hint="eastAsia" w:ascii="宋体" w:hAnsi="宋体" w:eastAsia="宋体" w:cs="仿宋"/>
                <w:sz w:val="24"/>
                <w:szCs w:val="24"/>
              </w:rPr>
              <w:t>支持存储空间虚拟化管理。支持多存储设备容量整合，形成录像池；可根据用户业务分配通用、文件、视频、图片等类型存储空间；支持在线弹性伸缩录像池的容量空间，不影响业务继续读写</w:t>
            </w:r>
          </w:p>
          <w:p>
            <w:pPr>
              <w:widowControl/>
              <w:spacing w:line="360" w:lineRule="auto"/>
              <w:rPr>
                <w:rFonts w:ascii="宋体" w:hAnsi="宋体" w:eastAsia="宋体" w:cs="仿宋"/>
                <w:sz w:val="24"/>
                <w:szCs w:val="24"/>
              </w:rPr>
            </w:pPr>
            <w:r>
              <w:rPr>
                <w:rFonts w:ascii="宋体" w:hAnsi="宋体" w:eastAsia="宋体" w:cs="仿宋"/>
                <w:sz w:val="24"/>
                <w:szCs w:val="24"/>
              </w:rPr>
              <w:t xml:space="preserve">5. </w:t>
            </w:r>
            <w:r>
              <w:rPr>
                <w:rFonts w:hint="eastAsia" w:ascii="宋体" w:hAnsi="宋体" w:eastAsia="宋体" w:cs="仿宋"/>
                <w:sz w:val="24"/>
                <w:szCs w:val="24"/>
              </w:rPr>
              <w:t>具有图片存储优化，具有大量图片高并发既存既取能力，支持图片</w:t>
            </w:r>
            <w:r>
              <w:rPr>
                <w:rFonts w:ascii="宋体" w:hAnsi="宋体" w:eastAsia="宋体" w:cs="仿宋"/>
                <w:sz w:val="24"/>
                <w:szCs w:val="24"/>
              </w:rPr>
              <w:t>URL</w:t>
            </w:r>
            <w:r>
              <w:rPr>
                <w:rFonts w:hint="eastAsia" w:ascii="宋体" w:hAnsi="宋体" w:eastAsia="宋体" w:cs="仿宋"/>
                <w:sz w:val="24"/>
                <w:szCs w:val="24"/>
              </w:rPr>
              <w:t>加密功能；</w:t>
            </w:r>
          </w:p>
          <w:p>
            <w:pPr>
              <w:widowControl/>
              <w:spacing w:line="360" w:lineRule="auto"/>
              <w:rPr>
                <w:rFonts w:ascii="宋体" w:hAnsi="宋体" w:eastAsia="宋体" w:cs="仿宋"/>
                <w:sz w:val="24"/>
                <w:szCs w:val="24"/>
              </w:rPr>
            </w:pPr>
            <w:r>
              <w:rPr>
                <w:rFonts w:ascii="宋体" w:hAnsi="宋体" w:eastAsia="宋体" w:cs="仿宋"/>
                <w:sz w:val="24"/>
                <w:szCs w:val="24"/>
              </w:rPr>
              <w:t xml:space="preserve">6. </w:t>
            </w:r>
            <w:r>
              <w:rPr>
                <w:rFonts w:hint="eastAsia" w:ascii="宋体" w:hAnsi="宋体" w:eastAsia="宋体" w:cs="仿宋"/>
                <w:kern w:val="0"/>
                <w:sz w:val="24"/>
                <w:szCs w:val="24"/>
              </w:rPr>
              <w:t>▲</w:t>
            </w:r>
            <w:r>
              <w:rPr>
                <w:rFonts w:hint="eastAsia" w:ascii="宋体" w:hAnsi="宋体" w:eastAsia="宋体" w:cs="仿宋"/>
                <w:sz w:val="24"/>
                <w:szCs w:val="24"/>
              </w:rPr>
              <w:t>支持磁盘自动修复功能，当磁盘发生非物理性损坏导致读写中断等异常时，设备可自动判断磁盘损坏程度，可通过磁盘冷启动进行恢复操作，业务不中断；支持将损坏</w:t>
            </w:r>
            <w:r>
              <w:rPr>
                <w:rFonts w:ascii="宋体" w:hAnsi="宋体" w:eastAsia="宋体" w:cs="仿宋"/>
                <w:sz w:val="24"/>
                <w:szCs w:val="24"/>
              </w:rPr>
              <w:t>RAID</w:t>
            </w:r>
            <w:r>
              <w:rPr>
                <w:rFonts w:hint="eastAsia" w:ascii="宋体" w:hAnsi="宋体" w:eastAsia="宋体" w:cs="仿宋"/>
                <w:sz w:val="24"/>
                <w:szCs w:val="24"/>
              </w:rPr>
              <w:t>按照</w:t>
            </w:r>
            <w:r>
              <w:rPr>
                <w:rFonts w:ascii="宋体" w:hAnsi="宋体" w:eastAsia="宋体" w:cs="仿宋"/>
                <w:sz w:val="24"/>
                <w:szCs w:val="24"/>
              </w:rPr>
              <w:t>RAID</w:t>
            </w:r>
            <w:r>
              <w:rPr>
                <w:rFonts w:hint="eastAsia" w:ascii="宋体" w:hAnsi="宋体" w:eastAsia="宋体" w:cs="仿宋"/>
                <w:sz w:val="24"/>
                <w:szCs w:val="24"/>
              </w:rPr>
              <w:t>损坏等级进行重构，可优先对标记重要的特定文件中的数据进行重构，重构过程不影响录像功能；</w:t>
            </w:r>
          </w:p>
          <w:p>
            <w:pPr>
              <w:widowControl/>
              <w:spacing w:line="360" w:lineRule="auto"/>
              <w:rPr>
                <w:rFonts w:ascii="宋体" w:hAnsi="宋体" w:eastAsia="宋体" w:cs="仿宋"/>
                <w:sz w:val="24"/>
                <w:szCs w:val="24"/>
              </w:rPr>
            </w:pPr>
            <w:r>
              <w:rPr>
                <w:rFonts w:ascii="宋体" w:hAnsi="宋体" w:eastAsia="宋体" w:cs="仿宋"/>
                <w:sz w:val="24"/>
                <w:szCs w:val="24"/>
              </w:rPr>
              <w:t xml:space="preserve">7. </w:t>
            </w:r>
            <w:r>
              <w:rPr>
                <w:rFonts w:hint="eastAsia" w:ascii="宋体" w:hAnsi="宋体" w:eastAsia="宋体" w:cs="仿宋"/>
                <w:sz w:val="24"/>
                <w:szCs w:val="24"/>
              </w:rPr>
              <w:t>支持故障隔离功能，存储业务模块可存放在不同容器中，一个业务模块故障时，不影响其它业务模块，系统可自动重启业务模块并恢复原有业务；</w:t>
            </w:r>
            <w:r>
              <w:rPr>
                <w:rFonts w:ascii="宋体" w:hAnsi="宋体" w:eastAsia="宋体" w:cs="仿宋"/>
                <w:sz w:val="24"/>
                <w:szCs w:val="24"/>
              </w:rPr>
              <w:t xml:space="preserve"> </w:t>
            </w:r>
          </w:p>
          <w:p>
            <w:pPr>
              <w:widowControl/>
              <w:spacing w:line="360" w:lineRule="auto"/>
              <w:rPr>
                <w:rFonts w:ascii="宋体" w:hAnsi="宋体" w:eastAsia="宋体" w:cs="仿宋"/>
                <w:sz w:val="24"/>
                <w:szCs w:val="24"/>
              </w:rPr>
            </w:pPr>
            <w:r>
              <w:rPr>
                <w:rFonts w:ascii="宋体" w:hAnsi="宋体" w:eastAsia="宋体" w:cs="仿宋"/>
                <w:sz w:val="24"/>
                <w:szCs w:val="24"/>
              </w:rPr>
              <w:t xml:space="preserve">8. </w:t>
            </w:r>
            <w:r>
              <w:rPr>
                <w:rFonts w:hint="eastAsia" w:ascii="宋体" w:hAnsi="宋体" w:eastAsia="宋体" w:cs="仿宋"/>
                <w:sz w:val="24"/>
                <w:szCs w:val="24"/>
              </w:rPr>
              <w:t>支持离线数据保护，可在操作界面查看数据重构状态，磁盘或节点离线并重新插回后，可在界面显示离线磁盘或节点的数据重构过程，离线前数据不丢失；</w:t>
            </w:r>
            <w:r>
              <w:rPr>
                <w:rFonts w:ascii="宋体" w:hAnsi="宋体" w:eastAsia="宋体" w:cs="仿宋"/>
                <w:sz w:val="24"/>
                <w:szCs w:val="24"/>
              </w:rPr>
              <w:t xml:space="preserve"> </w:t>
            </w:r>
          </w:p>
          <w:p>
            <w:pPr>
              <w:widowControl/>
              <w:spacing w:line="360" w:lineRule="auto"/>
              <w:rPr>
                <w:rFonts w:ascii="宋体" w:hAnsi="宋体" w:eastAsia="宋体" w:cs="仿宋"/>
                <w:sz w:val="24"/>
                <w:szCs w:val="24"/>
              </w:rPr>
            </w:pPr>
            <w:r>
              <w:rPr>
                <w:rFonts w:ascii="宋体" w:hAnsi="宋体" w:eastAsia="宋体" w:cs="仿宋"/>
                <w:sz w:val="24"/>
                <w:szCs w:val="24"/>
              </w:rPr>
              <w:t xml:space="preserve">9. </w:t>
            </w:r>
            <w:r>
              <w:rPr>
                <w:rFonts w:hint="eastAsia" w:ascii="宋体" w:hAnsi="宋体" w:eastAsia="宋体" w:cs="仿宋"/>
                <w:sz w:val="24"/>
                <w:szCs w:val="24"/>
              </w:rPr>
              <w:t>支持硬盘体检功能，支持硬盘体检报告、磁盘深度体检与磁盘档案查看，支持图形化显示硬盘生命周期曲线、显示硬盘原始数据读取错误率、上电时间、上电时长计数、意外断电计数、重映射扇区数、磁盘振动等多种硬盘相关健康值；</w:t>
            </w:r>
          </w:p>
          <w:p>
            <w:pPr>
              <w:widowControl/>
              <w:spacing w:line="360" w:lineRule="auto"/>
              <w:rPr>
                <w:rFonts w:ascii="宋体" w:hAnsi="宋体" w:eastAsia="宋体" w:cs="仿宋"/>
                <w:sz w:val="24"/>
                <w:szCs w:val="24"/>
              </w:rPr>
            </w:pPr>
            <w:r>
              <w:rPr>
                <w:rFonts w:hint="eastAsia" w:ascii="宋体" w:hAnsi="宋体" w:eastAsia="宋体" w:cs="仿宋"/>
                <w:kern w:val="0"/>
                <w:sz w:val="24"/>
                <w:szCs w:val="24"/>
              </w:rPr>
              <w:t>以上加“▲”项需提供公安部所属检验机构出具的检测报告复印件，并加盖投标人鲜章。</w:t>
            </w:r>
          </w:p>
        </w:tc>
        <w:tc>
          <w:tcPr>
            <w:tcW w:w="336"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台</w:t>
            </w:r>
          </w:p>
        </w:tc>
        <w:tc>
          <w:tcPr>
            <w:tcW w:w="335" w:type="pct"/>
            <w:noWrap/>
            <w:vAlign w:val="center"/>
          </w:tcPr>
          <w:p>
            <w:pPr>
              <w:widowControl/>
              <w:spacing w:line="360" w:lineRule="auto"/>
              <w:jc w:val="center"/>
              <w:rPr>
                <w:rFonts w:ascii="宋体" w:hAnsi="宋体" w:eastAsia="宋体" w:cs="仿宋"/>
                <w:kern w:val="0"/>
                <w:sz w:val="24"/>
                <w:szCs w:val="24"/>
              </w:rPr>
            </w:pPr>
            <w:r>
              <w:rPr>
                <w:rFonts w:ascii="宋体" w:hAnsi="宋体" w:eastAsia="宋体" w:cs="仿宋"/>
                <w:kern w:val="0"/>
                <w:sz w:val="24"/>
                <w:szCs w:val="24"/>
              </w:rPr>
              <w:t>4</w:t>
            </w:r>
          </w:p>
        </w:tc>
        <w:tc>
          <w:tcPr>
            <w:tcW w:w="344" w:type="pct"/>
            <w:noWrap/>
            <w:vAlign w:val="center"/>
          </w:tcPr>
          <w:p>
            <w:pPr>
              <w:widowControl/>
              <w:spacing w:line="360" w:lineRule="auto"/>
              <w:jc w:val="center"/>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33"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3</w:t>
            </w:r>
          </w:p>
        </w:tc>
        <w:tc>
          <w:tcPr>
            <w:tcW w:w="583"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云存储软件</w:t>
            </w:r>
          </w:p>
        </w:tc>
        <w:tc>
          <w:tcPr>
            <w:tcW w:w="2969" w:type="pct"/>
            <w:vAlign w:val="center"/>
          </w:tcPr>
          <w:p>
            <w:pPr>
              <w:widowControl/>
              <w:spacing w:line="360" w:lineRule="auto"/>
              <w:rPr>
                <w:rFonts w:ascii="宋体" w:hAnsi="宋体" w:eastAsia="宋体" w:cs="仿宋"/>
                <w:kern w:val="0"/>
                <w:sz w:val="24"/>
                <w:szCs w:val="24"/>
              </w:rPr>
            </w:pPr>
            <w:r>
              <w:rPr>
                <w:rFonts w:ascii="宋体" w:hAnsi="宋体" w:eastAsia="宋体" w:cs="仿宋"/>
                <w:kern w:val="0"/>
                <w:sz w:val="24"/>
                <w:szCs w:val="24"/>
              </w:rPr>
              <w:t>1.</w:t>
            </w:r>
            <w:r>
              <w:rPr>
                <w:rFonts w:ascii="宋体" w:hAnsi="宋体" w:eastAsia="宋体" w:cs="仿宋"/>
                <w:kern w:val="0"/>
                <w:sz w:val="24"/>
                <w:szCs w:val="24"/>
              </w:rPr>
              <w:tab/>
            </w:r>
            <w:r>
              <w:rPr>
                <w:rFonts w:hint="eastAsia" w:ascii="宋体" w:hAnsi="宋体" w:eastAsia="宋体" w:cs="仿宋"/>
                <w:kern w:val="0"/>
                <w:sz w:val="24"/>
                <w:szCs w:val="24"/>
              </w:rPr>
              <w:t>具备分布式对称架构与非对称架构自由切换功能；</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2.</w:t>
            </w:r>
            <w:r>
              <w:rPr>
                <w:rFonts w:ascii="宋体" w:hAnsi="宋体" w:eastAsia="宋体" w:cs="仿宋"/>
                <w:kern w:val="0"/>
                <w:sz w:val="24"/>
                <w:szCs w:val="24"/>
              </w:rPr>
              <w:tab/>
            </w:r>
            <w:r>
              <w:rPr>
                <w:rFonts w:hint="eastAsia" w:ascii="宋体" w:hAnsi="宋体" w:eastAsia="宋体" w:cs="仿宋"/>
                <w:kern w:val="0"/>
                <w:sz w:val="24"/>
                <w:szCs w:val="24"/>
              </w:rPr>
              <w:t>一套云存储系统可对外提供多种类型数据混合存储，同时支持分布式流式存储，分布式对象存储、分布式文件存储、分布式块存储；</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3.</w:t>
            </w:r>
            <w:r>
              <w:rPr>
                <w:rFonts w:ascii="宋体" w:hAnsi="宋体" w:eastAsia="宋体" w:cs="仿宋"/>
                <w:kern w:val="0"/>
                <w:sz w:val="24"/>
                <w:szCs w:val="24"/>
              </w:rPr>
              <w:tab/>
            </w:r>
            <w:r>
              <w:rPr>
                <w:rFonts w:hint="eastAsia" w:ascii="宋体" w:hAnsi="宋体" w:eastAsia="宋体" w:cs="仿宋"/>
                <w:kern w:val="0"/>
                <w:sz w:val="24"/>
                <w:szCs w:val="24"/>
              </w:rPr>
              <w:t>具备聚合下载功能，并发从多台存储节点中下载某一个时间段录像、图片、智能结构化数据、文件；</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4.</w:t>
            </w:r>
            <w:r>
              <w:rPr>
                <w:rFonts w:ascii="宋体" w:hAnsi="宋体" w:eastAsia="宋体" w:cs="仿宋"/>
                <w:kern w:val="0"/>
                <w:sz w:val="24"/>
                <w:szCs w:val="24"/>
              </w:rPr>
              <w:tab/>
            </w:r>
            <w:r>
              <w:rPr>
                <w:rFonts w:hint="eastAsia" w:ascii="宋体" w:hAnsi="宋体" w:eastAsia="宋体" w:cs="仿宋"/>
                <w:kern w:val="0"/>
                <w:sz w:val="24"/>
                <w:szCs w:val="24"/>
              </w:rPr>
              <w:t>具备统一命名空间功能，所有物理存储资源虚拟化成统一的存储空间，以唯一业务</w:t>
            </w:r>
            <w:r>
              <w:rPr>
                <w:rFonts w:ascii="宋体" w:hAnsi="宋体" w:eastAsia="宋体" w:cs="仿宋"/>
                <w:kern w:val="0"/>
                <w:sz w:val="24"/>
                <w:szCs w:val="24"/>
              </w:rPr>
              <w:t>IP</w:t>
            </w:r>
            <w:r>
              <w:rPr>
                <w:rFonts w:hint="eastAsia" w:ascii="宋体" w:hAnsi="宋体" w:eastAsia="宋体" w:cs="仿宋"/>
                <w:kern w:val="0"/>
                <w:sz w:val="24"/>
                <w:szCs w:val="24"/>
              </w:rPr>
              <w:t>地址对外提供存储服务；</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5.</w:t>
            </w:r>
            <w:r>
              <w:rPr>
                <w:rFonts w:ascii="宋体" w:hAnsi="宋体" w:eastAsia="宋体" w:cs="仿宋"/>
                <w:kern w:val="0"/>
                <w:sz w:val="24"/>
                <w:szCs w:val="24"/>
              </w:rPr>
              <w:tab/>
            </w:r>
            <w:r>
              <w:rPr>
                <w:rFonts w:hint="eastAsia" w:ascii="宋体" w:hAnsi="宋体" w:eastAsia="宋体" w:cs="仿宋"/>
                <w:kern w:val="0"/>
                <w:sz w:val="24"/>
                <w:szCs w:val="24"/>
              </w:rPr>
              <w:t>具备存储空间虚拟化管理，支持多存储设备容量整合，形成录像池；可根据用户业务分配通用、文件、视频、图片等类型存储空间；支持在线弹性伸缩录像池的容量空间，不影响业务继续读写；</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6.</w:t>
            </w:r>
            <w:r>
              <w:rPr>
                <w:rFonts w:ascii="宋体" w:hAnsi="宋体" w:eastAsia="宋体" w:cs="仿宋"/>
                <w:kern w:val="0"/>
                <w:sz w:val="24"/>
                <w:szCs w:val="24"/>
              </w:rPr>
              <w:tab/>
            </w:r>
            <w:r>
              <w:rPr>
                <w:rFonts w:hint="eastAsia" w:ascii="宋体" w:hAnsi="宋体" w:eastAsia="宋体" w:cs="仿宋"/>
                <w:kern w:val="0"/>
                <w:sz w:val="24"/>
                <w:szCs w:val="24"/>
              </w:rPr>
              <w:t>数据分散可存储节点上，数据呈离散式分布；</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7.</w:t>
            </w:r>
            <w:r>
              <w:rPr>
                <w:rFonts w:ascii="宋体" w:hAnsi="宋体" w:eastAsia="宋体" w:cs="仿宋"/>
                <w:kern w:val="0"/>
                <w:sz w:val="24"/>
                <w:szCs w:val="24"/>
              </w:rPr>
              <w:tab/>
            </w:r>
            <w:r>
              <w:rPr>
                <w:rFonts w:hint="eastAsia" w:ascii="宋体" w:hAnsi="宋体" w:eastAsia="宋体" w:cs="宋体"/>
                <w:kern w:val="0"/>
                <w:sz w:val="24"/>
                <w:szCs w:val="24"/>
              </w:rPr>
              <w:t>▲</w:t>
            </w:r>
            <w:r>
              <w:rPr>
                <w:rFonts w:hint="eastAsia" w:ascii="宋体" w:hAnsi="宋体" w:eastAsia="宋体" w:cs="仿宋"/>
                <w:kern w:val="0"/>
                <w:sz w:val="24"/>
                <w:szCs w:val="24"/>
              </w:rPr>
              <w:t>可按照设备可用容量实现负载均衡，各存储节点上存储的数据量在稳定状态下保持均衡，差距≤</w:t>
            </w:r>
            <w:r>
              <w:rPr>
                <w:rFonts w:ascii="宋体" w:hAnsi="宋体" w:eastAsia="宋体" w:cs="仿宋"/>
                <w:kern w:val="0"/>
                <w:sz w:val="24"/>
                <w:szCs w:val="24"/>
              </w:rPr>
              <w:t>5%</w:t>
            </w:r>
            <w:r>
              <w:rPr>
                <w:rFonts w:hint="eastAsia" w:ascii="宋体" w:hAnsi="宋体" w:eastAsia="宋体" w:cs="仿宋"/>
                <w:kern w:val="0"/>
                <w:sz w:val="24"/>
                <w:szCs w:val="24"/>
              </w:rPr>
              <w:t>；</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8.</w:t>
            </w:r>
            <w:r>
              <w:rPr>
                <w:rFonts w:ascii="宋体" w:hAnsi="宋体" w:eastAsia="宋体" w:cs="仿宋"/>
                <w:kern w:val="0"/>
                <w:sz w:val="24"/>
                <w:szCs w:val="24"/>
              </w:rPr>
              <w:tab/>
            </w:r>
            <w:r>
              <w:rPr>
                <w:rFonts w:hint="eastAsia" w:ascii="宋体" w:hAnsi="宋体" w:eastAsia="宋体" w:cs="宋体"/>
                <w:kern w:val="0"/>
                <w:sz w:val="24"/>
                <w:szCs w:val="24"/>
              </w:rPr>
              <w:t>▲</w:t>
            </w:r>
            <w:r>
              <w:rPr>
                <w:rFonts w:hint="eastAsia" w:ascii="宋体" w:hAnsi="宋体" w:eastAsia="宋体" w:cs="仿宋"/>
                <w:kern w:val="0"/>
                <w:sz w:val="24"/>
                <w:szCs w:val="24"/>
              </w:rPr>
              <w:t>可按照接入任务数实现自动负载均衡，前端设备可自动分配到存储节点，各节点间读写任务数差距≤±</w:t>
            </w:r>
            <w:r>
              <w:rPr>
                <w:rFonts w:ascii="宋体" w:hAnsi="宋体" w:eastAsia="宋体" w:cs="仿宋"/>
                <w:kern w:val="0"/>
                <w:sz w:val="24"/>
                <w:szCs w:val="24"/>
              </w:rPr>
              <w:t>1</w:t>
            </w:r>
            <w:r>
              <w:rPr>
                <w:rFonts w:hint="eastAsia" w:ascii="宋体" w:hAnsi="宋体" w:eastAsia="宋体" w:cs="仿宋"/>
                <w:kern w:val="0"/>
                <w:sz w:val="24"/>
                <w:szCs w:val="24"/>
              </w:rPr>
              <w:t>；</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9.</w:t>
            </w:r>
            <w:r>
              <w:rPr>
                <w:rFonts w:ascii="宋体" w:hAnsi="宋体" w:eastAsia="宋体" w:cs="仿宋"/>
                <w:kern w:val="0"/>
                <w:sz w:val="24"/>
                <w:szCs w:val="24"/>
              </w:rPr>
              <w:tab/>
            </w:r>
            <w:r>
              <w:rPr>
                <w:rFonts w:hint="eastAsia" w:ascii="宋体" w:hAnsi="宋体" w:eastAsia="宋体" w:cs="仿宋"/>
                <w:kern w:val="0"/>
                <w:sz w:val="24"/>
                <w:szCs w:val="24"/>
              </w:rPr>
              <w:t>可采用</w:t>
            </w:r>
            <w:r>
              <w:rPr>
                <w:rFonts w:ascii="宋体" w:hAnsi="宋体" w:eastAsia="宋体" w:cs="仿宋"/>
                <w:kern w:val="0"/>
                <w:sz w:val="24"/>
                <w:szCs w:val="24"/>
              </w:rPr>
              <w:t>RESTful</w:t>
            </w:r>
            <w:r>
              <w:rPr>
                <w:rFonts w:hint="eastAsia" w:ascii="宋体" w:hAnsi="宋体" w:eastAsia="宋体" w:cs="仿宋"/>
                <w:kern w:val="0"/>
                <w:sz w:val="24"/>
                <w:szCs w:val="24"/>
              </w:rPr>
              <w:t>协议直存图片到云存储系统中，并在图片写入后</w:t>
            </w:r>
            <w:r>
              <w:rPr>
                <w:rFonts w:ascii="宋体" w:hAnsi="宋体" w:eastAsia="宋体" w:cs="仿宋"/>
                <w:kern w:val="0"/>
                <w:sz w:val="24"/>
                <w:szCs w:val="24"/>
              </w:rPr>
              <w:t>1s</w:t>
            </w:r>
            <w:r>
              <w:rPr>
                <w:rFonts w:hint="eastAsia" w:ascii="宋体" w:hAnsi="宋体" w:eastAsia="宋体" w:cs="仿宋"/>
                <w:kern w:val="0"/>
                <w:sz w:val="24"/>
                <w:szCs w:val="24"/>
              </w:rPr>
              <w:t>内回显及下载。</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以上加“▲”项需提供公安部所属检验机构出具的检测报告复印件，并加盖投标人鲜章。</w:t>
            </w:r>
          </w:p>
        </w:tc>
        <w:tc>
          <w:tcPr>
            <w:tcW w:w="336"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套</w:t>
            </w:r>
          </w:p>
        </w:tc>
        <w:tc>
          <w:tcPr>
            <w:tcW w:w="335"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344" w:type="pct"/>
            <w:noWrap/>
            <w:vAlign w:val="center"/>
          </w:tcPr>
          <w:p>
            <w:pPr>
              <w:widowControl/>
              <w:spacing w:line="360" w:lineRule="auto"/>
              <w:jc w:val="center"/>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433"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4</w:t>
            </w:r>
          </w:p>
        </w:tc>
        <w:tc>
          <w:tcPr>
            <w:tcW w:w="583"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多维数据存储节点</w:t>
            </w:r>
          </w:p>
        </w:tc>
        <w:tc>
          <w:tcPr>
            <w:tcW w:w="2969" w:type="pct"/>
            <w:vAlign w:val="center"/>
          </w:tcPr>
          <w:p>
            <w:pPr>
              <w:widowControl/>
              <w:spacing w:line="360" w:lineRule="auto"/>
              <w:rPr>
                <w:rFonts w:ascii="宋体" w:hAnsi="宋体" w:eastAsia="宋体" w:cs="仿宋"/>
                <w:kern w:val="0"/>
                <w:sz w:val="24"/>
                <w:szCs w:val="24"/>
              </w:rPr>
            </w:pPr>
            <w:r>
              <w:rPr>
                <w:rFonts w:ascii="宋体" w:hAnsi="宋体" w:eastAsia="宋体" w:cs="仿宋"/>
                <w:kern w:val="0"/>
                <w:sz w:val="24"/>
                <w:szCs w:val="24"/>
              </w:rPr>
              <w:t>1.</w:t>
            </w:r>
            <w:r>
              <w:rPr>
                <w:rFonts w:ascii="宋体" w:hAnsi="宋体" w:eastAsia="宋体" w:cs="仿宋"/>
                <w:kern w:val="0"/>
                <w:sz w:val="24"/>
                <w:szCs w:val="24"/>
              </w:rPr>
              <w:tab/>
            </w:r>
            <w:r>
              <w:rPr>
                <w:rFonts w:hint="eastAsia" w:ascii="宋体" w:hAnsi="宋体" w:eastAsia="宋体" w:cs="仿宋"/>
                <w:kern w:val="0"/>
                <w:sz w:val="24"/>
                <w:szCs w:val="24"/>
              </w:rPr>
              <w:t>处理器≥</w:t>
            </w:r>
            <w:r>
              <w:rPr>
                <w:rFonts w:ascii="宋体" w:hAnsi="宋体" w:eastAsia="宋体" w:cs="仿宋"/>
                <w:kern w:val="0"/>
                <w:sz w:val="24"/>
                <w:szCs w:val="24"/>
              </w:rPr>
              <w:t>2</w:t>
            </w:r>
            <w:r>
              <w:rPr>
                <w:rFonts w:hint="eastAsia" w:ascii="宋体" w:hAnsi="宋体" w:eastAsia="宋体" w:cs="仿宋"/>
                <w:kern w:val="0"/>
                <w:sz w:val="24"/>
                <w:szCs w:val="24"/>
              </w:rPr>
              <w:t>颗</w:t>
            </w:r>
            <w:r>
              <w:rPr>
                <w:rFonts w:ascii="宋体" w:hAnsi="宋体" w:eastAsia="宋体" w:cs="仿宋"/>
                <w:kern w:val="0"/>
                <w:sz w:val="24"/>
                <w:szCs w:val="24"/>
              </w:rPr>
              <w:t>CPU</w:t>
            </w:r>
            <w:r>
              <w:rPr>
                <w:rFonts w:hint="eastAsia" w:ascii="宋体" w:hAnsi="宋体" w:eastAsia="宋体" w:cs="仿宋"/>
                <w:kern w:val="0"/>
                <w:sz w:val="24"/>
                <w:szCs w:val="24"/>
              </w:rPr>
              <w:t>、内存≥</w:t>
            </w:r>
            <w:r>
              <w:rPr>
                <w:rFonts w:ascii="宋体" w:hAnsi="宋体" w:eastAsia="宋体" w:cs="仿宋"/>
                <w:kern w:val="0"/>
                <w:sz w:val="24"/>
                <w:szCs w:val="24"/>
              </w:rPr>
              <w:t>256GB</w:t>
            </w:r>
            <w:r>
              <w:rPr>
                <w:rFonts w:hint="eastAsia" w:ascii="宋体" w:hAnsi="宋体" w:eastAsia="宋体" w:cs="仿宋"/>
                <w:kern w:val="0"/>
                <w:sz w:val="24"/>
                <w:szCs w:val="24"/>
              </w:rPr>
              <w:t>、硬盘≥</w:t>
            </w:r>
            <w:r>
              <w:rPr>
                <w:rFonts w:ascii="宋体" w:hAnsi="宋体" w:eastAsia="宋体" w:cs="仿宋"/>
                <w:kern w:val="0"/>
                <w:sz w:val="24"/>
                <w:szCs w:val="24"/>
              </w:rPr>
              <w:t>240G M.2*1</w:t>
            </w:r>
            <w:r>
              <w:rPr>
                <w:rFonts w:hint="eastAsia" w:ascii="宋体" w:hAnsi="宋体" w:eastAsia="宋体" w:cs="仿宋"/>
                <w:kern w:val="0"/>
                <w:sz w:val="24"/>
                <w:szCs w:val="24"/>
              </w:rPr>
              <w:t>（系统）</w:t>
            </w:r>
            <w:r>
              <w:rPr>
                <w:rFonts w:ascii="宋体" w:hAnsi="宋体" w:eastAsia="宋体" w:cs="仿宋"/>
                <w:kern w:val="0"/>
                <w:sz w:val="24"/>
                <w:szCs w:val="24"/>
              </w:rPr>
              <w:t>+240G SSD*1 + 480G SSD*6 + 2T 7.2K SATA*4(RAID10)</w:t>
            </w:r>
            <w:r>
              <w:rPr>
                <w:rFonts w:hint="eastAsia" w:ascii="宋体" w:hAnsi="宋体" w:eastAsia="宋体" w:cs="仿宋"/>
                <w:kern w:val="0"/>
                <w:sz w:val="24"/>
                <w:szCs w:val="24"/>
              </w:rPr>
              <w:t>，数据接口≥</w:t>
            </w:r>
            <w:r>
              <w:rPr>
                <w:rFonts w:ascii="宋体" w:hAnsi="宋体" w:eastAsia="宋体" w:cs="仿宋"/>
                <w:kern w:val="0"/>
                <w:sz w:val="24"/>
                <w:szCs w:val="24"/>
              </w:rPr>
              <w:t xml:space="preserve">OCP </w:t>
            </w:r>
            <w:r>
              <w:rPr>
                <w:rFonts w:hint="eastAsia" w:ascii="宋体" w:hAnsi="宋体" w:eastAsia="宋体" w:cs="仿宋"/>
                <w:kern w:val="0"/>
                <w:sz w:val="24"/>
                <w:szCs w:val="24"/>
              </w:rPr>
              <w:t>万兆光口</w:t>
            </w:r>
            <w:r>
              <w:rPr>
                <w:rFonts w:ascii="宋体" w:hAnsi="宋体" w:eastAsia="宋体" w:cs="仿宋"/>
                <w:kern w:val="0"/>
                <w:sz w:val="24"/>
                <w:szCs w:val="24"/>
              </w:rPr>
              <w:t xml:space="preserve">*2+ </w:t>
            </w:r>
            <w:r>
              <w:rPr>
                <w:rFonts w:hint="eastAsia" w:ascii="宋体" w:hAnsi="宋体" w:eastAsia="宋体" w:cs="仿宋"/>
                <w:kern w:val="0"/>
                <w:sz w:val="24"/>
                <w:szCs w:val="24"/>
              </w:rPr>
              <w:t>千兆电口</w:t>
            </w:r>
            <w:r>
              <w:rPr>
                <w:rFonts w:ascii="宋体" w:hAnsi="宋体" w:eastAsia="宋体" w:cs="仿宋"/>
                <w:kern w:val="0"/>
                <w:sz w:val="24"/>
                <w:szCs w:val="24"/>
              </w:rPr>
              <w:t>*2</w:t>
            </w:r>
            <w:r>
              <w:rPr>
                <w:rFonts w:hint="eastAsia" w:ascii="宋体" w:hAnsi="宋体" w:eastAsia="宋体" w:cs="仿宋"/>
                <w:kern w:val="0"/>
                <w:sz w:val="24"/>
                <w:szCs w:val="24"/>
              </w:rPr>
              <w:t>；</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2.</w:t>
            </w:r>
            <w:r>
              <w:rPr>
                <w:rFonts w:ascii="宋体" w:hAnsi="宋体" w:eastAsia="宋体" w:cs="仿宋"/>
                <w:kern w:val="0"/>
                <w:sz w:val="24"/>
                <w:szCs w:val="24"/>
              </w:rPr>
              <w:tab/>
            </w:r>
            <w:r>
              <w:rPr>
                <w:rFonts w:hint="eastAsia" w:ascii="宋体" w:hAnsi="宋体" w:eastAsia="宋体" w:cs="仿宋"/>
                <w:kern w:val="0"/>
                <w:sz w:val="24"/>
                <w:szCs w:val="24"/>
              </w:rPr>
              <w:t>基于</w:t>
            </w:r>
            <w:r>
              <w:rPr>
                <w:rFonts w:ascii="宋体" w:hAnsi="宋体" w:eastAsia="宋体" w:cs="仿宋"/>
                <w:kern w:val="0"/>
                <w:sz w:val="24"/>
                <w:szCs w:val="24"/>
              </w:rPr>
              <w:t>Hadoop</w:t>
            </w:r>
            <w:r>
              <w:rPr>
                <w:rFonts w:hint="eastAsia" w:ascii="宋体" w:hAnsi="宋体" w:eastAsia="宋体" w:cs="仿宋"/>
                <w:kern w:val="0"/>
                <w:sz w:val="24"/>
                <w:szCs w:val="24"/>
              </w:rPr>
              <w:t>的大数据基础平台，提供消息订阅</w:t>
            </w:r>
            <w:r>
              <w:rPr>
                <w:rFonts w:ascii="宋体" w:hAnsi="宋体" w:eastAsia="宋体" w:cs="仿宋"/>
                <w:kern w:val="0"/>
                <w:sz w:val="24"/>
                <w:szCs w:val="24"/>
              </w:rPr>
              <w:t>Kafka</w:t>
            </w:r>
            <w:r>
              <w:rPr>
                <w:rFonts w:hint="eastAsia" w:ascii="宋体" w:hAnsi="宋体" w:eastAsia="宋体" w:cs="仿宋"/>
                <w:kern w:val="0"/>
                <w:sz w:val="24"/>
                <w:szCs w:val="24"/>
              </w:rPr>
              <w:t>、分布式文件系统</w:t>
            </w:r>
            <w:r>
              <w:rPr>
                <w:rFonts w:ascii="宋体" w:hAnsi="宋体" w:eastAsia="宋体" w:cs="仿宋"/>
                <w:kern w:val="0"/>
                <w:sz w:val="24"/>
                <w:szCs w:val="24"/>
              </w:rPr>
              <w:t>HDFS</w:t>
            </w:r>
            <w:r>
              <w:rPr>
                <w:rFonts w:hint="eastAsia" w:ascii="宋体" w:hAnsi="宋体" w:eastAsia="宋体" w:cs="仿宋"/>
                <w:kern w:val="0"/>
                <w:sz w:val="24"/>
                <w:szCs w:val="24"/>
              </w:rPr>
              <w:t>、资源调度</w:t>
            </w:r>
            <w:r>
              <w:rPr>
                <w:rFonts w:ascii="宋体" w:hAnsi="宋体" w:eastAsia="宋体" w:cs="仿宋"/>
                <w:kern w:val="0"/>
                <w:sz w:val="24"/>
                <w:szCs w:val="24"/>
              </w:rPr>
              <w:t>Yarn</w:t>
            </w:r>
            <w:r>
              <w:rPr>
                <w:rFonts w:hint="eastAsia" w:ascii="宋体" w:hAnsi="宋体" w:eastAsia="宋体" w:cs="仿宋"/>
                <w:kern w:val="0"/>
                <w:sz w:val="24"/>
                <w:szCs w:val="24"/>
              </w:rPr>
              <w:t>、</w:t>
            </w:r>
            <w:r>
              <w:rPr>
                <w:rFonts w:ascii="宋体" w:hAnsi="宋体" w:eastAsia="宋体" w:cs="仿宋"/>
                <w:kern w:val="0"/>
                <w:sz w:val="24"/>
                <w:szCs w:val="24"/>
              </w:rPr>
              <w:t>NoSQL</w:t>
            </w:r>
            <w:r>
              <w:rPr>
                <w:rFonts w:hint="eastAsia" w:ascii="宋体" w:hAnsi="宋体" w:eastAsia="宋体" w:cs="仿宋"/>
                <w:kern w:val="0"/>
                <w:sz w:val="24"/>
                <w:szCs w:val="24"/>
              </w:rPr>
              <w:t>数据库</w:t>
            </w:r>
            <w:r>
              <w:rPr>
                <w:rFonts w:ascii="宋体" w:hAnsi="宋体" w:eastAsia="宋体" w:cs="仿宋"/>
                <w:kern w:val="0"/>
                <w:sz w:val="24"/>
                <w:szCs w:val="24"/>
              </w:rPr>
              <w:t>HBase</w:t>
            </w:r>
            <w:r>
              <w:rPr>
                <w:rFonts w:hint="eastAsia" w:ascii="宋体" w:hAnsi="宋体" w:eastAsia="宋体" w:cs="仿宋"/>
                <w:kern w:val="0"/>
                <w:sz w:val="24"/>
                <w:szCs w:val="24"/>
              </w:rPr>
              <w:t>、全文检索</w:t>
            </w:r>
            <w:r>
              <w:rPr>
                <w:rFonts w:ascii="宋体" w:hAnsi="宋体" w:eastAsia="宋体" w:cs="仿宋"/>
                <w:kern w:val="0"/>
                <w:sz w:val="24"/>
                <w:szCs w:val="24"/>
              </w:rPr>
              <w:t>ElasticSearch</w:t>
            </w:r>
            <w:r>
              <w:rPr>
                <w:rFonts w:hint="eastAsia" w:ascii="宋体" w:hAnsi="宋体" w:eastAsia="宋体" w:cs="仿宋"/>
                <w:kern w:val="0"/>
                <w:sz w:val="24"/>
                <w:szCs w:val="24"/>
              </w:rPr>
              <w:t>、内存计算框架</w:t>
            </w:r>
            <w:r>
              <w:rPr>
                <w:rFonts w:ascii="宋体" w:hAnsi="宋体" w:eastAsia="宋体" w:cs="仿宋"/>
                <w:kern w:val="0"/>
                <w:sz w:val="24"/>
                <w:szCs w:val="24"/>
              </w:rPr>
              <w:t>Spark</w:t>
            </w:r>
            <w:r>
              <w:rPr>
                <w:rFonts w:hint="eastAsia" w:ascii="宋体" w:hAnsi="宋体" w:eastAsia="宋体" w:cs="仿宋"/>
                <w:kern w:val="0"/>
                <w:sz w:val="24"/>
                <w:szCs w:val="24"/>
              </w:rPr>
              <w:t>、流计算</w:t>
            </w:r>
            <w:r>
              <w:rPr>
                <w:rFonts w:ascii="宋体" w:hAnsi="宋体" w:eastAsia="宋体" w:cs="仿宋"/>
                <w:kern w:val="0"/>
                <w:sz w:val="24"/>
                <w:szCs w:val="24"/>
              </w:rPr>
              <w:t>SparkStreaming</w:t>
            </w:r>
            <w:r>
              <w:rPr>
                <w:rFonts w:hint="eastAsia" w:ascii="宋体" w:hAnsi="宋体" w:eastAsia="宋体" w:cs="仿宋"/>
                <w:kern w:val="0"/>
                <w:sz w:val="24"/>
                <w:szCs w:val="24"/>
              </w:rPr>
              <w:t>、分布式协调</w:t>
            </w:r>
            <w:r>
              <w:rPr>
                <w:rFonts w:ascii="宋体" w:hAnsi="宋体" w:eastAsia="宋体" w:cs="仿宋"/>
                <w:kern w:val="0"/>
                <w:sz w:val="24"/>
                <w:szCs w:val="24"/>
              </w:rPr>
              <w:t>Zookeeper</w:t>
            </w:r>
            <w:r>
              <w:rPr>
                <w:rFonts w:hint="eastAsia" w:ascii="宋体" w:hAnsi="宋体" w:eastAsia="宋体" w:cs="仿宋"/>
                <w:kern w:val="0"/>
                <w:sz w:val="24"/>
                <w:szCs w:val="24"/>
              </w:rPr>
              <w:t>、工作流</w:t>
            </w:r>
            <w:r>
              <w:rPr>
                <w:rFonts w:ascii="宋体" w:hAnsi="宋体" w:eastAsia="宋体" w:cs="仿宋"/>
                <w:kern w:val="0"/>
                <w:sz w:val="24"/>
                <w:szCs w:val="24"/>
              </w:rPr>
              <w:t>Oozie</w:t>
            </w:r>
            <w:r>
              <w:rPr>
                <w:rFonts w:hint="eastAsia" w:ascii="宋体" w:hAnsi="宋体" w:eastAsia="宋体" w:cs="仿宋"/>
                <w:kern w:val="0"/>
                <w:sz w:val="24"/>
                <w:szCs w:val="24"/>
              </w:rPr>
              <w:t>、流计算</w:t>
            </w:r>
            <w:r>
              <w:rPr>
                <w:rFonts w:ascii="宋体" w:hAnsi="宋体" w:eastAsia="宋体" w:cs="仿宋"/>
                <w:kern w:val="0"/>
                <w:sz w:val="24"/>
                <w:szCs w:val="24"/>
              </w:rPr>
              <w:t>Flink</w:t>
            </w:r>
            <w:r>
              <w:rPr>
                <w:rFonts w:hint="eastAsia" w:ascii="宋体" w:hAnsi="宋体" w:eastAsia="宋体" w:cs="仿宋"/>
                <w:kern w:val="0"/>
                <w:sz w:val="24"/>
                <w:szCs w:val="24"/>
              </w:rPr>
              <w:t>、列式存储系统</w:t>
            </w:r>
            <w:r>
              <w:rPr>
                <w:rFonts w:ascii="宋体" w:hAnsi="宋体" w:eastAsia="宋体" w:cs="仿宋"/>
                <w:kern w:val="0"/>
                <w:sz w:val="24"/>
                <w:szCs w:val="24"/>
              </w:rPr>
              <w:t>Kudu</w:t>
            </w:r>
            <w:r>
              <w:rPr>
                <w:rFonts w:hint="eastAsia" w:ascii="宋体" w:hAnsi="宋体" w:eastAsia="宋体" w:cs="仿宋"/>
                <w:kern w:val="0"/>
                <w:sz w:val="24"/>
                <w:szCs w:val="24"/>
              </w:rPr>
              <w:t>、数据仓库</w:t>
            </w:r>
            <w:r>
              <w:rPr>
                <w:rFonts w:ascii="宋体" w:hAnsi="宋体" w:eastAsia="宋体" w:cs="仿宋"/>
                <w:kern w:val="0"/>
                <w:sz w:val="24"/>
                <w:szCs w:val="24"/>
              </w:rPr>
              <w:t>Hive</w:t>
            </w:r>
            <w:r>
              <w:rPr>
                <w:rFonts w:hint="eastAsia" w:ascii="宋体" w:hAnsi="宋体" w:eastAsia="宋体" w:cs="仿宋"/>
                <w:kern w:val="0"/>
                <w:sz w:val="24"/>
                <w:szCs w:val="24"/>
              </w:rPr>
              <w:t>、交互式引擎</w:t>
            </w:r>
            <w:r>
              <w:rPr>
                <w:rFonts w:ascii="宋体" w:hAnsi="宋体" w:eastAsia="宋体" w:cs="仿宋"/>
                <w:kern w:val="0"/>
                <w:sz w:val="24"/>
                <w:szCs w:val="24"/>
              </w:rPr>
              <w:t>Impala</w:t>
            </w:r>
            <w:r>
              <w:rPr>
                <w:rFonts w:hint="eastAsia" w:ascii="宋体" w:hAnsi="宋体" w:eastAsia="宋体" w:cs="仿宋"/>
                <w:kern w:val="0"/>
                <w:sz w:val="24"/>
                <w:szCs w:val="24"/>
              </w:rPr>
              <w:t>、文件存储</w:t>
            </w:r>
            <w:r>
              <w:rPr>
                <w:rFonts w:ascii="宋体" w:hAnsi="宋体" w:eastAsia="宋体" w:cs="仿宋"/>
                <w:kern w:val="0"/>
                <w:sz w:val="24"/>
                <w:szCs w:val="24"/>
              </w:rPr>
              <w:t>MongoDB</w:t>
            </w:r>
            <w:r>
              <w:rPr>
                <w:rFonts w:hint="eastAsia" w:ascii="宋体" w:hAnsi="宋体" w:eastAsia="宋体" w:cs="仿宋"/>
                <w:kern w:val="0"/>
                <w:sz w:val="24"/>
                <w:szCs w:val="24"/>
              </w:rPr>
              <w:t>、内存数据库</w:t>
            </w:r>
            <w:r>
              <w:rPr>
                <w:rFonts w:ascii="宋体" w:hAnsi="宋体" w:eastAsia="宋体" w:cs="仿宋"/>
                <w:kern w:val="0"/>
                <w:sz w:val="24"/>
                <w:szCs w:val="24"/>
              </w:rPr>
              <w:t>Redis</w:t>
            </w:r>
            <w:r>
              <w:rPr>
                <w:rFonts w:hint="eastAsia" w:ascii="宋体" w:hAnsi="宋体" w:eastAsia="宋体" w:cs="仿宋"/>
                <w:kern w:val="0"/>
                <w:sz w:val="24"/>
                <w:szCs w:val="24"/>
              </w:rPr>
              <w:t>、图数据库等基础组件；</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3.</w:t>
            </w:r>
            <w:r>
              <w:rPr>
                <w:rFonts w:ascii="宋体" w:hAnsi="宋体" w:eastAsia="宋体" w:cs="仿宋"/>
                <w:kern w:val="0"/>
                <w:sz w:val="24"/>
                <w:szCs w:val="24"/>
              </w:rPr>
              <w:tab/>
            </w:r>
            <w:r>
              <w:rPr>
                <w:rFonts w:hint="eastAsia" w:ascii="宋体" w:hAnsi="宋体" w:eastAsia="宋体" w:cs="仿宋"/>
                <w:kern w:val="0"/>
                <w:sz w:val="24"/>
                <w:szCs w:val="24"/>
              </w:rPr>
              <w:t>提供一站式大数据运维管理平台，具备自动安装部署、集群管理、服务管理、告警管理、系统监控、日志管理、备份管理、审计管理、租户管理、用户管理、系统配置等运维管理功能；</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4.</w:t>
            </w:r>
            <w:r>
              <w:rPr>
                <w:rFonts w:ascii="宋体" w:hAnsi="宋体" w:eastAsia="宋体" w:cs="仿宋"/>
                <w:kern w:val="0"/>
                <w:sz w:val="24"/>
                <w:szCs w:val="24"/>
              </w:rPr>
              <w:tab/>
            </w:r>
            <w:r>
              <w:rPr>
                <w:rFonts w:hint="eastAsia" w:ascii="宋体" w:hAnsi="宋体" w:eastAsia="宋体" w:cs="仿宋"/>
                <w:kern w:val="0"/>
                <w:sz w:val="24"/>
                <w:szCs w:val="24"/>
              </w:rPr>
              <w:t>面向分布式服务的监控告警，提供高可靠、安全、易用的集群监控能力，集采集、存储、展示、分析于一体；</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5.</w:t>
            </w:r>
            <w:r>
              <w:rPr>
                <w:rFonts w:ascii="宋体" w:hAnsi="宋体" w:eastAsia="宋体" w:cs="仿宋"/>
                <w:kern w:val="0"/>
                <w:sz w:val="24"/>
                <w:szCs w:val="24"/>
              </w:rPr>
              <w:tab/>
            </w:r>
            <w:r>
              <w:rPr>
                <w:rFonts w:hint="eastAsia" w:ascii="宋体" w:hAnsi="宋体" w:eastAsia="宋体" w:cs="仿宋"/>
                <w:kern w:val="0"/>
                <w:sz w:val="24"/>
                <w:szCs w:val="24"/>
              </w:rPr>
              <w:t>具备统一元数据管理、数据接入与数据处理结果被元数据中心统一管理，并由元数据中心统一维护数据血缘；</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6.</w:t>
            </w:r>
            <w:r>
              <w:rPr>
                <w:rFonts w:ascii="宋体" w:hAnsi="宋体" w:eastAsia="宋体" w:cs="仿宋"/>
                <w:kern w:val="0"/>
                <w:sz w:val="24"/>
                <w:szCs w:val="24"/>
              </w:rPr>
              <w:tab/>
            </w:r>
            <w:r>
              <w:rPr>
                <w:rFonts w:hint="eastAsia" w:ascii="宋体" w:hAnsi="宋体" w:eastAsia="宋体" w:cs="仿宋"/>
                <w:kern w:val="0"/>
                <w:sz w:val="24"/>
                <w:szCs w:val="24"/>
              </w:rPr>
              <w:t>提供集中鉴权管理服务，通过鉴权中心记录的租户相关信息分割集群资源，防止资源的过度占用；</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7.</w:t>
            </w:r>
            <w:r>
              <w:rPr>
                <w:rFonts w:ascii="宋体" w:hAnsi="宋体" w:eastAsia="宋体" w:cs="仿宋"/>
                <w:kern w:val="0"/>
                <w:sz w:val="24"/>
                <w:szCs w:val="24"/>
              </w:rPr>
              <w:tab/>
            </w:r>
            <w:r>
              <w:rPr>
                <w:rFonts w:hint="eastAsia" w:ascii="宋体" w:hAnsi="宋体" w:eastAsia="宋体" w:cs="仿宋"/>
                <w:kern w:val="0"/>
                <w:sz w:val="24"/>
                <w:szCs w:val="24"/>
              </w:rPr>
              <w:t>基于容器化技术服务部署实现多租户资源隔离，支持同一服务多实例部署，提升异构环境的资源利用率，提升多组织共享存储计算资源场景下的数据安全性，有效解决集群异构硬件环境的混合部署或升级；</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8.</w:t>
            </w:r>
            <w:r>
              <w:rPr>
                <w:rFonts w:ascii="宋体" w:hAnsi="宋体" w:eastAsia="宋体" w:cs="仿宋"/>
                <w:kern w:val="0"/>
                <w:sz w:val="24"/>
                <w:szCs w:val="24"/>
              </w:rPr>
              <w:tab/>
            </w:r>
            <w:r>
              <w:rPr>
                <w:rFonts w:hint="eastAsia" w:ascii="宋体" w:hAnsi="宋体" w:eastAsia="宋体" w:cs="仿宋"/>
                <w:kern w:val="0"/>
                <w:sz w:val="24"/>
                <w:szCs w:val="24"/>
              </w:rPr>
              <w:t>全栈技术组件支持</w:t>
            </w:r>
            <w:r>
              <w:rPr>
                <w:rFonts w:ascii="宋体" w:hAnsi="宋体" w:eastAsia="宋体" w:cs="仿宋"/>
                <w:kern w:val="0"/>
                <w:sz w:val="24"/>
                <w:szCs w:val="24"/>
              </w:rPr>
              <w:t>Kerberos</w:t>
            </w:r>
            <w:r>
              <w:rPr>
                <w:rFonts w:hint="eastAsia" w:ascii="宋体" w:hAnsi="宋体" w:eastAsia="宋体" w:cs="仿宋"/>
                <w:kern w:val="0"/>
                <w:sz w:val="24"/>
                <w:szCs w:val="24"/>
              </w:rPr>
              <w:t>安全认证，提供安全模式和普通模式两种服务；</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9.</w:t>
            </w:r>
            <w:r>
              <w:rPr>
                <w:rFonts w:ascii="宋体" w:hAnsi="宋体" w:eastAsia="宋体" w:cs="仿宋"/>
                <w:kern w:val="0"/>
                <w:sz w:val="24"/>
                <w:szCs w:val="24"/>
              </w:rPr>
              <w:tab/>
            </w:r>
            <w:r>
              <w:rPr>
                <w:rFonts w:hint="eastAsia" w:ascii="宋体" w:hAnsi="宋体" w:eastAsia="宋体" w:cs="仿宋"/>
                <w:kern w:val="0"/>
                <w:sz w:val="24"/>
                <w:szCs w:val="24"/>
              </w:rPr>
              <w:t>数据存储支持多副本写入，至少包含</w:t>
            </w:r>
            <w:r>
              <w:rPr>
                <w:rFonts w:ascii="宋体" w:hAnsi="宋体" w:eastAsia="宋体" w:cs="仿宋"/>
                <w:kern w:val="0"/>
                <w:sz w:val="24"/>
                <w:szCs w:val="24"/>
              </w:rPr>
              <w:t>3</w:t>
            </w:r>
            <w:r>
              <w:rPr>
                <w:rFonts w:hint="eastAsia" w:ascii="宋体" w:hAnsi="宋体" w:eastAsia="宋体" w:cs="仿宋"/>
                <w:kern w:val="0"/>
                <w:sz w:val="24"/>
                <w:szCs w:val="24"/>
              </w:rPr>
              <w:t>个副本，具有分布式容错机制，支持自动副本重建；</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10.</w:t>
            </w:r>
            <w:r>
              <w:rPr>
                <w:rFonts w:ascii="宋体" w:hAnsi="宋体" w:eastAsia="宋体" w:cs="仿宋"/>
                <w:kern w:val="0"/>
                <w:sz w:val="24"/>
                <w:szCs w:val="24"/>
              </w:rPr>
              <w:tab/>
            </w:r>
            <w:r>
              <w:rPr>
                <w:rFonts w:hint="eastAsia" w:ascii="宋体" w:hAnsi="宋体" w:eastAsia="宋体" w:cs="仿宋"/>
                <w:kern w:val="0"/>
                <w:sz w:val="24"/>
                <w:szCs w:val="24"/>
              </w:rPr>
              <w:t>具备应对极端环境保持高可用性，在异常断网、断电状况造成系统关机的，在数据块未损坏的情况下，系统具备自动恢复脚本。</w:t>
            </w:r>
          </w:p>
        </w:tc>
        <w:tc>
          <w:tcPr>
            <w:tcW w:w="336"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台</w:t>
            </w:r>
          </w:p>
        </w:tc>
        <w:tc>
          <w:tcPr>
            <w:tcW w:w="335" w:type="pct"/>
            <w:noWrap/>
            <w:vAlign w:val="center"/>
          </w:tcPr>
          <w:p>
            <w:pPr>
              <w:widowControl/>
              <w:spacing w:line="360" w:lineRule="auto"/>
              <w:jc w:val="center"/>
              <w:rPr>
                <w:rFonts w:ascii="宋体" w:hAnsi="宋体" w:eastAsia="宋体" w:cs="仿宋"/>
                <w:kern w:val="0"/>
                <w:sz w:val="24"/>
                <w:szCs w:val="24"/>
              </w:rPr>
            </w:pPr>
            <w:r>
              <w:rPr>
                <w:rFonts w:ascii="宋体" w:hAnsi="宋体" w:eastAsia="宋体" w:cs="仿宋"/>
                <w:kern w:val="0"/>
                <w:sz w:val="24"/>
                <w:szCs w:val="24"/>
              </w:rPr>
              <w:t>1</w:t>
            </w:r>
          </w:p>
        </w:tc>
        <w:tc>
          <w:tcPr>
            <w:tcW w:w="344" w:type="pct"/>
            <w:noWrap/>
            <w:vAlign w:val="center"/>
          </w:tcPr>
          <w:p>
            <w:pPr>
              <w:widowControl/>
              <w:spacing w:line="360" w:lineRule="auto"/>
              <w:jc w:val="center"/>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pct"/>
            <w:noWrap/>
            <w:vAlign w:val="center"/>
          </w:tcPr>
          <w:p>
            <w:pPr>
              <w:widowControl/>
              <w:spacing w:line="360" w:lineRule="auto"/>
              <w:jc w:val="center"/>
              <w:rPr>
                <w:rFonts w:ascii="宋体" w:hAnsi="宋体" w:eastAsia="宋体" w:cs="仿宋"/>
                <w:kern w:val="0"/>
                <w:sz w:val="24"/>
                <w:szCs w:val="24"/>
              </w:rPr>
            </w:pPr>
            <w:r>
              <w:rPr>
                <w:rFonts w:ascii="宋体" w:hAnsi="宋体" w:eastAsia="宋体" w:cs="仿宋"/>
                <w:kern w:val="0"/>
                <w:sz w:val="24"/>
                <w:szCs w:val="24"/>
              </w:rPr>
              <w:t>5</w:t>
            </w:r>
          </w:p>
        </w:tc>
        <w:tc>
          <w:tcPr>
            <w:tcW w:w="583"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G</w:t>
            </w:r>
            <w:r>
              <w:rPr>
                <w:rFonts w:ascii="宋体" w:hAnsi="宋体" w:eastAsia="宋体" w:cs="仿宋"/>
                <w:kern w:val="0"/>
                <w:sz w:val="24"/>
                <w:szCs w:val="24"/>
              </w:rPr>
              <w:t>PU</w:t>
            </w:r>
            <w:r>
              <w:rPr>
                <w:rFonts w:hint="eastAsia" w:ascii="宋体" w:hAnsi="宋体" w:eastAsia="宋体" w:cs="仿宋"/>
                <w:kern w:val="0"/>
                <w:sz w:val="24"/>
                <w:szCs w:val="24"/>
              </w:rPr>
              <w:t>服务器</w:t>
            </w:r>
          </w:p>
        </w:tc>
        <w:tc>
          <w:tcPr>
            <w:tcW w:w="2969" w:type="pct"/>
            <w:noWrap/>
            <w:vAlign w:val="center"/>
          </w:tcPr>
          <w:p>
            <w:pPr>
              <w:widowControl/>
              <w:spacing w:line="360" w:lineRule="auto"/>
              <w:rPr>
                <w:rFonts w:ascii="宋体" w:hAnsi="宋体" w:eastAsia="宋体" w:cs="仿宋"/>
                <w:kern w:val="0"/>
                <w:sz w:val="24"/>
                <w:szCs w:val="24"/>
              </w:rPr>
            </w:pPr>
            <w:r>
              <w:rPr>
                <w:rFonts w:ascii="宋体" w:hAnsi="宋体" w:eastAsia="宋体" w:cs="仿宋"/>
                <w:kern w:val="0"/>
                <w:sz w:val="24"/>
                <w:szCs w:val="24"/>
              </w:rPr>
              <w:t>1.</w:t>
            </w:r>
            <w:r>
              <w:rPr>
                <w:rFonts w:hint="eastAsia" w:ascii="宋体" w:hAnsi="宋体" w:eastAsia="宋体" w:cs="仿宋"/>
                <w:kern w:val="0"/>
                <w:sz w:val="24"/>
                <w:szCs w:val="24"/>
              </w:rPr>
              <w:t>CPU：≥2*Xeon</w:t>
            </w:r>
            <w:r>
              <w:rPr>
                <w:rFonts w:ascii="宋体" w:hAnsi="宋体" w:eastAsia="宋体" w:cs="Calibri"/>
                <w:kern w:val="0"/>
                <w:sz w:val="24"/>
                <w:szCs w:val="24"/>
              </w:rPr>
              <w:t>®</w:t>
            </w:r>
            <w:r>
              <w:rPr>
                <w:rFonts w:hint="eastAsia" w:ascii="宋体" w:hAnsi="宋体" w:eastAsia="宋体" w:cs="仿宋"/>
                <w:kern w:val="0"/>
                <w:sz w:val="24"/>
                <w:szCs w:val="24"/>
              </w:rPr>
              <w:t xml:space="preserve"> Gold 5218R (20C/2.10 GHz)</w:t>
            </w:r>
          </w:p>
          <w:p>
            <w:pPr>
              <w:widowControl/>
              <w:spacing w:line="360" w:lineRule="auto"/>
              <w:rPr>
                <w:rFonts w:ascii="宋体" w:hAnsi="宋体" w:eastAsia="宋体" w:cs="仿宋"/>
                <w:kern w:val="0"/>
                <w:sz w:val="24"/>
                <w:szCs w:val="24"/>
              </w:rPr>
            </w:pPr>
            <w:r>
              <w:rPr>
                <w:rFonts w:ascii="宋体" w:hAnsi="宋体" w:eastAsia="宋体" w:cs="仿宋"/>
                <w:kern w:val="0"/>
                <w:sz w:val="24"/>
                <w:szCs w:val="24"/>
              </w:rPr>
              <w:t>2.</w:t>
            </w:r>
            <w:r>
              <w:rPr>
                <w:rFonts w:hint="eastAsia" w:ascii="宋体" w:hAnsi="宋体" w:eastAsia="宋体" w:cs="仿宋"/>
                <w:kern w:val="0"/>
                <w:sz w:val="24"/>
                <w:szCs w:val="24"/>
              </w:rPr>
              <w:t>GPU：≥4张NVIDIA</w:t>
            </w:r>
            <w:r>
              <w:rPr>
                <w:rFonts w:ascii="宋体" w:hAnsi="宋体" w:eastAsia="宋体" w:cs="Calibri"/>
                <w:kern w:val="0"/>
                <w:sz w:val="24"/>
                <w:szCs w:val="24"/>
              </w:rPr>
              <w:t>®</w:t>
            </w:r>
            <w:r>
              <w:rPr>
                <w:rFonts w:hint="eastAsia" w:ascii="宋体" w:hAnsi="宋体" w:eastAsia="宋体" w:cs="仿宋"/>
                <w:kern w:val="0"/>
                <w:sz w:val="24"/>
                <w:szCs w:val="24"/>
              </w:rPr>
              <w:t xml:space="preserve"> Tesla</w:t>
            </w:r>
            <w:r>
              <w:rPr>
                <w:rFonts w:ascii="宋体" w:hAnsi="宋体" w:eastAsia="宋体" w:cs="Calibri"/>
                <w:kern w:val="0"/>
                <w:sz w:val="24"/>
                <w:szCs w:val="24"/>
              </w:rPr>
              <w:t>®</w:t>
            </w:r>
            <w:r>
              <w:rPr>
                <w:rFonts w:hint="eastAsia" w:ascii="宋体" w:hAnsi="宋体" w:eastAsia="宋体" w:cs="仿宋"/>
                <w:kern w:val="0"/>
                <w:sz w:val="24"/>
                <w:szCs w:val="24"/>
              </w:rPr>
              <w:t xml:space="preserve"> T4卡</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3</w:t>
            </w:r>
            <w:r>
              <w:rPr>
                <w:rFonts w:ascii="宋体" w:hAnsi="宋体" w:eastAsia="宋体" w:cs="仿宋"/>
                <w:kern w:val="0"/>
                <w:sz w:val="24"/>
                <w:szCs w:val="24"/>
              </w:rPr>
              <w:t>.</w:t>
            </w:r>
            <w:r>
              <w:rPr>
                <w:rFonts w:hint="eastAsia" w:ascii="宋体" w:hAnsi="宋体" w:eastAsia="宋体" w:cs="仿宋"/>
                <w:kern w:val="0"/>
                <w:sz w:val="24"/>
                <w:szCs w:val="24"/>
              </w:rPr>
              <w:t>内存：≥128G DDR4，24根 DDR4 ECC RDIMM插槽</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4</w:t>
            </w:r>
            <w:r>
              <w:rPr>
                <w:rFonts w:ascii="宋体" w:hAnsi="宋体" w:eastAsia="宋体" w:cs="仿宋"/>
                <w:kern w:val="0"/>
                <w:sz w:val="24"/>
                <w:szCs w:val="24"/>
              </w:rPr>
              <w:t>.</w:t>
            </w:r>
            <w:r>
              <w:rPr>
                <w:rFonts w:hint="eastAsia" w:ascii="宋体" w:hAnsi="宋体" w:eastAsia="宋体" w:cs="仿宋"/>
                <w:kern w:val="0"/>
                <w:sz w:val="24"/>
                <w:szCs w:val="24"/>
              </w:rPr>
              <w:t>硬盘：≥1个480GB SSD，最大支持8块3.5/2.5寸SATA</w:t>
            </w:r>
            <w:r>
              <w:rPr>
                <w:rFonts w:ascii="宋体" w:hAnsi="宋体" w:eastAsia="宋体" w:cs="仿宋"/>
                <w:kern w:val="0"/>
                <w:sz w:val="24"/>
                <w:szCs w:val="24"/>
              </w:rPr>
              <w:t>5.</w:t>
            </w:r>
            <w:r>
              <w:rPr>
                <w:rFonts w:hint="eastAsia" w:ascii="宋体" w:hAnsi="宋体" w:eastAsia="宋体" w:cs="仿宋"/>
                <w:kern w:val="0"/>
                <w:sz w:val="24"/>
                <w:szCs w:val="24"/>
              </w:rPr>
              <w:t>硬盘或SSD，支持热插拔</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5</w:t>
            </w:r>
            <w:r>
              <w:rPr>
                <w:rFonts w:ascii="宋体" w:hAnsi="宋体" w:eastAsia="宋体" w:cs="仿宋"/>
                <w:kern w:val="0"/>
                <w:sz w:val="24"/>
                <w:szCs w:val="24"/>
              </w:rPr>
              <w:t>.</w:t>
            </w:r>
            <w:r>
              <w:rPr>
                <w:rFonts w:hint="eastAsia" w:ascii="宋体" w:hAnsi="宋体" w:eastAsia="宋体" w:cs="仿宋"/>
                <w:kern w:val="0"/>
                <w:sz w:val="24"/>
                <w:szCs w:val="24"/>
              </w:rPr>
              <w:t>网口：≥4个千兆自适应网络接口</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6</w:t>
            </w:r>
            <w:r>
              <w:rPr>
                <w:rFonts w:ascii="宋体" w:hAnsi="宋体" w:eastAsia="宋体" w:cs="仿宋"/>
                <w:kern w:val="0"/>
                <w:sz w:val="24"/>
                <w:szCs w:val="24"/>
              </w:rPr>
              <w:t>.</w:t>
            </w:r>
            <w:r>
              <w:rPr>
                <w:rFonts w:hint="eastAsia" w:ascii="宋体" w:hAnsi="宋体" w:eastAsia="宋体" w:cs="仿宋"/>
                <w:kern w:val="0"/>
                <w:sz w:val="24"/>
                <w:szCs w:val="24"/>
              </w:rPr>
              <w:t>其他接口：≥4个USB3.0接口，2个VGA接口</w:t>
            </w:r>
          </w:p>
          <w:p>
            <w:pPr>
              <w:widowControl/>
              <w:spacing w:line="360" w:lineRule="auto"/>
              <w:rPr>
                <w:rFonts w:ascii="宋体" w:hAnsi="宋体" w:eastAsia="宋体" w:cs="仿宋"/>
                <w:kern w:val="0"/>
                <w:sz w:val="24"/>
                <w:szCs w:val="24"/>
              </w:rPr>
            </w:pPr>
            <w:r>
              <w:rPr>
                <w:rFonts w:hint="eastAsia" w:ascii="宋体" w:hAnsi="宋体" w:eastAsia="宋体" w:cs="仿宋"/>
                <w:kern w:val="0"/>
                <w:sz w:val="24"/>
                <w:szCs w:val="24"/>
              </w:rPr>
              <w:t>7</w:t>
            </w:r>
            <w:r>
              <w:rPr>
                <w:rFonts w:ascii="宋体" w:hAnsi="宋体" w:eastAsia="宋体" w:cs="仿宋"/>
                <w:kern w:val="0"/>
                <w:sz w:val="24"/>
                <w:szCs w:val="24"/>
              </w:rPr>
              <w:t>.</w:t>
            </w:r>
            <w:r>
              <w:rPr>
                <w:rFonts w:hint="eastAsia" w:ascii="宋体" w:hAnsi="宋体" w:eastAsia="宋体" w:cs="仿宋"/>
                <w:kern w:val="0"/>
                <w:sz w:val="24"/>
                <w:szCs w:val="24"/>
              </w:rPr>
              <w:t>电源：≥1600W热拔插高效1+1冗余电源模块</w:t>
            </w:r>
          </w:p>
        </w:tc>
        <w:tc>
          <w:tcPr>
            <w:tcW w:w="336"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台</w:t>
            </w:r>
          </w:p>
        </w:tc>
        <w:tc>
          <w:tcPr>
            <w:tcW w:w="335" w:type="pct"/>
            <w:noWrap/>
            <w:vAlign w:val="center"/>
          </w:tcPr>
          <w:p>
            <w:pPr>
              <w:widowControl/>
              <w:spacing w:line="360" w:lineRule="auto"/>
              <w:jc w:val="center"/>
              <w:rPr>
                <w:rFonts w:ascii="宋体" w:hAnsi="宋体" w:eastAsia="宋体" w:cs="仿宋"/>
                <w:kern w:val="0"/>
                <w:sz w:val="24"/>
                <w:szCs w:val="24"/>
              </w:rPr>
            </w:pPr>
            <w:r>
              <w:rPr>
                <w:rFonts w:ascii="宋体" w:hAnsi="宋体" w:eastAsia="宋体" w:cs="仿宋"/>
                <w:kern w:val="0"/>
                <w:sz w:val="24"/>
                <w:szCs w:val="24"/>
              </w:rPr>
              <w:t>1</w:t>
            </w:r>
          </w:p>
        </w:tc>
        <w:tc>
          <w:tcPr>
            <w:tcW w:w="344" w:type="pct"/>
            <w:noWrap/>
            <w:vAlign w:val="center"/>
          </w:tcPr>
          <w:p>
            <w:pPr>
              <w:widowControl/>
              <w:spacing w:line="360" w:lineRule="auto"/>
              <w:jc w:val="center"/>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6</w:t>
            </w:r>
          </w:p>
        </w:tc>
        <w:tc>
          <w:tcPr>
            <w:tcW w:w="583" w:type="pct"/>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智能解析算法</w:t>
            </w:r>
          </w:p>
        </w:tc>
        <w:tc>
          <w:tcPr>
            <w:tcW w:w="2969" w:type="pct"/>
            <w:noWrap/>
            <w:vAlign w:val="center"/>
          </w:tcPr>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1</w:t>
            </w:r>
            <w:r>
              <w:rPr>
                <w:rFonts w:ascii="宋体" w:hAnsi="宋体" w:eastAsia="宋体" w:cs="仿宋"/>
                <w:color w:val="000000"/>
                <w:kern w:val="0"/>
                <w:sz w:val="24"/>
                <w:szCs w:val="24"/>
              </w:rPr>
              <w:t>.</w:t>
            </w:r>
            <w:r>
              <w:rPr>
                <w:rFonts w:hint="eastAsia" w:ascii="宋体" w:hAnsi="宋体" w:eastAsia="宋体" w:cs="仿宋"/>
                <w:color w:val="000000"/>
                <w:kern w:val="0"/>
                <w:sz w:val="24"/>
                <w:szCs w:val="24"/>
              </w:rPr>
              <w:t>具备4</w:t>
            </w:r>
            <w:r>
              <w:rPr>
                <w:rFonts w:ascii="宋体" w:hAnsi="宋体" w:eastAsia="宋体" w:cs="仿宋"/>
                <w:color w:val="000000"/>
                <w:kern w:val="0"/>
                <w:sz w:val="24"/>
                <w:szCs w:val="24"/>
              </w:rPr>
              <w:t>00</w:t>
            </w:r>
            <w:r>
              <w:rPr>
                <w:rFonts w:hint="eastAsia" w:ascii="宋体" w:hAnsi="宋体" w:eastAsia="宋体" w:cs="仿宋"/>
                <w:color w:val="000000"/>
                <w:kern w:val="0"/>
                <w:sz w:val="24"/>
                <w:szCs w:val="24"/>
              </w:rPr>
              <w:t>路图片结构化能力及5</w:t>
            </w:r>
            <w:r>
              <w:rPr>
                <w:rFonts w:ascii="宋体" w:hAnsi="宋体" w:eastAsia="宋体" w:cs="仿宋"/>
                <w:color w:val="000000"/>
                <w:kern w:val="0"/>
                <w:sz w:val="24"/>
                <w:szCs w:val="24"/>
              </w:rPr>
              <w:t>0</w:t>
            </w:r>
            <w:r>
              <w:rPr>
                <w:rFonts w:hint="eastAsia" w:ascii="宋体" w:hAnsi="宋体" w:eastAsia="宋体" w:cs="仿宋"/>
                <w:color w:val="000000"/>
                <w:kern w:val="0"/>
                <w:sz w:val="24"/>
                <w:szCs w:val="24"/>
              </w:rPr>
              <w:t>路人脸图片解析能力；</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2</w:t>
            </w:r>
            <w:r>
              <w:rPr>
                <w:rFonts w:ascii="宋体" w:hAnsi="宋体" w:eastAsia="宋体" w:cs="仿宋"/>
                <w:color w:val="000000"/>
                <w:kern w:val="0"/>
                <w:sz w:val="24"/>
                <w:szCs w:val="24"/>
              </w:rPr>
              <w:t>.</w:t>
            </w:r>
            <w:r>
              <w:rPr>
                <w:rFonts w:hint="eastAsia" w:ascii="宋体" w:hAnsi="宋体" w:eastAsia="宋体" w:cs="仿宋"/>
                <w:color w:val="000000"/>
                <w:kern w:val="0"/>
                <w:sz w:val="24"/>
                <w:szCs w:val="24"/>
              </w:rPr>
              <w:t>具备车辆属性识别：车牌号码、车牌类型，车牌颜色，车牌状态，车辆颜色，是否临牌车、车辆正背向，车辆类型，车辆主，子品牌、主</w:t>
            </w:r>
            <w:r>
              <w:rPr>
                <w:rFonts w:ascii="宋体" w:hAnsi="宋体" w:eastAsia="宋体" w:cs="仿宋"/>
                <w:color w:val="000000"/>
                <w:kern w:val="0"/>
                <w:sz w:val="24"/>
                <w:szCs w:val="24"/>
              </w:rPr>
              <w:t>/</w:t>
            </w:r>
            <w:r>
              <w:rPr>
                <w:rFonts w:hint="eastAsia" w:ascii="宋体" w:hAnsi="宋体" w:eastAsia="宋体" w:cs="仿宋"/>
                <w:color w:val="000000"/>
                <w:kern w:val="0"/>
                <w:sz w:val="24"/>
                <w:szCs w:val="24"/>
              </w:rPr>
              <w:t>副驾驶专全带、主</w:t>
            </w:r>
            <w:r>
              <w:rPr>
                <w:rFonts w:ascii="宋体" w:hAnsi="宋体" w:eastAsia="宋体" w:cs="仿宋"/>
                <w:color w:val="000000"/>
                <w:kern w:val="0"/>
                <w:sz w:val="24"/>
                <w:szCs w:val="24"/>
              </w:rPr>
              <w:t>/</w:t>
            </w:r>
            <w:r>
              <w:rPr>
                <w:rFonts w:hint="eastAsia" w:ascii="宋体" w:hAnsi="宋体" w:eastAsia="宋体" w:cs="仿宋"/>
                <w:color w:val="000000"/>
                <w:kern w:val="0"/>
                <w:sz w:val="24"/>
                <w:szCs w:val="24"/>
              </w:rPr>
              <w:t>副驾驶遮阳板，打手机，危险品车、查土车、渣士车是否末盖板，黄标车，三轮车是否有棚，挂件，天窗站人，行车架，备胎，是否有天商，车身喷字，纸巾盒，摆件，贴标，卡片、副驾驶是否无人</w:t>
            </w:r>
            <w:r>
              <w:rPr>
                <w:rFonts w:ascii="宋体" w:hAnsi="宋体" w:eastAsia="宋体" w:cs="仿宋"/>
                <w:color w:val="000000"/>
                <w:kern w:val="0"/>
                <w:sz w:val="24"/>
                <w:szCs w:val="24"/>
              </w:rPr>
              <w:t>/</w:t>
            </w:r>
            <w:r>
              <w:rPr>
                <w:rFonts w:hint="eastAsia" w:ascii="宋体" w:hAnsi="宋体" w:eastAsia="宋体" w:cs="仿宋"/>
                <w:color w:val="000000"/>
                <w:kern w:val="0"/>
                <w:sz w:val="24"/>
                <w:szCs w:val="24"/>
              </w:rPr>
              <w:t>是否怀抱婴儿等；</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3</w:t>
            </w:r>
            <w:r>
              <w:rPr>
                <w:rFonts w:ascii="宋体" w:hAnsi="宋体" w:eastAsia="宋体" w:cs="仿宋"/>
                <w:color w:val="000000"/>
                <w:kern w:val="0"/>
                <w:sz w:val="24"/>
                <w:szCs w:val="24"/>
              </w:rPr>
              <w:t>.</w:t>
            </w:r>
            <w:r>
              <w:rPr>
                <w:rFonts w:hint="eastAsia" w:ascii="宋体" w:hAnsi="宋体" w:eastAsia="宋体" w:cs="仿宋"/>
                <w:color w:val="000000"/>
                <w:kern w:val="0"/>
                <w:sz w:val="24"/>
                <w:szCs w:val="24"/>
              </w:rPr>
              <w:t>具备人体属性识别：目标方向</w:t>
            </w:r>
            <w:r>
              <w:rPr>
                <w:rFonts w:ascii="宋体" w:hAnsi="宋体" w:eastAsia="宋体" w:cs="仿宋"/>
                <w:color w:val="000000"/>
                <w:kern w:val="0"/>
                <w:sz w:val="24"/>
                <w:szCs w:val="24"/>
              </w:rPr>
              <w:t>/</w:t>
            </w:r>
            <w:r>
              <w:rPr>
                <w:rFonts w:hint="eastAsia" w:ascii="宋体" w:hAnsi="宋体" w:eastAsia="宋体" w:cs="仿宋"/>
                <w:color w:val="000000"/>
                <w:kern w:val="0"/>
                <w:sz w:val="24"/>
                <w:szCs w:val="24"/>
              </w:rPr>
              <w:t>大小速度、上下衣类型</w:t>
            </w:r>
            <w:r>
              <w:rPr>
                <w:rFonts w:ascii="宋体" w:hAnsi="宋体" w:eastAsia="宋体" w:cs="仿宋"/>
                <w:color w:val="000000"/>
                <w:kern w:val="0"/>
                <w:sz w:val="24"/>
                <w:szCs w:val="24"/>
              </w:rPr>
              <w:t>;</w:t>
            </w:r>
            <w:r>
              <w:rPr>
                <w:rFonts w:hint="eastAsia" w:ascii="宋体" w:hAnsi="宋体" w:eastAsia="宋体" w:cs="仿宋"/>
                <w:color w:val="000000"/>
                <w:kern w:val="0"/>
                <w:sz w:val="24"/>
                <w:szCs w:val="24"/>
              </w:rPr>
              <w:t>颜色、年龄段、发型、性别、骑车、背包、戴眼镜、戴帽子、戴口買、拎东西、骑车人数、骑车类型等。</w:t>
            </w:r>
          </w:p>
        </w:tc>
        <w:tc>
          <w:tcPr>
            <w:tcW w:w="336"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套</w:t>
            </w:r>
          </w:p>
        </w:tc>
        <w:tc>
          <w:tcPr>
            <w:tcW w:w="335" w:type="pct"/>
            <w:noWrap/>
            <w:vAlign w:val="center"/>
          </w:tcPr>
          <w:p>
            <w:pPr>
              <w:widowControl/>
              <w:spacing w:line="360" w:lineRule="auto"/>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344" w:type="pct"/>
            <w:noWrap/>
            <w:vAlign w:val="center"/>
          </w:tcPr>
          <w:p>
            <w:pPr>
              <w:widowControl/>
              <w:spacing w:line="360" w:lineRule="auto"/>
              <w:jc w:val="center"/>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pct"/>
            <w:noWrap/>
            <w:vAlign w:val="center"/>
          </w:tcPr>
          <w:p>
            <w:pPr>
              <w:widowControl/>
              <w:spacing w:line="360" w:lineRule="auto"/>
              <w:jc w:val="center"/>
              <w:rPr>
                <w:rFonts w:ascii="宋体" w:hAnsi="宋体" w:eastAsia="宋体" w:cs="仿宋"/>
                <w:color w:val="000000"/>
                <w:kern w:val="0"/>
                <w:sz w:val="24"/>
                <w:szCs w:val="24"/>
              </w:rPr>
            </w:pPr>
            <w:r>
              <w:rPr>
                <w:rFonts w:ascii="宋体" w:hAnsi="宋体" w:eastAsia="宋体" w:cs="仿宋"/>
                <w:color w:val="000000"/>
                <w:kern w:val="0"/>
                <w:sz w:val="24"/>
                <w:szCs w:val="24"/>
              </w:rPr>
              <w:t>7</w:t>
            </w:r>
          </w:p>
        </w:tc>
        <w:tc>
          <w:tcPr>
            <w:tcW w:w="583" w:type="pct"/>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平台扩容</w:t>
            </w:r>
          </w:p>
        </w:tc>
        <w:tc>
          <w:tcPr>
            <w:tcW w:w="2969" w:type="pct"/>
            <w:noWrap/>
            <w:vAlign w:val="center"/>
          </w:tcPr>
          <w:p>
            <w:pPr>
              <w:spacing w:line="360" w:lineRule="auto"/>
              <w:rPr>
                <w:rFonts w:ascii="宋体" w:hAnsi="宋体" w:cs="仿宋"/>
                <w:color w:val="000000"/>
              </w:rPr>
            </w:pPr>
            <w:r>
              <w:rPr>
                <w:rFonts w:hint="eastAsia" w:ascii="宋体" w:hAnsi="宋体" w:cs="仿宋"/>
                <w:color w:val="000000"/>
              </w:rPr>
              <w:t>1. 支持对前端监控设备、人脸抓拍机等进行接入管理；</w:t>
            </w:r>
          </w:p>
          <w:p>
            <w:pPr>
              <w:spacing w:line="360" w:lineRule="auto"/>
              <w:rPr>
                <w:rFonts w:ascii="宋体" w:hAnsi="宋体" w:cs="仿宋"/>
                <w:color w:val="000000"/>
              </w:rPr>
            </w:pPr>
            <w:r>
              <w:rPr>
                <w:rFonts w:hint="eastAsia" w:ascii="宋体" w:hAnsi="宋体" w:cs="仿宋"/>
                <w:color w:val="000000"/>
              </w:rPr>
              <w:t>2. 支持实时预览控制，支持画面抓图、录像、电子放大、3D放大、云台控制、视频增强、音频播放、对讲等功能；</w:t>
            </w:r>
          </w:p>
          <w:p>
            <w:pPr>
              <w:spacing w:line="360" w:lineRule="auto"/>
              <w:rPr>
                <w:rFonts w:ascii="宋体" w:hAnsi="宋体" w:cs="仿宋"/>
                <w:color w:val="000000"/>
              </w:rPr>
            </w:pPr>
            <w:r>
              <w:rPr>
                <w:rFonts w:hint="eastAsia" w:ascii="宋体" w:hAnsi="宋体" w:cs="仿宋"/>
                <w:color w:val="000000"/>
              </w:rPr>
              <w:t>3.支持录像分段回放功能，可以将录像文件等分成多个片段同时回放，通过分割点的图像差异，快速确定回放关键录像时段；</w:t>
            </w:r>
          </w:p>
          <w:p>
            <w:pPr>
              <w:spacing w:line="360" w:lineRule="auto"/>
              <w:rPr>
                <w:rFonts w:ascii="宋体" w:hAnsi="宋体" w:cs="仿宋"/>
                <w:color w:val="000000"/>
              </w:rPr>
            </w:pPr>
            <w:r>
              <w:rPr>
                <w:rFonts w:hint="eastAsia" w:ascii="宋体" w:hAnsi="宋体" w:cs="仿宋"/>
                <w:color w:val="000000"/>
              </w:rPr>
              <w:t>4.支持安装车辆、人脸、人体、融合数据、通用融合、以图搜图、wifi等大数据应用服务组件用于数据处理；</w:t>
            </w:r>
          </w:p>
          <w:p>
            <w:pPr>
              <w:spacing w:line="360" w:lineRule="auto"/>
              <w:rPr>
                <w:rFonts w:ascii="宋体" w:hAnsi="宋体" w:cs="仿宋"/>
                <w:color w:val="000000"/>
              </w:rPr>
            </w:pPr>
            <w:r>
              <w:rPr>
                <w:rFonts w:hint="eastAsia" w:ascii="宋体" w:hAnsi="宋体" w:cs="仿宋"/>
                <w:color w:val="000000"/>
              </w:rPr>
              <w:t>5. 支持人脸检索功能，可按姓名、证件号、年龄段、是否戴眼镜、是否微笑、通道列表对人脸数据进行检索；</w:t>
            </w:r>
          </w:p>
          <w:p>
            <w:pPr>
              <w:spacing w:line="360" w:lineRule="auto"/>
              <w:rPr>
                <w:rFonts w:ascii="宋体" w:hAnsi="宋体" w:cs="仿宋"/>
                <w:color w:val="000000"/>
              </w:rPr>
            </w:pPr>
            <w:r>
              <w:rPr>
                <w:rFonts w:hint="eastAsia" w:ascii="宋体" w:hAnsi="宋体" w:cs="仿宋"/>
                <w:color w:val="000000"/>
              </w:rPr>
              <w:t>6. 支持人体检索功能，可按上衣颜色、下衣颜色、运动方向、目标大小、性别、年龄段、发型（长发、短发、未知）、是否戴帽子、是否拎东西等属性对人体数据进行检索；</w:t>
            </w:r>
          </w:p>
          <w:p>
            <w:pPr>
              <w:spacing w:line="360" w:lineRule="auto"/>
              <w:rPr>
                <w:rFonts w:ascii="宋体" w:hAnsi="宋体" w:cs="仿宋"/>
                <w:color w:val="000000"/>
              </w:rPr>
            </w:pPr>
            <w:r>
              <w:rPr>
                <w:rFonts w:hint="eastAsia" w:ascii="宋体" w:hAnsi="宋体" w:cs="仿宋"/>
                <w:color w:val="000000"/>
              </w:rPr>
              <w:t>7.支持非机动车检索功能，可按车辆类型（二轮车、三轮车）、骑车人数（单人或多人）、汽车类型（自行车、摩托车）对非机动车数据进行检索；</w:t>
            </w:r>
          </w:p>
          <w:p>
            <w:pPr>
              <w:spacing w:line="360" w:lineRule="auto"/>
              <w:rPr>
                <w:rFonts w:ascii="宋体" w:hAnsi="宋体" w:cs="仿宋"/>
                <w:color w:val="000000"/>
              </w:rPr>
            </w:pPr>
            <w:r>
              <w:rPr>
                <w:rFonts w:hint="eastAsia" w:ascii="宋体" w:hAnsi="宋体" w:cs="仿宋"/>
                <w:color w:val="000000"/>
              </w:rPr>
              <w:t>8.支持车辆检索功能，可按车牌号、车辆颜色、车辆品牌、车辆类型、车牌颜色、车牌类型对车辆数据进行检索；</w:t>
            </w:r>
          </w:p>
          <w:p>
            <w:pPr>
              <w:spacing w:line="360" w:lineRule="auto"/>
              <w:rPr>
                <w:rFonts w:ascii="宋体" w:hAnsi="宋体" w:cs="仿宋"/>
                <w:color w:val="000000"/>
              </w:rPr>
            </w:pPr>
            <w:r>
              <w:rPr>
                <w:rFonts w:hint="eastAsia" w:ascii="宋体" w:hAnsi="宋体" w:cs="仿宋"/>
                <w:color w:val="000000"/>
              </w:rPr>
              <w:t>9.支持基于电子地图圈选、框选点位创建结构化分析任务，对实时视频中对人体、机动车、非机动车的目标进行跟踪并将分析结果滚动展示，支持选定目标轨迹播放；</w:t>
            </w:r>
          </w:p>
          <w:p>
            <w:pPr>
              <w:widowControl/>
              <w:spacing w:line="360" w:lineRule="auto"/>
              <w:rPr>
                <w:rFonts w:ascii="宋体" w:hAnsi="宋体" w:eastAsia="宋体" w:cs="仿宋"/>
                <w:color w:val="000000"/>
                <w:kern w:val="0"/>
                <w:sz w:val="24"/>
                <w:szCs w:val="24"/>
              </w:rPr>
            </w:pPr>
            <w:r>
              <w:rPr>
                <w:rFonts w:hint="eastAsia" w:ascii="宋体" w:hAnsi="宋体" w:cs="仿宋"/>
                <w:color w:val="000000"/>
              </w:rPr>
              <w:t>10.具备不低于450接入授权。</w:t>
            </w:r>
          </w:p>
        </w:tc>
        <w:tc>
          <w:tcPr>
            <w:tcW w:w="336"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套</w:t>
            </w:r>
          </w:p>
        </w:tc>
        <w:tc>
          <w:tcPr>
            <w:tcW w:w="335"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1</w:t>
            </w:r>
          </w:p>
        </w:tc>
        <w:tc>
          <w:tcPr>
            <w:tcW w:w="344" w:type="pct"/>
            <w:noWrap/>
            <w:vAlign w:val="center"/>
          </w:tcPr>
          <w:p>
            <w:pPr>
              <w:widowControl/>
              <w:spacing w:line="360" w:lineRule="auto"/>
              <w:jc w:val="center"/>
              <w:rPr>
                <w:rFonts w:ascii="宋体" w:hAnsi="宋体" w:eastAsia="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pct"/>
            <w:noWrap/>
            <w:vAlign w:val="center"/>
          </w:tcPr>
          <w:p>
            <w:pPr>
              <w:widowControl/>
              <w:spacing w:line="360" w:lineRule="auto"/>
              <w:jc w:val="center"/>
              <w:rPr>
                <w:rFonts w:ascii="宋体" w:hAnsi="宋体" w:eastAsia="宋体" w:cs="仿宋"/>
                <w:color w:val="000000"/>
                <w:kern w:val="0"/>
                <w:sz w:val="24"/>
                <w:szCs w:val="24"/>
              </w:rPr>
            </w:pPr>
            <w:r>
              <w:rPr>
                <w:rFonts w:ascii="宋体" w:hAnsi="宋体" w:eastAsia="宋体" w:cs="仿宋"/>
                <w:color w:val="000000"/>
                <w:kern w:val="0"/>
                <w:sz w:val="24"/>
                <w:szCs w:val="24"/>
              </w:rPr>
              <w:t>8</w:t>
            </w:r>
          </w:p>
        </w:tc>
        <w:tc>
          <w:tcPr>
            <w:tcW w:w="583" w:type="pct"/>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数据接入服务器</w:t>
            </w:r>
          </w:p>
        </w:tc>
        <w:tc>
          <w:tcPr>
            <w:tcW w:w="2969" w:type="pct"/>
            <w:noWrap/>
            <w:vAlign w:val="center"/>
          </w:tcPr>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1.</w:t>
            </w:r>
            <w:r>
              <w:rPr>
                <w:rFonts w:ascii="宋体" w:hAnsi="宋体" w:eastAsia="宋体" w:cs="Calibri"/>
                <w:color w:val="000000"/>
                <w:kern w:val="0"/>
                <w:sz w:val="24"/>
                <w:szCs w:val="24"/>
              </w:rPr>
              <w:t> </w:t>
            </w:r>
            <w:r>
              <w:rPr>
                <w:rFonts w:hint="eastAsia" w:ascii="宋体" w:hAnsi="宋体" w:eastAsia="宋体" w:cs="仿宋"/>
                <w:color w:val="000000"/>
                <w:kern w:val="0"/>
                <w:sz w:val="24"/>
                <w:szCs w:val="24"/>
              </w:rPr>
              <w:t>具备GB/T28181、ONVIF等协议的视频接入功能；</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2.</w:t>
            </w:r>
            <w:r>
              <w:rPr>
                <w:rFonts w:ascii="宋体" w:hAnsi="宋体" w:eastAsia="宋体" w:cs="Calibri"/>
                <w:color w:val="000000"/>
                <w:kern w:val="0"/>
                <w:sz w:val="24"/>
                <w:szCs w:val="24"/>
              </w:rPr>
              <w:t> </w:t>
            </w:r>
            <w:r>
              <w:rPr>
                <w:rFonts w:hint="eastAsia" w:ascii="宋体" w:hAnsi="宋体" w:eastAsia="宋体" w:cs="仿宋"/>
                <w:color w:val="000000"/>
                <w:kern w:val="0"/>
                <w:sz w:val="24"/>
                <w:szCs w:val="24"/>
              </w:rPr>
              <w:t>可提供高性能流媒体转发服务；</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3.CPU配置不低于10核2.2GHz，内存配置不低于</w:t>
            </w:r>
            <w:r>
              <w:rPr>
                <w:rFonts w:ascii="宋体" w:hAnsi="宋体" w:eastAsia="宋体" w:cs="仿宋"/>
                <w:color w:val="000000"/>
                <w:kern w:val="0"/>
                <w:sz w:val="24"/>
                <w:szCs w:val="24"/>
              </w:rPr>
              <w:t>32</w:t>
            </w:r>
            <w:r>
              <w:rPr>
                <w:rFonts w:hint="eastAsia" w:ascii="宋体" w:hAnsi="宋体" w:eastAsia="宋体" w:cs="仿宋"/>
                <w:color w:val="000000"/>
                <w:kern w:val="0"/>
                <w:sz w:val="24"/>
                <w:szCs w:val="24"/>
              </w:rPr>
              <w:t>G。</w:t>
            </w:r>
          </w:p>
        </w:tc>
        <w:tc>
          <w:tcPr>
            <w:tcW w:w="336"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台</w:t>
            </w:r>
          </w:p>
        </w:tc>
        <w:tc>
          <w:tcPr>
            <w:tcW w:w="335" w:type="pct"/>
            <w:noWrap/>
            <w:vAlign w:val="center"/>
          </w:tcPr>
          <w:p>
            <w:pPr>
              <w:widowControl/>
              <w:spacing w:line="360" w:lineRule="auto"/>
              <w:jc w:val="center"/>
              <w:rPr>
                <w:rFonts w:ascii="宋体" w:hAnsi="宋体" w:eastAsia="宋体" w:cs="仿宋"/>
                <w:color w:val="000000"/>
                <w:kern w:val="0"/>
                <w:sz w:val="24"/>
                <w:szCs w:val="24"/>
              </w:rPr>
            </w:pPr>
            <w:r>
              <w:rPr>
                <w:rFonts w:ascii="宋体" w:hAnsi="宋体" w:eastAsia="宋体" w:cs="仿宋"/>
                <w:color w:val="000000"/>
                <w:kern w:val="0"/>
                <w:sz w:val="24"/>
                <w:szCs w:val="24"/>
              </w:rPr>
              <w:t>1</w:t>
            </w:r>
          </w:p>
        </w:tc>
        <w:tc>
          <w:tcPr>
            <w:tcW w:w="344" w:type="pct"/>
            <w:noWrap/>
            <w:vAlign w:val="center"/>
          </w:tcPr>
          <w:p>
            <w:pPr>
              <w:widowControl/>
              <w:spacing w:line="360" w:lineRule="auto"/>
              <w:jc w:val="center"/>
              <w:rPr>
                <w:rFonts w:ascii="宋体" w:hAnsi="宋体" w:eastAsia="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pct"/>
            <w:noWrap/>
            <w:vAlign w:val="center"/>
          </w:tcPr>
          <w:p>
            <w:pPr>
              <w:widowControl/>
              <w:spacing w:line="360" w:lineRule="auto"/>
              <w:jc w:val="center"/>
              <w:rPr>
                <w:rFonts w:ascii="宋体" w:hAnsi="宋体" w:eastAsia="宋体" w:cs="仿宋"/>
                <w:color w:val="000000"/>
                <w:kern w:val="0"/>
                <w:sz w:val="24"/>
                <w:szCs w:val="24"/>
              </w:rPr>
            </w:pPr>
            <w:r>
              <w:rPr>
                <w:rFonts w:ascii="宋体" w:hAnsi="宋体" w:eastAsia="宋体" w:cs="仿宋"/>
                <w:color w:val="000000"/>
                <w:kern w:val="0"/>
                <w:sz w:val="24"/>
                <w:szCs w:val="24"/>
              </w:rPr>
              <w:t>9</w:t>
            </w:r>
          </w:p>
        </w:tc>
        <w:tc>
          <w:tcPr>
            <w:tcW w:w="583" w:type="pct"/>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存储接入服务器</w:t>
            </w:r>
          </w:p>
        </w:tc>
        <w:tc>
          <w:tcPr>
            <w:tcW w:w="2969" w:type="pct"/>
            <w:noWrap/>
            <w:vAlign w:val="center"/>
          </w:tcPr>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CPU配置不低于10核2.2GHz，内存配置不低于</w:t>
            </w:r>
            <w:r>
              <w:rPr>
                <w:rFonts w:ascii="宋体" w:hAnsi="宋体" w:eastAsia="宋体" w:cs="仿宋"/>
                <w:color w:val="000000"/>
                <w:kern w:val="0"/>
                <w:sz w:val="24"/>
                <w:szCs w:val="24"/>
              </w:rPr>
              <w:t>16</w:t>
            </w:r>
            <w:r>
              <w:rPr>
                <w:rFonts w:hint="eastAsia" w:ascii="宋体" w:hAnsi="宋体" w:eastAsia="宋体" w:cs="仿宋"/>
                <w:color w:val="000000"/>
                <w:kern w:val="0"/>
                <w:sz w:val="24"/>
                <w:szCs w:val="24"/>
              </w:rPr>
              <w:t>G，2块不低于1</w:t>
            </w:r>
            <w:r>
              <w:rPr>
                <w:rFonts w:ascii="宋体" w:hAnsi="宋体" w:eastAsia="宋体" w:cs="仿宋"/>
                <w:color w:val="000000"/>
                <w:kern w:val="0"/>
                <w:sz w:val="24"/>
                <w:szCs w:val="24"/>
              </w:rPr>
              <w:t>20G</w:t>
            </w:r>
            <w:r>
              <w:rPr>
                <w:rFonts w:hint="eastAsia" w:ascii="宋体" w:hAnsi="宋体" w:eastAsia="宋体" w:cs="仿宋"/>
                <w:color w:val="000000"/>
                <w:kern w:val="0"/>
                <w:sz w:val="24"/>
                <w:szCs w:val="24"/>
              </w:rPr>
              <w:t>数据中心级S</w:t>
            </w:r>
            <w:r>
              <w:rPr>
                <w:rFonts w:ascii="宋体" w:hAnsi="宋体" w:eastAsia="宋体" w:cs="仿宋"/>
                <w:color w:val="000000"/>
                <w:kern w:val="0"/>
                <w:sz w:val="24"/>
                <w:szCs w:val="24"/>
              </w:rPr>
              <w:t>SD</w:t>
            </w:r>
            <w:r>
              <w:rPr>
                <w:rFonts w:hint="eastAsia" w:ascii="宋体" w:hAnsi="宋体" w:eastAsia="宋体" w:cs="仿宋"/>
                <w:color w:val="000000"/>
                <w:kern w:val="0"/>
                <w:sz w:val="24"/>
                <w:szCs w:val="24"/>
              </w:rPr>
              <w:t>，不少于</w:t>
            </w:r>
            <w:r>
              <w:rPr>
                <w:rFonts w:ascii="宋体" w:hAnsi="宋体" w:eastAsia="宋体" w:cs="仿宋"/>
                <w:color w:val="000000"/>
                <w:kern w:val="0"/>
                <w:sz w:val="24"/>
                <w:szCs w:val="24"/>
              </w:rPr>
              <w:t>2</w:t>
            </w:r>
            <w:r>
              <w:rPr>
                <w:rFonts w:hint="eastAsia" w:ascii="宋体" w:hAnsi="宋体" w:eastAsia="宋体" w:cs="仿宋"/>
                <w:color w:val="000000"/>
                <w:kern w:val="0"/>
                <w:sz w:val="24"/>
                <w:szCs w:val="24"/>
              </w:rPr>
              <w:t>个1</w:t>
            </w:r>
            <w:r>
              <w:rPr>
                <w:rFonts w:ascii="宋体" w:hAnsi="宋体" w:eastAsia="宋体" w:cs="仿宋"/>
                <w:color w:val="000000"/>
                <w:kern w:val="0"/>
                <w:sz w:val="24"/>
                <w:szCs w:val="24"/>
              </w:rPr>
              <w:t>0</w:t>
            </w:r>
            <w:r>
              <w:rPr>
                <w:rFonts w:hint="eastAsia" w:ascii="宋体" w:hAnsi="宋体" w:eastAsia="宋体" w:cs="仿宋"/>
                <w:color w:val="000000"/>
                <w:kern w:val="0"/>
                <w:sz w:val="24"/>
                <w:szCs w:val="24"/>
              </w:rPr>
              <w:t>M</w:t>
            </w:r>
            <w:r>
              <w:rPr>
                <w:rFonts w:ascii="宋体" w:hAnsi="宋体" w:eastAsia="宋体" w:cs="仿宋"/>
                <w:color w:val="000000"/>
                <w:kern w:val="0"/>
                <w:sz w:val="24"/>
                <w:szCs w:val="24"/>
              </w:rPr>
              <w:t>/100M/</w:t>
            </w:r>
            <w:r>
              <w:rPr>
                <w:rFonts w:hint="eastAsia" w:ascii="宋体" w:hAnsi="宋体" w:eastAsia="宋体" w:cs="仿宋"/>
                <w:color w:val="000000"/>
                <w:kern w:val="0"/>
                <w:sz w:val="24"/>
                <w:szCs w:val="24"/>
              </w:rPr>
              <w:t>1</w:t>
            </w:r>
            <w:r>
              <w:rPr>
                <w:rFonts w:ascii="宋体" w:hAnsi="宋体" w:eastAsia="宋体" w:cs="仿宋"/>
                <w:color w:val="000000"/>
                <w:kern w:val="0"/>
                <w:sz w:val="24"/>
                <w:szCs w:val="24"/>
              </w:rPr>
              <w:t>000</w:t>
            </w:r>
            <w:r>
              <w:rPr>
                <w:rFonts w:hint="eastAsia" w:ascii="宋体" w:hAnsi="宋体" w:eastAsia="宋体" w:cs="仿宋"/>
                <w:color w:val="000000"/>
                <w:kern w:val="0"/>
                <w:sz w:val="24"/>
                <w:szCs w:val="24"/>
              </w:rPr>
              <w:t>M自适应网口</w:t>
            </w:r>
          </w:p>
        </w:tc>
        <w:tc>
          <w:tcPr>
            <w:tcW w:w="336"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台</w:t>
            </w:r>
          </w:p>
        </w:tc>
        <w:tc>
          <w:tcPr>
            <w:tcW w:w="335" w:type="pct"/>
            <w:noWrap/>
            <w:vAlign w:val="center"/>
          </w:tcPr>
          <w:p>
            <w:pPr>
              <w:widowControl/>
              <w:spacing w:line="360" w:lineRule="auto"/>
              <w:jc w:val="center"/>
              <w:rPr>
                <w:rFonts w:ascii="宋体" w:hAnsi="宋体" w:eastAsia="宋体" w:cs="仿宋"/>
                <w:color w:val="000000"/>
                <w:kern w:val="0"/>
                <w:sz w:val="24"/>
                <w:szCs w:val="24"/>
              </w:rPr>
            </w:pPr>
            <w:r>
              <w:rPr>
                <w:rFonts w:ascii="宋体" w:hAnsi="宋体" w:eastAsia="宋体" w:cs="仿宋"/>
                <w:color w:val="000000"/>
                <w:kern w:val="0"/>
                <w:sz w:val="24"/>
                <w:szCs w:val="24"/>
              </w:rPr>
              <w:t>5</w:t>
            </w:r>
          </w:p>
        </w:tc>
        <w:tc>
          <w:tcPr>
            <w:tcW w:w="344" w:type="pct"/>
            <w:noWrap/>
            <w:vAlign w:val="center"/>
          </w:tcPr>
          <w:p>
            <w:pPr>
              <w:widowControl/>
              <w:spacing w:line="360" w:lineRule="auto"/>
              <w:jc w:val="center"/>
              <w:rPr>
                <w:rFonts w:ascii="宋体" w:hAnsi="宋体" w:eastAsia="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pct"/>
            <w:noWrap/>
            <w:vAlign w:val="center"/>
          </w:tcPr>
          <w:p>
            <w:pPr>
              <w:widowControl/>
              <w:spacing w:line="360" w:lineRule="auto"/>
              <w:jc w:val="center"/>
              <w:rPr>
                <w:rFonts w:ascii="宋体" w:hAnsi="宋体" w:eastAsia="宋体" w:cs="仿宋"/>
                <w:color w:val="000000"/>
                <w:kern w:val="0"/>
                <w:sz w:val="24"/>
                <w:szCs w:val="24"/>
              </w:rPr>
            </w:pPr>
            <w:r>
              <w:rPr>
                <w:rFonts w:ascii="宋体" w:hAnsi="宋体" w:eastAsia="宋体" w:cs="仿宋"/>
                <w:color w:val="000000"/>
                <w:kern w:val="0"/>
                <w:sz w:val="24"/>
                <w:szCs w:val="24"/>
              </w:rPr>
              <w:t>10</w:t>
            </w:r>
          </w:p>
        </w:tc>
        <w:tc>
          <w:tcPr>
            <w:tcW w:w="583" w:type="pct"/>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防火墙</w:t>
            </w:r>
          </w:p>
        </w:tc>
        <w:tc>
          <w:tcPr>
            <w:tcW w:w="2969" w:type="pct"/>
            <w:noWrap/>
            <w:vAlign w:val="center"/>
          </w:tcPr>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1、</w:t>
            </w:r>
            <w:r>
              <w:rPr>
                <w:rFonts w:ascii="宋体" w:hAnsi="宋体" w:eastAsia="宋体" w:cs="仿宋"/>
                <w:color w:val="000000"/>
                <w:kern w:val="0"/>
                <w:sz w:val="24"/>
                <w:szCs w:val="24"/>
              </w:rPr>
              <w:t>1U机型，</w:t>
            </w:r>
            <w:r>
              <w:rPr>
                <w:rFonts w:hint="eastAsia" w:ascii="宋体" w:hAnsi="宋体" w:eastAsia="宋体" w:cs="仿宋"/>
                <w:color w:val="000000"/>
                <w:kern w:val="0"/>
                <w:sz w:val="24"/>
                <w:szCs w:val="24"/>
              </w:rPr>
              <w:t>要求具有</w:t>
            </w:r>
            <w:r>
              <w:rPr>
                <w:rFonts w:ascii="宋体" w:hAnsi="宋体" w:eastAsia="宋体" w:cs="仿宋"/>
                <w:color w:val="000000"/>
                <w:kern w:val="0"/>
                <w:sz w:val="24"/>
                <w:szCs w:val="24"/>
              </w:rPr>
              <w:t>交流冗余电源，</w:t>
            </w:r>
            <w:r>
              <w:rPr>
                <w:rFonts w:hint="eastAsia" w:ascii="宋体" w:hAnsi="宋体" w:eastAsia="宋体" w:cs="仿宋"/>
                <w:color w:val="000000"/>
                <w:kern w:val="0"/>
                <w:sz w:val="24"/>
                <w:szCs w:val="24"/>
              </w:rPr>
              <w:t>接口配置≥</w:t>
            </w:r>
            <w:r>
              <w:rPr>
                <w:rFonts w:ascii="宋体" w:hAnsi="宋体" w:eastAsia="宋体" w:cs="仿宋"/>
                <w:color w:val="000000"/>
                <w:kern w:val="0"/>
                <w:sz w:val="24"/>
                <w:szCs w:val="24"/>
              </w:rPr>
              <w:t>1</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RJ45串口，</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1</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RJ45管理口，</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2</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USB接口，</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6</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GE电口（Bypass）,</w:t>
            </w:r>
            <w:r>
              <w:rPr>
                <w:rFonts w:hint="eastAsia" w:ascii="宋体" w:hAnsi="宋体" w:eastAsia="宋体" w:cs="仿宋"/>
                <w:color w:val="000000"/>
                <w:kern w:val="0"/>
                <w:sz w:val="24"/>
                <w:szCs w:val="24"/>
              </w:rPr>
              <w:t xml:space="preserve"> ≥</w:t>
            </w:r>
            <w:r>
              <w:rPr>
                <w:rFonts w:ascii="宋体" w:hAnsi="宋体" w:eastAsia="宋体" w:cs="仿宋"/>
                <w:color w:val="000000"/>
                <w:kern w:val="0"/>
                <w:sz w:val="24"/>
                <w:szCs w:val="24"/>
              </w:rPr>
              <w:t>4</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SFP光口，</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2</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SFP+</w:t>
            </w:r>
            <w:r>
              <w:rPr>
                <w:rFonts w:hint="eastAsia" w:ascii="宋体" w:hAnsi="宋体" w:eastAsia="宋体" w:cs="仿宋"/>
                <w:color w:val="000000"/>
                <w:kern w:val="0"/>
                <w:sz w:val="24"/>
                <w:szCs w:val="24"/>
              </w:rPr>
              <w:t>万兆光口，≥1</w:t>
            </w:r>
            <w:r>
              <w:rPr>
                <w:rFonts w:ascii="宋体" w:hAnsi="宋体" w:eastAsia="宋体" w:cs="仿宋"/>
                <w:color w:val="000000"/>
                <w:kern w:val="0"/>
                <w:sz w:val="24"/>
                <w:szCs w:val="24"/>
              </w:rPr>
              <w:t>个接口扩展槽位，</w:t>
            </w:r>
            <w:r>
              <w:rPr>
                <w:rFonts w:hint="eastAsia" w:ascii="宋体" w:hAnsi="宋体" w:eastAsia="宋体" w:cs="仿宋"/>
                <w:color w:val="000000"/>
                <w:kern w:val="0"/>
                <w:sz w:val="24"/>
                <w:szCs w:val="24"/>
              </w:rPr>
              <w:t>硬盘要求不少于</w:t>
            </w:r>
            <w:r>
              <w:rPr>
                <w:rFonts w:ascii="宋体" w:hAnsi="宋体" w:eastAsia="宋体" w:cs="仿宋"/>
                <w:color w:val="000000"/>
                <w:kern w:val="0"/>
                <w:sz w:val="24"/>
                <w:szCs w:val="24"/>
              </w:rPr>
              <w:t>256G固态硬盘，1T机械硬盘，</w:t>
            </w:r>
            <w:r>
              <w:rPr>
                <w:rFonts w:hint="eastAsia" w:ascii="宋体" w:hAnsi="宋体" w:eastAsia="宋体" w:cs="仿宋"/>
                <w:color w:val="000000"/>
                <w:kern w:val="0"/>
                <w:sz w:val="24"/>
                <w:szCs w:val="24"/>
              </w:rPr>
              <w:t>网络</w:t>
            </w:r>
            <w:r>
              <w:rPr>
                <w:rFonts w:ascii="宋体" w:hAnsi="宋体" w:eastAsia="宋体" w:cs="仿宋"/>
                <w:color w:val="000000"/>
                <w:kern w:val="0"/>
                <w:sz w:val="24"/>
                <w:szCs w:val="24"/>
              </w:rPr>
              <w:t>吞吐量</w:t>
            </w:r>
            <w:r>
              <w:rPr>
                <w:rFonts w:hint="eastAsia" w:ascii="宋体" w:hAnsi="宋体" w:eastAsia="宋体" w:cs="仿宋"/>
                <w:color w:val="000000"/>
                <w:kern w:val="0"/>
                <w:sz w:val="24"/>
                <w:szCs w:val="24"/>
              </w:rPr>
              <w:t>≥6</w:t>
            </w:r>
            <w:r>
              <w:rPr>
                <w:rFonts w:ascii="宋体" w:hAnsi="宋体" w:eastAsia="宋体" w:cs="仿宋"/>
                <w:color w:val="000000"/>
                <w:kern w:val="0"/>
                <w:sz w:val="24"/>
                <w:szCs w:val="24"/>
              </w:rPr>
              <w:t>G，最大并发会话数</w:t>
            </w:r>
            <w:r>
              <w:rPr>
                <w:rFonts w:hint="eastAsia" w:ascii="宋体" w:hAnsi="宋体" w:eastAsia="宋体" w:cs="仿宋"/>
                <w:color w:val="000000"/>
                <w:kern w:val="0"/>
                <w:sz w:val="24"/>
                <w:szCs w:val="24"/>
              </w:rPr>
              <w:t>≥4</w:t>
            </w:r>
            <w:r>
              <w:rPr>
                <w:rFonts w:ascii="宋体" w:hAnsi="宋体" w:eastAsia="宋体" w:cs="仿宋"/>
                <w:color w:val="000000"/>
                <w:kern w:val="0"/>
                <w:sz w:val="24"/>
                <w:szCs w:val="24"/>
              </w:rPr>
              <w:t>00万，每秒新增会话数</w:t>
            </w:r>
            <w:r>
              <w:rPr>
                <w:rFonts w:hint="eastAsia" w:ascii="宋体" w:hAnsi="宋体" w:eastAsia="宋体" w:cs="仿宋"/>
                <w:color w:val="000000"/>
                <w:kern w:val="0"/>
                <w:sz w:val="24"/>
                <w:szCs w:val="24"/>
              </w:rPr>
              <w:t>≥10</w:t>
            </w:r>
            <w:r>
              <w:rPr>
                <w:rFonts w:ascii="宋体" w:hAnsi="宋体" w:eastAsia="宋体" w:cs="仿宋"/>
                <w:color w:val="000000"/>
                <w:kern w:val="0"/>
                <w:sz w:val="24"/>
                <w:szCs w:val="24"/>
              </w:rPr>
              <w:t>万；</w:t>
            </w:r>
          </w:p>
          <w:p>
            <w:pPr>
              <w:widowControl/>
              <w:spacing w:line="360" w:lineRule="auto"/>
              <w:rPr>
                <w:rFonts w:ascii="宋体" w:hAnsi="宋体" w:eastAsia="宋体" w:cs="仿宋"/>
                <w:color w:val="000000"/>
                <w:kern w:val="0"/>
                <w:sz w:val="24"/>
                <w:szCs w:val="24"/>
              </w:rPr>
            </w:pPr>
            <w:r>
              <w:rPr>
                <w:rFonts w:ascii="宋体" w:hAnsi="宋体" w:eastAsia="宋体" w:cs="仿宋"/>
                <w:color w:val="000000"/>
                <w:kern w:val="0"/>
                <w:sz w:val="24"/>
                <w:szCs w:val="24"/>
              </w:rPr>
              <w:t>2、提供基于源/目的IP地址、安全区、应用/应用过滤器、协议/端口、时间、用户、安全模板/模板组的精细粒度的安全访问控制。</w:t>
            </w:r>
          </w:p>
          <w:p>
            <w:pPr>
              <w:widowControl/>
              <w:spacing w:line="360" w:lineRule="auto"/>
              <w:rPr>
                <w:rFonts w:ascii="宋体" w:hAnsi="宋体" w:eastAsia="宋体" w:cs="仿宋"/>
                <w:color w:val="000000"/>
                <w:kern w:val="0"/>
                <w:sz w:val="24"/>
                <w:szCs w:val="24"/>
              </w:rPr>
            </w:pPr>
            <w:r>
              <w:rPr>
                <w:rFonts w:ascii="宋体" w:hAnsi="宋体" w:eastAsia="宋体" w:cs="仿宋"/>
                <w:color w:val="000000"/>
                <w:kern w:val="0"/>
                <w:sz w:val="24"/>
                <w:szCs w:val="24"/>
              </w:rPr>
              <w:t>3、支持WEB界面设置静态路由及OSPF、RIP、BGP动态路由协议；支持基于源/目的地址、接口的、基于服务的策略路由。</w:t>
            </w:r>
          </w:p>
          <w:p>
            <w:pPr>
              <w:widowControl/>
              <w:spacing w:line="360" w:lineRule="auto"/>
              <w:rPr>
                <w:rFonts w:ascii="宋体" w:hAnsi="宋体" w:eastAsia="宋体" w:cs="仿宋"/>
                <w:color w:val="000000"/>
                <w:kern w:val="0"/>
                <w:sz w:val="24"/>
                <w:szCs w:val="24"/>
              </w:rPr>
            </w:pPr>
            <w:r>
              <w:rPr>
                <w:rFonts w:ascii="宋体" w:hAnsi="宋体" w:eastAsia="宋体" w:cs="仿宋"/>
                <w:color w:val="000000"/>
                <w:kern w:val="0"/>
                <w:sz w:val="24"/>
                <w:szCs w:val="24"/>
              </w:rPr>
              <w:t>4、支持事件关联分析，能够对防火墙的日志进行关联分析。</w:t>
            </w:r>
          </w:p>
          <w:p>
            <w:pPr>
              <w:widowControl/>
              <w:spacing w:line="360" w:lineRule="auto"/>
              <w:rPr>
                <w:rFonts w:ascii="宋体" w:hAnsi="宋体" w:eastAsia="宋体" w:cs="仿宋"/>
                <w:color w:val="000000"/>
                <w:kern w:val="0"/>
                <w:sz w:val="24"/>
                <w:szCs w:val="24"/>
              </w:rPr>
            </w:pPr>
            <w:r>
              <w:rPr>
                <w:rFonts w:ascii="宋体" w:hAnsi="宋体" w:eastAsia="宋体" w:cs="仿宋"/>
                <w:color w:val="000000"/>
                <w:kern w:val="0"/>
                <w:sz w:val="24"/>
                <w:szCs w:val="24"/>
              </w:rPr>
              <w:t>5、</w:t>
            </w:r>
            <w:r>
              <w:rPr>
                <w:rFonts w:hint="eastAsia" w:ascii="宋体" w:hAnsi="宋体" w:eastAsia="宋体" w:cs="仿宋"/>
                <w:color w:val="000000"/>
                <w:kern w:val="0"/>
                <w:sz w:val="24"/>
                <w:szCs w:val="24"/>
              </w:rPr>
              <w:t xml:space="preserve">▲支持联动外部扫描器，外部扫描器定期将漏洞推送至防火墙，通过防火墙可查看扫描器上报的内部资产漏洞的拦截情况（需提供功能页面截图证明材料，并加盖供应商公章）； </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6</w:t>
            </w:r>
            <w:r>
              <w:rPr>
                <w:rFonts w:ascii="宋体" w:hAnsi="宋体" w:eastAsia="宋体" w:cs="仿宋"/>
                <w:color w:val="000000"/>
                <w:kern w:val="0"/>
                <w:sz w:val="24"/>
                <w:szCs w:val="24"/>
              </w:rPr>
              <w:t>、可不通过主机扫描等技术，即可识别内网主机的操作系统、杀毒软件、浏览器等信息；可自定义操作系统、浏览器、杀毒软件的风险等级，并支持预置风险等级</w:t>
            </w:r>
            <w:r>
              <w:rPr>
                <w:rFonts w:hint="eastAsia" w:ascii="宋体" w:hAnsi="宋体" w:eastAsia="宋体" w:cs="仿宋"/>
                <w:color w:val="000000"/>
                <w:kern w:val="0"/>
                <w:sz w:val="24"/>
                <w:szCs w:val="24"/>
              </w:rPr>
              <w:t>（需提供功能页面截图证明材料，并加盖供应商公章）。</w:t>
            </w:r>
          </w:p>
          <w:p>
            <w:pPr>
              <w:widowControl/>
              <w:spacing w:line="360" w:lineRule="auto"/>
              <w:rPr>
                <w:rFonts w:ascii="宋体" w:hAnsi="宋体" w:eastAsia="宋体" w:cs="仿宋"/>
                <w:color w:val="000000"/>
                <w:kern w:val="0"/>
                <w:sz w:val="24"/>
                <w:szCs w:val="24"/>
              </w:rPr>
            </w:pPr>
            <w:r>
              <w:rPr>
                <w:rFonts w:hint="eastAsia" w:ascii="宋体" w:hAnsi="宋体" w:eastAsia="宋体" w:cs="仿宋"/>
                <w:kern w:val="0"/>
                <w:sz w:val="24"/>
                <w:szCs w:val="24"/>
              </w:rPr>
              <w:t>以上加“▲”项需提供公安部所属检验机构出具的检测报告复印件，并加盖投标人鲜章。</w:t>
            </w:r>
          </w:p>
        </w:tc>
        <w:tc>
          <w:tcPr>
            <w:tcW w:w="336"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台</w:t>
            </w:r>
          </w:p>
        </w:tc>
        <w:tc>
          <w:tcPr>
            <w:tcW w:w="335"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1</w:t>
            </w:r>
          </w:p>
        </w:tc>
        <w:tc>
          <w:tcPr>
            <w:tcW w:w="344" w:type="pct"/>
            <w:noWrap/>
            <w:vAlign w:val="center"/>
          </w:tcPr>
          <w:p>
            <w:pPr>
              <w:widowControl/>
              <w:spacing w:line="360" w:lineRule="auto"/>
              <w:jc w:val="center"/>
              <w:rPr>
                <w:rFonts w:ascii="宋体" w:hAnsi="宋体" w:eastAsia="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1</w:t>
            </w:r>
            <w:r>
              <w:rPr>
                <w:rFonts w:ascii="宋体" w:hAnsi="宋体" w:eastAsia="宋体" w:cs="仿宋"/>
                <w:color w:val="000000"/>
                <w:kern w:val="0"/>
                <w:sz w:val="24"/>
                <w:szCs w:val="24"/>
              </w:rPr>
              <w:t>1</w:t>
            </w:r>
          </w:p>
        </w:tc>
        <w:tc>
          <w:tcPr>
            <w:tcW w:w="583" w:type="pct"/>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入侵检测系统</w:t>
            </w:r>
          </w:p>
        </w:tc>
        <w:tc>
          <w:tcPr>
            <w:tcW w:w="2969" w:type="pct"/>
            <w:noWrap/>
            <w:vAlign w:val="center"/>
          </w:tcPr>
          <w:p>
            <w:pPr>
              <w:widowControl/>
              <w:spacing w:line="360" w:lineRule="auto"/>
              <w:rPr>
                <w:rFonts w:ascii="宋体" w:hAnsi="宋体" w:eastAsia="宋体" w:cs="仿宋"/>
                <w:color w:val="000000"/>
                <w:kern w:val="0"/>
                <w:sz w:val="24"/>
                <w:szCs w:val="24"/>
              </w:rPr>
            </w:pPr>
            <w:r>
              <w:rPr>
                <w:rFonts w:ascii="宋体" w:hAnsi="宋体" w:eastAsia="宋体" w:cs="仿宋"/>
                <w:color w:val="000000"/>
                <w:kern w:val="0"/>
                <w:sz w:val="24"/>
                <w:szCs w:val="24"/>
              </w:rPr>
              <w:t>1、1U机型，</w:t>
            </w:r>
            <w:r>
              <w:rPr>
                <w:rFonts w:hint="eastAsia" w:ascii="宋体" w:hAnsi="宋体" w:eastAsia="宋体" w:cs="仿宋"/>
                <w:color w:val="000000"/>
                <w:kern w:val="0"/>
                <w:sz w:val="24"/>
                <w:szCs w:val="24"/>
              </w:rPr>
              <w:t>要求</w:t>
            </w:r>
            <w:r>
              <w:rPr>
                <w:rFonts w:ascii="宋体" w:hAnsi="宋体" w:eastAsia="宋体" w:cs="仿宋"/>
                <w:color w:val="000000"/>
                <w:kern w:val="0"/>
                <w:sz w:val="24"/>
                <w:szCs w:val="24"/>
              </w:rPr>
              <w:t>含交流冗余电源，</w:t>
            </w:r>
            <w:r>
              <w:rPr>
                <w:rFonts w:hint="eastAsia" w:ascii="宋体" w:hAnsi="宋体" w:eastAsia="宋体" w:cs="仿宋"/>
                <w:color w:val="000000"/>
                <w:kern w:val="0"/>
                <w:sz w:val="24"/>
                <w:szCs w:val="24"/>
              </w:rPr>
              <w:t>接口配置≥</w:t>
            </w:r>
            <w:r>
              <w:rPr>
                <w:rFonts w:ascii="宋体" w:hAnsi="宋体" w:eastAsia="宋体" w:cs="仿宋"/>
                <w:color w:val="000000"/>
                <w:kern w:val="0"/>
                <w:sz w:val="24"/>
                <w:szCs w:val="24"/>
              </w:rPr>
              <w:t>1</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RJ45串口，</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1</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RJ45管理口，</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2</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USB接口，</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4</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GE电口(2路Bypass)，</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1个接口扩展槽位。</w:t>
            </w:r>
            <w:r>
              <w:rPr>
                <w:rFonts w:hint="eastAsia" w:ascii="宋体" w:hAnsi="宋体" w:eastAsia="宋体" w:cs="仿宋"/>
                <w:color w:val="000000"/>
                <w:kern w:val="0"/>
                <w:sz w:val="24"/>
                <w:szCs w:val="24"/>
              </w:rPr>
              <w:t>硬盘要求不少于</w:t>
            </w:r>
            <w:r>
              <w:rPr>
                <w:rFonts w:ascii="宋体" w:hAnsi="宋体" w:eastAsia="宋体" w:cs="仿宋"/>
                <w:color w:val="000000"/>
                <w:kern w:val="0"/>
                <w:sz w:val="24"/>
                <w:szCs w:val="24"/>
              </w:rPr>
              <w:t>1T。网络层吞吐量</w:t>
            </w:r>
            <w:r>
              <w:rPr>
                <w:rFonts w:hint="eastAsia" w:ascii="宋体" w:hAnsi="宋体" w:eastAsia="宋体" w:cs="仿宋"/>
                <w:color w:val="000000"/>
                <w:kern w:val="0"/>
                <w:sz w:val="24"/>
                <w:szCs w:val="24"/>
              </w:rPr>
              <w:t>个≥5</w:t>
            </w:r>
            <w:r>
              <w:rPr>
                <w:rFonts w:ascii="宋体" w:hAnsi="宋体" w:eastAsia="宋体" w:cs="仿宋"/>
                <w:color w:val="000000"/>
                <w:kern w:val="0"/>
                <w:sz w:val="24"/>
                <w:szCs w:val="24"/>
              </w:rPr>
              <w:t>G,最大并发连接数</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200万；每秒新增会话数</w:t>
            </w:r>
            <w:r>
              <w:rPr>
                <w:rFonts w:hint="eastAsia" w:ascii="宋体" w:hAnsi="宋体" w:eastAsia="宋体" w:cs="仿宋"/>
                <w:color w:val="000000"/>
                <w:kern w:val="0"/>
                <w:sz w:val="24"/>
                <w:szCs w:val="24"/>
              </w:rPr>
              <w:t>≥6</w:t>
            </w:r>
            <w:r>
              <w:rPr>
                <w:rFonts w:ascii="宋体" w:hAnsi="宋体" w:eastAsia="宋体" w:cs="仿宋"/>
                <w:color w:val="000000"/>
                <w:kern w:val="0"/>
                <w:sz w:val="24"/>
                <w:szCs w:val="24"/>
              </w:rPr>
              <w:t>0000；</w:t>
            </w:r>
          </w:p>
          <w:p>
            <w:pPr>
              <w:snapToGrid w:val="0"/>
              <w:spacing w:line="360" w:lineRule="auto"/>
              <w:textAlignment w:val="baseline"/>
              <w:rPr>
                <w:rFonts w:ascii="宋体" w:hAnsi="宋体" w:eastAsia="宋体" w:cs="仿宋"/>
                <w:color w:val="000000"/>
                <w:kern w:val="0"/>
                <w:sz w:val="24"/>
                <w:szCs w:val="24"/>
              </w:rPr>
            </w:pPr>
            <w:r>
              <w:rPr>
                <w:rFonts w:hint="eastAsia" w:ascii="宋体" w:hAnsi="宋体" w:eastAsia="宋体" w:cs="仿宋"/>
                <w:color w:val="000000"/>
                <w:kern w:val="0"/>
                <w:sz w:val="24"/>
                <w:szCs w:val="24"/>
              </w:rPr>
              <w:t>2、提供入侵检测事件库事件数量≥9000 条且具备CVE-Compatible兼容性认证</w:t>
            </w:r>
          </w:p>
          <w:p>
            <w:pPr>
              <w:snapToGrid w:val="0"/>
              <w:spacing w:line="360" w:lineRule="auto"/>
              <w:textAlignment w:val="baseline"/>
              <w:rPr>
                <w:rFonts w:ascii="宋体" w:hAnsi="宋体" w:eastAsia="宋体" w:cs="仿宋"/>
                <w:color w:val="000000"/>
                <w:kern w:val="0"/>
                <w:sz w:val="24"/>
                <w:szCs w:val="24"/>
              </w:rPr>
            </w:pPr>
            <w:r>
              <w:rPr>
                <w:rFonts w:hint="eastAsia" w:ascii="宋体" w:hAnsi="宋体" w:eastAsia="宋体" w:cs="仿宋"/>
                <w:color w:val="000000"/>
                <w:kern w:val="0"/>
                <w:sz w:val="24"/>
                <w:szCs w:val="24"/>
              </w:rPr>
              <w:t>3、▲支持基于</w:t>
            </w:r>
            <w:r>
              <w:rPr>
                <w:rFonts w:ascii="宋体" w:hAnsi="宋体" w:eastAsia="宋体" w:cs="仿宋"/>
                <w:color w:val="000000"/>
                <w:kern w:val="0"/>
                <w:sz w:val="24"/>
                <w:szCs w:val="24"/>
              </w:rPr>
              <w:t>SCADA</w:t>
            </w:r>
            <w:r>
              <w:rPr>
                <w:rFonts w:hint="eastAsia" w:ascii="宋体" w:hAnsi="宋体" w:eastAsia="宋体" w:cs="仿宋"/>
                <w:color w:val="000000"/>
                <w:kern w:val="0"/>
                <w:sz w:val="24"/>
                <w:szCs w:val="24"/>
              </w:rPr>
              <w:t>等工控协议的相关漏洞攻击检测与防护（需提供功能页面截图证明材料，并加盖供应商公章）；</w:t>
            </w:r>
          </w:p>
          <w:p>
            <w:pPr>
              <w:snapToGrid w:val="0"/>
              <w:spacing w:line="360" w:lineRule="auto"/>
              <w:textAlignment w:val="baseline"/>
              <w:rPr>
                <w:rFonts w:ascii="宋体" w:hAnsi="宋体" w:eastAsia="宋体" w:cs="仿宋"/>
                <w:color w:val="000000"/>
                <w:kern w:val="0"/>
                <w:sz w:val="24"/>
                <w:szCs w:val="24"/>
              </w:rPr>
            </w:pPr>
            <w:r>
              <w:rPr>
                <w:rFonts w:hint="eastAsia" w:ascii="宋体" w:hAnsi="宋体" w:eastAsia="宋体" w:cs="仿宋"/>
                <w:color w:val="000000"/>
                <w:kern w:val="0"/>
                <w:sz w:val="24"/>
                <w:szCs w:val="24"/>
              </w:rPr>
              <w:t>4、提供对 IPv6 协议族的转发和解析能力，保证设备在下一代网络的可用性，适应多种不同的网络环境；</w:t>
            </w:r>
          </w:p>
          <w:p>
            <w:pPr>
              <w:snapToGrid w:val="0"/>
              <w:spacing w:line="360" w:lineRule="auto"/>
              <w:textAlignment w:val="baseline"/>
              <w:rPr>
                <w:rFonts w:ascii="宋体" w:hAnsi="宋体" w:eastAsia="宋体" w:cs="仿宋"/>
                <w:color w:val="000000"/>
                <w:kern w:val="0"/>
                <w:sz w:val="24"/>
                <w:szCs w:val="24"/>
              </w:rPr>
            </w:pPr>
            <w:r>
              <w:rPr>
                <w:rFonts w:hint="eastAsia" w:ascii="宋体" w:hAnsi="宋体" w:eastAsia="宋体" w:cs="仿宋"/>
                <w:color w:val="000000"/>
                <w:kern w:val="0"/>
                <w:sz w:val="24"/>
                <w:szCs w:val="24"/>
              </w:rPr>
              <w:t>5、为保障服务器安全，防止服务器设备非法外联行为，产品提供服务器异常告警功能，可以自学习服务器正常工作行为，并以此为基线检测处服务器非法外联行为。。</w:t>
            </w:r>
          </w:p>
          <w:p>
            <w:pPr>
              <w:snapToGrid w:val="0"/>
              <w:spacing w:line="360" w:lineRule="auto"/>
              <w:textAlignment w:val="baseline"/>
              <w:rPr>
                <w:rFonts w:ascii="宋体" w:hAnsi="宋体" w:eastAsia="宋体" w:cs="仿宋"/>
                <w:color w:val="000000"/>
                <w:kern w:val="0"/>
                <w:sz w:val="24"/>
                <w:szCs w:val="24"/>
              </w:rPr>
            </w:pPr>
            <w:r>
              <w:rPr>
                <w:rFonts w:hint="eastAsia" w:ascii="宋体" w:hAnsi="宋体" w:eastAsia="宋体" w:cs="仿宋"/>
                <w:color w:val="000000"/>
                <w:kern w:val="0"/>
                <w:sz w:val="24"/>
                <w:szCs w:val="24"/>
              </w:rPr>
              <w:t>6、提供敏感信息检测功能，识别信息和文件中的敏感信息，包括但不限于：身份证、手机号码、银行卡；</w:t>
            </w:r>
          </w:p>
          <w:p>
            <w:pPr>
              <w:snapToGrid w:val="0"/>
              <w:spacing w:line="360" w:lineRule="auto"/>
              <w:textAlignment w:val="baseline"/>
              <w:rPr>
                <w:rFonts w:ascii="宋体" w:hAnsi="宋体" w:eastAsia="宋体" w:cs="仿宋"/>
                <w:color w:val="000000"/>
                <w:kern w:val="0"/>
                <w:sz w:val="24"/>
                <w:szCs w:val="24"/>
              </w:rPr>
            </w:pPr>
            <w:r>
              <w:rPr>
                <w:rFonts w:hint="eastAsia" w:ascii="宋体" w:hAnsi="宋体" w:eastAsia="宋体" w:cs="仿宋"/>
                <w:color w:val="000000"/>
                <w:kern w:val="0"/>
                <w:sz w:val="24"/>
                <w:szCs w:val="24"/>
              </w:rPr>
              <w:t>7、为方便设备运维监控，设备支持硬件异常状态监控，可监控设备</w:t>
            </w:r>
            <w:r>
              <w:rPr>
                <w:rFonts w:ascii="宋体" w:hAnsi="宋体" w:eastAsia="宋体" w:cs="仿宋"/>
                <w:color w:val="000000"/>
                <w:kern w:val="0"/>
                <w:sz w:val="24"/>
                <w:szCs w:val="24"/>
              </w:rPr>
              <w:t>CPU</w:t>
            </w:r>
            <w:r>
              <w:rPr>
                <w:rFonts w:hint="eastAsia" w:ascii="宋体" w:hAnsi="宋体" w:eastAsia="宋体" w:cs="仿宋"/>
                <w:color w:val="000000"/>
                <w:kern w:val="0"/>
                <w:sz w:val="24"/>
                <w:szCs w:val="24"/>
              </w:rPr>
              <w:t>温度，主板温度，风扇的转速。</w:t>
            </w:r>
          </w:p>
          <w:p>
            <w:pPr>
              <w:snapToGrid w:val="0"/>
              <w:spacing w:line="360" w:lineRule="auto"/>
              <w:textAlignment w:val="baseline"/>
              <w:rPr>
                <w:rFonts w:ascii="宋体" w:hAnsi="宋体" w:eastAsia="宋体" w:cs="仿宋"/>
                <w:color w:val="000000"/>
                <w:kern w:val="0"/>
                <w:sz w:val="24"/>
                <w:szCs w:val="24"/>
              </w:rPr>
            </w:pPr>
            <w:r>
              <w:rPr>
                <w:rFonts w:hint="eastAsia" w:ascii="宋体" w:hAnsi="宋体" w:eastAsia="宋体" w:cs="仿宋"/>
                <w:kern w:val="0"/>
                <w:sz w:val="24"/>
                <w:szCs w:val="24"/>
              </w:rPr>
              <w:t>以上加“▲”项需提供公安部所属检验机构出具的检测报告复印件，并加盖投标人鲜章。</w:t>
            </w:r>
          </w:p>
        </w:tc>
        <w:tc>
          <w:tcPr>
            <w:tcW w:w="336"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套</w:t>
            </w:r>
          </w:p>
        </w:tc>
        <w:tc>
          <w:tcPr>
            <w:tcW w:w="335"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1</w:t>
            </w:r>
          </w:p>
        </w:tc>
        <w:tc>
          <w:tcPr>
            <w:tcW w:w="344" w:type="pct"/>
            <w:noWrap/>
            <w:vAlign w:val="center"/>
          </w:tcPr>
          <w:p>
            <w:pPr>
              <w:widowControl/>
              <w:spacing w:line="360" w:lineRule="auto"/>
              <w:jc w:val="center"/>
              <w:rPr>
                <w:rFonts w:ascii="宋体" w:hAnsi="宋体" w:eastAsia="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1</w:t>
            </w:r>
            <w:r>
              <w:rPr>
                <w:rFonts w:ascii="宋体" w:hAnsi="宋体" w:eastAsia="宋体" w:cs="仿宋"/>
                <w:color w:val="000000"/>
                <w:kern w:val="0"/>
                <w:sz w:val="24"/>
                <w:szCs w:val="24"/>
              </w:rPr>
              <w:t>2</w:t>
            </w:r>
          </w:p>
        </w:tc>
        <w:tc>
          <w:tcPr>
            <w:tcW w:w="583" w:type="pct"/>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日志审计系统</w:t>
            </w:r>
          </w:p>
        </w:tc>
        <w:tc>
          <w:tcPr>
            <w:tcW w:w="2969" w:type="pct"/>
            <w:noWrap/>
            <w:vAlign w:val="center"/>
          </w:tcPr>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1、</w:t>
            </w:r>
            <w:r>
              <w:rPr>
                <w:rFonts w:ascii="宋体" w:hAnsi="宋体" w:eastAsia="宋体" w:cs="仿宋"/>
                <w:color w:val="000000"/>
                <w:kern w:val="0"/>
                <w:sz w:val="24"/>
                <w:szCs w:val="24"/>
              </w:rPr>
              <w:t>1U</w:t>
            </w:r>
            <w:r>
              <w:rPr>
                <w:rFonts w:hint="eastAsia" w:ascii="宋体" w:hAnsi="宋体" w:eastAsia="宋体" w:cs="仿宋"/>
                <w:color w:val="000000"/>
                <w:kern w:val="0"/>
                <w:sz w:val="24"/>
                <w:szCs w:val="24"/>
              </w:rPr>
              <w:t>机型</w:t>
            </w:r>
            <w:r>
              <w:rPr>
                <w:rFonts w:ascii="宋体" w:hAnsi="宋体" w:eastAsia="宋体" w:cs="仿宋"/>
                <w:color w:val="000000"/>
                <w:kern w:val="0"/>
                <w:sz w:val="24"/>
                <w:szCs w:val="24"/>
              </w:rPr>
              <w:t>,</w:t>
            </w:r>
            <w:r>
              <w:rPr>
                <w:rFonts w:hint="eastAsia" w:ascii="宋体" w:hAnsi="宋体" w:eastAsia="宋体" w:cs="仿宋"/>
                <w:color w:val="000000"/>
                <w:kern w:val="0"/>
                <w:sz w:val="24"/>
                <w:szCs w:val="24"/>
              </w:rPr>
              <w:t>要求具备</w:t>
            </w:r>
            <w:r>
              <w:rPr>
                <w:rFonts w:ascii="宋体" w:hAnsi="宋体" w:eastAsia="宋体" w:cs="仿宋"/>
                <w:color w:val="000000"/>
                <w:kern w:val="0"/>
                <w:sz w:val="24"/>
                <w:szCs w:val="24"/>
              </w:rPr>
              <w:t>交流冗余电源模块,</w:t>
            </w:r>
            <w:r>
              <w:rPr>
                <w:rFonts w:hint="eastAsia" w:ascii="宋体" w:hAnsi="宋体" w:eastAsia="宋体" w:cs="仿宋"/>
                <w:color w:val="000000"/>
                <w:kern w:val="0"/>
                <w:sz w:val="24"/>
                <w:szCs w:val="24"/>
              </w:rPr>
              <w:t>接口配置≥</w:t>
            </w:r>
            <w:r>
              <w:rPr>
                <w:rFonts w:ascii="宋体" w:hAnsi="宋体" w:eastAsia="宋体" w:cs="仿宋"/>
                <w:color w:val="000000"/>
                <w:kern w:val="0"/>
                <w:sz w:val="24"/>
                <w:szCs w:val="24"/>
              </w:rPr>
              <w:t>2</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USB接口,</w:t>
            </w:r>
            <w:r>
              <w:rPr>
                <w:rFonts w:hint="eastAsia" w:ascii="宋体" w:hAnsi="宋体" w:eastAsia="宋体" w:cs="仿宋"/>
                <w:color w:val="000000"/>
                <w:kern w:val="0"/>
                <w:sz w:val="24"/>
                <w:szCs w:val="24"/>
              </w:rPr>
              <w:t xml:space="preserve"> ≥</w:t>
            </w:r>
            <w:r>
              <w:rPr>
                <w:rFonts w:ascii="宋体" w:hAnsi="宋体" w:eastAsia="宋体" w:cs="仿宋"/>
                <w:color w:val="000000"/>
                <w:kern w:val="0"/>
                <w:sz w:val="24"/>
                <w:szCs w:val="24"/>
              </w:rPr>
              <w:t>1</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RJ45串口,</w:t>
            </w:r>
            <w:r>
              <w:rPr>
                <w:rFonts w:hint="eastAsia" w:ascii="宋体" w:hAnsi="宋体" w:eastAsia="宋体" w:cs="仿宋"/>
                <w:color w:val="000000"/>
                <w:kern w:val="0"/>
                <w:sz w:val="24"/>
                <w:szCs w:val="24"/>
              </w:rPr>
              <w:t xml:space="preserve"> ≥</w:t>
            </w:r>
            <w:r>
              <w:rPr>
                <w:rFonts w:ascii="宋体" w:hAnsi="宋体" w:eastAsia="宋体" w:cs="仿宋"/>
                <w:color w:val="000000"/>
                <w:kern w:val="0"/>
                <w:sz w:val="24"/>
                <w:szCs w:val="24"/>
              </w:rPr>
              <w:t>2</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GE管理口,</w:t>
            </w:r>
            <w:r>
              <w:rPr>
                <w:rFonts w:hint="eastAsia" w:ascii="宋体" w:hAnsi="宋体" w:eastAsia="宋体" w:cs="仿宋"/>
                <w:color w:val="000000"/>
                <w:kern w:val="0"/>
                <w:sz w:val="24"/>
                <w:szCs w:val="24"/>
              </w:rPr>
              <w:t xml:space="preserve"> ≥</w:t>
            </w:r>
            <w:r>
              <w:rPr>
                <w:rFonts w:ascii="宋体" w:hAnsi="宋体" w:eastAsia="宋体" w:cs="仿宋"/>
                <w:color w:val="000000"/>
                <w:kern w:val="0"/>
                <w:sz w:val="24"/>
                <w:szCs w:val="24"/>
              </w:rPr>
              <w:t>4个接口扩展槽位,</w:t>
            </w:r>
            <w:r>
              <w:rPr>
                <w:rFonts w:hint="eastAsia" w:ascii="宋体" w:hAnsi="宋体" w:eastAsia="宋体" w:cs="仿宋"/>
                <w:color w:val="000000"/>
                <w:kern w:val="0"/>
                <w:sz w:val="24"/>
                <w:szCs w:val="24"/>
              </w:rPr>
              <w:t xml:space="preserve"> ≥</w:t>
            </w:r>
            <w:r>
              <w:rPr>
                <w:rFonts w:ascii="宋体" w:hAnsi="宋体" w:eastAsia="宋体" w:cs="仿宋"/>
                <w:color w:val="000000"/>
                <w:kern w:val="0"/>
                <w:sz w:val="24"/>
                <w:szCs w:val="24"/>
              </w:rPr>
              <w:t>4TB SATA硬盘</w:t>
            </w:r>
            <w:r>
              <w:rPr>
                <w:rFonts w:hint="eastAsia" w:ascii="宋体" w:hAnsi="宋体" w:eastAsia="宋体" w:cs="仿宋"/>
                <w:color w:val="000000"/>
                <w:kern w:val="0"/>
                <w:sz w:val="24"/>
                <w:szCs w:val="24"/>
              </w:rPr>
              <w:t>。</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 xml:space="preserve">2、配置≥40日志源接入，可扩展日志源接入数量；支持单机每秒≥3000EPS的日志平均处理能力，最高每秒≥6000EPS的日志平均处理能力； </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3、系统支持的数据采集范围包括但不限于网络安全设备、交换设备、路由设备、操作系统、应用系统等；</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4、系统应支持界面配置即可完成未识别日志接入，无需编写xml；</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5、支持内置归并策略，对HTTP数据进行自动归并处理；</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6、支持对事件名称、源地址、源端口、目的地址、目的端口相同的进行归并，条件可以多种组合:支持对指定设备发送的日志进行归并，其他设备发送的将不进行归并:支持对事件个数深度和事件时间深度进行归并；</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7、系统应能够对异构日志格式进行统一化处理并保存统一化处理后的日志数据；</w:t>
            </w:r>
          </w:p>
        </w:tc>
        <w:tc>
          <w:tcPr>
            <w:tcW w:w="336"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套</w:t>
            </w:r>
          </w:p>
        </w:tc>
        <w:tc>
          <w:tcPr>
            <w:tcW w:w="335"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1</w:t>
            </w:r>
          </w:p>
        </w:tc>
        <w:tc>
          <w:tcPr>
            <w:tcW w:w="344" w:type="pct"/>
            <w:noWrap/>
            <w:vAlign w:val="center"/>
          </w:tcPr>
          <w:p>
            <w:pPr>
              <w:widowControl/>
              <w:spacing w:line="360" w:lineRule="auto"/>
              <w:jc w:val="center"/>
              <w:rPr>
                <w:rFonts w:ascii="宋体" w:hAnsi="宋体" w:eastAsia="宋体"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1</w:t>
            </w:r>
            <w:r>
              <w:rPr>
                <w:rFonts w:ascii="宋体" w:hAnsi="宋体" w:eastAsia="宋体" w:cs="仿宋"/>
                <w:color w:val="000000"/>
                <w:kern w:val="0"/>
                <w:sz w:val="24"/>
                <w:szCs w:val="24"/>
              </w:rPr>
              <w:t>3</w:t>
            </w:r>
          </w:p>
        </w:tc>
        <w:tc>
          <w:tcPr>
            <w:tcW w:w="583" w:type="pct"/>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远程安全评估系统（漏扫）</w:t>
            </w:r>
          </w:p>
        </w:tc>
        <w:tc>
          <w:tcPr>
            <w:tcW w:w="2969" w:type="pct"/>
            <w:noWrap/>
            <w:vAlign w:val="center"/>
          </w:tcPr>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1、</w:t>
            </w:r>
            <w:r>
              <w:rPr>
                <w:rFonts w:ascii="宋体" w:hAnsi="宋体" w:eastAsia="宋体" w:cs="仿宋"/>
                <w:color w:val="000000"/>
                <w:kern w:val="0"/>
                <w:sz w:val="24"/>
                <w:szCs w:val="24"/>
              </w:rPr>
              <w:t>1U</w:t>
            </w:r>
            <w:r>
              <w:rPr>
                <w:rFonts w:hint="eastAsia" w:ascii="宋体" w:hAnsi="宋体" w:eastAsia="宋体" w:cs="仿宋"/>
                <w:color w:val="000000"/>
                <w:kern w:val="0"/>
                <w:sz w:val="24"/>
                <w:szCs w:val="24"/>
              </w:rPr>
              <w:t>机型</w:t>
            </w:r>
            <w:r>
              <w:rPr>
                <w:rFonts w:ascii="宋体" w:hAnsi="宋体" w:eastAsia="宋体" w:cs="仿宋"/>
                <w:color w:val="000000"/>
                <w:kern w:val="0"/>
                <w:sz w:val="24"/>
                <w:szCs w:val="24"/>
              </w:rPr>
              <w:t>，含交流单电源，</w:t>
            </w:r>
            <w:r>
              <w:rPr>
                <w:rFonts w:hint="eastAsia" w:ascii="宋体" w:hAnsi="宋体" w:eastAsia="宋体" w:cs="仿宋"/>
                <w:color w:val="000000"/>
                <w:kern w:val="0"/>
                <w:sz w:val="24"/>
                <w:szCs w:val="24"/>
              </w:rPr>
              <w:t>接口配置≥</w:t>
            </w:r>
            <w:r>
              <w:rPr>
                <w:rFonts w:ascii="宋体" w:hAnsi="宋体" w:eastAsia="宋体" w:cs="仿宋"/>
                <w:color w:val="000000"/>
                <w:kern w:val="0"/>
                <w:sz w:val="24"/>
                <w:szCs w:val="24"/>
              </w:rPr>
              <w:t>1</w:t>
            </w:r>
            <w:r>
              <w:rPr>
                <w:rFonts w:hint="eastAsia" w:ascii="宋体" w:hAnsi="宋体" w:eastAsia="宋体" w:cs="仿宋"/>
                <w:color w:val="000000"/>
                <w:kern w:val="0"/>
                <w:sz w:val="24"/>
                <w:szCs w:val="24"/>
              </w:rPr>
              <w:t>个</w:t>
            </w:r>
            <w:r>
              <w:rPr>
                <w:rFonts w:ascii="宋体" w:hAnsi="宋体" w:eastAsia="宋体" w:cs="仿宋"/>
                <w:color w:val="000000"/>
                <w:kern w:val="0"/>
                <w:sz w:val="24"/>
                <w:szCs w:val="24"/>
              </w:rPr>
              <w:t>RJ45串口，</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5个10M/100M/1000M自适应以太网电口扫描口，</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4个光口，</w:t>
            </w:r>
            <w:r>
              <w:rPr>
                <w:rFonts w:hint="eastAsia" w:ascii="宋体" w:hAnsi="宋体" w:eastAsia="宋体" w:cs="仿宋"/>
                <w:color w:val="000000"/>
                <w:kern w:val="0"/>
                <w:sz w:val="24"/>
                <w:szCs w:val="24"/>
              </w:rPr>
              <w:t>≥</w:t>
            </w:r>
            <w:r>
              <w:rPr>
                <w:rFonts w:ascii="宋体" w:hAnsi="宋体" w:eastAsia="宋体" w:cs="仿宋"/>
                <w:color w:val="000000"/>
                <w:kern w:val="0"/>
                <w:sz w:val="24"/>
                <w:szCs w:val="24"/>
              </w:rPr>
              <w:t>1个接口扩展槽位</w:t>
            </w:r>
            <w:r>
              <w:rPr>
                <w:rFonts w:hint="eastAsia" w:ascii="宋体" w:hAnsi="宋体" w:eastAsia="宋体" w:cs="仿宋"/>
                <w:color w:val="000000"/>
                <w:kern w:val="0"/>
                <w:sz w:val="24"/>
                <w:szCs w:val="24"/>
              </w:rPr>
              <w:t>；</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2、允许最大并发扫描≥60个IP地址，允许最大并发任务≥15个任务，配置≥128个无限制范围的IP地址或域名扫描；</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3、支持检测的漏洞数大于2</w:t>
            </w:r>
            <w:r>
              <w:rPr>
                <w:rFonts w:ascii="宋体" w:hAnsi="宋体" w:eastAsia="宋体" w:cs="仿宋"/>
                <w:color w:val="000000"/>
                <w:kern w:val="0"/>
                <w:sz w:val="24"/>
                <w:szCs w:val="24"/>
              </w:rPr>
              <w:t>2</w:t>
            </w:r>
            <w:r>
              <w:rPr>
                <w:rFonts w:hint="eastAsia" w:ascii="宋体" w:hAnsi="宋体" w:eastAsia="宋体" w:cs="仿宋"/>
                <w:color w:val="000000"/>
                <w:kern w:val="0"/>
                <w:sz w:val="24"/>
                <w:szCs w:val="24"/>
              </w:rPr>
              <w:t>0000条，兼容CVE、CNCVE、CNNVD、CNVD、Bugtraq等主流标准；</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4、产品应支持通过多种维度对漏洞进行检索，包括：CVE ID、BUGTRAQ ID、CNCVE ID、CNVD ID、CNNVD ID、MS 编号、风险等级、漏洞名称、是否使用危险插件、漏洞发布日期等信息；</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5、提供高级漏洞模板过滤器，支持将符合筛选条件的漏洞自动加入到自定义漏洞模板中，及后续插件升级包中的漏洞也可以自动加入到模板中；</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6、支持立即执行、定时执行、周期执行扫描任务，自定义的周期时间可精确至每*月第*个星期*的*点*分；</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7、支持断点续扫，可对已完成的扫描任务中没有被覆盖到的目标重新下发扫描任务；</w:t>
            </w:r>
          </w:p>
          <w:p>
            <w:pPr>
              <w:widowControl/>
              <w:spacing w:line="360" w:lineRule="auto"/>
              <w:rPr>
                <w:rFonts w:ascii="宋体" w:hAnsi="宋体" w:eastAsia="宋体" w:cs="仿宋"/>
                <w:color w:val="000000"/>
                <w:kern w:val="0"/>
                <w:sz w:val="24"/>
                <w:szCs w:val="24"/>
              </w:rPr>
            </w:pPr>
            <w:r>
              <w:rPr>
                <w:rFonts w:hint="eastAsia" w:ascii="宋体" w:hAnsi="宋体" w:eastAsia="宋体" w:cs="仿宋"/>
                <w:color w:val="000000"/>
                <w:kern w:val="0"/>
                <w:sz w:val="24"/>
                <w:szCs w:val="24"/>
              </w:rPr>
              <w:t>▲8、支持专门针对</w:t>
            </w:r>
            <w:r>
              <w:rPr>
                <w:rFonts w:ascii="宋体" w:hAnsi="宋体" w:eastAsia="宋体" w:cs="仿宋"/>
                <w:color w:val="000000"/>
                <w:kern w:val="0"/>
                <w:sz w:val="24"/>
                <w:szCs w:val="24"/>
              </w:rPr>
              <w:t>DNS</w:t>
            </w:r>
            <w:r>
              <w:rPr>
                <w:rFonts w:hint="eastAsia" w:ascii="宋体" w:hAnsi="宋体" w:eastAsia="宋体" w:cs="仿宋"/>
                <w:color w:val="000000"/>
                <w:kern w:val="0"/>
                <w:sz w:val="24"/>
                <w:szCs w:val="24"/>
              </w:rPr>
              <w:t>服务的安全漏洞检测，包括</w:t>
            </w:r>
            <w:r>
              <w:rPr>
                <w:rFonts w:ascii="宋体" w:hAnsi="宋体" w:eastAsia="宋体" w:cs="仿宋"/>
                <w:color w:val="000000"/>
                <w:kern w:val="0"/>
                <w:sz w:val="24"/>
                <w:szCs w:val="24"/>
              </w:rPr>
              <w:t>DNS</w:t>
            </w:r>
            <w:r>
              <w:rPr>
                <w:rFonts w:hint="eastAsia" w:ascii="宋体" w:hAnsi="宋体" w:eastAsia="宋体" w:cs="仿宋"/>
                <w:color w:val="000000"/>
                <w:kern w:val="0"/>
                <w:sz w:val="24"/>
                <w:szCs w:val="24"/>
              </w:rPr>
              <w:t>投毒等漏洞检测能力；支持“幽灵木马”检测（需提供功能页面截图证明材料，并加盖供应商公章）。</w:t>
            </w:r>
          </w:p>
          <w:p>
            <w:pPr>
              <w:widowControl/>
              <w:spacing w:line="360" w:lineRule="auto"/>
              <w:rPr>
                <w:rFonts w:ascii="宋体" w:hAnsi="宋体" w:eastAsia="宋体" w:cs="仿宋"/>
                <w:color w:val="000000"/>
                <w:kern w:val="0"/>
                <w:sz w:val="24"/>
                <w:szCs w:val="24"/>
              </w:rPr>
            </w:pPr>
            <w:r>
              <w:rPr>
                <w:rFonts w:hint="eastAsia" w:ascii="宋体" w:hAnsi="宋体" w:eastAsia="宋体" w:cs="仿宋"/>
                <w:kern w:val="0"/>
                <w:sz w:val="24"/>
                <w:szCs w:val="24"/>
              </w:rPr>
              <w:t>以上加“▲”项需提供公安部所属检验机构出具的检测报告复印件，并加盖投标人鲜章。</w:t>
            </w:r>
          </w:p>
        </w:tc>
        <w:tc>
          <w:tcPr>
            <w:tcW w:w="336"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套</w:t>
            </w:r>
          </w:p>
        </w:tc>
        <w:tc>
          <w:tcPr>
            <w:tcW w:w="335" w:type="pct"/>
            <w:noWrap/>
            <w:vAlign w:val="center"/>
          </w:tcPr>
          <w:p>
            <w:pPr>
              <w:widowControl/>
              <w:spacing w:line="360" w:lineRule="auto"/>
              <w:jc w:val="center"/>
              <w:rPr>
                <w:rFonts w:ascii="宋体" w:hAnsi="宋体" w:eastAsia="宋体" w:cs="仿宋"/>
                <w:color w:val="000000"/>
                <w:kern w:val="0"/>
                <w:sz w:val="24"/>
                <w:szCs w:val="24"/>
              </w:rPr>
            </w:pPr>
            <w:r>
              <w:rPr>
                <w:rFonts w:hint="eastAsia" w:ascii="宋体" w:hAnsi="宋体" w:eastAsia="宋体" w:cs="仿宋"/>
                <w:color w:val="000000"/>
                <w:kern w:val="0"/>
                <w:sz w:val="24"/>
                <w:szCs w:val="24"/>
              </w:rPr>
              <w:t>1</w:t>
            </w:r>
          </w:p>
        </w:tc>
        <w:tc>
          <w:tcPr>
            <w:tcW w:w="344" w:type="pct"/>
            <w:noWrap/>
            <w:vAlign w:val="center"/>
          </w:tcPr>
          <w:p>
            <w:pPr>
              <w:widowControl/>
              <w:spacing w:line="360" w:lineRule="auto"/>
              <w:jc w:val="center"/>
              <w:rPr>
                <w:rFonts w:ascii="宋体" w:hAnsi="宋体" w:eastAsia="宋体" w:cs="仿宋"/>
                <w:color w:val="000000"/>
                <w:kern w:val="0"/>
                <w:sz w:val="24"/>
                <w:szCs w:val="24"/>
              </w:rPr>
            </w:pPr>
          </w:p>
        </w:tc>
      </w:tr>
    </w:tbl>
    <w:p>
      <w:pPr>
        <w:numPr>
          <w:ilvl w:val="0"/>
          <w:numId w:val="68"/>
        </w:numPr>
        <w:spacing w:line="360" w:lineRule="auto"/>
        <w:contextualSpacing/>
        <w:rPr>
          <w:rFonts w:ascii="宋体" w:hAnsi="宋体" w:eastAsia="宋体" w:cs="宋体"/>
          <w:b/>
          <w:bCs/>
          <w:color w:val="0D0D0D"/>
          <w:sz w:val="24"/>
        </w:rPr>
      </w:pPr>
      <w:r>
        <w:rPr>
          <w:rFonts w:hint="eastAsia" w:ascii="宋体" w:hAnsi="宋体" w:eastAsia="宋体" w:cs="宋体"/>
          <w:b/>
          <w:bCs/>
          <w:color w:val="0D0D0D"/>
          <w:sz w:val="24"/>
        </w:rPr>
        <w:t>标注“</w:t>
      </w:r>
      <w:r>
        <w:rPr>
          <w:rFonts w:hint="eastAsia" w:ascii="宋体" w:hAnsi="宋体" w:eastAsia="宋体" w:cs="宋体"/>
          <w:bCs/>
          <w:sz w:val="24"/>
        </w:rPr>
        <w:t>▲</w:t>
      </w:r>
      <w:r>
        <w:rPr>
          <w:rFonts w:hint="eastAsia" w:ascii="宋体" w:hAnsi="宋体" w:eastAsia="宋体" w:cs="宋体"/>
          <w:b/>
          <w:bCs/>
          <w:color w:val="0D0D0D"/>
          <w:sz w:val="24"/>
        </w:rPr>
        <w:t>”条款为重要性条款，未标注“</w:t>
      </w:r>
      <w:r>
        <w:rPr>
          <w:rFonts w:hint="eastAsia" w:ascii="宋体" w:hAnsi="宋体" w:eastAsia="宋体" w:cs="宋体"/>
          <w:bCs/>
          <w:sz w:val="24"/>
        </w:rPr>
        <w:t>▲</w:t>
      </w:r>
      <w:r>
        <w:rPr>
          <w:rFonts w:hint="eastAsia" w:ascii="宋体" w:hAnsi="宋体" w:eastAsia="宋体" w:cs="宋体"/>
          <w:b/>
          <w:bCs/>
          <w:color w:val="0D0D0D"/>
          <w:sz w:val="24"/>
        </w:rPr>
        <w:t>”条款为一般性技术条款。</w:t>
      </w:r>
    </w:p>
    <w:p>
      <w:pPr>
        <w:keepNext w:val="0"/>
        <w:keepLines w:val="0"/>
        <w:pageBreakBefore w:val="0"/>
        <w:numPr>
          <w:ilvl w:val="0"/>
          <w:numId w:val="68"/>
        </w:numPr>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宋体" w:hAnsi="宋体" w:eastAsia="宋体" w:cs="宋体"/>
          <w:b/>
          <w:bCs/>
          <w:color w:val="0D0D0D"/>
          <w:sz w:val="24"/>
          <w:szCs w:val="24"/>
          <w:highlight w:val="none"/>
        </w:rPr>
      </w:pPr>
      <w:r>
        <w:rPr>
          <w:rFonts w:hint="eastAsia" w:ascii="宋体" w:hAnsi="宋体" w:eastAsia="宋体" w:cs="宋体"/>
          <w:b/>
          <w:bCs/>
          <w:sz w:val="24"/>
          <w:szCs w:val="24"/>
          <w:highlight w:val="yellow"/>
          <w:lang w:val="en-US" w:eastAsia="zh-CN" w:bidi="ar-SA"/>
        </w:rPr>
        <w:t>★</w:t>
      </w:r>
      <w:r>
        <w:rPr>
          <w:rFonts w:hint="eastAsia" w:ascii="宋体" w:hAnsi="宋体" w:eastAsia="宋体" w:cs="宋体"/>
          <w:b/>
          <w:bCs/>
          <w:color w:val="0D0D0D"/>
          <w:sz w:val="24"/>
          <w:szCs w:val="24"/>
          <w:highlight w:val="none"/>
        </w:rPr>
        <w:t>如所提供的设备属于中国强制产品CCC认证产品</w:t>
      </w:r>
      <w:r>
        <w:rPr>
          <w:rFonts w:hint="eastAsia" w:ascii="宋体" w:hAnsi="宋体" w:cs="宋体"/>
          <w:b/>
          <w:bCs/>
          <w:color w:val="0D0D0D"/>
          <w:sz w:val="24"/>
          <w:szCs w:val="24"/>
          <w:highlight w:val="none"/>
          <w:lang w:eastAsia="zh-CN"/>
        </w:rPr>
        <w:t>，</w:t>
      </w:r>
      <w:r>
        <w:rPr>
          <w:rFonts w:hint="eastAsia" w:ascii="宋体" w:hAnsi="宋体" w:cs="宋体"/>
          <w:b/>
          <w:bCs/>
          <w:color w:val="0D0D0D"/>
          <w:sz w:val="24"/>
          <w:szCs w:val="24"/>
          <w:highlight w:val="none"/>
          <w:lang w:val="en-US" w:eastAsia="zh-CN"/>
        </w:rPr>
        <w:t>成交</w:t>
      </w:r>
      <w:r>
        <w:rPr>
          <w:rFonts w:hint="eastAsia" w:ascii="宋体" w:hAnsi="宋体" w:eastAsia="宋体" w:cs="宋体"/>
          <w:b/>
          <w:bCs/>
          <w:color w:val="0D0D0D"/>
          <w:sz w:val="24"/>
          <w:szCs w:val="24"/>
          <w:highlight w:val="none"/>
        </w:rPr>
        <w:t>后应提供CCC认证证书</w:t>
      </w:r>
      <w:r>
        <w:rPr>
          <w:rFonts w:hint="eastAsia" w:ascii="宋体" w:hAnsi="宋体" w:cs="宋体"/>
          <w:b/>
          <w:bCs/>
          <w:color w:val="0D0D0D"/>
          <w:sz w:val="24"/>
          <w:szCs w:val="24"/>
          <w:highlight w:val="none"/>
          <w:lang w:val="en-US" w:eastAsia="zh-CN"/>
        </w:rPr>
        <w:t>复印件</w:t>
      </w:r>
      <w:r>
        <w:rPr>
          <w:rFonts w:hint="eastAsia" w:ascii="宋体" w:hAnsi="宋体" w:eastAsia="宋体" w:cs="宋体"/>
          <w:b/>
          <w:bCs/>
          <w:color w:val="0D0D0D"/>
          <w:sz w:val="24"/>
          <w:szCs w:val="24"/>
          <w:highlight w:val="none"/>
        </w:rPr>
        <w:t>（提供承诺函，格式自拟）。</w:t>
      </w:r>
    </w:p>
    <w:p>
      <w:pPr>
        <w:pStyle w:val="2"/>
        <w:keepNext w:val="0"/>
        <w:keepLines w:val="0"/>
        <w:pageBreakBefore w:val="0"/>
        <w:numPr>
          <w:ilvl w:val="0"/>
          <w:numId w:val="68"/>
        </w:numPr>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val="en-US" w:eastAsia="zh-CN"/>
        </w:rPr>
      </w:pPr>
      <w:r>
        <w:rPr>
          <w:rFonts w:hint="eastAsia" w:ascii="宋体" w:hAnsi="宋体" w:eastAsia="宋体" w:cs="宋体"/>
          <w:b/>
          <w:bCs/>
          <w:sz w:val="24"/>
          <w:szCs w:val="24"/>
          <w:highlight w:val="yellow"/>
          <w:lang w:val="en-US" w:eastAsia="zh-CN" w:bidi="ar-SA"/>
        </w:rPr>
        <w:t>★</w:t>
      </w:r>
      <w:r>
        <w:rPr>
          <w:rFonts w:hint="eastAsia" w:ascii="宋体" w:hAnsi="宋体" w:eastAsia="宋体" w:cs="宋体"/>
          <w:b/>
          <w:bCs/>
          <w:color w:val="0D0D0D"/>
          <w:sz w:val="24"/>
          <w:szCs w:val="24"/>
          <w:highlight w:val="none"/>
        </w:rPr>
        <w:t>所提供的防火墙</w:t>
      </w:r>
      <w:r>
        <w:rPr>
          <w:rFonts w:hint="eastAsia" w:ascii="宋体" w:hAnsi="宋体" w:cs="宋体"/>
          <w:b/>
          <w:bCs/>
          <w:color w:val="0D0D0D"/>
          <w:sz w:val="24"/>
          <w:szCs w:val="24"/>
          <w:highlight w:val="none"/>
          <w:lang w:eastAsia="zh-CN"/>
        </w:rPr>
        <w:t>、入侵检测系统、日志审计系统、远程安全评估系统（漏扫）</w:t>
      </w:r>
      <w:r>
        <w:rPr>
          <w:rFonts w:hint="eastAsia" w:ascii="宋体" w:hAnsi="宋体" w:cs="宋体"/>
          <w:b/>
          <w:bCs/>
          <w:color w:val="0D0D0D"/>
          <w:sz w:val="24"/>
          <w:szCs w:val="24"/>
          <w:highlight w:val="none"/>
          <w:lang w:val="en-US" w:eastAsia="zh-CN"/>
        </w:rPr>
        <w:t>的设备</w:t>
      </w:r>
      <w:r>
        <w:rPr>
          <w:rFonts w:hint="eastAsia" w:ascii="宋体" w:hAnsi="宋体" w:eastAsia="宋体" w:cs="宋体"/>
          <w:b/>
          <w:bCs/>
          <w:color w:val="0D0D0D"/>
          <w:sz w:val="24"/>
          <w:szCs w:val="24"/>
          <w:highlight w:val="none"/>
        </w:rPr>
        <w:t>需通过国家信息安全产品认证，成交后应提供国家信息安全产品认证证书复印件（提供承诺函，格式自拟）。</w:t>
      </w:r>
    </w:p>
    <w:bookmarkEnd w:id="340"/>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bookmarkStart w:id="415" w:name="_Toc13903"/>
      <w:r>
        <w:rPr>
          <w:rFonts w:hint="eastAsia" w:ascii="宋体" w:hAnsi="宋体" w:eastAsia="宋体" w:cs="宋体"/>
          <w:sz w:val="24"/>
          <w:szCs w:val="24"/>
          <w:lang w:val="en-US" w:eastAsia="zh-CN"/>
        </w:rPr>
        <w:t>商务要求</w:t>
      </w:r>
      <w:bookmarkEnd w:id="415"/>
    </w:p>
    <w:p>
      <w:pPr>
        <w:pStyle w:val="5"/>
        <w:pageBreakBefore w:val="0"/>
        <w:kinsoku/>
        <w:wordWrap/>
        <w:overflowPunct/>
        <w:topLinePunct w:val="0"/>
        <w:autoSpaceDE/>
        <w:autoSpaceDN/>
        <w:bidi w:val="0"/>
        <w:adjustRightInd/>
        <w:snapToGrid/>
        <w:spacing w:line="360" w:lineRule="auto"/>
        <w:ind w:left="18" w:leftChars="0" w:firstLine="462"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服务期限</w:t>
      </w:r>
    </w:p>
    <w:p>
      <w:pPr>
        <w:numPr>
          <w:ilvl w:val="0"/>
          <w:numId w:val="0"/>
        </w:numPr>
        <w:spacing w:line="500" w:lineRule="exact"/>
        <w:ind w:leftChars="0" w:firstLine="480" w:firstLineChars="200"/>
        <w:rPr>
          <w:rFonts w:hint="eastAsia" w:ascii="仿宋" w:hAnsi="仿宋" w:eastAsia="仿宋" w:cs="仿宋"/>
          <w:bCs/>
          <w:i w:val="0"/>
          <w:iCs w:val="0"/>
          <w:sz w:val="28"/>
          <w:szCs w:val="28"/>
          <w:lang w:val="en-US" w:eastAsia="zh-CN"/>
        </w:rPr>
      </w:pPr>
      <w:r>
        <w:rPr>
          <w:rFonts w:hint="eastAsia" w:ascii="宋体" w:hAnsi="宋体" w:eastAsia="宋体" w:cs="宋体"/>
          <w:bCs/>
          <w:color w:val="0D0D0D"/>
          <w:sz w:val="24"/>
          <w:szCs w:val="24"/>
          <w:lang w:val="en-US" w:eastAsia="zh-CN"/>
        </w:rPr>
        <w:t>合同签订后3个月内成交供应商完成对原有200个点位设备进行升级改造，并对视频图像应用系统进行扩容升级，更换升级结束后经采购人最终验收合格之日起开始租赁200个天网点位设备,并开始计算租赁服务时间，预计租赁三年，合同一年一签。</w:t>
      </w:r>
    </w:p>
    <w:p>
      <w:pPr>
        <w:pStyle w:val="5"/>
        <w:pageBreakBefore w:val="0"/>
        <w:kinsoku/>
        <w:wordWrap/>
        <w:overflowPunct/>
        <w:topLinePunct w:val="0"/>
        <w:autoSpaceDE/>
        <w:autoSpaceDN/>
        <w:bidi w:val="0"/>
        <w:adjustRightInd/>
        <w:snapToGrid/>
        <w:spacing w:line="360" w:lineRule="auto"/>
        <w:ind w:left="18" w:leftChars="0" w:firstLine="462"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bidi="ar-SA"/>
        </w:rPr>
      </w:pPr>
      <w:r>
        <w:rPr>
          <w:rFonts w:hint="eastAsia" w:ascii="宋体" w:hAnsi="宋体" w:eastAsia="宋体" w:cs="宋体"/>
          <w:sz w:val="24"/>
          <w:szCs w:val="24"/>
          <w:highlight w:val="none"/>
          <w:lang w:val="en-US" w:eastAsia="zh-CN"/>
        </w:rPr>
        <w:t>采购人指定地点。</w:t>
      </w:r>
    </w:p>
    <w:p>
      <w:pPr>
        <w:pStyle w:val="5"/>
        <w:pageBreakBefore w:val="0"/>
        <w:kinsoku/>
        <w:wordWrap/>
        <w:overflowPunct/>
        <w:topLinePunct w:val="0"/>
        <w:autoSpaceDE/>
        <w:autoSpaceDN/>
        <w:bidi w:val="0"/>
        <w:adjustRightInd/>
        <w:snapToGrid/>
        <w:spacing w:line="360" w:lineRule="auto"/>
        <w:ind w:left="18" w:leftChars="0" w:firstLine="462"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付款方法</w:t>
      </w:r>
    </w:p>
    <w:bookmarkEnd w:id="337"/>
    <w:p>
      <w:pPr>
        <w:numPr>
          <w:ilvl w:val="0"/>
          <w:numId w:val="0"/>
        </w:numPr>
        <w:spacing w:line="500" w:lineRule="exact"/>
        <w:ind w:firstLine="480" w:firstLineChars="200"/>
        <w:rPr>
          <w:rFonts w:hint="eastAsia" w:ascii="宋体" w:hAnsi="宋体" w:eastAsia="宋体" w:cs="宋体"/>
          <w:color w:val="000000"/>
          <w:kern w:val="2"/>
          <w:sz w:val="24"/>
          <w:szCs w:val="24"/>
          <w:lang w:val="en-US" w:eastAsia="zh-CN" w:bidi="ar-SA"/>
        </w:rPr>
      </w:pPr>
      <w:bookmarkStart w:id="416" w:name="_Toc26098"/>
      <w:r>
        <w:rPr>
          <w:rFonts w:hint="eastAsia" w:ascii="宋体" w:hAnsi="宋体" w:eastAsia="宋体" w:cs="宋体"/>
          <w:color w:val="000000"/>
          <w:kern w:val="2"/>
          <w:sz w:val="24"/>
          <w:szCs w:val="24"/>
          <w:lang w:val="en-US" w:eastAsia="zh-CN" w:bidi="ar-SA"/>
        </w:rPr>
        <w:t>按月支付，</w:t>
      </w:r>
      <w:r>
        <w:rPr>
          <w:rFonts w:hint="eastAsia" w:ascii="宋体" w:hAnsi="宋体" w:eastAsia="宋体" w:cs="宋体"/>
          <w:color w:val="000000"/>
          <w:kern w:val="2"/>
          <w:sz w:val="24"/>
          <w:szCs w:val="24"/>
          <w:highlight w:val="none"/>
          <w:lang w:val="en-US" w:eastAsia="zh-CN" w:bidi="ar-SA"/>
        </w:rPr>
        <w:t>每月支付当年合同总金额的</w:t>
      </w:r>
      <w:r>
        <w:rPr>
          <w:rFonts w:hint="eastAsia" w:ascii="宋体" w:hAnsi="宋体" w:eastAsia="宋体" w:cs="宋体"/>
          <w:color w:val="000000"/>
          <w:kern w:val="2"/>
          <w:sz w:val="24"/>
          <w:szCs w:val="24"/>
          <w:lang w:val="en-US" w:eastAsia="zh-CN" w:bidi="ar-SA"/>
        </w:rPr>
        <w:t>1/12；每月结束后，采购人收到成交供应商开具的相应金额的发票后，并在次月的最后一天之前向成交供应商支付上月费用；采购人逾期支付采购资金将承担相应违约责任。</w:t>
      </w:r>
    </w:p>
    <w:p>
      <w:pPr>
        <w:pStyle w:val="5"/>
        <w:pageBreakBefore w:val="0"/>
        <w:kinsoku/>
        <w:wordWrap/>
        <w:overflowPunct/>
        <w:topLinePunct w:val="0"/>
        <w:autoSpaceDE/>
        <w:autoSpaceDN/>
        <w:bidi w:val="0"/>
        <w:adjustRightInd/>
        <w:snapToGrid/>
        <w:spacing w:line="360" w:lineRule="auto"/>
        <w:ind w:left="18" w:leftChars="0" w:firstLine="462" w:firstLineChars="0"/>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bidi="ar"/>
        </w:rPr>
        <w:t>验收方法</w:t>
      </w:r>
    </w:p>
    <w:p>
      <w:pPr>
        <w:pStyle w:val="14"/>
        <w:numPr>
          <w:ilvl w:val="0"/>
          <w:numId w:val="0"/>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严格按照政府采购相关法律法规以及《财政部关于进一步加强政府采购需求和履约验收管理的指导意见》（财库〔2016〕205号）的要求进行验收。</w:t>
      </w:r>
      <w:r>
        <w:rPr>
          <w:rFonts w:hint="eastAsia" w:ascii="仿宋" w:hAnsi="仿宋" w:eastAsia="仿宋" w:cs="仿宋"/>
          <w:bCs/>
          <w:i/>
          <w:iCs/>
          <w:sz w:val="24"/>
        </w:rPr>
        <w:t xml:space="preserve">  </w:t>
      </w:r>
    </w:p>
    <w:bookmarkEnd w:id="416"/>
    <w:p>
      <w:pPr>
        <w:pStyle w:val="5"/>
        <w:pageBreakBefore w:val="0"/>
        <w:numPr>
          <w:ilvl w:val="2"/>
          <w:numId w:val="0"/>
        </w:numPr>
        <w:kinsoku/>
        <w:wordWrap/>
        <w:overflowPunct/>
        <w:topLinePunct w:val="0"/>
        <w:autoSpaceDE/>
        <w:autoSpaceDN/>
        <w:bidi w:val="0"/>
        <w:adjustRightInd/>
        <w:snapToGrid/>
        <w:spacing w:line="360" w:lineRule="auto"/>
        <w:ind w:left="480" w:leftChars="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宋体" w:hAnsi="宋体" w:eastAsia="宋体" w:cs="宋体"/>
          <w:b/>
          <w:bCs/>
          <w:iCs/>
          <w:color w:val="auto"/>
          <w:sz w:val="24"/>
          <w:szCs w:val="24"/>
          <w:lang w:val="en-US" w:eastAsia="zh-CN" w:bidi="ar-SA"/>
        </w:rPr>
      </w:pPr>
      <w:r>
        <w:rPr>
          <w:rFonts w:hint="eastAsia" w:ascii="宋体" w:hAnsi="宋体" w:eastAsia="宋体" w:cs="宋体"/>
          <w:b/>
          <w:bCs/>
          <w:sz w:val="24"/>
          <w:szCs w:val="24"/>
          <w:lang w:val="en-US" w:eastAsia="zh-CN"/>
        </w:rPr>
        <w:t>注：本章及</w:t>
      </w:r>
      <w:r>
        <w:rPr>
          <w:rFonts w:hint="eastAsia" w:ascii="宋体" w:hAnsi="宋体" w:eastAsia="宋体" w:cs="宋体"/>
          <w:b/>
          <w:bCs/>
          <w:sz w:val="24"/>
          <w:szCs w:val="24"/>
        </w:rPr>
        <w:t>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r>
        <w:rPr>
          <w:rFonts w:hint="eastAsia" w:ascii="宋体" w:hAnsi="宋体" w:eastAsia="宋体" w:cs="宋体"/>
          <w:b/>
          <w:bCs/>
          <w:sz w:val="24"/>
          <w:szCs w:val="24"/>
          <w:lang w:eastAsia="zh-CN"/>
        </w:rPr>
        <w:t>。</w:t>
      </w:r>
    </w:p>
    <w:p>
      <w:pPr>
        <w:pStyle w:val="20"/>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本章标注“★”号的条款为本次磋商采购项目的实质性要求，供应商在磋商结束后应全部满足。</w:t>
      </w:r>
    </w:p>
    <w:p>
      <w:pPr>
        <w:rPr>
          <w:rFonts w:hint="eastAsia" w:ascii="宋体" w:hAnsi="宋体" w:eastAsia="宋体" w:cs="宋体"/>
          <w:sz w:val="24"/>
          <w:szCs w:val="24"/>
          <w:highlight w:val="none"/>
        </w:rPr>
        <w:sectPr>
          <w:pgSz w:w="11906" w:h="16838"/>
          <w:pgMar w:top="1440" w:right="1274" w:bottom="1440" w:left="1418" w:header="851" w:footer="992" w:gutter="0"/>
          <w:cols w:space="720" w:num="1"/>
          <w:docGrid w:type="lines" w:linePitch="312" w:charSpace="0"/>
        </w:sectPr>
      </w:pPr>
    </w:p>
    <w:p>
      <w:pPr>
        <w:pStyle w:val="3"/>
        <w:rPr>
          <w:rFonts w:hint="eastAsia" w:ascii="宋体" w:hAnsi="宋体" w:eastAsia="宋体" w:cs="宋体"/>
          <w:color w:val="auto"/>
          <w:sz w:val="32"/>
          <w:szCs w:val="32"/>
          <w:highlight w:val="none"/>
        </w:rPr>
      </w:pPr>
      <w:bookmarkStart w:id="417" w:name="_Toc238581781"/>
      <w:bookmarkStart w:id="418" w:name="_Toc5578"/>
      <w:r>
        <w:rPr>
          <w:rFonts w:hint="eastAsia" w:ascii="宋体" w:hAnsi="宋体" w:eastAsia="宋体" w:cs="宋体"/>
          <w:color w:val="auto"/>
          <w:sz w:val="32"/>
          <w:szCs w:val="32"/>
          <w:highlight w:val="none"/>
        </w:rPr>
        <w:t>响应</w:t>
      </w:r>
      <w:bookmarkEnd w:id="417"/>
      <w:r>
        <w:rPr>
          <w:rFonts w:hint="eastAsia" w:ascii="宋体" w:hAnsi="宋体" w:eastAsia="宋体" w:cs="宋体"/>
          <w:color w:val="auto"/>
          <w:sz w:val="32"/>
          <w:szCs w:val="32"/>
          <w:highlight w:val="none"/>
        </w:rPr>
        <w:t>文件格式</w:t>
      </w:r>
      <w:bookmarkEnd w:id="418"/>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一、本章所制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文件格式，除格式中明确将该格式作为实质性要求的，一律不具有强制性。</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二、本章所制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文件格式有关表格中的备注栏，由</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根据自身情况作解释性说明，不作为必填项。</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三、本章所制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文件格式中需要填写的相关内容事项，可能会与本采购项目无关，在不改变</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文件原义、不影响本项目采购需求的情况下，</w:t>
      </w:r>
      <w:r>
        <w:rPr>
          <w:rFonts w:hint="eastAsia" w:ascii="宋体" w:hAnsi="宋体" w:eastAsia="宋体" w:cs="宋体"/>
          <w:sz w:val="24"/>
          <w:szCs w:val="24"/>
          <w:lang w:val="en-US" w:eastAsia="zh-CN"/>
        </w:rPr>
        <w:t>供应商</w:t>
      </w:r>
      <w:r>
        <w:rPr>
          <w:rFonts w:hint="eastAsia" w:ascii="宋体" w:hAnsi="宋体" w:eastAsia="宋体" w:cs="宋体"/>
          <w:sz w:val="24"/>
          <w:szCs w:val="24"/>
        </w:rPr>
        <w:t>可以不予填写，但应当注明。</w:t>
      </w:r>
    </w:p>
    <w:p>
      <w:pPr>
        <w:pStyle w:val="2"/>
        <w:rPr>
          <w:rFonts w:hint="default" w:eastAsia="宋体"/>
          <w:lang w:val="en-US" w:eastAsia="zh-CN"/>
        </w:rPr>
      </w:pPr>
      <w:r>
        <w:rPr>
          <w:rFonts w:hint="eastAsia" w:ascii="宋体" w:hAnsi="宋体" w:eastAsia="宋体" w:cs="宋体"/>
          <w:sz w:val="24"/>
          <w:szCs w:val="24"/>
          <w:lang w:val="en-US" w:eastAsia="zh-CN"/>
        </w:rPr>
        <w:t>四、分公司参与磋商的，法定代表人为公司负责人。</w:t>
      </w:r>
    </w:p>
    <w:p>
      <w:pPr>
        <w:rPr>
          <w:rFonts w:hint="eastAsia"/>
        </w:rPr>
      </w:pPr>
    </w:p>
    <w:p>
      <w:pPr>
        <w:pStyle w:val="20"/>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4"/>
        <w:jc w:val="center"/>
        <w:rPr>
          <w:color w:val="auto"/>
          <w:highlight w:val="none"/>
        </w:rPr>
      </w:pPr>
      <w:bookmarkStart w:id="419" w:name="_Toc29621"/>
      <w:r>
        <w:rPr>
          <w:rFonts w:hint="eastAsia"/>
          <w:color w:val="auto"/>
          <w:highlight w:val="none"/>
        </w:rPr>
        <w:t>资格性响应文件格式</w:t>
      </w:r>
      <w:bookmarkEnd w:id="419"/>
    </w:p>
    <w:p>
      <w:pPr>
        <w:pStyle w:val="5"/>
        <w:ind w:left="18" w:leftChars="0" w:hanging="18" w:firstLineChars="0"/>
        <w:rPr>
          <w:color w:val="auto"/>
          <w:highlight w:val="none"/>
        </w:rPr>
      </w:pPr>
      <w:r>
        <w:rPr>
          <w:rFonts w:hint="eastAsia"/>
          <w:color w:val="auto"/>
          <w:highlight w:val="none"/>
        </w:rPr>
        <w:t>关于供应商资格申明的函（格式）</w:t>
      </w:r>
    </w:p>
    <w:p>
      <w:pPr>
        <w:spacing w:line="360" w:lineRule="auto"/>
        <w:rPr>
          <w:rFonts w:ascii="宋体" w:hAnsi="宋体"/>
          <w:color w:val="auto"/>
          <w:highlight w:val="none"/>
        </w:rPr>
      </w:pPr>
      <w:bookmarkStart w:id="420" w:name="_Toc238581782"/>
      <w:bookmarkStart w:id="421" w:name="_Toc119295087"/>
      <w:bookmarkStart w:id="422" w:name="_Toc119203988"/>
      <w:bookmarkStart w:id="423" w:name="_Toc146903609"/>
      <w:bookmarkStart w:id="424" w:name="_Toc52184753"/>
      <w:bookmarkStart w:id="425" w:name="_Toc119296788"/>
      <w:r>
        <w:rPr>
          <w:rFonts w:hint="eastAsia" w:ascii="宋体" w:hAnsi="宋体"/>
          <w:color w:val="auto"/>
          <w:highlight w:val="none"/>
        </w:rPr>
        <w:t>致：</w:t>
      </w:r>
      <w:bookmarkEnd w:id="420"/>
      <w:r>
        <w:rPr>
          <w:rFonts w:hint="eastAsia" w:ascii="宋体" w:hAnsi="宋体"/>
          <w:color w:val="auto"/>
          <w:highlight w:val="none"/>
        </w:rPr>
        <w:t>四川世科工程咨询有限公司</w:t>
      </w:r>
    </w:p>
    <w:p>
      <w:pPr>
        <w:pStyle w:val="2"/>
        <w:spacing w:line="360" w:lineRule="auto"/>
        <w:ind w:firstLine="480" w:firstLineChars="200"/>
        <w:jc w:val="left"/>
        <w:rPr>
          <w:rFonts w:ascii="宋体" w:hAnsi="宋体" w:cs="宋体"/>
          <w:color w:val="auto"/>
          <w:sz w:val="24"/>
          <w:highlight w:val="none"/>
        </w:rPr>
      </w:pPr>
      <w:bookmarkStart w:id="426" w:name="_Toc238581783"/>
      <w:r>
        <w:rPr>
          <w:rFonts w:hint="eastAsia" w:ascii="宋体" w:hAnsi="宋体"/>
          <w:color w:val="auto"/>
          <w:sz w:val="24"/>
          <w:highlight w:val="none"/>
        </w:rPr>
        <w:t>关于我方对</w:t>
      </w:r>
      <w:r>
        <w:rPr>
          <w:rFonts w:hint="eastAsia" w:ascii="宋体" w:hAnsi="宋体"/>
          <w:b/>
          <w:color w:val="auto"/>
          <w:sz w:val="24"/>
          <w:highlight w:val="none"/>
          <w:lang w:eastAsia="zh-CN"/>
        </w:rPr>
        <w:t>成都市公安局龙泉驿区分局200个天网点位升级改造租赁服务采购项目</w:t>
      </w:r>
      <w:r>
        <w:rPr>
          <w:rFonts w:hint="eastAsia" w:ascii="宋体" w:hAnsi="宋体"/>
          <w:b/>
          <w:color w:val="auto"/>
          <w:sz w:val="24"/>
          <w:highlight w:val="none"/>
        </w:rPr>
        <w:t>（项目编号：</w:t>
      </w:r>
      <w:r>
        <w:rPr>
          <w:rFonts w:hint="eastAsia" w:ascii="宋体" w:hAnsi="宋体"/>
          <w:b/>
          <w:color w:val="auto"/>
          <w:sz w:val="24"/>
          <w:highlight w:val="none"/>
          <w:lang w:eastAsia="zh-CN"/>
        </w:rPr>
        <w:t>510112202200016</w:t>
      </w:r>
      <w:r>
        <w:rPr>
          <w:rFonts w:hint="eastAsia" w:ascii="宋体" w:hAnsi="宋体"/>
          <w:b/>
          <w:color w:val="auto"/>
          <w:sz w:val="24"/>
          <w:highlight w:val="none"/>
        </w:rPr>
        <w:t xml:space="preserve">） </w:t>
      </w:r>
      <w:r>
        <w:rPr>
          <w:rFonts w:hint="eastAsia" w:ascii="宋体" w:hAnsi="宋体"/>
          <w:color w:val="auto"/>
          <w:sz w:val="24"/>
          <w:highlight w:val="none"/>
        </w:rPr>
        <w:t>的竞争性磋商，本签字人愿意参加磋商，并证明提交的下列文件和说明是准确的和真实的。</w:t>
      </w:r>
    </w:p>
    <w:p>
      <w:pPr>
        <w:numPr>
          <w:ilvl w:val="2"/>
          <w:numId w:val="69"/>
        </w:numPr>
        <w:spacing w:line="360" w:lineRule="auto"/>
        <w:ind w:left="0" w:firstLine="480" w:firstLineChars="200"/>
        <w:rPr>
          <w:rFonts w:ascii="宋体" w:hAnsi="宋体"/>
          <w:color w:val="auto"/>
          <w:highlight w:val="none"/>
        </w:rPr>
      </w:pPr>
      <w:bookmarkStart w:id="427" w:name="_Toc238581784"/>
      <w:r>
        <w:rPr>
          <w:rFonts w:hint="eastAsia" w:ascii="宋体" w:hAnsi="宋体"/>
          <w:color w:val="auto"/>
          <w:highlight w:val="none"/>
        </w:rPr>
        <w:t>供应商名称及概况：</w:t>
      </w:r>
      <w:bookmarkEnd w:id="427"/>
    </w:p>
    <w:p>
      <w:pPr>
        <w:numPr>
          <w:ilvl w:val="0"/>
          <w:numId w:val="70"/>
        </w:numPr>
        <w:spacing w:line="360" w:lineRule="auto"/>
        <w:ind w:left="0"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numPr>
          <w:ilvl w:val="0"/>
          <w:numId w:val="70"/>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pPr>
        <w:numPr>
          <w:ilvl w:val="0"/>
          <w:numId w:val="70"/>
        </w:numPr>
        <w:spacing w:line="360" w:lineRule="auto"/>
        <w:ind w:left="0" w:firstLine="480" w:firstLineChars="200"/>
        <w:rPr>
          <w:rFonts w:ascii="宋体" w:hAnsi="宋体"/>
          <w:color w:val="auto"/>
          <w:highlight w:val="none"/>
        </w:rPr>
      </w:pPr>
      <w:r>
        <w:rPr>
          <w:rFonts w:hint="eastAsia" w:ascii="宋体" w:hAnsi="宋体"/>
          <w:color w:val="auto"/>
          <w:highlight w:val="none"/>
        </w:rPr>
        <w:t>成立日期或注册日期：</w:t>
      </w:r>
      <w:r>
        <w:rPr>
          <w:rFonts w:hint="eastAsia" w:ascii="宋体" w:hAnsi="宋体"/>
          <w:color w:val="auto"/>
          <w:highlight w:val="none"/>
          <w:u w:val="single"/>
        </w:rPr>
        <w:t xml:space="preserve">           </w:t>
      </w:r>
    </w:p>
    <w:p>
      <w:pPr>
        <w:numPr>
          <w:ilvl w:val="0"/>
          <w:numId w:val="70"/>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法定代表人姓名：</w:t>
      </w:r>
      <w:r>
        <w:rPr>
          <w:rFonts w:hint="eastAsia" w:ascii="宋体" w:hAnsi="宋体"/>
          <w:color w:val="auto"/>
          <w:highlight w:val="none"/>
          <w:u w:val="single"/>
        </w:rPr>
        <w:t xml:space="preserve">           </w:t>
      </w:r>
    </w:p>
    <w:p>
      <w:pPr>
        <w:numPr>
          <w:ilvl w:val="2"/>
          <w:numId w:val="69"/>
        </w:numPr>
        <w:spacing w:line="360" w:lineRule="auto"/>
        <w:ind w:left="0" w:firstLine="480" w:firstLineChars="200"/>
        <w:rPr>
          <w:rFonts w:ascii="宋体" w:hAnsi="宋体"/>
          <w:color w:val="auto"/>
          <w:highlight w:val="none"/>
        </w:rPr>
      </w:pPr>
      <w:r>
        <w:rPr>
          <w:rFonts w:hint="eastAsia" w:ascii="宋体" w:hAnsi="宋体"/>
          <w:color w:val="auto"/>
          <w:highlight w:val="none"/>
        </w:rPr>
        <w:t>相关资格证明材料附后</w:t>
      </w:r>
    </w:p>
    <w:bookmarkEnd w:id="421"/>
    <w:bookmarkEnd w:id="422"/>
    <w:bookmarkEnd w:id="423"/>
    <w:bookmarkEnd w:id="424"/>
    <w:bookmarkEnd w:id="425"/>
    <w:bookmarkEnd w:id="426"/>
    <w:p>
      <w:pPr>
        <w:pStyle w:val="2"/>
        <w:spacing w:line="360" w:lineRule="auto"/>
        <w:ind w:firstLine="480" w:firstLineChars="200"/>
        <w:jc w:val="left"/>
        <w:rPr>
          <w:rFonts w:hAnsi="宋体"/>
          <w:color w:val="auto"/>
          <w:sz w:val="24"/>
          <w:highlight w:val="none"/>
        </w:rPr>
      </w:pPr>
      <w:r>
        <w:rPr>
          <w:rFonts w:hint="eastAsia" w:hAnsi="宋体"/>
          <w:bCs/>
          <w:color w:val="auto"/>
          <w:sz w:val="24"/>
          <w:highlight w:val="none"/>
        </w:rPr>
        <w:t>我方愿意提供贵公司可能另外要求的，与竞争性磋商有关的文件资料，并保证我方已提供和将要提供的文件资料是真实、准确的</w:t>
      </w:r>
      <w:r>
        <w:rPr>
          <w:rFonts w:hint="eastAsia" w:hAnsi="宋体"/>
          <w:color w:val="auto"/>
          <w:sz w:val="24"/>
          <w:highlight w:val="none"/>
        </w:rPr>
        <w:t>，并对此承担一切法律后果。</w:t>
      </w: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80" w:lineRule="exact"/>
        <w:rPr>
          <w:rFonts w:ascii="宋体" w:hAnsi="宋体"/>
          <w:color w:val="auto"/>
          <w:sz w:val="28"/>
          <w:szCs w:val="28"/>
          <w:highlight w:val="none"/>
        </w:rPr>
      </w:pPr>
    </w:p>
    <w:p>
      <w:pPr>
        <w:pStyle w:val="20"/>
        <w:rPr>
          <w:rFonts w:ascii="宋体" w:hAnsi="宋体"/>
          <w:color w:val="auto"/>
          <w:sz w:val="28"/>
          <w:szCs w:val="28"/>
          <w:highlight w:val="none"/>
        </w:rPr>
      </w:pPr>
    </w:p>
    <w:p>
      <w:pPr>
        <w:pStyle w:val="20"/>
        <w:rPr>
          <w:rFonts w:ascii="宋体" w:hAnsi="宋体"/>
          <w:color w:val="auto"/>
          <w:sz w:val="28"/>
          <w:szCs w:val="28"/>
          <w:highlight w:val="none"/>
        </w:rPr>
      </w:pPr>
    </w:p>
    <w:p>
      <w:pPr>
        <w:pStyle w:val="20"/>
        <w:rPr>
          <w:rFonts w:ascii="宋体" w:hAnsi="宋体"/>
          <w:color w:val="auto"/>
          <w:sz w:val="28"/>
          <w:szCs w:val="28"/>
          <w:highlight w:val="none"/>
        </w:rPr>
      </w:pPr>
    </w:p>
    <w:p>
      <w:pPr>
        <w:pStyle w:val="20"/>
        <w:rPr>
          <w:rFonts w:ascii="宋体" w:hAnsi="宋体"/>
          <w:color w:val="auto"/>
          <w:sz w:val="28"/>
          <w:szCs w:val="28"/>
          <w:highlight w:val="none"/>
        </w:rPr>
      </w:pPr>
    </w:p>
    <w:p>
      <w:pPr>
        <w:pStyle w:val="5"/>
        <w:ind w:left="18" w:leftChars="0" w:hanging="18" w:firstLineChars="0"/>
        <w:rPr>
          <w:color w:val="auto"/>
          <w:highlight w:val="none"/>
        </w:rPr>
      </w:pPr>
      <w:bookmarkStart w:id="428" w:name="_Toc320698765"/>
      <w:r>
        <w:rPr>
          <w:rFonts w:hint="eastAsia"/>
          <w:color w:val="auto"/>
          <w:highlight w:val="none"/>
        </w:rPr>
        <w:t>具有独立承担民事责任的能力</w:t>
      </w:r>
      <w:r>
        <w:rPr>
          <w:rFonts w:hint="eastAsia"/>
          <w:color w:val="auto"/>
          <w:highlight w:val="none"/>
          <w:lang w:val="en-US" w:eastAsia="zh-CN"/>
        </w:rPr>
        <w:t>证明材料</w:t>
      </w:r>
    </w:p>
    <w:p>
      <w:pPr>
        <w:rPr>
          <w:rFonts w:ascii="宋体" w:hAnsi="宋体"/>
          <w:color w:val="auto"/>
          <w:sz w:val="28"/>
          <w:szCs w:val="28"/>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rFonts w:ascii="宋体" w:hAnsi="宋体" w:cs="宋体"/>
          <w:bCs/>
          <w:color w:val="auto"/>
          <w:highlight w:val="none"/>
        </w:rPr>
      </w:pPr>
    </w:p>
    <w:p>
      <w:pPr>
        <w:rPr>
          <w:color w:val="auto"/>
          <w:highlight w:val="none"/>
        </w:rPr>
      </w:pPr>
    </w:p>
    <w:p>
      <w:pPr>
        <w:pStyle w:val="20"/>
        <w:rPr>
          <w:color w:val="auto"/>
          <w:highlight w:val="none"/>
        </w:rPr>
      </w:pPr>
    </w:p>
    <w:p>
      <w:pPr>
        <w:rPr>
          <w:color w:val="auto"/>
          <w:highlight w:val="none"/>
        </w:rPr>
      </w:pPr>
    </w:p>
    <w:p>
      <w:pPr>
        <w:pStyle w:val="5"/>
        <w:ind w:left="18" w:leftChars="0" w:hanging="18" w:firstLineChars="0"/>
        <w:rPr>
          <w:rFonts w:cs="宋体"/>
          <w:color w:val="auto"/>
          <w:szCs w:val="24"/>
          <w:highlight w:val="none"/>
        </w:rPr>
      </w:pPr>
      <w:r>
        <w:rPr>
          <w:rFonts w:hint="eastAsia" w:cs="宋体"/>
          <w:color w:val="auto"/>
          <w:szCs w:val="24"/>
          <w:highlight w:val="none"/>
        </w:rPr>
        <w:t>健全的财务会计制度的证明材料</w:t>
      </w:r>
    </w:p>
    <w:p>
      <w:pPr>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rPr>
          <w:color w:val="auto"/>
          <w:highlight w:val="none"/>
        </w:rPr>
      </w:pPr>
    </w:p>
    <w:p>
      <w:pPr>
        <w:pStyle w:val="20"/>
        <w:rPr>
          <w:color w:val="auto"/>
          <w:highlight w:val="none"/>
        </w:rPr>
      </w:pPr>
    </w:p>
    <w:p>
      <w:pPr>
        <w:rPr>
          <w:color w:val="auto"/>
          <w:highlight w:val="none"/>
        </w:rPr>
      </w:pPr>
    </w:p>
    <w:p>
      <w:pPr>
        <w:pStyle w:val="20"/>
        <w:rPr>
          <w:color w:val="auto"/>
          <w:highlight w:val="none"/>
        </w:rPr>
      </w:pPr>
    </w:p>
    <w:p>
      <w:pPr>
        <w:pStyle w:val="5"/>
        <w:ind w:left="18" w:leftChars="0" w:hanging="18" w:firstLineChars="0"/>
        <w:rPr>
          <w:color w:val="auto"/>
          <w:highlight w:val="none"/>
        </w:rPr>
      </w:pPr>
      <w:r>
        <w:rPr>
          <w:rFonts w:hint="eastAsia"/>
          <w:color w:val="auto"/>
          <w:highlight w:val="none"/>
        </w:rPr>
        <w:t>供应商缴纳税收的证明材料</w:t>
      </w:r>
    </w:p>
    <w:p>
      <w:pPr>
        <w:rPr>
          <w:color w:val="auto"/>
          <w:highlight w:val="none"/>
        </w:rPr>
      </w:pPr>
    </w:p>
    <w:p>
      <w:pPr>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rPr>
          <w:color w:val="auto"/>
          <w:highlight w:val="none"/>
        </w:rPr>
      </w:pPr>
    </w:p>
    <w:p>
      <w:pPr>
        <w:pStyle w:val="20"/>
        <w:rPr>
          <w:color w:val="auto"/>
          <w:highlight w:val="none"/>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5"/>
        <w:ind w:left="18" w:leftChars="0" w:hanging="18" w:firstLineChars="0"/>
        <w:rPr>
          <w:color w:val="auto"/>
          <w:highlight w:val="none"/>
        </w:rPr>
      </w:pPr>
      <w:r>
        <w:rPr>
          <w:rFonts w:hint="eastAsia"/>
          <w:color w:val="auto"/>
          <w:highlight w:val="none"/>
        </w:rPr>
        <w:t>供应商缴纳社会保障资金的证明材料</w:t>
      </w:r>
    </w:p>
    <w:p>
      <w:pPr>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color w:val="auto"/>
          <w:highlight w:val="none"/>
        </w:rPr>
      </w:pPr>
    </w:p>
    <w:p>
      <w:pPr>
        <w:rPr>
          <w:color w:val="auto"/>
          <w:highlight w:val="none"/>
        </w:rPr>
      </w:pPr>
    </w:p>
    <w:p>
      <w:pPr>
        <w:pStyle w:val="20"/>
        <w:rPr>
          <w:color w:val="auto"/>
          <w:highlight w:val="none"/>
        </w:rPr>
      </w:pPr>
    </w:p>
    <w:p>
      <w:pPr>
        <w:rPr>
          <w:color w:val="auto"/>
          <w:highlight w:val="none"/>
        </w:rPr>
      </w:pPr>
    </w:p>
    <w:p>
      <w:pPr>
        <w:pStyle w:val="20"/>
        <w:rPr>
          <w:color w:val="auto"/>
          <w:highlight w:val="none"/>
        </w:rPr>
      </w:pPr>
    </w:p>
    <w:p>
      <w:pPr>
        <w:pStyle w:val="5"/>
        <w:ind w:left="18" w:leftChars="0" w:hanging="18" w:firstLineChars="0"/>
        <w:rPr>
          <w:color w:val="auto"/>
          <w:highlight w:val="none"/>
        </w:rPr>
      </w:pPr>
      <w:r>
        <w:rPr>
          <w:rFonts w:hint="eastAsia"/>
          <w:color w:val="auto"/>
          <w:highlight w:val="none"/>
        </w:rPr>
        <w:t>承诺函</w:t>
      </w:r>
    </w:p>
    <w:p>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四川世科工程咨询有限公司：</w:t>
      </w:r>
    </w:p>
    <w:p>
      <w:pPr>
        <w:pStyle w:val="20"/>
        <w:rPr>
          <w:rFonts w:hint="eastAsia"/>
        </w:rPr>
      </w:pPr>
    </w:p>
    <w:p>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我公司作为本次采购项目的</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文件的要求，在此郑重承诺：</w:t>
      </w:r>
    </w:p>
    <w:p>
      <w:pPr>
        <w:keepNext w:val="0"/>
        <w:keepLines w:val="0"/>
        <w:pageBreakBefore w:val="0"/>
        <w:widowControl w:val="0"/>
        <w:numPr>
          <w:ilvl w:val="0"/>
          <w:numId w:val="71"/>
        </w:numPr>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我方</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良好的商业信誉</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填写：“具有”或“不具有”</w:t>
      </w:r>
      <w:r>
        <w:rPr>
          <w:rFonts w:hint="eastAsia" w:ascii="宋体" w:hAnsi="宋体" w:eastAsia="宋体" w:cs="宋体"/>
          <w:b/>
          <w:bCs w:val="0"/>
          <w:color w:val="auto"/>
          <w:sz w:val="24"/>
          <w:szCs w:val="24"/>
          <w:lang w:eastAsia="zh-CN"/>
        </w:rPr>
        <w:t>）</w:t>
      </w:r>
      <w:r>
        <w:rPr>
          <w:rFonts w:hint="eastAsia" w:ascii="宋体" w:hAnsi="宋体" w:eastAsia="宋体" w:cs="宋体"/>
          <w:b w:val="0"/>
          <w:bCs/>
          <w:color w:val="auto"/>
          <w:sz w:val="24"/>
          <w:szCs w:val="24"/>
          <w:lang w:eastAsia="zh-CN"/>
        </w:rPr>
        <w:t>。</w:t>
      </w:r>
    </w:p>
    <w:p>
      <w:pPr>
        <w:keepNext w:val="0"/>
        <w:keepLines w:val="0"/>
        <w:pageBreakBefore w:val="0"/>
        <w:widowControl w:val="0"/>
        <w:numPr>
          <w:ilvl w:val="0"/>
          <w:numId w:val="71"/>
        </w:numPr>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我方</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履行合同所必需的设备和专业技术能力</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填写：“具有”或“不具有”</w:t>
      </w:r>
      <w:r>
        <w:rPr>
          <w:rFonts w:hint="eastAsia" w:ascii="宋体" w:hAnsi="宋体" w:eastAsia="宋体" w:cs="宋体"/>
          <w:b/>
          <w:bCs w:val="0"/>
          <w:color w:val="auto"/>
          <w:sz w:val="24"/>
          <w:szCs w:val="24"/>
          <w:lang w:eastAsia="zh-CN"/>
        </w:rPr>
        <w:t>）</w:t>
      </w:r>
      <w:r>
        <w:rPr>
          <w:rFonts w:hint="eastAsia" w:ascii="宋体" w:hAnsi="宋体" w:eastAsia="宋体" w:cs="宋体"/>
          <w:b w:val="0"/>
          <w:bCs/>
          <w:color w:val="auto"/>
          <w:sz w:val="24"/>
          <w:szCs w:val="24"/>
          <w:lang w:eastAsia="zh-CN"/>
        </w:rPr>
        <w:t>。</w:t>
      </w:r>
    </w:p>
    <w:p>
      <w:pPr>
        <w:keepNext w:val="0"/>
        <w:keepLines w:val="0"/>
        <w:pageBreakBefore w:val="0"/>
        <w:widowControl w:val="0"/>
        <w:numPr>
          <w:ilvl w:val="0"/>
          <w:numId w:val="71"/>
        </w:numPr>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我方参加政府采购活动前三年内，在经营活动中</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重大违法记录</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填写：“没有”或者“有”</w:t>
      </w:r>
      <w:r>
        <w:rPr>
          <w:rFonts w:hint="eastAsia" w:ascii="宋体" w:hAnsi="宋体" w:eastAsia="宋体" w:cs="宋体"/>
          <w:b/>
          <w:bCs w:val="0"/>
          <w:color w:val="auto"/>
          <w:sz w:val="24"/>
          <w:szCs w:val="24"/>
          <w:lang w:eastAsia="zh-CN"/>
        </w:rPr>
        <w:t>）</w:t>
      </w:r>
      <w:r>
        <w:rPr>
          <w:rFonts w:hint="eastAsia" w:ascii="宋体" w:hAnsi="宋体" w:eastAsia="宋体" w:cs="宋体"/>
          <w:b w:val="0"/>
          <w:bCs/>
          <w:color w:val="auto"/>
          <w:sz w:val="24"/>
          <w:szCs w:val="24"/>
          <w:lang w:eastAsia="zh-CN"/>
        </w:rPr>
        <w:t>。</w:t>
      </w:r>
    </w:p>
    <w:p>
      <w:pPr>
        <w:keepNext w:val="0"/>
        <w:keepLines w:val="0"/>
        <w:pageBreakBefore w:val="0"/>
        <w:widowControl w:val="0"/>
        <w:numPr>
          <w:ilvl w:val="0"/>
          <w:numId w:val="71"/>
        </w:numPr>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sz w:val="24"/>
          <w:szCs w:val="24"/>
        </w:rPr>
        <w:t>在行贿犯罪信息查询期限内，</w:t>
      </w:r>
      <w:r>
        <w:rPr>
          <w:rFonts w:hint="eastAsia" w:ascii="宋体" w:hAnsi="宋体" w:eastAsia="宋体" w:cs="宋体"/>
          <w:sz w:val="24"/>
          <w:szCs w:val="24"/>
          <w:lang w:val="en-US" w:eastAsia="zh-CN"/>
        </w:rPr>
        <w:t>我公司</w:t>
      </w:r>
      <w:r>
        <w:rPr>
          <w:rFonts w:hint="eastAsia" w:ascii="宋体" w:hAnsi="宋体" w:eastAsia="宋体" w:cs="宋体"/>
          <w:sz w:val="24"/>
          <w:szCs w:val="24"/>
        </w:rPr>
        <w:t>及</w:t>
      </w:r>
      <w:r>
        <w:rPr>
          <w:rFonts w:hint="eastAsia" w:ascii="宋体" w:hAnsi="宋体" w:eastAsia="宋体" w:cs="宋体"/>
          <w:sz w:val="24"/>
          <w:szCs w:val="24"/>
          <w:lang w:val="en-US" w:eastAsia="zh-CN"/>
        </w:rPr>
        <w:t>我公司</w:t>
      </w:r>
      <w:r>
        <w:rPr>
          <w:rFonts w:hint="eastAsia" w:ascii="宋体" w:hAnsi="宋体" w:eastAsia="宋体" w:cs="宋体"/>
          <w:sz w:val="24"/>
          <w:szCs w:val="24"/>
        </w:rPr>
        <w:t>现任法定代表人、主要负责人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填写：“没有”或者“有”</w:t>
      </w:r>
      <w:r>
        <w:rPr>
          <w:rFonts w:hint="eastAsia" w:ascii="宋体" w:hAnsi="宋体" w:eastAsia="宋体" w:cs="宋体"/>
          <w:b/>
          <w:bCs w:val="0"/>
          <w:color w:val="auto"/>
          <w:sz w:val="24"/>
          <w:szCs w:val="24"/>
          <w:lang w:eastAsia="zh-CN"/>
        </w:rPr>
        <w:t>）</w:t>
      </w:r>
      <w:r>
        <w:rPr>
          <w:rFonts w:hint="eastAsia" w:ascii="宋体" w:hAnsi="宋体" w:eastAsia="宋体" w:cs="宋体"/>
          <w:sz w:val="24"/>
          <w:szCs w:val="24"/>
        </w:rPr>
        <w:t>行贿犯罪记录</w:t>
      </w:r>
      <w:r>
        <w:rPr>
          <w:rFonts w:hint="eastAsia" w:ascii="宋体" w:hAnsi="宋体" w:eastAsia="宋体" w:cs="宋体"/>
          <w:sz w:val="24"/>
          <w:szCs w:val="24"/>
          <w:lang w:eastAsia="zh-CN"/>
        </w:rPr>
        <w:t>。</w:t>
      </w:r>
    </w:p>
    <w:p>
      <w:pPr>
        <w:keepNext w:val="0"/>
        <w:keepLines w:val="0"/>
        <w:pageBreakBefore w:val="0"/>
        <w:widowControl w:val="0"/>
        <w:numPr>
          <w:ilvl w:val="0"/>
          <w:numId w:val="71"/>
        </w:numPr>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sz w:val="24"/>
          <w:szCs w:val="24"/>
          <w:lang w:val="en-US" w:eastAsia="zh-CN"/>
        </w:rPr>
        <w:t>我方</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填写：“没有为”或者“为”</w:t>
      </w:r>
      <w:r>
        <w:rPr>
          <w:rFonts w:hint="eastAsia" w:ascii="宋体" w:hAnsi="宋体" w:eastAsia="宋体" w:cs="宋体"/>
          <w:b/>
          <w:bCs w:val="0"/>
          <w:color w:val="auto"/>
          <w:sz w:val="24"/>
          <w:szCs w:val="24"/>
          <w:lang w:eastAsia="zh-CN"/>
        </w:rPr>
        <w:t>）</w:t>
      </w:r>
      <w:r>
        <w:rPr>
          <w:rFonts w:hint="eastAsia" w:ascii="宋体" w:hAnsi="宋体" w:eastAsia="宋体" w:cs="宋体"/>
          <w:sz w:val="24"/>
          <w:szCs w:val="24"/>
          <w:lang w:eastAsia="zh-CN"/>
        </w:rPr>
        <w:t>本次采购项目提供过整体设计、规范编制或者项目管理、监理、检测等</w:t>
      </w:r>
      <w:r>
        <w:rPr>
          <w:rFonts w:hint="eastAsia" w:ascii="宋体" w:hAnsi="宋体" w:eastAsia="宋体" w:cs="宋体"/>
          <w:sz w:val="24"/>
          <w:szCs w:val="24"/>
          <w:lang w:val="en-US" w:eastAsia="zh-CN"/>
        </w:rPr>
        <w:t>服务；</w:t>
      </w:r>
    </w:p>
    <w:p>
      <w:pPr>
        <w:keepNext w:val="0"/>
        <w:keepLines w:val="0"/>
        <w:pageBreakBefore w:val="0"/>
        <w:widowControl w:val="0"/>
        <w:numPr>
          <w:ilvl w:val="0"/>
          <w:numId w:val="71"/>
        </w:numPr>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我方</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填写：“不存在”或者“存在”</w:t>
      </w:r>
      <w:r>
        <w:rPr>
          <w:rFonts w:hint="eastAsia" w:ascii="宋体" w:hAnsi="宋体" w:eastAsia="宋体" w:cs="宋体"/>
          <w:b/>
          <w:bCs w:val="0"/>
          <w:color w:val="auto"/>
          <w:sz w:val="24"/>
          <w:szCs w:val="24"/>
          <w:lang w:eastAsia="zh-CN"/>
        </w:rPr>
        <w:t>）</w:t>
      </w:r>
      <w:r>
        <w:rPr>
          <w:rFonts w:hint="eastAsia" w:ascii="宋体" w:hAnsi="宋体" w:eastAsia="宋体" w:cs="宋体"/>
          <w:sz w:val="24"/>
          <w:szCs w:val="24"/>
          <w:highlight w:val="none"/>
          <w:lang w:eastAsia="zh-CN"/>
        </w:rPr>
        <w:t>单位负责人为同一人或者存在控股、管理关系的不同</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lang w:eastAsia="zh-CN"/>
        </w:rPr>
        <w:t>，参加同一合同项下的政府采购活动</w:t>
      </w:r>
      <w:r>
        <w:rPr>
          <w:rFonts w:hint="eastAsia" w:ascii="宋体" w:hAnsi="宋体" w:eastAsia="宋体" w:cs="宋体"/>
          <w:sz w:val="24"/>
          <w:szCs w:val="24"/>
          <w:highlight w:val="none"/>
          <w:lang w:val="en-US" w:eastAsia="zh-CN"/>
        </w:rPr>
        <w:t>的情形。</w:t>
      </w:r>
    </w:p>
    <w:p>
      <w:pPr>
        <w:keepNext w:val="0"/>
        <w:keepLines w:val="0"/>
        <w:pageBreakBefore w:val="0"/>
        <w:widowControl w:val="0"/>
        <w:numPr>
          <w:ilvl w:val="0"/>
          <w:numId w:val="71"/>
        </w:numPr>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我方</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填写：“具备”或者“不具备”</w:t>
      </w:r>
      <w:r>
        <w:rPr>
          <w:rFonts w:hint="eastAsia" w:ascii="宋体" w:hAnsi="宋体" w:eastAsia="宋体" w:cs="宋体"/>
          <w:b/>
          <w:bCs w:val="0"/>
          <w:color w:val="auto"/>
          <w:sz w:val="24"/>
          <w:szCs w:val="24"/>
          <w:lang w:eastAsia="zh-CN"/>
        </w:rPr>
        <w:t>）</w:t>
      </w:r>
      <w:r>
        <w:rPr>
          <w:rFonts w:hint="eastAsia" w:ascii="宋体" w:hAnsi="宋体" w:eastAsia="宋体" w:cs="宋体"/>
          <w:b w:val="0"/>
          <w:bCs/>
          <w:color w:val="auto"/>
          <w:sz w:val="24"/>
          <w:szCs w:val="24"/>
        </w:rPr>
        <w:t>法律、行政法规规定的其他条件。</w:t>
      </w:r>
    </w:p>
    <w:p>
      <w:pPr>
        <w:keepNext w:val="0"/>
        <w:keepLines w:val="0"/>
        <w:pageBreakBefore w:val="0"/>
        <w:widowControl w:val="0"/>
        <w:numPr>
          <w:ilvl w:val="0"/>
          <w:numId w:val="71"/>
        </w:numPr>
        <w:kinsoku/>
        <w:wordWrap/>
        <w:overflowPunct/>
        <w:topLinePunct w:val="0"/>
        <w:autoSpaceDE/>
        <w:autoSpaceDN/>
        <w:bidi w:val="0"/>
        <w:adjustRightInd/>
        <w:snapToGrid w:val="0"/>
        <w:spacing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我方非联合体磋商。</w:t>
      </w:r>
    </w:p>
    <w:p>
      <w:pPr>
        <w:keepNext w:val="0"/>
        <w:keepLines w:val="0"/>
        <w:pageBreakBefore w:val="0"/>
        <w:kinsoku/>
        <w:wordWrap/>
        <w:overflowPunct/>
        <w:topLinePunct w:val="0"/>
        <w:autoSpaceDE/>
        <w:autoSpaceDN/>
        <w:bidi w:val="0"/>
        <w:adjustRightInd/>
        <w:snapToGrid w:val="0"/>
        <w:spacing w:line="360" w:lineRule="auto"/>
        <w:ind w:right="0" w:rightChars="0" w:firstLine="48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我方对上述承诺的内容事项真实性负责。如经查实上述承诺的内容事项存在虚假，我方愿意接受以提供虚假材料谋取</w:t>
      </w:r>
      <w:r>
        <w:rPr>
          <w:rFonts w:hint="eastAsia" w:ascii="宋体" w:hAnsi="宋体" w:eastAsia="宋体" w:cs="宋体"/>
          <w:b w:val="0"/>
          <w:bCs/>
          <w:color w:val="auto"/>
          <w:sz w:val="24"/>
          <w:szCs w:val="24"/>
          <w:lang w:val="en-US" w:eastAsia="zh-CN"/>
        </w:rPr>
        <w:t>成交</w:t>
      </w:r>
      <w:r>
        <w:rPr>
          <w:rFonts w:hint="eastAsia" w:ascii="宋体" w:hAnsi="宋体" w:eastAsia="宋体" w:cs="宋体"/>
          <w:b w:val="0"/>
          <w:bCs/>
          <w:color w:val="auto"/>
          <w:sz w:val="24"/>
          <w:szCs w:val="24"/>
        </w:rPr>
        <w:t>的法律责任。</w:t>
      </w:r>
    </w:p>
    <w:p>
      <w:pPr>
        <w:pStyle w:val="20"/>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0"/>
        <w:rPr>
          <w:rFonts w:hint="eastAsia" w:ascii="宋体" w:hAnsi="宋体"/>
          <w:color w:val="auto"/>
          <w:highlight w:val="none"/>
        </w:rPr>
      </w:pPr>
    </w:p>
    <w:p>
      <w:pPr>
        <w:pStyle w:val="25"/>
        <w:rPr>
          <w:rFonts w:hint="eastAsia"/>
        </w:rPr>
      </w:pPr>
    </w:p>
    <w:p>
      <w:pPr>
        <w:pStyle w:val="20"/>
        <w:keepNext w:val="0"/>
        <w:keepLines w:val="0"/>
        <w:pageBreakBefore w:val="0"/>
        <w:widowControl w:val="0"/>
        <w:kinsoku/>
        <w:wordWrap/>
        <w:overflowPunct/>
        <w:topLinePunct w:val="0"/>
        <w:autoSpaceDE/>
        <w:autoSpaceDN/>
        <w:bidi w:val="0"/>
        <w:adjustRightInd/>
        <w:snapToGrid w:val="0"/>
        <w:spacing w:after="0" w:afterLines="0" w:line="480" w:lineRule="exact"/>
        <w:textAlignment w:val="auto"/>
        <w:rPr>
          <w:rFonts w:hint="default" w:ascii="Times New Roman" w:hAnsi="Times New Roman" w:cs="Times New Roman"/>
          <w:b/>
          <w:bCs/>
          <w:sz w:val="24"/>
          <w:szCs w:val="24"/>
          <w:lang w:val="en-US" w:eastAsia="zh-CN"/>
        </w:rPr>
      </w:pPr>
      <w:r>
        <w:rPr>
          <w:rFonts w:hint="eastAsia" w:cs="Times New Roman"/>
          <w:b/>
          <w:bCs/>
          <w:sz w:val="24"/>
          <w:szCs w:val="24"/>
          <w:lang w:val="en-US" w:eastAsia="zh-CN"/>
        </w:rPr>
        <w:t>说明：</w:t>
      </w:r>
    </w:p>
    <w:p>
      <w:pPr>
        <w:keepNext w:val="0"/>
        <w:keepLines w:val="0"/>
        <w:pageBreakBefore w:val="0"/>
        <w:widowControl w:val="0"/>
        <w:numPr>
          <w:ilvl w:val="0"/>
          <w:numId w:val="72"/>
        </w:numPr>
        <w:kinsoku/>
        <w:wordWrap/>
        <w:overflowPunct/>
        <w:topLinePunct w:val="0"/>
        <w:autoSpaceDE/>
        <w:autoSpaceDN/>
        <w:bidi w:val="0"/>
        <w:adjustRightInd/>
        <w:snapToGrid w:val="0"/>
        <w:spacing w:line="480" w:lineRule="exact"/>
        <w:ind w:right="0" w:rightChars="0" w:firstLine="480" w:firstLineChars="200"/>
        <w:textAlignment w:val="auto"/>
        <w:rPr>
          <w:rFonts w:hint="default"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供应商应按照每条说明进行填写，未按要求填写的将不能认定其响应文件有效。</w:t>
      </w:r>
    </w:p>
    <w:p>
      <w:pPr>
        <w:keepNext w:val="0"/>
        <w:keepLines w:val="0"/>
        <w:pageBreakBefore w:val="0"/>
        <w:widowControl w:val="0"/>
        <w:numPr>
          <w:ilvl w:val="0"/>
          <w:numId w:val="72"/>
        </w:numPr>
        <w:kinsoku/>
        <w:wordWrap/>
        <w:overflowPunct/>
        <w:topLinePunct w:val="0"/>
        <w:autoSpaceDE/>
        <w:autoSpaceDN/>
        <w:bidi w:val="0"/>
        <w:adjustRightInd/>
        <w:snapToGrid w:val="0"/>
        <w:spacing w:line="480" w:lineRule="exact"/>
        <w:ind w:right="0" w:rightChars="0" w:firstLine="480" w:firstLineChars="200"/>
        <w:textAlignment w:val="auto"/>
        <w:rPr>
          <w:rFonts w:hint="default"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供应商</w:t>
      </w:r>
      <w:r>
        <w:rPr>
          <w:rFonts w:hint="default" w:ascii="Times New Roman" w:hAnsi="Times New Roman" w:cs="Times New Roman"/>
          <w:b w:val="0"/>
          <w:bCs/>
          <w:color w:val="auto"/>
          <w:sz w:val="24"/>
          <w:szCs w:val="24"/>
          <w:lang w:val="en-US" w:eastAsia="zh-CN"/>
        </w:rPr>
        <w:t>成立时间不足3年的，从成立之日起计算。</w:t>
      </w:r>
    </w:p>
    <w:p>
      <w:pPr>
        <w:keepNext w:val="0"/>
        <w:keepLines w:val="0"/>
        <w:pageBreakBefore w:val="0"/>
        <w:widowControl w:val="0"/>
        <w:numPr>
          <w:ilvl w:val="0"/>
          <w:numId w:val="72"/>
        </w:numPr>
        <w:kinsoku/>
        <w:wordWrap/>
        <w:overflowPunct/>
        <w:topLinePunct w:val="0"/>
        <w:autoSpaceDE/>
        <w:autoSpaceDN/>
        <w:bidi w:val="0"/>
        <w:adjustRightInd/>
        <w:snapToGrid w:val="0"/>
        <w:spacing w:line="480" w:lineRule="exact"/>
        <w:ind w:right="0" w:rightChars="0" w:firstLine="480" w:firstLineChars="200"/>
        <w:textAlignment w:val="auto"/>
        <w:rPr>
          <w:rFonts w:hint="default"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供应商</w:t>
      </w:r>
      <w:r>
        <w:rPr>
          <w:rFonts w:hint="default" w:ascii="Times New Roman" w:hAnsi="Times New Roman" w:cs="Times New Roman"/>
          <w:b w:val="0"/>
          <w:bCs/>
          <w:color w:val="auto"/>
          <w:sz w:val="24"/>
          <w:szCs w:val="24"/>
          <w:lang w:val="en-US" w:eastAsia="zh-CN"/>
        </w:rPr>
        <w:t>在参加采购活动前，被纳入法院、工商行政管理部门、税务部门、银行认定的失信名单且在有效期内，或者在前三年合同履约过程中及其他经营活动履约过程中未依法履约被有关行政部门处罚（处理）的，本项目不认定其具有良好的商业信誉。</w:t>
      </w:r>
    </w:p>
    <w:p>
      <w:pPr>
        <w:keepNext w:val="0"/>
        <w:keepLines w:val="0"/>
        <w:pageBreakBefore w:val="0"/>
        <w:widowControl w:val="0"/>
        <w:numPr>
          <w:ilvl w:val="0"/>
          <w:numId w:val="72"/>
        </w:numPr>
        <w:kinsoku/>
        <w:wordWrap/>
        <w:overflowPunct/>
        <w:topLinePunct w:val="0"/>
        <w:autoSpaceDE/>
        <w:autoSpaceDN/>
        <w:bidi w:val="0"/>
        <w:adjustRightInd/>
        <w:snapToGrid w:val="0"/>
        <w:spacing w:line="480" w:lineRule="exact"/>
        <w:ind w:right="0" w:rightChars="0" w:firstLine="480" w:firstLineChars="200"/>
        <w:textAlignment w:val="auto"/>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依法免税或不需要缴纳社会保障资金的</w:t>
      </w:r>
      <w:r>
        <w:rPr>
          <w:rFonts w:hint="eastAsia" w:ascii="Times New Roman" w:hAnsi="Times New Roman" w:cs="Times New Roman"/>
          <w:b w:val="0"/>
          <w:bCs/>
          <w:color w:val="auto"/>
          <w:sz w:val="24"/>
          <w:szCs w:val="24"/>
          <w:lang w:val="en-US" w:eastAsia="zh-CN"/>
        </w:rPr>
        <w:t>供应商</w:t>
      </w:r>
      <w:r>
        <w:rPr>
          <w:rFonts w:hint="default" w:ascii="Times New Roman" w:hAnsi="Times New Roman" w:cs="Times New Roman"/>
          <w:b w:val="0"/>
          <w:bCs/>
          <w:color w:val="auto"/>
          <w:sz w:val="24"/>
          <w:szCs w:val="24"/>
          <w:lang w:val="en-US" w:eastAsia="zh-CN"/>
        </w:rPr>
        <w:t>，应提供相关证明材料证明其依法可免税或不需要缴纳社会保障资金</w:t>
      </w:r>
      <w:r>
        <w:rPr>
          <w:rFonts w:hint="eastAsia" w:ascii="Times New Roman" w:hAnsi="Times New Roman" w:cs="Times New Roman"/>
          <w:b w:val="0"/>
          <w:bCs/>
          <w:color w:val="auto"/>
          <w:sz w:val="24"/>
          <w:szCs w:val="24"/>
          <w:lang w:val="en-US" w:eastAsia="zh-CN"/>
        </w:rPr>
        <w:t>。</w:t>
      </w:r>
    </w:p>
    <w:p>
      <w:pPr>
        <w:keepNext w:val="0"/>
        <w:keepLines w:val="0"/>
        <w:pageBreakBefore w:val="0"/>
        <w:widowControl w:val="0"/>
        <w:numPr>
          <w:ilvl w:val="0"/>
          <w:numId w:val="72"/>
        </w:numPr>
        <w:kinsoku/>
        <w:wordWrap/>
        <w:overflowPunct/>
        <w:topLinePunct w:val="0"/>
        <w:autoSpaceDE/>
        <w:autoSpaceDN/>
        <w:bidi w:val="0"/>
        <w:adjustRightInd/>
        <w:snapToGrid w:val="0"/>
        <w:spacing w:line="480" w:lineRule="exact"/>
        <w:ind w:right="0" w:rightChars="0" w:firstLine="480" w:firstLineChars="200"/>
        <w:textAlignment w:val="auto"/>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重大违法记录是指</w:t>
      </w:r>
      <w:r>
        <w:rPr>
          <w:rFonts w:hint="eastAsia" w:ascii="Times New Roman" w:hAnsi="Times New Roman" w:cs="Times New Roman"/>
          <w:b w:val="0"/>
          <w:bCs/>
          <w:color w:val="auto"/>
          <w:sz w:val="24"/>
          <w:szCs w:val="24"/>
          <w:lang w:val="en-US" w:eastAsia="zh-CN"/>
        </w:rPr>
        <w:t>供应商</w:t>
      </w:r>
      <w:r>
        <w:rPr>
          <w:rFonts w:hint="default" w:ascii="Times New Roman" w:hAnsi="Times New Roman" w:cs="Times New Roman"/>
          <w:b w:val="0"/>
          <w:bCs/>
          <w:color w:val="auto"/>
          <w:sz w:val="24"/>
          <w:szCs w:val="24"/>
          <w:lang w:val="en-US" w:eastAsia="zh-CN"/>
        </w:rPr>
        <w:t>因违法经营受到刑事处罚或责令停产停业；吊销许可证或者执照；较大数额罚款；较大数额没收财产等行政处罚。重大违法记录中的较大数额罚款的具体金额标准是：认定为200万元以上的罚款，法律、行政法规以及国务院有关部门明确规定相关领域“较大数额罚款”标准高于200万元的，从其规定</w:t>
      </w:r>
      <w:r>
        <w:rPr>
          <w:rFonts w:hint="eastAsia" w:cs="Times New Roman"/>
          <w:b w:val="0"/>
          <w:bCs/>
          <w:color w:val="auto"/>
          <w:sz w:val="24"/>
          <w:szCs w:val="24"/>
          <w:lang w:val="en-US" w:eastAsia="zh-CN"/>
        </w:rPr>
        <w:t>。</w:t>
      </w:r>
    </w:p>
    <w:p>
      <w:pPr>
        <w:rPr>
          <w:rFonts w:hint="eastAsia"/>
        </w:rPr>
        <w:sectPr>
          <w:pgSz w:w="11906" w:h="16838"/>
          <w:pgMar w:top="1440" w:right="1274" w:bottom="1440" w:left="1418" w:header="851" w:footer="992" w:gutter="0"/>
          <w:cols w:space="720" w:num="1"/>
          <w:docGrid w:type="lines" w:linePitch="312" w:charSpace="0"/>
        </w:sectPr>
      </w:pPr>
    </w:p>
    <w:p>
      <w:pPr>
        <w:pStyle w:val="5"/>
        <w:ind w:left="18" w:leftChars="0" w:hanging="18" w:firstLineChars="0"/>
        <w:rPr>
          <w:color w:val="auto"/>
          <w:highlight w:val="none"/>
        </w:rPr>
      </w:pPr>
      <w:r>
        <w:rPr>
          <w:rFonts w:hint="eastAsia"/>
          <w:color w:val="auto"/>
          <w:highlight w:val="none"/>
          <w:lang w:val="en-US" w:eastAsia="zh-CN"/>
        </w:rPr>
        <w:t>关联情况说明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709"/>
        </w:tabs>
        <w:spacing w:before="0" w:beforeAutospacing="0" w:after="0" w:afterAutospacing="0" w:line="600" w:lineRule="atLeast"/>
        <w:ind w:leftChars="0" w:right="0" w:rightChars="0" w:firstLine="480" w:firstLineChars="200"/>
        <w:jc w:val="both"/>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根据</w:t>
      </w:r>
      <w:r>
        <w:rPr>
          <w:rFonts w:hint="eastAsia" w:ascii="宋体" w:hAnsi="宋体" w:eastAsia="宋体" w:cs="宋体"/>
          <w:b w:val="0"/>
          <w:bCs/>
          <w:color w:val="auto"/>
          <w:sz w:val="24"/>
          <w:szCs w:val="24"/>
        </w:rPr>
        <w:t>相关法律法规规定</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我方将如实列明与我方存在其直接控股、管理关系的相关人员及单位名单，承诺</w:t>
      </w:r>
      <w:r>
        <w:rPr>
          <w:rFonts w:hint="eastAsia" w:ascii="宋体" w:hAnsi="宋体" w:eastAsia="宋体" w:cs="宋体"/>
          <w:b w:val="0"/>
          <w:bCs/>
          <w:color w:val="auto"/>
          <w:sz w:val="24"/>
          <w:szCs w:val="24"/>
        </w:rPr>
        <w:t>不以不同</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身份参加本项目采购活动：</w:t>
      </w:r>
    </w:p>
    <w:p>
      <w:pPr>
        <w:pageBreakBefore w:val="0"/>
        <w:kinsoku/>
        <w:wordWrap/>
        <w:overflowPunct/>
        <w:topLinePunct w:val="0"/>
        <w:bidi w:val="0"/>
        <w:spacing w:line="560" w:lineRule="atLeast"/>
        <w:ind w:left="0" w:lef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关联情况表</w:t>
      </w:r>
    </w:p>
    <w:tbl>
      <w:tblPr>
        <w:tblStyle w:val="44"/>
        <w:tblW w:w="9713"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348"/>
        <w:gridCol w:w="6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817" w:type="dxa"/>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2348" w:type="dxa"/>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关联内容</w:t>
            </w:r>
          </w:p>
        </w:tc>
        <w:tc>
          <w:tcPr>
            <w:tcW w:w="6548" w:type="dxa"/>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关联情形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817" w:type="dxa"/>
            <w:vMerge w:val="restart"/>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2348" w:type="dxa"/>
            <w:vMerge w:val="restart"/>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授权代表</w:t>
            </w:r>
          </w:p>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b/>
                <w:bCs w:val="0"/>
                <w:color w:val="auto"/>
                <w:sz w:val="24"/>
                <w:szCs w:val="24"/>
              </w:rPr>
              <w:t>（勾选）</w:t>
            </w:r>
          </w:p>
        </w:tc>
        <w:tc>
          <w:tcPr>
            <w:tcW w:w="65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240" w:firstLineChars="100"/>
              <w:jc w:val="both"/>
              <w:textAlignment w:val="auto"/>
              <w:outlineLvl w:val="9"/>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rPr>
              <w:sym w:font="Wingdings 2" w:char="00A3"/>
            </w:r>
            <w:r>
              <w:rPr>
                <w:rFonts w:hint="eastAsia" w:ascii="宋体" w:hAnsi="宋体" w:eastAsia="宋体" w:cs="宋体"/>
                <w:b w:val="0"/>
                <w:bCs/>
                <w:color w:val="auto"/>
                <w:sz w:val="24"/>
                <w:szCs w:val="24"/>
              </w:rPr>
              <w:t>我方</w:t>
            </w:r>
            <w:r>
              <w:rPr>
                <w:rFonts w:hint="eastAsia" w:ascii="宋体" w:hAnsi="宋体" w:eastAsia="宋体" w:cs="宋体"/>
                <w:b w:val="0"/>
                <w:bCs/>
                <w:color w:val="auto"/>
                <w:sz w:val="24"/>
                <w:szCs w:val="24"/>
                <w:lang w:val="en-US" w:eastAsia="zh-CN"/>
              </w:rPr>
              <w:t>委托的授权代表为我单位工作人员</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不存在同时是</w:t>
            </w:r>
            <w:r>
              <w:rPr>
                <w:rFonts w:hint="eastAsia" w:ascii="宋体" w:hAnsi="宋体" w:eastAsia="宋体" w:cs="宋体"/>
                <w:b w:val="0"/>
                <w:bCs/>
                <w:color w:val="auto"/>
                <w:sz w:val="24"/>
                <w:szCs w:val="24"/>
                <w:lang w:val="en-US" w:eastAsia="zh-CN"/>
              </w:rPr>
              <w:t>其他单位</w:t>
            </w:r>
            <w:r>
              <w:rPr>
                <w:rFonts w:hint="eastAsia" w:ascii="宋体" w:hAnsi="宋体" w:eastAsia="宋体" w:cs="宋体"/>
                <w:b w:val="0"/>
                <w:bCs/>
                <w:color w:val="auto"/>
                <w:sz w:val="24"/>
                <w:szCs w:val="24"/>
              </w:rPr>
              <w:t>工作人员的情形</w:t>
            </w:r>
            <w:r>
              <w:rPr>
                <w:rFonts w:hint="eastAsia" w:ascii="宋体" w:hAnsi="宋体" w:eastAsia="宋体" w:cs="宋体"/>
                <w:b w:val="0"/>
                <w:bCs/>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817" w:type="dxa"/>
            <w:vMerge w:val="continue"/>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bCs w:val="0"/>
                <w:color w:val="auto"/>
                <w:sz w:val="24"/>
                <w:szCs w:val="24"/>
                <w:lang w:val="en-US" w:eastAsia="zh-CN"/>
              </w:rPr>
            </w:pPr>
          </w:p>
        </w:tc>
        <w:tc>
          <w:tcPr>
            <w:tcW w:w="2348" w:type="dxa"/>
            <w:vMerge w:val="continue"/>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bCs w:val="0"/>
                <w:color w:val="auto"/>
                <w:sz w:val="24"/>
                <w:szCs w:val="24"/>
                <w:lang w:val="en-US" w:eastAsia="zh-CN"/>
              </w:rPr>
            </w:pPr>
          </w:p>
        </w:tc>
        <w:tc>
          <w:tcPr>
            <w:tcW w:w="65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240" w:firstLineChars="1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sym w:font="Wingdings 2" w:char="00A3"/>
            </w:r>
            <w:r>
              <w:rPr>
                <w:rFonts w:hint="eastAsia" w:ascii="宋体" w:hAnsi="宋体" w:eastAsia="宋体" w:cs="宋体"/>
                <w:b w:val="0"/>
                <w:bCs/>
                <w:color w:val="auto"/>
                <w:sz w:val="24"/>
                <w:szCs w:val="24"/>
              </w:rPr>
              <w:t>我方</w:t>
            </w:r>
            <w:r>
              <w:rPr>
                <w:rFonts w:hint="eastAsia" w:ascii="宋体" w:hAnsi="宋体" w:eastAsia="宋体" w:cs="宋体"/>
                <w:b w:val="0"/>
                <w:bCs/>
                <w:color w:val="auto"/>
                <w:sz w:val="24"/>
                <w:szCs w:val="24"/>
                <w:lang w:val="en-US" w:eastAsia="zh-CN"/>
              </w:rPr>
              <w:t>委托的授权代表为</w:t>
            </w:r>
            <w:r>
              <w:rPr>
                <w:rFonts w:hint="eastAsia" w:ascii="宋体" w:hAnsi="宋体" w:eastAsia="宋体" w:cs="宋体"/>
                <w:b w:val="0"/>
                <w:bCs/>
                <w:color w:val="auto"/>
                <w:sz w:val="24"/>
                <w:szCs w:val="24"/>
                <w:u w:val="single"/>
                <w:lang w:val="en-US" w:eastAsia="zh-CN"/>
              </w:rPr>
              <w:t xml:space="preserve">    （其他单位全称）</w:t>
            </w:r>
            <w:r>
              <w:rPr>
                <w:rFonts w:hint="eastAsia" w:ascii="宋体" w:hAnsi="宋体" w:eastAsia="宋体" w:cs="宋体"/>
                <w:b w:val="0"/>
                <w:bCs/>
                <w:color w:val="auto"/>
                <w:sz w:val="24"/>
                <w:szCs w:val="24"/>
                <w:lang w:val="en-US" w:eastAsia="zh-CN"/>
              </w:rPr>
              <w:t xml:space="preserve">         工作人员。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817" w:type="dxa"/>
            <w:vMerge w:val="restart"/>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2348" w:type="dxa"/>
            <w:vMerge w:val="restart"/>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法定代表人/负责人</w:t>
            </w:r>
          </w:p>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b/>
                <w:bCs w:val="0"/>
                <w:color w:val="auto"/>
                <w:sz w:val="24"/>
                <w:szCs w:val="24"/>
                <w:lang w:val="en-US" w:eastAsia="zh-CN"/>
              </w:rPr>
              <w:t>（勾选）</w:t>
            </w:r>
          </w:p>
        </w:tc>
        <w:tc>
          <w:tcPr>
            <w:tcW w:w="65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240" w:firstLineChars="10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sym w:font="Wingdings 2" w:char="00A3"/>
            </w:r>
            <w:r>
              <w:rPr>
                <w:rFonts w:hint="eastAsia" w:ascii="宋体" w:hAnsi="宋体" w:eastAsia="宋体" w:cs="宋体"/>
                <w:b w:val="0"/>
                <w:bCs/>
                <w:color w:val="auto"/>
                <w:sz w:val="24"/>
                <w:szCs w:val="24"/>
              </w:rPr>
              <w:t>我方</w:t>
            </w:r>
            <w:r>
              <w:rPr>
                <w:rFonts w:hint="eastAsia" w:ascii="宋体" w:hAnsi="宋体" w:eastAsia="宋体" w:cs="宋体"/>
                <w:b w:val="0"/>
                <w:bCs/>
                <w:color w:val="auto"/>
                <w:sz w:val="24"/>
                <w:szCs w:val="24"/>
                <w:lang w:val="en-US" w:eastAsia="zh-CN"/>
              </w:rPr>
              <w:t>法定代表人/负责人</w:t>
            </w:r>
            <w:r>
              <w:rPr>
                <w:rFonts w:hint="eastAsia" w:ascii="宋体" w:hAnsi="宋体" w:eastAsia="宋体" w:cs="宋体"/>
                <w:b w:val="0"/>
                <w:bCs/>
                <w:color w:val="auto"/>
                <w:sz w:val="24"/>
                <w:szCs w:val="24"/>
              </w:rPr>
              <w:t>不存在同时是</w:t>
            </w:r>
            <w:r>
              <w:rPr>
                <w:rFonts w:hint="eastAsia" w:ascii="宋体" w:hAnsi="宋体" w:eastAsia="宋体" w:cs="宋体"/>
                <w:b w:val="0"/>
                <w:bCs/>
                <w:color w:val="auto"/>
                <w:sz w:val="24"/>
                <w:szCs w:val="24"/>
                <w:lang w:val="en-US" w:eastAsia="zh-CN"/>
              </w:rPr>
              <w:t>其他单位法定代表人/负责人</w:t>
            </w:r>
            <w:r>
              <w:rPr>
                <w:rFonts w:hint="eastAsia" w:ascii="宋体" w:hAnsi="宋体" w:eastAsia="宋体" w:cs="宋体"/>
                <w:b w:val="0"/>
                <w:bCs/>
                <w:color w:val="auto"/>
                <w:sz w:val="24"/>
                <w:szCs w:val="24"/>
              </w:rPr>
              <w:t>的情形</w:t>
            </w:r>
            <w:r>
              <w:rPr>
                <w:rFonts w:hint="eastAsia" w:ascii="宋体" w:hAnsi="宋体" w:eastAsia="宋体" w:cs="宋体"/>
                <w:b w:val="0"/>
                <w:bCs/>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817" w:type="dxa"/>
            <w:vMerge w:val="continue"/>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lang w:val="en-US" w:eastAsia="zh-CN"/>
              </w:rPr>
            </w:pPr>
          </w:p>
        </w:tc>
        <w:tc>
          <w:tcPr>
            <w:tcW w:w="2348" w:type="dxa"/>
            <w:vMerge w:val="continue"/>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bCs w:val="0"/>
                <w:color w:val="auto"/>
                <w:sz w:val="24"/>
                <w:szCs w:val="24"/>
                <w:lang w:val="en-US" w:eastAsia="zh-CN"/>
              </w:rPr>
            </w:pPr>
          </w:p>
        </w:tc>
        <w:tc>
          <w:tcPr>
            <w:tcW w:w="65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240" w:firstLineChars="1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sym w:font="Wingdings 2" w:char="00A3"/>
            </w:r>
            <w:r>
              <w:rPr>
                <w:rFonts w:hint="eastAsia" w:ascii="宋体" w:hAnsi="宋体" w:eastAsia="宋体" w:cs="宋体"/>
                <w:b w:val="0"/>
                <w:bCs/>
                <w:color w:val="auto"/>
                <w:sz w:val="24"/>
                <w:szCs w:val="24"/>
              </w:rPr>
              <w:t>我方</w:t>
            </w:r>
            <w:r>
              <w:rPr>
                <w:rFonts w:hint="eastAsia" w:ascii="宋体" w:hAnsi="宋体" w:eastAsia="宋体" w:cs="宋体"/>
                <w:b w:val="0"/>
                <w:bCs/>
                <w:color w:val="auto"/>
                <w:sz w:val="24"/>
                <w:szCs w:val="24"/>
                <w:lang w:val="en-US" w:eastAsia="zh-CN"/>
              </w:rPr>
              <w:t>法定代表人/负责人为</w:t>
            </w:r>
            <w:r>
              <w:rPr>
                <w:rFonts w:hint="eastAsia" w:ascii="宋体" w:hAnsi="宋体" w:eastAsia="宋体" w:cs="宋体"/>
                <w:b w:val="0"/>
                <w:bCs/>
                <w:color w:val="auto"/>
                <w:sz w:val="24"/>
                <w:szCs w:val="24"/>
                <w:u w:val="single"/>
                <w:lang w:val="en-US" w:eastAsia="zh-CN"/>
              </w:rPr>
              <w:t xml:space="preserve">  （其他单位全称）的</w:t>
            </w:r>
            <w:r>
              <w:rPr>
                <w:rFonts w:hint="eastAsia" w:ascii="宋体" w:hAnsi="宋体" w:eastAsia="宋体" w:cs="宋体"/>
                <w:b w:val="0"/>
                <w:bCs/>
                <w:color w:val="auto"/>
                <w:sz w:val="24"/>
                <w:szCs w:val="24"/>
                <w:lang w:val="en-US" w:eastAsia="zh-CN"/>
              </w:rPr>
              <w:t>法定代表人/负责人。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817" w:type="dxa"/>
            <w:vMerge w:val="restart"/>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2348" w:type="dxa"/>
            <w:vMerge w:val="restart"/>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代理机构</w:t>
            </w:r>
          </w:p>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（勾选）</w:t>
            </w:r>
          </w:p>
        </w:tc>
        <w:tc>
          <w:tcPr>
            <w:tcW w:w="65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240" w:firstLineChars="1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sym w:font="Wingdings 2" w:char="00A3"/>
            </w:r>
            <w:r>
              <w:rPr>
                <w:rFonts w:hint="eastAsia" w:ascii="宋体" w:hAnsi="宋体" w:eastAsia="宋体" w:cs="宋体"/>
                <w:b w:val="0"/>
                <w:bCs/>
                <w:color w:val="auto"/>
                <w:sz w:val="24"/>
                <w:szCs w:val="24"/>
              </w:rPr>
              <w:t>我方实际控制人或者中高级管理人员不存在同时是采购代理机构工作人员的情形。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p>
        </w:tc>
        <w:tc>
          <w:tcPr>
            <w:tcW w:w="2348" w:type="dxa"/>
            <w:vMerge w:val="continue"/>
            <w:noWrap w:val="0"/>
            <w:vAlign w:val="top"/>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p>
        </w:tc>
        <w:tc>
          <w:tcPr>
            <w:tcW w:w="65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240" w:firstLineChars="1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sym w:font="Wingdings 2" w:char="00A3"/>
            </w:r>
            <w:r>
              <w:rPr>
                <w:rFonts w:hint="eastAsia" w:ascii="宋体" w:hAnsi="宋体" w:eastAsia="宋体" w:cs="宋体"/>
                <w:b w:val="0"/>
                <w:bCs/>
                <w:color w:val="auto"/>
                <w:sz w:val="24"/>
                <w:szCs w:val="24"/>
              </w:rPr>
              <w:t>我方实际控制人/中高级管理人员</w:t>
            </w:r>
            <w:r>
              <w:rPr>
                <w:rFonts w:hint="eastAsia" w:ascii="宋体" w:hAnsi="宋体" w:eastAsia="宋体" w:cs="宋体"/>
                <w:b w:val="0"/>
                <w:bCs/>
                <w:color w:val="auto"/>
                <w:sz w:val="24"/>
                <w:szCs w:val="24"/>
                <w:u w:val="single"/>
              </w:rPr>
              <w:t xml:space="preserve"> （姓名）</w:t>
            </w:r>
            <w:r>
              <w:rPr>
                <w:rFonts w:hint="eastAsia" w:ascii="宋体" w:hAnsi="宋体" w:eastAsia="宋体" w:cs="宋体"/>
                <w:b w:val="0"/>
                <w:bCs/>
                <w:color w:val="auto"/>
                <w:sz w:val="24"/>
                <w:szCs w:val="24"/>
              </w:rPr>
              <w:t xml:space="preserve"> 为代理机构工作人员。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817" w:type="dxa"/>
            <w:vMerge w:val="restart"/>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p>
        </w:tc>
        <w:tc>
          <w:tcPr>
            <w:tcW w:w="2348" w:type="dxa"/>
            <w:vMerge w:val="restart"/>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控股、管理关系</w:t>
            </w:r>
          </w:p>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（勾选）</w:t>
            </w:r>
          </w:p>
        </w:tc>
        <w:tc>
          <w:tcPr>
            <w:tcW w:w="65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240" w:firstLineChars="100"/>
              <w:jc w:val="both"/>
              <w:textAlignment w:val="auto"/>
              <w:outlineLvl w:val="9"/>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rPr>
              <w:sym w:font="Wingdings 2" w:char="00A3"/>
            </w:r>
            <w:r>
              <w:rPr>
                <w:rFonts w:hint="eastAsia" w:ascii="宋体" w:hAnsi="宋体" w:eastAsia="宋体" w:cs="宋体"/>
                <w:b w:val="0"/>
                <w:bCs/>
                <w:color w:val="auto"/>
                <w:sz w:val="24"/>
                <w:szCs w:val="24"/>
              </w:rPr>
              <w:t>我方</w:t>
            </w:r>
            <w:r>
              <w:rPr>
                <w:rFonts w:hint="eastAsia" w:ascii="宋体" w:hAnsi="宋体" w:eastAsia="宋体" w:cs="宋体"/>
                <w:b w:val="0"/>
                <w:bCs/>
                <w:color w:val="auto"/>
                <w:sz w:val="24"/>
                <w:szCs w:val="24"/>
                <w:lang w:val="en-US" w:eastAsia="zh-CN"/>
              </w:rPr>
              <w:t>未与</w:t>
            </w:r>
            <w:r>
              <w:rPr>
                <w:rFonts w:hint="eastAsia" w:ascii="宋体" w:hAnsi="宋体" w:eastAsia="宋体" w:cs="宋体"/>
                <w:b w:val="0"/>
                <w:bCs/>
                <w:color w:val="auto"/>
                <w:sz w:val="24"/>
                <w:szCs w:val="24"/>
              </w:rPr>
              <w:t>其他单位</w:t>
            </w:r>
            <w:r>
              <w:rPr>
                <w:rFonts w:hint="eastAsia" w:ascii="宋体" w:hAnsi="宋体" w:eastAsia="宋体" w:cs="宋体"/>
                <w:b w:val="0"/>
                <w:bCs/>
                <w:color w:val="auto"/>
                <w:sz w:val="24"/>
                <w:szCs w:val="24"/>
                <w:lang w:val="en-US" w:eastAsia="zh-CN"/>
              </w:rPr>
              <w:t>存在控股、管理关系</w:t>
            </w:r>
            <w:r>
              <w:rPr>
                <w:rFonts w:hint="eastAsia" w:ascii="宋体" w:hAnsi="宋体" w:eastAsia="宋体" w:cs="宋体"/>
                <w:b w:val="0"/>
                <w:bCs/>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817" w:type="dxa"/>
            <w:vMerge w:val="continue"/>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lang w:val="en-US" w:eastAsia="zh-CN"/>
              </w:rPr>
            </w:pPr>
          </w:p>
        </w:tc>
        <w:tc>
          <w:tcPr>
            <w:tcW w:w="2348" w:type="dxa"/>
            <w:vMerge w:val="continue"/>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bCs w:val="0"/>
                <w:color w:val="auto"/>
                <w:sz w:val="24"/>
                <w:szCs w:val="24"/>
              </w:rPr>
            </w:pPr>
          </w:p>
        </w:tc>
        <w:tc>
          <w:tcPr>
            <w:tcW w:w="65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240" w:firstLineChars="1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sym w:font="Wingdings 2" w:char="00A3"/>
            </w:r>
            <w:r>
              <w:rPr>
                <w:rFonts w:hint="eastAsia" w:ascii="宋体" w:hAnsi="宋体" w:eastAsia="宋体" w:cs="宋体"/>
                <w:b w:val="0"/>
                <w:bCs/>
                <w:color w:val="auto"/>
                <w:sz w:val="24"/>
                <w:szCs w:val="24"/>
              </w:rPr>
              <w:t>我方</w:t>
            </w:r>
            <w:r>
              <w:rPr>
                <w:rFonts w:hint="eastAsia" w:ascii="宋体" w:hAnsi="宋体" w:eastAsia="宋体" w:cs="宋体"/>
                <w:b w:val="0"/>
                <w:bCs/>
                <w:color w:val="auto"/>
                <w:sz w:val="24"/>
                <w:szCs w:val="24"/>
                <w:lang w:val="en-US" w:eastAsia="zh-CN"/>
              </w:rPr>
              <w:t>与</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u w:val="single"/>
              </w:rPr>
              <w:t xml:space="preserve">（关联单位全称）  </w:t>
            </w:r>
            <w:r>
              <w:rPr>
                <w:rFonts w:hint="eastAsia" w:ascii="宋体" w:hAnsi="宋体" w:eastAsia="宋体" w:cs="宋体"/>
                <w:b w:val="0"/>
                <w:bCs/>
                <w:color w:val="auto"/>
                <w:sz w:val="24"/>
                <w:szCs w:val="24"/>
                <w:lang w:val="en-US" w:eastAsia="zh-CN"/>
              </w:rPr>
              <w:t>存在控股、管理关系</w:t>
            </w:r>
            <w:r>
              <w:rPr>
                <w:rFonts w:hint="eastAsia" w:ascii="宋体" w:hAnsi="宋体" w:eastAsia="宋体" w:cs="宋体"/>
                <w:b w:val="0"/>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817" w:type="dxa"/>
            <w:vMerge w:val="restart"/>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5</w:t>
            </w:r>
          </w:p>
        </w:tc>
        <w:tc>
          <w:tcPr>
            <w:tcW w:w="2348" w:type="dxa"/>
            <w:vMerge w:val="restart"/>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与其他单位是否</w:t>
            </w:r>
          </w:p>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存在关联关系</w:t>
            </w:r>
          </w:p>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rPr>
              <w:t>（勾选）</w:t>
            </w:r>
          </w:p>
        </w:tc>
        <w:tc>
          <w:tcPr>
            <w:tcW w:w="65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240" w:firstLineChars="1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sym w:font="Wingdings 2" w:char="00A3"/>
            </w:r>
            <w:r>
              <w:rPr>
                <w:rFonts w:hint="eastAsia" w:ascii="宋体" w:hAnsi="宋体" w:eastAsia="宋体" w:cs="宋体"/>
                <w:b w:val="0"/>
                <w:bCs/>
                <w:color w:val="auto"/>
                <w:sz w:val="24"/>
                <w:szCs w:val="24"/>
              </w:rPr>
              <w:t>我方不是其他单位的母公司或子公司。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817" w:type="dxa"/>
            <w:vMerge w:val="continue"/>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p>
        </w:tc>
        <w:tc>
          <w:tcPr>
            <w:tcW w:w="2348" w:type="dxa"/>
            <w:vMerge w:val="continue"/>
            <w:noWrap w:val="0"/>
            <w:vAlign w:val="top"/>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p>
        </w:tc>
        <w:tc>
          <w:tcPr>
            <w:tcW w:w="65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240" w:firstLineChars="1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sym w:font="Wingdings 2" w:char="00A3"/>
            </w:r>
            <w:r>
              <w:rPr>
                <w:rFonts w:hint="eastAsia" w:ascii="宋体" w:hAnsi="宋体" w:eastAsia="宋体" w:cs="宋体"/>
                <w:b w:val="0"/>
                <w:bCs/>
                <w:color w:val="auto"/>
                <w:sz w:val="24"/>
                <w:szCs w:val="24"/>
              </w:rPr>
              <w:t xml:space="preserve">我方为 </w:t>
            </w:r>
            <w:r>
              <w:rPr>
                <w:rFonts w:hint="eastAsia" w:ascii="宋体" w:hAnsi="宋体" w:eastAsia="宋体" w:cs="宋体"/>
                <w:b w:val="0"/>
                <w:bCs/>
                <w:color w:val="auto"/>
                <w:sz w:val="24"/>
                <w:szCs w:val="24"/>
                <w:u w:val="single"/>
              </w:rPr>
              <w:t xml:space="preserve"> （关联单位全称） </w:t>
            </w:r>
            <w:r>
              <w:rPr>
                <w:rFonts w:hint="eastAsia" w:ascii="宋体" w:hAnsi="宋体" w:eastAsia="宋体" w:cs="宋体"/>
                <w:b w:val="0"/>
                <w:bCs/>
                <w:color w:val="auto"/>
                <w:sz w:val="24"/>
                <w:szCs w:val="24"/>
              </w:rPr>
              <w:t xml:space="preserve"> 的母公司。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817" w:type="dxa"/>
            <w:vMerge w:val="continue"/>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p>
        </w:tc>
        <w:tc>
          <w:tcPr>
            <w:tcW w:w="2348" w:type="dxa"/>
            <w:vMerge w:val="continue"/>
            <w:noWrap w:val="0"/>
            <w:vAlign w:val="top"/>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p>
        </w:tc>
        <w:tc>
          <w:tcPr>
            <w:tcW w:w="65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240" w:firstLineChars="1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sym w:font="Wingdings 2" w:char="00A3"/>
            </w:r>
            <w:r>
              <w:rPr>
                <w:rFonts w:hint="eastAsia" w:ascii="宋体" w:hAnsi="宋体" w:eastAsia="宋体" w:cs="宋体"/>
                <w:b w:val="0"/>
                <w:bCs/>
                <w:color w:val="auto"/>
                <w:sz w:val="24"/>
                <w:szCs w:val="24"/>
              </w:rPr>
              <w:t xml:space="preserve">我方为 </w:t>
            </w:r>
            <w:r>
              <w:rPr>
                <w:rFonts w:hint="eastAsia" w:ascii="宋体" w:hAnsi="宋体" w:eastAsia="宋体" w:cs="宋体"/>
                <w:b w:val="0"/>
                <w:bCs/>
                <w:color w:val="auto"/>
                <w:sz w:val="24"/>
                <w:szCs w:val="24"/>
                <w:u w:val="single"/>
              </w:rPr>
              <w:t xml:space="preserve"> （关联单位全称）  </w:t>
            </w:r>
            <w:r>
              <w:rPr>
                <w:rFonts w:hint="eastAsia" w:ascii="宋体" w:hAnsi="宋体" w:eastAsia="宋体" w:cs="宋体"/>
                <w:b w:val="0"/>
                <w:bCs/>
                <w:color w:val="auto"/>
                <w:sz w:val="24"/>
                <w:szCs w:val="24"/>
              </w:rPr>
              <w:t>的子公司。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817" w:type="dxa"/>
            <w:vMerge w:val="continue"/>
            <w:noWrap w:val="0"/>
            <w:vAlign w:val="center"/>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p>
        </w:tc>
        <w:tc>
          <w:tcPr>
            <w:tcW w:w="2348" w:type="dxa"/>
            <w:vMerge w:val="continue"/>
            <w:noWrap w:val="0"/>
            <w:vAlign w:val="top"/>
          </w:tcPr>
          <w:p>
            <w:pPr>
              <w:keepNext w:val="0"/>
              <w:keepLines w:val="0"/>
              <w:pageBreakBefore w:val="0"/>
              <w:kinsoku/>
              <w:wordWrap/>
              <w:overflowPunct/>
              <w:topLinePunct w:val="0"/>
              <w:autoSpaceDE/>
              <w:autoSpaceDN/>
              <w:bidi w:val="0"/>
              <w:adjustRightInd/>
              <w:spacing w:line="480" w:lineRule="exact"/>
              <w:ind w:right="0" w:rightChars="0" w:firstLine="0" w:firstLineChars="0"/>
              <w:jc w:val="center"/>
              <w:textAlignment w:val="auto"/>
              <w:outlineLvl w:val="9"/>
              <w:rPr>
                <w:rFonts w:hint="eastAsia" w:ascii="宋体" w:hAnsi="宋体" w:eastAsia="宋体" w:cs="宋体"/>
                <w:b w:val="0"/>
                <w:bCs/>
                <w:color w:val="auto"/>
                <w:sz w:val="24"/>
                <w:szCs w:val="24"/>
              </w:rPr>
            </w:pPr>
          </w:p>
        </w:tc>
        <w:tc>
          <w:tcPr>
            <w:tcW w:w="654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right="0" w:rightChars="0" w:firstLine="240" w:firstLineChars="1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sym w:font="Wingdings 2" w:char="00A3"/>
            </w:r>
            <w:r>
              <w:rPr>
                <w:rFonts w:hint="eastAsia" w:ascii="宋体" w:hAnsi="宋体" w:eastAsia="宋体" w:cs="宋体"/>
                <w:b w:val="0"/>
                <w:bCs/>
                <w:color w:val="auto"/>
                <w:sz w:val="24"/>
                <w:szCs w:val="24"/>
                <w:lang w:val="en-US" w:eastAsia="zh-CN"/>
              </w:rPr>
              <w:t>我方与</w:t>
            </w:r>
            <w:r>
              <w:rPr>
                <w:rFonts w:hint="eastAsia" w:ascii="宋体" w:hAnsi="宋体" w:eastAsia="宋体" w:cs="宋体"/>
                <w:b w:val="0"/>
                <w:bCs/>
                <w:color w:val="auto"/>
                <w:sz w:val="24"/>
                <w:szCs w:val="24"/>
                <w:u w:val="single"/>
              </w:rPr>
              <w:t xml:space="preserve">  （关联单位全称）  </w:t>
            </w:r>
            <w:r>
              <w:rPr>
                <w:rFonts w:hint="eastAsia" w:ascii="宋体" w:hAnsi="宋体" w:eastAsia="宋体" w:cs="宋体"/>
                <w:b w:val="0"/>
                <w:bCs/>
                <w:color w:val="auto"/>
                <w:sz w:val="24"/>
                <w:szCs w:val="24"/>
                <w:lang w:val="en-US" w:eastAsia="zh-CN"/>
              </w:rPr>
              <w:t>同为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母公司</w:t>
            </w:r>
            <w:r>
              <w:rPr>
                <w:rFonts w:hint="eastAsia" w:ascii="宋体" w:hAnsi="宋体" w:eastAsia="宋体" w:cs="宋体"/>
                <w:b w:val="0"/>
                <w:bCs/>
                <w:color w:val="auto"/>
                <w:sz w:val="24"/>
                <w:szCs w:val="24"/>
                <w:u w:val="single"/>
              </w:rPr>
              <w:t>全称）</w:t>
            </w:r>
            <w:r>
              <w:rPr>
                <w:rFonts w:hint="eastAsia" w:ascii="宋体" w:hAnsi="宋体" w:eastAsia="宋体" w:cs="宋体"/>
                <w:b w:val="0"/>
                <w:bCs/>
                <w:color w:val="auto"/>
                <w:sz w:val="24"/>
                <w:szCs w:val="24"/>
                <w:lang w:val="en-US" w:eastAsia="zh-CN"/>
              </w:rPr>
              <w:t>下的子公司。</w:t>
            </w:r>
          </w:p>
        </w:tc>
      </w:tr>
    </w:tbl>
    <w:p>
      <w:pPr>
        <w:keepNext w:val="0"/>
        <w:keepLines w:val="0"/>
        <w:pageBreakBefore w:val="0"/>
        <w:kinsoku/>
        <w:wordWrap/>
        <w:overflowPunct/>
        <w:topLinePunct w:val="0"/>
        <w:autoSpaceDE/>
        <w:autoSpaceDN/>
        <w:bidi w:val="0"/>
        <w:adjustRightInd/>
        <w:spacing w:line="560" w:lineRule="exact"/>
        <w:ind w:right="0" w:rightChars="0" w:firstLine="48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我方对上述承诺的内容事项真实性负责。如经查实上述承诺的内容事项存在虚假，我方愿意接受以提供虚假材料谋取成交的法律责任。</w:t>
      </w:r>
    </w:p>
    <w:p>
      <w:pPr>
        <w:pStyle w:val="20"/>
        <w:rPr>
          <w:rFonts w:hint="default" w:ascii="Times New Roman" w:hAnsi="Times New Roman" w:eastAsia="仿宋" w:cs="Times New Roman"/>
          <w:b w:val="0"/>
          <w:bCs/>
          <w:color w:val="auto"/>
          <w:sz w:val="28"/>
          <w:szCs w:val="28"/>
        </w:rPr>
      </w:pPr>
    </w:p>
    <w:p>
      <w:pPr>
        <w:pStyle w:val="25"/>
        <w:rPr>
          <w:rFonts w:hint="default" w:ascii="Times New Roman" w:hAnsi="Times New Roman" w:eastAsia="仿宋" w:cs="Times New Roman"/>
          <w:b w:val="0"/>
          <w:bCs/>
          <w:color w:val="auto"/>
          <w:sz w:val="28"/>
          <w:szCs w:val="28"/>
        </w:rPr>
      </w:pPr>
    </w:p>
    <w:p>
      <w:pPr>
        <w:pStyle w:val="25"/>
        <w:rPr>
          <w:rFonts w:hint="default" w:ascii="Times New Roman" w:hAnsi="Times New Roman" w:eastAsia="仿宋" w:cs="Times New Roman"/>
          <w:b w:val="0"/>
          <w:bCs/>
          <w:color w:val="auto"/>
          <w:sz w:val="28"/>
          <w:szCs w:val="28"/>
        </w:rPr>
      </w:pPr>
    </w:p>
    <w:p>
      <w:pPr>
        <w:pStyle w:val="25"/>
        <w:rPr>
          <w:rFonts w:hint="default" w:ascii="Times New Roman" w:hAnsi="Times New Roman" w:eastAsia="仿宋" w:cs="Times New Roman"/>
          <w:b w:val="0"/>
          <w:bCs/>
          <w:color w:val="auto"/>
          <w:sz w:val="28"/>
          <w:szCs w:val="28"/>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5"/>
        <w:rPr>
          <w:rFonts w:hint="default"/>
        </w:rPr>
      </w:pPr>
    </w:p>
    <w:p>
      <w:pPr>
        <w:pStyle w:val="25"/>
        <w:rPr>
          <w:rFonts w:hint="default"/>
        </w:rPr>
      </w:pPr>
    </w:p>
    <w:p>
      <w:pPr>
        <w:pStyle w:val="25"/>
        <w:rPr>
          <w:rFonts w:hint="default"/>
        </w:rPr>
      </w:pPr>
    </w:p>
    <w:p>
      <w:pPr>
        <w:pStyle w:val="25"/>
        <w:rPr>
          <w:rFonts w:hint="default"/>
        </w:rPr>
      </w:pPr>
    </w:p>
    <w:p>
      <w:pPr>
        <w:keepNext w:val="0"/>
        <w:keepLines w:val="0"/>
        <w:pageBreakBefore w:val="0"/>
        <w:kinsoku/>
        <w:wordWrap/>
        <w:overflowPunct/>
        <w:topLinePunct w:val="0"/>
        <w:autoSpaceDE/>
        <w:autoSpaceDN/>
        <w:bidi w:val="0"/>
        <w:adjustRightInd/>
        <w:spacing w:line="560" w:lineRule="exact"/>
        <w:ind w:right="0" w:rightChars="0" w:firstLine="482"/>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说明</w:t>
      </w:r>
      <w:r>
        <w:rPr>
          <w:rFonts w:hint="eastAsia" w:ascii="宋体" w:hAnsi="宋体" w:eastAsia="宋体" w:cs="宋体"/>
          <w:b/>
          <w:bCs w:val="0"/>
          <w:color w:val="auto"/>
          <w:sz w:val="24"/>
          <w:szCs w:val="24"/>
        </w:rPr>
        <w:t>：</w:t>
      </w:r>
    </w:p>
    <w:p>
      <w:pPr>
        <w:keepNext w:val="0"/>
        <w:keepLines w:val="0"/>
        <w:pageBreakBefore w:val="0"/>
        <w:numPr>
          <w:ilvl w:val="0"/>
          <w:numId w:val="73"/>
        </w:numPr>
        <w:kinsoku/>
        <w:wordWrap/>
        <w:overflowPunct/>
        <w:topLinePunct w:val="0"/>
        <w:autoSpaceDE/>
        <w:autoSpaceDN/>
        <w:bidi w:val="0"/>
        <w:adjustRightInd/>
        <w:spacing w:line="560" w:lineRule="exact"/>
        <w:ind w:right="0" w:rightChars="0" w:firstLine="48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lang w:val="en-US"/>
        </w:rPr>
        <w:t>应根据自身实际情况据实进行</w:t>
      </w:r>
      <w:r>
        <w:rPr>
          <w:rFonts w:hint="eastAsia" w:ascii="宋体" w:hAnsi="宋体" w:eastAsia="宋体" w:cs="宋体"/>
          <w:b w:val="0"/>
          <w:bCs/>
          <w:color w:val="auto"/>
          <w:sz w:val="24"/>
          <w:szCs w:val="24"/>
          <w:lang w:val="en-US" w:eastAsia="zh-CN"/>
        </w:rPr>
        <w:t>填写，若提供虚假说明，将报告监管部门严肃追究其法律责任。</w:t>
      </w:r>
    </w:p>
    <w:p>
      <w:pPr>
        <w:keepNext w:val="0"/>
        <w:keepLines w:val="0"/>
        <w:pageBreakBefore w:val="0"/>
        <w:numPr>
          <w:ilvl w:val="0"/>
          <w:numId w:val="73"/>
        </w:numPr>
        <w:kinsoku/>
        <w:wordWrap/>
        <w:overflowPunct/>
        <w:topLinePunct w:val="0"/>
        <w:autoSpaceDE/>
        <w:autoSpaceDN/>
        <w:bidi w:val="0"/>
        <w:adjustRightInd/>
        <w:spacing w:line="560" w:lineRule="exact"/>
        <w:ind w:left="0" w:leftChars="0" w:right="0" w:righ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《关联单位情况表》中：①</w:t>
      </w:r>
      <w:r>
        <w:rPr>
          <w:rFonts w:hint="eastAsia" w:ascii="宋体" w:hAnsi="宋体" w:eastAsia="宋体" w:cs="宋体"/>
          <w:b w:val="0"/>
          <w:bCs/>
          <w:color w:val="auto"/>
          <w:sz w:val="24"/>
          <w:szCs w:val="24"/>
          <w:lang w:val="en-US" w:eastAsia="zh-CN"/>
        </w:rPr>
        <w:t xml:space="preserve"> 供应商委托的授权代表在其他单位任职，但任职单位未参与本次采购活动的，其磋商文件视为有效；</w:t>
      </w:r>
      <w:r>
        <w:rPr>
          <w:rFonts w:hint="eastAsia" w:ascii="宋体" w:hAnsi="宋体" w:eastAsia="宋体" w:cs="宋体"/>
          <w:b w:val="0"/>
          <w:bCs/>
          <w:color w:val="auto"/>
          <w:sz w:val="24"/>
          <w:szCs w:val="24"/>
        </w:rPr>
        <w:t>②</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实际控制人或者中高级管理人员在其他单位任职，但任职单位未参与本次采购活动的，其</w:t>
      </w:r>
      <w:r>
        <w:rPr>
          <w:rFonts w:hint="eastAsia" w:ascii="宋体" w:hAnsi="宋体" w:eastAsia="宋体" w:cs="宋体"/>
          <w:b w:val="0"/>
          <w:bCs/>
          <w:color w:val="auto"/>
          <w:sz w:val="24"/>
          <w:szCs w:val="24"/>
          <w:lang w:eastAsia="zh-CN"/>
        </w:rPr>
        <w:t>磋商文件</w:t>
      </w:r>
      <w:r>
        <w:rPr>
          <w:rFonts w:hint="eastAsia" w:ascii="宋体" w:hAnsi="宋体" w:eastAsia="宋体" w:cs="宋体"/>
          <w:b w:val="0"/>
          <w:bCs/>
          <w:color w:val="auto"/>
          <w:sz w:val="24"/>
          <w:szCs w:val="24"/>
        </w:rPr>
        <w:t>视为有效</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③</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与其他单位存在关联关系，但其关联单位未参与本次采购活动的，其</w:t>
      </w:r>
      <w:r>
        <w:rPr>
          <w:rFonts w:hint="eastAsia" w:ascii="宋体" w:hAnsi="宋体" w:eastAsia="宋体" w:cs="宋体"/>
          <w:b w:val="0"/>
          <w:bCs/>
          <w:color w:val="auto"/>
          <w:sz w:val="24"/>
          <w:szCs w:val="24"/>
          <w:lang w:eastAsia="zh-CN"/>
        </w:rPr>
        <w:t>磋商文件</w:t>
      </w:r>
      <w:r>
        <w:rPr>
          <w:rFonts w:hint="eastAsia" w:ascii="宋体" w:hAnsi="宋体" w:eastAsia="宋体" w:cs="宋体"/>
          <w:b w:val="0"/>
          <w:bCs/>
          <w:color w:val="auto"/>
          <w:sz w:val="24"/>
          <w:szCs w:val="24"/>
        </w:rPr>
        <w:t>视为有效</w:t>
      </w:r>
      <w:r>
        <w:rPr>
          <w:rFonts w:hint="eastAsia" w:ascii="宋体" w:hAnsi="宋体" w:eastAsia="宋体" w:cs="宋体"/>
          <w:b w:val="0"/>
          <w:bCs/>
          <w:color w:val="auto"/>
          <w:sz w:val="24"/>
          <w:szCs w:val="24"/>
          <w:lang w:eastAsia="zh-CN"/>
        </w:rPr>
        <w:t>。</w:t>
      </w:r>
    </w:p>
    <w:p>
      <w:pPr>
        <w:pStyle w:val="25"/>
        <w:rPr>
          <w:rFonts w:hint="default"/>
        </w:rPr>
      </w:pPr>
    </w:p>
    <w:p>
      <w:pPr>
        <w:pStyle w:val="25"/>
        <w:rPr>
          <w:rFonts w:hint="default"/>
        </w:rPr>
      </w:pPr>
    </w:p>
    <w:p>
      <w:pPr>
        <w:pStyle w:val="25"/>
        <w:rPr>
          <w:rFonts w:hint="default"/>
        </w:rPr>
      </w:pPr>
    </w:p>
    <w:p>
      <w:pPr>
        <w:pStyle w:val="25"/>
        <w:rPr>
          <w:rFonts w:hint="default"/>
        </w:rPr>
      </w:pPr>
    </w:p>
    <w:p>
      <w:pPr>
        <w:pStyle w:val="5"/>
        <w:ind w:left="18" w:leftChars="0" w:hanging="18" w:firstLineChars="0"/>
        <w:rPr>
          <w:color w:val="auto"/>
          <w:highlight w:val="none"/>
        </w:rPr>
      </w:pPr>
      <w:r>
        <w:rPr>
          <w:rFonts w:hint="eastAsia"/>
          <w:color w:val="auto"/>
          <w:highlight w:val="none"/>
        </w:rPr>
        <w:t>法定代表人身份证明书（格式）</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u w:val="single"/>
          <w:lang w:val="zh-CN"/>
        </w:rPr>
        <w:t>（法定代表人姓名）</w:t>
      </w:r>
      <w:r>
        <w:rPr>
          <w:rFonts w:hint="eastAsia" w:ascii="宋体" w:hAnsi="宋体"/>
          <w:color w:val="auto"/>
          <w:highlight w:val="none"/>
          <w:lang w:val="zh-CN"/>
        </w:rPr>
        <w:t>在</w:t>
      </w:r>
      <w:r>
        <w:rPr>
          <w:rFonts w:hint="eastAsia" w:ascii="宋体" w:hAnsi="宋体"/>
          <w:color w:val="auto"/>
          <w:highlight w:val="none"/>
          <w:u w:val="single"/>
          <w:lang w:val="zh-CN"/>
        </w:rPr>
        <w:t>（供应商名称）</w:t>
      </w:r>
      <w:r>
        <w:rPr>
          <w:rFonts w:hint="eastAsia" w:ascii="宋体" w:hAnsi="宋体"/>
          <w:color w:val="auto"/>
          <w:highlight w:val="none"/>
          <w:lang w:val="zh-CN"/>
        </w:rPr>
        <w:t>处任</w:t>
      </w:r>
      <w:r>
        <w:rPr>
          <w:rFonts w:hint="eastAsia" w:ascii="宋体" w:hAnsi="宋体"/>
          <w:color w:val="auto"/>
          <w:highlight w:val="none"/>
          <w:u w:val="single"/>
          <w:lang w:val="zh-CN"/>
        </w:rPr>
        <w:t>（职务名称）</w:t>
      </w:r>
      <w:r>
        <w:rPr>
          <w:rFonts w:hint="eastAsia" w:ascii="宋体" w:hAnsi="宋体"/>
          <w:color w:val="auto"/>
          <w:highlight w:val="none"/>
          <w:lang w:val="zh-CN"/>
        </w:rPr>
        <w:t>职务，是</w:t>
      </w:r>
      <w:r>
        <w:rPr>
          <w:rFonts w:hint="eastAsia" w:ascii="宋体" w:hAnsi="宋体"/>
          <w:color w:val="auto"/>
          <w:highlight w:val="none"/>
          <w:u w:val="single"/>
          <w:lang w:val="zh-CN"/>
        </w:rPr>
        <w:t>（供应商名称）</w:t>
      </w:r>
      <w:r>
        <w:rPr>
          <w:rFonts w:hint="eastAsia" w:ascii="宋体" w:hAnsi="宋体"/>
          <w:color w:val="auto"/>
          <w:highlight w:val="none"/>
          <w:lang w:val="zh-CN"/>
        </w:rPr>
        <w:t>的法定代表人。</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特此证明。</w:t>
      </w: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lang w:val="zh-CN"/>
        </w:rPr>
      </w:pP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说明：上述证明文件在</w:t>
      </w:r>
      <w:r>
        <w:rPr>
          <w:rFonts w:hint="eastAsia" w:ascii="宋体" w:hAnsi="宋体"/>
          <w:b/>
          <w:color w:val="auto"/>
          <w:highlight w:val="none"/>
          <w:lang w:val="zh-CN"/>
        </w:rPr>
        <w:t>资格性</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文件中附有法定代表人身份证复印件（身份证两面均应复印）或护照复印件（</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的法定代表人为外籍人士的，则提供护照复印件）时才能生效。</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为自然人无须提供身份证明书，仅提供身份证复印件或护照复印件。</w:t>
      </w: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5"/>
        <w:ind w:left="18" w:leftChars="0" w:hanging="18" w:firstLineChars="0"/>
        <w:rPr>
          <w:color w:val="auto"/>
          <w:highlight w:val="none"/>
        </w:rPr>
      </w:pPr>
      <w:r>
        <w:rPr>
          <w:rFonts w:hint="eastAsia"/>
          <w:color w:val="auto"/>
          <w:highlight w:val="none"/>
        </w:rPr>
        <w:t>法定代表人授权委托书（格式）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rPr>
        <w:t>四川世科工程咨询有限公司：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u w:val="single"/>
        </w:rPr>
        <w:t xml:space="preserve">            （供应商名称）</w:t>
      </w:r>
      <w:r>
        <w:rPr>
          <w:rFonts w:hint="eastAsia" w:ascii="宋体" w:hAnsi="宋体"/>
          <w:color w:val="auto"/>
          <w:highlight w:val="none"/>
        </w:rPr>
        <w:t>法定代表人</w:t>
      </w:r>
      <w:r>
        <w:rPr>
          <w:rFonts w:hint="eastAsia" w:ascii="宋体" w:hAnsi="宋体"/>
          <w:color w:val="auto"/>
          <w:highlight w:val="none"/>
          <w:u w:val="single"/>
        </w:rPr>
        <w:t xml:space="preserve">  （法定代表人姓名）  </w:t>
      </w:r>
      <w:r>
        <w:rPr>
          <w:rFonts w:hint="eastAsia" w:ascii="宋体" w:hAnsi="宋体"/>
          <w:color w:val="auto"/>
          <w:highlight w:val="none"/>
        </w:rPr>
        <w:t>授权委托</w:t>
      </w:r>
      <w:r>
        <w:rPr>
          <w:rFonts w:hint="eastAsia" w:ascii="宋体" w:hAnsi="宋体"/>
          <w:color w:val="auto"/>
          <w:highlight w:val="none"/>
          <w:u w:val="single"/>
        </w:rPr>
        <w:t xml:space="preserve">   （代理人姓名）</w:t>
      </w:r>
      <w:r>
        <w:rPr>
          <w:rFonts w:hint="eastAsia" w:ascii="宋体" w:hAnsi="宋体"/>
          <w:color w:val="auto"/>
          <w:highlight w:val="none"/>
        </w:rPr>
        <w:t>为我的代理人，参加贵单位组织的</w:t>
      </w:r>
      <w:r>
        <w:rPr>
          <w:rFonts w:hint="eastAsia" w:ascii="宋体" w:hAnsi="宋体"/>
          <w:b/>
          <w:color w:val="auto"/>
          <w:highlight w:val="none"/>
          <w:u w:val="single"/>
          <w:lang w:eastAsia="zh-CN"/>
        </w:rPr>
        <w:t>成都市公安局龙泉驿区分局200个天网点位升级改造租赁服务采购项目</w:t>
      </w:r>
      <w:r>
        <w:rPr>
          <w:rFonts w:hint="eastAsia" w:ascii="宋体" w:hAnsi="宋体" w:cs="宋体"/>
          <w:b/>
          <w:color w:val="auto"/>
          <w:highlight w:val="none"/>
        </w:rPr>
        <w:t>（</w:t>
      </w:r>
      <w:r>
        <w:rPr>
          <w:rFonts w:hint="eastAsia" w:ascii="宋体" w:hAnsi="宋体" w:cs="宋体"/>
          <w:b/>
          <w:color w:val="auto"/>
          <w:highlight w:val="none"/>
          <w:u w:val="single"/>
        </w:rPr>
        <w:t>项目编号：</w:t>
      </w:r>
      <w:r>
        <w:rPr>
          <w:rFonts w:hint="eastAsia" w:ascii="宋体" w:hAnsi="宋体"/>
          <w:b/>
          <w:color w:val="auto"/>
          <w:highlight w:val="none"/>
          <w:u w:val="single"/>
          <w:lang w:eastAsia="zh-CN"/>
        </w:rPr>
        <w:t>510112202200016</w:t>
      </w:r>
      <w:r>
        <w:rPr>
          <w:rFonts w:hint="eastAsia" w:ascii="宋体" w:hAnsi="宋体"/>
          <w:b/>
          <w:color w:val="auto"/>
          <w:highlight w:val="none"/>
        </w:rPr>
        <w:t>）</w:t>
      </w:r>
      <w:r>
        <w:rPr>
          <w:rFonts w:hint="eastAsia" w:ascii="宋体" w:hAnsi="宋体"/>
          <w:color w:val="auto"/>
          <w:highlight w:val="none"/>
        </w:rPr>
        <w:t>的竞争性磋商。代理人在本次竞争性磋商中所签署的一切文件和处理的一切有关事宜，我单位均予承认，所产生的法律后果均由我单位承担。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b/>
          <w:color w:val="auto"/>
          <w:highlight w:val="none"/>
        </w:rPr>
      </w:pPr>
      <w:r>
        <w:rPr>
          <w:rFonts w:hint="eastAsia" w:ascii="宋体" w:hAnsi="宋体"/>
          <w:color w:val="auto"/>
          <w:highlight w:val="none"/>
        </w:rPr>
        <w:t>代理人无转委托权，本授权书自</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日签字生效，特此声明。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rPr>
        <w:t>法定代表人：</w:t>
      </w:r>
      <w:r>
        <w:rPr>
          <w:rFonts w:hint="eastAsia" w:ascii="宋体" w:hAnsi="宋体"/>
          <w:b/>
          <w:color w:val="auto"/>
          <w:highlight w:val="none"/>
          <w:u w:val="single"/>
        </w:rPr>
        <w:t xml:space="preserve">                   </w:t>
      </w:r>
      <w:r>
        <w:rPr>
          <w:rFonts w:hint="eastAsia" w:ascii="宋体" w:hAnsi="宋体"/>
          <w:color w:val="auto"/>
          <w:highlight w:val="none"/>
        </w:rPr>
        <w:t>（签字或盖法定代表人印章）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rPr>
        <w:t>代理人：</w:t>
      </w:r>
      <w:r>
        <w:rPr>
          <w:rFonts w:hint="eastAsia" w:ascii="宋体" w:hAnsi="宋体"/>
          <w:b/>
          <w:color w:val="auto"/>
          <w:highlight w:val="none"/>
          <w:u w:val="single"/>
        </w:rPr>
        <w:t xml:space="preserve">                   </w:t>
      </w:r>
      <w:r>
        <w:rPr>
          <w:rFonts w:hint="eastAsia" w:ascii="宋体" w:hAnsi="宋体"/>
          <w:color w:val="auto"/>
          <w:highlight w:val="none"/>
        </w:rPr>
        <w:t>（签字）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hAnsi="宋体"/>
          <w:b/>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szCs w:val="32"/>
          <w:highlight w:val="none"/>
        </w:rPr>
        <w:t>说明：</w:t>
      </w:r>
      <w:r>
        <w:rPr>
          <w:rFonts w:hint="eastAsia" w:ascii="宋体" w:hAnsi="宋体"/>
          <w:b/>
          <w:color w:val="auto"/>
          <w:sz w:val="24"/>
          <w:szCs w:val="32"/>
          <w:highlight w:val="none"/>
          <w:lang w:val="en-US" w:eastAsia="zh-CN"/>
        </w:rPr>
        <w:t>1、</w:t>
      </w:r>
      <w:r>
        <w:rPr>
          <w:rFonts w:hint="eastAsia" w:ascii="宋体" w:hAnsi="宋体" w:eastAsia="宋体" w:cs="Times New Roman"/>
          <w:b/>
          <w:color w:val="auto"/>
          <w:sz w:val="24"/>
          <w:szCs w:val="32"/>
          <w:highlight w:val="none"/>
          <w:lang w:val="zh-CN"/>
        </w:rPr>
        <w:t>上述证明文件在资格性</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文件中附有代理人身份证复印件（身份证两面均应复印）时才能生效。2、</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文件均由</w:t>
      </w:r>
      <w:r>
        <w:rPr>
          <w:rFonts w:hint="eastAsia" w:ascii="宋体" w:hAnsi="宋体" w:eastAsia="宋体" w:cs="Times New Roman"/>
          <w:b/>
          <w:color w:val="auto"/>
          <w:sz w:val="24"/>
          <w:szCs w:val="32"/>
          <w:highlight w:val="none"/>
          <w:lang w:val="en-US" w:eastAsia="zh-CN"/>
        </w:rPr>
        <w:t>供应商</w:t>
      </w:r>
      <w:r>
        <w:rPr>
          <w:rFonts w:hint="eastAsia" w:ascii="宋体" w:hAnsi="宋体" w:eastAsia="宋体" w:cs="Times New Roman"/>
          <w:b/>
          <w:color w:val="auto"/>
          <w:sz w:val="24"/>
          <w:szCs w:val="32"/>
          <w:highlight w:val="none"/>
          <w:lang w:val="zh-CN"/>
        </w:rPr>
        <w:t>法定代表人签字的,可不提供该附件的内容。</w:t>
      </w:r>
    </w:p>
    <w:p>
      <w:pPr>
        <w:pStyle w:val="2"/>
        <w:spacing w:line="360" w:lineRule="auto"/>
        <w:ind w:left="0" w:leftChars="0" w:firstLine="366" w:firstLineChars="152"/>
        <w:rPr>
          <w:rFonts w:hint="eastAsia" w:ascii="宋体" w:hAnsi="宋体" w:eastAsia="宋体" w:cs="Times New Roman"/>
          <w:b/>
          <w:color w:val="auto"/>
          <w:sz w:val="24"/>
          <w:szCs w:val="32"/>
          <w:highlight w:val="none"/>
          <w:lang w:val="zh-CN"/>
        </w:rPr>
        <w:sectPr>
          <w:pgSz w:w="11906" w:h="16838"/>
          <w:pgMar w:top="1440" w:right="1274" w:bottom="1440" w:left="1418" w:header="851" w:footer="992" w:gutter="0"/>
          <w:cols w:space="720" w:num="1"/>
          <w:docGrid w:type="lines" w:linePitch="312" w:charSpace="0"/>
        </w:sectPr>
      </w:pPr>
    </w:p>
    <w:p>
      <w:pPr>
        <w:pStyle w:val="4"/>
        <w:jc w:val="center"/>
        <w:rPr>
          <w:color w:val="auto"/>
          <w:highlight w:val="none"/>
        </w:rPr>
      </w:pPr>
      <w:bookmarkStart w:id="429" w:name="_Toc448403805"/>
      <w:bookmarkStart w:id="430" w:name="_Toc3665"/>
      <w:r>
        <w:rPr>
          <w:rFonts w:hint="eastAsia"/>
          <w:color w:val="auto"/>
          <w:highlight w:val="none"/>
        </w:rPr>
        <w:t>技术、服务性响应文件格式</w:t>
      </w:r>
      <w:bookmarkEnd w:id="429"/>
      <w:bookmarkEnd w:id="430"/>
    </w:p>
    <w:p>
      <w:pPr>
        <w:pStyle w:val="5"/>
        <w:ind w:left="18" w:leftChars="0" w:hanging="18" w:firstLineChars="0"/>
        <w:rPr>
          <w:color w:val="auto"/>
          <w:highlight w:val="none"/>
        </w:rPr>
      </w:pPr>
      <w:r>
        <w:rPr>
          <w:rFonts w:hint="eastAsia"/>
          <w:color w:val="auto"/>
          <w:highlight w:val="none"/>
        </w:rPr>
        <w:t>报价书</w:t>
      </w:r>
    </w:p>
    <w:p>
      <w:pPr>
        <w:pStyle w:val="2"/>
        <w:spacing w:after="0" w:line="500" w:lineRule="exact"/>
        <w:ind w:left="0" w:leftChars="0" w:firstLine="0" w:firstLineChars="0"/>
        <w:jc w:val="both"/>
        <w:rPr>
          <w:rFonts w:hint="eastAsia" w:ascii="宋体" w:hAnsi="宋体" w:eastAsia="宋体" w:cs="宋体"/>
          <w:bCs/>
          <w:sz w:val="24"/>
          <w:szCs w:val="24"/>
        </w:rPr>
      </w:pPr>
      <w:r>
        <w:rPr>
          <w:rFonts w:hint="eastAsia" w:ascii="宋体" w:hAnsi="宋体" w:eastAsia="宋体" w:cs="宋体"/>
          <w:bCs/>
          <w:sz w:val="24"/>
          <w:szCs w:val="24"/>
        </w:rPr>
        <w:t>四川世科工程咨询有限公司：</w:t>
      </w:r>
    </w:p>
    <w:p>
      <w:pPr>
        <w:pStyle w:val="2"/>
        <w:spacing w:after="0" w:line="360" w:lineRule="auto"/>
        <w:ind w:left="0" w:leftChars="0" w:firstLine="480"/>
        <w:rPr>
          <w:rFonts w:hint="eastAsia" w:ascii="宋体" w:hAnsi="宋体" w:eastAsia="宋体" w:cs="宋体"/>
          <w:bCs/>
          <w:sz w:val="24"/>
          <w:szCs w:val="24"/>
        </w:rPr>
      </w:pPr>
      <w:r>
        <w:rPr>
          <w:rFonts w:hint="eastAsia" w:ascii="宋体" w:hAnsi="宋体" w:eastAsia="宋体" w:cs="宋体"/>
          <w:bCs/>
          <w:sz w:val="24"/>
          <w:szCs w:val="24"/>
        </w:rPr>
        <w:t>我方全面研究了“</w:t>
      </w:r>
      <w:r>
        <w:rPr>
          <w:rFonts w:hint="eastAsia" w:ascii="宋体" w:hAnsi="宋体" w:eastAsia="宋体" w:cs="宋体"/>
          <w:b/>
          <w:sz w:val="24"/>
          <w:szCs w:val="24"/>
          <w:u w:val="single"/>
          <w:lang w:val="en-US" w:eastAsia="zh-CN"/>
        </w:rPr>
        <w:t xml:space="preserve">     </w:t>
      </w:r>
      <w:r>
        <w:rPr>
          <w:rFonts w:hint="eastAsia" w:ascii="宋体" w:hAnsi="宋体" w:eastAsia="宋体" w:cs="宋体"/>
          <w:b/>
          <w:bCs/>
          <w:sz w:val="24"/>
          <w:szCs w:val="24"/>
          <w:u w:val="single"/>
        </w:rPr>
        <w:t>”（项目编号：</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w:t>
      </w:r>
      <w:r>
        <w:rPr>
          <w:rFonts w:hint="eastAsia" w:ascii="宋体" w:hAnsi="宋体" w:eastAsia="宋体" w:cs="宋体"/>
          <w:bCs/>
          <w:sz w:val="24"/>
          <w:szCs w:val="24"/>
          <w:lang w:val="en-US" w:eastAsia="zh-CN"/>
        </w:rPr>
        <w:t>竞争性磋商</w:t>
      </w:r>
      <w:r>
        <w:rPr>
          <w:rFonts w:hint="eastAsia" w:ascii="宋体" w:hAnsi="宋体" w:eastAsia="宋体" w:cs="宋体"/>
          <w:bCs/>
          <w:sz w:val="24"/>
          <w:szCs w:val="24"/>
        </w:rPr>
        <w:t>文件，决定参加贵单位组织的本项目的</w:t>
      </w:r>
      <w:r>
        <w:rPr>
          <w:rFonts w:hint="eastAsia" w:ascii="宋体" w:hAnsi="宋体" w:eastAsia="宋体" w:cs="宋体"/>
          <w:bCs/>
          <w:sz w:val="24"/>
          <w:szCs w:val="24"/>
          <w:lang w:val="en-US" w:eastAsia="zh-CN"/>
        </w:rPr>
        <w:t>磋商</w:t>
      </w:r>
      <w:r>
        <w:rPr>
          <w:rFonts w:hint="eastAsia" w:ascii="宋体" w:hAnsi="宋体" w:eastAsia="宋体" w:cs="宋体"/>
          <w:bCs/>
          <w:sz w:val="24"/>
          <w:szCs w:val="24"/>
        </w:rPr>
        <w:t>。我方授权</w:t>
      </w:r>
      <w:r>
        <w:rPr>
          <w:rFonts w:hint="eastAsia" w:ascii="宋体" w:hAnsi="宋体" w:eastAsia="宋体" w:cs="宋体"/>
          <w:bCs/>
          <w:sz w:val="24"/>
          <w:szCs w:val="24"/>
          <w:u w:val="single"/>
        </w:rPr>
        <w:t xml:space="preserve">       （姓名、职务）</w:t>
      </w:r>
      <w:r>
        <w:rPr>
          <w:rFonts w:hint="eastAsia" w:ascii="宋体" w:hAnsi="宋体" w:eastAsia="宋体" w:cs="宋体"/>
          <w:bCs/>
          <w:sz w:val="24"/>
          <w:szCs w:val="24"/>
        </w:rPr>
        <w:t xml:space="preserve">代表我方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供应商</w:t>
      </w:r>
      <w:r>
        <w:rPr>
          <w:rFonts w:hint="eastAsia" w:ascii="宋体" w:hAnsi="宋体" w:eastAsia="宋体" w:cs="宋体"/>
          <w:bCs/>
          <w:sz w:val="24"/>
          <w:szCs w:val="24"/>
          <w:u w:val="single"/>
        </w:rPr>
        <w:t>名称）</w:t>
      </w:r>
      <w:r>
        <w:rPr>
          <w:rFonts w:hint="eastAsia" w:ascii="宋体" w:hAnsi="宋体" w:eastAsia="宋体" w:cs="宋体"/>
          <w:bCs/>
          <w:sz w:val="24"/>
          <w:szCs w:val="24"/>
        </w:rPr>
        <w:t>全权处理本项目</w:t>
      </w:r>
      <w:r>
        <w:rPr>
          <w:rFonts w:hint="eastAsia" w:ascii="宋体" w:hAnsi="宋体" w:eastAsia="宋体" w:cs="宋体"/>
          <w:bCs/>
          <w:sz w:val="24"/>
          <w:szCs w:val="24"/>
          <w:lang w:val="en-US" w:eastAsia="zh-CN"/>
        </w:rPr>
        <w:t>磋商</w:t>
      </w:r>
      <w:r>
        <w:rPr>
          <w:rFonts w:hint="eastAsia" w:ascii="宋体" w:hAnsi="宋体" w:eastAsia="宋体" w:cs="宋体"/>
          <w:bCs/>
          <w:sz w:val="24"/>
          <w:szCs w:val="24"/>
        </w:rPr>
        <w:t>的有关事宜。</w:t>
      </w:r>
    </w:p>
    <w:p>
      <w:pPr>
        <w:pStyle w:val="143"/>
        <w:numPr>
          <w:ilvl w:val="1"/>
          <w:numId w:val="74"/>
        </w:numPr>
        <w:tabs>
          <w:tab w:val="left" w:pos="1134"/>
        </w:tabs>
        <w:spacing w:line="360" w:lineRule="auto"/>
        <w:ind w:left="0" w:firstLine="480"/>
        <w:jc w:val="left"/>
        <w:rPr>
          <w:rFonts w:hint="default" w:ascii="Times New Roman" w:hAnsi="Times New Roman" w:cs="Times New Roman"/>
          <w:b w:val="0"/>
          <w:lang w:val="en-US"/>
        </w:rPr>
      </w:pPr>
      <w:r>
        <w:rPr>
          <w:rFonts w:hint="eastAsia" w:ascii="Times New Roman" w:hAnsi="Times New Roman" w:cs="Times New Roman"/>
          <w:b w:val="0"/>
          <w:lang w:val="en-US"/>
        </w:rPr>
        <w:t>我方已认真阅读并接受本项目磋商文件第</w:t>
      </w:r>
      <w:r>
        <w:rPr>
          <w:rFonts w:hint="eastAsia" w:ascii="Times New Roman" w:hAnsi="Times New Roman" w:cs="Times New Roman"/>
          <w:b w:val="0"/>
          <w:lang w:val="en-US" w:eastAsia="zh-CN"/>
        </w:rPr>
        <w:t>2</w:t>
      </w:r>
      <w:r>
        <w:rPr>
          <w:rFonts w:hint="eastAsia" w:ascii="Times New Roman" w:hAnsi="Times New Roman" w:cs="Times New Roman"/>
          <w:b w:val="0"/>
          <w:lang w:val="en-US"/>
        </w:rPr>
        <w:t>章的全部实质性要求，如对磋商文件有异议，已依法进行维权救济，不存在对磋商文件有异议的同时又参加磋商以求侥幸成交或者为实现其他非法目的的行为</w:t>
      </w:r>
      <w:r>
        <w:rPr>
          <w:rFonts w:hint="eastAsia" w:ascii="Times New Roman" w:hAnsi="Times New Roman" w:cs="Times New Roman"/>
          <w:b w:val="0"/>
          <w:lang w:val="en-US" w:eastAsia="zh-CN"/>
        </w:rPr>
        <w:t>。</w:t>
      </w:r>
    </w:p>
    <w:p>
      <w:pPr>
        <w:pStyle w:val="143"/>
        <w:numPr>
          <w:ilvl w:val="1"/>
          <w:numId w:val="74"/>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我方将按报价表中的报价为</w:t>
      </w:r>
      <w:r>
        <w:rPr>
          <w:rFonts w:hint="eastAsia" w:ascii="宋体" w:hAnsi="宋体" w:eastAsia="宋体" w:cs="宋体"/>
          <w:bCs/>
          <w:color w:val="auto"/>
          <w:highlight w:val="none"/>
          <w:lang w:val="en-US" w:eastAsia="zh-CN"/>
        </w:rPr>
        <w:t>采购人</w:t>
      </w:r>
      <w:r>
        <w:rPr>
          <w:rFonts w:hint="eastAsia" w:ascii="宋体" w:hAnsi="宋体" w:cs="宋体"/>
          <w:bCs/>
          <w:color w:val="auto"/>
          <w:highlight w:val="none"/>
        </w:rPr>
        <w:t>提供货物及服务；</w:t>
      </w:r>
    </w:p>
    <w:p>
      <w:pPr>
        <w:pStyle w:val="143"/>
        <w:numPr>
          <w:ilvl w:val="1"/>
          <w:numId w:val="74"/>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项目进度和质量严格按竞争性磋商文件的规定执行，否则将承担由此产生的一切责任；</w:t>
      </w:r>
    </w:p>
    <w:p>
      <w:pPr>
        <w:pStyle w:val="143"/>
        <w:numPr>
          <w:ilvl w:val="1"/>
          <w:numId w:val="74"/>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我方已详细审查了全部竞争性磋商文件，包括修改文件（如有）以及全部参考资料和有关附件。我们完全理解并同意放弃对这方面有不明及误解的权力；</w:t>
      </w:r>
    </w:p>
    <w:p>
      <w:pPr>
        <w:pStyle w:val="143"/>
        <w:numPr>
          <w:ilvl w:val="1"/>
          <w:numId w:val="74"/>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本响应文件有效期为从递交响应文件截止日期起</w:t>
      </w:r>
      <w:r>
        <w:rPr>
          <w:rFonts w:hint="eastAsia" w:ascii="宋体" w:hAnsi="宋体" w:cs="宋体"/>
          <w:bCs/>
          <w:color w:val="auto"/>
          <w:highlight w:val="none"/>
          <w:u w:val="single"/>
        </w:rPr>
        <w:t>90天</w:t>
      </w:r>
      <w:r>
        <w:rPr>
          <w:rFonts w:hint="eastAsia" w:ascii="宋体" w:hAnsi="宋体" w:cs="宋体"/>
          <w:bCs/>
          <w:color w:val="auto"/>
          <w:highlight w:val="none"/>
        </w:rPr>
        <w:t>内有效；</w:t>
      </w:r>
    </w:p>
    <w:p>
      <w:pPr>
        <w:pStyle w:val="143"/>
        <w:numPr>
          <w:ilvl w:val="1"/>
          <w:numId w:val="74"/>
        </w:numPr>
        <w:tabs>
          <w:tab w:val="left" w:pos="1134"/>
        </w:tabs>
        <w:spacing w:line="360" w:lineRule="auto"/>
        <w:ind w:left="0" w:firstLine="480"/>
        <w:jc w:val="left"/>
        <w:rPr>
          <w:rFonts w:hint="default" w:ascii="Times New Roman" w:hAnsi="Times New Roman" w:cs="Times New Roman"/>
          <w:b w:val="0"/>
          <w:lang w:val="en-US"/>
        </w:rPr>
      </w:pPr>
      <w:r>
        <w:rPr>
          <w:rFonts w:hint="default" w:ascii="Times New Roman" w:hAnsi="Times New Roman" w:cs="Times New Roman"/>
          <w:lang w:val="en-US"/>
        </w:rPr>
        <w:t>国家或行业主管部门对</w:t>
      </w:r>
      <w:r>
        <w:rPr>
          <w:rFonts w:hint="eastAsia" w:ascii="Times New Roman" w:hAnsi="Times New Roman" w:cs="Times New Roman"/>
          <w:lang w:val="en-US" w:eastAsia="zh-CN"/>
        </w:rPr>
        <w:t>供应商</w:t>
      </w:r>
      <w:r>
        <w:rPr>
          <w:rFonts w:hint="default" w:ascii="Times New Roman" w:hAnsi="Times New Roman" w:cs="Times New Roman"/>
          <w:lang w:val="en-US"/>
        </w:rPr>
        <w:t>和采购产品的技术标准、质量标准和资格资质条件等有强制性规定的，我方承诺符合其要求</w:t>
      </w:r>
      <w:r>
        <w:rPr>
          <w:rFonts w:hint="eastAsia" w:ascii="Times New Roman" w:hAnsi="Times New Roman" w:cs="Times New Roman"/>
          <w:lang w:val="en-US" w:eastAsia="zh-CN"/>
        </w:rPr>
        <w:t>；</w:t>
      </w:r>
    </w:p>
    <w:p>
      <w:pPr>
        <w:pStyle w:val="143"/>
        <w:numPr>
          <w:ilvl w:val="1"/>
          <w:numId w:val="74"/>
        </w:numPr>
        <w:tabs>
          <w:tab w:val="left" w:pos="1134"/>
        </w:tabs>
        <w:spacing w:line="360" w:lineRule="auto"/>
        <w:ind w:left="0" w:firstLine="480"/>
        <w:jc w:val="left"/>
        <w:rPr>
          <w:rFonts w:hint="default" w:ascii="Times New Roman" w:hAnsi="Times New Roman" w:cs="Times New Roman"/>
          <w:lang w:val="en-US"/>
        </w:rPr>
      </w:pPr>
      <w:r>
        <w:rPr>
          <w:rFonts w:hint="default" w:ascii="Times New Roman" w:hAnsi="Times New Roman" w:cs="Times New Roman"/>
          <w:lang w:val="en-US"/>
        </w:rPr>
        <w:t>我方承诺完全响应</w:t>
      </w:r>
      <w:r>
        <w:rPr>
          <w:rFonts w:hint="eastAsia" w:ascii="Times New Roman" w:hAnsi="Times New Roman" w:cs="Times New Roman"/>
          <w:lang w:val="en-US" w:eastAsia="zh-CN"/>
        </w:rPr>
        <w:t>磋商文件</w:t>
      </w:r>
      <w:r>
        <w:rPr>
          <w:rFonts w:hint="default" w:ascii="Times New Roman" w:hAnsi="Times New Roman" w:cs="Times New Roman"/>
          <w:lang w:val="en-US"/>
        </w:rPr>
        <w:t>中关于知识产权的要求</w:t>
      </w:r>
      <w:r>
        <w:rPr>
          <w:rFonts w:hint="eastAsia" w:ascii="宋体" w:hAnsi="宋体" w:eastAsia="宋体" w:cs="宋体"/>
          <w:bCs/>
          <w:color w:val="000000"/>
          <w:sz w:val="24"/>
          <w:lang w:eastAsia="zh-CN"/>
        </w:rPr>
        <w:t>，</w:t>
      </w:r>
      <w:r>
        <w:rPr>
          <w:rFonts w:hint="eastAsia" w:ascii="Times New Roman" w:hAnsi="Times New Roman" w:cs="Times New Roman"/>
          <w:b w:val="0"/>
          <w:lang w:val="en-US"/>
        </w:rPr>
        <w:t>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项目实施过程中采用自有知识成果，我单位</w:t>
      </w:r>
      <w:r>
        <w:rPr>
          <w:rFonts w:hint="default" w:ascii="Times New Roman" w:hAnsi="Times New Roman" w:cs="Times New Roman"/>
          <w:b w:val="0"/>
          <w:lang w:val="en-US"/>
        </w:rPr>
        <w:t>承诺</w:t>
      </w:r>
      <w:r>
        <w:rPr>
          <w:rFonts w:hint="eastAsia" w:ascii="Times New Roman" w:hAnsi="Times New Roman" w:cs="Times New Roman"/>
          <w:b w:val="0"/>
          <w:lang w:val="en-US"/>
        </w:rPr>
        <w:t>提供开发接口和开发手册等技术文档，并提供无限期技术支持，采购人享有永久使用权（含采购人委托第三方在该项目后续开发的使用权）。如我单位在项目实施过程中采用非自有的知识产权，则在报价中已包括合法获取该知识产权的相关费用</w:t>
      </w:r>
      <w:r>
        <w:rPr>
          <w:rFonts w:hint="eastAsia" w:ascii="Times New Roman" w:hAnsi="Times New Roman" w:cs="Times New Roman"/>
          <w:b w:val="0"/>
          <w:lang w:val="en-US" w:eastAsia="zh-CN"/>
        </w:rPr>
        <w:t>；</w:t>
      </w:r>
    </w:p>
    <w:p>
      <w:pPr>
        <w:pStyle w:val="143"/>
        <w:numPr>
          <w:ilvl w:val="1"/>
          <w:numId w:val="74"/>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我方同意提供采购人可能要求的与磋商有关的任何其他资料或数据；</w:t>
      </w:r>
    </w:p>
    <w:p>
      <w:pPr>
        <w:pStyle w:val="143"/>
        <w:numPr>
          <w:ilvl w:val="1"/>
          <w:numId w:val="74"/>
        </w:numPr>
        <w:tabs>
          <w:tab w:val="left" w:pos="1134"/>
        </w:tabs>
        <w:spacing w:line="360" w:lineRule="auto"/>
        <w:ind w:left="0" w:firstLine="480"/>
        <w:jc w:val="left"/>
        <w:rPr>
          <w:rFonts w:hint="default" w:ascii="Times New Roman" w:hAnsi="Times New Roman" w:cs="Times New Roman"/>
          <w:b w:val="0"/>
          <w:lang w:val="en-US" w:eastAsia="zh-CN"/>
        </w:rPr>
      </w:pPr>
      <w:r>
        <w:rPr>
          <w:rFonts w:hint="eastAsia" w:ascii="Times New Roman" w:hAnsi="Times New Roman" w:cs="Times New Roman"/>
          <w:b w:val="0"/>
          <w:lang w:val="en-US" w:eastAsia="zh-CN"/>
        </w:rPr>
        <w:t>响应文件中提供的任何资料和技术、服务、商务等响应承诺情况都是真实的、有效的、合法的；</w:t>
      </w:r>
    </w:p>
    <w:p>
      <w:pPr>
        <w:pStyle w:val="143"/>
        <w:numPr>
          <w:ilvl w:val="1"/>
          <w:numId w:val="74"/>
        </w:numPr>
        <w:tabs>
          <w:tab w:val="left" w:pos="1134"/>
        </w:tabs>
        <w:spacing w:line="360" w:lineRule="auto"/>
        <w:ind w:left="0" w:firstLine="480"/>
        <w:jc w:val="left"/>
        <w:rPr>
          <w:rFonts w:hint="default" w:ascii="Times New Roman" w:hAnsi="Times New Roman" w:cs="Times New Roman"/>
          <w:b w:val="0"/>
          <w:lang w:val="en-US"/>
        </w:rPr>
      </w:pPr>
      <w:r>
        <w:rPr>
          <w:rFonts w:hint="eastAsia" w:ascii="Times New Roman" w:hAnsi="Times New Roman" w:cs="Times New Roman"/>
          <w:b w:val="0"/>
          <w:lang w:val="en-US" w:eastAsia="zh-CN"/>
        </w:rPr>
        <w:t>若</w:t>
      </w:r>
      <w:r>
        <w:rPr>
          <w:rFonts w:hint="eastAsia" w:ascii="Times New Roman" w:hAnsi="Times New Roman" w:cs="Times New Roman"/>
          <w:b w:val="0"/>
          <w:lang w:val="en-US"/>
        </w:rPr>
        <w:t>我方成交：</w:t>
      </w:r>
    </w:p>
    <w:p>
      <w:pPr>
        <w:keepNext w:val="0"/>
        <w:keepLines w:val="0"/>
        <w:pageBreakBefore w:val="0"/>
        <w:widowControl w:val="0"/>
        <w:numPr>
          <w:ilvl w:val="0"/>
          <w:numId w:val="75"/>
        </w:numPr>
        <w:kinsoku/>
        <w:wordWrap/>
        <w:overflowPunct/>
        <w:topLinePunct w:val="0"/>
        <w:autoSpaceDE/>
        <w:autoSpaceDN/>
        <w:bidi w:val="0"/>
        <w:adjustRightInd/>
        <w:snapToGrid w:val="0"/>
        <w:spacing w:line="520" w:lineRule="exact"/>
        <w:ind w:left="0" w:leftChars="0" w:firstLine="420" w:firstLineChars="0"/>
        <w:textAlignment w:val="auto"/>
        <w:rPr>
          <w:rFonts w:hint="eastAsia" w:ascii="Times New Roman" w:hAnsi="Times New Roman" w:cs="Times New Roman"/>
          <w:b w:val="0"/>
          <w:lang w:val="en-US"/>
        </w:rPr>
      </w:pPr>
      <w:r>
        <w:rPr>
          <w:rFonts w:hint="eastAsia" w:ascii="Times New Roman" w:hAnsi="Times New Roman" w:cs="Times New Roman"/>
          <w:b w:val="0"/>
          <w:lang w:val="en-US"/>
        </w:rPr>
        <w:t>我方承诺在收到成交通知书后，在规定的期限内与采购人签订合同</w:t>
      </w:r>
      <w:r>
        <w:rPr>
          <w:rFonts w:hint="eastAsia" w:ascii="Times New Roman" w:hAnsi="Times New Roman" w:cs="Times New Roman"/>
          <w:b w:val="0"/>
          <w:lang w:val="en-US" w:eastAsia="zh-CN"/>
        </w:rPr>
        <w:t>；</w:t>
      </w:r>
    </w:p>
    <w:p>
      <w:pPr>
        <w:keepNext w:val="0"/>
        <w:keepLines w:val="0"/>
        <w:pageBreakBefore w:val="0"/>
        <w:widowControl w:val="0"/>
        <w:numPr>
          <w:ilvl w:val="0"/>
          <w:numId w:val="75"/>
        </w:numPr>
        <w:kinsoku/>
        <w:wordWrap/>
        <w:overflowPunct/>
        <w:topLinePunct w:val="0"/>
        <w:autoSpaceDE/>
        <w:autoSpaceDN/>
        <w:bidi w:val="0"/>
        <w:adjustRightInd/>
        <w:snapToGrid w:val="0"/>
        <w:spacing w:line="520" w:lineRule="exact"/>
        <w:ind w:left="0" w:leftChars="0" w:firstLine="420" w:firstLineChars="0"/>
        <w:textAlignment w:val="auto"/>
        <w:rPr>
          <w:rFonts w:hint="eastAsia" w:ascii="Times New Roman" w:hAnsi="Times New Roman" w:cs="Times New Roman"/>
          <w:b w:val="0"/>
          <w:lang w:val="en-US"/>
        </w:rPr>
      </w:pPr>
      <w:r>
        <w:rPr>
          <w:rFonts w:hint="eastAsia" w:ascii="Times New Roman" w:hAnsi="Times New Roman" w:cs="Times New Roman"/>
          <w:b w:val="0"/>
          <w:lang w:val="en-US"/>
        </w:rPr>
        <w:t>我方将严格履行</w:t>
      </w:r>
      <w:r>
        <w:rPr>
          <w:rFonts w:hint="eastAsia" w:ascii="Times New Roman" w:hAnsi="Times New Roman" w:cs="Times New Roman"/>
          <w:b w:val="0"/>
          <w:lang w:val="en-US" w:eastAsia="zh-CN"/>
        </w:rPr>
        <w:t>采购合同</w:t>
      </w:r>
      <w:r>
        <w:rPr>
          <w:rFonts w:hint="eastAsia" w:ascii="Times New Roman" w:hAnsi="Times New Roman" w:cs="Times New Roman"/>
          <w:b w:val="0"/>
          <w:lang w:val="en-US"/>
        </w:rPr>
        <w:t>规定的责任和义务</w:t>
      </w:r>
      <w:r>
        <w:rPr>
          <w:rFonts w:hint="eastAsia" w:ascii="Times New Roman" w:hAnsi="Times New Roman" w:cs="Times New Roman"/>
          <w:b w:val="0"/>
          <w:lang w:val="en-US" w:eastAsia="zh-CN"/>
        </w:rPr>
        <w:t>；</w:t>
      </w:r>
    </w:p>
    <w:p>
      <w:pPr>
        <w:keepNext w:val="0"/>
        <w:keepLines w:val="0"/>
        <w:pageBreakBefore w:val="0"/>
        <w:widowControl w:val="0"/>
        <w:numPr>
          <w:ilvl w:val="0"/>
          <w:numId w:val="75"/>
        </w:numPr>
        <w:kinsoku/>
        <w:wordWrap/>
        <w:overflowPunct/>
        <w:topLinePunct w:val="0"/>
        <w:autoSpaceDE/>
        <w:autoSpaceDN/>
        <w:bidi w:val="0"/>
        <w:adjustRightInd/>
        <w:snapToGrid w:val="0"/>
        <w:spacing w:line="520" w:lineRule="exact"/>
        <w:ind w:left="0" w:leftChars="0" w:firstLine="420" w:firstLineChars="0"/>
        <w:textAlignment w:val="auto"/>
        <w:rPr>
          <w:rFonts w:hint="default" w:ascii="Times New Roman" w:hAnsi="Times New Roman" w:cs="Times New Roman"/>
          <w:lang w:val="en-US"/>
        </w:rPr>
      </w:pPr>
      <w:r>
        <w:rPr>
          <w:rFonts w:hint="eastAsia" w:ascii="Times New Roman" w:hAnsi="Times New Roman" w:cs="Times New Roman"/>
          <w:lang w:val="en-US" w:eastAsia="zh-CN"/>
        </w:rPr>
        <w:t>若本项目采购代理服务费需由供应商支付，</w:t>
      </w:r>
      <w:r>
        <w:rPr>
          <w:rFonts w:hint="default" w:ascii="Times New Roman" w:hAnsi="Times New Roman" w:cs="Times New Roman"/>
          <w:lang w:val="en-US"/>
        </w:rPr>
        <w:t>我方将在领取</w:t>
      </w:r>
      <w:r>
        <w:rPr>
          <w:rFonts w:hint="eastAsia" w:ascii="Times New Roman" w:hAnsi="Times New Roman" w:cs="Times New Roman"/>
          <w:lang w:val="en-US" w:eastAsia="zh-CN"/>
        </w:rPr>
        <w:t>成交通知书</w:t>
      </w:r>
      <w:r>
        <w:rPr>
          <w:rFonts w:hint="default" w:ascii="Times New Roman" w:hAnsi="Times New Roman" w:cs="Times New Roman"/>
          <w:lang w:val="en-US"/>
        </w:rPr>
        <w:t>之前按照本</w:t>
      </w:r>
      <w:r>
        <w:rPr>
          <w:rFonts w:hint="eastAsia" w:ascii="Times New Roman" w:hAnsi="Times New Roman" w:cs="Times New Roman"/>
          <w:lang w:val="en-US" w:eastAsia="zh-CN"/>
        </w:rPr>
        <w:t>磋商文件</w:t>
      </w:r>
      <w:r>
        <w:rPr>
          <w:rFonts w:hint="default" w:ascii="Times New Roman" w:hAnsi="Times New Roman" w:cs="Times New Roman"/>
          <w:lang w:val="en-US"/>
        </w:rPr>
        <w:t>约定支付足额的</w:t>
      </w:r>
      <w:r>
        <w:rPr>
          <w:rFonts w:hint="eastAsia" w:ascii="Times New Roman" w:hAnsi="Times New Roman" w:cs="Times New Roman"/>
          <w:lang w:val="en-US" w:eastAsia="zh-CN"/>
        </w:rPr>
        <w:t>采购</w:t>
      </w:r>
      <w:r>
        <w:rPr>
          <w:rFonts w:hint="default" w:ascii="Times New Roman" w:hAnsi="Times New Roman" w:cs="Times New Roman"/>
          <w:lang w:val="en-US"/>
        </w:rPr>
        <w:t>代理服务费。</w:t>
      </w:r>
    </w:p>
    <w:p>
      <w:pPr>
        <w:pStyle w:val="143"/>
        <w:numPr>
          <w:ilvl w:val="0"/>
          <w:numId w:val="0"/>
        </w:numPr>
        <w:tabs>
          <w:tab w:val="left" w:pos="1134"/>
        </w:tabs>
        <w:spacing w:line="360" w:lineRule="auto"/>
        <w:ind w:leftChars="200"/>
        <w:jc w:val="left"/>
        <w:rPr>
          <w:rFonts w:ascii="宋体" w:hAnsi="宋体" w:cs="宋体"/>
          <w:bCs/>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240" w:lineRule="auto"/>
        <w:ind w:firstLine="241" w:firstLineChars="100"/>
        <w:rPr>
          <w:rFonts w:hint="eastAsia" w:ascii="宋体" w:hAnsi="宋体" w:eastAsia="宋体" w:cs="Times New Roman"/>
          <w:b/>
          <w:color w:val="auto"/>
          <w:kern w:val="2"/>
          <w:sz w:val="24"/>
          <w:szCs w:val="24"/>
          <w:highlight w:val="none"/>
          <w:lang w:val="en-US" w:eastAsia="zh-CN" w:bidi="ar-SA"/>
        </w:rPr>
      </w:pPr>
    </w:p>
    <w:p>
      <w:pPr>
        <w:spacing w:line="360" w:lineRule="auto"/>
        <w:ind w:firstLine="480" w:firstLineChars="200"/>
        <w:rPr>
          <w:color w:val="auto"/>
          <w:highlight w:val="none"/>
        </w:rPr>
      </w:pPr>
      <w:r>
        <w:rPr>
          <w:rFonts w:hint="eastAsia" w:ascii="宋体" w:hAnsi="宋体"/>
          <w:color w:val="auto"/>
          <w:highlight w:val="none"/>
        </w:rPr>
        <w:br w:type="page"/>
      </w:r>
    </w:p>
    <w:bookmarkEnd w:id="428"/>
    <w:p>
      <w:pPr>
        <w:pStyle w:val="5"/>
        <w:ind w:left="18" w:leftChars="0" w:hanging="18" w:firstLineChars="0"/>
        <w:rPr>
          <w:color w:val="auto"/>
          <w:highlight w:val="none"/>
        </w:rPr>
      </w:pPr>
      <w:bookmarkStart w:id="431" w:name="_Toc320698766"/>
      <w:r>
        <w:rPr>
          <w:rFonts w:hint="eastAsia"/>
          <w:color w:val="auto"/>
          <w:highlight w:val="none"/>
          <w:lang w:val="en-US" w:eastAsia="zh-CN"/>
        </w:rPr>
        <w:t>供应商基本情况表</w:t>
      </w:r>
    </w:p>
    <w:tbl>
      <w:tblPr>
        <w:tblStyle w:val="44"/>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020"/>
        <w:gridCol w:w="1054"/>
        <w:gridCol w:w="1129"/>
        <w:gridCol w:w="1445"/>
        <w:gridCol w:w="540"/>
        <w:gridCol w:w="63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lang w:val="en-US" w:eastAsia="zh-CN"/>
              </w:rPr>
              <w:t>供应商</w:t>
            </w:r>
            <w:r>
              <w:rPr>
                <w:rFonts w:hint="eastAsia"/>
                <w:b w:val="0"/>
                <w:bCs w:val="0"/>
                <w:color w:val="auto"/>
                <w:sz w:val="24"/>
              </w:rPr>
              <w:t>全称</w:t>
            </w:r>
          </w:p>
        </w:tc>
        <w:tc>
          <w:tcPr>
            <w:tcW w:w="6887" w:type="dxa"/>
            <w:gridSpan w:val="7"/>
            <w:noWrap w:val="0"/>
            <w:vAlign w:val="center"/>
          </w:tcPr>
          <w:p>
            <w:pPr>
              <w:autoSpaceDE w:val="0"/>
              <w:autoSpaceDN w:val="0"/>
              <w:adjustRightInd w:val="0"/>
              <w:spacing w:line="400" w:lineRule="exact"/>
              <w:ind w:firstLine="480"/>
              <w:jc w:val="center"/>
              <w:rPr>
                <w:rFonts w:hint="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779" w:type="dxa"/>
            <w:gridSpan w:val="2"/>
            <w:noWrap w:val="0"/>
            <w:vAlign w:val="center"/>
          </w:tcPr>
          <w:p>
            <w:pPr>
              <w:autoSpaceDE w:val="0"/>
              <w:autoSpaceDN w:val="0"/>
              <w:adjustRightInd w:val="0"/>
              <w:spacing w:line="400" w:lineRule="exact"/>
              <w:ind w:firstLine="0" w:firstLineChars="0"/>
              <w:jc w:val="left"/>
              <w:rPr>
                <w:rFonts w:hint="eastAsia"/>
                <w:b w:val="0"/>
                <w:bCs w:val="0"/>
                <w:sz w:val="24"/>
              </w:rPr>
            </w:pPr>
            <w:r>
              <w:rPr>
                <w:rFonts w:hint="eastAsia"/>
                <w:b w:val="0"/>
                <w:bCs w:val="0"/>
                <w:sz w:val="24"/>
              </w:rPr>
              <w:t>统一社会信用代码</w:t>
            </w:r>
          </w:p>
        </w:tc>
        <w:tc>
          <w:tcPr>
            <w:tcW w:w="5867" w:type="dxa"/>
            <w:gridSpan w:val="6"/>
            <w:noWrap w:val="0"/>
            <w:vAlign w:val="center"/>
          </w:tcPr>
          <w:p>
            <w:pPr>
              <w:autoSpaceDE w:val="0"/>
              <w:autoSpaceDN w:val="0"/>
              <w:adjustRightInd w:val="0"/>
              <w:spacing w:line="400" w:lineRule="exact"/>
              <w:ind w:firstLine="480"/>
              <w:jc w:val="center"/>
              <w:rPr>
                <w:rFonts w:hint="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注册地址</w:t>
            </w:r>
          </w:p>
        </w:tc>
        <w:tc>
          <w:tcPr>
            <w:tcW w:w="3203" w:type="dxa"/>
            <w:gridSpan w:val="3"/>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445"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邮政编码</w:t>
            </w:r>
          </w:p>
        </w:tc>
        <w:tc>
          <w:tcPr>
            <w:tcW w:w="2239" w:type="dxa"/>
            <w:gridSpan w:val="3"/>
            <w:noWrap w:val="0"/>
            <w:vAlign w:val="center"/>
          </w:tcPr>
          <w:p>
            <w:pPr>
              <w:autoSpaceDE w:val="0"/>
              <w:autoSpaceDN w:val="0"/>
              <w:adjustRightInd w:val="0"/>
              <w:spacing w:line="400" w:lineRule="exact"/>
              <w:ind w:firstLine="480"/>
              <w:jc w:val="center"/>
              <w:rPr>
                <w:rFonts w:hint="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59" w:type="dxa"/>
            <w:vMerge w:val="restart"/>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联系方式</w:t>
            </w:r>
          </w:p>
        </w:tc>
        <w:tc>
          <w:tcPr>
            <w:tcW w:w="1020"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联系人</w:t>
            </w:r>
          </w:p>
        </w:tc>
        <w:tc>
          <w:tcPr>
            <w:tcW w:w="2183" w:type="dxa"/>
            <w:gridSpan w:val="2"/>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445"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电话</w:t>
            </w:r>
          </w:p>
        </w:tc>
        <w:tc>
          <w:tcPr>
            <w:tcW w:w="2239" w:type="dxa"/>
            <w:gridSpan w:val="3"/>
            <w:noWrap w:val="0"/>
            <w:vAlign w:val="center"/>
          </w:tcPr>
          <w:p>
            <w:pPr>
              <w:autoSpaceDE w:val="0"/>
              <w:autoSpaceDN w:val="0"/>
              <w:adjustRightInd w:val="0"/>
              <w:spacing w:line="400" w:lineRule="exact"/>
              <w:ind w:firstLine="480"/>
              <w:jc w:val="center"/>
              <w:rPr>
                <w:rFonts w:hint="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759" w:type="dxa"/>
            <w:vMerge w:val="continue"/>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020" w:type="dxa"/>
            <w:noWrap w:val="0"/>
            <w:vAlign w:val="center"/>
          </w:tcPr>
          <w:p>
            <w:pPr>
              <w:autoSpaceDE w:val="0"/>
              <w:autoSpaceDN w:val="0"/>
              <w:adjustRightInd w:val="0"/>
              <w:spacing w:line="400" w:lineRule="exact"/>
              <w:ind w:firstLine="0" w:firstLineChars="0"/>
              <w:jc w:val="center"/>
              <w:rPr>
                <w:rFonts w:hint="eastAsia"/>
                <w:b w:val="0"/>
                <w:bCs w:val="0"/>
                <w:sz w:val="24"/>
              </w:rPr>
            </w:pPr>
            <w:r>
              <w:rPr>
                <w:rFonts w:hint="eastAsia"/>
                <w:b w:val="0"/>
                <w:bCs w:val="0"/>
                <w:sz w:val="24"/>
              </w:rPr>
              <w:t>邮箱</w:t>
            </w:r>
          </w:p>
        </w:tc>
        <w:tc>
          <w:tcPr>
            <w:tcW w:w="2183" w:type="dxa"/>
            <w:gridSpan w:val="2"/>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445"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网址</w:t>
            </w:r>
          </w:p>
        </w:tc>
        <w:tc>
          <w:tcPr>
            <w:tcW w:w="2239" w:type="dxa"/>
            <w:gridSpan w:val="3"/>
            <w:noWrap w:val="0"/>
            <w:vAlign w:val="center"/>
          </w:tcPr>
          <w:p>
            <w:pPr>
              <w:autoSpaceDE w:val="0"/>
              <w:autoSpaceDN w:val="0"/>
              <w:adjustRightInd w:val="0"/>
              <w:spacing w:line="400" w:lineRule="exact"/>
              <w:ind w:firstLine="480"/>
              <w:jc w:val="center"/>
              <w:rPr>
                <w:rFonts w:hint="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法定代表人/单位负责人</w:t>
            </w:r>
          </w:p>
        </w:tc>
        <w:tc>
          <w:tcPr>
            <w:tcW w:w="1020"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姓名</w:t>
            </w:r>
          </w:p>
        </w:tc>
        <w:tc>
          <w:tcPr>
            <w:tcW w:w="1054" w:type="dxa"/>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129"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技术</w:t>
            </w:r>
          </w:p>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职称</w:t>
            </w:r>
          </w:p>
        </w:tc>
        <w:tc>
          <w:tcPr>
            <w:tcW w:w="1445" w:type="dxa"/>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172" w:type="dxa"/>
            <w:gridSpan w:val="2"/>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电话</w:t>
            </w:r>
          </w:p>
        </w:tc>
        <w:tc>
          <w:tcPr>
            <w:tcW w:w="1067" w:type="dxa"/>
            <w:noWrap w:val="0"/>
            <w:vAlign w:val="center"/>
          </w:tcPr>
          <w:p>
            <w:pPr>
              <w:autoSpaceDE w:val="0"/>
              <w:autoSpaceDN w:val="0"/>
              <w:adjustRightInd w:val="0"/>
              <w:spacing w:line="400" w:lineRule="exact"/>
              <w:ind w:firstLine="480"/>
              <w:jc w:val="center"/>
              <w:rPr>
                <w:rFonts w:hint="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技术负责人</w:t>
            </w:r>
          </w:p>
        </w:tc>
        <w:tc>
          <w:tcPr>
            <w:tcW w:w="1020"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姓名</w:t>
            </w:r>
          </w:p>
        </w:tc>
        <w:tc>
          <w:tcPr>
            <w:tcW w:w="1054" w:type="dxa"/>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129"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技术</w:t>
            </w:r>
          </w:p>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职称</w:t>
            </w:r>
          </w:p>
        </w:tc>
        <w:tc>
          <w:tcPr>
            <w:tcW w:w="1445" w:type="dxa"/>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172" w:type="dxa"/>
            <w:gridSpan w:val="2"/>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电话</w:t>
            </w:r>
          </w:p>
        </w:tc>
        <w:tc>
          <w:tcPr>
            <w:tcW w:w="1067" w:type="dxa"/>
            <w:noWrap w:val="0"/>
            <w:vAlign w:val="center"/>
          </w:tcPr>
          <w:p>
            <w:pPr>
              <w:autoSpaceDE w:val="0"/>
              <w:autoSpaceDN w:val="0"/>
              <w:adjustRightInd w:val="0"/>
              <w:spacing w:line="400" w:lineRule="exact"/>
              <w:ind w:firstLine="480"/>
              <w:jc w:val="center"/>
              <w:rPr>
                <w:rFonts w:hint="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成立时间</w:t>
            </w:r>
          </w:p>
        </w:tc>
        <w:tc>
          <w:tcPr>
            <w:tcW w:w="2074" w:type="dxa"/>
            <w:gridSpan w:val="2"/>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129" w:type="dxa"/>
            <w:vMerge w:val="restart"/>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其中</w:t>
            </w:r>
          </w:p>
        </w:tc>
        <w:tc>
          <w:tcPr>
            <w:tcW w:w="1985" w:type="dxa"/>
            <w:gridSpan w:val="2"/>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项目经理</w:t>
            </w:r>
          </w:p>
        </w:tc>
        <w:tc>
          <w:tcPr>
            <w:tcW w:w="1699" w:type="dxa"/>
            <w:gridSpan w:val="2"/>
            <w:noWrap w:val="0"/>
            <w:vAlign w:val="center"/>
          </w:tcPr>
          <w:p>
            <w:pPr>
              <w:autoSpaceDE w:val="0"/>
              <w:autoSpaceDN w:val="0"/>
              <w:adjustRightInd w:val="0"/>
              <w:spacing w:line="400" w:lineRule="exact"/>
              <w:ind w:firstLine="0" w:firstLineChars="0"/>
              <w:jc w:val="center"/>
              <w:rPr>
                <w:rFonts w:hint="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员工总人数</w:t>
            </w:r>
          </w:p>
        </w:tc>
        <w:tc>
          <w:tcPr>
            <w:tcW w:w="2074" w:type="dxa"/>
            <w:gridSpan w:val="2"/>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129" w:type="dxa"/>
            <w:vMerge w:val="continue"/>
            <w:noWrap w:val="0"/>
            <w:vAlign w:val="center"/>
          </w:tcPr>
          <w:p>
            <w:pPr>
              <w:autoSpaceDE w:val="0"/>
              <w:autoSpaceDN w:val="0"/>
              <w:adjustRightInd w:val="0"/>
              <w:spacing w:line="400" w:lineRule="exact"/>
              <w:ind w:firstLine="0" w:firstLineChars="0"/>
              <w:jc w:val="center"/>
              <w:rPr>
                <w:rFonts w:hint="eastAsia"/>
                <w:b w:val="0"/>
                <w:bCs w:val="0"/>
                <w:color w:val="auto"/>
                <w:sz w:val="24"/>
              </w:rPr>
            </w:pPr>
          </w:p>
        </w:tc>
        <w:tc>
          <w:tcPr>
            <w:tcW w:w="1985" w:type="dxa"/>
            <w:gridSpan w:val="2"/>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高级职称人员</w:t>
            </w:r>
          </w:p>
        </w:tc>
        <w:tc>
          <w:tcPr>
            <w:tcW w:w="1699" w:type="dxa"/>
            <w:gridSpan w:val="2"/>
            <w:noWrap w:val="0"/>
            <w:vAlign w:val="center"/>
          </w:tcPr>
          <w:p>
            <w:pPr>
              <w:autoSpaceDE w:val="0"/>
              <w:autoSpaceDN w:val="0"/>
              <w:adjustRightInd w:val="0"/>
              <w:spacing w:line="400" w:lineRule="exact"/>
              <w:ind w:firstLine="480"/>
              <w:jc w:val="center"/>
              <w:rPr>
                <w:rFonts w:hint="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注册资金</w:t>
            </w:r>
          </w:p>
        </w:tc>
        <w:tc>
          <w:tcPr>
            <w:tcW w:w="2074" w:type="dxa"/>
            <w:gridSpan w:val="2"/>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129" w:type="dxa"/>
            <w:vMerge w:val="continue"/>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985" w:type="dxa"/>
            <w:gridSpan w:val="2"/>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中级职称人员</w:t>
            </w:r>
          </w:p>
        </w:tc>
        <w:tc>
          <w:tcPr>
            <w:tcW w:w="1699" w:type="dxa"/>
            <w:gridSpan w:val="2"/>
            <w:noWrap w:val="0"/>
            <w:vAlign w:val="center"/>
          </w:tcPr>
          <w:p>
            <w:pPr>
              <w:autoSpaceDE w:val="0"/>
              <w:autoSpaceDN w:val="0"/>
              <w:adjustRightInd w:val="0"/>
              <w:spacing w:line="400" w:lineRule="exact"/>
              <w:ind w:firstLine="480"/>
              <w:jc w:val="center"/>
              <w:rPr>
                <w:rFonts w:hint="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开户银行</w:t>
            </w:r>
          </w:p>
        </w:tc>
        <w:tc>
          <w:tcPr>
            <w:tcW w:w="2074" w:type="dxa"/>
            <w:gridSpan w:val="2"/>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129" w:type="dxa"/>
            <w:vMerge w:val="continue"/>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985" w:type="dxa"/>
            <w:gridSpan w:val="2"/>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初级职称人员</w:t>
            </w:r>
          </w:p>
        </w:tc>
        <w:tc>
          <w:tcPr>
            <w:tcW w:w="1699" w:type="dxa"/>
            <w:gridSpan w:val="2"/>
            <w:noWrap w:val="0"/>
            <w:vAlign w:val="center"/>
          </w:tcPr>
          <w:p>
            <w:pPr>
              <w:autoSpaceDE w:val="0"/>
              <w:autoSpaceDN w:val="0"/>
              <w:adjustRightInd w:val="0"/>
              <w:spacing w:line="400" w:lineRule="exact"/>
              <w:ind w:firstLine="480"/>
              <w:jc w:val="center"/>
              <w:rPr>
                <w:rFonts w:hint="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账号</w:t>
            </w:r>
          </w:p>
        </w:tc>
        <w:tc>
          <w:tcPr>
            <w:tcW w:w="2074" w:type="dxa"/>
            <w:gridSpan w:val="2"/>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129" w:type="dxa"/>
            <w:vMerge w:val="continue"/>
            <w:noWrap w:val="0"/>
            <w:vAlign w:val="center"/>
          </w:tcPr>
          <w:p>
            <w:pPr>
              <w:autoSpaceDE w:val="0"/>
              <w:autoSpaceDN w:val="0"/>
              <w:adjustRightInd w:val="0"/>
              <w:spacing w:line="400" w:lineRule="exact"/>
              <w:ind w:firstLine="480"/>
              <w:jc w:val="center"/>
              <w:rPr>
                <w:rFonts w:hint="eastAsia"/>
                <w:b w:val="0"/>
                <w:bCs w:val="0"/>
                <w:color w:val="auto"/>
                <w:sz w:val="24"/>
              </w:rPr>
            </w:pPr>
          </w:p>
        </w:tc>
        <w:tc>
          <w:tcPr>
            <w:tcW w:w="1985" w:type="dxa"/>
            <w:gridSpan w:val="2"/>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技工</w:t>
            </w:r>
          </w:p>
        </w:tc>
        <w:tc>
          <w:tcPr>
            <w:tcW w:w="1699" w:type="dxa"/>
            <w:gridSpan w:val="2"/>
            <w:noWrap w:val="0"/>
            <w:vAlign w:val="center"/>
          </w:tcPr>
          <w:p>
            <w:pPr>
              <w:autoSpaceDE w:val="0"/>
              <w:autoSpaceDN w:val="0"/>
              <w:adjustRightInd w:val="0"/>
              <w:spacing w:line="400" w:lineRule="exact"/>
              <w:ind w:firstLine="480"/>
              <w:jc w:val="center"/>
              <w:rPr>
                <w:rFonts w:hint="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经营范围</w:t>
            </w:r>
          </w:p>
        </w:tc>
        <w:tc>
          <w:tcPr>
            <w:tcW w:w="6887" w:type="dxa"/>
            <w:gridSpan w:val="7"/>
            <w:noWrap w:val="0"/>
            <w:vAlign w:val="center"/>
          </w:tcPr>
          <w:p>
            <w:pPr>
              <w:autoSpaceDE w:val="0"/>
              <w:autoSpaceDN w:val="0"/>
              <w:adjustRightInd w:val="0"/>
              <w:spacing w:line="400" w:lineRule="exact"/>
              <w:ind w:firstLine="480"/>
              <w:jc w:val="center"/>
              <w:rPr>
                <w:rFonts w:hint="eastAsia"/>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b w:val="0"/>
                <w:bCs w:val="0"/>
                <w:color w:val="auto"/>
                <w:sz w:val="24"/>
              </w:rPr>
            </w:pPr>
            <w:r>
              <w:rPr>
                <w:rFonts w:hint="eastAsia"/>
                <w:b w:val="0"/>
                <w:bCs w:val="0"/>
                <w:color w:val="auto"/>
                <w:sz w:val="24"/>
              </w:rPr>
              <w:t>备注</w:t>
            </w:r>
          </w:p>
        </w:tc>
        <w:tc>
          <w:tcPr>
            <w:tcW w:w="6887" w:type="dxa"/>
            <w:gridSpan w:val="7"/>
            <w:noWrap w:val="0"/>
            <w:vAlign w:val="center"/>
          </w:tcPr>
          <w:p>
            <w:pPr>
              <w:autoSpaceDE w:val="0"/>
              <w:autoSpaceDN w:val="0"/>
              <w:adjustRightInd w:val="0"/>
              <w:spacing w:line="400" w:lineRule="exact"/>
              <w:ind w:firstLine="480"/>
              <w:jc w:val="center"/>
              <w:rPr>
                <w:rFonts w:hint="eastAsia"/>
                <w:b w:val="0"/>
                <w:bCs w:val="0"/>
                <w:color w:val="auto"/>
                <w:sz w:val="24"/>
              </w:rPr>
            </w:pPr>
          </w:p>
        </w:tc>
      </w:tr>
    </w:tbl>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ind w:left="0" w:leftChars="0" w:firstLine="480" w:firstLineChars="200"/>
        <w:rPr>
          <w:rFonts w:hint="eastAsia" w:ascii="Times New Roman" w:hAnsi="Times New Roman"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说明：供应商根据自身情况如实填写，不涉及内容可填写“/”，不影响响应文件有效性。</w:t>
      </w:r>
    </w:p>
    <w:p/>
    <w:p>
      <w:pPr>
        <w:pStyle w:val="5"/>
        <w:ind w:left="18" w:leftChars="0" w:hanging="18" w:firstLineChars="0"/>
        <w:rPr>
          <w:color w:val="auto"/>
          <w:highlight w:val="none"/>
        </w:rPr>
      </w:pPr>
      <w:r>
        <w:rPr>
          <w:rFonts w:hint="eastAsia"/>
          <w:color w:val="auto"/>
          <w:highlight w:val="none"/>
          <w:lang w:val="en-US" w:eastAsia="zh-CN"/>
        </w:rPr>
        <w:t>技术、</w:t>
      </w:r>
      <w:r>
        <w:rPr>
          <w:rFonts w:hint="eastAsia"/>
          <w:color w:val="auto"/>
          <w:highlight w:val="none"/>
        </w:rPr>
        <w:t>商务</w:t>
      </w:r>
      <w:r>
        <w:rPr>
          <w:rFonts w:hint="eastAsia"/>
          <w:color w:val="auto"/>
          <w:highlight w:val="none"/>
          <w:lang w:val="en-US" w:eastAsia="zh-CN"/>
        </w:rPr>
        <w:t>应答表</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成都市公安局龙泉驿区分局200个天网点位升级改造租赁服务采购项目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510112202200016</w:t>
      </w:r>
    </w:p>
    <w:tbl>
      <w:tblPr>
        <w:tblStyle w:val="44"/>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w:t>
            </w:r>
            <w:r>
              <w:rPr>
                <w:rFonts w:hint="eastAsia" w:ascii="宋体" w:hAnsi="宋体"/>
                <w:color w:val="auto"/>
                <w:highlight w:val="none"/>
                <w:lang w:val="en-US" w:eastAsia="zh-CN"/>
              </w:rPr>
              <w:t>技术、</w:t>
            </w:r>
            <w:r>
              <w:rPr>
                <w:rFonts w:hint="eastAsia" w:ascii="宋体" w:hAnsi="宋体"/>
                <w:color w:val="auto"/>
                <w:highlight w:val="none"/>
              </w:rPr>
              <w:t>商务条款</w:t>
            </w:r>
          </w:p>
        </w:tc>
        <w:tc>
          <w:tcPr>
            <w:tcW w:w="3119" w:type="dxa"/>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磋商应答</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0"/>
        <w:keepNext w:val="0"/>
        <w:keepLines w:val="0"/>
        <w:pageBreakBefore w:val="0"/>
        <w:widowControl/>
        <w:kinsoku/>
        <w:wordWrap/>
        <w:overflowPunct/>
        <w:topLinePunct w:val="0"/>
        <w:autoSpaceDE/>
        <w:autoSpaceDN/>
        <w:bidi w:val="0"/>
        <w:adjustRightInd/>
        <w:snapToGrid/>
        <w:spacing w:line="360" w:lineRule="auto"/>
        <w:ind w:firstLine="504"/>
        <w:textAlignment w:val="auto"/>
        <w:rPr>
          <w:rFonts w:hint="eastAsia" w:ascii="宋体" w:hAnsi="宋体" w:eastAsia="宋体" w:cs="宋体"/>
          <w:sz w:val="24"/>
          <w:szCs w:val="24"/>
        </w:rPr>
      </w:pPr>
      <w:r>
        <w:rPr>
          <w:rFonts w:hint="eastAsia" w:ascii="宋体" w:hAnsi="宋体" w:eastAsia="宋体" w:cs="宋体"/>
          <w:sz w:val="24"/>
          <w:szCs w:val="24"/>
        </w:rPr>
        <w:t xml:space="preserve"> 说明：</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left="5" w:leftChars="0" w:firstLine="755"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按照磋商文件第3章要求的条款对应填写。若未在此表填写对应条款的，视为其响应文件（除★项外）接受磋商文件第3章的条款，其响应文件有效；</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left="5" w:leftChars="0" w:firstLine="755"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加★条款为实质性审查内容，未填写</w:t>
      </w:r>
      <w:r>
        <w:rPr>
          <w:rFonts w:hint="eastAsia" w:ascii="宋体" w:hAnsi="宋体" w:cs="宋体"/>
          <w:kern w:val="2"/>
          <w:sz w:val="24"/>
          <w:szCs w:val="24"/>
          <w:lang w:val="en-US" w:eastAsia="zh-CN" w:bidi="ar-SA"/>
        </w:rPr>
        <w:t>或未按要求提供证明材料</w:t>
      </w:r>
      <w:r>
        <w:rPr>
          <w:rFonts w:hint="eastAsia" w:ascii="宋体" w:hAnsi="宋体" w:eastAsia="宋体" w:cs="宋体"/>
          <w:kern w:val="2"/>
          <w:sz w:val="24"/>
          <w:szCs w:val="24"/>
          <w:lang w:val="en-US" w:eastAsia="zh-CN" w:bidi="ar-SA"/>
        </w:rPr>
        <w:t>或未按要求另行提供承诺函的</w:t>
      </w:r>
      <w:r>
        <w:rPr>
          <w:rFonts w:hint="eastAsia" w:ascii="宋体" w:hAnsi="宋体" w:cs="宋体"/>
          <w:kern w:val="2"/>
          <w:sz w:val="24"/>
          <w:szCs w:val="24"/>
          <w:lang w:val="en-US" w:eastAsia="zh-CN" w:bidi="ar-SA"/>
        </w:rPr>
        <w:t>作</w:t>
      </w:r>
      <w:r>
        <w:rPr>
          <w:rFonts w:hint="eastAsia" w:ascii="宋体" w:hAnsi="宋体" w:eastAsia="宋体" w:cs="宋体"/>
          <w:kern w:val="2"/>
          <w:sz w:val="24"/>
          <w:szCs w:val="24"/>
          <w:lang w:val="en-US" w:eastAsia="zh-CN" w:bidi="ar-SA"/>
        </w:rPr>
        <w:t>无效磋商处理。</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left="5" w:leftChars="0" w:firstLine="755"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供应商须据实填写，不得虚假响应。若发现虚假响应，将取消其成交资格，采购人有追索供应商由此给采购人造成的一切损失的权利。</w:t>
      </w:r>
    </w:p>
    <w:p>
      <w:pPr>
        <w:spacing w:line="360" w:lineRule="auto"/>
        <w:ind w:firstLine="480" w:firstLineChars="200"/>
        <w:rPr>
          <w:rFonts w:ascii="宋体" w:hAnsi="宋体"/>
          <w:color w:val="auto"/>
          <w:highlight w:val="none"/>
        </w:rPr>
      </w:pPr>
    </w:p>
    <w:p>
      <w:pPr>
        <w:pStyle w:val="20"/>
        <w:rPr>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0"/>
        <w:rPr>
          <w:rFonts w:hint="eastAsia"/>
          <w:lang w:val="en-US" w:eastAsia="zh-CN"/>
        </w:rPr>
        <w:sectPr>
          <w:pgSz w:w="11906" w:h="16838"/>
          <w:pgMar w:top="1440" w:right="1274" w:bottom="1440" w:left="1418" w:header="851" w:footer="992" w:gutter="0"/>
          <w:cols w:space="720" w:num="1"/>
          <w:docGrid w:type="lines" w:linePitch="312" w:charSpace="0"/>
        </w:sectPr>
      </w:pPr>
    </w:p>
    <w:bookmarkEnd w:id="431"/>
    <w:p>
      <w:pPr>
        <w:pStyle w:val="5"/>
        <w:ind w:left="18" w:leftChars="0" w:hanging="18" w:firstLineChars="0"/>
        <w:rPr>
          <w:color w:val="auto"/>
          <w:highlight w:val="none"/>
        </w:rPr>
      </w:pPr>
      <w:bookmarkStart w:id="432" w:name="_Toc360696963"/>
      <w:bookmarkStart w:id="433" w:name="_Toc236285891"/>
      <w:bookmarkStart w:id="434" w:name="_Toc205604899"/>
      <w:bookmarkStart w:id="435" w:name="_Toc238273564"/>
      <w:r>
        <w:rPr>
          <w:rFonts w:hint="eastAsia" w:cs="宋体"/>
          <w:sz w:val="24"/>
          <w:szCs w:val="24"/>
          <w:highlight w:val="none"/>
          <w:lang w:val="en-US" w:eastAsia="zh-CN"/>
        </w:rPr>
        <w:t>实施</w:t>
      </w:r>
      <w:r>
        <w:rPr>
          <w:rFonts w:hint="eastAsia" w:ascii="宋体" w:hAnsi="宋体" w:eastAsia="宋体" w:cs="宋体"/>
          <w:sz w:val="24"/>
          <w:szCs w:val="24"/>
          <w:highlight w:val="none"/>
        </w:rPr>
        <w:t>方案</w:t>
      </w: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70"/>
        <w:ind w:firstLine="480" w:firstLineChars="200"/>
        <w:jc w:val="left"/>
        <w:rPr>
          <w:rFonts w:ascii="宋体" w:hAnsi="宋体"/>
          <w:color w:val="auto"/>
          <w:sz w:val="24"/>
          <w:szCs w:val="24"/>
          <w:highlight w:val="none"/>
        </w:rPr>
      </w:pPr>
    </w:p>
    <w:p>
      <w:pPr>
        <w:pStyle w:val="5"/>
        <w:ind w:left="18" w:leftChars="0" w:hanging="18" w:firstLineChars="0"/>
        <w:rPr>
          <w:color w:val="auto"/>
          <w:highlight w:val="none"/>
        </w:rPr>
      </w:pPr>
      <w:r>
        <w:rPr>
          <w:rFonts w:hint="eastAsia"/>
          <w:color w:val="auto"/>
          <w:highlight w:val="none"/>
        </w:rPr>
        <w:t>报价表</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成都市公安局龙泉驿区分局200个天网点位升级改造租赁服务采购项目</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510112202200016</w:t>
      </w:r>
    </w:p>
    <w:p>
      <w:pPr>
        <w:pStyle w:val="20"/>
        <w:rPr>
          <w:rFonts w:hint="eastAsia"/>
          <w:lang w:eastAsia="zh-CN"/>
        </w:rPr>
      </w:pPr>
    </w:p>
    <w:tbl>
      <w:tblPr>
        <w:tblStyle w:val="44"/>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4347"/>
        <w:gridCol w:w="2761"/>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rPr>
            </w:pPr>
            <w:r>
              <w:rPr>
                <w:rFonts w:hint="eastAsia" w:ascii="宋体" w:hAnsi="宋体" w:eastAsia="宋体" w:cs="宋体"/>
                <w:b/>
                <w:kern w:val="2"/>
                <w:sz w:val="24"/>
                <w:szCs w:val="24"/>
                <w:lang w:val="en-US"/>
              </w:rPr>
              <w:t>序号</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rPr>
            </w:pPr>
            <w:r>
              <w:rPr>
                <w:rFonts w:hint="eastAsia" w:ascii="宋体" w:hAnsi="宋体" w:eastAsia="宋体" w:cs="宋体"/>
                <w:b/>
                <w:kern w:val="2"/>
                <w:sz w:val="24"/>
                <w:szCs w:val="24"/>
                <w:lang w:val="en-US"/>
              </w:rPr>
              <w:t>名称</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eastAsia="zh-CN"/>
              </w:rPr>
            </w:pPr>
            <w:r>
              <w:rPr>
                <w:rFonts w:hint="eastAsia" w:ascii="宋体" w:hAnsi="宋体" w:cs="宋体"/>
                <w:b/>
                <w:kern w:val="2"/>
                <w:sz w:val="24"/>
                <w:szCs w:val="24"/>
                <w:lang w:val="en-US" w:eastAsia="zh-CN"/>
              </w:rPr>
              <w:t>报价（元/年）</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exac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eastAsia="zh-CN"/>
              </w:rPr>
            </w:pPr>
            <w:r>
              <w:rPr>
                <w:rFonts w:hint="eastAsia" w:ascii="宋体" w:hAnsi="宋体" w:cs="宋体"/>
                <w:b/>
                <w:kern w:val="2"/>
                <w:sz w:val="24"/>
                <w:szCs w:val="24"/>
                <w:lang w:val="en-US" w:eastAsia="zh-CN"/>
              </w:rPr>
              <w:t>成都市公安局龙泉驿区分局200个天网点位升级改造租赁服务采购项目</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
                <w:kern w:val="2"/>
                <w:sz w:val="24"/>
                <w:szCs w:val="24"/>
                <w:lang w:val="en-US"/>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exact"/>
          <w:jc w:val="center"/>
        </w:trPr>
        <w:tc>
          <w:tcPr>
            <w:tcW w:w="5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rPr>
            </w:pPr>
            <w:r>
              <w:rPr>
                <w:rFonts w:hint="eastAsia" w:ascii="宋体" w:hAnsi="宋体" w:eastAsia="宋体" w:cs="宋体"/>
                <w:b/>
                <w:sz w:val="24"/>
                <w:szCs w:val="24"/>
                <w:lang w:val="en-US" w:eastAsia="zh-CN"/>
              </w:rPr>
              <w:t>报价</w:t>
            </w:r>
            <w:r>
              <w:rPr>
                <w:rFonts w:hint="eastAsia" w:ascii="宋体" w:hAnsi="宋体" w:eastAsia="宋体" w:cs="宋体"/>
                <w:b/>
                <w:sz w:val="24"/>
                <w:szCs w:val="24"/>
                <w:lang w:val="en-US"/>
              </w:rPr>
              <w:t>（</w:t>
            </w:r>
            <w:r>
              <w:rPr>
                <w:rFonts w:hint="eastAsia" w:ascii="宋体" w:hAnsi="宋体" w:eastAsia="宋体" w:cs="宋体"/>
                <w:b/>
                <w:sz w:val="24"/>
                <w:szCs w:val="24"/>
                <w:lang w:val="en-US" w:eastAsia="zh-CN"/>
              </w:rPr>
              <w:t>总价合计</w:t>
            </w:r>
            <w:r>
              <w:rPr>
                <w:rFonts w:hint="eastAsia" w:ascii="宋体" w:hAnsi="宋体" w:eastAsia="宋体" w:cs="宋体"/>
                <w:b/>
                <w:sz w:val="24"/>
                <w:szCs w:val="24"/>
                <w:lang w:val="en-US"/>
              </w:rPr>
              <w:t>）</w:t>
            </w:r>
          </w:p>
        </w:tc>
        <w:tc>
          <w:tcPr>
            <w:tcW w:w="4158"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right="420" w:firstLine="0" w:firstLineChars="0"/>
              <w:jc w:val="left"/>
              <w:textAlignment w:val="auto"/>
              <w:outlineLvl w:val="9"/>
              <w:rPr>
                <w:rFonts w:hint="eastAsia" w:ascii="宋体" w:hAnsi="宋体" w:eastAsia="宋体" w:cs="宋体"/>
                <w:b/>
                <w:sz w:val="24"/>
                <w:szCs w:val="24"/>
                <w:lang w:val="en-US"/>
              </w:rPr>
            </w:pPr>
            <w:r>
              <w:rPr>
                <w:rFonts w:hint="eastAsia" w:ascii="宋体" w:hAnsi="宋体" w:eastAsia="宋体" w:cs="宋体"/>
                <w:b/>
                <w:sz w:val="24"/>
                <w:szCs w:val="24"/>
                <w:lang w:val="en-US"/>
              </w:rPr>
              <w:t>大写：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
                <w:kern w:val="2"/>
                <w:sz w:val="24"/>
                <w:szCs w:val="24"/>
                <w:lang w:val="en-US"/>
              </w:rPr>
            </w:pPr>
            <w:r>
              <w:rPr>
                <w:rFonts w:hint="eastAsia" w:ascii="宋体" w:hAnsi="宋体" w:eastAsia="宋体" w:cs="宋体"/>
                <w:b/>
                <w:sz w:val="24"/>
                <w:szCs w:val="24"/>
                <w:lang w:val="en-US"/>
              </w:rPr>
              <w:t>小写：</w:t>
            </w:r>
          </w:p>
        </w:tc>
      </w:tr>
    </w:tbl>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0"/>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25"/>
        <w:rPr>
          <w:rFonts w:hint="eastAsia" w:ascii="宋体" w:hAnsi="宋体"/>
          <w:color w:val="auto"/>
          <w:highlight w:val="none"/>
        </w:rPr>
      </w:pPr>
    </w:p>
    <w:p>
      <w:pPr>
        <w:pStyle w:val="5"/>
        <w:ind w:left="18" w:leftChars="0" w:hanging="18" w:firstLineChars="0"/>
        <w:rPr>
          <w:color w:val="auto"/>
          <w:highlight w:val="none"/>
        </w:rPr>
      </w:pPr>
      <w:bookmarkStart w:id="436" w:name="_Toc451340457"/>
      <w:r>
        <w:rPr>
          <w:rFonts w:hint="eastAsia" w:cs="宋体"/>
          <w:sz w:val="24"/>
          <w:highlight w:val="none"/>
          <w:lang w:val="en-US" w:eastAsia="zh-CN"/>
        </w:rPr>
        <w:t>实施本项目的主要人员配置情况表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成都市公安局龙泉驿区分局200个天网点位升级改造租赁服务采购项目</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510112202200016</w:t>
      </w:r>
    </w:p>
    <w:p/>
    <w:tbl>
      <w:tblPr>
        <w:tblStyle w:val="44"/>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683"/>
        <w:gridCol w:w="1227"/>
        <w:gridCol w:w="1356"/>
        <w:gridCol w:w="1251"/>
        <w:gridCol w:w="12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bCs/>
                <w:color w:val="000000"/>
                <w:sz w:val="24"/>
                <w:szCs w:val="24"/>
                <w:lang w:val="zh-CN" w:eastAsia="zh-CN" w:bidi="ar-SA"/>
              </w:rPr>
            </w:pPr>
            <w:r>
              <w:rPr>
                <w:rFonts w:hint="eastAsia" w:ascii="宋体" w:hAnsi="宋体" w:eastAsia="宋体" w:cs="宋体"/>
                <w:b/>
                <w:bCs/>
                <w:sz w:val="24"/>
                <w:szCs w:val="24"/>
              </w:rPr>
              <w:t>序号</w:t>
            </w:r>
          </w:p>
        </w:tc>
        <w:tc>
          <w:tcPr>
            <w:tcW w:w="168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参与本项目</w:t>
            </w:r>
          </w:p>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sz w:val="24"/>
                <w:szCs w:val="24"/>
                <w:vertAlign w:val="baseline"/>
                <w:lang w:val="en-US" w:eastAsia="zh-CN"/>
              </w:rPr>
              <w:t>职务（岗位）</w:t>
            </w:r>
          </w:p>
        </w:tc>
        <w:tc>
          <w:tcPr>
            <w:tcW w:w="12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bCs/>
                <w:color w:val="000000"/>
                <w:sz w:val="24"/>
                <w:szCs w:val="24"/>
                <w:lang w:val="zh-CN" w:eastAsia="zh-CN" w:bidi="ar-SA"/>
              </w:rPr>
            </w:pPr>
            <w:r>
              <w:rPr>
                <w:rFonts w:hint="eastAsia" w:ascii="宋体" w:hAnsi="宋体" w:eastAsia="宋体" w:cs="宋体"/>
                <w:b/>
                <w:bCs/>
                <w:sz w:val="24"/>
                <w:szCs w:val="24"/>
              </w:rPr>
              <w:t>姓名</w:t>
            </w:r>
          </w:p>
        </w:tc>
        <w:tc>
          <w:tcPr>
            <w:tcW w:w="260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bCs/>
                <w:color w:val="000000"/>
                <w:sz w:val="24"/>
                <w:szCs w:val="24"/>
                <w:lang w:val="zh-CN" w:eastAsia="zh-CN" w:bidi="ar-SA"/>
              </w:rPr>
            </w:pPr>
            <w:r>
              <w:rPr>
                <w:rFonts w:hint="eastAsia" w:ascii="宋体" w:hAnsi="宋体" w:eastAsia="宋体" w:cs="宋体"/>
                <w:b/>
                <w:bCs/>
                <w:sz w:val="24"/>
                <w:szCs w:val="24"/>
              </w:rPr>
              <w:t>执业或职业资格</w:t>
            </w:r>
          </w:p>
        </w:tc>
        <w:tc>
          <w:tcPr>
            <w:tcW w:w="237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bCs/>
                <w:color w:val="000000"/>
                <w:sz w:val="24"/>
                <w:szCs w:val="24"/>
                <w:lang w:val="zh-CN" w:eastAsia="zh-CN" w:bidi="ar-SA"/>
              </w:rPr>
            </w:pPr>
            <w:r>
              <w:rPr>
                <w:rFonts w:hint="eastAsia" w:ascii="宋体" w:hAnsi="宋体" w:eastAsia="宋体" w:cs="宋体"/>
                <w:b/>
                <w:bCs/>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bCs/>
                <w:sz w:val="24"/>
                <w:szCs w:val="24"/>
              </w:rPr>
            </w:pPr>
          </w:p>
        </w:tc>
        <w:tc>
          <w:tcPr>
            <w:tcW w:w="168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bCs/>
                <w:sz w:val="24"/>
                <w:szCs w:val="24"/>
              </w:rPr>
            </w:pPr>
          </w:p>
        </w:tc>
        <w:tc>
          <w:tcPr>
            <w:tcW w:w="12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bCs/>
                <w:sz w:val="24"/>
                <w:szCs w:val="24"/>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证书名称</w:t>
            </w: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证书编号</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职称专业</w:t>
            </w:r>
          </w:p>
        </w:tc>
        <w:tc>
          <w:tcPr>
            <w:tcW w:w="108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如：</w:t>
            </w:r>
            <w:r>
              <w:rPr>
                <w:rFonts w:hint="eastAsia" w:ascii="宋体" w:hAnsi="宋体" w:eastAsia="宋体" w:cs="宋体"/>
                <w:sz w:val="24"/>
                <w:szCs w:val="24"/>
              </w:rPr>
              <w:t>项目负责人</w:t>
            </w:r>
          </w:p>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（项目经理）</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087"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left"/>
              <w:textAlignment w:val="auto"/>
              <w:rPr>
                <w:rFonts w:hint="eastAsia" w:ascii="宋体" w:hAnsi="宋体" w:eastAsia="宋体" w:cs="宋体"/>
                <w:sz w:val="24"/>
                <w:szCs w:val="24"/>
              </w:rPr>
            </w:pP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087"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087"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kern w:val="2"/>
                <w:sz w:val="24"/>
                <w:szCs w:val="24"/>
                <w:vertAlign w:val="baseline"/>
                <w:lang w:val="en-US" w:eastAsia="zh-CN" w:bidi="ar-SA"/>
              </w:rPr>
              <w:t>…</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kern w:val="2"/>
                <w:sz w:val="24"/>
                <w:szCs w:val="24"/>
                <w:vertAlign w:val="baseline"/>
                <w:lang w:val="en-US" w:eastAsia="zh-CN" w:bidi="ar-SA"/>
              </w:rPr>
              <w:t>…</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c>
          <w:tcPr>
            <w:tcW w:w="1087"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auto"/>
              <w:rPr>
                <w:rFonts w:hint="eastAsia" w:ascii="宋体" w:hAnsi="宋体" w:eastAsia="宋体" w:cs="宋体"/>
                <w:sz w:val="24"/>
                <w:szCs w:val="24"/>
              </w:rPr>
            </w:pPr>
          </w:p>
        </w:tc>
      </w:tr>
    </w:tbl>
    <w:p>
      <w:pPr>
        <w:pStyle w:val="20"/>
        <w:keepNext w:val="0"/>
        <w:keepLines w:val="0"/>
        <w:pageBreakBefore w:val="0"/>
        <w:widowControl w:val="0"/>
        <w:kinsoku/>
        <w:wordWrap/>
        <w:overflowPunct/>
        <w:topLinePunct w:val="0"/>
        <w:autoSpaceDE/>
        <w:autoSpaceDN/>
        <w:bidi w:val="0"/>
        <w:adjustRightInd/>
        <w:snapToGrid w:val="0"/>
        <w:spacing w:after="0" w:afterLines="0" w:line="520" w:lineRule="exact"/>
        <w:ind w:left="0" w:leftChars="0" w:firstLine="480" w:firstLineChars="200"/>
        <w:textAlignment w:val="auto"/>
        <w:rPr>
          <w:rFonts w:hint="eastAsia" w:ascii="宋体" w:hAnsi="宋体" w:eastAsia="宋体" w:cs="宋体"/>
          <w:b w:val="0"/>
          <w:color w:val="000000"/>
          <w:kern w:val="0"/>
          <w:sz w:val="24"/>
          <w:szCs w:val="24"/>
          <w:lang w:val="en-US" w:eastAsia="zh-CN" w:bidi="ar-SA"/>
        </w:rPr>
      </w:pPr>
      <w:r>
        <w:rPr>
          <w:rFonts w:hint="eastAsia" w:ascii="宋体" w:hAnsi="宋体" w:eastAsia="宋体" w:cs="宋体"/>
          <w:b w:val="0"/>
          <w:color w:val="000000"/>
          <w:kern w:val="0"/>
          <w:sz w:val="24"/>
          <w:szCs w:val="24"/>
          <w:lang w:val="en-US" w:eastAsia="zh-CN" w:bidi="ar-SA"/>
        </w:rPr>
        <w:t>说明：</w:t>
      </w:r>
    </w:p>
    <w:p>
      <w:pPr>
        <w:keepNext w:val="0"/>
        <w:keepLines w:val="0"/>
        <w:pageBreakBefore w:val="0"/>
        <w:widowControl w:val="0"/>
        <w:numPr>
          <w:ilvl w:val="0"/>
          <w:numId w:val="77"/>
        </w:numPr>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供应商根据自身情况如实填写，</w:t>
      </w:r>
      <w:r>
        <w:rPr>
          <w:rFonts w:hint="eastAsia" w:ascii="宋体" w:hAnsi="宋体" w:eastAsia="宋体" w:cs="宋体"/>
          <w:b w:val="0"/>
          <w:bCs/>
          <w:color w:val="auto"/>
          <w:kern w:val="2"/>
          <w:sz w:val="24"/>
          <w:szCs w:val="24"/>
          <w:lang w:val="en-US"/>
        </w:rPr>
        <w:t>不得虚假响应。若虚假响应，将取消其</w:t>
      </w:r>
      <w:r>
        <w:rPr>
          <w:rFonts w:hint="eastAsia" w:ascii="宋体" w:hAnsi="宋体" w:eastAsia="宋体" w:cs="宋体"/>
          <w:b w:val="0"/>
          <w:bCs/>
          <w:color w:val="auto"/>
          <w:kern w:val="2"/>
          <w:sz w:val="24"/>
          <w:szCs w:val="24"/>
          <w:lang w:val="en-US" w:eastAsia="zh-CN"/>
        </w:rPr>
        <w:t>参与磋商</w:t>
      </w:r>
      <w:r>
        <w:rPr>
          <w:rFonts w:hint="eastAsia" w:ascii="宋体" w:hAnsi="宋体" w:eastAsia="宋体" w:cs="宋体"/>
          <w:b w:val="0"/>
          <w:bCs/>
          <w:color w:val="auto"/>
          <w:kern w:val="2"/>
          <w:sz w:val="24"/>
          <w:szCs w:val="24"/>
          <w:lang w:val="en-US"/>
        </w:rPr>
        <w:t>或</w:t>
      </w:r>
      <w:r>
        <w:rPr>
          <w:rFonts w:hint="eastAsia" w:ascii="宋体" w:hAnsi="宋体" w:eastAsia="宋体" w:cs="宋体"/>
          <w:b w:val="0"/>
          <w:bCs/>
          <w:color w:val="auto"/>
          <w:kern w:val="2"/>
          <w:sz w:val="24"/>
          <w:szCs w:val="24"/>
          <w:lang w:val="en-US" w:eastAsia="zh-CN"/>
        </w:rPr>
        <w:t>成交</w:t>
      </w:r>
      <w:r>
        <w:rPr>
          <w:rFonts w:hint="eastAsia" w:ascii="宋体" w:hAnsi="宋体" w:eastAsia="宋体" w:cs="宋体"/>
          <w:b w:val="0"/>
          <w:bCs/>
          <w:color w:val="auto"/>
          <w:kern w:val="2"/>
          <w:sz w:val="24"/>
          <w:szCs w:val="24"/>
          <w:lang w:val="en-US"/>
        </w:rPr>
        <w:t>资格。</w:t>
      </w:r>
    </w:p>
    <w:p>
      <w:pPr>
        <w:keepNext w:val="0"/>
        <w:keepLines w:val="0"/>
        <w:pageBreakBefore w:val="0"/>
        <w:widowControl w:val="0"/>
        <w:numPr>
          <w:ilvl w:val="0"/>
          <w:numId w:val="77"/>
        </w:numPr>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lang w:val="en-US" w:eastAsia="zh-CN"/>
        </w:rPr>
        <w:t>若不涉及“执业或职业资格、职称”此项内容的可填写“/”，不影响响应文件有效性。</w:t>
      </w:r>
    </w:p>
    <w:p>
      <w:pPr>
        <w:keepNext w:val="0"/>
        <w:keepLines w:val="0"/>
        <w:pageBreakBefore w:val="0"/>
        <w:widowControl w:val="0"/>
        <w:numPr>
          <w:ilvl w:val="0"/>
          <w:numId w:val="77"/>
        </w:numPr>
        <w:kinsoku/>
        <w:wordWrap/>
        <w:overflowPunct/>
        <w:topLinePunct w:val="0"/>
        <w:autoSpaceDE/>
        <w:autoSpaceDN/>
        <w:bidi w:val="0"/>
        <w:adjustRightInd/>
        <w:snapToGrid w:val="0"/>
        <w:spacing w:line="520" w:lineRule="exact"/>
        <w:ind w:left="0"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不同供应商的响应文件载明的项目管理成员或联系人员为同一人的视为串通磋商。若供应商配备的项目负责人/授权代表及此表中所涉及的人员与其他供应商的响应文件中配备的人员一致，视为串通磋商，将报告监管部门严肃追究其法律责任。</w:t>
      </w: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p/>
    <w:p>
      <w:pPr>
        <w:pStyle w:val="5"/>
        <w:ind w:left="18" w:leftChars="0" w:hanging="18" w:firstLineChars="0"/>
        <w:rPr>
          <w:color w:val="auto"/>
          <w:highlight w:val="none"/>
        </w:rPr>
      </w:pPr>
      <w:r>
        <w:rPr>
          <w:rFonts w:hint="eastAsia"/>
          <w:color w:val="auto"/>
          <w:highlight w:val="none"/>
          <w:lang w:val="en-US" w:eastAsia="zh-CN"/>
        </w:rPr>
        <w:t>类似</w:t>
      </w:r>
      <w:r>
        <w:rPr>
          <w:rFonts w:hint="eastAsia"/>
          <w:color w:val="auto"/>
          <w:highlight w:val="none"/>
        </w:rPr>
        <w:t>业绩一览表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成都市公安局龙泉驿区分局200个天网点位升级改造租赁服务采购项目</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510112202200016</w:t>
      </w:r>
    </w:p>
    <w:tbl>
      <w:tblPr>
        <w:tblStyle w:val="44"/>
        <w:tblW w:w="93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2"/>
        <w:gridCol w:w="1533"/>
        <w:gridCol w:w="1975"/>
        <w:gridCol w:w="1724"/>
        <w:gridCol w:w="1435"/>
        <w:gridCol w:w="18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top w:val="single" w:color="auto" w:sz="4" w:space="0"/>
            </w:tcBorders>
            <w:vAlign w:val="center"/>
          </w:tcPr>
          <w:p>
            <w:pPr>
              <w:spacing w:line="520" w:lineRule="exact"/>
              <w:ind w:firstLine="120" w:firstLineChar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年份</w:t>
            </w:r>
          </w:p>
        </w:tc>
        <w:tc>
          <w:tcPr>
            <w:tcW w:w="1533" w:type="dxa"/>
            <w:vAlign w:val="center"/>
          </w:tcPr>
          <w:p>
            <w:pPr>
              <w:spacing w:line="5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用户名称</w:t>
            </w:r>
          </w:p>
        </w:tc>
        <w:tc>
          <w:tcPr>
            <w:tcW w:w="1975" w:type="dxa"/>
            <w:vAlign w:val="center"/>
          </w:tcPr>
          <w:p>
            <w:pPr>
              <w:spacing w:line="5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724" w:type="dxa"/>
            <w:vAlign w:val="center"/>
          </w:tcPr>
          <w:p>
            <w:pPr>
              <w:spacing w:line="5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完成时间</w:t>
            </w:r>
          </w:p>
        </w:tc>
        <w:tc>
          <w:tcPr>
            <w:tcW w:w="1435" w:type="dxa"/>
            <w:vAlign w:val="center"/>
          </w:tcPr>
          <w:p>
            <w:pPr>
              <w:spacing w:line="520" w:lineRule="exact"/>
              <w:ind w:firstLine="120" w:firstLineChar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tc>
        <w:tc>
          <w:tcPr>
            <w:tcW w:w="1825" w:type="dxa"/>
            <w:tcBorders>
              <w:left w:val="single" w:color="auto" w:sz="4" w:space="0"/>
            </w:tcBorders>
            <w:vAlign w:val="center"/>
          </w:tcPr>
          <w:p>
            <w:pPr>
              <w:spacing w:line="5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hint="eastAsia" w:ascii="宋体" w:hAnsi="宋体" w:eastAsia="宋体" w:cs="宋体"/>
                <w:color w:val="auto"/>
                <w:sz w:val="24"/>
                <w:szCs w:val="24"/>
                <w:highlight w:val="none"/>
              </w:rPr>
            </w:pPr>
          </w:p>
        </w:tc>
        <w:tc>
          <w:tcPr>
            <w:tcW w:w="1533" w:type="dxa"/>
            <w:vAlign w:val="center"/>
          </w:tcPr>
          <w:p>
            <w:pPr>
              <w:spacing w:line="520" w:lineRule="exact"/>
              <w:jc w:val="center"/>
              <w:rPr>
                <w:rFonts w:hint="eastAsia" w:ascii="宋体" w:hAnsi="宋体" w:eastAsia="宋体" w:cs="宋体"/>
                <w:color w:val="auto"/>
                <w:sz w:val="24"/>
                <w:szCs w:val="24"/>
                <w:highlight w:val="none"/>
              </w:rPr>
            </w:pPr>
          </w:p>
        </w:tc>
        <w:tc>
          <w:tcPr>
            <w:tcW w:w="1975" w:type="dxa"/>
            <w:vAlign w:val="center"/>
          </w:tcPr>
          <w:p>
            <w:pPr>
              <w:spacing w:line="520" w:lineRule="exact"/>
              <w:jc w:val="center"/>
              <w:rPr>
                <w:rFonts w:hint="eastAsia" w:ascii="宋体" w:hAnsi="宋体" w:eastAsia="宋体" w:cs="宋体"/>
                <w:color w:val="auto"/>
                <w:sz w:val="24"/>
                <w:szCs w:val="24"/>
                <w:highlight w:val="none"/>
              </w:rPr>
            </w:pPr>
          </w:p>
        </w:tc>
        <w:tc>
          <w:tcPr>
            <w:tcW w:w="1724" w:type="dxa"/>
            <w:vAlign w:val="center"/>
          </w:tcPr>
          <w:p>
            <w:pPr>
              <w:spacing w:line="520" w:lineRule="exact"/>
              <w:jc w:val="center"/>
              <w:rPr>
                <w:rFonts w:hint="eastAsia" w:ascii="宋体" w:hAnsi="宋体" w:eastAsia="宋体" w:cs="宋体"/>
                <w:color w:val="auto"/>
                <w:sz w:val="24"/>
                <w:szCs w:val="24"/>
                <w:highlight w:val="none"/>
              </w:rPr>
            </w:pPr>
          </w:p>
        </w:tc>
        <w:tc>
          <w:tcPr>
            <w:tcW w:w="1435" w:type="dxa"/>
            <w:vAlign w:val="center"/>
          </w:tcPr>
          <w:p>
            <w:pPr>
              <w:spacing w:line="520" w:lineRule="exact"/>
              <w:jc w:val="center"/>
              <w:rPr>
                <w:rFonts w:hint="eastAsia" w:ascii="宋体" w:hAnsi="宋体" w:eastAsia="宋体" w:cs="宋体"/>
                <w:color w:val="auto"/>
                <w:sz w:val="24"/>
                <w:szCs w:val="24"/>
                <w:highlight w:val="none"/>
              </w:rPr>
            </w:pPr>
          </w:p>
        </w:tc>
        <w:tc>
          <w:tcPr>
            <w:tcW w:w="1825" w:type="dxa"/>
            <w:tcBorders>
              <w:left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hint="eastAsia" w:ascii="宋体" w:hAnsi="宋体" w:eastAsia="宋体" w:cs="宋体"/>
                <w:color w:val="auto"/>
                <w:sz w:val="24"/>
                <w:szCs w:val="24"/>
                <w:highlight w:val="none"/>
              </w:rPr>
            </w:pPr>
          </w:p>
        </w:tc>
        <w:tc>
          <w:tcPr>
            <w:tcW w:w="1533" w:type="dxa"/>
            <w:vAlign w:val="center"/>
          </w:tcPr>
          <w:p>
            <w:pPr>
              <w:spacing w:line="520" w:lineRule="exact"/>
              <w:jc w:val="center"/>
              <w:rPr>
                <w:rFonts w:hint="eastAsia" w:ascii="宋体" w:hAnsi="宋体" w:eastAsia="宋体" w:cs="宋体"/>
                <w:color w:val="auto"/>
                <w:sz w:val="24"/>
                <w:szCs w:val="24"/>
                <w:highlight w:val="none"/>
              </w:rPr>
            </w:pPr>
          </w:p>
        </w:tc>
        <w:tc>
          <w:tcPr>
            <w:tcW w:w="1975" w:type="dxa"/>
            <w:vAlign w:val="center"/>
          </w:tcPr>
          <w:p>
            <w:pPr>
              <w:spacing w:line="520" w:lineRule="exact"/>
              <w:jc w:val="center"/>
              <w:rPr>
                <w:rFonts w:hint="eastAsia" w:ascii="宋体" w:hAnsi="宋体" w:eastAsia="宋体" w:cs="宋体"/>
                <w:color w:val="auto"/>
                <w:sz w:val="24"/>
                <w:szCs w:val="24"/>
                <w:highlight w:val="none"/>
              </w:rPr>
            </w:pPr>
          </w:p>
        </w:tc>
        <w:tc>
          <w:tcPr>
            <w:tcW w:w="1724" w:type="dxa"/>
            <w:vAlign w:val="center"/>
          </w:tcPr>
          <w:p>
            <w:pPr>
              <w:spacing w:line="520" w:lineRule="exact"/>
              <w:jc w:val="center"/>
              <w:rPr>
                <w:rFonts w:hint="eastAsia" w:ascii="宋体" w:hAnsi="宋体" w:eastAsia="宋体" w:cs="宋体"/>
                <w:color w:val="auto"/>
                <w:sz w:val="24"/>
                <w:szCs w:val="24"/>
                <w:highlight w:val="none"/>
              </w:rPr>
            </w:pPr>
          </w:p>
        </w:tc>
        <w:tc>
          <w:tcPr>
            <w:tcW w:w="1435" w:type="dxa"/>
            <w:vAlign w:val="center"/>
          </w:tcPr>
          <w:p>
            <w:pPr>
              <w:spacing w:line="520" w:lineRule="exact"/>
              <w:jc w:val="center"/>
              <w:rPr>
                <w:rFonts w:hint="eastAsia" w:ascii="宋体" w:hAnsi="宋体" w:eastAsia="宋体" w:cs="宋体"/>
                <w:color w:val="auto"/>
                <w:sz w:val="24"/>
                <w:szCs w:val="24"/>
                <w:highlight w:val="none"/>
              </w:rPr>
            </w:pPr>
          </w:p>
        </w:tc>
        <w:tc>
          <w:tcPr>
            <w:tcW w:w="1825" w:type="dxa"/>
            <w:tcBorders>
              <w:left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hint="eastAsia" w:ascii="宋体" w:hAnsi="宋体" w:eastAsia="宋体" w:cs="宋体"/>
                <w:color w:val="auto"/>
                <w:sz w:val="24"/>
                <w:szCs w:val="24"/>
                <w:highlight w:val="none"/>
              </w:rPr>
            </w:pPr>
          </w:p>
        </w:tc>
        <w:tc>
          <w:tcPr>
            <w:tcW w:w="1533" w:type="dxa"/>
            <w:vAlign w:val="center"/>
          </w:tcPr>
          <w:p>
            <w:pPr>
              <w:spacing w:line="520" w:lineRule="exact"/>
              <w:jc w:val="center"/>
              <w:rPr>
                <w:rFonts w:hint="eastAsia" w:ascii="宋体" w:hAnsi="宋体" w:eastAsia="宋体" w:cs="宋体"/>
                <w:color w:val="auto"/>
                <w:sz w:val="24"/>
                <w:szCs w:val="24"/>
                <w:highlight w:val="none"/>
              </w:rPr>
            </w:pPr>
          </w:p>
        </w:tc>
        <w:tc>
          <w:tcPr>
            <w:tcW w:w="1975" w:type="dxa"/>
            <w:vAlign w:val="center"/>
          </w:tcPr>
          <w:p>
            <w:pPr>
              <w:spacing w:line="520" w:lineRule="exact"/>
              <w:jc w:val="center"/>
              <w:rPr>
                <w:rFonts w:hint="eastAsia" w:ascii="宋体" w:hAnsi="宋体" w:eastAsia="宋体" w:cs="宋体"/>
                <w:color w:val="auto"/>
                <w:sz w:val="24"/>
                <w:szCs w:val="24"/>
                <w:highlight w:val="none"/>
              </w:rPr>
            </w:pPr>
          </w:p>
        </w:tc>
        <w:tc>
          <w:tcPr>
            <w:tcW w:w="1724" w:type="dxa"/>
            <w:vAlign w:val="center"/>
          </w:tcPr>
          <w:p>
            <w:pPr>
              <w:spacing w:line="520" w:lineRule="exact"/>
              <w:jc w:val="center"/>
              <w:rPr>
                <w:rFonts w:hint="eastAsia" w:ascii="宋体" w:hAnsi="宋体" w:eastAsia="宋体" w:cs="宋体"/>
                <w:color w:val="auto"/>
                <w:sz w:val="24"/>
                <w:szCs w:val="24"/>
                <w:highlight w:val="none"/>
              </w:rPr>
            </w:pPr>
          </w:p>
        </w:tc>
        <w:tc>
          <w:tcPr>
            <w:tcW w:w="1435" w:type="dxa"/>
            <w:vAlign w:val="center"/>
          </w:tcPr>
          <w:p>
            <w:pPr>
              <w:spacing w:line="520" w:lineRule="exact"/>
              <w:jc w:val="center"/>
              <w:rPr>
                <w:rFonts w:hint="eastAsia" w:ascii="宋体" w:hAnsi="宋体" w:eastAsia="宋体" w:cs="宋体"/>
                <w:color w:val="auto"/>
                <w:sz w:val="24"/>
                <w:szCs w:val="24"/>
                <w:highlight w:val="none"/>
              </w:rPr>
            </w:pPr>
          </w:p>
        </w:tc>
        <w:tc>
          <w:tcPr>
            <w:tcW w:w="1825" w:type="dxa"/>
            <w:tcBorders>
              <w:left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hint="eastAsia" w:ascii="宋体" w:hAnsi="宋体" w:eastAsia="宋体" w:cs="宋体"/>
                <w:color w:val="auto"/>
                <w:sz w:val="24"/>
                <w:szCs w:val="24"/>
                <w:highlight w:val="none"/>
              </w:rPr>
            </w:pPr>
          </w:p>
        </w:tc>
        <w:tc>
          <w:tcPr>
            <w:tcW w:w="1533" w:type="dxa"/>
            <w:tcBorders>
              <w:right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975" w:type="dxa"/>
            <w:tcBorders>
              <w:left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724" w:type="dxa"/>
            <w:vAlign w:val="center"/>
          </w:tcPr>
          <w:p>
            <w:pPr>
              <w:spacing w:line="520" w:lineRule="exact"/>
              <w:jc w:val="center"/>
              <w:rPr>
                <w:rFonts w:hint="eastAsia" w:ascii="宋体" w:hAnsi="宋体" w:eastAsia="宋体" w:cs="宋体"/>
                <w:color w:val="auto"/>
                <w:sz w:val="24"/>
                <w:szCs w:val="24"/>
                <w:highlight w:val="none"/>
              </w:rPr>
            </w:pPr>
          </w:p>
        </w:tc>
        <w:tc>
          <w:tcPr>
            <w:tcW w:w="1435" w:type="dxa"/>
            <w:vAlign w:val="center"/>
          </w:tcPr>
          <w:p>
            <w:pPr>
              <w:spacing w:line="520" w:lineRule="exact"/>
              <w:jc w:val="center"/>
              <w:rPr>
                <w:rFonts w:hint="eastAsia" w:ascii="宋体" w:hAnsi="宋体" w:eastAsia="宋体" w:cs="宋体"/>
                <w:color w:val="auto"/>
                <w:sz w:val="24"/>
                <w:szCs w:val="24"/>
                <w:highlight w:val="none"/>
              </w:rPr>
            </w:pPr>
          </w:p>
        </w:tc>
        <w:tc>
          <w:tcPr>
            <w:tcW w:w="1825" w:type="dxa"/>
            <w:tcBorders>
              <w:left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right w:val="single" w:color="auto" w:sz="4" w:space="0"/>
            </w:tcBorders>
            <w:vAlign w:val="center"/>
          </w:tcPr>
          <w:p>
            <w:pPr>
              <w:spacing w:line="520" w:lineRule="exact"/>
              <w:rPr>
                <w:rFonts w:hint="eastAsia" w:ascii="宋体" w:hAnsi="宋体" w:eastAsia="宋体" w:cs="宋体"/>
                <w:color w:val="auto"/>
                <w:sz w:val="24"/>
                <w:szCs w:val="24"/>
                <w:highlight w:val="none"/>
              </w:rPr>
            </w:pPr>
          </w:p>
        </w:tc>
        <w:tc>
          <w:tcPr>
            <w:tcW w:w="1533" w:type="dxa"/>
            <w:tcBorders>
              <w:left w:val="single" w:color="auto" w:sz="4" w:space="0"/>
              <w:right w:val="single" w:color="auto" w:sz="4" w:space="0"/>
            </w:tcBorders>
            <w:vAlign w:val="center"/>
          </w:tcPr>
          <w:p>
            <w:pPr>
              <w:spacing w:line="520" w:lineRule="exact"/>
              <w:rPr>
                <w:rFonts w:hint="eastAsia" w:ascii="宋体" w:hAnsi="宋体" w:eastAsia="宋体" w:cs="宋体"/>
                <w:color w:val="auto"/>
                <w:sz w:val="24"/>
                <w:szCs w:val="24"/>
                <w:highlight w:val="none"/>
              </w:rPr>
            </w:pPr>
          </w:p>
        </w:tc>
        <w:tc>
          <w:tcPr>
            <w:tcW w:w="1975" w:type="dxa"/>
            <w:tcBorders>
              <w:left w:val="single" w:color="auto" w:sz="4" w:space="0"/>
              <w:right w:val="single" w:color="auto" w:sz="4" w:space="0"/>
            </w:tcBorders>
            <w:vAlign w:val="center"/>
          </w:tcPr>
          <w:p>
            <w:pPr>
              <w:spacing w:line="520" w:lineRule="exact"/>
              <w:rPr>
                <w:rFonts w:hint="eastAsia" w:ascii="宋体" w:hAnsi="宋体" w:eastAsia="宋体" w:cs="宋体"/>
                <w:color w:val="auto"/>
                <w:sz w:val="24"/>
                <w:szCs w:val="24"/>
                <w:highlight w:val="none"/>
              </w:rPr>
            </w:pPr>
          </w:p>
        </w:tc>
        <w:tc>
          <w:tcPr>
            <w:tcW w:w="1724" w:type="dxa"/>
            <w:tcBorders>
              <w:left w:val="single" w:color="auto" w:sz="4" w:space="0"/>
              <w:right w:val="single" w:color="auto" w:sz="4" w:space="0"/>
            </w:tcBorders>
            <w:vAlign w:val="center"/>
          </w:tcPr>
          <w:p>
            <w:pPr>
              <w:spacing w:line="520" w:lineRule="exact"/>
              <w:rPr>
                <w:rFonts w:hint="eastAsia" w:ascii="宋体" w:hAnsi="宋体" w:eastAsia="宋体" w:cs="宋体"/>
                <w:color w:val="auto"/>
                <w:sz w:val="24"/>
                <w:szCs w:val="24"/>
                <w:highlight w:val="none"/>
              </w:rPr>
            </w:pPr>
          </w:p>
        </w:tc>
        <w:tc>
          <w:tcPr>
            <w:tcW w:w="1435" w:type="dxa"/>
            <w:tcBorders>
              <w:left w:val="single" w:color="auto" w:sz="4" w:space="0"/>
              <w:right w:val="single" w:color="auto" w:sz="4" w:space="0"/>
            </w:tcBorders>
            <w:vAlign w:val="center"/>
          </w:tcPr>
          <w:p>
            <w:pPr>
              <w:spacing w:line="520" w:lineRule="exact"/>
              <w:rPr>
                <w:rFonts w:hint="eastAsia" w:ascii="宋体" w:hAnsi="宋体" w:eastAsia="宋体" w:cs="宋体"/>
                <w:color w:val="auto"/>
                <w:sz w:val="24"/>
                <w:szCs w:val="24"/>
                <w:highlight w:val="none"/>
              </w:rPr>
            </w:pPr>
          </w:p>
        </w:tc>
        <w:tc>
          <w:tcPr>
            <w:tcW w:w="1825" w:type="dxa"/>
            <w:tcBorders>
              <w:left w:val="single" w:color="auto" w:sz="4" w:space="0"/>
            </w:tcBorders>
            <w:vAlign w:val="center"/>
          </w:tcPr>
          <w:p>
            <w:pPr>
              <w:spacing w:line="52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rPr>
                <w:rFonts w:hint="eastAsia" w:ascii="宋体" w:hAnsi="宋体" w:eastAsia="宋体" w:cs="宋体"/>
                <w:color w:val="auto"/>
                <w:sz w:val="24"/>
                <w:szCs w:val="24"/>
                <w:highlight w:val="none"/>
              </w:rPr>
            </w:pPr>
          </w:p>
        </w:tc>
        <w:tc>
          <w:tcPr>
            <w:tcW w:w="1533" w:type="dxa"/>
            <w:vAlign w:val="center"/>
          </w:tcPr>
          <w:p>
            <w:pPr>
              <w:spacing w:line="520" w:lineRule="exact"/>
              <w:rPr>
                <w:rFonts w:hint="eastAsia" w:ascii="宋体" w:hAnsi="宋体" w:eastAsia="宋体" w:cs="宋体"/>
                <w:color w:val="auto"/>
                <w:sz w:val="24"/>
                <w:szCs w:val="24"/>
                <w:highlight w:val="none"/>
              </w:rPr>
            </w:pPr>
          </w:p>
        </w:tc>
        <w:tc>
          <w:tcPr>
            <w:tcW w:w="1975" w:type="dxa"/>
            <w:vAlign w:val="center"/>
          </w:tcPr>
          <w:p>
            <w:pPr>
              <w:spacing w:line="520" w:lineRule="exact"/>
              <w:rPr>
                <w:rFonts w:hint="eastAsia" w:ascii="宋体" w:hAnsi="宋体" w:eastAsia="宋体" w:cs="宋体"/>
                <w:color w:val="auto"/>
                <w:sz w:val="24"/>
                <w:szCs w:val="24"/>
                <w:highlight w:val="none"/>
              </w:rPr>
            </w:pPr>
          </w:p>
        </w:tc>
        <w:tc>
          <w:tcPr>
            <w:tcW w:w="1724" w:type="dxa"/>
            <w:vAlign w:val="center"/>
          </w:tcPr>
          <w:p>
            <w:pPr>
              <w:spacing w:line="520" w:lineRule="exact"/>
              <w:rPr>
                <w:rFonts w:hint="eastAsia" w:ascii="宋体" w:hAnsi="宋体" w:eastAsia="宋体" w:cs="宋体"/>
                <w:color w:val="auto"/>
                <w:sz w:val="24"/>
                <w:szCs w:val="24"/>
                <w:highlight w:val="none"/>
              </w:rPr>
            </w:pPr>
          </w:p>
        </w:tc>
        <w:tc>
          <w:tcPr>
            <w:tcW w:w="1435" w:type="dxa"/>
            <w:tcBorders>
              <w:right w:val="single" w:color="auto" w:sz="4" w:space="0"/>
            </w:tcBorders>
            <w:vAlign w:val="center"/>
          </w:tcPr>
          <w:p>
            <w:pPr>
              <w:spacing w:line="520" w:lineRule="exact"/>
              <w:rPr>
                <w:rFonts w:hint="eastAsia" w:ascii="宋体" w:hAnsi="宋体" w:eastAsia="宋体" w:cs="宋体"/>
                <w:color w:val="auto"/>
                <w:sz w:val="24"/>
                <w:szCs w:val="24"/>
                <w:highlight w:val="none"/>
              </w:rPr>
            </w:pPr>
          </w:p>
        </w:tc>
        <w:tc>
          <w:tcPr>
            <w:tcW w:w="1825" w:type="dxa"/>
            <w:tcBorders>
              <w:left w:val="single" w:color="auto" w:sz="4" w:space="0"/>
            </w:tcBorders>
            <w:vAlign w:val="center"/>
          </w:tcPr>
          <w:p>
            <w:pPr>
              <w:spacing w:line="52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hint="eastAsia" w:ascii="宋体" w:hAnsi="宋体" w:eastAsia="宋体" w:cs="宋体"/>
                <w:color w:val="auto"/>
                <w:sz w:val="24"/>
                <w:szCs w:val="24"/>
                <w:highlight w:val="none"/>
              </w:rPr>
            </w:pPr>
          </w:p>
        </w:tc>
        <w:tc>
          <w:tcPr>
            <w:tcW w:w="1533" w:type="dxa"/>
            <w:vAlign w:val="center"/>
          </w:tcPr>
          <w:p>
            <w:pPr>
              <w:spacing w:line="520" w:lineRule="exact"/>
              <w:jc w:val="center"/>
              <w:rPr>
                <w:rFonts w:hint="eastAsia" w:ascii="宋体" w:hAnsi="宋体" w:eastAsia="宋体" w:cs="宋体"/>
                <w:color w:val="auto"/>
                <w:sz w:val="24"/>
                <w:szCs w:val="24"/>
                <w:highlight w:val="none"/>
              </w:rPr>
            </w:pPr>
          </w:p>
        </w:tc>
        <w:tc>
          <w:tcPr>
            <w:tcW w:w="1975" w:type="dxa"/>
            <w:vAlign w:val="center"/>
          </w:tcPr>
          <w:p>
            <w:pPr>
              <w:spacing w:line="520" w:lineRule="exact"/>
              <w:jc w:val="center"/>
              <w:rPr>
                <w:rFonts w:hint="eastAsia" w:ascii="宋体" w:hAnsi="宋体" w:eastAsia="宋体" w:cs="宋体"/>
                <w:color w:val="auto"/>
                <w:sz w:val="24"/>
                <w:szCs w:val="24"/>
                <w:highlight w:val="none"/>
              </w:rPr>
            </w:pPr>
          </w:p>
        </w:tc>
        <w:tc>
          <w:tcPr>
            <w:tcW w:w="1724" w:type="dxa"/>
            <w:vAlign w:val="center"/>
          </w:tcPr>
          <w:p>
            <w:pPr>
              <w:spacing w:line="520" w:lineRule="exact"/>
              <w:jc w:val="center"/>
              <w:rPr>
                <w:rFonts w:hint="eastAsia" w:ascii="宋体" w:hAnsi="宋体" w:eastAsia="宋体" w:cs="宋体"/>
                <w:color w:val="auto"/>
                <w:sz w:val="24"/>
                <w:szCs w:val="24"/>
                <w:highlight w:val="none"/>
              </w:rPr>
            </w:pPr>
          </w:p>
        </w:tc>
        <w:tc>
          <w:tcPr>
            <w:tcW w:w="1435" w:type="dxa"/>
            <w:tcBorders>
              <w:right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825" w:type="dxa"/>
            <w:tcBorders>
              <w:left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hint="eastAsia" w:ascii="宋体" w:hAnsi="宋体" w:eastAsia="宋体" w:cs="宋体"/>
                <w:color w:val="auto"/>
                <w:sz w:val="24"/>
                <w:szCs w:val="24"/>
                <w:highlight w:val="none"/>
              </w:rPr>
            </w:pPr>
          </w:p>
        </w:tc>
        <w:tc>
          <w:tcPr>
            <w:tcW w:w="1533" w:type="dxa"/>
            <w:vAlign w:val="center"/>
          </w:tcPr>
          <w:p>
            <w:pPr>
              <w:spacing w:line="520" w:lineRule="exact"/>
              <w:jc w:val="center"/>
              <w:rPr>
                <w:rFonts w:hint="eastAsia" w:ascii="宋体" w:hAnsi="宋体" w:eastAsia="宋体" w:cs="宋体"/>
                <w:color w:val="auto"/>
                <w:sz w:val="24"/>
                <w:szCs w:val="24"/>
                <w:highlight w:val="none"/>
              </w:rPr>
            </w:pPr>
          </w:p>
        </w:tc>
        <w:tc>
          <w:tcPr>
            <w:tcW w:w="1975" w:type="dxa"/>
            <w:vAlign w:val="center"/>
          </w:tcPr>
          <w:p>
            <w:pPr>
              <w:spacing w:line="520" w:lineRule="exact"/>
              <w:jc w:val="center"/>
              <w:rPr>
                <w:rFonts w:hint="eastAsia" w:ascii="宋体" w:hAnsi="宋体" w:eastAsia="宋体" w:cs="宋体"/>
                <w:color w:val="auto"/>
                <w:sz w:val="24"/>
                <w:szCs w:val="24"/>
                <w:highlight w:val="none"/>
              </w:rPr>
            </w:pPr>
          </w:p>
        </w:tc>
        <w:tc>
          <w:tcPr>
            <w:tcW w:w="1724" w:type="dxa"/>
            <w:vAlign w:val="center"/>
          </w:tcPr>
          <w:p>
            <w:pPr>
              <w:spacing w:line="520" w:lineRule="exact"/>
              <w:jc w:val="center"/>
              <w:rPr>
                <w:rFonts w:hint="eastAsia" w:ascii="宋体" w:hAnsi="宋体" w:eastAsia="宋体" w:cs="宋体"/>
                <w:color w:val="auto"/>
                <w:sz w:val="24"/>
                <w:szCs w:val="24"/>
                <w:highlight w:val="none"/>
              </w:rPr>
            </w:pPr>
          </w:p>
        </w:tc>
        <w:tc>
          <w:tcPr>
            <w:tcW w:w="1435" w:type="dxa"/>
            <w:tcBorders>
              <w:right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825" w:type="dxa"/>
            <w:tcBorders>
              <w:left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82" w:type="dxa"/>
            <w:tcBorders>
              <w:bottom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533" w:type="dxa"/>
            <w:tcBorders>
              <w:bottom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975" w:type="dxa"/>
            <w:tcBorders>
              <w:bottom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724" w:type="dxa"/>
            <w:tcBorders>
              <w:bottom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435" w:type="dxa"/>
            <w:tcBorders>
              <w:bottom w:val="single" w:color="auto" w:sz="4" w:space="0"/>
              <w:right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825" w:type="dxa"/>
            <w:tcBorders>
              <w:left w:val="single" w:color="auto" w:sz="4" w:space="0"/>
              <w:bottom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82" w:type="dxa"/>
            <w:tcBorders>
              <w:top w:val="single" w:color="auto" w:sz="4" w:space="0"/>
              <w:bottom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533" w:type="dxa"/>
            <w:tcBorders>
              <w:top w:val="single" w:color="auto" w:sz="4" w:space="0"/>
              <w:bottom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975" w:type="dxa"/>
            <w:tcBorders>
              <w:top w:val="single" w:color="auto" w:sz="4" w:space="0"/>
              <w:bottom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724" w:type="dxa"/>
            <w:tcBorders>
              <w:top w:val="single" w:color="auto" w:sz="4" w:space="0"/>
              <w:bottom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435" w:type="dxa"/>
            <w:tcBorders>
              <w:top w:val="single" w:color="auto" w:sz="4" w:space="0"/>
              <w:bottom w:val="single" w:color="auto" w:sz="4" w:space="0"/>
              <w:right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c>
          <w:tcPr>
            <w:tcW w:w="1825" w:type="dxa"/>
            <w:tcBorders>
              <w:top w:val="single" w:color="auto" w:sz="4" w:space="0"/>
              <w:left w:val="single" w:color="auto" w:sz="4" w:space="0"/>
              <w:bottom w:val="single" w:color="auto" w:sz="4" w:space="0"/>
            </w:tcBorders>
            <w:vAlign w:val="center"/>
          </w:tcPr>
          <w:p>
            <w:pPr>
              <w:spacing w:line="520" w:lineRule="exact"/>
              <w:jc w:val="center"/>
              <w:rPr>
                <w:rFonts w:hint="eastAsia" w:ascii="宋体" w:hAnsi="宋体" w:eastAsia="宋体" w:cs="宋体"/>
                <w:color w:val="auto"/>
                <w:sz w:val="24"/>
                <w:szCs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注：以上业绩仅限于</w:t>
      </w:r>
      <w:r>
        <w:rPr>
          <w:rFonts w:hint="eastAsia" w:ascii="宋体" w:hAnsi="宋体" w:cs="宋体"/>
          <w:color w:val="auto"/>
          <w:highlight w:val="none"/>
          <w:lang w:val="en-US" w:eastAsia="zh-CN"/>
        </w:rPr>
        <w:t>供应商</w:t>
      </w:r>
      <w:r>
        <w:rPr>
          <w:rFonts w:hint="eastAsia" w:ascii="宋体" w:hAnsi="宋体" w:cs="宋体"/>
          <w:color w:val="auto"/>
          <w:highlight w:val="none"/>
        </w:rPr>
        <w:t>自己实施的，对于供应商不涉及的项目可不填写，如无业绩可不提供本页内容。</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bookmarkEnd w:id="432"/>
    <w:bookmarkEnd w:id="436"/>
    <w:p>
      <w:pPr>
        <w:pStyle w:val="5"/>
        <w:ind w:left="18" w:leftChars="0" w:hanging="18" w:firstLineChars="0"/>
        <w:rPr>
          <w:rFonts w:cs="宋体"/>
          <w:color w:val="auto"/>
          <w:szCs w:val="24"/>
          <w:highlight w:val="none"/>
        </w:rPr>
      </w:pPr>
      <w:r>
        <w:rPr>
          <w:rFonts w:hint="eastAsia" w:cs="宋体"/>
          <w:color w:val="auto"/>
          <w:szCs w:val="24"/>
          <w:highlight w:val="none"/>
          <w:lang w:val="en-US" w:eastAsia="zh-CN"/>
        </w:rPr>
        <w:t>中小企业声明函</w:t>
      </w:r>
    </w:p>
    <w:p>
      <w:pPr>
        <w:spacing w:line="360" w:lineRule="auto"/>
        <w:ind w:firstLine="480" w:firstLineChars="200"/>
        <w:rPr>
          <w:rFonts w:ascii="宋体" w:hAnsi="宋体" w:cs="宋体"/>
          <w:highlight w:val="none"/>
        </w:rPr>
      </w:pPr>
      <w:r>
        <w:rPr>
          <w:rFonts w:hint="eastAsia" w:ascii="宋体" w:hAnsi="宋体" w:cs="宋体"/>
          <w:color w:val="000000"/>
          <w:highlight w:val="none"/>
          <w:lang w:bidi="ar"/>
        </w:rPr>
        <w:t>本公司（联合体）郑重声明，根据《政府采购促进中小企业发展管理办法》（财库﹝2020﹞46 号）的规定，本公司（联合体）参加</w:t>
      </w:r>
      <w:r>
        <w:rPr>
          <w:rFonts w:hint="eastAsia" w:ascii="宋体" w:hAnsi="宋体" w:cs="宋体"/>
          <w:color w:val="000000"/>
          <w:highlight w:val="none"/>
          <w:u w:val="single"/>
          <w:lang w:bidi="ar"/>
        </w:rPr>
        <w:t xml:space="preserve">   （单位名称）</w:t>
      </w:r>
      <w:r>
        <w:rPr>
          <w:rFonts w:hint="eastAsia" w:ascii="宋体" w:hAnsi="宋体" w:cs="宋体"/>
          <w:color w:val="000000"/>
          <w:highlight w:val="none"/>
          <w:lang w:bidi="ar"/>
        </w:rPr>
        <w:t>的</w:t>
      </w:r>
      <w:r>
        <w:rPr>
          <w:rFonts w:hint="eastAsia" w:ascii="宋体" w:hAnsi="宋体" w:cs="宋体"/>
          <w:color w:val="000000"/>
          <w:highlight w:val="none"/>
          <w:u w:val="single"/>
          <w:lang w:bidi="ar"/>
        </w:rPr>
        <w:t xml:space="preserve">   （项目名称）</w:t>
      </w:r>
      <w:r>
        <w:rPr>
          <w:rFonts w:hint="eastAsia" w:ascii="宋体" w:hAnsi="宋体" w:cs="宋体"/>
          <w:color w:val="000000"/>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s="宋体"/>
          <w:highlight w:val="none"/>
        </w:rPr>
      </w:pPr>
      <w:r>
        <w:rPr>
          <w:rFonts w:hint="eastAsia" w:ascii="宋体" w:hAnsi="宋体" w:cs="宋体"/>
          <w:color w:val="000000"/>
          <w:highlight w:val="none"/>
          <w:lang w:bidi="ar"/>
        </w:rPr>
        <w:t xml:space="preserve">1. </w:t>
      </w:r>
      <w:r>
        <w:rPr>
          <w:rFonts w:hint="eastAsia" w:ascii="宋体" w:hAnsi="宋体" w:cs="宋体"/>
          <w:color w:val="000000"/>
          <w:highlight w:val="none"/>
          <w:u w:val="single"/>
          <w:lang w:bidi="ar"/>
        </w:rPr>
        <w:t xml:space="preserve">         （标的名称）</w:t>
      </w:r>
      <w:r>
        <w:rPr>
          <w:rFonts w:hint="eastAsia" w:ascii="宋体" w:hAnsi="宋体" w:cs="宋体"/>
          <w:color w:val="000000"/>
          <w:highlight w:val="none"/>
          <w:lang w:bidi="ar"/>
        </w:rPr>
        <w:t xml:space="preserve"> ，属于</w:t>
      </w:r>
      <w:r>
        <w:rPr>
          <w:rFonts w:hint="eastAsia" w:ascii="宋体" w:hAnsi="宋体" w:cs="宋体"/>
          <w:color w:val="000000"/>
          <w:highlight w:val="none"/>
          <w:u w:val="single"/>
          <w:lang w:bidi="ar"/>
        </w:rPr>
        <w:t xml:space="preserve">         （采购文件中明确的所属行业）</w:t>
      </w:r>
      <w:r>
        <w:rPr>
          <w:rFonts w:hint="eastAsia" w:ascii="宋体" w:hAnsi="宋体" w:cs="宋体"/>
          <w:color w:val="000000"/>
          <w:highlight w:val="none"/>
          <w:lang w:bidi="ar"/>
        </w:rPr>
        <w:t>；承建（承接）企业为</w:t>
      </w:r>
      <w:r>
        <w:rPr>
          <w:rFonts w:hint="eastAsia" w:ascii="宋体" w:hAnsi="宋体" w:cs="宋体"/>
          <w:color w:val="000000"/>
          <w:highlight w:val="none"/>
          <w:u w:val="single"/>
          <w:lang w:bidi="ar"/>
        </w:rPr>
        <w:t xml:space="preserve">         （企业名称</w:t>
      </w:r>
      <w:r>
        <w:rPr>
          <w:rFonts w:hint="eastAsia" w:ascii="宋体" w:hAnsi="宋体" w:cs="宋体"/>
          <w:color w:val="000000"/>
          <w:highlight w:val="none"/>
          <w:lang w:bidi="ar"/>
        </w:rPr>
        <w:t>），从业人员</w:t>
      </w:r>
      <w:r>
        <w:rPr>
          <w:rFonts w:hint="eastAsia" w:ascii="宋体" w:hAnsi="宋体" w:cs="宋体"/>
          <w:color w:val="000000"/>
          <w:highlight w:val="none"/>
          <w:u w:val="single"/>
          <w:lang w:bidi="ar"/>
        </w:rPr>
        <w:t xml:space="preserve">         </w:t>
      </w:r>
      <w:r>
        <w:rPr>
          <w:rFonts w:hint="eastAsia" w:ascii="宋体" w:hAnsi="宋体" w:cs="宋体"/>
          <w:color w:val="000000"/>
          <w:highlight w:val="none"/>
          <w:lang w:bidi="ar"/>
        </w:rPr>
        <w:t>人，营业收入为</w:t>
      </w:r>
      <w:r>
        <w:rPr>
          <w:rFonts w:hint="eastAsia" w:ascii="宋体" w:hAnsi="宋体" w:cs="宋体"/>
          <w:color w:val="000000"/>
          <w:highlight w:val="none"/>
          <w:u w:val="single"/>
          <w:lang w:bidi="ar"/>
        </w:rPr>
        <w:t xml:space="preserve">         </w:t>
      </w:r>
      <w:r>
        <w:rPr>
          <w:rFonts w:hint="eastAsia" w:ascii="宋体" w:hAnsi="宋体" w:cs="宋体"/>
          <w:color w:val="000000"/>
          <w:highlight w:val="none"/>
          <w:lang w:bidi="ar"/>
        </w:rPr>
        <w:t>万元，资产总额为</w:t>
      </w:r>
      <w:r>
        <w:rPr>
          <w:rFonts w:hint="eastAsia" w:ascii="宋体" w:hAnsi="宋体" w:cs="宋体"/>
          <w:color w:val="000000"/>
          <w:highlight w:val="none"/>
          <w:u w:val="single"/>
          <w:lang w:bidi="ar"/>
        </w:rPr>
        <w:t xml:space="preserve">         </w:t>
      </w:r>
      <w:r>
        <w:rPr>
          <w:rFonts w:hint="eastAsia" w:ascii="宋体" w:hAnsi="宋体" w:cs="宋体"/>
          <w:color w:val="000000"/>
          <w:highlight w:val="none"/>
          <w:lang w:bidi="ar"/>
        </w:rPr>
        <w:t>万元，属于</w:t>
      </w:r>
      <w:r>
        <w:rPr>
          <w:rFonts w:hint="eastAsia" w:ascii="宋体" w:hAnsi="宋体" w:cs="宋体"/>
          <w:color w:val="000000"/>
          <w:highlight w:val="none"/>
          <w:u w:val="single"/>
          <w:lang w:bidi="ar"/>
        </w:rPr>
        <w:t xml:space="preserve">         （中型企业、小型企业、微型企业）</w:t>
      </w:r>
      <w:r>
        <w:rPr>
          <w:rFonts w:hint="eastAsia" w:ascii="宋体" w:hAnsi="宋体" w:cs="宋体"/>
          <w:color w:val="000000"/>
          <w:highlight w:val="none"/>
          <w:lang w:bidi="ar"/>
        </w:rPr>
        <w:t xml:space="preserve">； </w:t>
      </w:r>
    </w:p>
    <w:p>
      <w:pPr>
        <w:spacing w:line="360" w:lineRule="auto"/>
        <w:ind w:firstLine="480" w:firstLineChars="200"/>
        <w:rPr>
          <w:rFonts w:ascii="宋体" w:hAnsi="宋体" w:cs="宋体"/>
          <w:highlight w:val="none"/>
        </w:rPr>
      </w:pPr>
      <w:r>
        <w:rPr>
          <w:rFonts w:hint="eastAsia" w:ascii="宋体" w:hAnsi="宋体" w:cs="宋体"/>
          <w:color w:val="000000"/>
          <w:highlight w:val="none"/>
          <w:lang w:bidi="ar"/>
        </w:rPr>
        <w:t xml:space="preserve">2. </w:t>
      </w:r>
      <w:r>
        <w:rPr>
          <w:rFonts w:hint="eastAsia" w:ascii="宋体" w:hAnsi="宋体" w:cs="宋体"/>
          <w:color w:val="000000"/>
          <w:highlight w:val="none"/>
          <w:u w:val="single"/>
          <w:lang w:bidi="ar"/>
        </w:rPr>
        <w:t xml:space="preserve">         （标的名称）</w:t>
      </w:r>
      <w:r>
        <w:rPr>
          <w:rFonts w:hint="eastAsia" w:ascii="宋体" w:hAnsi="宋体" w:cs="宋体"/>
          <w:color w:val="000000"/>
          <w:highlight w:val="none"/>
          <w:lang w:bidi="ar"/>
        </w:rPr>
        <w:t xml:space="preserve"> ，属于</w:t>
      </w:r>
      <w:r>
        <w:rPr>
          <w:rFonts w:hint="eastAsia" w:ascii="宋体" w:hAnsi="宋体" w:cs="宋体"/>
          <w:color w:val="000000"/>
          <w:highlight w:val="none"/>
          <w:u w:val="single"/>
          <w:lang w:bidi="ar"/>
        </w:rPr>
        <w:t xml:space="preserve">         </w:t>
      </w:r>
      <w:r>
        <w:rPr>
          <w:rFonts w:hint="eastAsia" w:ascii="宋体" w:hAnsi="宋体" w:cs="宋体"/>
          <w:color w:val="000000"/>
          <w:highlight w:val="none"/>
          <w:lang w:bidi="ar"/>
        </w:rPr>
        <w:t>（采购文件中明确的所属行业）；承建（承接）企业为</w:t>
      </w:r>
      <w:r>
        <w:rPr>
          <w:rFonts w:hint="eastAsia" w:ascii="宋体" w:hAnsi="宋体" w:cs="宋体"/>
          <w:color w:val="000000"/>
          <w:highlight w:val="none"/>
          <w:u w:val="single"/>
          <w:lang w:bidi="ar"/>
        </w:rPr>
        <w:t xml:space="preserve">         （企业名称）</w:t>
      </w:r>
      <w:r>
        <w:rPr>
          <w:rFonts w:hint="eastAsia" w:ascii="宋体" w:hAnsi="宋体" w:cs="宋体"/>
          <w:color w:val="000000"/>
          <w:highlight w:val="none"/>
          <w:lang w:bidi="ar"/>
        </w:rPr>
        <w:t>，从业人员</w:t>
      </w:r>
      <w:r>
        <w:rPr>
          <w:rFonts w:hint="eastAsia" w:ascii="宋体" w:hAnsi="宋体" w:cs="宋体"/>
          <w:color w:val="000000"/>
          <w:highlight w:val="none"/>
          <w:u w:val="single"/>
          <w:lang w:bidi="ar"/>
        </w:rPr>
        <w:t xml:space="preserve">         </w:t>
      </w:r>
      <w:r>
        <w:rPr>
          <w:rFonts w:hint="eastAsia" w:ascii="宋体" w:hAnsi="宋体" w:cs="宋体"/>
          <w:color w:val="000000"/>
          <w:highlight w:val="none"/>
          <w:lang w:bidi="ar"/>
        </w:rPr>
        <w:t>人，营业收入为</w:t>
      </w:r>
      <w:r>
        <w:rPr>
          <w:rFonts w:hint="eastAsia" w:ascii="宋体" w:hAnsi="宋体" w:cs="宋体"/>
          <w:color w:val="000000"/>
          <w:highlight w:val="none"/>
          <w:u w:val="single"/>
          <w:lang w:bidi="ar"/>
        </w:rPr>
        <w:t xml:space="preserve">         </w:t>
      </w:r>
      <w:r>
        <w:rPr>
          <w:rFonts w:hint="eastAsia" w:ascii="宋体" w:hAnsi="宋体" w:cs="宋体"/>
          <w:color w:val="000000"/>
          <w:highlight w:val="none"/>
          <w:lang w:bidi="ar"/>
        </w:rPr>
        <w:t>万元，资产总额为</w:t>
      </w:r>
      <w:r>
        <w:rPr>
          <w:rFonts w:hint="eastAsia" w:ascii="宋体" w:hAnsi="宋体" w:cs="宋体"/>
          <w:color w:val="000000"/>
          <w:highlight w:val="none"/>
          <w:u w:val="single"/>
          <w:lang w:bidi="ar"/>
        </w:rPr>
        <w:t xml:space="preserve">         </w:t>
      </w:r>
      <w:r>
        <w:rPr>
          <w:rFonts w:hint="eastAsia" w:ascii="宋体" w:hAnsi="宋体" w:cs="宋体"/>
          <w:color w:val="000000"/>
          <w:highlight w:val="none"/>
          <w:lang w:bidi="ar"/>
        </w:rPr>
        <w:t>万元，属于</w:t>
      </w:r>
      <w:r>
        <w:rPr>
          <w:rFonts w:hint="eastAsia" w:ascii="宋体" w:hAnsi="宋体" w:cs="宋体"/>
          <w:color w:val="000000"/>
          <w:highlight w:val="none"/>
          <w:u w:val="single"/>
          <w:lang w:bidi="ar"/>
        </w:rPr>
        <w:t xml:space="preserve">         （中型企业、小型企业、微型企业</w:t>
      </w:r>
      <w:r>
        <w:rPr>
          <w:rFonts w:hint="eastAsia" w:ascii="宋体" w:hAnsi="宋体" w:cs="宋体"/>
          <w:color w:val="000000"/>
          <w:highlight w:val="none"/>
          <w:lang w:bidi="ar"/>
        </w:rPr>
        <w:t xml:space="preserve">）； </w:t>
      </w:r>
    </w:p>
    <w:p>
      <w:pPr>
        <w:spacing w:line="360" w:lineRule="auto"/>
        <w:ind w:firstLine="480" w:firstLineChars="200"/>
        <w:rPr>
          <w:rFonts w:ascii="宋体" w:hAnsi="宋体" w:cs="宋体"/>
          <w:highlight w:val="none"/>
        </w:rPr>
      </w:pPr>
      <w:r>
        <w:rPr>
          <w:rFonts w:hint="eastAsia" w:ascii="宋体" w:hAnsi="宋体" w:cs="宋体"/>
          <w:color w:val="000000"/>
          <w:highlight w:val="none"/>
          <w:lang w:bidi="ar"/>
        </w:rPr>
        <w:t>……</w:t>
      </w:r>
    </w:p>
    <w:p>
      <w:pPr>
        <w:spacing w:line="360" w:lineRule="auto"/>
        <w:ind w:firstLine="480" w:firstLineChars="200"/>
        <w:rPr>
          <w:rFonts w:ascii="宋体" w:hAnsi="宋体" w:cs="宋体"/>
          <w:highlight w:val="none"/>
        </w:rPr>
      </w:pPr>
      <w:r>
        <w:rPr>
          <w:rFonts w:hint="eastAsia" w:ascii="宋体" w:hAnsi="宋体" w:cs="宋体"/>
          <w:color w:val="000000"/>
          <w:highlight w:val="none"/>
          <w:lang w:bidi="ar"/>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highlight w:val="none"/>
        </w:rPr>
      </w:pPr>
      <w:r>
        <w:rPr>
          <w:rFonts w:hint="eastAsia" w:ascii="宋体" w:hAnsi="宋体" w:cs="宋体"/>
          <w:color w:val="000000"/>
          <w:highlight w:val="none"/>
          <w:lang w:bidi="ar"/>
        </w:rPr>
        <w:t xml:space="preserve">本企业对上述声明内容的真实性负责。如有虚假，将依法承担相应责任。 </w:t>
      </w:r>
    </w:p>
    <w:p>
      <w:pPr>
        <w:spacing w:line="360" w:lineRule="auto"/>
        <w:jc w:val="center"/>
        <w:rPr>
          <w:rFonts w:ascii="宋体" w:hAnsi="宋体" w:cs="宋体"/>
          <w:color w:val="000000"/>
          <w:highlight w:val="none"/>
          <w:lang w:bidi="ar"/>
        </w:rPr>
      </w:pPr>
    </w:p>
    <w:p>
      <w:pPr>
        <w:spacing w:line="360" w:lineRule="auto"/>
        <w:jc w:val="center"/>
        <w:rPr>
          <w:rFonts w:ascii="宋体" w:hAnsi="宋体" w:cs="宋体"/>
          <w:highlight w:val="none"/>
        </w:rPr>
      </w:pPr>
      <w:r>
        <w:rPr>
          <w:rFonts w:hint="eastAsia" w:ascii="宋体" w:hAnsi="宋体" w:cs="宋体"/>
          <w:color w:val="000000"/>
          <w:highlight w:val="none"/>
          <w:lang w:bidi="ar"/>
        </w:rPr>
        <w:t xml:space="preserve">企业名称（盖章）： </w:t>
      </w:r>
    </w:p>
    <w:p>
      <w:pPr>
        <w:spacing w:line="360" w:lineRule="auto"/>
        <w:ind w:firstLine="3600" w:firstLineChars="1500"/>
        <w:jc w:val="both"/>
        <w:rPr>
          <w:rFonts w:ascii="宋体" w:hAnsi="宋体" w:cs="宋体"/>
          <w:highlight w:val="none"/>
        </w:rPr>
      </w:pPr>
      <w:r>
        <w:rPr>
          <w:rFonts w:hint="eastAsia" w:ascii="宋体" w:hAnsi="宋体" w:cs="宋体"/>
          <w:color w:val="000000"/>
          <w:highlight w:val="none"/>
          <w:lang w:bidi="ar"/>
        </w:rPr>
        <w:t xml:space="preserve">日 期： </w:t>
      </w:r>
    </w:p>
    <w:p>
      <w:pPr>
        <w:spacing w:line="360" w:lineRule="auto"/>
        <w:ind w:firstLine="482" w:firstLineChars="200"/>
        <w:rPr>
          <w:rFonts w:ascii="宋体" w:hAnsi="宋体" w:cs="宋体"/>
          <w:b/>
          <w:bCs/>
          <w:highlight w:val="none"/>
        </w:rPr>
      </w:pPr>
      <w:r>
        <w:rPr>
          <w:rFonts w:hint="eastAsia" w:ascii="宋体" w:hAnsi="宋体" w:cs="宋体"/>
          <w:b/>
          <w:bCs/>
          <w:color w:val="000000"/>
          <w:highlight w:val="none"/>
          <w:lang w:bidi="ar"/>
        </w:rPr>
        <w:t>从业人员、营业收入、资产总额填报上一年度数据，无上一年度数据的新成立企业可不填报。</w:t>
      </w:r>
    </w:p>
    <w:p>
      <w:pPr>
        <w:pStyle w:val="20"/>
        <w:widowControl w:val="0"/>
        <w:spacing w:line="360" w:lineRule="auto"/>
        <w:ind w:firstLine="482" w:firstLineChars="200"/>
        <w:rPr>
          <w:rFonts w:ascii="宋体" w:hAnsi="宋体" w:cs="宋体"/>
          <w:b/>
          <w:bCs/>
          <w:color w:val="000000"/>
          <w:highlight w:val="none"/>
          <w:lang w:bidi="ar"/>
        </w:rPr>
      </w:pPr>
      <w:r>
        <w:rPr>
          <w:rFonts w:hint="eastAsia" w:ascii="宋体" w:hAnsi="宋体" w:cs="宋体"/>
          <w:b/>
          <w:bCs/>
          <w:color w:val="000000"/>
          <w:highlight w:val="none"/>
          <w:lang w:bidi="ar"/>
        </w:rPr>
        <w:t>说明： 供应商为监狱企业的，提供由省级以上监狱管理局、戒毒管理局（含新疆生产建设兵团）出具的供应商属于监狱企业的证明文件复印件。监狱企业视同小型、微型企业。如提供虚假中小企业声明函的，则采购人有权取消参加磋商、成交资格，有权终止合同，并报政府采购监管部门。</w:t>
      </w:r>
    </w:p>
    <w:p>
      <w:pPr>
        <w:pStyle w:val="20"/>
        <w:widowControl w:val="0"/>
        <w:spacing w:line="360" w:lineRule="auto"/>
        <w:ind w:firstLine="482" w:firstLineChars="200"/>
        <w:rPr>
          <w:rFonts w:ascii="宋体" w:hAnsi="宋体" w:cs="宋体"/>
          <w:b/>
          <w:bCs/>
          <w:color w:val="000000"/>
          <w:highlight w:val="none"/>
          <w:lang w:bidi="ar"/>
        </w:rPr>
      </w:pPr>
      <w:r>
        <w:rPr>
          <w:rFonts w:hint="eastAsia" w:ascii="宋体" w:hAnsi="宋体" w:cs="宋体"/>
          <w:b/>
          <w:bCs/>
          <w:color w:val="000000"/>
          <w:highlight w:val="none"/>
          <w:lang w:bidi="ar"/>
        </w:rPr>
        <w:t>本项目采购标的对应的中小企业划分标准所属行业为：其他未列明行业。[依据国务院批准的中小企业划分标准（工信部联企业〔2011〕300号）：从业人员300人以下的为中小微型企业。其中，从业人员100人及以上的为中型企业；从业人员10人及以上的为小型企业；从业人员10人以下的为微型企业。]</w:t>
      </w:r>
    </w:p>
    <w:p>
      <w:pPr>
        <w:spacing w:line="360" w:lineRule="auto"/>
        <w:ind w:firstLine="480" w:firstLineChars="200"/>
        <w:rPr>
          <w:highlight w:val="none"/>
        </w:rPr>
        <w:sectPr>
          <w:pgSz w:w="11906" w:h="16838"/>
          <w:pgMar w:top="1440" w:right="1274" w:bottom="1440" w:left="1418" w:header="851" w:footer="992" w:gutter="0"/>
          <w:cols w:space="720" w:num="1"/>
          <w:docGrid w:type="lines" w:linePitch="312" w:charSpace="0"/>
        </w:sectPr>
      </w:pPr>
    </w:p>
    <w:p>
      <w:pPr>
        <w:pStyle w:val="5"/>
        <w:ind w:firstLine="482"/>
        <w:rPr>
          <w:color w:val="auto"/>
          <w:highlight w:val="none"/>
        </w:rPr>
      </w:pPr>
      <w:r>
        <w:rPr>
          <w:rFonts w:hint="eastAsia"/>
          <w:color w:val="auto"/>
          <w:highlight w:val="none"/>
        </w:rPr>
        <w:t>残疾人福利性单位</w:t>
      </w:r>
      <w:r>
        <w:rPr>
          <w:rFonts w:hint="eastAsia" w:cs="宋体"/>
          <w:color w:val="auto"/>
          <w:highlight w:val="none"/>
        </w:rPr>
        <w:t>声明函</w:t>
      </w:r>
    </w:p>
    <w:p>
      <w:pPr>
        <w:spacing w:line="360" w:lineRule="auto"/>
        <w:ind w:firstLine="482" w:firstLineChars="200"/>
        <w:jc w:val="center"/>
        <w:rPr>
          <w:rFonts w:ascii="宋体" w:hAnsi="宋体" w:cs="宋体"/>
          <w:b/>
          <w:highlight w:val="none"/>
        </w:rPr>
      </w:pPr>
      <w:r>
        <w:rPr>
          <w:rFonts w:hint="eastAsia" w:ascii="宋体" w:hAnsi="宋体" w:cs="宋体"/>
          <w:b/>
          <w:highlight w:val="none"/>
        </w:rPr>
        <w:t>残疾人福利性单位声明函</w:t>
      </w:r>
    </w:p>
    <w:p>
      <w:pPr>
        <w:pStyle w:val="20"/>
        <w:rPr>
          <w:highlight w:val="none"/>
        </w:rPr>
      </w:pPr>
    </w:p>
    <w:p>
      <w:pPr>
        <w:spacing w:line="360" w:lineRule="auto"/>
        <w:ind w:firstLine="504" w:firstLineChars="200"/>
        <w:rPr>
          <w:rFonts w:ascii="宋体" w:hAnsi="宋体" w:cs="宋体"/>
          <w:spacing w:val="6"/>
          <w:highlight w:val="none"/>
        </w:rPr>
      </w:pPr>
      <w:r>
        <w:rPr>
          <w:rFonts w:hint="eastAsia" w:ascii="宋体" w:hAnsi="宋体" w:cs="宋体"/>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spacing w:val="6"/>
          <w:highlight w:val="none"/>
          <w:u w:val="single"/>
        </w:rPr>
        <w:t xml:space="preserve">         </w:t>
      </w:r>
      <w:r>
        <w:rPr>
          <w:rFonts w:hint="eastAsia" w:ascii="宋体" w:hAnsi="宋体" w:cs="宋体"/>
          <w:spacing w:val="6"/>
          <w:highlight w:val="none"/>
        </w:rPr>
        <w:t>单位的</w:t>
      </w:r>
      <w:r>
        <w:rPr>
          <w:rFonts w:hint="eastAsia" w:ascii="宋体" w:hAnsi="宋体" w:cs="宋体"/>
          <w:spacing w:val="6"/>
          <w:highlight w:val="none"/>
          <w:u w:val="single"/>
        </w:rPr>
        <w:t xml:space="preserve">         </w:t>
      </w:r>
      <w:r>
        <w:rPr>
          <w:rFonts w:hint="eastAsia" w:ascii="宋体" w:hAnsi="宋体" w:cs="宋体"/>
          <w:spacing w:val="6"/>
          <w:highlight w:val="none"/>
        </w:rPr>
        <w:t>项目采购活动提供</w:t>
      </w:r>
      <w:r>
        <w:rPr>
          <w:rFonts w:hint="eastAsia" w:ascii="宋体" w:hAnsi="宋体" w:cs="宋体"/>
          <w:spacing w:val="6"/>
          <w:highlight w:val="none"/>
          <w:u w:val="single"/>
        </w:rPr>
        <w:t xml:space="preserve">                  </w:t>
      </w:r>
      <w:r>
        <w:rPr>
          <w:rFonts w:hint="eastAsia" w:ascii="宋体" w:hAnsi="宋体" w:cs="宋体"/>
          <w:spacing w:val="6"/>
          <w:highlight w:val="none"/>
        </w:rPr>
        <w:t>（请填写：本单位或XX单位）制造的货物，该单位为符合条件的残疾人福利性单位，不包括使用非残疾人福利性单位注册商标的货物。</w:t>
      </w:r>
    </w:p>
    <w:p>
      <w:pPr>
        <w:spacing w:line="360" w:lineRule="auto"/>
        <w:ind w:firstLine="504" w:firstLineChars="200"/>
        <w:rPr>
          <w:rFonts w:ascii="宋体" w:hAnsi="宋体" w:cs="宋体"/>
          <w:spacing w:val="6"/>
          <w:highlight w:val="none"/>
        </w:rPr>
      </w:pPr>
      <w:r>
        <w:rPr>
          <w:rFonts w:hint="eastAsia" w:ascii="宋体" w:hAnsi="宋体" w:cs="宋体"/>
          <w:spacing w:val="6"/>
          <w:highlight w:val="none"/>
        </w:rPr>
        <w:t>本单位对上述声明的真实性负责。如有虚假，将依法承担相应责任。</w:t>
      </w:r>
    </w:p>
    <w:p>
      <w:pPr>
        <w:spacing w:line="360" w:lineRule="auto"/>
        <w:ind w:firstLine="504" w:firstLineChars="200"/>
        <w:rPr>
          <w:rFonts w:ascii="宋体" w:hAnsi="宋体" w:cs="宋体"/>
          <w:spacing w:val="6"/>
          <w:highlight w:val="none"/>
        </w:rPr>
      </w:pPr>
    </w:p>
    <w:p>
      <w:pPr>
        <w:spacing w:line="360" w:lineRule="auto"/>
        <w:ind w:firstLine="504" w:firstLineChars="200"/>
        <w:rPr>
          <w:rFonts w:ascii="宋体" w:hAnsi="宋体" w:cs="宋体"/>
          <w:spacing w:val="6"/>
          <w:highlight w:val="none"/>
        </w:rPr>
      </w:pPr>
    </w:p>
    <w:p>
      <w:pPr>
        <w:spacing w:line="360" w:lineRule="auto"/>
        <w:ind w:firstLine="504" w:firstLineChars="200"/>
        <w:rPr>
          <w:rFonts w:ascii="宋体" w:hAnsi="宋体" w:cs="宋体"/>
          <w:spacing w:val="6"/>
          <w:highlight w:val="none"/>
        </w:rPr>
      </w:pPr>
    </w:p>
    <w:p>
      <w:pPr>
        <w:spacing w:line="360" w:lineRule="auto"/>
        <w:ind w:firstLine="504" w:firstLineChars="200"/>
        <w:rPr>
          <w:rFonts w:ascii="宋体" w:hAnsi="宋体" w:cs="宋体"/>
          <w:spacing w:val="6"/>
          <w:highlight w:val="none"/>
        </w:rPr>
      </w:pPr>
    </w:p>
    <w:p>
      <w:pPr>
        <w:spacing w:line="360" w:lineRule="auto"/>
        <w:ind w:firstLine="504" w:firstLineChars="200"/>
        <w:rPr>
          <w:rFonts w:ascii="宋体" w:hAnsi="宋体" w:cs="宋体"/>
          <w:spacing w:val="6"/>
          <w:highlight w:val="none"/>
        </w:rPr>
      </w:pPr>
    </w:p>
    <w:p>
      <w:pPr>
        <w:spacing w:line="360" w:lineRule="auto"/>
        <w:ind w:firstLine="504" w:firstLineChars="200"/>
        <w:rPr>
          <w:rFonts w:ascii="宋体" w:hAnsi="宋体" w:cs="宋体"/>
          <w:spacing w:val="6"/>
          <w:highlight w:val="none"/>
        </w:rPr>
      </w:pPr>
    </w:p>
    <w:p>
      <w:pPr>
        <w:tabs>
          <w:tab w:val="left" w:pos="3969"/>
        </w:tabs>
        <w:spacing w:line="360" w:lineRule="auto"/>
        <w:ind w:right="-58" w:firstLine="504" w:firstLineChars="200"/>
        <w:rPr>
          <w:rFonts w:ascii="宋体" w:hAnsi="宋体" w:cs="宋体"/>
          <w:spacing w:val="6"/>
          <w:highlight w:val="none"/>
        </w:rPr>
      </w:pPr>
      <w:r>
        <w:rPr>
          <w:rFonts w:hint="eastAsia" w:ascii="宋体" w:hAnsi="宋体" w:cs="宋体"/>
          <w:spacing w:val="6"/>
          <w:highlight w:val="none"/>
        </w:rPr>
        <w:t>供应商名称：</w:t>
      </w:r>
      <w:r>
        <w:rPr>
          <w:rFonts w:hint="eastAsia" w:ascii="宋体" w:hAnsi="宋体" w:cs="宋体"/>
          <w:spacing w:val="6"/>
          <w:highlight w:val="none"/>
          <w:u w:val="single"/>
        </w:rPr>
        <w:t xml:space="preserve">            </w:t>
      </w:r>
      <w:r>
        <w:rPr>
          <w:rFonts w:hint="eastAsia" w:ascii="宋体" w:hAnsi="宋体" w:cs="宋体"/>
          <w:spacing w:val="6"/>
          <w:highlight w:val="none"/>
        </w:rPr>
        <w:t>（加盖单位公章）</w:t>
      </w:r>
    </w:p>
    <w:p>
      <w:pPr>
        <w:spacing w:line="360" w:lineRule="auto"/>
        <w:ind w:right="560" w:firstLine="480" w:firstLineChars="200"/>
        <w:rPr>
          <w:rFonts w:ascii="宋体" w:hAnsi="宋体"/>
          <w:highlight w:val="none"/>
        </w:rPr>
      </w:pPr>
      <w:r>
        <w:rPr>
          <w:rFonts w:hint="eastAsia" w:ascii="宋体" w:hAnsi="宋体"/>
          <w:highlight w:val="none"/>
        </w:rPr>
        <w:t>日期：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tabs>
          <w:tab w:val="left" w:pos="3969"/>
        </w:tabs>
        <w:spacing w:line="360" w:lineRule="auto"/>
        <w:ind w:right="-58" w:firstLine="504" w:firstLineChars="200"/>
        <w:rPr>
          <w:rFonts w:ascii="宋体" w:hAnsi="宋体" w:cs="宋体"/>
          <w:spacing w:val="6"/>
          <w:highlight w:val="none"/>
        </w:rPr>
      </w:pPr>
    </w:p>
    <w:p>
      <w:pPr>
        <w:spacing w:line="520" w:lineRule="exact"/>
        <w:ind w:firstLine="561"/>
        <w:jc w:val="both"/>
        <w:rPr>
          <w:rFonts w:ascii="宋体" w:hAnsi="宋体"/>
          <w:b/>
          <w:spacing w:val="6"/>
          <w:highlight w:val="none"/>
        </w:rPr>
      </w:pPr>
      <w:r>
        <w:rPr>
          <w:rFonts w:hint="eastAsia" w:ascii="宋体" w:hAnsi="宋体"/>
          <w:b/>
          <w:spacing w:val="6"/>
          <w:highlight w:val="none"/>
        </w:rPr>
        <w:t>说明：非残疾人福利性单位不提供此声明函。成交供应商为残疾人福利性单位的，采购人或者其委托的采购代理机构应当随成交结果同时公告其《残疾人福利性单位声明函》，接受社会监督。供应商提供的《残疾人福利性单位声明函》与事实不符的，依照《中华人民共和国政府采购法》第七十七条第一款的规定追究法律责任。</w:t>
      </w:r>
    </w:p>
    <w:p/>
    <w:p>
      <w:pPr>
        <w:pStyle w:val="20"/>
      </w:pPr>
    </w:p>
    <w:p>
      <w:pPr>
        <w:pStyle w:val="25"/>
      </w:pPr>
    </w:p>
    <w:p>
      <w:pPr>
        <w:pStyle w:val="25"/>
      </w:pPr>
    </w:p>
    <w:p>
      <w:pPr>
        <w:pStyle w:val="25"/>
      </w:pPr>
    </w:p>
    <w:p>
      <w:pPr>
        <w:pStyle w:val="25"/>
      </w:pPr>
    </w:p>
    <w:p>
      <w:pPr>
        <w:pStyle w:val="25"/>
      </w:pPr>
    </w:p>
    <w:p>
      <w:pPr>
        <w:pStyle w:val="5"/>
        <w:ind w:left="18" w:leftChars="0" w:hanging="18" w:firstLineChars="0"/>
        <w:rPr>
          <w:rFonts w:cs="宋体"/>
          <w:color w:val="auto"/>
          <w:szCs w:val="24"/>
          <w:highlight w:val="none"/>
        </w:rPr>
      </w:pPr>
      <w:r>
        <w:rPr>
          <w:rFonts w:hint="eastAsia" w:cs="宋体"/>
          <w:color w:val="auto"/>
          <w:szCs w:val="24"/>
          <w:highlight w:val="none"/>
          <w:lang w:val="en-US" w:eastAsia="zh-CN"/>
        </w:rPr>
        <w:t>监狱企业证明材料</w:t>
      </w:r>
    </w:p>
    <w:p>
      <w:pPr>
        <w:rPr>
          <w:rFonts w:hint="eastAsia" w:cs="宋体"/>
          <w:color w:val="auto"/>
          <w:szCs w:val="24"/>
          <w:highlight w:val="none"/>
          <w:lang w:val="en-US" w:eastAsia="zh-CN"/>
        </w:rPr>
      </w:pPr>
    </w:p>
    <w:p>
      <w:pPr>
        <w:pageBreakBefore w:val="0"/>
        <w:kinsoku/>
        <w:wordWrap/>
        <w:overflowPunct/>
        <w:topLinePunct w:val="0"/>
        <w:autoSpaceDE/>
        <w:autoSpaceDN/>
        <w:bidi w:val="0"/>
        <w:adjustRightInd/>
        <w:snapToGrid/>
        <w:spacing w:line="360" w:lineRule="auto"/>
        <w:ind w:firstLine="504"/>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加政府采购活动的监狱企业应当提供省级以上监狱管理局、戒毒管理局（含新疆生产建设兵团）出具的属于监狱企业的证明文件复印件加盖</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公章。</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非监狱企业不提供。</w:t>
      </w:r>
    </w:p>
    <w:p>
      <w:pPr>
        <w:pStyle w:val="20"/>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25"/>
        <w:rPr>
          <w:rFonts w:hint="eastAsia" w:cs="宋体"/>
          <w:color w:val="auto"/>
          <w:szCs w:val="24"/>
          <w:highlight w:val="none"/>
          <w:lang w:val="en-US" w:eastAsia="zh-CN"/>
        </w:rPr>
      </w:pPr>
    </w:p>
    <w:p>
      <w:pPr>
        <w:pStyle w:val="5"/>
        <w:ind w:left="18" w:leftChars="0" w:hanging="18" w:firstLineChars="0"/>
        <w:rPr>
          <w:rFonts w:cs="宋体"/>
          <w:color w:val="auto"/>
          <w:szCs w:val="24"/>
          <w:highlight w:val="none"/>
        </w:rPr>
      </w:pPr>
      <w:r>
        <w:rPr>
          <w:rFonts w:hint="eastAsia"/>
          <w:color w:val="auto"/>
          <w:highlight w:val="none"/>
        </w:rPr>
        <w:t>磋商供应商认为需要提供的文件和资料</w:t>
      </w:r>
    </w:p>
    <w:p>
      <w:pPr>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b/>
          <w:bCs/>
          <w:color w:val="auto"/>
          <w:highlight w:val="none"/>
        </w:rPr>
      </w:pPr>
    </w:p>
    <w:p>
      <w:pPr>
        <w:pStyle w:val="20"/>
        <w:rPr>
          <w:b/>
          <w:bCs/>
          <w:color w:val="auto"/>
          <w:highlight w:val="none"/>
        </w:rPr>
      </w:pPr>
      <w:r>
        <w:rPr>
          <w:rFonts w:hint="eastAsia"/>
          <w:b/>
          <w:bCs/>
          <w:color w:val="auto"/>
          <w:highlight w:val="none"/>
        </w:rPr>
        <w:t>注：如供应商没有认为需要提供的文件和资料可不提供。</w:t>
      </w:r>
    </w:p>
    <w:p>
      <w:pPr>
        <w:pStyle w:val="20"/>
        <w:rPr>
          <w:color w:val="auto"/>
          <w:highlight w:val="none"/>
        </w:rPr>
      </w:pPr>
    </w:p>
    <w:p>
      <w:pPr>
        <w:pStyle w:val="20"/>
        <w:rPr>
          <w:color w:val="auto"/>
          <w:highlight w:val="none"/>
        </w:rPr>
      </w:pPr>
    </w:p>
    <w:p>
      <w:pPr>
        <w:rPr>
          <w:color w:val="auto"/>
          <w:highlight w:val="none"/>
        </w:rPr>
      </w:pPr>
      <w:r>
        <w:rPr>
          <w:rFonts w:hint="eastAsia"/>
          <w:color w:val="auto"/>
          <w:highlight w:val="none"/>
        </w:rPr>
        <w:br w:type="page"/>
      </w:r>
    </w:p>
    <w:p>
      <w:pPr>
        <w:pStyle w:val="4"/>
        <w:rPr>
          <w:color w:val="auto"/>
          <w:highlight w:val="none"/>
        </w:rPr>
      </w:pPr>
      <w:bookmarkStart w:id="437" w:name="_Toc25879"/>
      <w:r>
        <w:rPr>
          <w:rFonts w:hint="eastAsia"/>
          <w:color w:val="auto"/>
          <w:highlight w:val="none"/>
        </w:rPr>
        <w:t>最后报价（格式）</w:t>
      </w:r>
      <w:bookmarkEnd w:id="437"/>
    </w:p>
    <w:p>
      <w:pPr>
        <w:snapToGrid w:val="0"/>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项目名称：</w:t>
      </w:r>
      <w:r>
        <w:rPr>
          <w:rFonts w:hint="eastAsia" w:ascii="宋体" w:hAnsi="宋体"/>
          <w:b/>
          <w:color w:val="auto"/>
          <w:highlight w:val="none"/>
          <w:u w:val="single"/>
          <w:lang w:eastAsia="zh-CN"/>
        </w:rPr>
        <w:t>成都市公安局龙泉驿区分局200个天网点位升级改造租赁服务采购项目</w:t>
      </w:r>
    </w:p>
    <w:p>
      <w:pPr>
        <w:snapToGrid w:val="0"/>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510112202200016</w:t>
      </w:r>
    </w:p>
    <w:p>
      <w:pPr>
        <w:pStyle w:val="20"/>
        <w:rPr>
          <w:rFonts w:hint="eastAsia"/>
          <w:lang w:eastAsia="zh-CN"/>
        </w:rPr>
      </w:pPr>
    </w:p>
    <w:tbl>
      <w:tblPr>
        <w:tblStyle w:val="44"/>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4347"/>
        <w:gridCol w:w="2761"/>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rPr>
            </w:pPr>
            <w:r>
              <w:rPr>
                <w:rFonts w:hint="eastAsia" w:ascii="宋体" w:hAnsi="宋体" w:eastAsia="宋体" w:cs="宋体"/>
                <w:b/>
                <w:kern w:val="2"/>
                <w:sz w:val="24"/>
                <w:szCs w:val="24"/>
                <w:lang w:val="en-US"/>
              </w:rPr>
              <w:t>序号</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rPr>
            </w:pPr>
            <w:r>
              <w:rPr>
                <w:rFonts w:hint="eastAsia" w:ascii="宋体" w:hAnsi="宋体" w:eastAsia="宋体" w:cs="宋体"/>
                <w:b/>
                <w:kern w:val="2"/>
                <w:sz w:val="24"/>
                <w:szCs w:val="24"/>
                <w:lang w:val="en-US"/>
              </w:rPr>
              <w:t>名称</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eastAsia="zh-CN"/>
              </w:rPr>
            </w:pPr>
            <w:r>
              <w:rPr>
                <w:rFonts w:hint="eastAsia" w:ascii="宋体" w:hAnsi="宋体" w:cs="宋体"/>
                <w:b/>
                <w:kern w:val="2"/>
                <w:sz w:val="24"/>
                <w:szCs w:val="24"/>
                <w:lang w:val="en-US" w:eastAsia="zh-CN"/>
              </w:rPr>
              <w:t>报价（元/年）</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exact"/>
          <w:jc w:val="center"/>
        </w:trPr>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eastAsia="zh-CN"/>
              </w:rPr>
            </w:pPr>
            <w:r>
              <w:rPr>
                <w:rFonts w:hint="eastAsia" w:ascii="宋体" w:hAnsi="宋体" w:cs="宋体"/>
                <w:b/>
                <w:kern w:val="2"/>
                <w:sz w:val="24"/>
                <w:szCs w:val="24"/>
                <w:lang w:val="en-US" w:eastAsia="zh-CN"/>
              </w:rPr>
              <w:t>成都市公安局龙泉驿区分局200个天网点位升级改造租赁服务采购项目</w:t>
            </w:r>
          </w:p>
        </w:tc>
        <w:tc>
          <w:tcPr>
            <w:tcW w:w="2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
                <w:kern w:val="2"/>
                <w:sz w:val="24"/>
                <w:szCs w:val="24"/>
                <w:lang w:val="en-US"/>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exact"/>
          <w:jc w:val="center"/>
        </w:trPr>
        <w:tc>
          <w:tcPr>
            <w:tcW w:w="54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宋体" w:hAnsi="宋体" w:eastAsia="宋体" w:cs="宋体"/>
                <w:b/>
                <w:kern w:val="2"/>
                <w:sz w:val="24"/>
                <w:szCs w:val="24"/>
                <w:lang w:val="en-US"/>
              </w:rPr>
            </w:pPr>
            <w:r>
              <w:rPr>
                <w:rFonts w:hint="eastAsia" w:ascii="宋体" w:hAnsi="宋体" w:cs="宋体"/>
                <w:b/>
                <w:sz w:val="24"/>
                <w:szCs w:val="24"/>
                <w:lang w:val="en-US" w:eastAsia="zh-CN"/>
              </w:rPr>
              <w:t>最后</w:t>
            </w:r>
            <w:r>
              <w:rPr>
                <w:rFonts w:hint="eastAsia" w:ascii="宋体" w:hAnsi="宋体" w:eastAsia="宋体" w:cs="宋体"/>
                <w:b/>
                <w:sz w:val="24"/>
                <w:szCs w:val="24"/>
                <w:lang w:val="en-US" w:eastAsia="zh-CN"/>
              </w:rPr>
              <w:t>报价</w:t>
            </w:r>
            <w:r>
              <w:rPr>
                <w:rFonts w:hint="eastAsia" w:ascii="宋体" w:hAnsi="宋体" w:eastAsia="宋体" w:cs="宋体"/>
                <w:b/>
                <w:sz w:val="24"/>
                <w:szCs w:val="24"/>
                <w:lang w:val="en-US"/>
              </w:rPr>
              <w:t>（</w:t>
            </w:r>
            <w:r>
              <w:rPr>
                <w:rFonts w:hint="eastAsia" w:ascii="宋体" w:hAnsi="宋体" w:eastAsia="宋体" w:cs="宋体"/>
                <w:b/>
                <w:sz w:val="24"/>
                <w:szCs w:val="24"/>
                <w:lang w:val="en-US" w:eastAsia="zh-CN"/>
              </w:rPr>
              <w:t>总价合计</w:t>
            </w:r>
            <w:r>
              <w:rPr>
                <w:rFonts w:hint="eastAsia" w:ascii="宋体" w:hAnsi="宋体" w:eastAsia="宋体" w:cs="宋体"/>
                <w:b/>
                <w:sz w:val="24"/>
                <w:szCs w:val="24"/>
                <w:lang w:val="en-US"/>
              </w:rPr>
              <w:t>）</w:t>
            </w:r>
          </w:p>
        </w:tc>
        <w:tc>
          <w:tcPr>
            <w:tcW w:w="4158"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right="420" w:firstLine="0" w:firstLineChars="0"/>
              <w:jc w:val="left"/>
              <w:textAlignment w:val="auto"/>
              <w:outlineLvl w:val="9"/>
              <w:rPr>
                <w:rFonts w:hint="eastAsia" w:ascii="宋体" w:hAnsi="宋体" w:eastAsia="宋体" w:cs="宋体"/>
                <w:b/>
                <w:sz w:val="24"/>
                <w:szCs w:val="24"/>
                <w:lang w:val="en-US"/>
              </w:rPr>
            </w:pPr>
            <w:r>
              <w:rPr>
                <w:rFonts w:hint="eastAsia" w:ascii="宋体" w:hAnsi="宋体" w:eastAsia="宋体" w:cs="宋体"/>
                <w:b/>
                <w:sz w:val="24"/>
                <w:szCs w:val="24"/>
                <w:lang w:val="en-US"/>
              </w:rPr>
              <w:t>大写：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
                <w:kern w:val="2"/>
                <w:sz w:val="24"/>
                <w:szCs w:val="24"/>
                <w:lang w:val="en-US"/>
              </w:rPr>
            </w:pPr>
            <w:r>
              <w:rPr>
                <w:rFonts w:hint="eastAsia" w:ascii="宋体" w:hAnsi="宋体" w:eastAsia="宋体" w:cs="宋体"/>
                <w:b/>
                <w:sz w:val="24"/>
                <w:szCs w:val="24"/>
                <w:lang w:val="en-US"/>
              </w:rPr>
              <w:t>小写：</w:t>
            </w:r>
          </w:p>
        </w:tc>
      </w:tr>
    </w:tbl>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70"/>
        <w:ind w:left="0" w:leftChars="0" w:firstLine="0" w:firstLineChars="0"/>
        <w:jc w:val="left"/>
        <w:rPr>
          <w:rFonts w:ascii="宋体" w:hAnsi="宋体"/>
          <w:b/>
          <w:sz w:val="28"/>
        </w:rPr>
      </w:pPr>
      <w:r>
        <w:rPr>
          <w:rFonts w:hint="eastAsia" w:ascii="宋体" w:hAnsi="宋体" w:cs="宋体"/>
          <w:b/>
          <w:color w:val="auto"/>
          <w:sz w:val="24"/>
          <w:szCs w:val="24"/>
          <w:highlight w:val="none"/>
          <w:lang w:val="en-US" w:eastAsia="zh-CN"/>
        </w:rPr>
        <w:t>说明：</w:t>
      </w:r>
      <w:r>
        <w:rPr>
          <w:rFonts w:hint="eastAsia" w:ascii="宋体" w:hAnsi="宋体"/>
          <w:b/>
          <w:sz w:val="24"/>
          <w:szCs w:val="24"/>
        </w:rPr>
        <w:t>供应商可不在响应文件中填写并提供此表。此表为磋商结束后，由供应商按磋商</w:t>
      </w:r>
      <w:r>
        <w:rPr>
          <w:rFonts w:ascii="宋体" w:hAnsi="宋体"/>
          <w:b/>
          <w:sz w:val="24"/>
          <w:szCs w:val="24"/>
        </w:rPr>
        <w:t>小组的要求</w:t>
      </w:r>
      <w:r>
        <w:rPr>
          <w:rFonts w:hint="eastAsia" w:ascii="宋体" w:hAnsi="宋体"/>
          <w:b/>
          <w:sz w:val="24"/>
          <w:szCs w:val="24"/>
        </w:rPr>
        <w:t>在最后报价环节以附件形式在</w:t>
      </w:r>
      <w:r>
        <w:rPr>
          <w:rFonts w:ascii="宋体" w:hAnsi="宋体"/>
          <w:b/>
          <w:sz w:val="24"/>
          <w:szCs w:val="24"/>
        </w:rPr>
        <w:t>系统中</w:t>
      </w:r>
      <w:r>
        <w:rPr>
          <w:rFonts w:hint="eastAsia" w:ascii="宋体" w:hAnsi="宋体"/>
          <w:b/>
          <w:sz w:val="24"/>
          <w:szCs w:val="24"/>
        </w:rPr>
        <w:t>提交。</w:t>
      </w:r>
    </w:p>
    <w:p>
      <w:pPr>
        <w:pStyle w:val="70"/>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pStyle w:val="3"/>
        <w:rPr>
          <w:color w:val="auto"/>
          <w:highlight w:val="none"/>
        </w:rPr>
      </w:pPr>
      <w:bookmarkStart w:id="438" w:name="_Toc25067"/>
      <w:r>
        <w:rPr>
          <w:rFonts w:hint="eastAsia"/>
          <w:color w:val="auto"/>
          <w:highlight w:val="none"/>
          <w:lang w:val="en-US" w:eastAsia="zh-CN"/>
        </w:rPr>
        <w:t>采购</w:t>
      </w:r>
      <w:r>
        <w:rPr>
          <w:rFonts w:hint="eastAsia"/>
          <w:color w:val="auto"/>
          <w:highlight w:val="none"/>
        </w:rPr>
        <w:t>合同</w:t>
      </w:r>
      <w:r>
        <w:rPr>
          <w:rFonts w:hint="eastAsia"/>
          <w:color w:val="auto"/>
          <w:highlight w:val="none"/>
          <w:lang w:eastAsia="zh-CN"/>
        </w:rPr>
        <w:t>（</w:t>
      </w:r>
      <w:r>
        <w:rPr>
          <w:rFonts w:hint="eastAsia"/>
          <w:color w:val="auto"/>
          <w:highlight w:val="none"/>
          <w:lang w:val="en-US" w:eastAsia="zh-CN"/>
        </w:rPr>
        <w:t>草案</w:t>
      </w:r>
      <w:r>
        <w:rPr>
          <w:rFonts w:hint="eastAsia"/>
          <w:color w:val="auto"/>
          <w:highlight w:val="none"/>
          <w:lang w:eastAsia="zh-CN"/>
        </w:rPr>
        <w:t>）</w:t>
      </w:r>
      <w:bookmarkEnd w:id="438"/>
    </w:p>
    <w:bookmarkEnd w:id="433"/>
    <w:bookmarkEnd w:id="434"/>
    <w:bookmarkEnd w:id="435"/>
    <w:p>
      <w:pPr>
        <w:spacing w:line="360" w:lineRule="auto"/>
        <w:ind w:firstLine="480" w:firstLineChars="200"/>
        <w:rPr>
          <w:color w:val="auto"/>
          <w:highlight w:val="none"/>
        </w:rPr>
      </w:pPr>
      <w:r>
        <w:rPr>
          <w:rFonts w:hint="eastAsia"/>
          <w:color w:val="auto"/>
          <w:highlight w:val="none"/>
        </w:rPr>
        <w:t>（仅供参考，特别提醒：采购合同的签订不得偏离竞争性磋商文件要约及磋商文件承诺的实质性内容）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 xml:space="preserve">项目名称：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 xml:space="preserve">甲方合同编号：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 xml:space="preserve">甲方（采购人）：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乙方（</w:t>
      </w:r>
      <w:r>
        <w:rPr>
          <w:rFonts w:hint="eastAsia" w:ascii="宋体" w:hAnsi="宋体" w:eastAsia="宋体" w:cs="宋体"/>
          <w:b w:val="0"/>
          <w:bCs/>
          <w:color w:val="auto"/>
          <w:sz w:val="24"/>
          <w:szCs w:val="24"/>
          <w:u w:val="none"/>
          <w:lang w:eastAsia="zh-CN"/>
        </w:rPr>
        <w:t>供应商</w:t>
      </w:r>
      <w:r>
        <w:rPr>
          <w:rFonts w:hint="eastAsia" w:ascii="宋体" w:hAnsi="宋体" w:eastAsia="宋体" w:cs="宋体"/>
          <w:b w:val="0"/>
          <w:bCs/>
          <w:color w:val="auto"/>
          <w:sz w:val="24"/>
          <w:szCs w:val="24"/>
          <w:u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9"/>
        <w:rPr>
          <w:rFonts w:hint="eastAsia" w:ascii="宋体" w:hAnsi="宋体" w:eastAsia="宋体" w:cs="宋体"/>
          <w:b w:val="0"/>
          <w:bCs/>
          <w:color w:val="auto"/>
          <w:sz w:val="24"/>
          <w:szCs w:val="24"/>
          <w:u w:val="single"/>
        </w:rPr>
      </w:pPr>
    </w:p>
    <w:p>
      <w:pPr>
        <w:keepNext w:val="0"/>
        <w:keepLines w:val="0"/>
        <w:pageBreakBefore w:val="0"/>
        <w:widowControl/>
        <w:kinsoku/>
        <w:wordWrap/>
        <w:overflowPunct/>
        <w:topLinePunct w:val="0"/>
        <w:bidi w:val="0"/>
        <w:snapToGrid/>
        <w:spacing w:line="360" w:lineRule="auto"/>
        <w:ind w:firstLine="480" w:firstLineChars="0"/>
        <w:jc w:val="left"/>
        <w:textAlignment w:val="auto"/>
        <w:outlineLvl w:val="9"/>
        <w:rPr>
          <w:rFonts w:hint="eastAsia" w:ascii="宋体" w:hAnsi="宋体" w:eastAsia="宋体" w:cs="宋体"/>
          <w:b w:val="0"/>
          <w:sz w:val="24"/>
          <w:szCs w:val="24"/>
          <w:lang w:val="en-US"/>
        </w:rPr>
      </w:pPr>
      <w:r>
        <w:rPr>
          <w:rFonts w:hint="eastAsia" w:ascii="宋体" w:hAnsi="宋体" w:eastAsia="宋体" w:cs="宋体"/>
          <w:b w:val="0"/>
          <w:sz w:val="24"/>
          <w:szCs w:val="24"/>
          <w:lang w:val="en-US"/>
        </w:rPr>
        <w:t>根据《中华人民共和国政府采购法》、《</w:t>
      </w:r>
      <w:r>
        <w:rPr>
          <w:rFonts w:hint="eastAsia" w:ascii="宋体" w:hAnsi="宋体" w:eastAsia="宋体" w:cs="宋体"/>
          <w:b w:val="0"/>
          <w:sz w:val="24"/>
          <w:szCs w:val="24"/>
          <w:lang w:val="en-US" w:eastAsia="zh-CN"/>
        </w:rPr>
        <w:t>中华人民共和国民法典</w:t>
      </w:r>
      <w:r>
        <w:rPr>
          <w:rFonts w:hint="eastAsia" w:ascii="宋体" w:hAnsi="宋体" w:eastAsia="宋体" w:cs="宋体"/>
          <w:b w:val="0"/>
          <w:sz w:val="24"/>
          <w:szCs w:val="24"/>
          <w:lang w:val="en-US"/>
        </w:rPr>
        <w:t>》及《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 xml:space="preserve">第一条   合同文件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下列与本次采购活动有关的文件及附件是本合同不可分割的组成部分，与本合同具有同等法律效力，这些文件包括但不限于：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1.采购文件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2.响应文件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3.乙方在响应时的书面承诺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4.成交通知书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5.合同补充条款或说明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6.保密协议或条款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7.相关附件</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第二条   合同期限</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委托服务期间自______年______月至______年______月止。</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第三条  服务内容与服务标准</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采购文件要求、响应文件响应的服务内容（合同签订时明确）</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第四条   合同金额及支付方式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4.1  合同金额为：人民币 （大写）_________________元（￥_______________元）。本合同执行期间合同金额不变，甲方无须另向乙方支付本合同规定之外的其他任何费用。</w:t>
      </w:r>
    </w:p>
    <w:p>
      <w:pPr>
        <w:pStyle w:val="25"/>
        <w:ind w:firstLine="480" w:firstLineChars="20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合同单价金额明细表：</w:t>
      </w:r>
    </w:p>
    <w:p>
      <w:pPr>
        <w:pStyle w:val="25"/>
        <w:rPr>
          <w:rFonts w:hint="default" w:ascii="宋体" w:hAnsi="宋体" w:eastAsia="宋体" w:cs="宋体"/>
          <w:color w:val="000000"/>
          <w:sz w:val="24"/>
          <w:szCs w:val="24"/>
          <w:lang w:val="en-US" w:eastAsia="zh-CN" w:bidi="ar-SA"/>
        </w:rPr>
      </w:pPr>
    </w:p>
    <w:p>
      <w:pPr>
        <w:pStyle w:val="25"/>
        <w:rPr>
          <w:rFonts w:hint="default" w:ascii="宋体" w:hAnsi="宋体" w:eastAsia="宋体" w:cs="宋体"/>
          <w:color w:val="000000"/>
          <w:sz w:val="24"/>
          <w:szCs w:val="24"/>
          <w:lang w:val="en-US" w:eastAsia="zh-CN" w:bidi="ar-SA"/>
        </w:rPr>
      </w:pPr>
    </w:p>
    <w:p>
      <w:pPr>
        <w:pStyle w:val="25"/>
        <w:rPr>
          <w:rFonts w:hint="default" w:ascii="宋体" w:hAnsi="宋体" w:eastAsia="宋体" w:cs="宋体"/>
          <w:color w:val="000000"/>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4.2  支付方式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第五条   知识产权及承诺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5.1  乙方保证所提供的服务或其任何一部分均不会侵犯任何第三方的专利权、商标权、著作权或其他合法权益，否则视为乙方违约，由此产生的一切损失由乙方承担。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5.2  经甲乙双方协商一致，本项目产生的知识产权归</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拥有。</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第六条   甲方的权利与义务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6.1  甲方有权对合同规定范围内乙方的服务进行督促，并要求乙方进行符合服务质量标准的修改。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6.2  负责监督乙方服务的实施及执行情况。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6.3  根据本合同规定，按时向乙方支付应付服务费用。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6.4  国家法律、法规所规定由甲方承担的其它责任。</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第七条   乙方的权利与义务</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7.1  对委托服务范围内的项目有管理权及服务义务。按照服务内容和质量标准按时保质完成服务。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7.2  根据本合同规定向甲方收取服务费用，并有权在项目管理范围内管理及合理使用。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7.3  及时向甲方通告项目服务范围内有关服务的重大事项。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7.4  国家法律、法规所规定由乙方承担的其它责任。</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第八条   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8.1  甲乙双方必须遵守本合同并执行合同中的各项规定，保证本合同的合法正常履行。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8.2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8.3  乙方提供的服务不符合采购文件、报价文件或本合同规定的，每项违约乙方须向甲方支付本合同总价</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%的违约金。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8.4  乙方未能按本合同规定时间提供服务，从逾期之日起每日按本合同总价</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‰的数额向甲方支付违约金；逾期半个月以上的，甲方有权解除合同，由此造成的甲方经济损失由乙方承担。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8.5  甲方无正当理由拒收接受服务，到期拒付服务款项的，甲方向乙方偿付本合同总的</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%的违约金。甲方人逾期付款，则每日按本合同总价的</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‰向乙方偿付违约金。</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第九条   不可抗力</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第十条   争议的解决</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在执行本合同中发生的或与本合同有关的争端，双方应通过友好协商解决，经协商在不能达成协议时，应选择以下第</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种解决方式：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 向成都仲裁委员会提起仲裁；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 向甲方所在地有管辖权的法院提起诉讼。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在法院审理和仲裁期间，除有争议部分外，本合同其他部分可以履行的仍应按合同条款继续履行。</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第十一条   其他</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11.1  合同经双方法定代表人/单位负责人或授权委托代理人签字并加盖单位公章后生效。合同一经生效，双方应诚信履行合同，除双方协商一致解除合同外，一方不得无理由解除合同。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11.2  合同执行中涉及采购资金和采购内容修改或补充的，在符合《政府采购法》第49条的前提下，须经政府采购监管部门审批，签订书面补充协议后须报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color w:val="000000"/>
          <w:sz w:val="24"/>
          <w:szCs w:val="24"/>
          <w:lang w:val="en-US" w:eastAsia="zh-CN" w:bidi="ar-SA"/>
        </w:rPr>
        <w:t>11.3  本合同一式</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份，自双方签章之日起起效。甲方</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份，乙方</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份，同级财政部门备案</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份，具有同等法律效力</w:t>
      </w:r>
      <w:r>
        <w:rPr>
          <w:rFonts w:hint="eastAsia" w:ascii="宋体" w:hAnsi="宋体" w:eastAsia="宋体" w:cs="宋体"/>
          <w:b w:val="0"/>
          <w:bCs/>
          <w:color w:val="auto"/>
          <w:sz w:val="24"/>
          <w:szCs w:val="24"/>
        </w:rPr>
        <w:t>。</w:t>
      </w:r>
    </w:p>
    <w:p>
      <w:pPr>
        <w:keepNext w:val="0"/>
        <w:keepLines w:val="0"/>
        <w:pageBreakBefore w:val="0"/>
        <w:kinsoku/>
        <w:wordWrap/>
        <w:overflowPunct/>
        <w:topLinePunct w:val="0"/>
        <w:autoSpaceDE/>
        <w:autoSpaceDN/>
        <w:bidi w:val="0"/>
        <w:adjustRightInd/>
        <w:snapToGrid w:val="0"/>
        <w:spacing w:line="360" w:lineRule="auto"/>
        <w:ind w:firstLine="0" w:firstLineChars="0"/>
        <w:jc w:val="left"/>
        <w:textAlignment w:val="auto"/>
        <w:outlineLvl w:val="9"/>
        <w:rPr>
          <w:rFonts w:hint="eastAsia" w:ascii="宋体" w:hAnsi="宋体" w:eastAsia="宋体" w:cs="宋体"/>
          <w:b w:val="0"/>
          <w:bCs/>
          <w:color w:val="auto"/>
          <w:sz w:val="24"/>
          <w:szCs w:val="24"/>
        </w:rPr>
      </w:pPr>
    </w:p>
    <w:p>
      <w:pPr>
        <w:keepNext w:val="0"/>
        <w:keepLines w:val="0"/>
        <w:pageBreakBefore w:val="0"/>
        <w:kinsoku/>
        <w:wordWrap/>
        <w:overflowPunct/>
        <w:topLinePunct w:val="0"/>
        <w:autoSpaceDE/>
        <w:autoSpaceDN/>
        <w:bidi w:val="0"/>
        <w:adjustRightInd/>
        <w:snapToGrid w:val="0"/>
        <w:spacing w:line="360" w:lineRule="auto"/>
        <w:ind w:firstLine="0" w:firstLineChars="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甲  方：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乙  方：</w:t>
      </w:r>
    </w:p>
    <w:p>
      <w:pPr>
        <w:keepNext w:val="0"/>
        <w:keepLines w:val="0"/>
        <w:pageBreakBefore w:val="0"/>
        <w:kinsoku/>
        <w:wordWrap/>
        <w:overflowPunct/>
        <w:topLinePunct w:val="0"/>
        <w:autoSpaceDE/>
        <w:autoSpaceDN/>
        <w:bidi w:val="0"/>
        <w:adjustRightInd/>
        <w:snapToGrid w:val="0"/>
        <w:spacing w:line="360" w:lineRule="auto"/>
        <w:ind w:firstLine="0" w:firstLineChars="0"/>
        <w:jc w:val="left"/>
        <w:textAlignment w:val="auto"/>
        <w:outlineLvl w:val="9"/>
        <w:rPr>
          <w:rFonts w:hint="eastAsia" w:ascii="宋体" w:hAnsi="宋体" w:eastAsia="宋体" w:cs="宋体"/>
          <w:b w:val="0"/>
          <w:bCs/>
          <w:color w:val="auto"/>
          <w:spacing w:val="-11"/>
          <w:sz w:val="24"/>
          <w:szCs w:val="24"/>
        </w:rPr>
      </w:pPr>
      <w:r>
        <w:rPr>
          <w:rFonts w:hint="eastAsia" w:ascii="宋体" w:hAnsi="宋体" w:eastAsia="宋体" w:cs="宋体"/>
          <w:b w:val="0"/>
          <w:bCs/>
          <w:color w:val="auto"/>
          <w:spacing w:val="-11"/>
          <w:sz w:val="24"/>
          <w:szCs w:val="24"/>
        </w:rPr>
        <w:t>法定代表人（授权代表）：                  法定代表人（授权代表）：</w:t>
      </w:r>
    </w:p>
    <w:p>
      <w:pPr>
        <w:keepNext w:val="0"/>
        <w:keepLines w:val="0"/>
        <w:pageBreakBefore w:val="0"/>
        <w:kinsoku/>
        <w:wordWrap/>
        <w:overflowPunct/>
        <w:topLinePunct w:val="0"/>
        <w:autoSpaceDE/>
        <w:autoSpaceDN/>
        <w:bidi w:val="0"/>
        <w:adjustRightInd/>
        <w:snapToGrid w:val="0"/>
        <w:spacing w:line="360" w:lineRule="auto"/>
        <w:ind w:firstLine="0" w:firstLineChars="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地    址：                               地    址：</w:t>
      </w:r>
    </w:p>
    <w:p>
      <w:pPr>
        <w:keepNext w:val="0"/>
        <w:keepLines w:val="0"/>
        <w:pageBreakBefore w:val="0"/>
        <w:kinsoku/>
        <w:wordWrap/>
        <w:overflowPunct/>
        <w:topLinePunct w:val="0"/>
        <w:autoSpaceDE/>
        <w:autoSpaceDN/>
        <w:bidi w:val="0"/>
        <w:adjustRightInd/>
        <w:snapToGrid w:val="0"/>
        <w:spacing w:line="360" w:lineRule="auto"/>
        <w:ind w:firstLine="0" w:firstLineChars="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开户银行：                               开户银行：</w:t>
      </w:r>
    </w:p>
    <w:p>
      <w:pPr>
        <w:keepNext w:val="0"/>
        <w:keepLines w:val="0"/>
        <w:pageBreakBefore w:val="0"/>
        <w:kinsoku/>
        <w:wordWrap/>
        <w:overflowPunct/>
        <w:topLinePunct w:val="0"/>
        <w:autoSpaceDE/>
        <w:autoSpaceDN/>
        <w:bidi w:val="0"/>
        <w:adjustRightInd/>
        <w:snapToGrid w:val="0"/>
        <w:spacing w:line="360" w:lineRule="auto"/>
        <w:ind w:firstLine="0" w:firstLineChars="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账    号：                               账    号：</w:t>
      </w:r>
    </w:p>
    <w:p>
      <w:pPr>
        <w:keepNext w:val="0"/>
        <w:keepLines w:val="0"/>
        <w:pageBreakBefore w:val="0"/>
        <w:kinsoku/>
        <w:wordWrap/>
        <w:overflowPunct/>
        <w:topLinePunct w:val="0"/>
        <w:autoSpaceDE/>
        <w:autoSpaceDN/>
        <w:bidi w:val="0"/>
        <w:adjustRightInd/>
        <w:snapToGrid w:val="0"/>
        <w:spacing w:line="360" w:lineRule="auto"/>
        <w:ind w:firstLine="0" w:firstLineChars="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    话：                               电    话：</w:t>
      </w:r>
    </w:p>
    <w:p>
      <w:pPr>
        <w:keepNext w:val="0"/>
        <w:keepLines w:val="0"/>
        <w:pageBreakBefore w:val="0"/>
        <w:kinsoku/>
        <w:wordWrap/>
        <w:overflowPunct/>
        <w:topLinePunct w:val="0"/>
        <w:autoSpaceDE/>
        <w:autoSpaceDN/>
        <w:bidi w:val="0"/>
        <w:adjustRightInd/>
        <w:snapToGrid w:val="0"/>
        <w:spacing w:line="360" w:lineRule="auto"/>
        <w:ind w:firstLine="0" w:firstLineChars="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传    真：                               传    真：</w:t>
      </w:r>
    </w:p>
    <w:p>
      <w:pPr>
        <w:keepNext w:val="0"/>
        <w:keepLines w:val="0"/>
        <w:pageBreakBefore w:val="0"/>
        <w:kinsoku/>
        <w:wordWrap/>
        <w:overflowPunct/>
        <w:topLinePunct w:val="0"/>
        <w:bidi w:val="0"/>
        <w:spacing w:line="360" w:lineRule="auto"/>
        <w:ind w:firstLine="3600" w:firstLineChars="1500"/>
        <w:textAlignment w:val="auto"/>
        <w:rPr>
          <w:rFonts w:hint="eastAsia" w:ascii="宋体" w:hAnsi="宋体" w:eastAsia="宋体" w:cs="宋体"/>
          <w:b w:val="0"/>
          <w:bCs/>
          <w:color w:val="auto"/>
          <w:sz w:val="24"/>
          <w:szCs w:val="24"/>
        </w:rPr>
      </w:pPr>
    </w:p>
    <w:p>
      <w:pPr>
        <w:keepNext w:val="0"/>
        <w:keepLines w:val="0"/>
        <w:pageBreakBefore w:val="0"/>
        <w:kinsoku/>
        <w:wordWrap/>
        <w:overflowPunct/>
        <w:topLinePunct w:val="0"/>
        <w:bidi w:val="0"/>
        <w:spacing w:line="360" w:lineRule="auto"/>
        <w:ind w:firstLine="3600" w:firstLineChars="1500"/>
        <w:textAlignment w:val="auto"/>
        <w:rPr>
          <w:rFonts w:hint="eastAsia"/>
        </w:rPr>
      </w:pPr>
      <w:r>
        <w:rPr>
          <w:rFonts w:hint="eastAsia" w:ascii="宋体" w:hAnsi="宋体" w:eastAsia="宋体" w:cs="宋体"/>
          <w:b w:val="0"/>
          <w:bCs/>
          <w:color w:val="auto"/>
          <w:sz w:val="24"/>
          <w:szCs w:val="24"/>
        </w:rPr>
        <w:t xml:space="preserve">签约日期：     年  月   日    </w:t>
      </w:r>
      <w:r>
        <w:rPr>
          <w:rFonts w:hint="default" w:ascii="Times New Roman" w:hAnsi="Times New Roman" w:eastAsia="仿宋" w:cs="Times New Roman"/>
          <w:b w:val="0"/>
          <w:bCs/>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both"/>
        <w:textAlignment w:val="auto"/>
        <w:outlineLvl w:val="9"/>
        <w:rPr>
          <w:rFonts w:hint="default"/>
          <w:sz w:val="28"/>
          <w:szCs w:val="28"/>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pStyle w:val="159"/>
        <w:spacing w:line="360" w:lineRule="auto"/>
        <w:rPr>
          <w:rFonts w:ascii="宋体" w:hAnsi="宋体" w:cs="宋体"/>
          <w:color w:val="auto"/>
          <w:sz w:val="28"/>
          <w:szCs w:val="28"/>
          <w:highlight w:val="none"/>
        </w:rPr>
      </w:pPr>
    </w:p>
    <w:p>
      <w:pPr>
        <w:ind w:firstLine="506"/>
        <w:outlineLvl w:val="1"/>
        <w:rPr>
          <w:rFonts w:ascii="宋体" w:hAnsi="宋体" w:cs="宋体"/>
          <w:b/>
          <w:bCs/>
          <w:szCs w:val="32"/>
        </w:rPr>
      </w:pPr>
      <w:bookmarkStart w:id="439" w:name="_Toc18731"/>
      <w:bookmarkStart w:id="440" w:name="_Toc28178"/>
      <w:r>
        <w:rPr>
          <w:rFonts w:hint="eastAsia" w:ascii="宋体" w:hAnsi="宋体" w:cs="宋体"/>
          <w:b/>
          <w:bCs/>
          <w:szCs w:val="32"/>
        </w:rPr>
        <w:t>附件</w:t>
      </w:r>
      <w:r>
        <w:rPr>
          <w:rFonts w:hint="eastAsia" w:ascii="宋体" w:hAnsi="宋体" w:cs="宋体"/>
          <w:b/>
          <w:bCs/>
          <w:szCs w:val="32"/>
          <w:lang w:val="en-US" w:eastAsia="zh-CN"/>
        </w:rPr>
        <w:t>1</w:t>
      </w:r>
      <w:r>
        <w:rPr>
          <w:rFonts w:hint="eastAsia" w:ascii="宋体" w:hAnsi="宋体" w:cs="宋体"/>
          <w:b/>
          <w:bCs/>
          <w:szCs w:val="32"/>
        </w:rPr>
        <w:t>：政府采购云平台使用介绍</w:t>
      </w:r>
      <w:bookmarkEnd w:id="439"/>
      <w:bookmarkEnd w:id="440"/>
    </w:p>
    <w:p>
      <w:pPr>
        <w:ind w:firstLine="506"/>
        <w:rPr>
          <w:rFonts w:ascii="宋体" w:hAnsi="宋体" w:cs="宋体"/>
          <w:b/>
          <w:bCs/>
          <w:szCs w:val="32"/>
        </w:rPr>
      </w:pPr>
      <w:r>
        <w:rPr>
          <w:rFonts w:hint="eastAsia" w:ascii="宋体" w:hAnsi="宋体" w:cs="宋体"/>
          <w:b/>
          <w:bCs/>
          <w:szCs w:val="32"/>
        </w:rPr>
        <w:t>1.输入网址：</w:t>
      </w:r>
      <w:r>
        <w:fldChar w:fldCharType="begin"/>
      </w:r>
      <w:r>
        <w:instrText xml:space="preserve"> HYPERLINK "https://www.zcygov.cn" </w:instrText>
      </w:r>
      <w:r>
        <w:fldChar w:fldCharType="separate"/>
      </w:r>
      <w:r>
        <w:rPr>
          <w:rStyle w:val="51"/>
          <w:rFonts w:hint="eastAsia" w:ascii="宋体" w:hAnsi="宋体" w:cs="宋体"/>
          <w:b/>
          <w:bCs/>
          <w:szCs w:val="32"/>
        </w:rPr>
        <w:t>https://www.zcygov.cn</w:t>
      </w:r>
      <w:r>
        <w:rPr>
          <w:rFonts w:hint="eastAsia" w:ascii="宋体" w:hAnsi="宋体" w:cs="宋体"/>
          <w:b/>
          <w:bCs/>
          <w:szCs w:val="32"/>
        </w:rPr>
        <w:fldChar w:fldCharType="end"/>
      </w:r>
    </w:p>
    <w:p>
      <w:pPr>
        <w:ind w:firstLine="506"/>
        <w:rPr>
          <w:rFonts w:ascii="宋体" w:hAnsi="宋体" w:cs="宋体"/>
          <w:b/>
          <w:bCs/>
          <w:szCs w:val="32"/>
        </w:rPr>
      </w:pPr>
      <w:r>
        <w:rPr>
          <w:rFonts w:hint="eastAsia" w:ascii="宋体" w:hAnsi="宋体" w:cs="宋体"/>
          <w:b/>
          <w:bCs/>
          <w:szCs w:val="32"/>
        </w:rPr>
        <w:t>2.选择与项目对应的行政区域如：四川省-成都市-成都市本级</w:t>
      </w:r>
    </w:p>
    <w:p>
      <w:pPr>
        <w:ind w:firstLine="504"/>
      </w:pPr>
      <w:r>
        <w:drawing>
          <wp:inline distT="0" distB="0" distL="114300" distR="114300">
            <wp:extent cx="4929505" cy="3082925"/>
            <wp:effectExtent l="0" t="0" r="4445" b="317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3"/>
                    <a:stretch>
                      <a:fillRect/>
                    </a:stretch>
                  </pic:blipFill>
                  <pic:spPr>
                    <a:xfrm>
                      <a:off x="0" y="0"/>
                      <a:ext cx="4929505" cy="3082925"/>
                    </a:xfrm>
                    <a:prstGeom prst="rect">
                      <a:avLst/>
                    </a:prstGeom>
                    <a:noFill/>
                    <a:ln>
                      <a:noFill/>
                    </a:ln>
                  </pic:spPr>
                </pic:pic>
              </a:graphicData>
            </a:graphic>
          </wp:inline>
        </w:drawing>
      </w:r>
    </w:p>
    <w:p>
      <w:pPr>
        <w:numPr>
          <w:ilvl w:val="0"/>
          <w:numId w:val="78"/>
        </w:numPr>
        <w:rPr>
          <w:rFonts w:ascii="宋体" w:hAnsi="宋体" w:cs="宋体"/>
          <w:b/>
          <w:bCs/>
          <w:szCs w:val="32"/>
        </w:rPr>
      </w:pPr>
      <w:r>
        <w:rPr>
          <w:rFonts w:hint="eastAsia" w:ascii="宋体" w:hAnsi="宋体" w:cs="宋体"/>
          <w:b/>
          <w:bCs/>
          <w:szCs w:val="32"/>
        </w:rPr>
        <w:t>点击操作指南-供应商</w:t>
      </w:r>
    </w:p>
    <w:p>
      <w:pPr>
        <w:ind w:firstLine="504"/>
        <w:rPr>
          <w:b/>
          <w:bCs/>
        </w:rPr>
      </w:pPr>
      <w:r>
        <w:drawing>
          <wp:inline distT="0" distB="0" distL="114300" distR="114300">
            <wp:extent cx="4882515" cy="2528570"/>
            <wp:effectExtent l="0" t="0" r="13335" b="508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4"/>
                    <a:stretch>
                      <a:fillRect/>
                    </a:stretch>
                  </pic:blipFill>
                  <pic:spPr>
                    <a:xfrm>
                      <a:off x="0" y="0"/>
                      <a:ext cx="4882515" cy="2528570"/>
                    </a:xfrm>
                    <a:prstGeom prst="rect">
                      <a:avLst/>
                    </a:prstGeom>
                    <a:noFill/>
                    <a:ln>
                      <a:noFill/>
                    </a:ln>
                  </pic:spPr>
                </pic:pic>
              </a:graphicData>
            </a:graphic>
          </wp:inline>
        </w:drawing>
      </w:r>
      <w:r>
        <w:br w:type="page"/>
      </w:r>
      <w:r>
        <w:rPr>
          <w:rFonts w:hint="eastAsia" w:ascii="宋体" w:hAnsi="宋体" w:cs="宋体"/>
          <w:b/>
          <w:bCs/>
          <w:szCs w:val="32"/>
        </w:rPr>
        <w:t>4.进入政采云供应商学习专题页面</w:t>
      </w:r>
      <w:r>
        <w:rPr>
          <w:rFonts w:hint="eastAsia"/>
          <w:b/>
          <w:bCs/>
        </w:rPr>
        <w:t>（https://edu.zcygov.cn/luban/xxzt-chengdu-gys?utm=a0017.b1347.cl50.5.0917bc90b7bb11eb807c353645758db6）</w:t>
      </w:r>
    </w:p>
    <w:p>
      <w:pPr>
        <w:ind w:firstLine="504"/>
      </w:pPr>
      <w:r>
        <w:drawing>
          <wp:inline distT="0" distB="0" distL="114300" distR="114300">
            <wp:extent cx="5380990" cy="2678430"/>
            <wp:effectExtent l="0" t="0" r="1016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5380990" cy="2678430"/>
                    </a:xfrm>
                    <a:prstGeom prst="rect">
                      <a:avLst/>
                    </a:prstGeom>
                    <a:noFill/>
                    <a:ln>
                      <a:noFill/>
                    </a:ln>
                  </pic:spPr>
                </pic:pic>
              </a:graphicData>
            </a:graphic>
          </wp:inline>
        </w:drawing>
      </w:r>
    </w:p>
    <w:p>
      <w:pPr>
        <w:ind w:firstLine="504"/>
        <w:rPr>
          <w:rFonts w:ascii="宋体" w:hAnsi="宋体" w:cs="宋体"/>
          <w:b/>
          <w:bCs/>
          <w:szCs w:val="32"/>
        </w:rPr>
      </w:pPr>
      <w:r>
        <w:rPr>
          <w:rFonts w:hint="eastAsia"/>
        </w:rPr>
        <w:br w:type="page"/>
      </w:r>
      <w:r>
        <w:rPr>
          <w:rFonts w:hint="eastAsia" w:ascii="宋体" w:hAnsi="宋体" w:cs="宋体"/>
          <w:b/>
          <w:bCs/>
          <w:szCs w:val="32"/>
        </w:rPr>
        <w:t>5.供应商资讯服务渠道</w:t>
      </w:r>
    </w:p>
    <w:p>
      <w:pPr>
        <w:ind w:firstLine="504"/>
      </w:pPr>
      <w:r>
        <w:drawing>
          <wp:inline distT="0" distB="0" distL="114300" distR="114300">
            <wp:extent cx="5447665" cy="1953260"/>
            <wp:effectExtent l="0" t="0" r="63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5447665" cy="1953260"/>
                    </a:xfrm>
                    <a:prstGeom prst="rect">
                      <a:avLst/>
                    </a:prstGeom>
                    <a:noFill/>
                    <a:ln>
                      <a:noFill/>
                    </a:ln>
                  </pic:spPr>
                </pic:pic>
              </a:graphicData>
            </a:graphic>
          </wp:inline>
        </w:drawing>
      </w:r>
    </w:p>
    <w:p>
      <w:pPr>
        <w:ind w:firstLine="504"/>
      </w:pPr>
      <w:r>
        <w:br w:type="page"/>
      </w:r>
      <w:r>
        <w:rPr>
          <w:rFonts w:hint="eastAsia" w:ascii="宋体" w:hAnsi="宋体" w:cs="宋体"/>
          <w:b/>
          <w:bCs/>
          <w:szCs w:val="32"/>
        </w:rPr>
        <w:t>6.入驻政府采购云平台（注册）</w:t>
      </w:r>
    </w:p>
    <w:p>
      <w:pPr>
        <w:ind w:firstLine="504"/>
      </w:pPr>
      <w:r>
        <w:drawing>
          <wp:inline distT="0" distB="0" distL="114300" distR="114300">
            <wp:extent cx="5683250" cy="2313940"/>
            <wp:effectExtent l="0" t="0" r="1270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stretch>
                      <a:fillRect/>
                    </a:stretch>
                  </pic:blipFill>
                  <pic:spPr>
                    <a:xfrm>
                      <a:off x="0" y="0"/>
                      <a:ext cx="5683250" cy="2313940"/>
                    </a:xfrm>
                    <a:prstGeom prst="rect">
                      <a:avLst/>
                    </a:prstGeom>
                    <a:noFill/>
                    <a:ln>
                      <a:noFill/>
                    </a:ln>
                  </pic:spPr>
                </pic:pic>
              </a:graphicData>
            </a:graphic>
          </wp:inline>
        </w:drawing>
      </w:r>
    </w:p>
    <w:p>
      <w:pPr>
        <w:ind w:firstLine="504"/>
      </w:pPr>
      <w:r>
        <w:br w:type="page"/>
      </w:r>
      <w:r>
        <w:rPr>
          <w:rFonts w:hint="eastAsia" w:ascii="宋体" w:hAnsi="宋体" w:cs="宋体"/>
          <w:b/>
          <w:bCs/>
          <w:szCs w:val="32"/>
        </w:rPr>
        <w:t>7.下载《供应商政府采购项目电子交易操作指南》</w:t>
      </w:r>
    </w:p>
    <w:p>
      <w:pPr>
        <w:pStyle w:val="159"/>
        <w:spacing w:line="360" w:lineRule="auto"/>
      </w:pPr>
      <w:r>
        <w:drawing>
          <wp:inline distT="0" distB="0" distL="114300" distR="114300">
            <wp:extent cx="5536565" cy="3067685"/>
            <wp:effectExtent l="0" t="0" r="6985" b="1841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8"/>
                    <a:stretch>
                      <a:fillRect/>
                    </a:stretch>
                  </pic:blipFill>
                  <pic:spPr>
                    <a:xfrm>
                      <a:off x="0" y="0"/>
                      <a:ext cx="5536565" cy="3067685"/>
                    </a:xfrm>
                    <a:prstGeom prst="rect">
                      <a:avLst/>
                    </a:prstGeom>
                    <a:noFill/>
                    <a:ln>
                      <a:noFill/>
                    </a:ln>
                  </pic:spPr>
                </pic:pic>
              </a:graphicData>
            </a:graphic>
          </wp:inline>
        </w:drawing>
      </w: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rPr>
          <w:rFonts w:hint="default"/>
          <w:lang w:val="en-US" w:eastAsia="zh-CN"/>
        </w:rPr>
      </w:pPr>
    </w:p>
    <w:p>
      <w:pPr>
        <w:ind w:firstLine="506"/>
        <w:outlineLvl w:val="1"/>
        <w:rPr>
          <w:rFonts w:hint="default" w:ascii="宋体" w:hAnsi="宋体" w:eastAsia="宋体" w:cs="宋体"/>
          <w:b/>
          <w:bCs/>
          <w:szCs w:val="32"/>
          <w:lang w:val="en-US" w:eastAsia="zh-CN"/>
        </w:rPr>
      </w:pPr>
      <w:bookmarkStart w:id="441" w:name="_Toc5798"/>
      <w:bookmarkStart w:id="442" w:name="_Toc13462"/>
      <w:r>
        <w:rPr>
          <w:rFonts w:hint="eastAsia" w:ascii="宋体" w:hAnsi="宋体" w:cs="宋体"/>
          <w:b/>
          <w:bCs/>
          <w:szCs w:val="32"/>
        </w:rPr>
        <w:t>附件</w:t>
      </w:r>
      <w:r>
        <w:rPr>
          <w:rFonts w:hint="eastAsia" w:ascii="宋体" w:hAnsi="宋体" w:cs="宋体"/>
          <w:b/>
          <w:bCs/>
          <w:szCs w:val="32"/>
          <w:lang w:val="en-US" w:eastAsia="zh-CN"/>
        </w:rPr>
        <w:t>2</w:t>
      </w:r>
      <w:r>
        <w:rPr>
          <w:rFonts w:hint="eastAsia" w:ascii="宋体" w:hAnsi="宋体" w:cs="宋体"/>
          <w:b/>
          <w:bCs/>
          <w:szCs w:val="32"/>
        </w:rPr>
        <w:t>：</w:t>
      </w:r>
      <w:r>
        <w:rPr>
          <w:rFonts w:hint="eastAsia" w:ascii="宋体" w:hAnsi="宋体" w:cs="宋体"/>
          <w:b/>
          <w:bCs/>
          <w:szCs w:val="32"/>
          <w:lang w:val="en-US" w:eastAsia="zh-CN"/>
        </w:rPr>
        <w:t>质疑函范本</w:t>
      </w:r>
      <w:bookmarkEnd w:id="441"/>
      <w:bookmarkEnd w:id="442"/>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pStyle w:val="159"/>
        <w:spacing w:line="360" w:lineRule="auto"/>
      </w:pPr>
    </w:p>
    <w:p>
      <w:pPr>
        <w:ind w:firstLine="506"/>
        <w:outlineLvl w:val="1"/>
        <w:rPr>
          <w:rFonts w:hint="default" w:ascii="宋体" w:hAnsi="宋体" w:eastAsia="宋体" w:cs="宋体"/>
          <w:b/>
          <w:bCs/>
          <w:szCs w:val="32"/>
          <w:lang w:val="en-US" w:eastAsia="zh-CN"/>
        </w:rPr>
      </w:pPr>
      <w:bookmarkStart w:id="443" w:name="_Toc3891"/>
      <w:bookmarkStart w:id="444" w:name="_Toc24813"/>
      <w:r>
        <w:rPr>
          <w:rFonts w:hint="eastAsia" w:ascii="宋体" w:hAnsi="宋体" w:cs="宋体"/>
          <w:b/>
          <w:bCs/>
          <w:szCs w:val="32"/>
        </w:rPr>
        <w:t>附件</w:t>
      </w:r>
      <w:r>
        <w:rPr>
          <w:rFonts w:hint="eastAsia" w:ascii="宋体" w:hAnsi="宋体" w:cs="宋体"/>
          <w:b/>
          <w:bCs/>
          <w:szCs w:val="32"/>
          <w:lang w:val="en-US" w:eastAsia="zh-CN"/>
        </w:rPr>
        <w:t>3</w:t>
      </w:r>
      <w:r>
        <w:rPr>
          <w:rFonts w:hint="eastAsia" w:ascii="宋体" w:hAnsi="宋体" w:cs="宋体"/>
          <w:b/>
          <w:bCs/>
          <w:szCs w:val="32"/>
        </w:rPr>
        <w:t>：</w:t>
      </w:r>
      <w:r>
        <w:rPr>
          <w:rFonts w:hint="eastAsia" w:ascii="宋体" w:hAnsi="宋体" w:cs="宋体"/>
          <w:b/>
          <w:bCs/>
          <w:szCs w:val="32"/>
          <w:lang w:val="en-US" w:eastAsia="zh-CN"/>
        </w:rPr>
        <w:t>投诉书范本</w:t>
      </w:r>
      <w:bookmarkEnd w:id="443"/>
      <w:bookmarkEnd w:id="444"/>
    </w:p>
    <w:p>
      <w:pPr>
        <w:jc w:val="center"/>
        <w:rPr>
          <w:rFonts w:hint="eastAsia" w:ascii="宋体" w:hAnsi="宋体"/>
          <w:b/>
          <w:sz w:val="44"/>
          <w:szCs w:val="44"/>
        </w:rPr>
      </w:pPr>
      <w:r>
        <w:rPr>
          <w:rFonts w:hint="eastAsia" w:ascii="宋体" w:hAnsi="宋体"/>
          <w:b/>
          <w:sz w:val="44"/>
          <w:szCs w:val="44"/>
        </w:rPr>
        <w:t>投诉书范本</w:t>
      </w:r>
    </w:p>
    <w:p>
      <w:pPr>
        <w:rPr>
          <w:rFonts w:hint="eastAsia" w:ascii="黑体" w:hAnsi="黑体" w:eastAsia="黑体"/>
          <w:sz w:val="32"/>
          <w:szCs w:val="32"/>
        </w:rPr>
      </w:pPr>
      <w:r>
        <w:rPr>
          <w:rFonts w:hint="eastAsia" w:ascii="黑体" w:hAnsi="黑体" w:eastAsia="黑体"/>
          <w:sz w:val="32"/>
          <w:szCs w:val="32"/>
        </w:rPr>
        <w:t>一、投诉相关主体基本情况</w:t>
      </w:r>
    </w:p>
    <w:p>
      <w:pPr>
        <w:rPr>
          <w:rFonts w:hint="eastAsia"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hint="eastAsia"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hint="eastAsia"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hint="eastAsia"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黑体" w:hAnsi="黑体" w:eastAsia="黑体"/>
          <w:sz w:val="32"/>
          <w:szCs w:val="32"/>
        </w:rPr>
      </w:pPr>
      <w:r>
        <w:rPr>
          <w:rFonts w:hint="eastAsia" w:ascii="黑体" w:hAnsi="黑体" w:eastAsia="黑体"/>
          <w:sz w:val="32"/>
          <w:szCs w:val="32"/>
        </w:rPr>
        <w:t>二、投诉项目基本情况</w:t>
      </w:r>
    </w:p>
    <w:p>
      <w:pPr>
        <w:rPr>
          <w:rFonts w:hint="eastAsia"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黑体" w:hAnsi="黑体" w:eastAsia="黑体"/>
          <w:sz w:val="32"/>
          <w:szCs w:val="32"/>
        </w:rPr>
      </w:pPr>
      <w:r>
        <w:rPr>
          <w:rFonts w:hint="eastAsia" w:ascii="黑体" w:hAnsi="黑体" w:eastAsia="黑体"/>
          <w:sz w:val="32"/>
          <w:szCs w:val="32"/>
        </w:rPr>
        <w:t>三、质疑基本情况</w:t>
      </w:r>
    </w:p>
    <w:p>
      <w:pPr>
        <w:ind w:firstLine="640" w:firstLineChars="200"/>
        <w:rPr>
          <w:rFonts w:hint="eastAsia"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hint="eastAsia"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hint="eastAsia" w:ascii="黑体" w:hAnsi="黑体" w:eastAsia="黑体"/>
          <w:sz w:val="32"/>
          <w:szCs w:val="32"/>
        </w:rPr>
      </w:pPr>
      <w:r>
        <w:rPr>
          <w:rFonts w:hint="eastAsia" w:ascii="黑体" w:hAnsi="黑体" w:eastAsia="黑体"/>
          <w:sz w:val="32"/>
          <w:szCs w:val="32"/>
        </w:rPr>
        <w:t>四、投诉事项具体内容</w:t>
      </w:r>
    </w:p>
    <w:p>
      <w:pPr>
        <w:rPr>
          <w:rFonts w:hint="eastAsia"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投诉事项2</w:t>
      </w:r>
    </w:p>
    <w:p>
      <w:pPr>
        <w:rPr>
          <w:rFonts w:hint="eastAsia" w:ascii="仿宋_GB2312" w:eastAsia="仿宋_GB2312"/>
          <w:sz w:val="32"/>
          <w:szCs w:val="32"/>
          <w:u w:val="dotted"/>
        </w:rPr>
      </w:pPr>
      <w:r>
        <w:rPr>
          <w:rFonts w:hint="eastAsia" w:ascii="仿宋_GB2312" w:eastAsia="仿宋_GB2312"/>
          <w:sz w:val="32"/>
          <w:szCs w:val="32"/>
        </w:rPr>
        <w:t>……</w:t>
      </w:r>
    </w:p>
    <w:p>
      <w:pPr>
        <w:rPr>
          <w:rFonts w:hint="eastAsia" w:ascii="黑体" w:hAnsi="黑体" w:eastAsia="黑体"/>
          <w:sz w:val="32"/>
          <w:szCs w:val="32"/>
        </w:rPr>
      </w:pPr>
      <w:r>
        <w:rPr>
          <w:rFonts w:hint="eastAsia" w:ascii="黑体" w:hAnsi="黑体" w:eastAsia="黑体"/>
          <w:sz w:val="32"/>
          <w:szCs w:val="32"/>
        </w:rPr>
        <w:t>五、与投诉事项相关的投诉请求</w:t>
      </w:r>
    </w:p>
    <w:p>
      <w:pPr>
        <w:rPr>
          <w:rFonts w:hint="eastAsia"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hint="eastAsia" w:ascii="仿宋_GB2312" w:eastAsia="仿宋_GB2312"/>
          <w:sz w:val="32"/>
          <w:szCs w:val="32"/>
          <w:u w:val="single"/>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签字(签章)：                   公章：                      </w:t>
      </w:r>
    </w:p>
    <w:p>
      <w:pPr>
        <w:rPr>
          <w:rFonts w:hint="eastAsia" w:ascii="仿宋_GB2312" w:eastAsia="仿宋_GB2312"/>
          <w:sz w:val="32"/>
          <w:szCs w:val="32"/>
        </w:rPr>
      </w:pPr>
      <w:r>
        <w:rPr>
          <w:rFonts w:hint="eastAsia" w:ascii="仿宋_GB2312" w:eastAsia="仿宋_GB2312"/>
          <w:sz w:val="32"/>
          <w:szCs w:val="32"/>
        </w:rPr>
        <w:t xml:space="preserve">日期：    </w:t>
      </w: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pStyle w:val="159"/>
        <w:spacing w:line="360" w:lineRule="auto"/>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方正仿宋">
    <w:altName w:val="仿宋"/>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w:t>
    </w:r>
    <w:r>
      <w:rPr>
        <w:lang w:val="zh-CN"/>
      </w:rP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24</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60288" behindDoc="1" locked="0" layoutInCell="1" allowOverlap="1">
          <wp:simplePos x="0" y="0"/>
          <wp:positionH relativeFrom="column">
            <wp:posOffset>15240</wp:posOffset>
          </wp:positionH>
          <wp:positionV relativeFrom="paragraph">
            <wp:posOffset>-381000</wp:posOffset>
          </wp:positionV>
          <wp:extent cx="2762250" cy="518160"/>
          <wp:effectExtent l="0" t="0" r="0" b="1524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59264" behindDoc="1" locked="0" layoutInCell="1" allowOverlap="1">
          <wp:simplePos x="0" y="0"/>
          <wp:positionH relativeFrom="column">
            <wp:posOffset>-89535</wp:posOffset>
          </wp:positionH>
          <wp:positionV relativeFrom="paragraph">
            <wp:posOffset>-333375</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0D8AE"/>
    <w:multiLevelType w:val="singleLevel"/>
    <w:tmpl w:val="8500D8AE"/>
    <w:lvl w:ilvl="0" w:tentative="0">
      <w:start w:val="1"/>
      <w:numFmt w:val="chineseCounting"/>
      <w:suff w:val="nothing"/>
      <w:lvlText w:val="%1、"/>
      <w:lvlJc w:val="left"/>
      <w:pPr>
        <w:ind w:left="0" w:firstLine="420"/>
      </w:pPr>
      <w:rPr>
        <w:rFonts w:hint="eastAsia"/>
        <w:color w:val="auto"/>
      </w:rPr>
    </w:lvl>
  </w:abstractNum>
  <w:abstractNum w:abstractNumId="1">
    <w:nsid w:val="8A08667F"/>
    <w:multiLevelType w:val="singleLevel"/>
    <w:tmpl w:val="8A08667F"/>
    <w:lvl w:ilvl="0" w:tentative="0">
      <w:start w:val="1"/>
      <w:numFmt w:val="decimal"/>
      <w:lvlText w:val="%1."/>
      <w:lvlJc w:val="left"/>
      <w:pPr>
        <w:tabs>
          <w:tab w:val="left" w:pos="312"/>
        </w:tabs>
      </w:pPr>
    </w:lvl>
  </w:abstractNum>
  <w:abstractNum w:abstractNumId="2">
    <w:nsid w:val="957F0E20"/>
    <w:multiLevelType w:val="singleLevel"/>
    <w:tmpl w:val="957F0E20"/>
    <w:lvl w:ilvl="0" w:tentative="0">
      <w:start w:val="1"/>
      <w:numFmt w:val="decimal"/>
      <w:lvlText w:val="%1、"/>
      <w:lvlJc w:val="left"/>
      <w:pPr>
        <w:tabs>
          <w:tab w:val="left" w:pos="420"/>
        </w:tabs>
        <w:ind w:left="425" w:leftChars="0" w:hanging="425" w:firstLineChars="0"/>
      </w:pPr>
      <w:rPr>
        <w:rFonts w:hint="default"/>
      </w:rPr>
    </w:lvl>
  </w:abstractNum>
  <w:abstractNum w:abstractNumId="3">
    <w:nsid w:val="9B32AEB0"/>
    <w:multiLevelType w:val="singleLevel"/>
    <w:tmpl w:val="9B32AEB0"/>
    <w:lvl w:ilvl="0" w:tentative="0">
      <w:start w:val="1"/>
      <w:numFmt w:val="decimal"/>
      <w:lvlText w:val="%1、"/>
      <w:lvlJc w:val="left"/>
      <w:pPr>
        <w:tabs>
          <w:tab w:val="left" w:pos="420"/>
        </w:tabs>
        <w:ind w:left="425" w:leftChars="0" w:hanging="425" w:firstLineChars="0"/>
      </w:pPr>
      <w:rPr>
        <w:rFonts w:hint="default"/>
      </w:rPr>
    </w:lvl>
  </w:abstractNum>
  <w:abstractNum w:abstractNumId="4">
    <w:nsid w:val="9F6E24F6"/>
    <w:multiLevelType w:val="singleLevel"/>
    <w:tmpl w:val="9F6E24F6"/>
    <w:lvl w:ilvl="0" w:tentative="0">
      <w:start w:val="1"/>
      <w:numFmt w:val="decimal"/>
      <w:suff w:val="nothing"/>
      <w:lvlText w:val="%1、"/>
      <w:lvlJc w:val="left"/>
    </w:lvl>
  </w:abstractNum>
  <w:abstractNum w:abstractNumId="5">
    <w:nsid w:val="A66F848F"/>
    <w:multiLevelType w:val="singleLevel"/>
    <w:tmpl w:val="A66F848F"/>
    <w:lvl w:ilvl="0" w:tentative="0">
      <w:start w:val="1"/>
      <w:numFmt w:val="chineseCounting"/>
      <w:suff w:val="nothing"/>
      <w:lvlText w:val="%1、"/>
      <w:lvlJc w:val="left"/>
      <w:pPr>
        <w:ind w:left="0" w:firstLine="420"/>
      </w:pPr>
      <w:rPr>
        <w:rFonts w:hint="eastAsia"/>
      </w:rPr>
    </w:lvl>
  </w:abstractNum>
  <w:abstractNum w:abstractNumId="6">
    <w:nsid w:val="B0072DF2"/>
    <w:multiLevelType w:val="singleLevel"/>
    <w:tmpl w:val="B0072DF2"/>
    <w:lvl w:ilvl="0" w:tentative="0">
      <w:start w:val="1"/>
      <w:numFmt w:val="chineseCounting"/>
      <w:suff w:val="nothing"/>
      <w:lvlText w:val="%1、"/>
      <w:lvlJc w:val="left"/>
      <w:pPr>
        <w:ind w:left="0" w:firstLine="420"/>
      </w:pPr>
      <w:rPr>
        <w:rFonts w:hint="eastAsia"/>
      </w:rPr>
    </w:lvl>
  </w:abstractNum>
  <w:abstractNum w:abstractNumId="7">
    <w:nsid w:val="B00B7CA3"/>
    <w:multiLevelType w:val="singleLevel"/>
    <w:tmpl w:val="B00B7CA3"/>
    <w:lvl w:ilvl="0" w:tentative="0">
      <w:start w:val="1"/>
      <w:numFmt w:val="chineseCounting"/>
      <w:suff w:val="nothing"/>
      <w:lvlText w:val="（%1）"/>
      <w:lvlJc w:val="left"/>
      <w:pPr>
        <w:ind w:left="0" w:firstLine="420"/>
      </w:pPr>
      <w:rPr>
        <w:rFonts w:hint="eastAsia"/>
      </w:rPr>
    </w:lvl>
  </w:abstractNum>
  <w:abstractNum w:abstractNumId="8">
    <w:nsid w:val="B4C42A03"/>
    <w:multiLevelType w:val="singleLevel"/>
    <w:tmpl w:val="B4C42A03"/>
    <w:lvl w:ilvl="0" w:tentative="0">
      <w:start w:val="1"/>
      <w:numFmt w:val="decimal"/>
      <w:suff w:val="nothing"/>
      <w:lvlText w:val="%1、"/>
      <w:lvlJc w:val="left"/>
    </w:lvl>
  </w:abstractNum>
  <w:abstractNum w:abstractNumId="9">
    <w:nsid w:val="B8E4CF2F"/>
    <w:multiLevelType w:val="singleLevel"/>
    <w:tmpl w:val="B8E4CF2F"/>
    <w:lvl w:ilvl="0" w:tentative="0">
      <w:start w:val="1"/>
      <w:numFmt w:val="decimal"/>
      <w:lvlText w:val="%1、"/>
      <w:lvlJc w:val="left"/>
      <w:pPr>
        <w:tabs>
          <w:tab w:val="left" w:pos="420"/>
        </w:tabs>
        <w:ind w:left="425" w:leftChars="0" w:hanging="425" w:firstLineChars="0"/>
      </w:pPr>
      <w:rPr>
        <w:rFonts w:hint="default"/>
      </w:rPr>
    </w:lvl>
  </w:abstractNum>
  <w:abstractNum w:abstractNumId="10">
    <w:nsid w:val="BBAD70B9"/>
    <w:multiLevelType w:val="singleLevel"/>
    <w:tmpl w:val="BBAD70B9"/>
    <w:lvl w:ilvl="0" w:tentative="0">
      <w:start w:val="1"/>
      <w:numFmt w:val="chineseCounting"/>
      <w:suff w:val="nothing"/>
      <w:lvlText w:val="%1、"/>
      <w:lvlJc w:val="left"/>
      <w:pPr>
        <w:ind w:left="0" w:firstLine="420"/>
      </w:pPr>
      <w:rPr>
        <w:rFonts w:hint="eastAsia"/>
      </w:rPr>
    </w:lvl>
  </w:abstractNum>
  <w:abstractNum w:abstractNumId="11">
    <w:nsid w:val="BD30033E"/>
    <w:multiLevelType w:val="singleLevel"/>
    <w:tmpl w:val="BD30033E"/>
    <w:lvl w:ilvl="0" w:tentative="0">
      <w:start w:val="1"/>
      <w:numFmt w:val="decimal"/>
      <w:suff w:val="nothing"/>
      <w:lvlText w:val="%1、"/>
      <w:lvlJc w:val="left"/>
    </w:lvl>
  </w:abstractNum>
  <w:abstractNum w:abstractNumId="12">
    <w:nsid w:val="CC0459BB"/>
    <w:multiLevelType w:val="singleLevel"/>
    <w:tmpl w:val="CC0459BB"/>
    <w:lvl w:ilvl="0" w:tentative="0">
      <w:start w:val="1"/>
      <w:numFmt w:val="decimal"/>
      <w:lvlText w:val="%1、"/>
      <w:lvlJc w:val="left"/>
      <w:pPr>
        <w:tabs>
          <w:tab w:val="left" w:pos="420"/>
        </w:tabs>
        <w:ind w:left="425" w:leftChars="0" w:hanging="425" w:firstLineChars="0"/>
      </w:pPr>
      <w:rPr>
        <w:rFonts w:hint="default"/>
      </w:rPr>
    </w:lvl>
  </w:abstractNum>
  <w:abstractNum w:abstractNumId="13">
    <w:nsid w:val="D727D29D"/>
    <w:multiLevelType w:val="singleLevel"/>
    <w:tmpl w:val="D727D29D"/>
    <w:lvl w:ilvl="0" w:tentative="0">
      <w:start w:val="1"/>
      <w:numFmt w:val="chineseCounting"/>
      <w:suff w:val="nothing"/>
      <w:lvlText w:val="%1、"/>
      <w:lvlJc w:val="left"/>
      <w:pPr>
        <w:ind w:left="0" w:firstLine="420"/>
      </w:pPr>
      <w:rPr>
        <w:rFonts w:hint="eastAsia"/>
      </w:rPr>
    </w:lvl>
  </w:abstractNum>
  <w:abstractNum w:abstractNumId="14">
    <w:nsid w:val="DB588A48"/>
    <w:multiLevelType w:val="singleLevel"/>
    <w:tmpl w:val="DB588A48"/>
    <w:lvl w:ilvl="0" w:tentative="0">
      <w:start w:val="1"/>
      <w:numFmt w:val="chineseCounting"/>
      <w:suff w:val="nothing"/>
      <w:lvlText w:val="%1、"/>
      <w:lvlJc w:val="left"/>
      <w:pPr>
        <w:ind w:left="0" w:firstLine="420"/>
      </w:pPr>
      <w:rPr>
        <w:rFonts w:hint="eastAsia"/>
      </w:rPr>
    </w:lvl>
  </w:abstractNum>
  <w:abstractNum w:abstractNumId="15">
    <w:nsid w:val="DCC18943"/>
    <w:multiLevelType w:val="singleLevel"/>
    <w:tmpl w:val="DCC18943"/>
    <w:lvl w:ilvl="0" w:tentative="0">
      <w:start w:val="1"/>
      <w:numFmt w:val="chineseCounting"/>
      <w:suff w:val="nothing"/>
      <w:lvlText w:val="%1、"/>
      <w:lvlJc w:val="left"/>
      <w:pPr>
        <w:ind w:left="0" w:firstLine="420"/>
      </w:pPr>
      <w:rPr>
        <w:rFonts w:hint="eastAsia"/>
      </w:rPr>
    </w:lvl>
  </w:abstractNum>
  <w:abstractNum w:abstractNumId="16">
    <w:nsid w:val="E2FDC636"/>
    <w:multiLevelType w:val="singleLevel"/>
    <w:tmpl w:val="E2FDC636"/>
    <w:lvl w:ilvl="0" w:tentative="0">
      <w:start w:val="1"/>
      <w:numFmt w:val="chineseCounting"/>
      <w:suff w:val="nothing"/>
      <w:lvlText w:val="%1、"/>
      <w:lvlJc w:val="left"/>
      <w:pPr>
        <w:ind w:left="0" w:firstLine="420"/>
      </w:pPr>
      <w:rPr>
        <w:rFonts w:hint="eastAsia"/>
      </w:rPr>
    </w:lvl>
  </w:abstractNum>
  <w:abstractNum w:abstractNumId="17">
    <w:nsid w:val="E714C15B"/>
    <w:multiLevelType w:val="singleLevel"/>
    <w:tmpl w:val="E714C15B"/>
    <w:lvl w:ilvl="0" w:tentative="0">
      <w:start w:val="1"/>
      <w:numFmt w:val="decimal"/>
      <w:lvlText w:val="%1、"/>
      <w:lvlJc w:val="left"/>
      <w:pPr>
        <w:tabs>
          <w:tab w:val="left" w:pos="420"/>
        </w:tabs>
        <w:ind w:left="425" w:leftChars="0" w:hanging="425" w:firstLineChars="0"/>
      </w:pPr>
      <w:rPr>
        <w:rFonts w:hint="default"/>
      </w:rPr>
    </w:lvl>
  </w:abstractNum>
  <w:abstractNum w:abstractNumId="18">
    <w:nsid w:val="E9A41E8D"/>
    <w:multiLevelType w:val="singleLevel"/>
    <w:tmpl w:val="E9A41E8D"/>
    <w:lvl w:ilvl="0" w:tentative="0">
      <w:start w:val="1"/>
      <w:numFmt w:val="decimal"/>
      <w:lvlText w:val="(%1)"/>
      <w:lvlJc w:val="left"/>
      <w:pPr>
        <w:ind w:left="425" w:hanging="425"/>
      </w:pPr>
      <w:rPr>
        <w:rFonts w:hint="default"/>
      </w:rPr>
    </w:lvl>
  </w:abstractNum>
  <w:abstractNum w:abstractNumId="19">
    <w:nsid w:val="EB83EEDC"/>
    <w:multiLevelType w:val="singleLevel"/>
    <w:tmpl w:val="EB83EEDC"/>
    <w:lvl w:ilvl="0" w:tentative="0">
      <w:start w:val="1"/>
      <w:numFmt w:val="decimal"/>
      <w:lvlText w:val="%1、"/>
      <w:lvlJc w:val="left"/>
      <w:pPr>
        <w:tabs>
          <w:tab w:val="left" w:pos="420"/>
        </w:tabs>
        <w:ind w:left="425" w:leftChars="0" w:hanging="425" w:firstLineChars="0"/>
      </w:pPr>
      <w:rPr>
        <w:rFonts w:hint="default"/>
      </w:rPr>
    </w:lvl>
  </w:abstractNum>
  <w:abstractNum w:abstractNumId="20">
    <w:nsid w:val="EDBAF950"/>
    <w:multiLevelType w:val="singleLevel"/>
    <w:tmpl w:val="EDBAF950"/>
    <w:lvl w:ilvl="0" w:tentative="0">
      <w:start w:val="1"/>
      <w:numFmt w:val="chineseCounting"/>
      <w:suff w:val="nothing"/>
      <w:lvlText w:val="（%1）"/>
      <w:lvlJc w:val="left"/>
      <w:pPr>
        <w:ind w:left="0" w:firstLine="420"/>
      </w:pPr>
      <w:rPr>
        <w:rFonts w:hint="eastAsia"/>
      </w:rPr>
    </w:lvl>
  </w:abstractNum>
  <w:abstractNum w:abstractNumId="21">
    <w:nsid w:val="F8FC6419"/>
    <w:multiLevelType w:val="singleLevel"/>
    <w:tmpl w:val="F8FC6419"/>
    <w:lvl w:ilvl="0" w:tentative="0">
      <w:start w:val="1"/>
      <w:numFmt w:val="decimal"/>
      <w:lvlText w:val="%1、"/>
      <w:lvlJc w:val="left"/>
      <w:pPr>
        <w:tabs>
          <w:tab w:val="left" w:pos="420"/>
        </w:tabs>
        <w:ind w:left="425" w:leftChars="0" w:hanging="425" w:firstLineChars="0"/>
      </w:pPr>
      <w:rPr>
        <w:rFonts w:hint="default"/>
      </w:rPr>
    </w:lvl>
  </w:abstractNum>
  <w:abstractNum w:abstractNumId="22">
    <w:nsid w:val="00000025"/>
    <w:multiLevelType w:val="multilevel"/>
    <w:tmpl w:val="00000025"/>
    <w:lvl w:ilvl="0" w:tentative="0">
      <w:start w:val="1"/>
      <w:numFmt w:val="chineseCountingThousand"/>
      <w:lvlText w:val="%1、"/>
      <w:lvlJc w:val="left"/>
      <w:pPr>
        <w:ind w:left="1130"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23">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851"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148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1843"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24">
    <w:nsid w:val="01DE73CF"/>
    <w:multiLevelType w:val="singleLevel"/>
    <w:tmpl w:val="01DE73CF"/>
    <w:lvl w:ilvl="0" w:tentative="0">
      <w:start w:val="1"/>
      <w:numFmt w:val="chineseCounting"/>
      <w:suff w:val="nothing"/>
      <w:lvlText w:val="%1、"/>
      <w:lvlJc w:val="left"/>
      <w:pPr>
        <w:ind w:left="0" w:firstLine="420"/>
      </w:pPr>
      <w:rPr>
        <w:rFonts w:hint="eastAsia"/>
      </w:rPr>
    </w:lvl>
  </w:abstractNum>
  <w:abstractNum w:abstractNumId="25">
    <w:nsid w:val="05F94F41"/>
    <w:multiLevelType w:val="singleLevel"/>
    <w:tmpl w:val="05F94F41"/>
    <w:lvl w:ilvl="0" w:tentative="0">
      <w:start w:val="1"/>
      <w:numFmt w:val="chineseCounting"/>
      <w:suff w:val="nothing"/>
      <w:lvlText w:val="%1、"/>
      <w:lvlJc w:val="left"/>
      <w:pPr>
        <w:ind w:left="0" w:firstLine="420"/>
      </w:pPr>
      <w:rPr>
        <w:rFonts w:hint="eastAsia"/>
      </w:rPr>
    </w:lvl>
  </w:abstractNum>
  <w:abstractNum w:abstractNumId="26">
    <w:nsid w:val="08C8ED71"/>
    <w:multiLevelType w:val="singleLevel"/>
    <w:tmpl w:val="08C8ED71"/>
    <w:lvl w:ilvl="0" w:tentative="0">
      <w:start w:val="1"/>
      <w:numFmt w:val="decimal"/>
      <w:lvlText w:val="%1、"/>
      <w:lvlJc w:val="left"/>
      <w:pPr>
        <w:tabs>
          <w:tab w:val="left" w:pos="420"/>
        </w:tabs>
        <w:ind w:left="425" w:leftChars="0" w:hanging="425" w:firstLineChars="0"/>
      </w:pPr>
      <w:rPr>
        <w:rFonts w:hint="default"/>
      </w:rPr>
    </w:lvl>
  </w:abstractNum>
  <w:abstractNum w:abstractNumId="27">
    <w:nsid w:val="0A92227D"/>
    <w:multiLevelType w:val="multilevel"/>
    <w:tmpl w:val="0A92227D"/>
    <w:lvl w:ilvl="0" w:tentative="0">
      <w:start w:val="1"/>
      <w:numFmt w:val="bullet"/>
      <w:pStyle w:val="110"/>
      <w:lvlText w:val=""/>
      <w:lvlJc w:val="left"/>
      <w:pPr>
        <w:ind w:left="900" w:hanging="420"/>
      </w:pPr>
      <w:rPr>
        <w:rFonts w:hint="default" w:ascii="Wingdings" w:hAnsi="Wingdings"/>
      </w:rPr>
    </w:lvl>
    <w:lvl w:ilvl="1" w:tentative="0">
      <w:start w:val="1"/>
      <w:numFmt w:val="bullet"/>
      <w:pStyle w:val="109"/>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8">
    <w:nsid w:val="0C019D17"/>
    <w:multiLevelType w:val="singleLevel"/>
    <w:tmpl w:val="0C019D17"/>
    <w:lvl w:ilvl="0" w:tentative="0">
      <w:start w:val="1"/>
      <w:numFmt w:val="decimal"/>
      <w:lvlText w:val="%1、"/>
      <w:lvlJc w:val="left"/>
      <w:pPr>
        <w:tabs>
          <w:tab w:val="left" w:pos="420"/>
        </w:tabs>
        <w:ind w:left="425" w:leftChars="0" w:hanging="425" w:firstLineChars="0"/>
      </w:pPr>
      <w:rPr>
        <w:rFonts w:hint="default"/>
      </w:rPr>
    </w:lvl>
  </w:abstractNum>
  <w:abstractNum w:abstractNumId="29">
    <w:nsid w:val="0D2E85B1"/>
    <w:multiLevelType w:val="singleLevel"/>
    <w:tmpl w:val="0D2E85B1"/>
    <w:lvl w:ilvl="0" w:tentative="0">
      <w:start w:val="1"/>
      <w:numFmt w:val="decimal"/>
      <w:suff w:val="nothing"/>
      <w:lvlText w:val="%1、"/>
      <w:lvlJc w:val="left"/>
    </w:lvl>
  </w:abstractNum>
  <w:abstractNum w:abstractNumId="30">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1">
    <w:nsid w:val="0E3FFB6D"/>
    <w:multiLevelType w:val="singleLevel"/>
    <w:tmpl w:val="0E3FFB6D"/>
    <w:lvl w:ilvl="0" w:tentative="0">
      <w:start w:val="1"/>
      <w:numFmt w:val="decimal"/>
      <w:lvlText w:val="(%1)"/>
      <w:lvlJc w:val="left"/>
      <w:pPr>
        <w:ind w:left="425" w:hanging="425"/>
      </w:pPr>
      <w:rPr>
        <w:rFonts w:hint="default"/>
      </w:rPr>
    </w:lvl>
  </w:abstractNum>
  <w:abstractNum w:abstractNumId="32">
    <w:nsid w:val="13A54C46"/>
    <w:multiLevelType w:val="multilevel"/>
    <w:tmpl w:val="13A54C46"/>
    <w:lvl w:ilvl="0" w:tentative="0">
      <w:start w:val="1"/>
      <w:numFmt w:val="decimal"/>
      <w:lvlText w:val="第%1章"/>
      <w:lvlJc w:val="left"/>
      <w:pPr>
        <w:tabs>
          <w:tab w:val="left" w:pos="425"/>
        </w:tabs>
        <w:ind w:left="425" w:hanging="425"/>
      </w:pPr>
      <w:rPr>
        <w:rFonts w:hint="default" w:ascii="Times New Roman" w:hAnsi="Times New Roman" w:eastAsia="宋体"/>
        <w:b/>
        <w:i w:val="0"/>
        <w:sz w:val="28"/>
        <w:szCs w:val="28"/>
      </w:rPr>
    </w:lvl>
    <w:lvl w:ilvl="1" w:tentative="0">
      <w:start w:val="1"/>
      <w:numFmt w:val="decimal"/>
      <w:lvlText w:val="%1.%2."/>
      <w:lvlJc w:val="left"/>
      <w:pPr>
        <w:tabs>
          <w:tab w:val="left" w:pos="927"/>
        </w:tabs>
        <w:ind w:left="927" w:hanging="567"/>
      </w:pPr>
      <w:rPr>
        <w:rFonts w:hint="default" w:ascii="Times New Roman" w:hAnsi="Times New Roman" w:eastAsia="宋体"/>
        <w:b/>
        <w:i w:val="0"/>
        <w:sz w:val="28"/>
        <w:szCs w:val="28"/>
      </w:rPr>
    </w:lvl>
    <w:lvl w:ilvl="2" w:tentative="0">
      <w:start w:val="1"/>
      <w:numFmt w:val="decimal"/>
      <w:lvlText w:val="%1.%2.%3."/>
      <w:lvlJc w:val="left"/>
      <w:pPr>
        <w:tabs>
          <w:tab w:val="left" w:pos="1429"/>
        </w:tabs>
        <w:ind w:left="1429" w:hanging="709"/>
      </w:pPr>
      <w:rPr>
        <w:rFonts w:hint="default" w:ascii="Times New Roman" w:hAnsi="Times New Roman" w:eastAsia="宋体"/>
        <w:b/>
        <w:i w:val="0"/>
        <w:sz w:val="28"/>
        <w:szCs w:val="28"/>
      </w:rPr>
    </w:lvl>
    <w:lvl w:ilvl="3" w:tentative="0">
      <w:start w:val="1"/>
      <w:numFmt w:val="decimal"/>
      <w:lvlText w:val="%1.1.%2.%4."/>
      <w:lvlJc w:val="left"/>
      <w:pPr>
        <w:tabs>
          <w:tab w:val="left" w:pos="2291"/>
        </w:tabs>
        <w:ind w:left="229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7"/>
      <w:lvlText w:val="%1.%2.%3.%4.%5."/>
      <w:lvlJc w:val="left"/>
      <w:pPr>
        <w:tabs>
          <w:tab w:val="left" w:pos="992"/>
        </w:tabs>
        <w:ind w:left="99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1441DAFC"/>
    <w:multiLevelType w:val="singleLevel"/>
    <w:tmpl w:val="1441DAFC"/>
    <w:lvl w:ilvl="0" w:tentative="0">
      <w:start w:val="1"/>
      <w:numFmt w:val="chineseCounting"/>
      <w:suff w:val="nothing"/>
      <w:lvlText w:val="（%1）"/>
      <w:lvlJc w:val="left"/>
      <w:pPr>
        <w:ind w:left="0" w:firstLine="420"/>
      </w:pPr>
      <w:rPr>
        <w:rFonts w:hint="eastAsia"/>
      </w:rPr>
    </w:lvl>
  </w:abstractNum>
  <w:abstractNum w:abstractNumId="34">
    <w:nsid w:val="14792A32"/>
    <w:multiLevelType w:val="multilevel"/>
    <w:tmpl w:val="14792A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5">
    <w:nsid w:val="1517B247"/>
    <w:multiLevelType w:val="singleLevel"/>
    <w:tmpl w:val="1517B247"/>
    <w:lvl w:ilvl="0" w:tentative="0">
      <w:start w:val="3"/>
      <w:numFmt w:val="decimal"/>
      <w:lvlText w:val="%1."/>
      <w:lvlJc w:val="left"/>
      <w:pPr>
        <w:tabs>
          <w:tab w:val="left" w:pos="312"/>
        </w:tabs>
      </w:pPr>
    </w:lvl>
  </w:abstractNum>
  <w:abstractNum w:abstractNumId="36">
    <w:nsid w:val="1C96037F"/>
    <w:multiLevelType w:val="singleLevel"/>
    <w:tmpl w:val="1C96037F"/>
    <w:lvl w:ilvl="0" w:tentative="0">
      <w:start w:val="1"/>
      <w:numFmt w:val="chineseCounting"/>
      <w:suff w:val="nothing"/>
      <w:lvlText w:val="%1、"/>
      <w:lvlJc w:val="left"/>
      <w:pPr>
        <w:ind w:left="0" w:firstLine="420"/>
      </w:pPr>
      <w:rPr>
        <w:rFonts w:hint="eastAsia"/>
      </w:rPr>
    </w:lvl>
  </w:abstractNum>
  <w:abstractNum w:abstractNumId="37">
    <w:nsid w:val="1D059160"/>
    <w:multiLevelType w:val="singleLevel"/>
    <w:tmpl w:val="1D059160"/>
    <w:lvl w:ilvl="0" w:tentative="0">
      <w:start w:val="1"/>
      <w:numFmt w:val="chineseCounting"/>
      <w:suff w:val="nothing"/>
      <w:lvlText w:val="（%1）"/>
      <w:lvlJc w:val="left"/>
      <w:pPr>
        <w:ind w:left="0" w:firstLine="420"/>
      </w:pPr>
      <w:rPr>
        <w:rFonts w:hint="eastAsia"/>
      </w:rPr>
    </w:lvl>
  </w:abstractNum>
  <w:abstractNum w:abstractNumId="38">
    <w:nsid w:val="26B52FFE"/>
    <w:multiLevelType w:val="multilevel"/>
    <w:tmpl w:val="26B52FFE"/>
    <w:lvl w:ilvl="0" w:tentative="0">
      <w:start w:val="1"/>
      <w:numFmt w:val="decimal"/>
      <w:lvlText w:val="第%1章"/>
      <w:lvlJc w:val="left"/>
      <w:pPr>
        <w:ind w:left="431" w:hanging="431"/>
      </w:pPr>
      <w:rPr>
        <w:rFonts w:hint="default" w:ascii="Calibri" w:hAnsi="Calibri" w:eastAsia="黑体"/>
        <w:b/>
        <w:i w:val="0"/>
        <w:sz w:val="32"/>
      </w:rPr>
    </w:lvl>
    <w:lvl w:ilvl="1" w:tentative="0">
      <w:start w:val="1"/>
      <w:numFmt w:val="decimal"/>
      <w:pStyle w:val="74"/>
      <w:lvlText w:val="%1.%2"/>
      <w:lvlJc w:val="left"/>
      <w:pPr>
        <w:ind w:left="431" w:hanging="431"/>
      </w:pPr>
      <w:rPr>
        <w:rFonts w:hint="default" w:ascii="Calibri" w:hAnsi="Calibri" w:eastAsia="宋体"/>
        <w:b/>
        <w:i w:val="0"/>
        <w:sz w:val="28"/>
      </w:rPr>
    </w:lvl>
    <w:lvl w:ilvl="2" w:tentative="0">
      <w:start w:val="1"/>
      <w:numFmt w:val="decimal"/>
      <w:lvlText w:val="%1.%2.%3"/>
      <w:lvlJc w:val="left"/>
      <w:pPr>
        <w:ind w:left="431" w:hanging="431"/>
      </w:pPr>
      <w:rPr>
        <w:rFonts w:hint="default" w:ascii="Calibri" w:hAnsi="Calibri" w:eastAsia="宋体"/>
        <w:b/>
        <w:i w:val="0"/>
        <w:sz w:val="28"/>
      </w:rPr>
    </w:lvl>
    <w:lvl w:ilvl="3" w:tentative="0">
      <w:start w:val="1"/>
      <w:numFmt w:val="decimal"/>
      <w:isLgl/>
      <w:lvlText w:val="%1.%2.%3.%4"/>
      <w:lvlJc w:val="left"/>
      <w:pPr>
        <w:ind w:left="431" w:hanging="431"/>
      </w:pPr>
      <w:rPr>
        <w:rFonts w:hint="default" w:ascii="Calibri" w:hAnsi="Calibri" w:eastAsia="宋体"/>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39">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40">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3190916B"/>
    <w:multiLevelType w:val="singleLevel"/>
    <w:tmpl w:val="3190916B"/>
    <w:lvl w:ilvl="0" w:tentative="0">
      <w:start w:val="1"/>
      <w:numFmt w:val="chineseCounting"/>
      <w:suff w:val="nothing"/>
      <w:lvlText w:val="%1、"/>
      <w:lvlJc w:val="left"/>
      <w:pPr>
        <w:ind w:left="0" w:firstLine="420"/>
      </w:pPr>
      <w:rPr>
        <w:rFonts w:hint="eastAsia"/>
      </w:rPr>
    </w:lvl>
  </w:abstractNum>
  <w:abstractNum w:abstractNumId="42">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3882EC5E"/>
    <w:multiLevelType w:val="singleLevel"/>
    <w:tmpl w:val="3882EC5E"/>
    <w:lvl w:ilvl="0" w:tentative="0">
      <w:start w:val="1"/>
      <w:numFmt w:val="chineseCounting"/>
      <w:suff w:val="nothing"/>
      <w:lvlText w:val="%1、"/>
      <w:lvlJc w:val="left"/>
      <w:pPr>
        <w:ind w:left="0" w:firstLine="420"/>
      </w:pPr>
      <w:rPr>
        <w:rFonts w:hint="eastAsia"/>
      </w:rPr>
    </w:lvl>
  </w:abstractNum>
  <w:abstractNum w:abstractNumId="4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5">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43D2B39"/>
    <w:multiLevelType w:val="multilevel"/>
    <w:tmpl w:val="443D2B39"/>
    <w:lvl w:ilvl="0" w:tentative="0">
      <w:start w:val="1"/>
      <w:numFmt w:val="chineseCountingThousand"/>
      <w:lvlText w:val="%1、"/>
      <w:lvlJc w:val="left"/>
      <w:pPr>
        <w:ind w:left="988" w:hanging="420"/>
      </w:pPr>
      <w:rPr>
        <w:rFonts w:hint="eastAsia" w:ascii="宋体" w:hAnsi="宋体" w:eastAsia="宋体"/>
        <w:i w:val="0"/>
        <w:sz w:val="24"/>
        <w:szCs w:val="24"/>
      </w:rPr>
    </w:lvl>
    <w:lvl w:ilvl="1" w:tentative="0">
      <w:start w:val="1"/>
      <w:numFmt w:val="lowerLetter"/>
      <w:lvlText w:val="%2)"/>
      <w:lvlJc w:val="left"/>
      <w:pPr>
        <w:ind w:left="482" w:hanging="420"/>
      </w:pPr>
    </w:lvl>
    <w:lvl w:ilvl="2" w:tentative="0">
      <w:start w:val="1"/>
      <w:numFmt w:val="lowerRoman"/>
      <w:lvlText w:val="%3."/>
      <w:lvlJc w:val="right"/>
      <w:pPr>
        <w:ind w:left="902" w:hanging="420"/>
      </w:pPr>
    </w:lvl>
    <w:lvl w:ilvl="3" w:tentative="0">
      <w:start w:val="1"/>
      <w:numFmt w:val="decimal"/>
      <w:lvlText w:val="%4."/>
      <w:lvlJc w:val="left"/>
      <w:pPr>
        <w:ind w:left="1322" w:hanging="420"/>
      </w:pPr>
    </w:lvl>
    <w:lvl w:ilvl="4" w:tentative="0">
      <w:start w:val="1"/>
      <w:numFmt w:val="lowerLetter"/>
      <w:lvlText w:val="%5)"/>
      <w:lvlJc w:val="left"/>
      <w:pPr>
        <w:ind w:left="1742" w:hanging="420"/>
      </w:pPr>
    </w:lvl>
    <w:lvl w:ilvl="5" w:tentative="0">
      <w:start w:val="1"/>
      <w:numFmt w:val="lowerRoman"/>
      <w:lvlText w:val="%6."/>
      <w:lvlJc w:val="right"/>
      <w:pPr>
        <w:ind w:left="2162" w:hanging="420"/>
      </w:pPr>
    </w:lvl>
    <w:lvl w:ilvl="6" w:tentative="0">
      <w:start w:val="1"/>
      <w:numFmt w:val="decimal"/>
      <w:lvlText w:val="%7."/>
      <w:lvlJc w:val="left"/>
      <w:pPr>
        <w:ind w:left="2582" w:hanging="420"/>
      </w:pPr>
    </w:lvl>
    <w:lvl w:ilvl="7" w:tentative="0">
      <w:start w:val="1"/>
      <w:numFmt w:val="lowerLetter"/>
      <w:lvlText w:val="%8)"/>
      <w:lvlJc w:val="left"/>
      <w:pPr>
        <w:ind w:left="3002" w:hanging="420"/>
      </w:pPr>
    </w:lvl>
    <w:lvl w:ilvl="8" w:tentative="0">
      <w:start w:val="1"/>
      <w:numFmt w:val="lowerRoman"/>
      <w:lvlText w:val="%9."/>
      <w:lvlJc w:val="right"/>
      <w:pPr>
        <w:ind w:left="3422" w:hanging="420"/>
      </w:pPr>
    </w:lvl>
  </w:abstractNum>
  <w:abstractNum w:abstractNumId="47">
    <w:nsid w:val="4A64B653"/>
    <w:multiLevelType w:val="singleLevel"/>
    <w:tmpl w:val="4A64B653"/>
    <w:lvl w:ilvl="0" w:tentative="0">
      <w:start w:val="1"/>
      <w:numFmt w:val="chineseCounting"/>
      <w:suff w:val="nothing"/>
      <w:lvlText w:val="%1、"/>
      <w:lvlJc w:val="left"/>
      <w:pPr>
        <w:ind w:left="0" w:firstLine="420"/>
      </w:pPr>
      <w:rPr>
        <w:rFonts w:hint="eastAsia"/>
      </w:rPr>
    </w:lvl>
  </w:abstractNum>
  <w:abstractNum w:abstractNumId="48">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9">
    <w:nsid w:val="50118A97"/>
    <w:multiLevelType w:val="singleLevel"/>
    <w:tmpl w:val="50118A97"/>
    <w:lvl w:ilvl="0" w:tentative="0">
      <w:start w:val="1"/>
      <w:numFmt w:val="chineseCounting"/>
      <w:suff w:val="nothing"/>
      <w:lvlText w:val="（%1）"/>
      <w:lvlJc w:val="left"/>
      <w:pPr>
        <w:ind w:left="0" w:firstLine="420"/>
      </w:pPr>
      <w:rPr>
        <w:rFonts w:hint="eastAsia"/>
      </w:rPr>
    </w:lvl>
  </w:abstractNum>
  <w:abstractNum w:abstractNumId="50">
    <w:nsid w:val="50C55B20"/>
    <w:multiLevelType w:val="singleLevel"/>
    <w:tmpl w:val="50C55B20"/>
    <w:lvl w:ilvl="0" w:tentative="0">
      <w:start w:val="1"/>
      <w:numFmt w:val="decimal"/>
      <w:lvlText w:val="%1、"/>
      <w:lvlJc w:val="left"/>
      <w:pPr>
        <w:tabs>
          <w:tab w:val="left" w:pos="420"/>
        </w:tabs>
        <w:ind w:left="425" w:leftChars="0" w:hanging="425" w:firstLineChars="0"/>
      </w:pPr>
      <w:rPr>
        <w:rFonts w:hint="default"/>
      </w:rPr>
    </w:lvl>
  </w:abstractNum>
  <w:abstractNum w:abstractNumId="51">
    <w:nsid w:val="50D371C0"/>
    <w:multiLevelType w:val="singleLevel"/>
    <w:tmpl w:val="50D371C0"/>
    <w:lvl w:ilvl="0" w:tentative="0">
      <w:start w:val="1"/>
      <w:numFmt w:val="chineseCounting"/>
      <w:suff w:val="nothing"/>
      <w:lvlText w:val="（%1）"/>
      <w:lvlJc w:val="left"/>
      <w:pPr>
        <w:ind w:left="0" w:firstLine="420"/>
      </w:pPr>
      <w:rPr>
        <w:rFonts w:hint="eastAsia"/>
      </w:rPr>
    </w:lvl>
  </w:abstractNum>
  <w:abstractNum w:abstractNumId="52">
    <w:nsid w:val="54F1336D"/>
    <w:multiLevelType w:val="singleLevel"/>
    <w:tmpl w:val="54F1336D"/>
    <w:lvl w:ilvl="0" w:tentative="0">
      <w:start w:val="1"/>
      <w:numFmt w:val="decimal"/>
      <w:lvlText w:val="%1"/>
      <w:lvlJc w:val="left"/>
      <w:pPr>
        <w:tabs>
          <w:tab w:val="left" w:pos="425"/>
        </w:tabs>
        <w:ind w:left="425" w:hanging="425"/>
      </w:pPr>
      <w:rPr>
        <w:rFonts w:hint="default"/>
      </w:rPr>
    </w:lvl>
  </w:abstractNum>
  <w:abstractNum w:abstractNumId="53">
    <w:nsid w:val="5508678B"/>
    <w:multiLevelType w:val="multilevel"/>
    <w:tmpl w:val="5508678B"/>
    <w:lvl w:ilvl="0" w:tentative="0">
      <w:start w:val="1"/>
      <w:numFmt w:val="decimal"/>
      <w:pStyle w:val="6"/>
      <w:lvlText w:val="3.3.1.%1"/>
      <w:lvlJc w:val="left"/>
      <w:pPr>
        <w:ind w:left="1130" w:hanging="420"/>
      </w:pPr>
      <w:rPr>
        <w:rFonts w:hint="default" w:ascii="Times New Roman" w:hAnsi="Times New Roman" w:cs="Times New Roman"/>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4">
    <w:nsid w:val="589773EE"/>
    <w:multiLevelType w:val="multilevel"/>
    <w:tmpl w:val="589773EE"/>
    <w:lvl w:ilvl="0" w:tentative="0">
      <w:start w:val="1"/>
      <w:numFmt w:val="bullet"/>
      <w:lvlText w:val=""/>
      <w:lvlJc w:val="left"/>
      <w:pPr>
        <w:ind w:left="561"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55">
    <w:nsid w:val="58E489F3"/>
    <w:multiLevelType w:val="singleLevel"/>
    <w:tmpl w:val="58E489F3"/>
    <w:lvl w:ilvl="0" w:tentative="0">
      <w:start w:val="1"/>
      <w:numFmt w:val="chineseCounting"/>
      <w:suff w:val="nothing"/>
      <w:lvlText w:val="%1、"/>
      <w:lvlJc w:val="left"/>
      <w:pPr>
        <w:ind w:left="0" w:firstLine="420"/>
      </w:pPr>
      <w:rPr>
        <w:rFonts w:hint="eastAsia"/>
      </w:rPr>
    </w:lvl>
  </w:abstractNum>
  <w:abstractNum w:abstractNumId="56">
    <w:nsid w:val="58E48AF3"/>
    <w:multiLevelType w:val="singleLevel"/>
    <w:tmpl w:val="58E48AF3"/>
    <w:lvl w:ilvl="0" w:tentative="0">
      <w:start w:val="1"/>
      <w:numFmt w:val="chineseCounting"/>
      <w:suff w:val="nothing"/>
      <w:lvlText w:val="%1、"/>
      <w:lvlJc w:val="left"/>
      <w:pPr>
        <w:ind w:left="0" w:firstLine="420"/>
      </w:pPr>
      <w:rPr>
        <w:rFonts w:hint="eastAsia"/>
      </w:rPr>
    </w:lvl>
  </w:abstractNum>
  <w:abstractNum w:abstractNumId="57">
    <w:nsid w:val="58E71217"/>
    <w:multiLevelType w:val="singleLevel"/>
    <w:tmpl w:val="58E71217"/>
    <w:lvl w:ilvl="0" w:tentative="0">
      <w:start w:val="1"/>
      <w:numFmt w:val="chineseCounting"/>
      <w:suff w:val="nothing"/>
      <w:lvlText w:val="%1、"/>
      <w:lvlJc w:val="left"/>
      <w:pPr>
        <w:ind w:left="0" w:firstLine="420"/>
      </w:pPr>
      <w:rPr>
        <w:rFonts w:hint="eastAsia"/>
      </w:rPr>
    </w:lvl>
  </w:abstractNum>
  <w:abstractNum w:abstractNumId="58">
    <w:nsid w:val="58F5EE34"/>
    <w:multiLevelType w:val="singleLevel"/>
    <w:tmpl w:val="58F5EE34"/>
    <w:lvl w:ilvl="0" w:tentative="0">
      <w:start w:val="3"/>
      <w:numFmt w:val="chineseCounting"/>
      <w:suff w:val="nothing"/>
      <w:lvlText w:val="%1、"/>
      <w:lvlJc w:val="left"/>
    </w:lvl>
  </w:abstractNum>
  <w:abstractNum w:abstractNumId="59">
    <w:nsid w:val="5A1D1E6C"/>
    <w:multiLevelType w:val="singleLevel"/>
    <w:tmpl w:val="5A1D1E6C"/>
    <w:lvl w:ilvl="0" w:tentative="0">
      <w:start w:val="1"/>
      <w:numFmt w:val="chineseCounting"/>
      <w:suff w:val="nothing"/>
      <w:lvlText w:val="%1、"/>
      <w:lvlJc w:val="left"/>
      <w:pPr>
        <w:ind w:left="0" w:firstLine="420"/>
      </w:pPr>
      <w:rPr>
        <w:rFonts w:hint="eastAsia"/>
      </w:rPr>
    </w:lvl>
  </w:abstractNum>
  <w:abstractNum w:abstractNumId="60">
    <w:nsid w:val="5A1FB4C1"/>
    <w:multiLevelType w:val="singleLevel"/>
    <w:tmpl w:val="5A1FB4C1"/>
    <w:lvl w:ilvl="0" w:tentative="0">
      <w:start w:val="1"/>
      <w:numFmt w:val="chineseCounting"/>
      <w:suff w:val="nothing"/>
      <w:lvlText w:val="%1、"/>
      <w:lvlJc w:val="left"/>
      <w:pPr>
        <w:ind w:left="0" w:firstLine="420"/>
      </w:pPr>
      <w:rPr>
        <w:rFonts w:hint="eastAsia"/>
      </w:rPr>
    </w:lvl>
  </w:abstractNum>
  <w:abstractNum w:abstractNumId="61">
    <w:nsid w:val="5A1FB623"/>
    <w:multiLevelType w:val="singleLevel"/>
    <w:tmpl w:val="5A1FB623"/>
    <w:lvl w:ilvl="0" w:tentative="0">
      <w:start w:val="1"/>
      <w:numFmt w:val="chineseCounting"/>
      <w:suff w:val="nothing"/>
      <w:lvlText w:val="%1、"/>
      <w:lvlJc w:val="left"/>
      <w:pPr>
        <w:ind w:left="0" w:firstLine="420"/>
      </w:pPr>
      <w:rPr>
        <w:rFonts w:hint="eastAsia"/>
      </w:rPr>
    </w:lvl>
  </w:abstractNum>
  <w:abstractNum w:abstractNumId="62">
    <w:nsid w:val="5A1FB64C"/>
    <w:multiLevelType w:val="singleLevel"/>
    <w:tmpl w:val="5A1FB64C"/>
    <w:lvl w:ilvl="0" w:tentative="0">
      <w:start w:val="1"/>
      <w:numFmt w:val="chineseCounting"/>
      <w:suff w:val="nothing"/>
      <w:lvlText w:val="%1、"/>
      <w:lvlJc w:val="left"/>
      <w:pPr>
        <w:ind w:left="0" w:firstLine="420"/>
      </w:pPr>
      <w:rPr>
        <w:rFonts w:hint="eastAsia"/>
      </w:rPr>
    </w:lvl>
  </w:abstractNum>
  <w:abstractNum w:abstractNumId="63">
    <w:nsid w:val="5A1FB65C"/>
    <w:multiLevelType w:val="singleLevel"/>
    <w:tmpl w:val="5A1FB65C"/>
    <w:lvl w:ilvl="0" w:tentative="0">
      <w:start w:val="1"/>
      <w:numFmt w:val="chineseCounting"/>
      <w:suff w:val="nothing"/>
      <w:lvlText w:val="%1、"/>
      <w:lvlJc w:val="left"/>
      <w:pPr>
        <w:ind w:left="0" w:firstLine="420"/>
      </w:pPr>
      <w:rPr>
        <w:rFonts w:hint="eastAsia"/>
      </w:rPr>
    </w:lvl>
  </w:abstractNum>
  <w:abstractNum w:abstractNumId="64">
    <w:nsid w:val="5A1FB66B"/>
    <w:multiLevelType w:val="singleLevel"/>
    <w:tmpl w:val="5A1FB66B"/>
    <w:lvl w:ilvl="0" w:tentative="0">
      <w:start w:val="1"/>
      <w:numFmt w:val="chineseCounting"/>
      <w:suff w:val="nothing"/>
      <w:lvlText w:val="%1、"/>
      <w:lvlJc w:val="left"/>
      <w:pPr>
        <w:ind w:left="0" w:firstLine="420"/>
      </w:pPr>
      <w:rPr>
        <w:rFonts w:hint="eastAsia"/>
      </w:rPr>
    </w:lvl>
  </w:abstractNum>
  <w:abstractNum w:abstractNumId="65">
    <w:nsid w:val="5A1FB67A"/>
    <w:multiLevelType w:val="singleLevel"/>
    <w:tmpl w:val="5A1FB67A"/>
    <w:lvl w:ilvl="0" w:tentative="0">
      <w:start w:val="1"/>
      <w:numFmt w:val="chineseCounting"/>
      <w:suff w:val="nothing"/>
      <w:lvlText w:val="%1、"/>
      <w:lvlJc w:val="left"/>
      <w:pPr>
        <w:ind w:left="0" w:firstLine="420"/>
      </w:pPr>
      <w:rPr>
        <w:rFonts w:hint="eastAsia"/>
      </w:rPr>
    </w:lvl>
  </w:abstractNum>
  <w:abstractNum w:abstractNumId="66">
    <w:nsid w:val="5A20FFFE"/>
    <w:multiLevelType w:val="singleLevel"/>
    <w:tmpl w:val="5A20FFFE"/>
    <w:lvl w:ilvl="0" w:tentative="0">
      <w:start w:val="1"/>
      <w:numFmt w:val="chineseCounting"/>
      <w:suff w:val="nothing"/>
      <w:lvlText w:val="%1、"/>
      <w:lvlJc w:val="left"/>
      <w:pPr>
        <w:ind w:left="0" w:firstLine="420"/>
      </w:pPr>
      <w:rPr>
        <w:rFonts w:hint="eastAsia"/>
      </w:rPr>
    </w:lvl>
  </w:abstractNum>
  <w:abstractNum w:abstractNumId="67">
    <w:nsid w:val="5A21000D"/>
    <w:multiLevelType w:val="singleLevel"/>
    <w:tmpl w:val="5A21000D"/>
    <w:lvl w:ilvl="0" w:tentative="0">
      <w:start w:val="1"/>
      <w:numFmt w:val="chineseCounting"/>
      <w:suff w:val="nothing"/>
      <w:lvlText w:val="%1、"/>
      <w:lvlJc w:val="left"/>
      <w:pPr>
        <w:ind w:left="0" w:firstLine="420"/>
      </w:pPr>
      <w:rPr>
        <w:rFonts w:hint="eastAsia"/>
      </w:rPr>
    </w:lvl>
  </w:abstractNum>
  <w:abstractNum w:abstractNumId="68">
    <w:nsid w:val="5A210054"/>
    <w:multiLevelType w:val="singleLevel"/>
    <w:tmpl w:val="5A210054"/>
    <w:lvl w:ilvl="0" w:tentative="0">
      <w:start w:val="1"/>
      <w:numFmt w:val="chineseCounting"/>
      <w:suff w:val="nothing"/>
      <w:lvlText w:val="%1、"/>
      <w:lvlJc w:val="left"/>
      <w:pPr>
        <w:ind w:left="0" w:firstLine="420"/>
      </w:pPr>
      <w:rPr>
        <w:rFonts w:hint="eastAsia"/>
      </w:rPr>
    </w:lvl>
  </w:abstractNum>
  <w:abstractNum w:abstractNumId="69">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70">
    <w:nsid w:val="5A24EE76"/>
    <w:multiLevelType w:val="singleLevel"/>
    <w:tmpl w:val="5A24EE76"/>
    <w:lvl w:ilvl="0" w:tentative="0">
      <w:start w:val="1"/>
      <w:numFmt w:val="chineseCounting"/>
      <w:suff w:val="nothing"/>
      <w:lvlText w:val="%1、"/>
      <w:lvlJc w:val="left"/>
      <w:pPr>
        <w:ind w:left="0" w:firstLine="420"/>
      </w:pPr>
      <w:rPr>
        <w:rFonts w:hint="eastAsia"/>
      </w:rPr>
    </w:lvl>
  </w:abstractNum>
  <w:abstractNum w:abstractNumId="71">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72">
    <w:nsid w:val="65396511"/>
    <w:multiLevelType w:val="singleLevel"/>
    <w:tmpl w:val="65396511"/>
    <w:lvl w:ilvl="0" w:tentative="0">
      <w:start w:val="1"/>
      <w:numFmt w:val="chineseCounting"/>
      <w:suff w:val="nothing"/>
      <w:lvlText w:val="%1、"/>
      <w:lvlJc w:val="left"/>
      <w:pPr>
        <w:ind w:left="0" w:firstLine="420"/>
      </w:pPr>
      <w:rPr>
        <w:rFonts w:hint="eastAsia"/>
      </w:rPr>
    </w:lvl>
  </w:abstractNum>
  <w:abstractNum w:abstractNumId="73">
    <w:nsid w:val="685C570A"/>
    <w:multiLevelType w:val="singleLevel"/>
    <w:tmpl w:val="685C570A"/>
    <w:lvl w:ilvl="0" w:tentative="0">
      <w:start w:val="1"/>
      <w:numFmt w:val="chineseCounting"/>
      <w:suff w:val="nothing"/>
      <w:lvlText w:val="%1、"/>
      <w:lvlJc w:val="left"/>
      <w:pPr>
        <w:ind w:left="0" w:firstLine="420"/>
      </w:pPr>
      <w:rPr>
        <w:rFonts w:hint="eastAsia"/>
      </w:rPr>
    </w:lvl>
  </w:abstractNum>
  <w:abstractNum w:abstractNumId="74">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5">
    <w:nsid w:val="71C237F0"/>
    <w:multiLevelType w:val="singleLevel"/>
    <w:tmpl w:val="71C237F0"/>
    <w:lvl w:ilvl="0" w:tentative="0">
      <w:start w:val="1"/>
      <w:numFmt w:val="chineseCounting"/>
      <w:suff w:val="nothing"/>
      <w:lvlText w:val="%1、"/>
      <w:lvlJc w:val="left"/>
      <w:pPr>
        <w:ind w:left="0" w:firstLine="420"/>
      </w:pPr>
      <w:rPr>
        <w:rFonts w:hint="eastAsia"/>
      </w:rPr>
    </w:lvl>
  </w:abstractNum>
  <w:abstractNum w:abstractNumId="76">
    <w:nsid w:val="75F7E079"/>
    <w:multiLevelType w:val="singleLevel"/>
    <w:tmpl w:val="75F7E079"/>
    <w:lvl w:ilvl="0" w:tentative="0">
      <w:start w:val="1"/>
      <w:numFmt w:val="decimal"/>
      <w:suff w:val="nothing"/>
      <w:lvlText w:val="%1、"/>
      <w:lvlJc w:val="left"/>
    </w:lvl>
  </w:abstractNum>
  <w:abstractNum w:abstractNumId="77">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23"/>
  </w:num>
  <w:num w:numId="2">
    <w:abstractNumId w:val="53"/>
  </w:num>
  <w:num w:numId="3">
    <w:abstractNumId w:val="32"/>
  </w:num>
  <w:num w:numId="4">
    <w:abstractNumId w:val="44"/>
  </w:num>
  <w:num w:numId="5">
    <w:abstractNumId w:val="38"/>
  </w:num>
  <w:num w:numId="6">
    <w:abstractNumId w:val="27"/>
  </w:num>
  <w:num w:numId="7">
    <w:abstractNumId w:val="39"/>
  </w:num>
  <w:num w:numId="8">
    <w:abstractNumId w:val="37"/>
  </w:num>
  <w:num w:numId="9">
    <w:abstractNumId w:val="20"/>
  </w:num>
  <w:num w:numId="10">
    <w:abstractNumId w:val="28"/>
  </w:num>
  <w:num w:numId="11">
    <w:abstractNumId w:val="50"/>
  </w:num>
  <w:num w:numId="12">
    <w:abstractNumId w:val="19"/>
  </w:num>
  <w:num w:numId="13">
    <w:abstractNumId w:val="52"/>
  </w:num>
  <w:num w:numId="14">
    <w:abstractNumId w:val="9"/>
  </w:num>
  <w:num w:numId="15">
    <w:abstractNumId w:val="12"/>
  </w:num>
  <w:num w:numId="16">
    <w:abstractNumId w:val="2"/>
  </w:num>
  <w:num w:numId="17">
    <w:abstractNumId w:val="3"/>
  </w:num>
  <w:num w:numId="18">
    <w:abstractNumId w:val="55"/>
  </w:num>
  <w:num w:numId="19">
    <w:abstractNumId w:val="56"/>
  </w:num>
  <w:num w:numId="20">
    <w:abstractNumId w:val="15"/>
  </w:num>
  <w:num w:numId="21">
    <w:abstractNumId w:val="7"/>
  </w:num>
  <w:num w:numId="22">
    <w:abstractNumId w:val="0"/>
  </w:num>
  <w:num w:numId="23">
    <w:abstractNumId w:val="6"/>
  </w:num>
  <w:num w:numId="24">
    <w:abstractNumId w:val="59"/>
  </w:num>
  <w:num w:numId="25">
    <w:abstractNumId w:val="57"/>
  </w:num>
  <w:num w:numId="26">
    <w:abstractNumId w:val="66"/>
  </w:num>
  <w:num w:numId="27">
    <w:abstractNumId w:val="67"/>
  </w:num>
  <w:num w:numId="28">
    <w:abstractNumId w:val="46"/>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69"/>
  </w:num>
  <w:num w:numId="32">
    <w:abstractNumId w:val="43"/>
  </w:num>
  <w:num w:numId="33">
    <w:abstractNumId w:val="33"/>
  </w:num>
  <w:num w:numId="34">
    <w:abstractNumId w:val="22"/>
  </w:num>
  <w:num w:numId="35">
    <w:abstractNumId w:val="10"/>
  </w:num>
  <w:num w:numId="36">
    <w:abstractNumId w:val="21"/>
  </w:num>
  <w:num w:numId="37">
    <w:abstractNumId w:val="31"/>
  </w:num>
  <w:num w:numId="38">
    <w:abstractNumId w:val="18"/>
  </w:num>
  <w:num w:numId="39">
    <w:abstractNumId w:val="1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4"/>
  </w:num>
  <w:num w:numId="43">
    <w:abstractNumId w:val="26"/>
  </w:num>
  <w:num w:numId="44">
    <w:abstractNumId w:val="60"/>
  </w:num>
  <w:num w:numId="45">
    <w:abstractNumId w:val="30"/>
  </w:num>
  <w:num w:numId="46">
    <w:abstractNumId w:val="25"/>
  </w:num>
  <w:num w:numId="47">
    <w:abstractNumId w:val="70"/>
  </w:num>
  <w:num w:numId="48">
    <w:abstractNumId w:val="61"/>
  </w:num>
  <w:num w:numId="49">
    <w:abstractNumId w:val="68"/>
  </w:num>
  <w:num w:numId="50">
    <w:abstractNumId w:val="62"/>
  </w:num>
  <w:num w:numId="51">
    <w:abstractNumId w:val="63"/>
  </w:num>
  <w:num w:numId="52">
    <w:abstractNumId w:val="64"/>
  </w:num>
  <w:num w:numId="53">
    <w:abstractNumId w:val="65"/>
  </w:num>
  <w:num w:numId="54">
    <w:abstractNumId w:val="71"/>
  </w:num>
  <w:num w:numId="55">
    <w:abstractNumId w:val="75"/>
  </w:num>
  <w:num w:numId="56">
    <w:abstractNumId w:val="5"/>
  </w:num>
  <w:num w:numId="57">
    <w:abstractNumId w:val="41"/>
  </w:num>
  <w:num w:numId="58">
    <w:abstractNumId w:val="72"/>
  </w:num>
  <w:num w:numId="59">
    <w:abstractNumId w:val="47"/>
  </w:num>
  <w:num w:numId="60">
    <w:abstractNumId w:val="13"/>
  </w:num>
  <w:num w:numId="61">
    <w:abstractNumId w:val="54"/>
  </w:num>
  <w:num w:numId="62">
    <w:abstractNumId w:val="49"/>
  </w:num>
  <w:num w:numId="63">
    <w:abstractNumId w:val="34"/>
  </w:num>
  <w:num w:numId="64">
    <w:abstractNumId w:val="36"/>
  </w:num>
  <w:num w:numId="65">
    <w:abstractNumId w:val="24"/>
  </w:num>
  <w:num w:numId="66">
    <w:abstractNumId w:val="14"/>
  </w:num>
  <w:num w:numId="67">
    <w:abstractNumId w:val="73"/>
  </w:num>
  <w:num w:numId="68">
    <w:abstractNumId w:val="1"/>
  </w:num>
  <w:num w:numId="69">
    <w:abstractNumId w:val="42"/>
  </w:num>
  <w:num w:numId="70">
    <w:abstractNumId w:val="74"/>
  </w:num>
  <w:num w:numId="71">
    <w:abstractNumId w:val="11"/>
  </w:num>
  <w:num w:numId="72">
    <w:abstractNumId w:val="8"/>
  </w:num>
  <w:num w:numId="73">
    <w:abstractNumId w:val="76"/>
  </w:num>
  <w:num w:numId="74">
    <w:abstractNumId w:val="45"/>
  </w:num>
  <w:num w:numId="75">
    <w:abstractNumId w:val="51"/>
  </w:num>
  <w:num w:numId="76">
    <w:abstractNumId w:val="17"/>
  </w:num>
  <w:num w:numId="77">
    <w:abstractNumId w:val="29"/>
  </w:num>
  <w:num w:numId="7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C7"/>
    <w:rsid w:val="00002748"/>
    <w:rsid w:val="00004585"/>
    <w:rsid w:val="00004BD0"/>
    <w:rsid w:val="00006B5C"/>
    <w:rsid w:val="00014FAA"/>
    <w:rsid w:val="0002765F"/>
    <w:rsid w:val="00040AD5"/>
    <w:rsid w:val="00045BA4"/>
    <w:rsid w:val="00055169"/>
    <w:rsid w:val="00055794"/>
    <w:rsid w:val="00061C52"/>
    <w:rsid w:val="000667CF"/>
    <w:rsid w:val="00074CEE"/>
    <w:rsid w:val="00091DFD"/>
    <w:rsid w:val="000B3A9C"/>
    <w:rsid w:val="000B671D"/>
    <w:rsid w:val="000E0745"/>
    <w:rsid w:val="000E1553"/>
    <w:rsid w:val="000E7192"/>
    <w:rsid w:val="000E7F25"/>
    <w:rsid w:val="000F7803"/>
    <w:rsid w:val="0010136F"/>
    <w:rsid w:val="00112BCD"/>
    <w:rsid w:val="0011369B"/>
    <w:rsid w:val="001165EE"/>
    <w:rsid w:val="00122D9F"/>
    <w:rsid w:val="001402DF"/>
    <w:rsid w:val="00140A43"/>
    <w:rsid w:val="00144C1E"/>
    <w:rsid w:val="00145390"/>
    <w:rsid w:val="00161422"/>
    <w:rsid w:val="00167521"/>
    <w:rsid w:val="00171DB1"/>
    <w:rsid w:val="001847C2"/>
    <w:rsid w:val="00192D34"/>
    <w:rsid w:val="00194F3B"/>
    <w:rsid w:val="001A0D37"/>
    <w:rsid w:val="001A5BC7"/>
    <w:rsid w:val="001D6EF5"/>
    <w:rsid w:val="001D7496"/>
    <w:rsid w:val="001D7BB7"/>
    <w:rsid w:val="001E0F23"/>
    <w:rsid w:val="001E13DC"/>
    <w:rsid w:val="00200FD2"/>
    <w:rsid w:val="0020432F"/>
    <w:rsid w:val="002151C1"/>
    <w:rsid w:val="0021656D"/>
    <w:rsid w:val="002235C3"/>
    <w:rsid w:val="00231A2B"/>
    <w:rsid w:val="00234F4B"/>
    <w:rsid w:val="002463D4"/>
    <w:rsid w:val="00246D30"/>
    <w:rsid w:val="00265554"/>
    <w:rsid w:val="002842EC"/>
    <w:rsid w:val="00291CD8"/>
    <w:rsid w:val="00296751"/>
    <w:rsid w:val="002976E9"/>
    <w:rsid w:val="002977C4"/>
    <w:rsid w:val="002B4F71"/>
    <w:rsid w:val="002B62F9"/>
    <w:rsid w:val="002C08EC"/>
    <w:rsid w:val="002C199F"/>
    <w:rsid w:val="002D6267"/>
    <w:rsid w:val="002E4181"/>
    <w:rsid w:val="002F0EE6"/>
    <w:rsid w:val="00314467"/>
    <w:rsid w:val="003160AF"/>
    <w:rsid w:val="003178B1"/>
    <w:rsid w:val="00325380"/>
    <w:rsid w:val="00333938"/>
    <w:rsid w:val="0033632F"/>
    <w:rsid w:val="00346C55"/>
    <w:rsid w:val="0034767F"/>
    <w:rsid w:val="00362298"/>
    <w:rsid w:val="003774FC"/>
    <w:rsid w:val="003965F5"/>
    <w:rsid w:val="003A2987"/>
    <w:rsid w:val="003C0D43"/>
    <w:rsid w:val="003D21FA"/>
    <w:rsid w:val="003D2C73"/>
    <w:rsid w:val="003F245B"/>
    <w:rsid w:val="003F6399"/>
    <w:rsid w:val="004052A3"/>
    <w:rsid w:val="00412C46"/>
    <w:rsid w:val="00417DAE"/>
    <w:rsid w:val="0042473C"/>
    <w:rsid w:val="00443511"/>
    <w:rsid w:val="00451774"/>
    <w:rsid w:val="00456454"/>
    <w:rsid w:val="004677C1"/>
    <w:rsid w:val="00481600"/>
    <w:rsid w:val="00481B9F"/>
    <w:rsid w:val="00487980"/>
    <w:rsid w:val="0049319D"/>
    <w:rsid w:val="0049678F"/>
    <w:rsid w:val="004B7B6D"/>
    <w:rsid w:val="004D1306"/>
    <w:rsid w:val="004D6148"/>
    <w:rsid w:val="004D7F93"/>
    <w:rsid w:val="004F5223"/>
    <w:rsid w:val="005258C8"/>
    <w:rsid w:val="00527C02"/>
    <w:rsid w:val="0053109F"/>
    <w:rsid w:val="0053366A"/>
    <w:rsid w:val="00541B0A"/>
    <w:rsid w:val="00562E5A"/>
    <w:rsid w:val="00585331"/>
    <w:rsid w:val="0059459B"/>
    <w:rsid w:val="005A1F7A"/>
    <w:rsid w:val="005B13D8"/>
    <w:rsid w:val="005C208D"/>
    <w:rsid w:val="005C44A8"/>
    <w:rsid w:val="005D3BEF"/>
    <w:rsid w:val="005D7CC8"/>
    <w:rsid w:val="005E60E9"/>
    <w:rsid w:val="005E6160"/>
    <w:rsid w:val="00612D54"/>
    <w:rsid w:val="006169F3"/>
    <w:rsid w:val="00616A25"/>
    <w:rsid w:val="00617899"/>
    <w:rsid w:val="00617E86"/>
    <w:rsid w:val="006346E7"/>
    <w:rsid w:val="0063536B"/>
    <w:rsid w:val="00635629"/>
    <w:rsid w:val="006369E6"/>
    <w:rsid w:val="006379BE"/>
    <w:rsid w:val="00646AB5"/>
    <w:rsid w:val="0064771F"/>
    <w:rsid w:val="006554E9"/>
    <w:rsid w:val="00665045"/>
    <w:rsid w:val="006707FF"/>
    <w:rsid w:val="006718A4"/>
    <w:rsid w:val="00675834"/>
    <w:rsid w:val="006A100D"/>
    <w:rsid w:val="006A1CF2"/>
    <w:rsid w:val="006A7C93"/>
    <w:rsid w:val="006B2875"/>
    <w:rsid w:val="006B7283"/>
    <w:rsid w:val="006C497A"/>
    <w:rsid w:val="006D3BC6"/>
    <w:rsid w:val="006D7CE4"/>
    <w:rsid w:val="006E2540"/>
    <w:rsid w:val="006F28EE"/>
    <w:rsid w:val="006F4563"/>
    <w:rsid w:val="006F5B18"/>
    <w:rsid w:val="007039EC"/>
    <w:rsid w:val="007056A7"/>
    <w:rsid w:val="007106B2"/>
    <w:rsid w:val="00710EDE"/>
    <w:rsid w:val="007235B7"/>
    <w:rsid w:val="00730040"/>
    <w:rsid w:val="007325EA"/>
    <w:rsid w:val="00751DFF"/>
    <w:rsid w:val="007846F4"/>
    <w:rsid w:val="0078703D"/>
    <w:rsid w:val="0079001F"/>
    <w:rsid w:val="007B1013"/>
    <w:rsid w:val="007B4B1E"/>
    <w:rsid w:val="007C2288"/>
    <w:rsid w:val="007D5DE8"/>
    <w:rsid w:val="007E68A7"/>
    <w:rsid w:val="007F2D8E"/>
    <w:rsid w:val="00803ED4"/>
    <w:rsid w:val="00811D71"/>
    <w:rsid w:val="00822132"/>
    <w:rsid w:val="00825D2B"/>
    <w:rsid w:val="00847726"/>
    <w:rsid w:val="00862D41"/>
    <w:rsid w:val="00884C87"/>
    <w:rsid w:val="008908F9"/>
    <w:rsid w:val="0089342A"/>
    <w:rsid w:val="0089421E"/>
    <w:rsid w:val="008965DA"/>
    <w:rsid w:val="00896E9D"/>
    <w:rsid w:val="008A0786"/>
    <w:rsid w:val="008C1543"/>
    <w:rsid w:val="008C33B6"/>
    <w:rsid w:val="00923BE0"/>
    <w:rsid w:val="009444D2"/>
    <w:rsid w:val="0095488E"/>
    <w:rsid w:val="009579E0"/>
    <w:rsid w:val="0096206A"/>
    <w:rsid w:val="00965A80"/>
    <w:rsid w:val="00975A9C"/>
    <w:rsid w:val="009806C5"/>
    <w:rsid w:val="0098128A"/>
    <w:rsid w:val="009A02F7"/>
    <w:rsid w:val="009A0B51"/>
    <w:rsid w:val="009C245C"/>
    <w:rsid w:val="009D11CA"/>
    <w:rsid w:val="009E4AB2"/>
    <w:rsid w:val="009F32B0"/>
    <w:rsid w:val="00A20EC6"/>
    <w:rsid w:val="00A37269"/>
    <w:rsid w:val="00A6184A"/>
    <w:rsid w:val="00A64782"/>
    <w:rsid w:val="00A83343"/>
    <w:rsid w:val="00A83E16"/>
    <w:rsid w:val="00A8583B"/>
    <w:rsid w:val="00A94952"/>
    <w:rsid w:val="00AA37F4"/>
    <w:rsid w:val="00AA441A"/>
    <w:rsid w:val="00AA60D9"/>
    <w:rsid w:val="00AA6897"/>
    <w:rsid w:val="00AB353A"/>
    <w:rsid w:val="00AB37D7"/>
    <w:rsid w:val="00AB5750"/>
    <w:rsid w:val="00AC12CA"/>
    <w:rsid w:val="00AC4A8C"/>
    <w:rsid w:val="00AD387B"/>
    <w:rsid w:val="00AD4678"/>
    <w:rsid w:val="00B06F60"/>
    <w:rsid w:val="00B1744C"/>
    <w:rsid w:val="00B332B5"/>
    <w:rsid w:val="00B42AC7"/>
    <w:rsid w:val="00B43923"/>
    <w:rsid w:val="00B50417"/>
    <w:rsid w:val="00B51787"/>
    <w:rsid w:val="00B66ACE"/>
    <w:rsid w:val="00B85969"/>
    <w:rsid w:val="00B93DCC"/>
    <w:rsid w:val="00BA7681"/>
    <w:rsid w:val="00BB18AA"/>
    <w:rsid w:val="00BB41F8"/>
    <w:rsid w:val="00BB6E37"/>
    <w:rsid w:val="00BC761C"/>
    <w:rsid w:val="00BD3F8E"/>
    <w:rsid w:val="00BD7280"/>
    <w:rsid w:val="00BD7E5E"/>
    <w:rsid w:val="00BE55B2"/>
    <w:rsid w:val="00BF4EEA"/>
    <w:rsid w:val="00BF7D28"/>
    <w:rsid w:val="00C05A55"/>
    <w:rsid w:val="00C05DE7"/>
    <w:rsid w:val="00C25DEC"/>
    <w:rsid w:val="00C42CBD"/>
    <w:rsid w:val="00C513B5"/>
    <w:rsid w:val="00C51BCF"/>
    <w:rsid w:val="00C73556"/>
    <w:rsid w:val="00C756AA"/>
    <w:rsid w:val="00C92C9A"/>
    <w:rsid w:val="00C9346E"/>
    <w:rsid w:val="00CA10EC"/>
    <w:rsid w:val="00CA50B8"/>
    <w:rsid w:val="00CB5F33"/>
    <w:rsid w:val="00CC74E6"/>
    <w:rsid w:val="00CD5FC0"/>
    <w:rsid w:val="00CE61A7"/>
    <w:rsid w:val="00CE6C18"/>
    <w:rsid w:val="00CF1FCF"/>
    <w:rsid w:val="00D0771C"/>
    <w:rsid w:val="00D17C6A"/>
    <w:rsid w:val="00D20864"/>
    <w:rsid w:val="00D230B1"/>
    <w:rsid w:val="00D31A2B"/>
    <w:rsid w:val="00D45E18"/>
    <w:rsid w:val="00D46DD1"/>
    <w:rsid w:val="00D53107"/>
    <w:rsid w:val="00D551C2"/>
    <w:rsid w:val="00D674C5"/>
    <w:rsid w:val="00D959B9"/>
    <w:rsid w:val="00DA1159"/>
    <w:rsid w:val="00DA2B5A"/>
    <w:rsid w:val="00DA5842"/>
    <w:rsid w:val="00DB1DDB"/>
    <w:rsid w:val="00DB2FC7"/>
    <w:rsid w:val="00DB4D26"/>
    <w:rsid w:val="00DB776D"/>
    <w:rsid w:val="00DC4BDB"/>
    <w:rsid w:val="00DD1848"/>
    <w:rsid w:val="00DE1376"/>
    <w:rsid w:val="00DE1E9C"/>
    <w:rsid w:val="00DE2646"/>
    <w:rsid w:val="00DE44B6"/>
    <w:rsid w:val="00E054A0"/>
    <w:rsid w:val="00E15047"/>
    <w:rsid w:val="00E21194"/>
    <w:rsid w:val="00E221A5"/>
    <w:rsid w:val="00E24E35"/>
    <w:rsid w:val="00E25F3C"/>
    <w:rsid w:val="00E46330"/>
    <w:rsid w:val="00E608E9"/>
    <w:rsid w:val="00E62CF2"/>
    <w:rsid w:val="00E64704"/>
    <w:rsid w:val="00E856A1"/>
    <w:rsid w:val="00E86A48"/>
    <w:rsid w:val="00EA17C7"/>
    <w:rsid w:val="00EA3AE1"/>
    <w:rsid w:val="00EF00A2"/>
    <w:rsid w:val="00EF1BEE"/>
    <w:rsid w:val="00EF6B1F"/>
    <w:rsid w:val="00F0212D"/>
    <w:rsid w:val="00F0400D"/>
    <w:rsid w:val="00F1182F"/>
    <w:rsid w:val="00F136D3"/>
    <w:rsid w:val="00F207F2"/>
    <w:rsid w:val="00F216E3"/>
    <w:rsid w:val="00F4137D"/>
    <w:rsid w:val="00F415D5"/>
    <w:rsid w:val="00F4400B"/>
    <w:rsid w:val="00F44ACA"/>
    <w:rsid w:val="00F45DAE"/>
    <w:rsid w:val="00F47DA2"/>
    <w:rsid w:val="00F50D6D"/>
    <w:rsid w:val="00F5103E"/>
    <w:rsid w:val="00F51BD0"/>
    <w:rsid w:val="00F554C5"/>
    <w:rsid w:val="00F61275"/>
    <w:rsid w:val="00F62753"/>
    <w:rsid w:val="00F62DFD"/>
    <w:rsid w:val="00F72A46"/>
    <w:rsid w:val="00FA733E"/>
    <w:rsid w:val="00FB20D1"/>
    <w:rsid w:val="00FB2141"/>
    <w:rsid w:val="00FB426B"/>
    <w:rsid w:val="00FC0878"/>
    <w:rsid w:val="00FC785A"/>
    <w:rsid w:val="00FD435B"/>
    <w:rsid w:val="00FD66D6"/>
    <w:rsid w:val="00FE02ED"/>
    <w:rsid w:val="00FF024F"/>
    <w:rsid w:val="010818F2"/>
    <w:rsid w:val="010D6586"/>
    <w:rsid w:val="01172D98"/>
    <w:rsid w:val="01253502"/>
    <w:rsid w:val="01281B77"/>
    <w:rsid w:val="013A34D2"/>
    <w:rsid w:val="017C4C4A"/>
    <w:rsid w:val="018445B1"/>
    <w:rsid w:val="019845E5"/>
    <w:rsid w:val="01B0348D"/>
    <w:rsid w:val="01C1532E"/>
    <w:rsid w:val="01DC7096"/>
    <w:rsid w:val="01E2682C"/>
    <w:rsid w:val="020716AE"/>
    <w:rsid w:val="02184BF7"/>
    <w:rsid w:val="02302B24"/>
    <w:rsid w:val="02507A52"/>
    <w:rsid w:val="02596255"/>
    <w:rsid w:val="025E45AD"/>
    <w:rsid w:val="02632E79"/>
    <w:rsid w:val="028242D4"/>
    <w:rsid w:val="02B9172A"/>
    <w:rsid w:val="02D34F0E"/>
    <w:rsid w:val="02DD68E2"/>
    <w:rsid w:val="02E9497F"/>
    <w:rsid w:val="02EA13E6"/>
    <w:rsid w:val="02F84083"/>
    <w:rsid w:val="030C0571"/>
    <w:rsid w:val="03164D3E"/>
    <w:rsid w:val="03352C55"/>
    <w:rsid w:val="03451B7A"/>
    <w:rsid w:val="03474196"/>
    <w:rsid w:val="03511D53"/>
    <w:rsid w:val="03766AE1"/>
    <w:rsid w:val="03A240C0"/>
    <w:rsid w:val="03E812EC"/>
    <w:rsid w:val="04327201"/>
    <w:rsid w:val="04346E96"/>
    <w:rsid w:val="043F1946"/>
    <w:rsid w:val="045B7DE7"/>
    <w:rsid w:val="04793E37"/>
    <w:rsid w:val="049A4A23"/>
    <w:rsid w:val="04CB1844"/>
    <w:rsid w:val="04D70CB5"/>
    <w:rsid w:val="04EA6A74"/>
    <w:rsid w:val="050D16BA"/>
    <w:rsid w:val="052A5A75"/>
    <w:rsid w:val="054A171F"/>
    <w:rsid w:val="055C340A"/>
    <w:rsid w:val="055E32F7"/>
    <w:rsid w:val="05625D31"/>
    <w:rsid w:val="058013F8"/>
    <w:rsid w:val="058B3782"/>
    <w:rsid w:val="0591421E"/>
    <w:rsid w:val="059A1517"/>
    <w:rsid w:val="05E71667"/>
    <w:rsid w:val="05FF08AC"/>
    <w:rsid w:val="06273AC5"/>
    <w:rsid w:val="06701CF1"/>
    <w:rsid w:val="068E2877"/>
    <w:rsid w:val="06C40031"/>
    <w:rsid w:val="06C55BEF"/>
    <w:rsid w:val="06C62329"/>
    <w:rsid w:val="06CF3C7F"/>
    <w:rsid w:val="06E21332"/>
    <w:rsid w:val="07036106"/>
    <w:rsid w:val="07156F47"/>
    <w:rsid w:val="07310670"/>
    <w:rsid w:val="07487F64"/>
    <w:rsid w:val="074F1D72"/>
    <w:rsid w:val="07607573"/>
    <w:rsid w:val="07641B88"/>
    <w:rsid w:val="07744E46"/>
    <w:rsid w:val="079C6C34"/>
    <w:rsid w:val="07C17285"/>
    <w:rsid w:val="07DB2C35"/>
    <w:rsid w:val="07E464D4"/>
    <w:rsid w:val="07EB65E3"/>
    <w:rsid w:val="07EE7E7A"/>
    <w:rsid w:val="07F124E0"/>
    <w:rsid w:val="07FE3A66"/>
    <w:rsid w:val="07FE5359"/>
    <w:rsid w:val="081F0A61"/>
    <w:rsid w:val="082F71E8"/>
    <w:rsid w:val="08333EA3"/>
    <w:rsid w:val="083D5D50"/>
    <w:rsid w:val="084D34A3"/>
    <w:rsid w:val="08624F55"/>
    <w:rsid w:val="087D32AA"/>
    <w:rsid w:val="08947E10"/>
    <w:rsid w:val="089E3657"/>
    <w:rsid w:val="08AB3374"/>
    <w:rsid w:val="08B0644D"/>
    <w:rsid w:val="08BC2D67"/>
    <w:rsid w:val="08C14A52"/>
    <w:rsid w:val="08C35B2B"/>
    <w:rsid w:val="08C952FC"/>
    <w:rsid w:val="08DD3EDA"/>
    <w:rsid w:val="08E80A7C"/>
    <w:rsid w:val="08F91590"/>
    <w:rsid w:val="08FD1694"/>
    <w:rsid w:val="08FF7646"/>
    <w:rsid w:val="09195F9B"/>
    <w:rsid w:val="09287763"/>
    <w:rsid w:val="0938692D"/>
    <w:rsid w:val="0941133A"/>
    <w:rsid w:val="09416BFB"/>
    <w:rsid w:val="09423CB2"/>
    <w:rsid w:val="09492E2F"/>
    <w:rsid w:val="09551105"/>
    <w:rsid w:val="095C2644"/>
    <w:rsid w:val="09732BAA"/>
    <w:rsid w:val="09957E1A"/>
    <w:rsid w:val="099B7A84"/>
    <w:rsid w:val="09A00303"/>
    <w:rsid w:val="09AB0222"/>
    <w:rsid w:val="09AD23BE"/>
    <w:rsid w:val="09B124FA"/>
    <w:rsid w:val="09CD7056"/>
    <w:rsid w:val="09D83573"/>
    <w:rsid w:val="09D978BB"/>
    <w:rsid w:val="09DC4891"/>
    <w:rsid w:val="09EC0C7C"/>
    <w:rsid w:val="0A14574B"/>
    <w:rsid w:val="0A39670A"/>
    <w:rsid w:val="0A735108"/>
    <w:rsid w:val="0A744052"/>
    <w:rsid w:val="0A8254DA"/>
    <w:rsid w:val="0A9C41F4"/>
    <w:rsid w:val="0AA862B1"/>
    <w:rsid w:val="0AAF104A"/>
    <w:rsid w:val="0AAF3E31"/>
    <w:rsid w:val="0AD02404"/>
    <w:rsid w:val="0ADE6EA2"/>
    <w:rsid w:val="0AED7139"/>
    <w:rsid w:val="0B151573"/>
    <w:rsid w:val="0B37683B"/>
    <w:rsid w:val="0B4A0AB1"/>
    <w:rsid w:val="0B67112F"/>
    <w:rsid w:val="0B6E3207"/>
    <w:rsid w:val="0B73301E"/>
    <w:rsid w:val="0B874FAC"/>
    <w:rsid w:val="0BAC0F2F"/>
    <w:rsid w:val="0C106DAE"/>
    <w:rsid w:val="0C1959E9"/>
    <w:rsid w:val="0C1D67C5"/>
    <w:rsid w:val="0C220AE9"/>
    <w:rsid w:val="0C316499"/>
    <w:rsid w:val="0C5E7EBA"/>
    <w:rsid w:val="0C643F71"/>
    <w:rsid w:val="0C7F7977"/>
    <w:rsid w:val="0CA777FB"/>
    <w:rsid w:val="0CB25156"/>
    <w:rsid w:val="0CC90ECA"/>
    <w:rsid w:val="0CF95E06"/>
    <w:rsid w:val="0CF970C7"/>
    <w:rsid w:val="0D1036BC"/>
    <w:rsid w:val="0D3A0208"/>
    <w:rsid w:val="0D630663"/>
    <w:rsid w:val="0D772A74"/>
    <w:rsid w:val="0D7D3D59"/>
    <w:rsid w:val="0D827683"/>
    <w:rsid w:val="0D8619FC"/>
    <w:rsid w:val="0D915916"/>
    <w:rsid w:val="0DBB709F"/>
    <w:rsid w:val="0DD724F6"/>
    <w:rsid w:val="0DE05730"/>
    <w:rsid w:val="0DED2DE4"/>
    <w:rsid w:val="0DFB07CE"/>
    <w:rsid w:val="0E0004AA"/>
    <w:rsid w:val="0E0148DC"/>
    <w:rsid w:val="0E0A3926"/>
    <w:rsid w:val="0E1C168C"/>
    <w:rsid w:val="0E1C6CD1"/>
    <w:rsid w:val="0E2F361C"/>
    <w:rsid w:val="0E3C5788"/>
    <w:rsid w:val="0E8A0397"/>
    <w:rsid w:val="0E9B5032"/>
    <w:rsid w:val="0EA20E7A"/>
    <w:rsid w:val="0EA9317F"/>
    <w:rsid w:val="0EAF3D7B"/>
    <w:rsid w:val="0EB04E92"/>
    <w:rsid w:val="0ECB0ECB"/>
    <w:rsid w:val="0ECD2CA1"/>
    <w:rsid w:val="0ED80953"/>
    <w:rsid w:val="0EE47081"/>
    <w:rsid w:val="0EE923AC"/>
    <w:rsid w:val="0EF46447"/>
    <w:rsid w:val="0EFF300A"/>
    <w:rsid w:val="0F181FC8"/>
    <w:rsid w:val="0F204F7A"/>
    <w:rsid w:val="0F241F4E"/>
    <w:rsid w:val="0F333702"/>
    <w:rsid w:val="0F401705"/>
    <w:rsid w:val="0F4E4E37"/>
    <w:rsid w:val="0F6D0D24"/>
    <w:rsid w:val="0F78333E"/>
    <w:rsid w:val="0F806FED"/>
    <w:rsid w:val="0F8D0BE8"/>
    <w:rsid w:val="0F900FC5"/>
    <w:rsid w:val="0FA91797"/>
    <w:rsid w:val="0FB33A4E"/>
    <w:rsid w:val="10126394"/>
    <w:rsid w:val="10197D6F"/>
    <w:rsid w:val="104C2A9E"/>
    <w:rsid w:val="107B4D2F"/>
    <w:rsid w:val="10975082"/>
    <w:rsid w:val="109C76CA"/>
    <w:rsid w:val="10C04DC5"/>
    <w:rsid w:val="10F748EC"/>
    <w:rsid w:val="10FF7F0B"/>
    <w:rsid w:val="11085F6F"/>
    <w:rsid w:val="11097388"/>
    <w:rsid w:val="110E0D9E"/>
    <w:rsid w:val="113907D3"/>
    <w:rsid w:val="113B63CB"/>
    <w:rsid w:val="11686758"/>
    <w:rsid w:val="116D5ED3"/>
    <w:rsid w:val="117B5CBE"/>
    <w:rsid w:val="118A1171"/>
    <w:rsid w:val="11985EF8"/>
    <w:rsid w:val="11C6422D"/>
    <w:rsid w:val="11C8127F"/>
    <w:rsid w:val="11E44062"/>
    <w:rsid w:val="11EB42EE"/>
    <w:rsid w:val="11F95B44"/>
    <w:rsid w:val="12187D95"/>
    <w:rsid w:val="122C300C"/>
    <w:rsid w:val="12345CE1"/>
    <w:rsid w:val="12443276"/>
    <w:rsid w:val="1252238F"/>
    <w:rsid w:val="12A254E6"/>
    <w:rsid w:val="12A94F39"/>
    <w:rsid w:val="12B10A4C"/>
    <w:rsid w:val="12B130B4"/>
    <w:rsid w:val="12CF0A95"/>
    <w:rsid w:val="12DE1B3B"/>
    <w:rsid w:val="12E074C8"/>
    <w:rsid w:val="12E27BAC"/>
    <w:rsid w:val="12E76BDB"/>
    <w:rsid w:val="13133401"/>
    <w:rsid w:val="133C4B6D"/>
    <w:rsid w:val="134D4C40"/>
    <w:rsid w:val="13575E34"/>
    <w:rsid w:val="136900C9"/>
    <w:rsid w:val="13722F5D"/>
    <w:rsid w:val="139765D8"/>
    <w:rsid w:val="13A445CA"/>
    <w:rsid w:val="13DC39F1"/>
    <w:rsid w:val="13E27BAD"/>
    <w:rsid w:val="13E9682A"/>
    <w:rsid w:val="13F06832"/>
    <w:rsid w:val="13F516F1"/>
    <w:rsid w:val="13FB2D0D"/>
    <w:rsid w:val="14052EBB"/>
    <w:rsid w:val="14054B74"/>
    <w:rsid w:val="14305551"/>
    <w:rsid w:val="14331F87"/>
    <w:rsid w:val="143853F4"/>
    <w:rsid w:val="14386FD6"/>
    <w:rsid w:val="14432CB6"/>
    <w:rsid w:val="146035E6"/>
    <w:rsid w:val="146E3C1E"/>
    <w:rsid w:val="14BA4DEE"/>
    <w:rsid w:val="14C115D5"/>
    <w:rsid w:val="14CD6141"/>
    <w:rsid w:val="14DD4386"/>
    <w:rsid w:val="150B47D4"/>
    <w:rsid w:val="151017B0"/>
    <w:rsid w:val="1521731E"/>
    <w:rsid w:val="15225D1C"/>
    <w:rsid w:val="1545428F"/>
    <w:rsid w:val="15480EAF"/>
    <w:rsid w:val="156D64AB"/>
    <w:rsid w:val="1575221F"/>
    <w:rsid w:val="1580785E"/>
    <w:rsid w:val="1592432C"/>
    <w:rsid w:val="1593133A"/>
    <w:rsid w:val="15967133"/>
    <w:rsid w:val="15B22F3E"/>
    <w:rsid w:val="15B86808"/>
    <w:rsid w:val="15BE6261"/>
    <w:rsid w:val="15D943E3"/>
    <w:rsid w:val="15F55D96"/>
    <w:rsid w:val="15F743BB"/>
    <w:rsid w:val="16011788"/>
    <w:rsid w:val="16145E18"/>
    <w:rsid w:val="161A2D22"/>
    <w:rsid w:val="162E6015"/>
    <w:rsid w:val="16300C8C"/>
    <w:rsid w:val="165D3CF8"/>
    <w:rsid w:val="16612092"/>
    <w:rsid w:val="1679399E"/>
    <w:rsid w:val="168122B3"/>
    <w:rsid w:val="16854C1F"/>
    <w:rsid w:val="1688674A"/>
    <w:rsid w:val="168F64AA"/>
    <w:rsid w:val="16D400EF"/>
    <w:rsid w:val="16DD42E0"/>
    <w:rsid w:val="16F7203D"/>
    <w:rsid w:val="16F9234C"/>
    <w:rsid w:val="170525F6"/>
    <w:rsid w:val="170F2880"/>
    <w:rsid w:val="17115465"/>
    <w:rsid w:val="17223771"/>
    <w:rsid w:val="17344D4B"/>
    <w:rsid w:val="17504430"/>
    <w:rsid w:val="176A554E"/>
    <w:rsid w:val="17884105"/>
    <w:rsid w:val="178E7A6B"/>
    <w:rsid w:val="179405EF"/>
    <w:rsid w:val="17A03426"/>
    <w:rsid w:val="17A70F3F"/>
    <w:rsid w:val="17AD26A7"/>
    <w:rsid w:val="17CB0F48"/>
    <w:rsid w:val="17D406F7"/>
    <w:rsid w:val="17D8322F"/>
    <w:rsid w:val="17E116B8"/>
    <w:rsid w:val="18042B05"/>
    <w:rsid w:val="18137C1B"/>
    <w:rsid w:val="1816511F"/>
    <w:rsid w:val="181D75C8"/>
    <w:rsid w:val="183E4909"/>
    <w:rsid w:val="184F35DE"/>
    <w:rsid w:val="187D529B"/>
    <w:rsid w:val="1886755A"/>
    <w:rsid w:val="18983047"/>
    <w:rsid w:val="18A41337"/>
    <w:rsid w:val="18B50E36"/>
    <w:rsid w:val="18C30DC2"/>
    <w:rsid w:val="18CF5CB8"/>
    <w:rsid w:val="18DC6978"/>
    <w:rsid w:val="18F6604F"/>
    <w:rsid w:val="1936128D"/>
    <w:rsid w:val="193B5CC8"/>
    <w:rsid w:val="196262F9"/>
    <w:rsid w:val="196501FC"/>
    <w:rsid w:val="19A9567A"/>
    <w:rsid w:val="19BF527F"/>
    <w:rsid w:val="19C21604"/>
    <w:rsid w:val="19C92DE2"/>
    <w:rsid w:val="19D837EB"/>
    <w:rsid w:val="19E257DE"/>
    <w:rsid w:val="19F32656"/>
    <w:rsid w:val="19F46A76"/>
    <w:rsid w:val="1A2F2A0B"/>
    <w:rsid w:val="1A390AE9"/>
    <w:rsid w:val="1A4030A6"/>
    <w:rsid w:val="1A421AD6"/>
    <w:rsid w:val="1A956D0C"/>
    <w:rsid w:val="1AA73CED"/>
    <w:rsid w:val="1AB5503B"/>
    <w:rsid w:val="1AC2553A"/>
    <w:rsid w:val="1ADE2C24"/>
    <w:rsid w:val="1AF6038F"/>
    <w:rsid w:val="1AFE7A29"/>
    <w:rsid w:val="1B073922"/>
    <w:rsid w:val="1B1E0EBF"/>
    <w:rsid w:val="1B401D10"/>
    <w:rsid w:val="1B560941"/>
    <w:rsid w:val="1B5D08FA"/>
    <w:rsid w:val="1B5F14D6"/>
    <w:rsid w:val="1B604066"/>
    <w:rsid w:val="1B9B0BC6"/>
    <w:rsid w:val="1BBA2302"/>
    <w:rsid w:val="1BE43073"/>
    <w:rsid w:val="1C020069"/>
    <w:rsid w:val="1C507121"/>
    <w:rsid w:val="1C641326"/>
    <w:rsid w:val="1C7A32F9"/>
    <w:rsid w:val="1C8D4530"/>
    <w:rsid w:val="1C9242A4"/>
    <w:rsid w:val="1C931CB9"/>
    <w:rsid w:val="1CBE3649"/>
    <w:rsid w:val="1CC33C80"/>
    <w:rsid w:val="1CCD10FE"/>
    <w:rsid w:val="1CF266E5"/>
    <w:rsid w:val="1D3C7DFB"/>
    <w:rsid w:val="1D9C0926"/>
    <w:rsid w:val="1DA710C8"/>
    <w:rsid w:val="1DAD58CA"/>
    <w:rsid w:val="1E1A3FF8"/>
    <w:rsid w:val="1E26654D"/>
    <w:rsid w:val="1E323109"/>
    <w:rsid w:val="1E555EE9"/>
    <w:rsid w:val="1EA10F3E"/>
    <w:rsid w:val="1EB057A9"/>
    <w:rsid w:val="1EB51DD8"/>
    <w:rsid w:val="1EC61F82"/>
    <w:rsid w:val="1EC93386"/>
    <w:rsid w:val="1EED0F1B"/>
    <w:rsid w:val="1EFF7244"/>
    <w:rsid w:val="1F280757"/>
    <w:rsid w:val="1F59427A"/>
    <w:rsid w:val="1F6406C1"/>
    <w:rsid w:val="1FD945B0"/>
    <w:rsid w:val="1FEF1FFA"/>
    <w:rsid w:val="1FF95BC5"/>
    <w:rsid w:val="20090507"/>
    <w:rsid w:val="203D0D71"/>
    <w:rsid w:val="206361A3"/>
    <w:rsid w:val="209A5D4A"/>
    <w:rsid w:val="20AF05BD"/>
    <w:rsid w:val="20BB2E96"/>
    <w:rsid w:val="20C0108A"/>
    <w:rsid w:val="20DA6C2C"/>
    <w:rsid w:val="20DD668A"/>
    <w:rsid w:val="20E633FF"/>
    <w:rsid w:val="210118FA"/>
    <w:rsid w:val="21061F85"/>
    <w:rsid w:val="210D65EB"/>
    <w:rsid w:val="2119335A"/>
    <w:rsid w:val="211A5B8C"/>
    <w:rsid w:val="21592782"/>
    <w:rsid w:val="215A2EC4"/>
    <w:rsid w:val="2166138C"/>
    <w:rsid w:val="216A1809"/>
    <w:rsid w:val="216A78CF"/>
    <w:rsid w:val="217607C6"/>
    <w:rsid w:val="217627D9"/>
    <w:rsid w:val="219D2FC6"/>
    <w:rsid w:val="21A0370E"/>
    <w:rsid w:val="21B1797A"/>
    <w:rsid w:val="21B814FB"/>
    <w:rsid w:val="21C52D02"/>
    <w:rsid w:val="21C52F88"/>
    <w:rsid w:val="21DD404D"/>
    <w:rsid w:val="220E3210"/>
    <w:rsid w:val="22351ACC"/>
    <w:rsid w:val="226E02A2"/>
    <w:rsid w:val="228D0852"/>
    <w:rsid w:val="229D03B1"/>
    <w:rsid w:val="22A355B8"/>
    <w:rsid w:val="22B00566"/>
    <w:rsid w:val="22C471DB"/>
    <w:rsid w:val="22D03D34"/>
    <w:rsid w:val="22D66746"/>
    <w:rsid w:val="22F66EFA"/>
    <w:rsid w:val="231F769B"/>
    <w:rsid w:val="23422E27"/>
    <w:rsid w:val="235201DB"/>
    <w:rsid w:val="2359393E"/>
    <w:rsid w:val="238F1CC8"/>
    <w:rsid w:val="23BE0B86"/>
    <w:rsid w:val="23F95C4D"/>
    <w:rsid w:val="243F1DE7"/>
    <w:rsid w:val="244F313A"/>
    <w:rsid w:val="24897832"/>
    <w:rsid w:val="248A3A7F"/>
    <w:rsid w:val="2490764B"/>
    <w:rsid w:val="249617E3"/>
    <w:rsid w:val="249F4236"/>
    <w:rsid w:val="24C377D0"/>
    <w:rsid w:val="24D01574"/>
    <w:rsid w:val="24E52D6B"/>
    <w:rsid w:val="25046EA2"/>
    <w:rsid w:val="2517199D"/>
    <w:rsid w:val="25251A25"/>
    <w:rsid w:val="25474606"/>
    <w:rsid w:val="256228E0"/>
    <w:rsid w:val="258F7DD5"/>
    <w:rsid w:val="25945A2E"/>
    <w:rsid w:val="25AC0E5C"/>
    <w:rsid w:val="25AF10F4"/>
    <w:rsid w:val="25B158BB"/>
    <w:rsid w:val="25C25E13"/>
    <w:rsid w:val="25C908AF"/>
    <w:rsid w:val="25CE5311"/>
    <w:rsid w:val="25D3637D"/>
    <w:rsid w:val="25FA061E"/>
    <w:rsid w:val="260374EC"/>
    <w:rsid w:val="261939D4"/>
    <w:rsid w:val="261F0590"/>
    <w:rsid w:val="263D107D"/>
    <w:rsid w:val="2644580B"/>
    <w:rsid w:val="264C2EC7"/>
    <w:rsid w:val="26584563"/>
    <w:rsid w:val="26966E13"/>
    <w:rsid w:val="26A419A9"/>
    <w:rsid w:val="26A61C92"/>
    <w:rsid w:val="26AC1452"/>
    <w:rsid w:val="26B4785C"/>
    <w:rsid w:val="26B94E95"/>
    <w:rsid w:val="26DC0CB6"/>
    <w:rsid w:val="26ED1E94"/>
    <w:rsid w:val="26F11CDD"/>
    <w:rsid w:val="26FA16D0"/>
    <w:rsid w:val="270123FB"/>
    <w:rsid w:val="27086393"/>
    <w:rsid w:val="270C20F8"/>
    <w:rsid w:val="27124CA5"/>
    <w:rsid w:val="27135815"/>
    <w:rsid w:val="271925EC"/>
    <w:rsid w:val="272E0FE5"/>
    <w:rsid w:val="273435F1"/>
    <w:rsid w:val="276E4B0D"/>
    <w:rsid w:val="27752D78"/>
    <w:rsid w:val="27A10A77"/>
    <w:rsid w:val="27B93768"/>
    <w:rsid w:val="27D95F36"/>
    <w:rsid w:val="27E231EB"/>
    <w:rsid w:val="280B2905"/>
    <w:rsid w:val="281D243D"/>
    <w:rsid w:val="283322C9"/>
    <w:rsid w:val="283E73F9"/>
    <w:rsid w:val="285C72E1"/>
    <w:rsid w:val="285E1F2B"/>
    <w:rsid w:val="28932F3A"/>
    <w:rsid w:val="28B142D5"/>
    <w:rsid w:val="28BA0DD2"/>
    <w:rsid w:val="28BE3B53"/>
    <w:rsid w:val="28C052EC"/>
    <w:rsid w:val="28C50201"/>
    <w:rsid w:val="28C608F6"/>
    <w:rsid w:val="28D1042F"/>
    <w:rsid w:val="28DD4BE9"/>
    <w:rsid w:val="28F9661D"/>
    <w:rsid w:val="290C77C3"/>
    <w:rsid w:val="290D3996"/>
    <w:rsid w:val="29136CF0"/>
    <w:rsid w:val="295C4556"/>
    <w:rsid w:val="29777818"/>
    <w:rsid w:val="29C80887"/>
    <w:rsid w:val="29EB065A"/>
    <w:rsid w:val="29F64D34"/>
    <w:rsid w:val="29F740E7"/>
    <w:rsid w:val="29FF6391"/>
    <w:rsid w:val="2A092C17"/>
    <w:rsid w:val="2A2F63F2"/>
    <w:rsid w:val="2A474027"/>
    <w:rsid w:val="2A4C44CF"/>
    <w:rsid w:val="2A591F6B"/>
    <w:rsid w:val="2A7A5071"/>
    <w:rsid w:val="2A85535F"/>
    <w:rsid w:val="2A911A4E"/>
    <w:rsid w:val="2AAE58D1"/>
    <w:rsid w:val="2ACC558F"/>
    <w:rsid w:val="2ADD7D86"/>
    <w:rsid w:val="2B0416BF"/>
    <w:rsid w:val="2B0459FF"/>
    <w:rsid w:val="2B0F2074"/>
    <w:rsid w:val="2B142597"/>
    <w:rsid w:val="2B1B4758"/>
    <w:rsid w:val="2B317534"/>
    <w:rsid w:val="2B4116FF"/>
    <w:rsid w:val="2B5258B1"/>
    <w:rsid w:val="2B7457F2"/>
    <w:rsid w:val="2B7A743C"/>
    <w:rsid w:val="2B8653EF"/>
    <w:rsid w:val="2B9058DD"/>
    <w:rsid w:val="2B952EBE"/>
    <w:rsid w:val="2BAC0BF3"/>
    <w:rsid w:val="2BFE19D6"/>
    <w:rsid w:val="2C1B5789"/>
    <w:rsid w:val="2C291E13"/>
    <w:rsid w:val="2C3118DD"/>
    <w:rsid w:val="2C3562D8"/>
    <w:rsid w:val="2C543A58"/>
    <w:rsid w:val="2C5A1A28"/>
    <w:rsid w:val="2C5A63C9"/>
    <w:rsid w:val="2C7C2EAF"/>
    <w:rsid w:val="2CB07001"/>
    <w:rsid w:val="2CB3280D"/>
    <w:rsid w:val="2CB922C1"/>
    <w:rsid w:val="2CD25725"/>
    <w:rsid w:val="2CF70F9E"/>
    <w:rsid w:val="2D037E8F"/>
    <w:rsid w:val="2D124A1E"/>
    <w:rsid w:val="2D2E006D"/>
    <w:rsid w:val="2D323752"/>
    <w:rsid w:val="2D3373D5"/>
    <w:rsid w:val="2D39787B"/>
    <w:rsid w:val="2D3B78BA"/>
    <w:rsid w:val="2D4340BD"/>
    <w:rsid w:val="2D4910C7"/>
    <w:rsid w:val="2D4A3339"/>
    <w:rsid w:val="2D521850"/>
    <w:rsid w:val="2D6C2573"/>
    <w:rsid w:val="2D9A0AB9"/>
    <w:rsid w:val="2DCD259E"/>
    <w:rsid w:val="2DD97074"/>
    <w:rsid w:val="2E090193"/>
    <w:rsid w:val="2E0A7E69"/>
    <w:rsid w:val="2E3A03E5"/>
    <w:rsid w:val="2E480D98"/>
    <w:rsid w:val="2E5C26B6"/>
    <w:rsid w:val="2E625320"/>
    <w:rsid w:val="2E7608C5"/>
    <w:rsid w:val="2E9D4664"/>
    <w:rsid w:val="2EA965B2"/>
    <w:rsid w:val="2EAD6E42"/>
    <w:rsid w:val="2EF507CB"/>
    <w:rsid w:val="2F046F53"/>
    <w:rsid w:val="2F154571"/>
    <w:rsid w:val="2F2F5279"/>
    <w:rsid w:val="2F314A30"/>
    <w:rsid w:val="2F385D1F"/>
    <w:rsid w:val="2F592C0A"/>
    <w:rsid w:val="2F6076E3"/>
    <w:rsid w:val="2F683FFB"/>
    <w:rsid w:val="2F7F11EF"/>
    <w:rsid w:val="2F992B76"/>
    <w:rsid w:val="2F9F7149"/>
    <w:rsid w:val="2FA074A3"/>
    <w:rsid w:val="2FAF5F15"/>
    <w:rsid w:val="2FD276BA"/>
    <w:rsid w:val="2FF61F3A"/>
    <w:rsid w:val="2FF76ADE"/>
    <w:rsid w:val="30106CA2"/>
    <w:rsid w:val="3012581E"/>
    <w:rsid w:val="30427DA1"/>
    <w:rsid w:val="306A49FF"/>
    <w:rsid w:val="30703AED"/>
    <w:rsid w:val="3072756E"/>
    <w:rsid w:val="30D87142"/>
    <w:rsid w:val="30F54D6E"/>
    <w:rsid w:val="30F90615"/>
    <w:rsid w:val="30FE2930"/>
    <w:rsid w:val="311427E1"/>
    <w:rsid w:val="31144F45"/>
    <w:rsid w:val="311E12EC"/>
    <w:rsid w:val="31263671"/>
    <w:rsid w:val="313D0673"/>
    <w:rsid w:val="313D7621"/>
    <w:rsid w:val="31D363EC"/>
    <w:rsid w:val="31F71A84"/>
    <w:rsid w:val="31FB7075"/>
    <w:rsid w:val="32096628"/>
    <w:rsid w:val="320F7CDE"/>
    <w:rsid w:val="321D07ED"/>
    <w:rsid w:val="321F2F90"/>
    <w:rsid w:val="321F3DAE"/>
    <w:rsid w:val="322830A4"/>
    <w:rsid w:val="324003D4"/>
    <w:rsid w:val="32550074"/>
    <w:rsid w:val="3256419C"/>
    <w:rsid w:val="32571548"/>
    <w:rsid w:val="32A07FFE"/>
    <w:rsid w:val="32BD5DCB"/>
    <w:rsid w:val="32BE0088"/>
    <w:rsid w:val="32C574EA"/>
    <w:rsid w:val="32DD612C"/>
    <w:rsid w:val="32DF1E88"/>
    <w:rsid w:val="32E45B7F"/>
    <w:rsid w:val="32EC1396"/>
    <w:rsid w:val="33155747"/>
    <w:rsid w:val="33245E41"/>
    <w:rsid w:val="3331756A"/>
    <w:rsid w:val="33413B81"/>
    <w:rsid w:val="33460DBD"/>
    <w:rsid w:val="33690A64"/>
    <w:rsid w:val="3372638F"/>
    <w:rsid w:val="33781C4C"/>
    <w:rsid w:val="338C7E50"/>
    <w:rsid w:val="33C544C3"/>
    <w:rsid w:val="33D347BC"/>
    <w:rsid w:val="33DA0657"/>
    <w:rsid w:val="33EC666B"/>
    <w:rsid w:val="33F062D6"/>
    <w:rsid w:val="33F37344"/>
    <w:rsid w:val="33F50D78"/>
    <w:rsid w:val="33FD4196"/>
    <w:rsid w:val="341E6368"/>
    <w:rsid w:val="3421659E"/>
    <w:rsid w:val="342F4322"/>
    <w:rsid w:val="34552CFD"/>
    <w:rsid w:val="34662C2B"/>
    <w:rsid w:val="346E04E1"/>
    <w:rsid w:val="3487529A"/>
    <w:rsid w:val="34994215"/>
    <w:rsid w:val="34C539E4"/>
    <w:rsid w:val="34C74FAE"/>
    <w:rsid w:val="34FE35BC"/>
    <w:rsid w:val="352422D0"/>
    <w:rsid w:val="3525553C"/>
    <w:rsid w:val="35270D48"/>
    <w:rsid w:val="352A3661"/>
    <w:rsid w:val="35312EA4"/>
    <w:rsid w:val="353B001C"/>
    <w:rsid w:val="353F2968"/>
    <w:rsid w:val="35472AA0"/>
    <w:rsid w:val="354B78A0"/>
    <w:rsid w:val="355043BB"/>
    <w:rsid w:val="35593CAE"/>
    <w:rsid w:val="3575024F"/>
    <w:rsid w:val="358C70A8"/>
    <w:rsid w:val="358F5985"/>
    <w:rsid w:val="35AF70D3"/>
    <w:rsid w:val="35C176A9"/>
    <w:rsid w:val="35D33D8A"/>
    <w:rsid w:val="35DB3279"/>
    <w:rsid w:val="35DF2327"/>
    <w:rsid w:val="35FF3832"/>
    <w:rsid w:val="3607269A"/>
    <w:rsid w:val="361946C2"/>
    <w:rsid w:val="3629503A"/>
    <w:rsid w:val="36516FD8"/>
    <w:rsid w:val="367B3297"/>
    <w:rsid w:val="36960637"/>
    <w:rsid w:val="36970D27"/>
    <w:rsid w:val="36B40DE7"/>
    <w:rsid w:val="36E63F60"/>
    <w:rsid w:val="36E75CD2"/>
    <w:rsid w:val="36E804BC"/>
    <w:rsid w:val="36ED7E3E"/>
    <w:rsid w:val="36FC682E"/>
    <w:rsid w:val="37166D51"/>
    <w:rsid w:val="372B4C0C"/>
    <w:rsid w:val="37480859"/>
    <w:rsid w:val="374C5A2F"/>
    <w:rsid w:val="375D7E10"/>
    <w:rsid w:val="376B126A"/>
    <w:rsid w:val="376D2BCC"/>
    <w:rsid w:val="377909A0"/>
    <w:rsid w:val="37B66803"/>
    <w:rsid w:val="37B750BF"/>
    <w:rsid w:val="37CD02D8"/>
    <w:rsid w:val="37D74864"/>
    <w:rsid w:val="37E54B0B"/>
    <w:rsid w:val="380A28EF"/>
    <w:rsid w:val="380D3FDC"/>
    <w:rsid w:val="381F223B"/>
    <w:rsid w:val="384215C4"/>
    <w:rsid w:val="38494962"/>
    <w:rsid w:val="38A0322F"/>
    <w:rsid w:val="38B44C92"/>
    <w:rsid w:val="38B638A9"/>
    <w:rsid w:val="38C0244A"/>
    <w:rsid w:val="38CF01E0"/>
    <w:rsid w:val="38D8006D"/>
    <w:rsid w:val="38E0066F"/>
    <w:rsid w:val="38F81F10"/>
    <w:rsid w:val="38FD26E8"/>
    <w:rsid w:val="38FF1F77"/>
    <w:rsid w:val="39001EE9"/>
    <w:rsid w:val="39050C3E"/>
    <w:rsid w:val="391425B7"/>
    <w:rsid w:val="39226068"/>
    <w:rsid w:val="3925063D"/>
    <w:rsid w:val="39387926"/>
    <w:rsid w:val="39585C08"/>
    <w:rsid w:val="395E5DDB"/>
    <w:rsid w:val="39673DEE"/>
    <w:rsid w:val="39706BA0"/>
    <w:rsid w:val="39824C41"/>
    <w:rsid w:val="39827829"/>
    <w:rsid w:val="3993401A"/>
    <w:rsid w:val="39975AFB"/>
    <w:rsid w:val="39995BB3"/>
    <w:rsid w:val="399D4762"/>
    <w:rsid w:val="39A21DBC"/>
    <w:rsid w:val="39C82BBF"/>
    <w:rsid w:val="39CA3B23"/>
    <w:rsid w:val="39EC707C"/>
    <w:rsid w:val="39F24C2A"/>
    <w:rsid w:val="3A1B6B3B"/>
    <w:rsid w:val="3A233ECF"/>
    <w:rsid w:val="3A2D7BAB"/>
    <w:rsid w:val="3A45743A"/>
    <w:rsid w:val="3A4F2B4C"/>
    <w:rsid w:val="3A610625"/>
    <w:rsid w:val="3A684F39"/>
    <w:rsid w:val="3A764FDE"/>
    <w:rsid w:val="3A904E19"/>
    <w:rsid w:val="3A953982"/>
    <w:rsid w:val="3AC37553"/>
    <w:rsid w:val="3AC96C9F"/>
    <w:rsid w:val="3ACD34EE"/>
    <w:rsid w:val="3B17185E"/>
    <w:rsid w:val="3B2373E0"/>
    <w:rsid w:val="3B291E32"/>
    <w:rsid w:val="3B425FBD"/>
    <w:rsid w:val="3B4C1448"/>
    <w:rsid w:val="3B535550"/>
    <w:rsid w:val="3B550C57"/>
    <w:rsid w:val="3B5653C0"/>
    <w:rsid w:val="3B5A489E"/>
    <w:rsid w:val="3B5D79A7"/>
    <w:rsid w:val="3B64241F"/>
    <w:rsid w:val="3B934208"/>
    <w:rsid w:val="3B943687"/>
    <w:rsid w:val="3B953CB8"/>
    <w:rsid w:val="3BB70D74"/>
    <w:rsid w:val="3BBB63B0"/>
    <w:rsid w:val="3BEA6A4D"/>
    <w:rsid w:val="3BF975B9"/>
    <w:rsid w:val="3C0C324B"/>
    <w:rsid w:val="3C11779A"/>
    <w:rsid w:val="3C300073"/>
    <w:rsid w:val="3C3263C3"/>
    <w:rsid w:val="3C347876"/>
    <w:rsid w:val="3C3D7350"/>
    <w:rsid w:val="3C4003D2"/>
    <w:rsid w:val="3C5077F0"/>
    <w:rsid w:val="3C5631C1"/>
    <w:rsid w:val="3C6319A5"/>
    <w:rsid w:val="3C6A4416"/>
    <w:rsid w:val="3C6D28C0"/>
    <w:rsid w:val="3C89148B"/>
    <w:rsid w:val="3CA16B01"/>
    <w:rsid w:val="3CA25450"/>
    <w:rsid w:val="3CB16C19"/>
    <w:rsid w:val="3CBA2D6C"/>
    <w:rsid w:val="3CBD5B21"/>
    <w:rsid w:val="3CCA3030"/>
    <w:rsid w:val="3CCB636F"/>
    <w:rsid w:val="3CCC585E"/>
    <w:rsid w:val="3CF306F7"/>
    <w:rsid w:val="3CF92AB7"/>
    <w:rsid w:val="3CFB020B"/>
    <w:rsid w:val="3D0521B8"/>
    <w:rsid w:val="3D160EE7"/>
    <w:rsid w:val="3D1F7B03"/>
    <w:rsid w:val="3D462DEE"/>
    <w:rsid w:val="3D466499"/>
    <w:rsid w:val="3D4E048A"/>
    <w:rsid w:val="3D74486D"/>
    <w:rsid w:val="3D850CB2"/>
    <w:rsid w:val="3DE72505"/>
    <w:rsid w:val="3DF94EA4"/>
    <w:rsid w:val="3DFB66B5"/>
    <w:rsid w:val="3DFF3F57"/>
    <w:rsid w:val="3E2E1195"/>
    <w:rsid w:val="3E325ADE"/>
    <w:rsid w:val="3E3721DF"/>
    <w:rsid w:val="3E3D5AF9"/>
    <w:rsid w:val="3E4D7489"/>
    <w:rsid w:val="3E717CE3"/>
    <w:rsid w:val="3E7A0B25"/>
    <w:rsid w:val="3E87082C"/>
    <w:rsid w:val="3E9B1F29"/>
    <w:rsid w:val="3E9F7C1C"/>
    <w:rsid w:val="3EBE0637"/>
    <w:rsid w:val="3EDC43B2"/>
    <w:rsid w:val="3EF04D32"/>
    <w:rsid w:val="3F0424CF"/>
    <w:rsid w:val="3F0A1F24"/>
    <w:rsid w:val="3F226B6D"/>
    <w:rsid w:val="3F3A7BC2"/>
    <w:rsid w:val="3F4F0730"/>
    <w:rsid w:val="3F5564E5"/>
    <w:rsid w:val="3F576913"/>
    <w:rsid w:val="3F874ABF"/>
    <w:rsid w:val="3F886E54"/>
    <w:rsid w:val="3F8B3452"/>
    <w:rsid w:val="3F9F2DA4"/>
    <w:rsid w:val="3FC02FF0"/>
    <w:rsid w:val="3FCE7634"/>
    <w:rsid w:val="40003995"/>
    <w:rsid w:val="40094869"/>
    <w:rsid w:val="400B09B2"/>
    <w:rsid w:val="400D38CA"/>
    <w:rsid w:val="401D13AA"/>
    <w:rsid w:val="402446DA"/>
    <w:rsid w:val="4031155A"/>
    <w:rsid w:val="40526CB6"/>
    <w:rsid w:val="40551CFE"/>
    <w:rsid w:val="4092526A"/>
    <w:rsid w:val="40B644AB"/>
    <w:rsid w:val="40C27EF8"/>
    <w:rsid w:val="40E07E77"/>
    <w:rsid w:val="40EE1485"/>
    <w:rsid w:val="40F92E90"/>
    <w:rsid w:val="41155838"/>
    <w:rsid w:val="412D4B19"/>
    <w:rsid w:val="416D6101"/>
    <w:rsid w:val="418A3309"/>
    <w:rsid w:val="419838B5"/>
    <w:rsid w:val="41AC21EE"/>
    <w:rsid w:val="41BD03DB"/>
    <w:rsid w:val="41C14BA5"/>
    <w:rsid w:val="41DA7D36"/>
    <w:rsid w:val="42001452"/>
    <w:rsid w:val="42107036"/>
    <w:rsid w:val="42123285"/>
    <w:rsid w:val="422100AF"/>
    <w:rsid w:val="42296309"/>
    <w:rsid w:val="422A4B00"/>
    <w:rsid w:val="422E4FE9"/>
    <w:rsid w:val="42484C51"/>
    <w:rsid w:val="424851D2"/>
    <w:rsid w:val="4249668B"/>
    <w:rsid w:val="4254429F"/>
    <w:rsid w:val="425E7D14"/>
    <w:rsid w:val="42635FEF"/>
    <w:rsid w:val="426A2760"/>
    <w:rsid w:val="42DC6B49"/>
    <w:rsid w:val="42F913BC"/>
    <w:rsid w:val="42FE5587"/>
    <w:rsid w:val="43125371"/>
    <w:rsid w:val="434C0275"/>
    <w:rsid w:val="43642F5E"/>
    <w:rsid w:val="43A92D31"/>
    <w:rsid w:val="43B32F55"/>
    <w:rsid w:val="43BE37E1"/>
    <w:rsid w:val="43C3673C"/>
    <w:rsid w:val="43EA034A"/>
    <w:rsid w:val="43FD34BC"/>
    <w:rsid w:val="44273C51"/>
    <w:rsid w:val="44443148"/>
    <w:rsid w:val="444824FB"/>
    <w:rsid w:val="44900347"/>
    <w:rsid w:val="44A02630"/>
    <w:rsid w:val="44AA301A"/>
    <w:rsid w:val="44AA77F2"/>
    <w:rsid w:val="44AB3EBA"/>
    <w:rsid w:val="44AB6827"/>
    <w:rsid w:val="44B249B7"/>
    <w:rsid w:val="44B335CA"/>
    <w:rsid w:val="44B546E7"/>
    <w:rsid w:val="44C23C2D"/>
    <w:rsid w:val="44C2688A"/>
    <w:rsid w:val="44D91FD9"/>
    <w:rsid w:val="44DE32E5"/>
    <w:rsid w:val="44FB2F62"/>
    <w:rsid w:val="44FF0F3A"/>
    <w:rsid w:val="451D414B"/>
    <w:rsid w:val="451E281E"/>
    <w:rsid w:val="45407AD6"/>
    <w:rsid w:val="454A6641"/>
    <w:rsid w:val="454F708F"/>
    <w:rsid w:val="45553894"/>
    <w:rsid w:val="455E567C"/>
    <w:rsid w:val="45671A03"/>
    <w:rsid w:val="457D260A"/>
    <w:rsid w:val="45903BF5"/>
    <w:rsid w:val="459F58DD"/>
    <w:rsid w:val="45D00574"/>
    <w:rsid w:val="45D97D93"/>
    <w:rsid w:val="46100733"/>
    <w:rsid w:val="4611550A"/>
    <w:rsid w:val="46331463"/>
    <w:rsid w:val="46573DC2"/>
    <w:rsid w:val="466463D5"/>
    <w:rsid w:val="467C7DAD"/>
    <w:rsid w:val="468B287B"/>
    <w:rsid w:val="468E066B"/>
    <w:rsid w:val="468F1624"/>
    <w:rsid w:val="469C5960"/>
    <w:rsid w:val="46A120C6"/>
    <w:rsid w:val="46B12D45"/>
    <w:rsid w:val="46C05E45"/>
    <w:rsid w:val="46DC2CA6"/>
    <w:rsid w:val="46EB204D"/>
    <w:rsid w:val="46FC4CEF"/>
    <w:rsid w:val="471B2B70"/>
    <w:rsid w:val="475964A8"/>
    <w:rsid w:val="47781241"/>
    <w:rsid w:val="47921ED7"/>
    <w:rsid w:val="4796459D"/>
    <w:rsid w:val="47B023E0"/>
    <w:rsid w:val="47B44253"/>
    <w:rsid w:val="47CE2905"/>
    <w:rsid w:val="47F83359"/>
    <w:rsid w:val="47FC25FC"/>
    <w:rsid w:val="482D597D"/>
    <w:rsid w:val="4860348F"/>
    <w:rsid w:val="487E3D87"/>
    <w:rsid w:val="488E64B7"/>
    <w:rsid w:val="48952A15"/>
    <w:rsid w:val="48967C88"/>
    <w:rsid w:val="489D7312"/>
    <w:rsid w:val="48A474BC"/>
    <w:rsid w:val="48A633B7"/>
    <w:rsid w:val="48B274A0"/>
    <w:rsid w:val="48B6678D"/>
    <w:rsid w:val="48C8208F"/>
    <w:rsid w:val="48CD54FC"/>
    <w:rsid w:val="48E05764"/>
    <w:rsid w:val="490D6EF1"/>
    <w:rsid w:val="492D5FE9"/>
    <w:rsid w:val="49607C35"/>
    <w:rsid w:val="49683318"/>
    <w:rsid w:val="496A2326"/>
    <w:rsid w:val="496C770C"/>
    <w:rsid w:val="49833086"/>
    <w:rsid w:val="49A52A5D"/>
    <w:rsid w:val="49E70C75"/>
    <w:rsid w:val="49EB0DE5"/>
    <w:rsid w:val="49EE4636"/>
    <w:rsid w:val="4A06251A"/>
    <w:rsid w:val="4A113DC0"/>
    <w:rsid w:val="4A2F2B46"/>
    <w:rsid w:val="4A547916"/>
    <w:rsid w:val="4A563835"/>
    <w:rsid w:val="4A57271D"/>
    <w:rsid w:val="4A5A4578"/>
    <w:rsid w:val="4A6F4794"/>
    <w:rsid w:val="4A75653D"/>
    <w:rsid w:val="4A795ACE"/>
    <w:rsid w:val="4A9470AF"/>
    <w:rsid w:val="4AC531A8"/>
    <w:rsid w:val="4ADF7D61"/>
    <w:rsid w:val="4B0C4481"/>
    <w:rsid w:val="4B0E6C6E"/>
    <w:rsid w:val="4B1D7FF9"/>
    <w:rsid w:val="4B300210"/>
    <w:rsid w:val="4B3C1FE1"/>
    <w:rsid w:val="4B412FE7"/>
    <w:rsid w:val="4B50629D"/>
    <w:rsid w:val="4B5216F0"/>
    <w:rsid w:val="4B873C90"/>
    <w:rsid w:val="4BA82573"/>
    <w:rsid w:val="4BD319EC"/>
    <w:rsid w:val="4C0F3894"/>
    <w:rsid w:val="4C1603ED"/>
    <w:rsid w:val="4C265C32"/>
    <w:rsid w:val="4C266BA1"/>
    <w:rsid w:val="4C364B5B"/>
    <w:rsid w:val="4C5110C3"/>
    <w:rsid w:val="4C5521CF"/>
    <w:rsid w:val="4C7607DD"/>
    <w:rsid w:val="4C77450A"/>
    <w:rsid w:val="4C935296"/>
    <w:rsid w:val="4C9C05A8"/>
    <w:rsid w:val="4CA93DA4"/>
    <w:rsid w:val="4CAF7F74"/>
    <w:rsid w:val="4CCB723F"/>
    <w:rsid w:val="4D105E89"/>
    <w:rsid w:val="4D39550D"/>
    <w:rsid w:val="4D5A6A59"/>
    <w:rsid w:val="4D7E343F"/>
    <w:rsid w:val="4D853B8B"/>
    <w:rsid w:val="4DA82B08"/>
    <w:rsid w:val="4DB552EA"/>
    <w:rsid w:val="4DC318A3"/>
    <w:rsid w:val="4DE24F75"/>
    <w:rsid w:val="4DEA4DFF"/>
    <w:rsid w:val="4DF44DB5"/>
    <w:rsid w:val="4DF90F86"/>
    <w:rsid w:val="4DFA3C18"/>
    <w:rsid w:val="4E2B6141"/>
    <w:rsid w:val="4E34085A"/>
    <w:rsid w:val="4E4E41E8"/>
    <w:rsid w:val="4E52351E"/>
    <w:rsid w:val="4E586CD5"/>
    <w:rsid w:val="4E6679FD"/>
    <w:rsid w:val="4E7E704C"/>
    <w:rsid w:val="4E995F96"/>
    <w:rsid w:val="4E9C08B1"/>
    <w:rsid w:val="4EA51907"/>
    <w:rsid w:val="4EAB3D0C"/>
    <w:rsid w:val="4EB418A0"/>
    <w:rsid w:val="4ECC738A"/>
    <w:rsid w:val="4ED36F77"/>
    <w:rsid w:val="4ED759C3"/>
    <w:rsid w:val="4EF56D5C"/>
    <w:rsid w:val="4F024E2C"/>
    <w:rsid w:val="4F0F5F83"/>
    <w:rsid w:val="4F5041D0"/>
    <w:rsid w:val="4F767DE0"/>
    <w:rsid w:val="4FB71FA5"/>
    <w:rsid w:val="4FCD72E7"/>
    <w:rsid w:val="4FD2797C"/>
    <w:rsid w:val="4FE11B58"/>
    <w:rsid w:val="4FF22F51"/>
    <w:rsid w:val="50061349"/>
    <w:rsid w:val="50102EEB"/>
    <w:rsid w:val="502571C3"/>
    <w:rsid w:val="502C7252"/>
    <w:rsid w:val="502E532B"/>
    <w:rsid w:val="50330BAD"/>
    <w:rsid w:val="503F2AAA"/>
    <w:rsid w:val="504D47F5"/>
    <w:rsid w:val="506D2822"/>
    <w:rsid w:val="506F7531"/>
    <w:rsid w:val="50707BA2"/>
    <w:rsid w:val="508101EA"/>
    <w:rsid w:val="50AC380C"/>
    <w:rsid w:val="50B75E29"/>
    <w:rsid w:val="50C13ED4"/>
    <w:rsid w:val="50CD580A"/>
    <w:rsid w:val="50E16CEE"/>
    <w:rsid w:val="50FA2D88"/>
    <w:rsid w:val="51364EAB"/>
    <w:rsid w:val="5137695B"/>
    <w:rsid w:val="515D6CC8"/>
    <w:rsid w:val="51790213"/>
    <w:rsid w:val="518F40A5"/>
    <w:rsid w:val="51A94930"/>
    <w:rsid w:val="51AD00C1"/>
    <w:rsid w:val="51DB0A7E"/>
    <w:rsid w:val="51EB6355"/>
    <w:rsid w:val="51F135EC"/>
    <w:rsid w:val="51F21CCC"/>
    <w:rsid w:val="51F8067D"/>
    <w:rsid w:val="520D61E9"/>
    <w:rsid w:val="5236299C"/>
    <w:rsid w:val="52403723"/>
    <w:rsid w:val="52420C2A"/>
    <w:rsid w:val="524D1A2D"/>
    <w:rsid w:val="524F1B93"/>
    <w:rsid w:val="525B7281"/>
    <w:rsid w:val="52630775"/>
    <w:rsid w:val="526627D1"/>
    <w:rsid w:val="526E4E8E"/>
    <w:rsid w:val="52706486"/>
    <w:rsid w:val="527D6C07"/>
    <w:rsid w:val="527F35E6"/>
    <w:rsid w:val="52964727"/>
    <w:rsid w:val="529B3586"/>
    <w:rsid w:val="52B6596B"/>
    <w:rsid w:val="52B72FA1"/>
    <w:rsid w:val="52E7632F"/>
    <w:rsid w:val="52ED2480"/>
    <w:rsid w:val="52ED3AD0"/>
    <w:rsid w:val="52F30279"/>
    <w:rsid w:val="52F82B59"/>
    <w:rsid w:val="52FA6AE0"/>
    <w:rsid w:val="53101841"/>
    <w:rsid w:val="53130795"/>
    <w:rsid w:val="53465512"/>
    <w:rsid w:val="53660681"/>
    <w:rsid w:val="536B2CBD"/>
    <w:rsid w:val="53714A19"/>
    <w:rsid w:val="5373167E"/>
    <w:rsid w:val="5376019D"/>
    <w:rsid w:val="537B72FD"/>
    <w:rsid w:val="5397438F"/>
    <w:rsid w:val="539B6DCD"/>
    <w:rsid w:val="53B75E54"/>
    <w:rsid w:val="53F04C90"/>
    <w:rsid w:val="54106881"/>
    <w:rsid w:val="541B28DE"/>
    <w:rsid w:val="54337620"/>
    <w:rsid w:val="54361AD6"/>
    <w:rsid w:val="543D7553"/>
    <w:rsid w:val="545F3282"/>
    <w:rsid w:val="54771906"/>
    <w:rsid w:val="547C14C6"/>
    <w:rsid w:val="548F7C85"/>
    <w:rsid w:val="54A01754"/>
    <w:rsid w:val="54B267CF"/>
    <w:rsid w:val="54C03EAC"/>
    <w:rsid w:val="54C35373"/>
    <w:rsid w:val="54D37F7A"/>
    <w:rsid w:val="54D46F91"/>
    <w:rsid w:val="54E23C9A"/>
    <w:rsid w:val="54F915DA"/>
    <w:rsid w:val="551142AB"/>
    <w:rsid w:val="5522753E"/>
    <w:rsid w:val="552E29AD"/>
    <w:rsid w:val="554F42EA"/>
    <w:rsid w:val="55576D1C"/>
    <w:rsid w:val="556015D3"/>
    <w:rsid w:val="556866BD"/>
    <w:rsid w:val="556F7510"/>
    <w:rsid w:val="55783F05"/>
    <w:rsid w:val="557E31B0"/>
    <w:rsid w:val="55821F23"/>
    <w:rsid w:val="558656D0"/>
    <w:rsid w:val="55953EBF"/>
    <w:rsid w:val="55A71EC6"/>
    <w:rsid w:val="55C3667F"/>
    <w:rsid w:val="55D95FFB"/>
    <w:rsid w:val="55E70A99"/>
    <w:rsid w:val="55FD1528"/>
    <w:rsid w:val="5603491C"/>
    <w:rsid w:val="560558F9"/>
    <w:rsid w:val="56073BA7"/>
    <w:rsid w:val="561420A6"/>
    <w:rsid w:val="56401B87"/>
    <w:rsid w:val="56733201"/>
    <w:rsid w:val="568C20C6"/>
    <w:rsid w:val="568D5773"/>
    <w:rsid w:val="569C61A7"/>
    <w:rsid w:val="56B2746C"/>
    <w:rsid w:val="56CD2B8A"/>
    <w:rsid w:val="56D3688C"/>
    <w:rsid w:val="56D400C1"/>
    <w:rsid w:val="56D95440"/>
    <w:rsid w:val="56FB7A14"/>
    <w:rsid w:val="570304E9"/>
    <w:rsid w:val="570E18BA"/>
    <w:rsid w:val="57151246"/>
    <w:rsid w:val="57410C44"/>
    <w:rsid w:val="574C49B4"/>
    <w:rsid w:val="576B00A3"/>
    <w:rsid w:val="57807F34"/>
    <w:rsid w:val="57C919EB"/>
    <w:rsid w:val="57D65671"/>
    <w:rsid w:val="57E6237B"/>
    <w:rsid w:val="57EC51AE"/>
    <w:rsid w:val="58427D22"/>
    <w:rsid w:val="58551AFF"/>
    <w:rsid w:val="58623D40"/>
    <w:rsid w:val="587A31A5"/>
    <w:rsid w:val="58A57051"/>
    <w:rsid w:val="58A72E55"/>
    <w:rsid w:val="58AC5C6F"/>
    <w:rsid w:val="58CD3534"/>
    <w:rsid w:val="58DB67BC"/>
    <w:rsid w:val="58DC7FF8"/>
    <w:rsid w:val="58FC3A3C"/>
    <w:rsid w:val="58FC5A0D"/>
    <w:rsid w:val="59074E50"/>
    <w:rsid w:val="5922496C"/>
    <w:rsid w:val="59257BBA"/>
    <w:rsid w:val="59291040"/>
    <w:rsid w:val="593663A3"/>
    <w:rsid w:val="593F6D80"/>
    <w:rsid w:val="595E18B4"/>
    <w:rsid w:val="596F6B90"/>
    <w:rsid w:val="5972330C"/>
    <w:rsid w:val="59960F0D"/>
    <w:rsid w:val="599D7DC6"/>
    <w:rsid w:val="59A37C3C"/>
    <w:rsid w:val="59A72AB3"/>
    <w:rsid w:val="59E17C1A"/>
    <w:rsid w:val="59E859EC"/>
    <w:rsid w:val="5A01585A"/>
    <w:rsid w:val="5A064113"/>
    <w:rsid w:val="5A1135BC"/>
    <w:rsid w:val="5A185A21"/>
    <w:rsid w:val="5A1B1406"/>
    <w:rsid w:val="5A3E3334"/>
    <w:rsid w:val="5A4C6153"/>
    <w:rsid w:val="5A4D351C"/>
    <w:rsid w:val="5A5055E7"/>
    <w:rsid w:val="5A5368F8"/>
    <w:rsid w:val="5A590DD3"/>
    <w:rsid w:val="5A5D7326"/>
    <w:rsid w:val="5A8D7A31"/>
    <w:rsid w:val="5AA92DA4"/>
    <w:rsid w:val="5ACA3EE7"/>
    <w:rsid w:val="5ACE7F27"/>
    <w:rsid w:val="5AEF78B5"/>
    <w:rsid w:val="5B0E4644"/>
    <w:rsid w:val="5B0F40E8"/>
    <w:rsid w:val="5B18388D"/>
    <w:rsid w:val="5B2179CB"/>
    <w:rsid w:val="5B3D3B2C"/>
    <w:rsid w:val="5B4C30C2"/>
    <w:rsid w:val="5B543902"/>
    <w:rsid w:val="5B54540F"/>
    <w:rsid w:val="5B566F56"/>
    <w:rsid w:val="5B686D47"/>
    <w:rsid w:val="5B711B4B"/>
    <w:rsid w:val="5B7331EF"/>
    <w:rsid w:val="5B8C78DE"/>
    <w:rsid w:val="5BBB6CDF"/>
    <w:rsid w:val="5BBC63FA"/>
    <w:rsid w:val="5BC421DF"/>
    <w:rsid w:val="5BCA16CB"/>
    <w:rsid w:val="5BD17AE3"/>
    <w:rsid w:val="5BD769EA"/>
    <w:rsid w:val="5BE258BC"/>
    <w:rsid w:val="5BE82415"/>
    <w:rsid w:val="5BFE3FB5"/>
    <w:rsid w:val="5C085AF9"/>
    <w:rsid w:val="5C171659"/>
    <w:rsid w:val="5C1E336C"/>
    <w:rsid w:val="5C1F48C6"/>
    <w:rsid w:val="5C222B39"/>
    <w:rsid w:val="5C4835F4"/>
    <w:rsid w:val="5C56012D"/>
    <w:rsid w:val="5C6E50AB"/>
    <w:rsid w:val="5C724CD0"/>
    <w:rsid w:val="5C783EF8"/>
    <w:rsid w:val="5C797997"/>
    <w:rsid w:val="5C940C92"/>
    <w:rsid w:val="5C9B53EE"/>
    <w:rsid w:val="5CAD2CE8"/>
    <w:rsid w:val="5CB52BAD"/>
    <w:rsid w:val="5CB836EE"/>
    <w:rsid w:val="5CD65063"/>
    <w:rsid w:val="5CFE733E"/>
    <w:rsid w:val="5D133FCC"/>
    <w:rsid w:val="5D1B059D"/>
    <w:rsid w:val="5D1E6004"/>
    <w:rsid w:val="5D314B07"/>
    <w:rsid w:val="5D376CBC"/>
    <w:rsid w:val="5D5410C7"/>
    <w:rsid w:val="5D6C2738"/>
    <w:rsid w:val="5D925C2C"/>
    <w:rsid w:val="5D941A06"/>
    <w:rsid w:val="5DBA7B73"/>
    <w:rsid w:val="5DC219E4"/>
    <w:rsid w:val="5DE07F60"/>
    <w:rsid w:val="5E125F49"/>
    <w:rsid w:val="5E215894"/>
    <w:rsid w:val="5E4E2C93"/>
    <w:rsid w:val="5E575618"/>
    <w:rsid w:val="5E671FAE"/>
    <w:rsid w:val="5E6A5417"/>
    <w:rsid w:val="5E9964FC"/>
    <w:rsid w:val="5EA527EB"/>
    <w:rsid w:val="5EA8001D"/>
    <w:rsid w:val="5EB43DCB"/>
    <w:rsid w:val="5EB6537C"/>
    <w:rsid w:val="5EDA6998"/>
    <w:rsid w:val="5F375DCA"/>
    <w:rsid w:val="5F772BB7"/>
    <w:rsid w:val="5F7770CC"/>
    <w:rsid w:val="5F80082A"/>
    <w:rsid w:val="5F843B10"/>
    <w:rsid w:val="5F923324"/>
    <w:rsid w:val="5F9516DC"/>
    <w:rsid w:val="5F982EB2"/>
    <w:rsid w:val="5FAD2610"/>
    <w:rsid w:val="5FC02283"/>
    <w:rsid w:val="5FE53814"/>
    <w:rsid w:val="6009601C"/>
    <w:rsid w:val="601E45D8"/>
    <w:rsid w:val="601F2556"/>
    <w:rsid w:val="60595F1D"/>
    <w:rsid w:val="60C91D88"/>
    <w:rsid w:val="60C96A5B"/>
    <w:rsid w:val="60D868EE"/>
    <w:rsid w:val="60E33A8A"/>
    <w:rsid w:val="60EC12B4"/>
    <w:rsid w:val="61576E4B"/>
    <w:rsid w:val="6183520E"/>
    <w:rsid w:val="61B11B6E"/>
    <w:rsid w:val="61BF22D5"/>
    <w:rsid w:val="61E3116A"/>
    <w:rsid w:val="62092D04"/>
    <w:rsid w:val="6257385F"/>
    <w:rsid w:val="62661F44"/>
    <w:rsid w:val="62723831"/>
    <w:rsid w:val="62745415"/>
    <w:rsid w:val="62806004"/>
    <w:rsid w:val="62863DF4"/>
    <w:rsid w:val="62986E29"/>
    <w:rsid w:val="629D419A"/>
    <w:rsid w:val="62AB7395"/>
    <w:rsid w:val="62B67AE5"/>
    <w:rsid w:val="62C14349"/>
    <w:rsid w:val="62C16539"/>
    <w:rsid w:val="62DD7032"/>
    <w:rsid w:val="62E810A2"/>
    <w:rsid w:val="62E976F6"/>
    <w:rsid w:val="631416F0"/>
    <w:rsid w:val="631B31EA"/>
    <w:rsid w:val="63235A18"/>
    <w:rsid w:val="63254BDA"/>
    <w:rsid w:val="633E0BF6"/>
    <w:rsid w:val="635B0ADD"/>
    <w:rsid w:val="636C77D3"/>
    <w:rsid w:val="63822D4D"/>
    <w:rsid w:val="638D54FF"/>
    <w:rsid w:val="63A051EA"/>
    <w:rsid w:val="63B4132D"/>
    <w:rsid w:val="63C952A8"/>
    <w:rsid w:val="63D622B5"/>
    <w:rsid w:val="63D80532"/>
    <w:rsid w:val="63E547B2"/>
    <w:rsid w:val="63E66104"/>
    <w:rsid w:val="64157661"/>
    <w:rsid w:val="64171B21"/>
    <w:rsid w:val="64254827"/>
    <w:rsid w:val="64310F97"/>
    <w:rsid w:val="644E32E2"/>
    <w:rsid w:val="644F08D2"/>
    <w:rsid w:val="644F22F7"/>
    <w:rsid w:val="64560745"/>
    <w:rsid w:val="646D2F9C"/>
    <w:rsid w:val="64B95B48"/>
    <w:rsid w:val="64E345D4"/>
    <w:rsid w:val="64ED2876"/>
    <w:rsid w:val="64F87F36"/>
    <w:rsid w:val="64FE57EB"/>
    <w:rsid w:val="6500669E"/>
    <w:rsid w:val="652B6960"/>
    <w:rsid w:val="652F4EAA"/>
    <w:rsid w:val="654357A5"/>
    <w:rsid w:val="65536597"/>
    <w:rsid w:val="656C494A"/>
    <w:rsid w:val="659B2D80"/>
    <w:rsid w:val="65A51523"/>
    <w:rsid w:val="65B24D42"/>
    <w:rsid w:val="65DC74D3"/>
    <w:rsid w:val="65F84382"/>
    <w:rsid w:val="65F95745"/>
    <w:rsid w:val="660601A5"/>
    <w:rsid w:val="661D68F9"/>
    <w:rsid w:val="664F0C16"/>
    <w:rsid w:val="666D548D"/>
    <w:rsid w:val="667F0710"/>
    <w:rsid w:val="6694281E"/>
    <w:rsid w:val="66943F4F"/>
    <w:rsid w:val="669E749A"/>
    <w:rsid w:val="66A940F4"/>
    <w:rsid w:val="66AF25D7"/>
    <w:rsid w:val="66FA1F77"/>
    <w:rsid w:val="67120C85"/>
    <w:rsid w:val="6727776B"/>
    <w:rsid w:val="67363882"/>
    <w:rsid w:val="674628E6"/>
    <w:rsid w:val="67477B38"/>
    <w:rsid w:val="67511783"/>
    <w:rsid w:val="67646470"/>
    <w:rsid w:val="676573C8"/>
    <w:rsid w:val="676911A5"/>
    <w:rsid w:val="67703392"/>
    <w:rsid w:val="67947420"/>
    <w:rsid w:val="679D0397"/>
    <w:rsid w:val="67C95746"/>
    <w:rsid w:val="67D5727D"/>
    <w:rsid w:val="67E523E5"/>
    <w:rsid w:val="67E605BE"/>
    <w:rsid w:val="67F60E3F"/>
    <w:rsid w:val="67FD2B4E"/>
    <w:rsid w:val="6803337F"/>
    <w:rsid w:val="680A3C32"/>
    <w:rsid w:val="68210723"/>
    <w:rsid w:val="68282249"/>
    <w:rsid w:val="682846EE"/>
    <w:rsid w:val="682B4FCB"/>
    <w:rsid w:val="68467B1A"/>
    <w:rsid w:val="685A192E"/>
    <w:rsid w:val="685B7AC7"/>
    <w:rsid w:val="68746E1C"/>
    <w:rsid w:val="688658EC"/>
    <w:rsid w:val="68BA26EC"/>
    <w:rsid w:val="68CE53BB"/>
    <w:rsid w:val="68D02FF4"/>
    <w:rsid w:val="68EA2AA8"/>
    <w:rsid w:val="69033287"/>
    <w:rsid w:val="690925D1"/>
    <w:rsid w:val="695F12B7"/>
    <w:rsid w:val="69871D5C"/>
    <w:rsid w:val="69914C31"/>
    <w:rsid w:val="6993308B"/>
    <w:rsid w:val="69975E20"/>
    <w:rsid w:val="699F0A4B"/>
    <w:rsid w:val="69C03C0D"/>
    <w:rsid w:val="69C20B17"/>
    <w:rsid w:val="69C95365"/>
    <w:rsid w:val="69D13DDC"/>
    <w:rsid w:val="69E44B6C"/>
    <w:rsid w:val="69F04F3A"/>
    <w:rsid w:val="6A090D04"/>
    <w:rsid w:val="6A120357"/>
    <w:rsid w:val="6A2479FA"/>
    <w:rsid w:val="6A4A15B1"/>
    <w:rsid w:val="6A631685"/>
    <w:rsid w:val="6A6D5135"/>
    <w:rsid w:val="6A7062A5"/>
    <w:rsid w:val="6A81457D"/>
    <w:rsid w:val="6A862DD0"/>
    <w:rsid w:val="6A932AB3"/>
    <w:rsid w:val="6AA4189B"/>
    <w:rsid w:val="6ACE2F7D"/>
    <w:rsid w:val="6B074CBB"/>
    <w:rsid w:val="6B1C579B"/>
    <w:rsid w:val="6B227D5F"/>
    <w:rsid w:val="6B2E5607"/>
    <w:rsid w:val="6B546867"/>
    <w:rsid w:val="6B572E41"/>
    <w:rsid w:val="6B58707C"/>
    <w:rsid w:val="6B6343EB"/>
    <w:rsid w:val="6B6B1ADC"/>
    <w:rsid w:val="6B740145"/>
    <w:rsid w:val="6B746B02"/>
    <w:rsid w:val="6B782FC9"/>
    <w:rsid w:val="6BC2624C"/>
    <w:rsid w:val="6BC4352C"/>
    <w:rsid w:val="6BD70B36"/>
    <w:rsid w:val="6BD823E9"/>
    <w:rsid w:val="6BDD7ED6"/>
    <w:rsid w:val="6BDF0D50"/>
    <w:rsid w:val="6BE90B4B"/>
    <w:rsid w:val="6BEA03C1"/>
    <w:rsid w:val="6BEC37B1"/>
    <w:rsid w:val="6C1063EA"/>
    <w:rsid w:val="6C180CD2"/>
    <w:rsid w:val="6C247095"/>
    <w:rsid w:val="6C296B80"/>
    <w:rsid w:val="6C482EED"/>
    <w:rsid w:val="6C774E29"/>
    <w:rsid w:val="6C82039E"/>
    <w:rsid w:val="6C852D49"/>
    <w:rsid w:val="6C8908D8"/>
    <w:rsid w:val="6C8F1565"/>
    <w:rsid w:val="6C995782"/>
    <w:rsid w:val="6C9D0FB1"/>
    <w:rsid w:val="6CB55448"/>
    <w:rsid w:val="6D0A4265"/>
    <w:rsid w:val="6D164AC1"/>
    <w:rsid w:val="6D1F5F98"/>
    <w:rsid w:val="6D433068"/>
    <w:rsid w:val="6D4573FA"/>
    <w:rsid w:val="6D4E48F3"/>
    <w:rsid w:val="6D857735"/>
    <w:rsid w:val="6D8B427F"/>
    <w:rsid w:val="6D9B2DA9"/>
    <w:rsid w:val="6D9D3859"/>
    <w:rsid w:val="6DAA0F1E"/>
    <w:rsid w:val="6DC5719D"/>
    <w:rsid w:val="6DEF3DE7"/>
    <w:rsid w:val="6DF219F0"/>
    <w:rsid w:val="6E200312"/>
    <w:rsid w:val="6E203FA2"/>
    <w:rsid w:val="6E263A16"/>
    <w:rsid w:val="6E2F7E25"/>
    <w:rsid w:val="6E351DC2"/>
    <w:rsid w:val="6E764DA9"/>
    <w:rsid w:val="6E7A34C8"/>
    <w:rsid w:val="6E822806"/>
    <w:rsid w:val="6EB3012C"/>
    <w:rsid w:val="6EDA2F2B"/>
    <w:rsid w:val="6EE06260"/>
    <w:rsid w:val="6EEA4C6C"/>
    <w:rsid w:val="6F17521C"/>
    <w:rsid w:val="6F2E7C78"/>
    <w:rsid w:val="6F612AC3"/>
    <w:rsid w:val="6F7D00B0"/>
    <w:rsid w:val="6F9C689E"/>
    <w:rsid w:val="6F9C7F74"/>
    <w:rsid w:val="6FAB66F6"/>
    <w:rsid w:val="6FB361BB"/>
    <w:rsid w:val="6FD86C44"/>
    <w:rsid w:val="6FFB3BCE"/>
    <w:rsid w:val="6FFC5D64"/>
    <w:rsid w:val="700D099D"/>
    <w:rsid w:val="70152630"/>
    <w:rsid w:val="70291231"/>
    <w:rsid w:val="70305B2F"/>
    <w:rsid w:val="703A1ACA"/>
    <w:rsid w:val="70432C36"/>
    <w:rsid w:val="704A2680"/>
    <w:rsid w:val="70577091"/>
    <w:rsid w:val="706E7AC8"/>
    <w:rsid w:val="70901668"/>
    <w:rsid w:val="709B272B"/>
    <w:rsid w:val="70BD07B0"/>
    <w:rsid w:val="70C0153A"/>
    <w:rsid w:val="70C9728E"/>
    <w:rsid w:val="70E53970"/>
    <w:rsid w:val="70EB43E3"/>
    <w:rsid w:val="70F87F9A"/>
    <w:rsid w:val="712457A4"/>
    <w:rsid w:val="71291DF8"/>
    <w:rsid w:val="712B0DA0"/>
    <w:rsid w:val="712D43F2"/>
    <w:rsid w:val="715251DD"/>
    <w:rsid w:val="717479DE"/>
    <w:rsid w:val="71842C09"/>
    <w:rsid w:val="71906A7F"/>
    <w:rsid w:val="71B2171A"/>
    <w:rsid w:val="71B51EDE"/>
    <w:rsid w:val="71C56127"/>
    <w:rsid w:val="71E16922"/>
    <w:rsid w:val="71E5591F"/>
    <w:rsid w:val="72194DCA"/>
    <w:rsid w:val="721F086F"/>
    <w:rsid w:val="7231134F"/>
    <w:rsid w:val="724B7FD3"/>
    <w:rsid w:val="72632151"/>
    <w:rsid w:val="729D55C6"/>
    <w:rsid w:val="729E2AD1"/>
    <w:rsid w:val="72A20C94"/>
    <w:rsid w:val="72BD364C"/>
    <w:rsid w:val="72E12F64"/>
    <w:rsid w:val="72F023AF"/>
    <w:rsid w:val="72F66CB5"/>
    <w:rsid w:val="730125F2"/>
    <w:rsid w:val="733A3AC2"/>
    <w:rsid w:val="734E4869"/>
    <w:rsid w:val="73983F11"/>
    <w:rsid w:val="73CE6CB4"/>
    <w:rsid w:val="740A6A4A"/>
    <w:rsid w:val="74123AF5"/>
    <w:rsid w:val="74193428"/>
    <w:rsid w:val="741B1524"/>
    <w:rsid w:val="742522EA"/>
    <w:rsid w:val="742B43B3"/>
    <w:rsid w:val="74485A21"/>
    <w:rsid w:val="7459417B"/>
    <w:rsid w:val="7471785E"/>
    <w:rsid w:val="747609B8"/>
    <w:rsid w:val="74832C68"/>
    <w:rsid w:val="749234C4"/>
    <w:rsid w:val="74C154BC"/>
    <w:rsid w:val="74C17090"/>
    <w:rsid w:val="74CA6436"/>
    <w:rsid w:val="74E837F7"/>
    <w:rsid w:val="74F74698"/>
    <w:rsid w:val="75105DB9"/>
    <w:rsid w:val="75363031"/>
    <w:rsid w:val="7545573F"/>
    <w:rsid w:val="755B7303"/>
    <w:rsid w:val="756A42EA"/>
    <w:rsid w:val="757F4FB2"/>
    <w:rsid w:val="75894D67"/>
    <w:rsid w:val="758F0B5D"/>
    <w:rsid w:val="759D24EB"/>
    <w:rsid w:val="75C31666"/>
    <w:rsid w:val="75C865CB"/>
    <w:rsid w:val="75DB6F21"/>
    <w:rsid w:val="75E747C4"/>
    <w:rsid w:val="75E95796"/>
    <w:rsid w:val="75FE1C50"/>
    <w:rsid w:val="760653F5"/>
    <w:rsid w:val="761E4516"/>
    <w:rsid w:val="76382D09"/>
    <w:rsid w:val="76480B5B"/>
    <w:rsid w:val="76561D00"/>
    <w:rsid w:val="767E3365"/>
    <w:rsid w:val="768250F6"/>
    <w:rsid w:val="76CB11DA"/>
    <w:rsid w:val="76CE49B5"/>
    <w:rsid w:val="76CF0232"/>
    <w:rsid w:val="76D83568"/>
    <w:rsid w:val="76E35D13"/>
    <w:rsid w:val="76E51098"/>
    <w:rsid w:val="76FC0BDC"/>
    <w:rsid w:val="77034AAF"/>
    <w:rsid w:val="770B7F52"/>
    <w:rsid w:val="770E67F6"/>
    <w:rsid w:val="7734127E"/>
    <w:rsid w:val="77384934"/>
    <w:rsid w:val="77400BCC"/>
    <w:rsid w:val="77577B6E"/>
    <w:rsid w:val="77626A2C"/>
    <w:rsid w:val="77780912"/>
    <w:rsid w:val="7785352B"/>
    <w:rsid w:val="779D6857"/>
    <w:rsid w:val="77B75520"/>
    <w:rsid w:val="77BF49EB"/>
    <w:rsid w:val="77E97109"/>
    <w:rsid w:val="77E974BA"/>
    <w:rsid w:val="77FF0768"/>
    <w:rsid w:val="78082B5E"/>
    <w:rsid w:val="780920A2"/>
    <w:rsid w:val="781D06DC"/>
    <w:rsid w:val="781F41DD"/>
    <w:rsid w:val="782829F9"/>
    <w:rsid w:val="78381A5E"/>
    <w:rsid w:val="78527B91"/>
    <w:rsid w:val="7855248D"/>
    <w:rsid w:val="786F5E60"/>
    <w:rsid w:val="78720E86"/>
    <w:rsid w:val="78726A76"/>
    <w:rsid w:val="788F2D63"/>
    <w:rsid w:val="789A28C7"/>
    <w:rsid w:val="78A57199"/>
    <w:rsid w:val="78AB163D"/>
    <w:rsid w:val="78B404AE"/>
    <w:rsid w:val="78BF1A88"/>
    <w:rsid w:val="78D6479B"/>
    <w:rsid w:val="78DB705D"/>
    <w:rsid w:val="791075CB"/>
    <w:rsid w:val="791302D5"/>
    <w:rsid w:val="79521AE0"/>
    <w:rsid w:val="796419CB"/>
    <w:rsid w:val="79794F50"/>
    <w:rsid w:val="7984239D"/>
    <w:rsid w:val="79991EEA"/>
    <w:rsid w:val="79B92076"/>
    <w:rsid w:val="79C47176"/>
    <w:rsid w:val="79C920C5"/>
    <w:rsid w:val="79D25F09"/>
    <w:rsid w:val="79E978EB"/>
    <w:rsid w:val="79F0317F"/>
    <w:rsid w:val="7A310AF2"/>
    <w:rsid w:val="7A6F17C4"/>
    <w:rsid w:val="7A7C32DC"/>
    <w:rsid w:val="7A8C04D2"/>
    <w:rsid w:val="7A9271F8"/>
    <w:rsid w:val="7AAB1658"/>
    <w:rsid w:val="7AB00F74"/>
    <w:rsid w:val="7AC52F60"/>
    <w:rsid w:val="7AC95695"/>
    <w:rsid w:val="7ACE689A"/>
    <w:rsid w:val="7AE928BD"/>
    <w:rsid w:val="7AEB58E2"/>
    <w:rsid w:val="7B117C64"/>
    <w:rsid w:val="7B48105E"/>
    <w:rsid w:val="7B534BF1"/>
    <w:rsid w:val="7B6B259F"/>
    <w:rsid w:val="7B761F7E"/>
    <w:rsid w:val="7B980680"/>
    <w:rsid w:val="7BAD1212"/>
    <w:rsid w:val="7BAE5250"/>
    <w:rsid w:val="7BF70CB6"/>
    <w:rsid w:val="7BF95732"/>
    <w:rsid w:val="7C070B0D"/>
    <w:rsid w:val="7C11538B"/>
    <w:rsid w:val="7C220378"/>
    <w:rsid w:val="7C277769"/>
    <w:rsid w:val="7C4214A2"/>
    <w:rsid w:val="7C613D65"/>
    <w:rsid w:val="7C6723BD"/>
    <w:rsid w:val="7C8F4102"/>
    <w:rsid w:val="7C961098"/>
    <w:rsid w:val="7C9C0F16"/>
    <w:rsid w:val="7C9E7950"/>
    <w:rsid w:val="7CAA2DAF"/>
    <w:rsid w:val="7CB510B4"/>
    <w:rsid w:val="7CBD4E49"/>
    <w:rsid w:val="7CDC4782"/>
    <w:rsid w:val="7CE25225"/>
    <w:rsid w:val="7CE31DA8"/>
    <w:rsid w:val="7CF2390F"/>
    <w:rsid w:val="7D166575"/>
    <w:rsid w:val="7D230305"/>
    <w:rsid w:val="7D2462B5"/>
    <w:rsid w:val="7D252BEB"/>
    <w:rsid w:val="7D287BAE"/>
    <w:rsid w:val="7D3A0230"/>
    <w:rsid w:val="7D4234C4"/>
    <w:rsid w:val="7D606AA6"/>
    <w:rsid w:val="7D6336D6"/>
    <w:rsid w:val="7D671C04"/>
    <w:rsid w:val="7D843919"/>
    <w:rsid w:val="7DBD7FEA"/>
    <w:rsid w:val="7DF954D8"/>
    <w:rsid w:val="7E0651C7"/>
    <w:rsid w:val="7E077300"/>
    <w:rsid w:val="7E1C3B8F"/>
    <w:rsid w:val="7E225C2D"/>
    <w:rsid w:val="7E297044"/>
    <w:rsid w:val="7E787392"/>
    <w:rsid w:val="7E7B758A"/>
    <w:rsid w:val="7EAD6DF1"/>
    <w:rsid w:val="7EB115E8"/>
    <w:rsid w:val="7EB44151"/>
    <w:rsid w:val="7ECD0CD2"/>
    <w:rsid w:val="7EFD417D"/>
    <w:rsid w:val="7F057CB4"/>
    <w:rsid w:val="7F5401B9"/>
    <w:rsid w:val="7F6106E9"/>
    <w:rsid w:val="7F6E2CB5"/>
    <w:rsid w:val="7F6F0485"/>
    <w:rsid w:val="7F6F7C74"/>
    <w:rsid w:val="7F736901"/>
    <w:rsid w:val="7F840253"/>
    <w:rsid w:val="7F89110D"/>
    <w:rsid w:val="7FB336A4"/>
    <w:rsid w:val="7FBE2CAA"/>
    <w:rsid w:val="7FD657C5"/>
    <w:rsid w:val="7FF816EC"/>
    <w:rsid w:val="7FFA74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6"/>
    <w:qFormat/>
    <w:uiPriority w:val="0"/>
    <w:pPr>
      <w:keepNext/>
      <w:keepLines/>
      <w:numPr>
        <w:ilvl w:val="0"/>
        <w:numId w:val="1"/>
      </w:numPr>
      <w:spacing w:line="360" w:lineRule="auto"/>
      <w:ind w:left="0" w:firstLine="0"/>
      <w:jc w:val="center"/>
      <w:outlineLvl w:val="0"/>
    </w:pPr>
    <w:rPr>
      <w:rFonts w:ascii="宋体" w:hAnsi="宋体"/>
      <w:b/>
      <w:bCs/>
      <w:kern w:val="44"/>
      <w:sz w:val="32"/>
      <w:szCs w:val="32"/>
    </w:rPr>
  </w:style>
  <w:style w:type="paragraph" w:styleId="4">
    <w:name w:val="heading 2"/>
    <w:basedOn w:val="1"/>
    <w:next w:val="1"/>
    <w:link w:val="100"/>
    <w:qFormat/>
    <w:uiPriority w:val="0"/>
    <w:pPr>
      <w:keepNext/>
      <w:keepLines/>
      <w:widowControl w:val="0"/>
      <w:numPr>
        <w:ilvl w:val="1"/>
        <w:numId w:val="1"/>
      </w:numPr>
      <w:tabs>
        <w:tab w:val="left" w:pos="426"/>
        <w:tab w:val="left" w:pos="567"/>
      </w:tabs>
      <w:spacing w:line="360" w:lineRule="auto"/>
      <w:ind w:left="0" w:firstLine="0"/>
      <w:outlineLvl w:val="1"/>
    </w:pPr>
    <w:rPr>
      <w:rFonts w:ascii="宋体" w:hAnsi="宋体"/>
      <w:b/>
      <w:bCs/>
      <w:iCs/>
      <w:sz w:val="28"/>
      <w:szCs w:val="28"/>
    </w:rPr>
  </w:style>
  <w:style w:type="paragraph" w:styleId="5">
    <w:name w:val="heading 3"/>
    <w:basedOn w:val="1"/>
    <w:next w:val="1"/>
    <w:link w:val="102"/>
    <w:qFormat/>
    <w:uiPriority w:val="0"/>
    <w:pPr>
      <w:keepNext/>
      <w:keepLines/>
      <w:widowControl w:val="0"/>
      <w:numPr>
        <w:ilvl w:val="2"/>
        <w:numId w:val="1"/>
      </w:numPr>
      <w:spacing w:line="360" w:lineRule="auto"/>
      <w:ind w:left="0" w:firstLine="640" w:firstLineChars="200"/>
      <w:outlineLvl w:val="2"/>
    </w:pPr>
    <w:rPr>
      <w:rFonts w:ascii="宋体" w:hAnsi="宋体"/>
      <w:b/>
      <w:bCs/>
      <w:color w:val="000000"/>
      <w:kern w:val="2"/>
      <w:szCs w:val="28"/>
    </w:rPr>
  </w:style>
  <w:style w:type="paragraph" w:styleId="6">
    <w:name w:val="heading 4"/>
    <w:basedOn w:val="1"/>
    <w:next w:val="1"/>
    <w:link w:val="98"/>
    <w:qFormat/>
    <w:uiPriority w:val="0"/>
    <w:pPr>
      <w:keepNext/>
      <w:keepLines/>
      <w:widowControl w:val="0"/>
      <w:numPr>
        <w:ilvl w:val="0"/>
        <w:numId w:val="2"/>
      </w:numPr>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92"/>
    <w:qFormat/>
    <w:uiPriority w:val="0"/>
    <w:pPr>
      <w:keepNext/>
      <w:keepLines/>
      <w:widowControl w:val="0"/>
      <w:numPr>
        <w:ilvl w:val="4"/>
        <w:numId w:val="3"/>
      </w:numPr>
      <w:tabs>
        <w:tab w:val="left" w:pos="709"/>
        <w:tab w:val="clear" w:pos="992"/>
      </w:tabs>
      <w:autoSpaceDE w:val="0"/>
      <w:autoSpaceDN w:val="0"/>
      <w:adjustRightInd w:val="0"/>
      <w:spacing w:before="280" w:after="290" w:line="376" w:lineRule="auto"/>
      <w:ind w:left="0" w:firstLine="0"/>
      <w:jc w:val="both"/>
      <w:outlineLvl w:val="4"/>
    </w:pPr>
    <w:rPr>
      <w:b/>
      <w:bCs/>
      <w:sz w:val="28"/>
      <w:szCs w:val="28"/>
    </w:rPr>
  </w:style>
  <w:style w:type="paragraph" w:styleId="8">
    <w:name w:val="heading 6"/>
    <w:basedOn w:val="1"/>
    <w:next w:val="1"/>
    <w:link w:val="90"/>
    <w:qFormat/>
    <w:uiPriority w:val="0"/>
    <w:pPr>
      <w:keepNext/>
      <w:keepLines/>
      <w:widowControl w:val="0"/>
      <w:numPr>
        <w:ilvl w:val="5"/>
        <w:numId w:val="3"/>
      </w:numPr>
      <w:spacing w:before="240" w:after="64" w:line="320" w:lineRule="auto"/>
      <w:jc w:val="both"/>
      <w:outlineLvl w:val="5"/>
    </w:pPr>
    <w:rPr>
      <w:rFonts w:ascii="Arial" w:hAnsi="Arial" w:eastAsia="黑体"/>
      <w:b/>
      <w:bCs/>
      <w:kern w:val="2"/>
    </w:rPr>
  </w:style>
  <w:style w:type="paragraph" w:styleId="9">
    <w:name w:val="heading 7"/>
    <w:basedOn w:val="1"/>
    <w:next w:val="1"/>
    <w:link w:val="82"/>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59"/>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87"/>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7"/>
    <w:qFormat/>
    <w:uiPriority w:val="0"/>
    <w:pPr>
      <w:widowControl w:val="0"/>
      <w:ind w:firstLine="540" w:firstLineChars="257"/>
      <w:jc w:val="both"/>
    </w:pPr>
    <w:rPr>
      <w:kern w:val="2"/>
      <w:sz w:val="21"/>
    </w:rPr>
  </w:style>
  <w:style w:type="paragraph" w:styleId="12">
    <w:name w:val="toc 7"/>
    <w:basedOn w:val="1"/>
    <w:next w:val="1"/>
    <w:qFormat/>
    <w:uiPriority w:val="0"/>
    <w:pPr>
      <w:widowControl w:val="0"/>
      <w:ind w:left="1080"/>
    </w:pPr>
    <w:rPr>
      <w:kern w:val="2"/>
      <w:sz w:val="18"/>
      <w:szCs w:val="20"/>
    </w:rPr>
  </w:style>
  <w:style w:type="paragraph" w:styleId="13">
    <w:name w:val="index 8"/>
    <w:basedOn w:val="1"/>
    <w:next w:val="1"/>
    <w:qFormat/>
    <w:uiPriority w:val="0"/>
    <w:pPr>
      <w:ind w:left="1400" w:leftChars="1400"/>
    </w:pPr>
    <w:rPr>
      <w:rFonts w:ascii="Times New Roman" w:hAnsi="Times New Roman"/>
      <w:szCs w:val="20"/>
    </w:rPr>
  </w:style>
  <w:style w:type="paragraph" w:styleId="14">
    <w:name w:val="Normal Indent"/>
    <w:basedOn w:val="1"/>
    <w:link w:val="85"/>
    <w:qFormat/>
    <w:uiPriority w:val="0"/>
    <w:pPr>
      <w:widowControl w:val="0"/>
      <w:spacing w:line="360" w:lineRule="auto"/>
      <w:ind w:firstLine="420" w:firstLineChars="200"/>
      <w:jc w:val="both"/>
    </w:pPr>
    <w:rPr>
      <w:kern w:val="2"/>
      <w:sz w:val="21"/>
    </w:rPr>
  </w:style>
  <w:style w:type="paragraph" w:styleId="15">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78"/>
    <w:unhideWhenUsed/>
    <w:qFormat/>
    <w:uiPriority w:val="99"/>
    <w:rPr>
      <w:rFonts w:ascii="宋体"/>
      <w:sz w:val="18"/>
      <w:szCs w:val="18"/>
    </w:rPr>
  </w:style>
  <w:style w:type="paragraph" w:styleId="17">
    <w:name w:val="annotation text"/>
    <w:basedOn w:val="1"/>
    <w:link w:val="60"/>
    <w:qFormat/>
    <w:uiPriority w:val="0"/>
    <w:pPr>
      <w:widowControl w:val="0"/>
    </w:pPr>
    <w:rPr>
      <w:kern w:val="2"/>
      <w:sz w:val="18"/>
      <w:szCs w:val="20"/>
    </w:rPr>
  </w:style>
  <w:style w:type="paragraph" w:styleId="18">
    <w:name w:val="Salutation"/>
    <w:basedOn w:val="1"/>
    <w:next w:val="1"/>
    <w:link w:val="86"/>
    <w:qFormat/>
    <w:uiPriority w:val="0"/>
    <w:pPr>
      <w:widowControl w:val="0"/>
      <w:jc w:val="both"/>
    </w:pPr>
    <w:rPr>
      <w:rFonts w:eastAsia="黑体"/>
      <w:kern w:val="2"/>
      <w:szCs w:val="20"/>
    </w:rPr>
  </w:style>
  <w:style w:type="paragraph" w:styleId="19">
    <w:name w:val="Body Text 3"/>
    <w:basedOn w:val="1"/>
    <w:link w:val="99"/>
    <w:qFormat/>
    <w:uiPriority w:val="0"/>
    <w:pPr>
      <w:spacing w:after="120"/>
    </w:pPr>
    <w:rPr>
      <w:sz w:val="16"/>
      <w:szCs w:val="16"/>
    </w:rPr>
  </w:style>
  <w:style w:type="paragraph" w:styleId="20">
    <w:name w:val="Body Text"/>
    <w:basedOn w:val="1"/>
    <w:next w:val="1"/>
    <w:link w:val="88"/>
    <w:qFormat/>
    <w:uiPriority w:val="0"/>
    <w:pPr>
      <w:spacing w:after="120"/>
    </w:pPr>
  </w:style>
  <w:style w:type="paragraph" w:styleId="21">
    <w:name w:val="Body Text Indent"/>
    <w:basedOn w:val="1"/>
    <w:link w:val="83"/>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2">
    <w:name w:val="Block Text"/>
    <w:basedOn w:val="1"/>
    <w:qFormat/>
    <w:uiPriority w:val="0"/>
    <w:pPr>
      <w:widowControl w:val="0"/>
      <w:ind w:left="-540" w:leftChars="-257" w:right="-334" w:rightChars="-159" w:firstLine="540" w:firstLineChars="180"/>
      <w:jc w:val="both"/>
    </w:pPr>
    <w:rPr>
      <w:kern w:val="2"/>
      <w:sz w:val="30"/>
    </w:rPr>
  </w:style>
  <w:style w:type="paragraph" w:styleId="23">
    <w:name w:val="toc 5"/>
    <w:basedOn w:val="1"/>
    <w:next w:val="1"/>
    <w:qFormat/>
    <w:uiPriority w:val="0"/>
    <w:pPr>
      <w:widowControl w:val="0"/>
      <w:ind w:left="720"/>
    </w:pPr>
    <w:rPr>
      <w:kern w:val="2"/>
      <w:sz w:val="18"/>
      <w:szCs w:val="20"/>
    </w:rPr>
  </w:style>
  <w:style w:type="paragraph" w:styleId="24">
    <w:name w:val="toc 3"/>
    <w:basedOn w:val="1"/>
    <w:next w:val="1"/>
    <w:qFormat/>
    <w:uiPriority w:val="0"/>
    <w:pPr>
      <w:widowControl w:val="0"/>
      <w:ind w:left="360"/>
    </w:pPr>
    <w:rPr>
      <w:i/>
      <w:kern w:val="2"/>
      <w:sz w:val="20"/>
      <w:szCs w:val="20"/>
    </w:rPr>
  </w:style>
  <w:style w:type="paragraph" w:styleId="25">
    <w:name w:val="Plain Text"/>
    <w:basedOn w:val="1"/>
    <w:link w:val="104"/>
    <w:qFormat/>
    <w:uiPriority w:val="0"/>
    <w:pPr>
      <w:widowControl w:val="0"/>
      <w:autoSpaceDE w:val="0"/>
      <w:autoSpaceDN w:val="0"/>
      <w:adjustRightInd w:val="0"/>
      <w:jc w:val="both"/>
    </w:pPr>
    <w:rPr>
      <w:rFonts w:ascii="宋体" w:hAnsi="Tms Rmn"/>
      <w:sz w:val="21"/>
      <w:szCs w:val="21"/>
    </w:rPr>
  </w:style>
  <w:style w:type="paragraph" w:styleId="26">
    <w:name w:val="toc 8"/>
    <w:basedOn w:val="1"/>
    <w:next w:val="1"/>
    <w:qFormat/>
    <w:uiPriority w:val="0"/>
    <w:pPr>
      <w:widowControl w:val="0"/>
      <w:ind w:left="1260"/>
    </w:pPr>
    <w:rPr>
      <w:kern w:val="2"/>
      <w:sz w:val="18"/>
      <w:szCs w:val="20"/>
    </w:rPr>
  </w:style>
  <w:style w:type="paragraph" w:styleId="27">
    <w:name w:val="Date"/>
    <w:basedOn w:val="1"/>
    <w:next w:val="1"/>
    <w:link w:val="79"/>
    <w:qFormat/>
    <w:uiPriority w:val="0"/>
    <w:pPr>
      <w:ind w:left="100" w:leftChars="2500"/>
    </w:pPr>
  </w:style>
  <w:style w:type="paragraph" w:styleId="28">
    <w:name w:val="Balloon Text"/>
    <w:basedOn w:val="1"/>
    <w:link w:val="91"/>
    <w:semiHidden/>
    <w:qFormat/>
    <w:uiPriority w:val="0"/>
    <w:rPr>
      <w:sz w:val="18"/>
      <w:szCs w:val="18"/>
    </w:rPr>
  </w:style>
  <w:style w:type="paragraph" w:styleId="29">
    <w:name w:val="footer"/>
    <w:basedOn w:val="1"/>
    <w:link w:val="76"/>
    <w:qFormat/>
    <w:uiPriority w:val="99"/>
    <w:pPr>
      <w:tabs>
        <w:tab w:val="center" w:pos="4153"/>
        <w:tab w:val="right" w:pos="8306"/>
      </w:tabs>
      <w:snapToGrid w:val="0"/>
    </w:pPr>
    <w:rPr>
      <w:sz w:val="18"/>
      <w:szCs w:val="18"/>
    </w:rPr>
  </w:style>
  <w:style w:type="paragraph" w:styleId="30">
    <w:name w:val="header"/>
    <w:basedOn w:val="1"/>
    <w:link w:val="9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0"/>
    <w:pPr>
      <w:widowControl w:val="0"/>
      <w:ind w:left="540"/>
    </w:pPr>
    <w:rPr>
      <w:kern w:val="2"/>
      <w:sz w:val="18"/>
      <w:szCs w:val="20"/>
    </w:rPr>
  </w:style>
  <w:style w:type="paragraph" w:styleId="33">
    <w:name w:val="Subtitle"/>
    <w:basedOn w:val="1"/>
    <w:next w:val="1"/>
    <w:qFormat/>
    <w:uiPriority w:val="0"/>
    <w:rPr>
      <w:rFonts w:ascii="宋体"/>
      <w:sz w:val="28"/>
      <w:szCs w:val="20"/>
    </w:rPr>
  </w:style>
  <w:style w:type="paragraph" w:styleId="34">
    <w:name w:val="toc 6"/>
    <w:basedOn w:val="1"/>
    <w:next w:val="1"/>
    <w:semiHidden/>
    <w:qFormat/>
    <w:uiPriority w:val="0"/>
    <w:pPr>
      <w:ind w:left="1200"/>
    </w:pPr>
    <w:rPr>
      <w:sz w:val="18"/>
      <w:szCs w:val="18"/>
    </w:rPr>
  </w:style>
  <w:style w:type="paragraph" w:styleId="35">
    <w:name w:val="Body Text Indent 3"/>
    <w:basedOn w:val="1"/>
    <w:link w:val="81"/>
    <w:qFormat/>
    <w:uiPriority w:val="0"/>
    <w:pPr>
      <w:widowControl w:val="0"/>
      <w:spacing w:after="120"/>
      <w:ind w:left="420" w:leftChars="200"/>
      <w:jc w:val="both"/>
    </w:pPr>
    <w:rPr>
      <w:kern w:val="2"/>
      <w:sz w:val="16"/>
      <w:szCs w:val="16"/>
    </w:rPr>
  </w:style>
  <w:style w:type="paragraph" w:styleId="36">
    <w:name w:val="toc 2"/>
    <w:basedOn w:val="1"/>
    <w:next w:val="1"/>
    <w:qFormat/>
    <w:uiPriority w:val="39"/>
    <w:pPr>
      <w:ind w:left="240"/>
    </w:pPr>
    <w:rPr>
      <w:smallCaps/>
      <w:szCs w:val="20"/>
    </w:rPr>
  </w:style>
  <w:style w:type="paragraph" w:styleId="37">
    <w:name w:val="toc 9"/>
    <w:basedOn w:val="1"/>
    <w:next w:val="1"/>
    <w:qFormat/>
    <w:uiPriority w:val="0"/>
    <w:pPr>
      <w:widowControl w:val="0"/>
      <w:ind w:left="1440"/>
    </w:pPr>
    <w:rPr>
      <w:kern w:val="2"/>
      <w:sz w:val="18"/>
      <w:szCs w:val="20"/>
    </w:rPr>
  </w:style>
  <w:style w:type="paragraph" w:styleId="38">
    <w:name w:val="Body Text 2"/>
    <w:basedOn w:val="1"/>
    <w:link w:val="72"/>
    <w:qFormat/>
    <w:uiPriority w:val="0"/>
    <w:pPr>
      <w:widowControl w:val="0"/>
      <w:autoSpaceDE w:val="0"/>
      <w:autoSpaceDN w:val="0"/>
      <w:adjustRightInd w:val="0"/>
      <w:spacing w:after="120" w:line="480" w:lineRule="auto"/>
      <w:jc w:val="both"/>
    </w:pPr>
    <w:rPr>
      <w:sz w:val="21"/>
      <w:szCs w:val="21"/>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03"/>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7"/>
    <w:next w:val="17"/>
    <w:link w:val="58"/>
    <w:qFormat/>
    <w:uiPriority w:val="0"/>
    <w:rPr>
      <w:b/>
    </w:rPr>
  </w:style>
  <w:style w:type="paragraph" w:styleId="42">
    <w:name w:val="Body Text First Indent"/>
    <w:basedOn w:val="20"/>
    <w:link w:val="84"/>
    <w:qFormat/>
    <w:uiPriority w:val="0"/>
    <w:pPr>
      <w:widowControl w:val="0"/>
      <w:ind w:firstLine="420" w:firstLineChars="100"/>
      <w:jc w:val="both"/>
    </w:pPr>
    <w:rPr>
      <w:rFonts w:ascii="宋体" w:hAnsi="宋体"/>
      <w:kern w:val="2"/>
      <w:sz w:val="21"/>
    </w:rPr>
  </w:style>
  <w:style w:type="paragraph" w:styleId="43">
    <w:name w:val="Body Text First Indent 2"/>
    <w:basedOn w:val="21"/>
    <w:qFormat/>
    <w:uiPriority w:val="0"/>
    <w:pPr>
      <w:spacing w:before="100" w:beforeAutospacing="1"/>
      <w:ind w:firstLine="420" w:firstLineChars="200"/>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rPr>
  </w:style>
  <w:style w:type="paragraph" w:customStyle="1" w:styleId="53">
    <w:name w:val="引用1"/>
    <w:next w:val="1"/>
    <w:qFormat/>
    <w:uiPriority w:val="0"/>
    <w:pPr>
      <w:wordWrap w:val="0"/>
      <w:spacing w:before="200" w:after="160"/>
      <w:ind w:left="864" w:right="864"/>
    </w:pPr>
    <w:rPr>
      <w:rFonts w:ascii="Calibri" w:hAnsi="Calibri" w:eastAsia="仿宋_GB2312" w:cs="Times New Roman"/>
      <w:sz w:val="24"/>
      <w:lang w:val="en-US" w:eastAsia="zh-CN" w:bidi="ar-SA"/>
    </w:rPr>
  </w:style>
  <w:style w:type="paragraph" w:customStyle="1" w:styleId="54">
    <w:name w:val="标题 5（有编号）（绿盟科技）"/>
    <w:basedOn w:val="1"/>
    <w:next w:val="55"/>
    <w:qFormat/>
    <w:uiPriority w:val="0"/>
    <w:pPr>
      <w:keepNext/>
      <w:keepLines/>
      <w:numPr>
        <w:ilvl w:val="4"/>
        <w:numId w:val="4"/>
      </w:numPr>
      <w:spacing w:before="280" w:after="156" w:line="377" w:lineRule="auto"/>
      <w:outlineLvl w:val="4"/>
    </w:pPr>
    <w:rPr>
      <w:rFonts w:ascii="Arial" w:hAnsi="Arial" w:eastAsia="黑体"/>
      <w:b/>
      <w:sz w:val="24"/>
      <w:szCs w:val="28"/>
    </w:rPr>
  </w:style>
  <w:style w:type="paragraph" w:customStyle="1" w:styleId="55">
    <w:name w:val="正文（绿盟科技）"/>
    <w:qFormat/>
    <w:uiPriority w:val="0"/>
    <w:pPr>
      <w:spacing w:line="300" w:lineRule="auto"/>
    </w:pPr>
    <w:rPr>
      <w:rFonts w:ascii="Arial" w:hAnsi="Arial" w:eastAsia="宋体" w:cs="黑体"/>
      <w:sz w:val="21"/>
      <w:szCs w:val="21"/>
      <w:lang w:val="en-US" w:eastAsia="zh-CN" w:bidi="ar-SA"/>
    </w:rPr>
  </w:style>
  <w:style w:type="paragraph" w:styleId="56">
    <w:name w:val="Quote"/>
    <w:basedOn w:val="1"/>
    <w:next w:val="1"/>
    <w:qFormat/>
    <w:uiPriority w:val="0"/>
    <w:pPr>
      <w:wordWrap w:val="0"/>
      <w:spacing w:before="200" w:after="160"/>
      <w:ind w:left="864" w:right="864"/>
      <w:jc w:val="center"/>
    </w:pPr>
    <w:rPr>
      <w:i/>
    </w:rPr>
  </w:style>
  <w:style w:type="paragraph" w:customStyle="1" w:styleId="57">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58">
    <w:name w:val="批注主题 Char"/>
    <w:link w:val="41"/>
    <w:qFormat/>
    <w:uiPriority w:val="0"/>
    <w:rPr>
      <w:b/>
      <w:kern w:val="2"/>
      <w:sz w:val="18"/>
    </w:rPr>
  </w:style>
  <w:style w:type="character" w:customStyle="1" w:styleId="59">
    <w:name w:val="标题 8 Char"/>
    <w:link w:val="10"/>
    <w:qFormat/>
    <w:uiPriority w:val="0"/>
    <w:rPr>
      <w:rFonts w:ascii="Arial" w:hAnsi="Arial" w:eastAsia="黑体"/>
      <w:kern w:val="2"/>
      <w:sz w:val="24"/>
    </w:rPr>
  </w:style>
  <w:style w:type="character" w:customStyle="1" w:styleId="60">
    <w:name w:val="批注文字 Char"/>
    <w:link w:val="17"/>
    <w:qFormat/>
    <w:uiPriority w:val="0"/>
    <w:rPr>
      <w:kern w:val="2"/>
      <w:sz w:val="18"/>
    </w:rPr>
  </w:style>
  <w:style w:type="character" w:customStyle="1" w:styleId="61">
    <w:name w:val="fontblank12"/>
    <w:basedOn w:val="47"/>
    <w:qFormat/>
    <w:uiPriority w:val="0"/>
  </w:style>
  <w:style w:type="character" w:customStyle="1" w:styleId="62">
    <w:name w:val="标书（正文） Char"/>
    <w:link w:val="63"/>
    <w:qFormat/>
    <w:uiPriority w:val="0"/>
    <w:rPr>
      <w:rFonts w:ascii="宋体" w:hAnsi="宋体"/>
      <w:b/>
      <w:kern w:val="10"/>
      <w:sz w:val="21"/>
    </w:rPr>
  </w:style>
  <w:style w:type="paragraph" w:customStyle="1" w:styleId="63">
    <w:name w:val="标书（正文）"/>
    <w:basedOn w:val="1"/>
    <w:link w:val="62"/>
    <w:qFormat/>
    <w:uiPriority w:val="0"/>
    <w:pPr>
      <w:widowControl w:val="0"/>
      <w:spacing w:line="360" w:lineRule="auto"/>
      <w:ind w:firstLine="560" w:firstLineChars="200"/>
      <w:jc w:val="both"/>
    </w:pPr>
    <w:rPr>
      <w:rFonts w:ascii="宋体" w:hAnsi="宋体"/>
      <w:b/>
      <w:kern w:val="10"/>
      <w:sz w:val="21"/>
      <w:szCs w:val="20"/>
    </w:rPr>
  </w:style>
  <w:style w:type="character" w:customStyle="1" w:styleId="64">
    <w:name w:val="Char Char4"/>
    <w:qFormat/>
    <w:uiPriority w:val="0"/>
    <w:rPr>
      <w:rFonts w:ascii="宋体" w:hAnsi="Courier New" w:eastAsia="宋体"/>
      <w:kern w:val="2"/>
      <w:sz w:val="21"/>
      <w:lang w:val="en-US" w:eastAsia="zh-CN"/>
    </w:rPr>
  </w:style>
  <w:style w:type="character" w:customStyle="1" w:styleId="65">
    <w:name w:val="textnormchn1"/>
    <w:basedOn w:val="47"/>
    <w:qFormat/>
    <w:uiPriority w:val="0"/>
  </w:style>
  <w:style w:type="character" w:customStyle="1" w:styleId="66">
    <w:name w:val="标题 1 Char"/>
    <w:link w:val="3"/>
    <w:qFormat/>
    <w:uiPriority w:val="0"/>
    <w:rPr>
      <w:rFonts w:ascii="宋体" w:hAnsi="宋体"/>
      <w:b/>
      <w:bCs/>
      <w:kern w:val="44"/>
      <w:sz w:val="32"/>
      <w:szCs w:val="32"/>
    </w:rPr>
  </w:style>
  <w:style w:type="character" w:customStyle="1" w:styleId="67">
    <w:name w:val="列出段落 Char"/>
    <w:link w:val="68"/>
    <w:qFormat/>
    <w:uiPriority w:val="0"/>
    <w:rPr>
      <w:sz w:val="24"/>
      <w:szCs w:val="24"/>
    </w:rPr>
  </w:style>
  <w:style w:type="paragraph" w:customStyle="1" w:styleId="68">
    <w:name w:val="列出段落1"/>
    <w:basedOn w:val="1"/>
    <w:link w:val="67"/>
    <w:qFormat/>
    <w:uiPriority w:val="0"/>
    <w:pPr>
      <w:ind w:firstLine="420" w:firstLineChars="200"/>
    </w:pPr>
  </w:style>
  <w:style w:type="character" w:customStyle="1" w:styleId="69">
    <w:name w:val="CD正文 Char"/>
    <w:link w:val="70"/>
    <w:qFormat/>
    <w:uiPriority w:val="0"/>
    <w:rPr>
      <w:kern w:val="2"/>
      <w:sz w:val="30"/>
      <w:szCs w:val="28"/>
    </w:rPr>
  </w:style>
  <w:style w:type="paragraph" w:customStyle="1" w:styleId="70">
    <w:name w:val="CD正文"/>
    <w:basedOn w:val="71"/>
    <w:link w:val="69"/>
    <w:qFormat/>
    <w:uiPriority w:val="0"/>
    <w:pPr>
      <w:ind w:firstLine="493"/>
    </w:pPr>
    <w:rPr>
      <w:sz w:val="30"/>
      <w:szCs w:val="28"/>
    </w:rPr>
  </w:style>
  <w:style w:type="paragraph" w:customStyle="1" w:styleId="71">
    <w:name w:val="文章正文"/>
    <w:basedOn w:val="1"/>
    <w:link w:val="80"/>
    <w:qFormat/>
    <w:uiPriority w:val="0"/>
    <w:pPr>
      <w:widowControl w:val="0"/>
      <w:spacing w:line="360" w:lineRule="auto"/>
      <w:ind w:firstLine="420"/>
      <w:jc w:val="both"/>
    </w:pPr>
    <w:rPr>
      <w:kern w:val="2"/>
    </w:rPr>
  </w:style>
  <w:style w:type="character" w:customStyle="1" w:styleId="72">
    <w:name w:val="正文文本 2 Char"/>
    <w:link w:val="38"/>
    <w:qFormat/>
    <w:uiPriority w:val="0"/>
    <w:rPr>
      <w:sz w:val="21"/>
      <w:szCs w:val="21"/>
    </w:rPr>
  </w:style>
  <w:style w:type="character" w:customStyle="1" w:styleId="73">
    <w:name w:val="（符号）三标题1.1 Char Char"/>
    <w:link w:val="74"/>
    <w:qFormat/>
    <w:uiPriority w:val="0"/>
    <w:rPr>
      <w:rFonts w:ascii="宋体" w:hAnsi="宋体"/>
      <w:kern w:val="2"/>
      <w:sz w:val="24"/>
      <w:szCs w:val="24"/>
    </w:rPr>
  </w:style>
  <w:style w:type="paragraph" w:customStyle="1" w:styleId="74">
    <w:name w:val="（符号）三标题1.1"/>
    <w:basedOn w:val="1"/>
    <w:link w:val="73"/>
    <w:qFormat/>
    <w:uiPriority w:val="0"/>
    <w:pPr>
      <w:widowControl w:val="0"/>
      <w:numPr>
        <w:ilvl w:val="1"/>
        <w:numId w:val="5"/>
      </w:numPr>
      <w:tabs>
        <w:tab w:val="left" w:pos="700"/>
        <w:tab w:val="left" w:pos="840"/>
      </w:tabs>
      <w:spacing w:line="500" w:lineRule="exact"/>
      <w:jc w:val="both"/>
    </w:pPr>
    <w:rPr>
      <w:rFonts w:ascii="宋体" w:hAnsi="宋体"/>
      <w:kern w:val="2"/>
    </w:rPr>
  </w:style>
  <w:style w:type="character" w:customStyle="1" w:styleId="75">
    <w:name w:val="grame"/>
    <w:basedOn w:val="47"/>
    <w:qFormat/>
    <w:uiPriority w:val="0"/>
  </w:style>
  <w:style w:type="character" w:customStyle="1" w:styleId="76">
    <w:name w:val="页脚 Char"/>
    <w:link w:val="29"/>
    <w:qFormat/>
    <w:uiPriority w:val="99"/>
    <w:rPr>
      <w:sz w:val="18"/>
      <w:szCs w:val="18"/>
    </w:rPr>
  </w:style>
  <w:style w:type="character" w:customStyle="1" w:styleId="77">
    <w:name w:val="keyword"/>
    <w:basedOn w:val="47"/>
    <w:qFormat/>
    <w:uiPriority w:val="0"/>
  </w:style>
  <w:style w:type="character" w:customStyle="1" w:styleId="78">
    <w:name w:val="文档结构图 Char"/>
    <w:link w:val="16"/>
    <w:semiHidden/>
    <w:qFormat/>
    <w:uiPriority w:val="99"/>
    <w:rPr>
      <w:rFonts w:ascii="宋体"/>
      <w:sz w:val="18"/>
      <w:szCs w:val="18"/>
    </w:rPr>
  </w:style>
  <w:style w:type="character" w:customStyle="1" w:styleId="79">
    <w:name w:val="日期 Char"/>
    <w:link w:val="27"/>
    <w:qFormat/>
    <w:uiPriority w:val="0"/>
    <w:rPr>
      <w:sz w:val="24"/>
      <w:szCs w:val="24"/>
    </w:rPr>
  </w:style>
  <w:style w:type="character" w:customStyle="1" w:styleId="80">
    <w:name w:val="文章正文 Char"/>
    <w:link w:val="71"/>
    <w:qFormat/>
    <w:uiPriority w:val="0"/>
    <w:rPr>
      <w:kern w:val="2"/>
      <w:sz w:val="24"/>
      <w:szCs w:val="24"/>
    </w:rPr>
  </w:style>
  <w:style w:type="character" w:customStyle="1" w:styleId="81">
    <w:name w:val="正文文本缩进 3 Char"/>
    <w:link w:val="35"/>
    <w:qFormat/>
    <w:uiPriority w:val="0"/>
    <w:rPr>
      <w:kern w:val="2"/>
      <w:sz w:val="16"/>
      <w:szCs w:val="16"/>
    </w:rPr>
  </w:style>
  <w:style w:type="character" w:customStyle="1" w:styleId="82">
    <w:name w:val="标题 7 Char"/>
    <w:link w:val="9"/>
    <w:qFormat/>
    <w:uiPriority w:val="0"/>
    <w:rPr>
      <w:rFonts w:ascii="Arial Narrow" w:hAnsi="Arial Narrow"/>
      <w:b/>
      <w:lang w:eastAsia="en-US"/>
    </w:rPr>
  </w:style>
  <w:style w:type="character" w:customStyle="1" w:styleId="83">
    <w:name w:val="正文文本缩进 Char"/>
    <w:link w:val="21"/>
    <w:qFormat/>
    <w:uiPriority w:val="0"/>
    <w:rPr>
      <w:rFonts w:ascii="宋体"/>
      <w:sz w:val="30"/>
      <w:szCs w:val="24"/>
    </w:rPr>
  </w:style>
  <w:style w:type="character" w:customStyle="1" w:styleId="84">
    <w:name w:val="正文首行缩进 Char"/>
    <w:link w:val="42"/>
    <w:qFormat/>
    <w:uiPriority w:val="0"/>
    <w:rPr>
      <w:rFonts w:ascii="宋体" w:hAnsi="宋体"/>
      <w:kern w:val="2"/>
      <w:sz w:val="21"/>
      <w:szCs w:val="24"/>
    </w:rPr>
  </w:style>
  <w:style w:type="character" w:customStyle="1" w:styleId="85">
    <w:name w:val="正文缩进 Char"/>
    <w:link w:val="14"/>
    <w:qFormat/>
    <w:uiPriority w:val="0"/>
    <w:rPr>
      <w:kern w:val="2"/>
      <w:sz w:val="21"/>
      <w:szCs w:val="24"/>
    </w:rPr>
  </w:style>
  <w:style w:type="character" w:customStyle="1" w:styleId="86">
    <w:name w:val="称呼 Char"/>
    <w:link w:val="18"/>
    <w:qFormat/>
    <w:uiPriority w:val="0"/>
    <w:rPr>
      <w:rFonts w:eastAsia="黑体"/>
      <w:kern w:val="2"/>
      <w:sz w:val="24"/>
    </w:rPr>
  </w:style>
  <w:style w:type="character" w:customStyle="1" w:styleId="87">
    <w:name w:val="标题 9 Char"/>
    <w:link w:val="11"/>
    <w:qFormat/>
    <w:uiPriority w:val="0"/>
    <w:rPr>
      <w:rFonts w:ascii="Arial" w:hAnsi="Arial" w:eastAsia="黑体"/>
      <w:kern w:val="2"/>
      <w:sz w:val="21"/>
    </w:rPr>
  </w:style>
  <w:style w:type="character" w:customStyle="1" w:styleId="88">
    <w:name w:val="正文文本 Char"/>
    <w:link w:val="20"/>
    <w:qFormat/>
    <w:uiPriority w:val="0"/>
    <w:rPr>
      <w:sz w:val="24"/>
      <w:szCs w:val="24"/>
    </w:rPr>
  </w:style>
  <w:style w:type="character" w:customStyle="1" w:styleId="89">
    <w:name w:val="Char Char40"/>
    <w:qFormat/>
    <w:uiPriority w:val="0"/>
    <w:rPr>
      <w:kern w:val="2"/>
      <w:sz w:val="24"/>
      <w:szCs w:val="24"/>
    </w:rPr>
  </w:style>
  <w:style w:type="character" w:customStyle="1" w:styleId="90">
    <w:name w:val="标题 6 Char"/>
    <w:link w:val="8"/>
    <w:qFormat/>
    <w:uiPriority w:val="0"/>
    <w:rPr>
      <w:rFonts w:ascii="Arial" w:hAnsi="Arial" w:eastAsia="黑体"/>
      <w:b/>
      <w:bCs/>
      <w:kern w:val="2"/>
      <w:sz w:val="24"/>
      <w:szCs w:val="24"/>
    </w:rPr>
  </w:style>
  <w:style w:type="character" w:customStyle="1" w:styleId="91">
    <w:name w:val="批注框文本 Char"/>
    <w:link w:val="28"/>
    <w:semiHidden/>
    <w:qFormat/>
    <w:uiPriority w:val="0"/>
    <w:rPr>
      <w:sz w:val="18"/>
      <w:szCs w:val="18"/>
    </w:rPr>
  </w:style>
  <w:style w:type="character" w:customStyle="1" w:styleId="92">
    <w:name w:val="标题 5 Char"/>
    <w:link w:val="7"/>
    <w:qFormat/>
    <w:uiPriority w:val="0"/>
    <w:rPr>
      <w:rFonts w:ascii="Times New Roman" w:hAnsi="Times New Roman"/>
      <w:b/>
      <w:bCs/>
      <w:sz w:val="28"/>
      <w:szCs w:val="28"/>
    </w:rPr>
  </w:style>
  <w:style w:type="character" w:customStyle="1" w:styleId="93">
    <w:name w:val="WW8Num9z0"/>
    <w:qFormat/>
    <w:uiPriority w:val="0"/>
    <w:rPr>
      <w:rFonts w:ascii="Wingdings" w:hAnsi="Wingdings"/>
    </w:rPr>
  </w:style>
  <w:style w:type="character" w:customStyle="1" w:styleId="94">
    <w:name w:val="magic-list1"/>
    <w:qFormat/>
    <w:uiPriority w:val="0"/>
    <w:rPr>
      <w:rFonts w:hint="default" w:ascii="ˎ̥" w:hAnsi="ˎ̥"/>
      <w:color w:val="000000"/>
      <w:sz w:val="20"/>
      <w:u w:val="none"/>
    </w:rPr>
  </w:style>
  <w:style w:type="character" w:customStyle="1" w:styleId="95">
    <w:name w:val="small"/>
    <w:basedOn w:val="47"/>
    <w:qFormat/>
    <w:uiPriority w:val="0"/>
  </w:style>
  <w:style w:type="character" w:customStyle="1" w:styleId="96">
    <w:name w:val="页眉 Char"/>
    <w:link w:val="30"/>
    <w:qFormat/>
    <w:uiPriority w:val="0"/>
    <w:rPr>
      <w:sz w:val="18"/>
      <w:szCs w:val="18"/>
    </w:rPr>
  </w:style>
  <w:style w:type="character" w:customStyle="1" w:styleId="97">
    <w:name w:val="正文文本缩进 2 Char"/>
    <w:link w:val="2"/>
    <w:qFormat/>
    <w:uiPriority w:val="0"/>
    <w:rPr>
      <w:kern w:val="2"/>
      <w:sz w:val="21"/>
      <w:szCs w:val="24"/>
    </w:rPr>
  </w:style>
  <w:style w:type="character" w:customStyle="1" w:styleId="98">
    <w:name w:val="标题 4 Char"/>
    <w:link w:val="6"/>
    <w:qFormat/>
    <w:uiPriority w:val="0"/>
    <w:rPr>
      <w:rFonts w:ascii="宋体" w:hAnsi="宋体"/>
      <w:b/>
      <w:bCs/>
      <w:sz w:val="28"/>
      <w:szCs w:val="28"/>
    </w:rPr>
  </w:style>
  <w:style w:type="character" w:customStyle="1" w:styleId="99">
    <w:name w:val="正文文本 3 Char"/>
    <w:link w:val="19"/>
    <w:qFormat/>
    <w:uiPriority w:val="0"/>
    <w:rPr>
      <w:sz w:val="16"/>
      <w:szCs w:val="16"/>
    </w:rPr>
  </w:style>
  <w:style w:type="character" w:customStyle="1" w:styleId="100">
    <w:name w:val="标题 2 Char"/>
    <w:link w:val="4"/>
    <w:qFormat/>
    <w:uiPriority w:val="0"/>
    <w:rPr>
      <w:rFonts w:ascii="宋体" w:hAnsi="宋体"/>
      <w:b/>
      <w:bCs/>
      <w:iCs/>
      <w:sz w:val="28"/>
      <w:szCs w:val="28"/>
    </w:rPr>
  </w:style>
  <w:style w:type="character" w:customStyle="1" w:styleId="101">
    <w:name w:val="纯文本 Char1"/>
    <w:unhideWhenUsed/>
    <w:qFormat/>
    <w:uiPriority w:val="99"/>
    <w:rPr>
      <w:rFonts w:hint="eastAsia" w:ascii="宋体" w:hAnsi="Tms Rmn" w:eastAsia="宋体"/>
      <w:sz w:val="21"/>
      <w:lang w:val="en-US" w:eastAsia="zh-CN"/>
    </w:rPr>
  </w:style>
  <w:style w:type="character" w:customStyle="1" w:styleId="102">
    <w:name w:val="标题 3 Char"/>
    <w:link w:val="5"/>
    <w:qFormat/>
    <w:uiPriority w:val="0"/>
    <w:rPr>
      <w:rFonts w:ascii="宋体" w:hAnsi="宋体"/>
      <w:b/>
      <w:bCs/>
      <w:color w:val="000000"/>
      <w:kern w:val="2"/>
      <w:sz w:val="24"/>
      <w:szCs w:val="28"/>
    </w:rPr>
  </w:style>
  <w:style w:type="character" w:customStyle="1" w:styleId="103">
    <w:name w:val="标题 Char"/>
    <w:link w:val="40"/>
    <w:qFormat/>
    <w:uiPriority w:val="0"/>
    <w:rPr>
      <w:rFonts w:ascii="Cambria" w:hAnsi="Cambria"/>
      <w:b/>
      <w:bCs/>
      <w:kern w:val="2"/>
      <w:sz w:val="32"/>
      <w:szCs w:val="32"/>
    </w:rPr>
  </w:style>
  <w:style w:type="character" w:customStyle="1" w:styleId="104">
    <w:name w:val="纯文本 Char"/>
    <w:link w:val="25"/>
    <w:qFormat/>
    <w:uiPriority w:val="0"/>
    <w:rPr>
      <w:rFonts w:ascii="宋体" w:hAnsi="Tms Rmn" w:cs="宋体"/>
      <w:sz w:val="21"/>
      <w:szCs w:val="21"/>
    </w:rPr>
  </w:style>
  <w:style w:type="character" w:customStyle="1" w:styleId="105">
    <w:name w:val="H4 Char"/>
    <w:qFormat/>
    <w:uiPriority w:val="0"/>
    <w:rPr>
      <w:rFonts w:ascii="Arial" w:hAnsi="Arial" w:eastAsia="宋体"/>
      <w:b/>
      <w:kern w:val="2"/>
      <w:sz w:val="28"/>
      <w:lang w:val="en-US" w:eastAsia="zh-CN"/>
    </w:rPr>
  </w:style>
  <w:style w:type="character" w:customStyle="1" w:styleId="106">
    <w:name w:val="正文缩进 Char1"/>
    <w:qFormat/>
    <w:uiPriority w:val="0"/>
    <w:rPr>
      <w:kern w:val="2"/>
      <w:sz w:val="21"/>
      <w:szCs w:val="24"/>
    </w:rPr>
  </w:style>
  <w:style w:type="paragraph" w:customStyle="1" w:styleId="107">
    <w:name w:val="MM Topic 9"/>
    <w:basedOn w:val="11"/>
    <w:qFormat/>
    <w:uiPriority w:val="0"/>
    <w:pPr>
      <w:tabs>
        <w:tab w:val="left" w:pos="5102"/>
      </w:tabs>
    </w:pPr>
  </w:style>
  <w:style w:type="paragraph" w:customStyle="1" w:styleId="108">
    <w:name w:val="默认段落字体 Para Char Char Char Char Char Char Char Char Char Char Char Char Char Char Char Char"/>
    <w:basedOn w:val="16"/>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09">
    <w:name w:val="强调2"/>
    <w:basedOn w:val="110"/>
    <w:qFormat/>
    <w:uiPriority w:val="0"/>
    <w:pPr>
      <w:numPr>
        <w:ilvl w:val="1"/>
      </w:numPr>
      <w:tabs>
        <w:tab w:val="left" w:pos="360"/>
        <w:tab w:val="left" w:pos="1918"/>
      </w:tabs>
      <w:ind w:left="1918"/>
    </w:pPr>
  </w:style>
  <w:style w:type="paragraph" w:customStyle="1" w:styleId="110">
    <w:name w:val="强调1"/>
    <w:basedOn w:val="1"/>
    <w:qFormat/>
    <w:uiPriority w:val="0"/>
    <w:pPr>
      <w:widowControl w:val="0"/>
      <w:numPr>
        <w:ilvl w:val="0"/>
        <w:numId w:val="6"/>
      </w:numPr>
      <w:spacing w:line="360" w:lineRule="auto"/>
      <w:ind w:firstLine="0"/>
      <w:jc w:val="both"/>
    </w:pPr>
    <w:rPr>
      <w:rFonts w:ascii="楷体_GB2312" w:hAnsi="仿宋" w:eastAsia="楷体_GB2312"/>
      <w:kern w:val="2"/>
      <w:sz w:val="28"/>
      <w:szCs w:val="28"/>
    </w:rPr>
  </w:style>
  <w:style w:type="paragraph" w:customStyle="1" w:styleId="111">
    <w:name w:val="Char Char Char Char"/>
    <w:basedOn w:val="1"/>
    <w:next w:val="1"/>
    <w:qFormat/>
    <w:uiPriority w:val="0"/>
    <w:pPr>
      <w:widowControl w:val="0"/>
      <w:spacing w:line="240" w:lineRule="atLeast"/>
      <w:ind w:left="420" w:firstLine="420"/>
    </w:pPr>
    <w:rPr>
      <w:sz w:val="21"/>
      <w:szCs w:val="21"/>
    </w:rPr>
  </w:style>
  <w:style w:type="paragraph" w:customStyle="1" w:styleId="112">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3">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4">
    <w:name w:val="默认段落字体 Para Char Char Char Char"/>
    <w:basedOn w:val="1"/>
    <w:qFormat/>
    <w:uiPriority w:val="0"/>
    <w:pPr>
      <w:widowControl w:val="0"/>
      <w:jc w:val="both"/>
    </w:pPr>
    <w:rPr>
      <w:kern w:val="2"/>
      <w:sz w:val="21"/>
    </w:rPr>
  </w:style>
  <w:style w:type="paragraph" w:customStyle="1" w:styleId="115">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16">
    <w:name w:val="MM Topic 3"/>
    <w:basedOn w:val="5"/>
    <w:qFormat/>
    <w:uiPriority w:val="0"/>
    <w:pPr>
      <w:numPr>
        <w:ilvl w:val="0"/>
        <w:numId w:val="0"/>
      </w:numPr>
      <w:tabs>
        <w:tab w:val="left" w:pos="1418"/>
      </w:tabs>
    </w:pPr>
    <w:rPr>
      <w:rFonts w:ascii="Times New Roman" w:hAnsi="Times New Roman"/>
      <w:bCs w:val="0"/>
      <w:szCs w:val="20"/>
    </w:rPr>
  </w:style>
  <w:style w:type="paragraph" w:customStyle="1" w:styleId="117">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18">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19">
    <w:name w:val="MM Topic 4"/>
    <w:basedOn w:val="6"/>
    <w:qFormat/>
    <w:uiPriority w:val="0"/>
    <w:pPr>
      <w:numPr>
        <w:numId w:val="0"/>
      </w:numPr>
      <w:tabs>
        <w:tab w:val="left" w:pos="1984"/>
      </w:tabs>
      <w:spacing w:before="280" w:after="290" w:line="372" w:lineRule="auto"/>
      <w:jc w:val="both"/>
    </w:pPr>
    <w:rPr>
      <w:bCs w:val="0"/>
      <w:kern w:val="2"/>
      <w:szCs w:val="20"/>
    </w:rPr>
  </w:style>
  <w:style w:type="paragraph" w:customStyle="1" w:styleId="120">
    <w:name w:val="MM Topic 6"/>
    <w:basedOn w:val="8"/>
    <w:qFormat/>
    <w:uiPriority w:val="0"/>
    <w:pPr>
      <w:numPr>
        <w:ilvl w:val="0"/>
        <w:numId w:val="0"/>
      </w:numPr>
      <w:tabs>
        <w:tab w:val="left" w:pos="3260"/>
      </w:tabs>
      <w:spacing w:line="317" w:lineRule="auto"/>
    </w:pPr>
    <w:rPr>
      <w:bCs w:val="0"/>
      <w:sz w:val="28"/>
      <w:szCs w:val="20"/>
    </w:rPr>
  </w:style>
  <w:style w:type="paragraph" w:customStyle="1" w:styleId="121">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22">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23">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24">
    <w:name w:val="标题 5 + 首行缩进:  2 字符"/>
    <w:basedOn w:val="7"/>
    <w:next w:val="21"/>
    <w:qFormat/>
    <w:uiPriority w:val="0"/>
    <w:pPr>
      <w:keepNext w:val="0"/>
      <w:keepLines w:val="0"/>
      <w:numPr>
        <w:ilvl w:val="0"/>
        <w:numId w:val="0"/>
      </w:numPr>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2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7">
    <w:name w:val="Char11"/>
    <w:basedOn w:val="1"/>
    <w:next w:val="1"/>
    <w:qFormat/>
    <w:uiPriority w:val="0"/>
    <w:pPr>
      <w:widowControl w:val="0"/>
      <w:spacing w:line="240" w:lineRule="atLeast"/>
      <w:ind w:left="420" w:firstLine="420"/>
    </w:pPr>
    <w:rPr>
      <w:sz w:val="21"/>
      <w:szCs w:val="21"/>
    </w:rPr>
  </w:style>
  <w:style w:type="paragraph" w:customStyle="1" w:styleId="128">
    <w:name w:val="MM Topic 5"/>
    <w:basedOn w:val="7"/>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129">
    <w:name w:val="默认段落字体 Para Char Char Char Char Char Char Char"/>
    <w:basedOn w:val="1"/>
    <w:qFormat/>
    <w:uiPriority w:val="0"/>
    <w:pPr>
      <w:widowControl w:val="0"/>
      <w:jc w:val="both"/>
    </w:pPr>
    <w:rPr>
      <w:rFonts w:ascii="Tahoma" w:hAnsi="Tahoma"/>
      <w:kern w:val="2"/>
      <w:szCs w:val="20"/>
    </w:rPr>
  </w:style>
  <w:style w:type="paragraph" w:customStyle="1" w:styleId="130">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31">
    <w:name w:val="样式2"/>
    <w:basedOn w:val="1"/>
    <w:qFormat/>
    <w:uiPriority w:val="0"/>
    <w:pPr>
      <w:widowControl w:val="0"/>
      <w:adjustRightInd w:val="0"/>
      <w:spacing w:line="410" w:lineRule="atLeast"/>
      <w:jc w:val="both"/>
      <w:textAlignment w:val="baseline"/>
    </w:pPr>
    <w:rPr>
      <w:szCs w:val="20"/>
    </w:rPr>
  </w:style>
  <w:style w:type="paragraph" w:customStyle="1" w:styleId="132">
    <w:name w:val="列出段落11"/>
    <w:basedOn w:val="1"/>
    <w:qFormat/>
    <w:uiPriority w:val="34"/>
    <w:pPr>
      <w:ind w:firstLine="420" w:firstLineChars="200"/>
    </w:pPr>
    <w:rPr>
      <w:lang w:val="zh-CN"/>
    </w:rPr>
  </w:style>
  <w:style w:type="paragraph" w:customStyle="1" w:styleId="133">
    <w:name w:val="p4"/>
    <w:basedOn w:val="1"/>
    <w:qFormat/>
    <w:uiPriority w:val="0"/>
    <w:pPr>
      <w:spacing w:before="100" w:beforeAutospacing="1" w:after="100" w:afterAutospacing="1" w:line="360" w:lineRule="auto"/>
      <w:ind w:firstLine="360"/>
    </w:pPr>
    <w:rPr>
      <w:rFonts w:ascii="宋体" w:hAnsi="宋体"/>
    </w:rPr>
  </w:style>
  <w:style w:type="paragraph" w:customStyle="1" w:styleId="134">
    <w:name w:val="样式 首行缩进:  2 字符"/>
    <w:basedOn w:val="1"/>
    <w:qFormat/>
    <w:uiPriority w:val="0"/>
    <w:pPr>
      <w:widowControl w:val="0"/>
      <w:ind w:firstLine="420" w:firstLineChars="200"/>
      <w:jc w:val="both"/>
    </w:pPr>
    <w:rPr>
      <w:rFonts w:cs="宋体"/>
      <w:kern w:val="2"/>
      <w:sz w:val="21"/>
      <w:szCs w:val="20"/>
    </w:rPr>
  </w:style>
  <w:style w:type="paragraph" w:customStyle="1" w:styleId="135">
    <w:name w:val="默认段落字体 Para Char Char"/>
    <w:basedOn w:val="1"/>
    <w:qFormat/>
    <w:uiPriority w:val="0"/>
    <w:pPr>
      <w:widowControl w:val="0"/>
      <w:jc w:val="both"/>
    </w:pPr>
    <w:rPr>
      <w:kern w:val="2"/>
      <w:sz w:val="21"/>
      <w:szCs w:val="20"/>
    </w:rPr>
  </w:style>
  <w:style w:type="paragraph" w:customStyle="1" w:styleId="136">
    <w:name w:val="Char1 Char Char Char"/>
    <w:basedOn w:val="1"/>
    <w:next w:val="1"/>
    <w:qFormat/>
    <w:uiPriority w:val="0"/>
    <w:pPr>
      <w:widowControl w:val="0"/>
      <w:spacing w:line="240" w:lineRule="atLeast"/>
      <w:ind w:left="420" w:firstLine="420"/>
    </w:pPr>
    <w:rPr>
      <w:sz w:val="21"/>
      <w:szCs w:val="20"/>
    </w:rPr>
  </w:style>
  <w:style w:type="paragraph" w:customStyle="1" w:styleId="137">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38">
    <w:name w:val="1 Char"/>
    <w:basedOn w:val="1"/>
    <w:qFormat/>
    <w:uiPriority w:val="0"/>
    <w:pPr>
      <w:spacing w:after="160" w:line="240" w:lineRule="exact"/>
    </w:pPr>
    <w:rPr>
      <w:rFonts w:ascii="Tahoma" w:hAnsi="Tahoma" w:eastAsia="Times New Roman"/>
      <w:lang w:eastAsia="en-US"/>
    </w:rPr>
  </w:style>
  <w:style w:type="paragraph" w:customStyle="1" w:styleId="139">
    <w:name w:val="MM Topic 8"/>
    <w:basedOn w:val="10"/>
    <w:qFormat/>
    <w:uiPriority w:val="0"/>
    <w:pPr>
      <w:tabs>
        <w:tab w:val="left" w:pos="4394"/>
      </w:tabs>
    </w:pPr>
  </w:style>
  <w:style w:type="paragraph" w:customStyle="1" w:styleId="140">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4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2">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43">
    <w:name w:val="论文正文"/>
    <w:basedOn w:val="1"/>
    <w:qFormat/>
    <w:uiPriority w:val="0"/>
    <w:pPr>
      <w:widowControl w:val="0"/>
      <w:spacing w:line="300" w:lineRule="auto"/>
      <w:ind w:firstLine="200" w:firstLineChars="200"/>
      <w:jc w:val="both"/>
    </w:pPr>
    <w:rPr>
      <w:kern w:val="2"/>
    </w:rPr>
  </w:style>
  <w:style w:type="paragraph" w:customStyle="1" w:styleId="144">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45">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46">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47">
    <w:name w:val="正文段落"/>
    <w:basedOn w:val="1"/>
    <w:qFormat/>
    <w:uiPriority w:val="0"/>
    <w:pPr>
      <w:widowControl w:val="0"/>
      <w:spacing w:line="300" w:lineRule="auto"/>
      <w:ind w:firstLine="510"/>
      <w:jc w:val="both"/>
    </w:pPr>
    <w:rPr>
      <w:kern w:val="2"/>
      <w:szCs w:val="20"/>
    </w:rPr>
  </w:style>
  <w:style w:type="paragraph" w:customStyle="1" w:styleId="148">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49">
    <w:name w:val="Char1 Char Char Char Char Char Char"/>
    <w:basedOn w:val="1"/>
    <w:qFormat/>
    <w:uiPriority w:val="0"/>
    <w:pPr>
      <w:widowControl w:val="0"/>
      <w:jc w:val="both"/>
    </w:pPr>
    <w:rPr>
      <w:rFonts w:ascii="Tahoma" w:hAnsi="Tahoma"/>
      <w:kern w:val="2"/>
      <w:szCs w:val="20"/>
    </w:rPr>
  </w:style>
  <w:style w:type="paragraph" w:customStyle="1" w:styleId="150">
    <w:name w:val="文章正文 Char Char1"/>
    <w:basedOn w:val="1"/>
    <w:qFormat/>
    <w:uiPriority w:val="0"/>
    <w:pPr>
      <w:widowControl w:val="0"/>
      <w:spacing w:line="360" w:lineRule="auto"/>
      <w:ind w:firstLine="420"/>
      <w:jc w:val="both"/>
    </w:pPr>
    <w:rPr>
      <w:kern w:val="2"/>
      <w:szCs w:val="20"/>
    </w:rPr>
  </w:style>
  <w:style w:type="paragraph" w:customStyle="1" w:styleId="151">
    <w:name w:val="Char"/>
    <w:basedOn w:val="1"/>
    <w:next w:val="1"/>
    <w:qFormat/>
    <w:uiPriority w:val="0"/>
    <w:pPr>
      <w:widowControl w:val="0"/>
      <w:spacing w:line="240" w:lineRule="atLeast"/>
      <w:ind w:left="420" w:firstLine="420"/>
    </w:pPr>
    <w:rPr>
      <w:sz w:val="21"/>
      <w:szCs w:val="21"/>
    </w:rPr>
  </w:style>
  <w:style w:type="paragraph" w:customStyle="1" w:styleId="152">
    <w:name w:val="样式 标题 1 + 宋体 居中 段前: 17 磅 段后: 16.5 磅"/>
    <w:basedOn w:val="3"/>
    <w:qFormat/>
    <w:uiPriority w:val="0"/>
    <w:pPr>
      <w:pageBreakBefore/>
      <w:numPr>
        <w:numId w:val="0"/>
      </w:numPr>
      <w:tabs>
        <w:tab w:val="left" w:pos="840"/>
      </w:tabs>
      <w:ind w:left="840" w:hanging="420"/>
    </w:pPr>
    <w:rPr>
      <w:rFonts w:cs="宋体"/>
      <w:szCs w:val="20"/>
    </w:rPr>
  </w:style>
  <w:style w:type="paragraph" w:customStyle="1" w:styleId="153">
    <w:name w:val="文章正文 Char Char1 Char"/>
    <w:basedOn w:val="1"/>
    <w:qFormat/>
    <w:uiPriority w:val="0"/>
    <w:pPr>
      <w:widowControl w:val="0"/>
      <w:spacing w:line="360" w:lineRule="auto"/>
      <w:ind w:firstLine="420"/>
      <w:jc w:val="both"/>
    </w:pPr>
    <w:rPr>
      <w:kern w:val="2"/>
    </w:rPr>
  </w:style>
  <w:style w:type="paragraph" w:customStyle="1" w:styleId="154">
    <w:name w:val="正文 首行缩进:  2 字符 Char Char"/>
    <w:basedOn w:val="1"/>
    <w:qFormat/>
    <w:uiPriority w:val="0"/>
    <w:pPr>
      <w:widowControl w:val="0"/>
      <w:spacing w:line="360" w:lineRule="auto"/>
      <w:ind w:firstLine="480"/>
      <w:jc w:val="both"/>
    </w:pPr>
    <w:rPr>
      <w:kern w:val="2"/>
      <w:szCs w:val="20"/>
    </w:rPr>
  </w:style>
  <w:style w:type="paragraph" w:customStyle="1" w:styleId="155">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6">
    <w:name w:val="标题 2 + 楷体_GB2312"/>
    <w:basedOn w:val="1"/>
    <w:qFormat/>
    <w:uiPriority w:val="0"/>
  </w:style>
  <w:style w:type="paragraph" w:customStyle="1" w:styleId="1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8">
    <w:name w:val="Char12"/>
    <w:basedOn w:val="1"/>
    <w:qFormat/>
    <w:uiPriority w:val="0"/>
    <w:pPr>
      <w:spacing w:after="160" w:line="240" w:lineRule="exact"/>
    </w:pPr>
    <w:rPr>
      <w:rFonts w:ascii="Tahoma" w:hAnsi="Tahoma"/>
      <w:kern w:val="2"/>
      <w:lang w:eastAsia="en-US"/>
    </w:rPr>
  </w:style>
  <w:style w:type="paragraph" w:customStyle="1" w:styleId="159">
    <w:name w:val="p0"/>
    <w:basedOn w:val="1"/>
    <w:qFormat/>
    <w:uiPriority w:val="0"/>
    <w:pPr>
      <w:jc w:val="both"/>
    </w:pPr>
    <w:rPr>
      <w:sz w:val="21"/>
      <w:szCs w:val="20"/>
    </w:rPr>
  </w:style>
  <w:style w:type="paragraph" w:customStyle="1" w:styleId="160">
    <w:name w:val="gb_master正文"/>
    <w:basedOn w:val="1"/>
    <w:qFormat/>
    <w:uiPriority w:val="0"/>
    <w:pPr>
      <w:widowControl w:val="0"/>
      <w:ind w:firstLine="200" w:firstLineChars="200"/>
      <w:jc w:val="both"/>
    </w:pPr>
    <w:rPr>
      <w:kern w:val="2"/>
      <w:sz w:val="21"/>
    </w:rPr>
  </w:style>
  <w:style w:type="paragraph" w:customStyle="1" w:styleId="161">
    <w:name w:val="Char1"/>
    <w:basedOn w:val="1"/>
    <w:next w:val="1"/>
    <w:qFormat/>
    <w:uiPriority w:val="0"/>
    <w:pPr>
      <w:widowControl w:val="0"/>
      <w:spacing w:line="240" w:lineRule="atLeast"/>
      <w:ind w:left="420" w:firstLine="420"/>
    </w:pPr>
    <w:rPr>
      <w:sz w:val="21"/>
      <w:szCs w:val="21"/>
    </w:rPr>
  </w:style>
  <w:style w:type="paragraph" w:customStyle="1" w:styleId="162">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63">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64">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65">
    <w:name w:val="MM Topic 1"/>
    <w:basedOn w:val="3"/>
    <w:qFormat/>
    <w:uiPriority w:val="0"/>
    <w:pPr>
      <w:widowControl w:val="0"/>
      <w:numPr>
        <w:numId w:val="0"/>
      </w:numPr>
      <w:tabs>
        <w:tab w:val="left" w:pos="425"/>
      </w:tabs>
      <w:spacing w:line="576" w:lineRule="auto"/>
    </w:pPr>
    <w:rPr>
      <w:rFonts w:ascii="Times New Roman" w:hAnsi="Times New Roman"/>
      <w:bCs w:val="0"/>
      <w:sz w:val="44"/>
      <w:szCs w:val="20"/>
    </w:rPr>
  </w:style>
  <w:style w:type="paragraph" w:customStyle="1" w:styleId="166">
    <w:name w:val="样式 正文缩进 + (中文) 仿宋_GB2312 小四 Char"/>
    <w:basedOn w:val="14"/>
    <w:qFormat/>
    <w:uiPriority w:val="0"/>
    <w:pPr>
      <w:ind w:firstLine="480"/>
    </w:pPr>
    <w:rPr>
      <w:rFonts w:ascii="宋体" w:hAnsi="宋体"/>
      <w:sz w:val="24"/>
      <w:szCs w:val="20"/>
    </w:rPr>
  </w:style>
  <w:style w:type="paragraph" w:customStyle="1" w:styleId="167">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8">
    <w:name w:val="Char2 Char Char Char Char Char Char"/>
    <w:basedOn w:val="1"/>
    <w:qFormat/>
    <w:uiPriority w:val="0"/>
    <w:pPr>
      <w:widowControl w:val="0"/>
      <w:jc w:val="both"/>
    </w:pPr>
    <w:rPr>
      <w:rFonts w:ascii="仿宋_GB2312"/>
      <w:b/>
      <w:kern w:val="2"/>
      <w:sz w:val="30"/>
      <w:szCs w:val="20"/>
    </w:rPr>
  </w:style>
  <w:style w:type="paragraph" w:customStyle="1" w:styleId="169">
    <w:name w:val="项目符号：一级"/>
    <w:basedOn w:val="164"/>
    <w:next w:val="164"/>
    <w:qFormat/>
    <w:uiPriority w:val="0"/>
    <w:pPr>
      <w:tabs>
        <w:tab w:val="left" w:pos="700"/>
      </w:tabs>
      <w:spacing w:beforeLines="0"/>
      <w:ind w:left="630" w:hanging="290" w:firstLineChars="0"/>
    </w:pPr>
  </w:style>
  <w:style w:type="paragraph" w:customStyle="1" w:styleId="170">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71">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72">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73">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74">
    <w:name w:val="Char Char Char Char Char Char Char Char Char Char Char Char Char"/>
    <w:basedOn w:val="16"/>
    <w:qFormat/>
    <w:uiPriority w:val="0"/>
    <w:pPr>
      <w:widowControl w:val="0"/>
      <w:shd w:val="clear" w:color="auto" w:fill="000080"/>
      <w:jc w:val="both"/>
    </w:pPr>
    <w:rPr>
      <w:rFonts w:ascii="Tahoma" w:hAnsi="Tahoma"/>
      <w:kern w:val="2"/>
      <w:sz w:val="24"/>
      <w:szCs w:val="20"/>
    </w:rPr>
  </w:style>
  <w:style w:type="paragraph" w:customStyle="1" w:styleId="175">
    <w:name w:val="大纲正文"/>
    <w:basedOn w:val="1"/>
    <w:qFormat/>
    <w:uiPriority w:val="0"/>
    <w:pPr>
      <w:widowControl w:val="0"/>
      <w:spacing w:line="360" w:lineRule="auto"/>
      <w:ind w:firstLine="480" w:firstLineChars="200"/>
      <w:jc w:val="both"/>
    </w:pPr>
    <w:rPr>
      <w:kern w:val="2"/>
      <w:szCs w:val="20"/>
    </w:rPr>
  </w:style>
  <w:style w:type="paragraph" w:customStyle="1" w:styleId="176">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77">
    <w:name w:val="Char2"/>
    <w:basedOn w:val="1"/>
    <w:next w:val="1"/>
    <w:qFormat/>
    <w:uiPriority w:val="0"/>
    <w:pPr>
      <w:widowControl w:val="0"/>
      <w:spacing w:line="240" w:lineRule="atLeast"/>
      <w:ind w:left="420" w:firstLine="420"/>
    </w:pPr>
    <w:rPr>
      <w:kern w:val="2"/>
      <w:szCs w:val="20"/>
    </w:rPr>
  </w:style>
  <w:style w:type="paragraph" w:customStyle="1" w:styleId="178">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9">
    <w:name w:val="Char2 Char Char Char"/>
    <w:basedOn w:val="1"/>
    <w:qFormat/>
    <w:uiPriority w:val="0"/>
    <w:pPr>
      <w:widowControl w:val="0"/>
      <w:jc w:val="both"/>
    </w:pPr>
    <w:rPr>
      <w:rFonts w:ascii="仿宋_GB2312"/>
      <w:b/>
      <w:kern w:val="2"/>
      <w:sz w:val="30"/>
      <w:szCs w:val="20"/>
    </w:rPr>
  </w:style>
  <w:style w:type="paragraph" w:customStyle="1" w:styleId="180">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181">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82">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83">
    <w:name w:val="列出段落2"/>
    <w:basedOn w:val="1"/>
    <w:qFormat/>
    <w:uiPriority w:val="34"/>
    <w:pPr>
      <w:widowControl w:val="0"/>
      <w:ind w:firstLine="420" w:firstLineChars="200"/>
      <w:jc w:val="both"/>
    </w:pPr>
    <w:rPr>
      <w:rFonts w:eastAsia="方正仿宋"/>
      <w:kern w:val="2"/>
      <w:sz w:val="32"/>
    </w:rPr>
  </w:style>
  <w:style w:type="paragraph" w:customStyle="1" w:styleId="184">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85">
    <w:name w:val="彩色列表 - 强调文字颜色 1 Char"/>
    <w:link w:val="186"/>
    <w:qFormat/>
    <w:uiPriority w:val="0"/>
    <w:rPr>
      <w:rFonts w:ascii="Calibri" w:hAnsi="Calibri"/>
      <w:kern w:val="2"/>
      <w:sz w:val="21"/>
      <w:szCs w:val="22"/>
    </w:rPr>
  </w:style>
  <w:style w:type="paragraph" w:customStyle="1" w:styleId="186">
    <w:name w:val="彩色列表 - 强调文字颜色 11"/>
    <w:basedOn w:val="1"/>
    <w:link w:val="185"/>
    <w:qFormat/>
    <w:uiPriority w:val="0"/>
    <w:pPr>
      <w:widowControl w:val="0"/>
      <w:ind w:firstLine="420" w:firstLineChars="200"/>
      <w:jc w:val="both"/>
    </w:pPr>
    <w:rPr>
      <w:rFonts w:ascii="Calibri" w:hAnsi="Calibri"/>
      <w:kern w:val="2"/>
      <w:sz w:val="21"/>
      <w:szCs w:val="22"/>
    </w:rPr>
  </w:style>
  <w:style w:type="character" w:customStyle="1" w:styleId="187">
    <w:name w:val="*正文 Char Char"/>
    <w:link w:val="188"/>
    <w:qFormat/>
    <w:locked/>
    <w:uiPriority w:val="99"/>
    <w:rPr>
      <w:rFonts w:ascii="宋体"/>
      <w:sz w:val="24"/>
    </w:rPr>
  </w:style>
  <w:style w:type="paragraph" w:customStyle="1" w:styleId="188">
    <w:name w:val="*正文"/>
    <w:basedOn w:val="1"/>
    <w:link w:val="187"/>
    <w:qFormat/>
    <w:uiPriority w:val="99"/>
    <w:pPr>
      <w:widowControl w:val="0"/>
      <w:spacing w:line="360" w:lineRule="auto"/>
      <w:ind w:firstLine="200" w:firstLineChars="200"/>
      <w:jc w:val="both"/>
    </w:pPr>
    <w:rPr>
      <w:rFonts w:ascii="宋体"/>
      <w:szCs w:val="20"/>
    </w:rPr>
  </w:style>
  <w:style w:type="paragraph" w:customStyle="1" w:styleId="189">
    <w:name w:val="_Style 1"/>
    <w:basedOn w:val="1"/>
    <w:qFormat/>
    <w:uiPriority w:val="0"/>
    <w:pPr>
      <w:ind w:firstLine="420" w:firstLineChars="200"/>
    </w:pPr>
  </w:style>
  <w:style w:type="paragraph" w:customStyle="1" w:styleId="190">
    <w:name w:val="彩色列表 - 强调文字颜色 12"/>
    <w:basedOn w:val="1"/>
    <w:qFormat/>
    <w:uiPriority w:val="0"/>
    <w:pPr>
      <w:ind w:firstLine="420" w:firstLineChars="200"/>
    </w:pPr>
  </w:style>
  <w:style w:type="character" w:customStyle="1" w:styleId="191">
    <w:name w:val="font21"/>
    <w:basedOn w:val="47"/>
    <w:qFormat/>
    <w:uiPriority w:val="0"/>
    <w:rPr>
      <w:rFonts w:hint="eastAsia" w:ascii="宋体" w:hAnsi="宋体" w:eastAsia="宋体" w:cs="宋体"/>
      <w:color w:val="000000"/>
      <w:sz w:val="20"/>
      <w:szCs w:val="20"/>
      <w:u w:val="none"/>
    </w:rPr>
  </w:style>
  <w:style w:type="character" w:customStyle="1" w:styleId="192">
    <w:name w:val="font31"/>
    <w:basedOn w:val="47"/>
    <w:qFormat/>
    <w:uiPriority w:val="0"/>
    <w:rPr>
      <w:rFonts w:ascii="Tahoma" w:hAnsi="Tahoma" w:eastAsia="Tahoma" w:cs="Tahoma"/>
      <w:color w:val="000000"/>
      <w:sz w:val="20"/>
      <w:szCs w:val="20"/>
      <w:u w:val="none"/>
    </w:rPr>
  </w:style>
  <w:style w:type="paragraph" w:customStyle="1" w:styleId="19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styleId="194">
    <w:name w:val="List Paragraph"/>
    <w:basedOn w:val="1"/>
    <w:qFormat/>
    <w:uiPriority w:val="34"/>
    <w:pPr>
      <w:spacing w:after="100" w:line="360" w:lineRule="auto"/>
      <w:ind w:firstLine="420" w:firstLineChars="200"/>
    </w:pPr>
    <w:rPr>
      <w:szCs w:val="22"/>
      <w:lang w:eastAsia="en-US" w:bidi="en-US"/>
    </w:rPr>
  </w:style>
  <w:style w:type="character" w:customStyle="1" w:styleId="195">
    <w:name w:val="font11"/>
    <w:basedOn w:val="47"/>
    <w:qFormat/>
    <w:uiPriority w:val="0"/>
    <w:rPr>
      <w:rFonts w:hint="eastAsia" w:ascii="宋体" w:hAnsi="宋体" w:eastAsia="宋体" w:cs="宋体"/>
      <w:color w:val="000000"/>
      <w:sz w:val="22"/>
      <w:szCs w:val="22"/>
      <w:u w:val="none"/>
    </w:rPr>
  </w:style>
  <w:style w:type="character" w:customStyle="1" w:styleId="196">
    <w:name w:val="font01"/>
    <w:basedOn w:val="47"/>
    <w:qFormat/>
    <w:uiPriority w:val="0"/>
    <w:rPr>
      <w:rFonts w:hint="default" w:ascii="Times New Roman" w:hAnsi="Times New Roman" w:cs="Times New Roman"/>
      <w:color w:val="000000"/>
      <w:sz w:val="22"/>
      <w:szCs w:val="22"/>
      <w:u w:val="none"/>
    </w:rPr>
  </w:style>
  <w:style w:type="paragraph" w:customStyle="1" w:styleId="19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8">
    <w:name w:val="NormalCharacter"/>
    <w:qFormat/>
    <w:uiPriority w:val="0"/>
  </w:style>
  <w:style w:type="paragraph" w:customStyle="1" w:styleId="199">
    <w:name w:val="表格内容"/>
    <w:basedOn w:val="1"/>
    <w:qFormat/>
    <w:uiPriority w:val="0"/>
    <w:pPr>
      <w:spacing w:line="240" w:lineRule="auto"/>
    </w:pPr>
    <w:rPr>
      <w:rFonts w:ascii="Calibri" w:hAnsi="Calibri" w:eastAsia="仿宋"/>
      <w:sz w:val="21"/>
      <w:szCs w:val="22"/>
    </w:rPr>
  </w:style>
  <w:style w:type="paragraph" w:styleId="200">
    <w:name w:val="No Spacing"/>
    <w:qFormat/>
    <w:uiPriority w:val="1"/>
    <w:pPr>
      <w:widowControl w:val="0"/>
    </w:pPr>
    <w:rPr>
      <w:rFonts w:ascii="Calibri" w:hAnsi="Calibri" w:eastAsia="宋体" w:cs="Times New Roman"/>
      <w:kern w:val="2"/>
      <w:sz w:val="21"/>
      <w:szCs w:val="22"/>
      <w:lang w:val="en-US" w:eastAsia="zh-CN" w:bidi="ar-SA"/>
    </w:rPr>
  </w:style>
  <w:style w:type="paragraph" w:customStyle="1" w:styleId="201">
    <w:name w:val="闻政表"/>
    <w:basedOn w:val="1"/>
    <w:qFormat/>
    <w:uiPriority w:val="0"/>
    <w:pPr>
      <w:jc w:val="center"/>
    </w:pPr>
    <w:rPr>
      <w:rFonts w:ascii="Calibri" w:hAnsi="Calibri" w:eastAsia="仿宋_GB2312" w:cs="Times New Roman"/>
      <w:b/>
      <w:sz w:val="24"/>
    </w:rPr>
  </w:style>
  <w:style w:type="paragraph" w:customStyle="1" w:styleId="202">
    <w:name w:val="bullet"/>
    <w:basedOn w:val="1"/>
    <w:qFormat/>
    <w:uiPriority w:val="0"/>
    <w:pPr>
      <w:tabs>
        <w:tab w:val="left" w:pos="720"/>
      </w:tabs>
      <w:spacing w:after="0" w:line="240" w:lineRule="auto"/>
    </w:pPr>
    <w:rPr>
      <w:rFonts w:ascii="Times New Roman" w:hAnsi="Times New Roman"/>
    </w:rPr>
  </w:style>
  <w:style w:type="character" w:customStyle="1" w:styleId="203">
    <w:name w:val="font41"/>
    <w:qFormat/>
    <w:uiPriority w:val="0"/>
    <w:rPr>
      <w:rFonts w:hint="eastAsia" w:ascii="宋体" w:hAnsi="宋体" w:eastAsia="宋体" w:cs="宋体"/>
      <w:color w:val="000000"/>
      <w:sz w:val="21"/>
      <w:szCs w:val="21"/>
      <w:u w:val="none"/>
    </w:rPr>
  </w:style>
  <w:style w:type="paragraph" w:customStyle="1" w:styleId="204">
    <w:name w:val="12、表格内左对齐正文"/>
    <w:basedOn w:val="1"/>
    <w:qFormat/>
    <w:uiPriority w:val="0"/>
    <w:pPr>
      <w:tabs>
        <w:tab w:val="left" w:pos="0"/>
      </w:tabs>
      <w:wordWrap w:val="0"/>
      <w:topLinePunct/>
      <w:spacing w:line="360" w:lineRule="exact"/>
      <w:ind w:left="48" w:leftChars="20"/>
    </w:pPr>
    <w:rPr>
      <w:snapToGrid w:val="0"/>
      <w:sz w:val="21"/>
    </w:rPr>
  </w:style>
  <w:style w:type="paragraph" w:customStyle="1" w:styleId="205">
    <w:name w:val="Table Paragraph"/>
    <w:basedOn w:val="1"/>
    <w:unhideWhenUsed/>
    <w:qFormat/>
    <w:uiPriority w:val="1"/>
    <w:pPr>
      <w:widowControl w:val="0"/>
      <w:jc w:val="both"/>
    </w:pPr>
    <w:rPr>
      <w:rFonts w:ascii="Calibri" w:hAnsi="Calibri"/>
      <w:kern w:val="2"/>
    </w:rPr>
  </w:style>
  <w:style w:type="paragraph" w:customStyle="1" w:styleId="206">
    <w:name w:val="Body text|2"/>
    <w:basedOn w:val="1"/>
    <w:qFormat/>
    <w:uiPriority w:val="0"/>
    <w:pPr>
      <w:widowControl w:val="0"/>
      <w:shd w:val="clear" w:color="auto" w:fill="auto"/>
      <w:spacing w:line="623" w:lineRule="exact"/>
      <w:ind w:left="940"/>
    </w:pPr>
    <w:rPr>
      <w:rFonts w:ascii="宋体" w:hAnsi="宋体" w:eastAsia="宋体" w:cs="宋体"/>
      <w:sz w:val="30"/>
      <w:szCs w:val="30"/>
      <w:u w:val="none"/>
      <w:shd w:val="clear" w:color="auto" w:fill="auto"/>
      <w:lang w:val="zh-TW" w:eastAsia="zh-TW" w:bidi="zh-TW"/>
    </w:rPr>
  </w:style>
  <w:style w:type="paragraph" w:customStyle="1" w:styleId="207">
    <w:name w:val="_Style 2"/>
    <w:basedOn w:val="1"/>
    <w:qFormat/>
    <w:uiPriority w:val="0"/>
    <w:pPr>
      <w:ind w:firstLine="420" w:firstLineChars="200"/>
    </w:pPr>
    <w:rPr>
      <w:sz w:val="18"/>
      <w:szCs w:val="18"/>
    </w:rPr>
  </w:style>
  <w:style w:type="paragraph" w:customStyle="1" w:styleId="208">
    <w:name w:val="表格1"/>
    <w:basedOn w:val="1"/>
    <w:qFormat/>
    <w:uiPriority w:val="0"/>
    <w:pPr>
      <w:snapToGrid w:val="0"/>
      <w:spacing w:after="0" w:line="360" w:lineRule="auto"/>
      <w:ind w:left="147"/>
    </w:pPr>
    <w:rPr>
      <w:rFonts w:hAnsi="宋体"/>
      <w:sz w:val="24"/>
    </w:rPr>
  </w:style>
  <w:style w:type="paragraph" w:customStyle="1" w:styleId="209">
    <w:name w:val="！正文"/>
    <w:basedOn w:val="1"/>
    <w:qFormat/>
    <w:uiPriority w:val="0"/>
    <w:pPr>
      <w:ind w:firstLine="200" w:firstLineChars="200"/>
    </w:pPr>
    <w:rPr>
      <w:rFonts w:ascii="宋体" w:eastAsia="宋体" w:cs="Times New Roman"/>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2D5C-3505-439B-B993-981890691B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63</Pages>
  <Words>28270</Words>
  <Characters>29421</Characters>
  <Lines>199</Lines>
  <Paragraphs>56</Paragraphs>
  <TotalTime>1</TotalTime>
  <ScaleCrop>false</ScaleCrop>
  <LinksUpToDate>false</LinksUpToDate>
  <CharactersWithSpaces>31139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2016-12-07T06:14:00Z</dcterms:created>
  <dc:creator>LENOVO</dc:creator>
  <cp:lastModifiedBy>123</cp:lastModifiedBy>
  <cp:lastPrinted>2014-07-14T08:51:00Z</cp:lastPrinted>
  <dcterms:modified xsi:type="dcterms:W3CDTF">2022-03-07T07:52:54Z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BF926015359D46AA84FC7087EB9D60FA</vt:lpwstr>
  </property>
</Properties>
</file>