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20"/>
          <w:sz w:val="28"/>
          <w:szCs w:val="28"/>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spacing w:line="360" w:lineRule="auto"/>
        <w:jc w:val="center"/>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spacing w:line="360" w:lineRule="auto"/>
        <w:ind w:left="2235" w:leftChars="1" w:hanging="2233" w:hangingChars="657"/>
        <w:jc w:val="center"/>
        <w:rPr>
          <w:rFonts w:ascii="华文中宋" w:hAnsi="华文中宋" w:eastAsia="华文中宋"/>
          <w:color w:val="auto"/>
          <w:spacing w:val="20"/>
          <w:sz w:val="30"/>
          <w:szCs w:val="30"/>
          <w:highlight w:val="none"/>
        </w:rPr>
      </w:pPr>
    </w:p>
    <w:p>
      <w:pPr>
        <w:spacing w:line="360" w:lineRule="auto"/>
        <w:ind w:left="2235" w:leftChars="223" w:hanging="1700" w:hangingChars="500"/>
        <w:rPr>
          <w:rFonts w:ascii="华文中宋" w:hAnsi="华文中宋" w:eastAsia="华文中宋"/>
          <w:color w:val="auto"/>
          <w:spacing w:val="20"/>
          <w:sz w:val="30"/>
          <w:szCs w:val="30"/>
          <w:highlight w:val="none"/>
        </w:rPr>
      </w:pPr>
    </w:p>
    <w:p>
      <w:pPr>
        <w:pStyle w:val="2"/>
        <w:rPr>
          <w:rFonts w:ascii="华文中宋" w:hAnsi="华文中宋" w:eastAsia="华文中宋"/>
          <w:color w:val="auto"/>
          <w:spacing w:val="20"/>
          <w:sz w:val="30"/>
          <w:szCs w:val="30"/>
          <w:highlight w:val="none"/>
        </w:rPr>
      </w:pPr>
    </w:p>
    <w:p>
      <w:pPr>
        <w:spacing w:line="360" w:lineRule="auto"/>
        <w:ind w:left="2597" w:leftChars="412" w:hanging="1608" w:hangingChars="473"/>
        <w:rPr>
          <w:rFonts w:ascii="华文中宋" w:hAnsi="华文中宋" w:eastAsia="华文中宋"/>
          <w:color w:val="auto"/>
          <w:spacing w:val="20"/>
          <w:sz w:val="30"/>
          <w:szCs w:val="30"/>
          <w:highlight w:val="none"/>
        </w:rPr>
      </w:pPr>
    </w:p>
    <w:p>
      <w:pPr>
        <w:widowControl w:val="0"/>
        <w:spacing w:line="360" w:lineRule="auto"/>
        <w:ind w:firstLine="720" w:firstLineChars="200"/>
        <w:rPr>
          <w:rFonts w:hint="eastAsia" w:ascii="宋体" w:hAnsi="宋体" w:eastAsia="华文中宋" w:cs="宋体"/>
          <w:b/>
          <w:color w:val="auto"/>
          <w:highlight w:val="none"/>
          <w:lang w:eastAsia="zh-CN"/>
        </w:rPr>
      </w:pPr>
      <w:r>
        <w:rPr>
          <w:rFonts w:hint="eastAsia" w:ascii="华文中宋" w:hAnsi="华文中宋" w:eastAsia="华文中宋"/>
          <w:color w:val="auto"/>
          <w:spacing w:val="20"/>
          <w:sz w:val="32"/>
          <w:szCs w:val="32"/>
          <w:highlight w:val="none"/>
        </w:rPr>
        <w:t>项目名称：</w:t>
      </w:r>
      <w:r>
        <w:rPr>
          <w:rFonts w:hint="eastAsia" w:ascii="华文中宋" w:hAnsi="华文中宋" w:eastAsia="华文中宋"/>
          <w:color w:val="auto"/>
          <w:spacing w:val="20"/>
          <w:sz w:val="32"/>
          <w:szCs w:val="32"/>
          <w:highlight w:val="none"/>
          <w:lang w:eastAsia="zh-CN"/>
        </w:rPr>
        <w:t xml:space="preserve">成都市双流区文化馆2021年双流区“走基层”文化惠民活动采购项目（第二次） </w:t>
      </w:r>
    </w:p>
    <w:p>
      <w:pPr>
        <w:spacing w:line="360" w:lineRule="auto"/>
        <w:ind w:firstLine="720" w:firstLineChars="200"/>
        <w:rPr>
          <w:rFonts w:hint="eastAsia" w:ascii="华文中宋" w:hAnsi="华文中宋" w:eastAsia="华文中宋"/>
          <w:color w:val="auto"/>
          <w:spacing w:val="20"/>
          <w:sz w:val="32"/>
          <w:szCs w:val="32"/>
          <w:highlight w:val="none"/>
          <w:lang w:eastAsia="zh-CN"/>
        </w:rPr>
      </w:pPr>
      <w:r>
        <w:rPr>
          <w:rFonts w:hint="eastAsia" w:ascii="华文中宋" w:hAnsi="华文中宋" w:eastAsia="华文中宋"/>
          <w:color w:val="auto"/>
          <w:spacing w:val="20"/>
          <w:sz w:val="32"/>
          <w:szCs w:val="32"/>
          <w:highlight w:val="none"/>
        </w:rPr>
        <w:t>项目编号：</w:t>
      </w:r>
      <w:r>
        <w:rPr>
          <w:rFonts w:hint="eastAsia" w:ascii="华文中宋" w:hAnsi="华文中宋" w:eastAsia="华文中宋"/>
          <w:color w:val="auto"/>
          <w:spacing w:val="20"/>
          <w:sz w:val="32"/>
          <w:szCs w:val="32"/>
          <w:highlight w:val="none"/>
          <w:lang w:eastAsia="zh-CN"/>
        </w:rPr>
        <w:t>510122202100085</w:t>
      </w:r>
    </w:p>
    <w:p>
      <w:pPr>
        <w:pStyle w:val="2"/>
        <w:rPr>
          <w:color w:val="auto"/>
          <w:highlight w:val="none"/>
        </w:rPr>
      </w:pPr>
    </w:p>
    <w:p>
      <w:pPr>
        <w:pStyle w:val="2"/>
        <w:rPr>
          <w:color w:val="auto"/>
          <w:highlight w:val="none"/>
        </w:rPr>
      </w:pPr>
    </w:p>
    <w:p>
      <w:pPr>
        <w:pStyle w:val="2"/>
        <w:rPr>
          <w:color w:val="auto"/>
          <w:highlight w:val="none"/>
        </w:rPr>
      </w:pPr>
    </w:p>
    <w:p>
      <w:pPr>
        <w:spacing w:line="360" w:lineRule="auto"/>
        <w:ind w:firstLine="3680" w:firstLineChars="115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中国·成都</w:t>
      </w:r>
    </w:p>
    <w:p>
      <w:pPr>
        <w:spacing w:line="360" w:lineRule="auto"/>
        <w:jc w:val="center"/>
        <w:rPr>
          <w:rFonts w:hint="eastAsia" w:ascii="华文中宋" w:hAnsi="华文中宋" w:eastAsia="华文中宋"/>
          <w:color w:val="auto"/>
          <w:sz w:val="32"/>
          <w:szCs w:val="32"/>
          <w:highlight w:val="none"/>
          <w:lang w:val="en-US" w:eastAsia="zh-CN"/>
        </w:rPr>
      </w:pPr>
      <w:r>
        <w:rPr>
          <w:rFonts w:hint="eastAsia" w:ascii="华文中宋" w:hAnsi="华文中宋" w:eastAsia="华文中宋"/>
          <w:color w:val="auto"/>
          <w:spacing w:val="20"/>
          <w:sz w:val="32"/>
          <w:szCs w:val="32"/>
          <w:highlight w:val="none"/>
          <w:lang w:eastAsia="zh-CN"/>
        </w:rPr>
        <w:t>成都市双流区文化馆</w:t>
      </w:r>
      <w:r>
        <w:rPr>
          <w:rFonts w:hint="eastAsia" w:ascii="华文中宋" w:hAnsi="华文中宋" w:eastAsia="华文中宋"/>
          <w:color w:val="auto"/>
          <w:spacing w:val="20"/>
          <w:sz w:val="32"/>
          <w:szCs w:val="32"/>
          <w:highlight w:val="none"/>
        </w:rPr>
        <w:t>、</w:t>
      </w:r>
      <w:r>
        <w:rPr>
          <w:rFonts w:hint="eastAsia" w:ascii="华文中宋" w:hAnsi="华文中宋" w:eastAsia="华文中宋"/>
          <w:color w:val="auto"/>
          <w:sz w:val="32"/>
          <w:szCs w:val="32"/>
          <w:highlight w:val="none"/>
        </w:rPr>
        <w:t>四川世科工程咨询有限公司</w:t>
      </w:r>
      <w:r>
        <w:rPr>
          <w:rFonts w:hint="eastAsia" w:ascii="华文中宋" w:hAnsi="华文中宋" w:eastAsia="华文中宋"/>
          <w:color w:val="auto"/>
          <w:sz w:val="32"/>
          <w:szCs w:val="32"/>
          <w:highlight w:val="none"/>
          <w:lang w:val="en-US" w:eastAsia="zh-CN"/>
        </w:rPr>
        <w:t xml:space="preserve">  </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共同编制</w:t>
      </w:r>
    </w:p>
    <w:p>
      <w:pPr>
        <w:tabs>
          <w:tab w:val="center" w:pos="4153"/>
          <w:tab w:val="right" w:pos="8306"/>
        </w:tabs>
        <w:spacing w:line="360" w:lineRule="auto"/>
        <w:rPr>
          <w:rFonts w:ascii="华文中宋" w:hAnsi="华文中宋" w:eastAsia="华文中宋"/>
          <w:bCs/>
          <w:color w:val="auto"/>
          <w:sz w:val="32"/>
          <w:szCs w:val="32"/>
          <w:highlight w:val="none"/>
        </w:rPr>
      </w:pPr>
      <w:r>
        <w:rPr>
          <w:rFonts w:ascii="华文中宋" w:hAnsi="华文中宋" w:eastAsia="华文中宋"/>
          <w:bCs/>
          <w:color w:val="auto"/>
          <w:sz w:val="32"/>
          <w:szCs w:val="32"/>
          <w:highlight w:val="none"/>
        </w:rPr>
        <w:tab/>
      </w:r>
      <w:r>
        <w:rPr>
          <w:rFonts w:hint="eastAsia" w:ascii="华文中宋" w:hAnsi="华文中宋" w:eastAsia="华文中宋"/>
          <w:bCs/>
          <w:color w:val="auto"/>
          <w:sz w:val="32"/>
          <w:szCs w:val="32"/>
          <w:highlight w:val="none"/>
        </w:rPr>
        <w:t xml:space="preserve">   二○二</w:t>
      </w:r>
      <w:r>
        <w:rPr>
          <w:rFonts w:hint="eastAsia" w:ascii="华文中宋" w:hAnsi="华文中宋" w:eastAsia="华文中宋"/>
          <w:bCs/>
          <w:color w:val="auto"/>
          <w:sz w:val="32"/>
          <w:szCs w:val="32"/>
          <w:highlight w:val="none"/>
          <w:lang w:val="en-US" w:eastAsia="zh-CN"/>
        </w:rPr>
        <w:t>一</w:t>
      </w:r>
      <w:r>
        <w:rPr>
          <w:rFonts w:hint="eastAsia" w:ascii="华文中宋" w:hAnsi="华文中宋" w:eastAsia="华文中宋"/>
          <w:bCs/>
          <w:color w:val="auto"/>
          <w:sz w:val="32"/>
          <w:szCs w:val="32"/>
          <w:highlight w:val="none"/>
        </w:rPr>
        <w:t>年</w:t>
      </w:r>
      <w:r>
        <w:rPr>
          <w:rFonts w:hint="eastAsia" w:ascii="华文中宋" w:hAnsi="华文中宋" w:eastAsia="华文中宋"/>
          <w:bCs/>
          <w:color w:val="auto"/>
          <w:sz w:val="32"/>
          <w:szCs w:val="32"/>
          <w:highlight w:val="none"/>
          <w:lang w:val="en-US" w:eastAsia="zh-CN"/>
        </w:rPr>
        <w:t>六</w:t>
      </w:r>
      <w:r>
        <w:rPr>
          <w:rFonts w:hint="eastAsia" w:ascii="华文中宋" w:hAnsi="华文中宋" w:eastAsia="华文中宋"/>
          <w:bCs/>
          <w:color w:val="auto"/>
          <w:sz w:val="32"/>
          <w:szCs w:val="32"/>
          <w:highlight w:val="none"/>
        </w:rPr>
        <w:t>月</w:t>
      </w:r>
    </w:p>
    <w:p>
      <w:pPr>
        <w:tabs>
          <w:tab w:val="center" w:pos="4153"/>
          <w:tab w:val="right" w:pos="8306"/>
        </w:tabs>
        <w:spacing w:line="360" w:lineRule="auto"/>
        <w:jc w:val="center"/>
        <w:rPr>
          <w:rFonts w:ascii="宋体" w:hAnsi="宋体"/>
          <w:b/>
          <w:bCs/>
          <w:color w:val="auto"/>
          <w:sz w:val="36"/>
          <w:szCs w:val="36"/>
          <w:highlight w:val="none"/>
        </w:rPr>
      </w:pPr>
    </w:p>
    <w:p>
      <w:pPr>
        <w:rPr>
          <w:rFonts w:ascii="宋体" w:hAnsi="宋体"/>
          <w:b/>
          <w:bCs/>
          <w:color w:val="auto"/>
          <w:sz w:val="36"/>
          <w:szCs w:val="36"/>
          <w:highlight w:val="none"/>
        </w:rPr>
      </w:pPr>
    </w:p>
    <w:p>
      <w:pPr>
        <w:rPr>
          <w:rFonts w:ascii="宋体" w:hAnsi="宋体"/>
          <w:b/>
          <w:bCs/>
          <w:color w:val="auto"/>
          <w:sz w:val="36"/>
          <w:szCs w:val="36"/>
          <w:highlight w:val="none"/>
        </w:rPr>
      </w:pPr>
    </w:p>
    <w:p>
      <w:pPr>
        <w:rPr>
          <w:rFonts w:ascii="宋体" w:hAnsi="宋体"/>
          <w:b/>
          <w:bCs/>
          <w:color w:val="auto"/>
          <w:sz w:val="36"/>
          <w:szCs w:val="36"/>
          <w:highlight w:val="none"/>
        </w:rPr>
      </w:pPr>
    </w:p>
    <w:p>
      <w:pPr>
        <w:pStyle w:val="4"/>
        <w:pageBreakBefore w:val="0"/>
        <w:numPr>
          <w:ilvl w:val="1"/>
          <w:numId w:val="0"/>
        </w:numPr>
        <w:tabs>
          <w:tab w:val="clear" w:pos="426"/>
        </w:tabs>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val="0"/>
          <w:color w:val="auto"/>
          <w:sz w:val="36"/>
          <w:szCs w:val="36"/>
          <w:highlight w:val="none"/>
          <w:lang w:eastAsia="zh-CN"/>
        </w:rPr>
      </w:pPr>
      <w:bookmarkStart w:id="0" w:name="_Toc8149"/>
      <w:bookmarkStart w:id="1" w:name="_Toc779"/>
      <w:bookmarkStart w:id="2" w:name="_Toc9012"/>
      <w:r>
        <w:rPr>
          <w:rFonts w:hint="eastAsia" w:ascii="宋体" w:hAnsi="宋体" w:eastAsia="宋体" w:cs="宋体"/>
          <w:b/>
          <w:bCs w:val="0"/>
          <w:color w:val="auto"/>
          <w:sz w:val="36"/>
          <w:szCs w:val="36"/>
          <w:highlight w:val="none"/>
          <w:lang w:eastAsia="zh-CN"/>
        </w:rPr>
        <w:t>“政采贷”业务介绍</w:t>
      </w:r>
      <w:bookmarkEnd w:id="0"/>
      <w:bookmarkEnd w:id="1"/>
      <w:bookmarkEnd w:id="2"/>
    </w:p>
    <w:p>
      <w:pPr>
        <w:pStyle w:val="4"/>
        <w:keepNext/>
        <w:keepLines/>
        <w:pageBreakBefore w:val="0"/>
        <w:widowControl w:val="0"/>
        <w:numPr>
          <w:ilvl w:val="1"/>
          <w:numId w:val="0"/>
        </w:numPr>
        <w:tabs>
          <w:tab w:val="clear"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bookmarkStart w:id="3" w:name="_Toc5797"/>
      <w:bookmarkStart w:id="4" w:name="_Toc17493"/>
      <w:bookmarkStart w:id="5" w:name="_Toc7667"/>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rPr>
        <w:t>助力解决政府采购中标、成交供应商资金不足、融资难、融资贵的困难，促进供应商依法诚信参加政府采购活动</w:t>
      </w:r>
      <w:r>
        <w:rPr>
          <w:rFonts w:hint="eastAsia" w:ascii="宋体" w:hAnsi="宋体" w:eastAsia="宋体" w:cs="宋体"/>
          <w:b w:val="0"/>
          <w:bCs w:val="0"/>
          <w:color w:val="auto"/>
          <w:sz w:val="24"/>
          <w:szCs w:val="24"/>
          <w:highlight w:val="none"/>
          <w:lang w:eastAsia="zh-CN"/>
        </w:rPr>
        <w:t>、营造良好的营商环境</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《四川省财政厅关于推进四川省政府采购供应商信用融资工作的通知》（川财采﹝</w:t>
      </w:r>
      <w:r>
        <w:rPr>
          <w:rFonts w:hint="eastAsia" w:ascii="宋体" w:hAnsi="宋体" w:eastAsia="宋体" w:cs="宋体"/>
          <w:b w:val="0"/>
          <w:bCs w:val="0"/>
          <w:color w:val="auto"/>
          <w:sz w:val="24"/>
          <w:szCs w:val="24"/>
          <w:highlight w:val="none"/>
          <w:lang w:val="en-US" w:eastAsia="zh-CN"/>
        </w:rPr>
        <w:t>2018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123号</w:t>
      </w:r>
      <w:r>
        <w:rPr>
          <w:rFonts w:hint="eastAsia" w:ascii="宋体" w:hAnsi="宋体" w:eastAsia="宋体" w:cs="宋体"/>
          <w:b w:val="0"/>
          <w:bCs w:val="0"/>
          <w:color w:val="auto"/>
          <w:sz w:val="24"/>
          <w:szCs w:val="24"/>
          <w:highlight w:val="none"/>
          <w:lang w:eastAsia="zh-CN"/>
        </w:rPr>
        <w:t>）文件要求。有融资需求的供应商可根据四川政府采购网公示的银行及其“政采贷”产品，自行选择符合自身情况的“政采贷”银行及其产品，凭中标（成交）通知书向银行提出贷款意向申请。</w:t>
      </w:r>
      <w:bookmarkEnd w:id="3"/>
      <w:bookmarkEnd w:id="4"/>
      <w:bookmarkEnd w:id="5"/>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29"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中国建设银行四川省分行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中国工商银行四川省分行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中国农业银行四川省分行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交通银行四川省分行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中国邮储银行四川省分行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华夏银行成都分行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民生银行成都分行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四川天府银行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兴业银行成都分行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成都银行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成都农村商业银行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宜宾市商业银行股份有限公司</w:t>
            </w:r>
          </w:p>
        </w:tc>
      </w:tr>
    </w:tbl>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highlight w:val="none"/>
          <w:lang w:val="zh-CN" w:eastAsia="zh-CN"/>
        </w:rPr>
      </w:pPr>
    </w:p>
    <w:p>
      <w:pPr>
        <w:rPr>
          <w:rFonts w:hint="eastAsia" w:ascii="宋体" w:hAnsi="宋体" w:eastAsia="宋体" w:cs="宋体"/>
          <w:b w:val="0"/>
          <w:bCs/>
          <w:color w:val="auto"/>
          <w:sz w:val="24"/>
          <w:szCs w:val="24"/>
          <w:highlight w:val="none"/>
          <w:lang w:val="zh-CN" w:eastAsia="zh-CN" w:bidi="ar-SA"/>
        </w:rPr>
      </w:pPr>
    </w:p>
    <w:p>
      <w:pPr>
        <w:pStyle w:val="4"/>
        <w:pageBreakBefore w:val="0"/>
        <w:numPr>
          <w:ilvl w:val="1"/>
          <w:numId w:val="0"/>
        </w:numPr>
        <w:tabs>
          <w:tab w:val="clear" w:pos="426"/>
        </w:tabs>
        <w:kinsoku/>
        <w:wordWrap/>
        <w:overflowPunct/>
        <w:topLinePunct w:val="0"/>
        <w:autoSpaceDE/>
        <w:autoSpaceDN/>
        <w:bidi w:val="0"/>
        <w:adjustRightInd/>
        <w:spacing w:line="360" w:lineRule="auto"/>
        <w:ind w:firstLine="2891" w:firstLineChars="900"/>
        <w:jc w:val="both"/>
        <w:textAlignment w:val="auto"/>
        <w:rPr>
          <w:rFonts w:hint="eastAsia" w:ascii="宋体" w:hAnsi="宋体" w:eastAsia="宋体" w:cs="宋体"/>
          <w:b/>
          <w:bCs w:val="0"/>
          <w:color w:val="auto"/>
          <w:sz w:val="32"/>
          <w:szCs w:val="32"/>
          <w:highlight w:val="none"/>
          <w:lang w:eastAsia="zh-CN"/>
        </w:rPr>
      </w:pPr>
      <w:bookmarkStart w:id="6" w:name="_Toc3992"/>
      <w:bookmarkStart w:id="7" w:name="_Toc5414"/>
      <w:bookmarkStart w:id="8" w:name="_Toc11470"/>
      <w:r>
        <w:rPr>
          <w:rFonts w:hint="eastAsia" w:ascii="宋体" w:hAnsi="宋体" w:eastAsia="宋体" w:cs="宋体"/>
          <w:b/>
          <w:bCs w:val="0"/>
          <w:color w:val="auto"/>
          <w:sz w:val="32"/>
          <w:szCs w:val="32"/>
          <w:highlight w:val="none"/>
          <w:lang w:eastAsia="zh-CN"/>
        </w:rPr>
        <w:t>“蓉采贷”业务介绍</w:t>
      </w:r>
      <w:bookmarkEnd w:id="6"/>
      <w:bookmarkEnd w:id="7"/>
      <w:bookmarkEnd w:id="8"/>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中标（成交）项目的供应商为中小微企业的，可根据成都市财政局公示的银行及其“蓉采贷”产品，自行选择符合自身情况的银行及产品，凭中标（成交）通知书向银行提出贷款意向申请，并按照相关规定要求和贷款流程申请信用贷款。</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银行名称</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联系部门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成都银行</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中小企业部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中国建设银行成都第六支行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小企业部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交通银行四川省分行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中国农业银行成都天府新区分行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四川天府银行成都分行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浦发银行成都分行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上海银行成都分行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成都农村商业银行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中国民生银行成都分行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中国工商银行成都分行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中国邮政储蓄银行成都分行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招商银行成都分行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广发银行成都分行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东大街支部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重庆银行成都分行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小微企业银行部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渤海银行成都分行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028-86772083</w:t>
            </w:r>
          </w:p>
        </w:tc>
      </w:tr>
    </w:tbl>
    <w:p>
      <w:pPr>
        <w:pStyle w:val="3"/>
        <w:rPr>
          <w:highlight w:val="none"/>
        </w:rPr>
        <w:sectPr>
          <w:headerReference r:id="rId5" w:type="first"/>
          <w:headerReference r:id="rId3" w:type="default"/>
          <w:headerReference r:id="rId4" w:type="even"/>
          <w:footerReference r:id="rId6" w:type="even"/>
          <w:pgSz w:w="11906" w:h="16838"/>
          <w:pgMar w:top="1134" w:right="1274" w:bottom="1440" w:left="1418" w:header="851" w:footer="992" w:gutter="0"/>
          <w:cols w:space="720" w:num="1"/>
          <w:titlePg/>
          <w:docGrid w:type="lines" w:linePitch="312" w:charSpace="0"/>
        </w:sectPr>
      </w:pPr>
    </w:p>
    <w:p>
      <w:pPr>
        <w:tabs>
          <w:tab w:val="center" w:pos="4153"/>
          <w:tab w:val="right" w:pos="8306"/>
        </w:tabs>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目 录</w:t>
      </w:r>
    </w:p>
    <w:p>
      <w:pPr>
        <w:pStyle w:val="36"/>
        <w:tabs>
          <w:tab w:val="right" w:leader="dot" w:pos="9214"/>
        </w:tabs>
        <w:rPr>
          <w:highlight w:val="none"/>
        </w:rPr>
      </w:pPr>
      <w:r>
        <w:rPr>
          <w:rFonts w:ascii="宋体" w:hAnsi="宋体"/>
          <w:color w:val="auto"/>
          <w:sz w:val="36"/>
          <w:szCs w:val="36"/>
          <w:highlight w:val="none"/>
        </w:rPr>
        <w:fldChar w:fldCharType="begin"/>
      </w:r>
      <w:r>
        <w:rPr>
          <w:rFonts w:hint="eastAsia" w:ascii="宋体" w:hAnsi="宋体"/>
          <w:color w:val="auto"/>
          <w:sz w:val="36"/>
          <w:szCs w:val="36"/>
          <w:highlight w:val="none"/>
        </w:rPr>
        <w:instrText xml:space="preserve">TOC \o "1-2" \h \z \u</w:instrText>
      </w:r>
      <w:r>
        <w:rPr>
          <w:rFonts w:ascii="宋体" w:hAnsi="宋体"/>
          <w:color w:val="auto"/>
          <w:sz w:val="36"/>
          <w:szCs w:val="36"/>
          <w:highlight w:val="none"/>
        </w:rPr>
        <w:fldChar w:fldCharType="separate"/>
      </w:r>
    </w:p>
    <w:p>
      <w:pPr>
        <w:pStyle w:val="31"/>
        <w:tabs>
          <w:tab w:val="right" w:leader="dot" w:pos="9214"/>
          <w:tab w:val="clear" w:pos="840"/>
          <w:tab w:val="clear" w:pos="920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_Toc21330 </w:instrText>
      </w:r>
      <w:r>
        <w:rPr>
          <w:rFonts w:ascii="宋体" w:hAnsi="宋体"/>
          <w:bCs/>
          <w:szCs w:val="36"/>
          <w:highlight w:val="none"/>
        </w:rPr>
        <w:fldChar w:fldCharType="separate"/>
      </w:r>
      <w:r>
        <w:rPr>
          <w:rFonts w:hint="default" w:ascii="Times New Roman" w:hAnsi="Times New Roman" w:eastAsia="宋体"/>
          <w:i w:val="0"/>
          <w:szCs w:val="32"/>
          <w:highlight w:val="none"/>
        </w:rPr>
        <w:t xml:space="preserve">第1章 </w:t>
      </w:r>
      <w:r>
        <w:rPr>
          <w:rFonts w:hint="eastAsia"/>
          <w:highlight w:val="none"/>
        </w:rPr>
        <w:t>竞争性磋商邀请</w:t>
      </w:r>
      <w:r>
        <w:rPr>
          <w:highlight w:val="none"/>
        </w:rPr>
        <w:tab/>
      </w:r>
      <w:r>
        <w:rPr>
          <w:highlight w:val="none"/>
        </w:rPr>
        <w:fldChar w:fldCharType="begin"/>
      </w:r>
      <w:r>
        <w:rPr>
          <w:highlight w:val="none"/>
        </w:rPr>
        <w:instrText xml:space="preserve"> PAGEREF _Toc21330 \h </w:instrText>
      </w:r>
      <w:r>
        <w:rPr>
          <w:highlight w:val="none"/>
        </w:rPr>
        <w:fldChar w:fldCharType="separate"/>
      </w:r>
      <w:r>
        <w:rPr>
          <w:highlight w:val="none"/>
        </w:rPr>
        <w:t>2</w:t>
      </w:r>
      <w:r>
        <w:rPr>
          <w:highlight w:val="none"/>
        </w:rP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_Toc13365 </w:instrText>
      </w:r>
      <w:r>
        <w:rPr>
          <w:rFonts w:ascii="宋体" w:hAnsi="宋体"/>
          <w:bCs/>
          <w:szCs w:val="36"/>
          <w:highlight w:val="none"/>
        </w:rPr>
        <w:fldChar w:fldCharType="separate"/>
      </w:r>
      <w:r>
        <w:rPr>
          <w:rFonts w:hint="default" w:ascii="Times New Roman" w:hAnsi="Times New Roman" w:eastAsia="宋体"/>
          <w:i w:val="0"/>
          <w:szCs w:val="32"/>
          <w:highlight w:val="none"/>
        </w:rPr>
        <w:t xml:space="preserve">第2章 </w:t>
      </w:r>
      <w:r>
        <w:rPr>
          <w:rFonts w:hint="eastAsia"/>
          <w:highlight w:val="none"/>
        </w:rPr>
        <w:t>磋商供应商须知</w:t>
      </w:r>
      <w:r>
        <w:rPr>
          <w:highlight w:val="none"/>
        </w:rPr>
        <w:tab/>
      </w:r>
      <w:r>
        <w:rPr>
          <w:highlight w:val="none"/>
        </w:rPr>
        <w:fldChar w:fldCharType="begin"/>
      </w:r>
      <w:r>
        <w:rPr>
          <w:highlight w:val="none"/>
        </w:rPr>
        <w:instrText xml:space="preserve"> PAGEREF _Toc13365 \h </w:instrText>
      </w:r>
      <w:r>
        <w:rPr>
          <w:highlight w:val="none"/>
        </w:rPr>
        <w:fldChar w:fldCharType="separate"/>
      </w:r>
      <w:r>
        <w:rPr>
          <w:highlight w:val="none"/>
        </w:rPr>
        <w:t>5</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_Toc12767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2.1 </w:t>
      </w:r>
      <w:r>
        <w:rPr>
          <w:rFonts w:hint="eastAsia"/>
          <w:highlight w:val="none"/>
        </w:rPr>
        <w:t>磋商供应商须知附表</w:t>
      </w:r>
      <w:r>
        <w:rPr>
          <w:highlight w:val="none"/>
        </w:rPr>
        <w:tab/>
      </w:r>
      <w:r>
        <w:rPr>
          <w:highlight w:val="none"/>
        </w:rPr>
        <w:fldChar w:fldCharType="begin"/>
      </w:r>
      <w:r>
        <w:rPr>
          <w:highlight w:val="none"/>
        </w:rPr>
        <w:instrText xml:space="preserve"> PAGEREF _Toc12767 \h </w:instrText>
      </w:r>
      <w:r>
        <w:rPr>
          <w:highlight w:val="none"/>
        </w:rPr>
        <w:fldChar w:fldCharType="separate"/>
      </w:r>
      <w:r>
        <w:rPr>
          <w:highlight w:val="none"/>
        </w:rPr>
        <w:t>5</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_Toc20213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2.2 </w:t>
      </w:r>
      <w:r>
        <w:rPr>
          <w:rFonts w:hint="eastAsia"/>
          <w:szCs w:val="24"/>
          <w:highlight w:val="none"/>
        </w:rPr>
        <w:t>适用范围</w:t>
      </w:r>
      <w:r>
        <w:rPr>
          <w:highlight w:val="none"/>
        </w:rPr>
        <w:tab/>
      </w:r>
      <w:r>
        <w:rPr>
          <w:highlight w:val="none"/>
        </w:rPr>
        <w:fldChar w:fldCharType="begin"/>
      </w:r>
      <w:r>
        <w:rPr>
          <w:highlight w:val="none"/>
        </w:rPr>
        <w:instrText xml:space="preserve"> PAGEREF _Toc20213 \h </w:instrText>
      </w:r>
      <w:r>
        <w:rPr>
          <w:highlight w:val="none"/>
        </w:rPr>
        <w:fldChar w:fldCharType="separate"/>
      </w:r>
      <w:r>
        <w:rPr>
          <w:highlight w:val="none"/>
        </w:rPr>
        <w:t>7</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_Toc23464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2.3 </w:t>
      </w:r>
      <w:r>
        <w:rPr>
          <w:rFonts w:hint="eastAsia"/>
          <w:szCs w:val="24"/>
          <w:highlight w:val="none"/>
        </w:rPr>
        <w:t>定义</w:t>
      </w:r>
      <w:r>
        <w:rPr>
          <w:highlight w:val="none"/>
        </w:rPr>
        <w:tab/>
      </w:r>
      <w:r>
        <w:rPr>
          <w:highlight w:val="none"/>
        </w:rPr>
        <w:fldChar w:fldCharType="begin"/>
      </w:r>
      <w:r>
        <w:rPr>
          <w:highlight w:val="none"/>
        </w:rPr>
        <w:instrText xml:space="preserve"> PAGEREF _Toc23464 \h </w:instrText>
      </w:r>
      <w:r>
        <w:rPr>
          <w:highlight w:val="none"/>
        </w:rPr>
        <w:fldChar w:fldCharType="separate"/>
      </w:r>
      <w:r>
        <w:rPr>
          <w:highlight w:val="none"/>
        </w:rPr>
        <w:t>7</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_Toc22305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2.4 </w:t>
      </w:r>
      <w:r>
        <w:rPr>
          <w:rFonts w:hint="eastAsia"/>
          <w:szCs w:val="24"/>
          <w:highlight w:val="none"/>
        </w:rPr>
        <w:t>合格供应商的条件（实质性要求）</w:t>
      </w:r>
      <w:r>
        <w:rPr>
          <w:highlight w:val="none"/>
        </w:rPr>
        <w:tab/>
      </w:r>
      <w:r>
        <w:rPr>
          <w:highlight w:val="none"/>
        </w:rPr>
        <w:fldChar w:fldCharType="begin"/>
      </w:r>
      <w:r>
        <w:rPr>
          <w:highlight w:val="none"/>
        </w:rPr>
        <w:instrText xml:space="preserve"> PAGEREF _Toc22305 \h </w:instrText>
      </w:r>
      <w:r>
        <w:rPr>
          <w:highlight w:val="none"/>
        </w:rPr>
        <w:fldChar w:fldCharType="separate"/>
      </w:r>
      <w:r>
        <w:rPr>
          <w:highlight w:val="none"/>
        </w:rPr>
        <w:t>7</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_Toc22447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2.5 </w:t>
      </w:r>
      <w:r>
        <w:rPr>
          <w:rFonts w:hint="eastAsia"/>
          <w:szCs w:val="24"/>
          <w:highlight w:val="none"/>
        </w:rPr>
        <w:t>拒绝参加本次采购活动的供应商</w:t>
      </w:r>
      <w:r>
        <w:rPr>
          <w:highlight w:val="none"/>
        </w:rPr>
        <w:tab/>
      </w:r>
      <w:r>
        <w:rPr>
          <w:highlight w:val="none"/>
        </w:rPr>
        <w:fldChar w:fldCharType="begin"/>
      </w:r>
      <w:r>
        <w:rPr>
          <w:highlight w:val="none"/>
        </w:rPr>
        <w:instrText xml:space="preserve"> PAGEREF _Toc22447 \h </w:instrText>
      </w:r>
      <w:r>
        <w:rPr>
          <w:highlight w:val="none"/>
        </w:rPr>
        <w:fldChar w:fldCharType="separate"/>
      </w:r>
      <w:r>
        <w:rPr>
          <w:highlight w:val="none"/>
        </w:rPr>
        <w:t>7</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_Toc13832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2.6 </w:t>
      </w:r>
      <w:r>
        <w:rPr>
          <w:rFonts w:hint="eastAsia"/>
          <w:highlight w:val="none"/>
        </w:rPr>
        <w:t>充分、公平竞争保障措施（实质性要求）</w:t>
      </w:r>
      <w:r>
        <w:rPr>
          <w:highlight w:val="none"/>
        </w:rPr>
        <w:tab/>
      </w:r>
      <w:r>
        <w:rPr>
          <w:highlight w:val="none"/>
        </w:rPr>
        <w:fldChar w:fldCharType="begin"/>
      </w:r>
      <w:r>
        <w:rPr>
          <w:highlight w:val="none"/>
        </w:rPr>
        <w:instrText xml:space="preserve"> PAGEREF _Toc13832 \h </w:instrText>
      </w:r>
      <w:r>
        <w:rPr>
          <w:highlight w:val="none"/>
        </w:rPr>
        <w:fldChar w:fldCharType="separate"/>
      </w:r>
      <w:r>
        <w:rPr>
          <w:highlight w:val="none"/>
        </w:rPr>
        <w:t>8</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_Toc4130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2.7 </w:t>
      </w:r>
      <w:r>
        <w:rPr>
          <w:rFonts w:hint="eastAsia"/>
          <w:highlight w:val="none"/>
        </w:rPr>
        <w:t>竞争性磋商采购费用</w:t>
      </w:r>
      <w:r>
        <w:rPr>
          <w:highlight w:val="none"/>
        </w:rPr>
        <w:tab/>
      </w:r>
      <w:r>
        <w:rPr>
          <w:highlight w:val="none"/>
        </w:rPr>
        <w:fldChar w:fldCharType="begin"/>
      </w:r>
      <w:r>
        <w:rPr>
          <w:highlight w:val="none"/>
        </w:rPr>
        <w:instrText xml:space="preserve"> PAGEREF _Toc4130 \h </w:instrText>
      </w:r>
      <w:r>
        <w:rPr>
          <w:highlight w:val="none"/>
        </w:rPr>
        <w:fldChar w:fldCharType="separate"/>
      </w:r>
      <w:r>
        <w:rPr>
          <w:highlight w:val="none"/>
        </w:rPr>
        <w:t>8</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_Toc8915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2.8 </w:t>
      </w:r>
      <w:r>
        <w:rPr>
          <w:rFonts w:hint="eastAsia"/>
          <w:highlight w:val="none"/>
        </w:rPr>
        <w:t>响应文件</w:t>
      </w:r>
      <w:r>
        <w:rPr>
          <w:highlight w:val="none"/>
        </w:rPr>
        <w:tab/>
      </w:r>
      <w:r>
        <w:rPr>
          <w:highlight w:val="none"/>
        </w:rPr>
        <w:fldChar w:fldCharType="begin"/>
      </w:r>
      <w:r>
        <w:rPr>
          <w:highlight w:val="none"/>
        </w:rPr>
        <w:instrText xml:space="preserve"> PAGEREF _Toc8915 \h </w:instrText>
      </w:r>
      <w:r>
        <w:rPr>
          <w:highlight w:val="none"/>
        </w:rPr>
        <w:fldChar w:fldCharType="separate"/>
      </w:r>
      <w:r>
        <w:rPr>
          <w:highlight w:val="none"/>
        </w:rPr>
        <w:t>8</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_Toc18034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2.9 </w:t>
      </w:r>
      <w:r>
        <w:rPr>
          <w:rFonts w:hint="eastAsia"/>
          <w:highlight w:val="none"/>
        </w:rPr>
        <w:t>竞争性磋商程序</w:t>
      </w:r>
      <w:r>
        <w:rPr>
          <w:highlight w:val="none"/>
        </w:rPr>
        <w:tab/>
      </w:r>
      <w:r>
        <w:rPr>
          <w:highlight w:val="none"/>
        </w:rPr>
        <w:fldChar w:fldCharType="begin"/>
      </w:r>
      <w:r>
        <w:rPr>
          <w:highlight w:val="none"/>
        </w:rPr>
        <w:instrText xml:space="preserve"> PAGEREF _Toc18034 \h </w:instrText>
      </w:r>
      <w:r>
        <w:rPr>
          <w:highlight w:val="none"/>
        </w:rPr>
        <w:fldChar w:fldCharType="separate"/>
      </w:r>
      <w:r>
        <w:rPr>
          <w:highlight w:val="none"/>
        </w:rPr>
        <w:t>13</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_Toc19572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2.10 </w:t>
      </w:r>
      <w:r>
        <w:rPr>
          <w:rFonts w:hint="eastAsia"/>
          <w:highlight w:val="none"/>
        </w:rPr>
        <w:t>确定成交供应商</w:t>
      </w:r>
      <w:r>
        <w:rPr>
          <w:highlight w:val="none"/>
        </w:rPr>
        <w:tab/>
      </w:r>
      <w:r>
        <w:rPr>
          <w:highlight w:val="none"/>
        </w:rPr>
        <w:fldChar w:fldCharType="begin"/>
      </w:r>
      <w:r>
        <w:rPr>
          <w:highlight w:val="none"/>
        </w:rPr>
        <w:instrText xml:space="preserve"> PAGEREF _Toc19572 \h </w:instrText>
      </w:r>
      <w:r>
        <w:rPr>
          <w:highlight w:val="none"/>
        </w:rPr>
        <w:fldChar w:fldCharType="separate"/>
      </w:r>
      <w:r>
        <w:rPr>
          <w:highlight w:val="none"/>
        </w:rPr>
        <w:t>20</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_Toc7169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2.11 </w:t>
      </w:r>
      <w:r>
        <w:rPr>
          <w:rFonts w:hint="eastAsia"/>
          <w:highlight w:val="none"/>
        </w:rPr>
        <w:t>成交结果</w:t>
      </w:r>
      <w:r>
        <w:rPr>
          <w:highlight w:val="none"/>
        </w:rPr>
        <w:tab/>
      </w:r>
      <w:r>
        <w:rPr>
          <w:highlight w:val="none"/>
        </w:rPr>
        <w:fldChar w:fldCharType="begin"/>
      </w:r>
      <w:r>
        <w:rPr>
          <w:highlight w:val="none"/>
        </w:rPr>
        <w:instrText xml:space="preserve"> PAGEREF _Toc7169 \h </w:instrText>
      </w:r>
      <w:r>
        <w:rPr>
          <w:highlight w:val="none"/>
        </w:rPr>
        <w:fldChar w:fldCharType="separate"/>
      </w:r>
      <w:r>
        <w:rPr>
          <w:highlight w:val="none"/>
        </w:rPr>
        <w:t>21</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_Toc11283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2.12 </w:t>
      </w:r>
      <w:r>
        <w:rPr>
          <w:rFonts w:hint="eastAsia"/>
          <w:highlight w:val="none"/>
        </w:rPr>
        <w:t>询问、质疑和投诉</w:t>
      </w:r>
      <w:r>
        <w:rPr>
          <w:highlight w:val="none"/>
        </w:rPr>
        <w:tab/>
      </w:r>
      <w:r>
        <w:rPr>
          <w:highlight w:val="none"/>
        </w:rPr>
        <w:fldChar w:fldCharType="begin"/>
      </w:r>
      <w:r>
        <w:rPr>
          <w:highlight w:val="none"/>
        </w:rPr>
        <w:instrText xml:space="preserve"> PAGEREF _Toc11283 \h </w:instrText>
      </w:r>
      <w:r>
        <w:rPr>
          <w:highlight w:val="none"/>
        </w:rPr>
        <w:fldChar w:fldCharType="separate"/>
      </w:r>
      <w:r>
        <w:rPr>
          <w:highlight w:val="none"/>
        </w:rPr>
        <w:t>21</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_Toc21855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2.13 </w:t>
      </w:r>
      <w:r>
        <w:rPr>
          <w:rFonts w:hint="eastAsia"/>
          <w:highlight w:val="none"/>
        </w:rPr>
        <w:t>签订合同</w:t>
      </w:r>
      <w:r>
        <w:rPr>
          <w:highlight w:val="none"/>
        </w:rPr>
        <w:tab/>
      </w:r>
      <w:r>
        <w:rPr>
          <w:highlight w:val="none"/>
        </w:rPr>
        <w:fldChar w:fldCharType="begin"/>
      </w:r>
      <w:r>
        <w:rPr>
          <w:highlight w:val="none"/>
        </w:rPr>
        <w:instrText xml:space="preserve"> PAGEREF _Toc21855 \h </w:instrText>
      </w:r>
      <w:r>
        <w:rPr>
          <w:highlight w:val="none"/>
        </w:rPr>
        <w:fldChar w:fldCharType="separate"/>
      </w:r>
      <w:r>
        <w:rPr>
          <w:highlight w:val="none"/>
        </w:rPr>
        <w:t>22</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_Toc3041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2.14 </w:t>
      </w:r>
      <w:r>
        <w:rPr>
          <w:rFonts w:hint="eastAsia"/>
          <w:highlight w:val="none"/>
        </w:rPr>
        <w:t>采购人增加合同的权利</w:t>
      </w:r>
      <w:r>
        <w:rPr>
          <w:highlight w:val="none"/>
        </w:rPr>
        <w:tab/>
      </w:r>
      <w:r>
        <w:rPr>
          <w:highlight w:val="none"/>
        </w:rPr>
        <w:fldChar w:fldCharType="begin"/>
      </w:r>
      <w:r>
        <w:rPr>
          <w:highlight w:val="none"/>
        </w:rPr>
        <w:instrText xml:space="preserve"> PAGEREF _Toc3041 \h </w:instrText>
      </w:r>
      <w:r>
        <w:rPr>
          <w:highlight w:val="none"/>
        </w:rPr>
        <w:fldChar w:fldCharType="separate"/>
      </w:r>
      <w:r>
        <w:rPr>
          <w:highlight w:val="none"/>
        </w:rPr>
        <w:t>22</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_Toc21591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2.15 </w:t>
      </w:r>
      <w:r>
        <w:rPr>
          <w:rFonts w:hint="eastAsia"/>
          <w:highlight w:val="none"/>
        </w:rPr>
        <w:t>履行合同</w:t>
      </w:r>
      <w:r>
        <w:rPr>
          <w:highlight w:val="none"/>
        </w:rPr>
        <w:tab/>
      </w:r>
      <w:r>
        <w:rPr>
          <w:highlight w:val="none"/>
        </w:rPr>
        <w:fldChar w:fldCharType="begin"/>
      </w:r>
      <w:r>
        <w:rPr>
          <w:highlight w:val="none"/>
        </w:rPr>
        <w:instrText xml:space="preserve"> PAGEREF _Toc21591 \h </w:instrText>
      </w:r>
      <w:r>
        <w:rPr>
          <w:highlight w:val="none"/>
        </w:rPr>
        <w:fldChar w:fldCharType="separate"/>
      </w:r>
      <w:r>
        <w:rPr>
          <w:highlight w:val="none"/>
        </w:rPr>
        <w:t>22</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_Toc28021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2.16 </w:t>
      </w:r>
      <w:r>
        <w:rPr>
          <w:rFonts w:hint="eastAsia"/>
          <w:highlight w:val="none"/>
        </w:rPr>
        <w:t>竞争性磋商工作纪律及要求</w:t>
      </w:r>
      <w:r>
        <w:rPr>
          <w:highlight w:val="none"/>
        </w:rPr>
        <w:tab/>
      </w:r>
      <w:r>
        <w:rPr>
          <w:highlight w:val="none"/>
        </w:rPr>
        <w:fldChar w:fldCharType="begin"/>
      </w:r>
      <w:r>
        <w:rPr>
          <w:highlight w:val="none"/>
        </w:rPr>
        <w:instrText xml:space="preserve"> PAGEREF _Toc28021 \h </w:instrText>
      </w:r>
      <w:r>
        <w:rPr>
          <w:highlight w:val="none"/>
        </w:rPr>
        <w:fldChar w:fldCharType="separate"/>
      </w:r>
      <w:r>
        <w:rPr>
          <w:highlight w:val="none"/>
        </w:rPr>
        <w:t>22</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_Toc26445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2.17 </w:t>
      </w:r>
      <w:r>
        <w:rPr>
          <w:rFonts w:hint="eastAsia"/>
          <w:highlight w:val="none"/>
        </w:rPr>
        <w:t>回避</w:t>
      </w:r>
      <w:r>
        <w:rPr>
          <w:highlight w:val="none"/>
        </w:rPr>
        <w:tab/>
      </w:r>
      <w:r>
        <w:rPr>
          <w:highlight w:val="none"/>
        </w:rPr>
        <w:fldChar w:fldCharType="begin"/>
      </w:r>
      <w:r>
        <w:rPr>
          <w:highlight w:val="none"/>
        </w:rPr>
        <w:instrText xml:space="preserve"> PAGEREF _Toc26445 \h </w:instrText>
      </w:r>
      <w:r>
        <w:rPr>
          <w:highlight w:val="none"/>
        </w:rPr>
        <w:fldChar w:fldCharType="separate"/>
      </w:r>
      <w:r>
        <w:rPr>
          <w:highlight w:val="none"/>
        </w:rPr>
        <w:t>24</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_Toc5151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2.18 </w:t>
      </w:r>
      <w:r>
        <w:rPr>
          <w:rFonts w:hint="eastAsia"/>
          <w:highlight w:val="none"/>
        </w:rPr>
        <w:t>其他</w:t>
      </w:r>
      <w:r>
        <w:rPr>
          <w:highlight w:val="none"/>
        </w:rPr>
        <w:tab/>
      </w:r>
      <w:r>
        <w:rPr>
          <w:highlight w:val="none"/>
        </w:rPr>
        <w:fldChar w:fldCharType="begin"/>
      </w:r>
      <w:r>
        <w:rPr>
          <w:highlight w:val="none"/>
        </w:rPr>
        <w:instrText xml:space="preserve"> PAGEREF _Toc5151 \h </w:instrText>
      </w:r>
      <w:r>
        <w:rPr>
          <w:highlight w:val="none"/>
        </w:rPr>
        <w:fldChar w:fldCharType="separate"/>
      </w:r>
      <w:r>
        <w:rPr>
          <w:highlight w:val="none"/>
        </w:rPr>
        <w:t>24</w:t>
      </w:r>
      <w:r>
        <w:rPr>
          <w:highlight w:val="none"/>
        </w:rP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_Toc16585 </w:instrText>
      </w:r>
      <w:r>
        <w:rPr>
          <w:rFonts w:ascii="宋体" w:hAnsi="宋体"/>
          <w:bCs/>
          <w:szCs w:val="36"/>
          <w:highlight w:val="none"/>
        </w:rPr>
        <w:fldChar w:fldCharType="separate"/>
      </w:r>
      <w:r>
        <w:rPr>
          <w:rFonts w:hint="default" w:ascii="Times New Roman" w:hAnsi="Times New Roman" w:eastAsia="宋体"/>
          <w:i w:val="0"/>
          <w:szCs w:val="32"/>
          <w:highlight w:val="none"/>
        </w:rPr>
        <w:t xml:space="preserve">第3章 </w:t>
      </w:r>
      <w:r>
        <w:rPr>
          <w:rFonts w:hint="eastAsia"/>
          <w:highlight w:val="none"/>
        </w:rPr>
        <w:t>项目技术、服务及其他要求</w:t>
      </w:r>
      <w:r>
        <w:rPr>
          <w:highlight w:val="none"/>
        </w:rPr>
        <w:tab/>
      </w:r>
      <w:r>
        <w:rPr>
          <w:highlight w:val="none"/>
        </w:rPr>
        <w:fldChar w:fldCharType="begin"/>
      </w:r>
      <w:r>
        <w:rPr>
          <w:highlight w:val="none"/>
        </w:rPr>
        <w:instrText xml:space="preserve"> PAGEREF _Toc16585 \h </w:instrText>
      </w:r>
      <w:r>
        <w:rPr>
          <w:highlight w:val="none"/>
        </w:rPr>
        <w:fldChar w:fldCharType="separate"/>
      </w:r>
      <w:r>
        <w:rPr>
          <w:highlight w:val="none"/>
        </w:rPr>
        <w:t>25</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_Toc23259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3.1 </w:t>
      </w:r>
      <w:r>
        <w:rPr>
          <w:rFonts w:hint="eastAsia"/>
          <w:szCs w:val="24"/>
          <w:highlight w:val="none"/>
          <w:lang w:val="en-US" w:eastAsia="zh-CN"/>
        </w:rPr>
        <w:t>采购内容</w:t>
      </w:r>
      <w:r>
        <w:rPr>
          <w:highlight w:val="none"/>
        </w:rPr>
        <w:tab/>
      </w:r>
      <w:r>
        <w:rPr>
          <w:highlight w:val="none"/>
        </w:rPr>
        <w:fldChar w:fldCharType="begin"/>
      </w:r>
      <w:r>
        <w:rPr>
          <w:highlight w:val="none"/>
        </w:rPr>
        <w:instrText xml:space="preserve"> PAGEREF _Toc23259 \h </w:instrText>
      </w:r>
      <w:r>
        <w:rPr>
          <w:highlight w:val="none"/>
        </w:rPr>
        <w:fldChar w:fldCharType="separate"/>
      </w:r>
      <w:r>
        <w:rPr>
          <w:highlight w:val="none"/>
        </w:rPr>
        <w:t>25</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_Toc16419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lang w:val="en-US" w:eastAsia="zh-CN"/>
        </w:rPr>
        <w:t xml:space="preserve">3.2 </w:t>
      </w:r>
      <w:r>
        <w:rPr>
          <w:rFonts w:hint="eastAsia" w:ascii="宋体" w:hAnsi="宋体" w:eastAsia="宋体" w:cs="宋体"/>
          <w:szCs w:val="24"/>
          <w:highlight w:val="none"/>
          <w:lang w:val="en-US" w:eastAsia="zh-CN"/>
        </w:rPr>
        <w:t>服务</w:t>
      </w:r>
      <w:r>
        <w:rPr>
          <w:rFonts w:hint="eastAsia" w:cs="宋体"/>
          <w:szCs w:val="24"/>
          <w:highlight w:val="none"/>
          <w:lang w:val="en-US" w:eastAsia="zh-CN"/>
        </w:rPr>
        <w:t>要求</w:t>
      </w:r>
      <w:r>
        <w:rPr>
          <w:highlight w:val="none"/>
        </w:rPr>
        <w:tab/>
      </w:r>
      <w:r>
        <w:rPr>
          <w:highlight w:val="none"/>
        </w:rPr>
        <w:fldChar w:fldCharType="begin"/>
      </w:r>
      <w:r>
        <w:rPr>
          <w:highlight w:val="none"/>
        </w:rPr>
        <w:instrText xml:space="preserve"> PAGEREF _Toc16419 \h </w:instrText>
      </w:r>
      <w:r>
        <w:rPr>
          <w:highlight w:val="none"/>
        </w:rPr>
        <w:fldChar w:fldCharType="separate"/>
      </w:r>
      <w:r>
        <w:rPr>
          <w:highlight w:val="none"/>
        </w:rPr>
        <w:t>25</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_Toc31428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lang w:val="en-US" w:eastAsia="zh-CN"/>
        </w:rPr>
        <w:t xml:space="preserve">3.3 </w:t>
      </w:r>
      <w:r>
        <w:rPr>
          <w:rFonts w:hint="eastAsia" w:ascii="宋体" w:hAnsi="宋体" w:eastAsia="宋体" w:cs="宋体"/>
          <w:szCs w:val="24"/>
          <w:highlight w:val="none"/>
          <w:lang w:val="en-US" w:eastAsia="zh-CN"/>
        </w:rPr>
        <w:t>商务要求</w:t>
      </w:r>
      <w:r>
        <w:rPr>
          <w:highlight w:val="none"/>
        </w:rPr>
        <w:tab/>
      </w:r>
      <w:r>
        <w:rPr>
          <w:highlight w:val="none"/>
        </w:rPr>
        <w:fldChar w:fldCharType="begin"/>
      </w:r>
      <w:r>
        <w:rPr>
          <w:highlight w:val="none"/>
        </w:rPr>
        <w:instrText xml:space="preserve"> PAGEREF _Toc31428 \h </w:instrText>
      </w:r>
      <w:r>
        <w:rPr>
          <w:highlight w:val="none"/>
        </w:rPr>
        <w:fldChar w:fldCharType="separate"/>
      </w:r>
      <w:r>
        <w:rPr>
          <w:highlight w:val="none"/>
        </w:rPr>
        <w:t>27</w:t>
      </w:r>
      <w:r>
        <w:rPr>
          <w:highlight w:val="none"/>
        </w:rP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_Toc15521 </w:instrText>
      </w:r>
      <w:r>
        <w:rPr>
          <w:rFonts w:ascii="宋体" w:hAnsi="宋体"/>
          <w:bCs/>
          <w:szCs w:val="36"/>
          <w:highlight w:val="none"/>
        </w:rPr>
        <w:fldChar w:fldCharType="separate"/>
      </w:r>
      <w:r>
        <w:rPr>
          <w:rFonts w:hint="default" w:ascii="Times New Roman" w:hAnsi="Times New Roman" w:eastAsia="宋体"/>
          <w:i w:val="0"/>
          <w:szCs w:val="32"/>
          <w:highlight w:val="none"/>
        </w:rPr>
        <w:t xml:space="preserve">第4章 </w:t>
      </w:r>
      <w:r>
        <w:rPr>
          <w:rFonts w:hint="eastAsia"/>
          <w:highlight w:val="none"/>
        </w:rPr>
        <w:t>响应文件格式</w:t>
      </w:r>
      <w:r>
        <w:rPr>
          <w:highlight w:val="none"/>
        </w:rPr>
        <w:tab/>
      </w:r>
      <w:r>
        <w:rPr>
          <w:highlight w:val="none"/>
        </w:rPr>
        <w:fldChar w:fldCharType="begin"/>
      </w:r>
      <w:r>
        <w:rPr>
          <w:highlight w:val="none"/>
        </w:rPr>
        <w:instrText xml:space="preserve"> PAGEREF _Toc15521 \h </w:instrText>
      </w:r>
      <w:r>
        <w:rPr>
          <w:highlight w:val="none"/>
        </w:rPr>
        <w:fldChar w:fldCharType="separate"/>
      </w:r>
      <w:r>
        <w:rPr>
          <w:highlight w:val="none"/>
        </w:rPr>
        <w:t>30</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_Toc20027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4.1 </w:t>
      </w:r>
      <w:r>
        <w:rPr>
          <w:rFonts w:hint="eastAsia"/>
          <w:highlight w:val="none"/>
        </w:rPr>
        <w:t>资格性响应文件格式</w:t>
      </w:r>
      <w:r>
        <w:rPr>
          <w:highlight w:val="none"/>
        </w:rPr>
        <w:tab/>
      </w:r>
      <w:r>
        <w:rPr>
          <w:highlight w:val="none"/>
        </w:rPr>
        <w:fldChar w:fldCharType="begin"/>
      </w:r>
      <w:r>
        <w:rPr>
          <w:highlight w:val="none"/>
        </w:rPr>
        <w:instrText xml:space="preserve"> PAGEREF _Toc20027 \h </w:instrText>
      </w:r>
      <w:r>
        <w:rPr>
          <w:highlight w:val="none"/>
        </w:rPr>
        <w:fldChar w:fldCharType="separate"/>
      </w:r>
      <w:r>
        <w:rPr>
          <w:highlight w:val="none"/>
        </w:rPr>
        <w:t>30</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_Toc20112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4.2 </w:t>
      </w:r>
      <w:r>
        <w:rPr>
          <w:rFonts w:hint="eastAsia"/>
          <w:highlight w:val="none"/>
        </w:rPr>
        <w:t>技术、服务性响应文件格式</w:t>
      </w:r>
      <w:r>
        <w:rPr>
          <w:highlight w:val="none"/>
        </w:rPr>
        <w:tab/>
      </w:r>
      <w:r>
        <w:rPr>
          <w:highlight w:val="none"/>
        </w:rPr>
        <w:fldChar w:fldCharType="begin"/>
      </w:r>
      <w:r>
        <w:rPr>
          <w:highlight w:val="none"/>
        </w:rPr>
        <w:instrText xml:space="preserve"> PAGEREF _Toc20112 \h </w:instrText>
      </w:r>
      <w:r>
        <w:rPr>
          <w:highlight w:val="none"/>
        </w:rPr>
        <w:fldChar w:fldCharType="separate"/>
      </w:r>
      <w:r>
        <w:rPr>
          <w:highlight w:val="none"/>
        </w:rPr>
        <w:t>43</w:t>
      </w:r>
      <w:r>
        <w:rPr>
          <w:highlight w:val="none"/>
        </w:rPr>
        <w:fldChar w:fldCharType="end"/>
      </w:r>
      <w:r>
        <w:rPr>
          <w:rFonts w:ascii="宋体" w:hAnsi="宋体"/>
          <w:bCs/>
          <w:color w:val="auto"/>
          <w:szCs w:val="36"/>
          <w:highlight w:val="none"/>
        </w:rPr>
        <w:fldChar w:fldCharType="end"/>
      </w:r>
    </w:p>
    <w:p>
      <w:pPr>
        <w:pStyle w:val="36"/>
        <w:tabs>
          <w:tab w:val="right" w:leader="dot" w:pos="921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_Toc15895 </w:instrText>
      </w:r>
      <w:r>
        <w:rPr>
          <w:rFonts w:ascii="宋体" w:hAnsi="宋体"/>
          <w:bCs/>
          <w:szCs w:val="36"/>
          <w:highlight w:val="none"/>
        </w:rPr>
        <w:fldChar w:fldCharType="separate"/>
      </w:r>
      <w:r>
        <w:rPr>
          <w:rFonts w:hint="default" w:ascii="Times New Roman" w:hAnsi="Times New Roman" w:eastAsia="宋体" w:cs="Times New Roman"/>
          <w:i w:val="0"/>
          <w:szCs w:val="28"/>
          <w:highlight w:val="none"/>
        </w:rPr>
        <w:t xml:space="preserve">4.3 </w:t>
      </w:r>
      <w:r>
        <w:rPr>
          <w:rFonts w:hint="eastAsia"/>
          <w:highlight w:val="none"/>
        </w:rPr>
        <w:t>最后报价（格式）</w:t>
      </w:r>
      <w:r>
        <w:rPr>
          <w:highlight w:val="none"/>
        </w:rPr>
        <w:tab/>
      </w:r>
      <w:r>
        <w:rPr>
          <w:highlight w:val="none"/>
        </w:rPr>
        <w:fldChar w:fldCharType="begin"/>
      </w:r>
      <w:r>
        <w:rPr>
          <w:highlight w:val="none"/>
        </w:rPr>
        <w:instrText xml:space="preserve"> PAGEREF _Toc15895 \h </w:instrText>
      </w:r>
      <w:r>
        <w:rPr>
          <w:highlight w:val="none"/>
        </w:rPr>
        <w:fldChar w:fldCharType="separate"/>
      </w:r>
      <w:r>
        <w:rPr>
          <w:highlight w:val="none"/>
        </w:rPr>
        <w:t>51</w:t>
      </w:r>
      <w:r>
        <w:rPr>
          <w:highlight w:val="none"/>
        </w:rP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rPr>
          <w:highlight w:val="none"/>
        </w:rPr>
      </w:pPr>
      <w:r>
        <w:rPr>
          <w:rFonts w:ascii="宋体" w:hAnsi="宋体"/>
          <w:bCs/>
          <w:color w:val="auto"/>
          <w:szCs w:val="36"/>
          <w:highlight w:val="none"/>
        </w:rPr>
        <w:fldChar w:fldCharType="begin"/>
      </w:r>
      <w:r>
        <w:rPr>
          <w:rFonts w:ascii="宋体" w:hAnsi="宋体"/>
          <w:bCs/>
          <w:szCs w:val="36"/>
          <w:highlight w:val="none"/>
        </w:rPr>
        <w:instrText xml:space="preserve"> HYPERLINK \l _Toc11806 </w:instrText>
      </w:r>
      <w:r>
        <w:rPr>
          <w:rFonts w:ascii="宋体" w:hAnsi="宋体"/>
          <w:bCs/>
          <w:szCs w:val="36"/>
          <w:highlight w:val="none"/>
        </w:rPr>
        <w:fldChar w:fldCharType="separate"/>
      </w:r>
      <w:r>
        <w:rPr>
          <w:rFonts w:hint="default" w:ascii="Times New Roman" w:hAnsi="Times New Roman" w:eastAsia="宋体"/>
          <w:i w:val="0"/>
          <w:szCs w:val="32"/>
          <w:highlight w:val="none"/>
        </w:rPr>
        <w:t xml:space="preserve">第5章 </w:t>
      </w:r>
      <w:r>
        <w:rPr>
          <w:rFonts w:hint="eastAsia"/>
          <w:highlight w:val="none"/>
        </w:rPr>
        <w:t>合同主要条款</w:t>
      </w:r>
      <w:r>
        <w:rPr>
          <w:highlight w:val="none"/>
        </w:rPr>
        <w:tab/>
      </w:r>
      <w:r>
        <w:rPr>
          <w:highlight w:val="none"/>
        </w:rPr>
        <w:fldChar w:fldCharType="begin"/>
      </w:r>
      <w:r>
        <w:rPr>
          <w:highlight w:val="none"/>
        </w:rPr>
        <w:instrText xml:space="preserve"> PAGEREF _Toc11806 \h </w:instrText>
      </w:r>
      <w:r>
        <w:rPr>
          <w:highlight w:val="none"/>
        </w:rPr>
        <w:fldChar w:fldCharType="separate"/>
      </w:r>
      <w:r>
        <w:rPr>
          <w:highlight w:val="none"/>
        </w:rPr>
        <w:t>53</w:t>
      </w:r>
      <w:r>
        <w:rPr>
          <w:highlight w:val="none"/>
        </w:rPr>
        <w:fldChar w:fldCharType="end"/>
      </w:r>
      <w:r>
        <w:rPr>
          <w:rFonts w:ascii="宋体" w:hAnsi="宋体"/>
          <w:bCs/>
          <w:color w:val="auto"/>
          <w:szCs w:val="36"/>
          <w:highlight w:val="none"/>
        </w:rPr>
        <w:fldChar w:fldCharType="end"/>
      </w:r>
    </w:p>
    <w:p>
      <w:pPr>
        <w:tabs>
          <w:tab w:val="center" w:pos="4153"/>
          <w:tab w:val="right" w:pos="8306"/>
        </w:tabs>
        <w:spacing w:line="360" w:lineRule="auto"/>
        <w:rPr>
          <w:rFonts w:ascii="宋体" w:hAnsi="宋体"/>
          <w:b/>
          <w:bCs/>
          <w:color w:val="auto"/>
          <w:sz w:val="36"/>
          <w:szCs w:val="36"/>
          <w:highlight w:val="none"/>
        </w:rPr>
        <w:sectPr>
          <w:footerReference r:id="rId8" w:type="first"/>
          <w:footerReference r:id="rId7" w:type="default"/>
          <w:pgSz w:w="11906" w:h="16838"/>
          <w:pgMar w:top="1134" w:right="1274" w:bottom="1440" w:left="1418" w:header="851" w:footer="992" w:gutter="0"/>
          <w:pgNumType w:start="1"/>
          <w:cols w:space="720" w:num="1"/>
          <w:docGrid w:type="lines" w:linePitch="312" w:charSpace="0"/>
        </w:sectPr>
      </w:pPr>
      <w:r>
        <w:rPr>
          <w:rFonts w:ascii="宋体" w:hAnsi="宋体"/>
          <w:bCs/>
          <w:color w:val="auto"/>
          <w:szCs w:val="36"/>
          <w:highlight w:val="none"/>
        </w:rPr>
        <w:fldChar w:fldCharType="end"/>
      </w:r>
    </w:p>
    <w:p>
      <w:pPr>
        <w:pStyle w:val="3"/>
        <w:pageBreakBefore w:val="0"/>
        <w:kinsoku/>
        <w:wordWrap/>
        <w:overflowPunct/>
        <w:topLinePunct w:val="0"/>
        <w:bidi w:val="0"/>
        <w:snapToGrid/>
        <w:spacing w:line="460" w:lineRule="exact"/>
        <w:textAlignment w:val="auto"/>
        <w:rPr>
          <w:color w:val="auto"/>
          <w:highlight w:val="none"/>
        </w:rPr>
      </w:pPr>
      <w:bookmarkStart w:id="9" w:name="_Toc21330"/>
      <w:r>
        <w:rPr>
          <w:rFonts w:hint="eastAsia"/>
          <w:color w:val="auto"/>
          <w:highlight w:val="none"/>
        </w:rPr>
        <w:t>竞争性磋商邀请</w:t>
      </w:r>
      <w:bookmarkEnd w:id="9"/>
    </w:p>
    <w:p>
      <w:pPr>
        <w:keepNext w:val="0"/>
        <w:keepLines w:val="0"/>
        <w:pageBreakBefore w:val="0"/>
        <w:kinsoku/>
        <w:wordWrap/>
        <w:overflowPunct/>
        <w:topLinePunct w:val="0"/>
        <w:bidi w:val="0"/>
        <w:snapToGrid/>
        <w:spacing w:line="460" w:lineRule="exact"/>
        <w:ind w:firstLine="482" w:firstLineChars="200"/>
        <w:textAlignment w:val="auto"/>
        <w:rPr>
          <w:rFonts w:ascii="宋体" w:hAnsi="宋体"/>
          <w:color w:val="auto"/>
          <w:highlight w:val="none"/>
        </w:rPr>
      </w:pPr>
      <w:r>
        <w:rPr>
          <w:rFonts w:hint="eastAsia" w:ascii="宋体" w:hAnsi="宋体"/>
          <w:b/>
          <w:color w:val="auto"/>
          <w:highlight w:val="none"/>
        </w:rPr>
        <w:t>四川世科工程咨询有限公司</w:t>
      </w:r>
      <w:r>
        <w:rPr>
          <w:rFonts w:hint="eastAsia" w:ascii="宋体" w:hAnsi="宋体"/>
          <w:color w:val="auto"/>
          <w:highlight w:val="none"/>
        </w:rPr>
        <w:t>受</w:t>
      </w:r>
      <w:r>
        <w:rPr>
          <w:rFonts w:hint="eastAsia" w:ascii="宋体" w:hAnsi="宋体"/>
          <w:b/>
          <w:bCs/>
          <w:color w:val="auto"/>
          <w:highlight w:val="none"/>
          <w:lang w:eastAsia="zh-CN"/>
        </w:rPr>
        <w:t>成都市双流区文化馆</w:t>
      </w:r>
      <w:r>
        <w:rPr>
          <w:rFonts w:hint="eastAsia" w:ascii="宋体" w:hAnsi="宋体"/>
          <w:color w:val="auto"/>
          <w:highlight w:val="none"/>
        </w:rPr>
        <w:t>的委托，拟对</w:t>
      </w:r>
      <w:r>
        <w:rPr>
          <w:rFonts w:hint="eastAsia" w:ascii="宋体" w:hAnsi="宋体"/>
          <w:b/>
          <w:color w:val="auto"/>
          <w:highlight w:val="none"/>
          <w:u w:val="single"/>
          <w:lang w:eastAsia="zh-CN"/>
        </w:rPr>
        <w:t xml:space="preserve">成都市双流区文化馆2021年双流区“走基层”文化惠民活动采购项目（第二次） </w:t>
      </w:r>
      <w:r>
        <w:rPr>
          <w:rFonts w:hint="eastAsia" w:ascii="宋体" w:hAnsi="宋体"/>
          <w:color w:val="auto"/>
          <w:highlight w:val="none"/>
        </w:rPr>
        <w:t>采用竞争性磋商采购方式进行采购，</w:t>
      </w:r>
      <w:r>
        <w:rPr>
          <w:rFonts w:hint="eastAsia" w:ascii="宋体" w:hAnsi="宋体"/>
          <w:color w:val="auto"/>
          <w:highlight w:val="none"/>
          <w:lang w:val="zh-CN"/>
        </w:rPr>
        <w:t>兹邀请符合本次竞争性磋商要求的供应商参加磋商</w:t>
      </w:r>
      <w:r>
        <w:rPr>
          <w:rFonts w:hint="eastAsia"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项目编号</w:t>
      </w:r>
      <w:r>
        <w:rPr>
          <w:rFonts w:hint="eastAsia" w:ascii="宋体" w:hAnsi="宋体"/>
          <w:color w:val="auto"/>
          <w:highlight w:val="none"/>
        </w:rPr>
        <w:t>：</w:t>
      </w:r>
      <w:r>
        <w:rPr>
          <w:rFonts w:hint="eastAsia" w:ascii="宋体" w:hAnsi="宋体"/>
          <w:b/>
          <w:color w:val="auto"/>
          <w:highlight w:val="none"/>
          <w:lang w:eastAsia="zh-CN"/>
        </w:rPr>
        <w:t>510122202100085</w:t>
      </w:r>
      <w:r>
        <w:rPr>
          <w:rFonts w:hint="eastAsia" w:ascii="宋体" w:hAnsi="宋体"/>
          <w:b/>
          <w:color w:val="auto"/>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项目名称</w:t>
      </w:r>
      <w:r>
        <w:rPr>
          <w:rFonts w:hint="eastAsia" w:ascii="宋体" w:hAnsi="宋体"/>
          <w:color w:val="auto"/>
          <w:highlight w:val="none"/>
        </w:rPr>
        <w:t>：</w:t>
      </w:r>
      <w:r>
        <w:rPr>
          <w:rFonts w:hint="eastAsia" w:ascii="宋体" w:hAnsi="宋体"/>
          <w:b/>
          <w:color w:val="auto"/>
          <w:highlight w:val="none"/>
          <w:lang w:eastAsia="zh-CN"/>
        </w:rPr>
        <w:t xml:space="preserve">成都市双流区文化馆2021年双流区“走基层”文化惠民活动采购项目（第二次） </w:t>
      </w:r>
      <w:r>
        <w:rPr>
          <w:rFonts w:hint="eastAsia" w:ascii="宋体" w:hAnsi="宋体"/>
          <w:b/>
          <w:color w:val="auto"/>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资金来源及预算金额</w:t>
      </w:r>
      <w:r>
        <w:rPr>
          <w:rFonts w:hint="eastAsia" w:ascii="宋体" w:hAnsi="宋体"/>
          <w:color w:val="auto"/>
          <w:highlight w:val="none"/>
        </w:rPr>
        <w:t>：财政性资金，预算品目：</w:t>
      </w:r>
      <w:r>
        <w:rPr>
          <w:rFonts w:hint="eastAsia" w:ascii="宋体" w:hAnsi="宋体"/>
          <w:color w:val="auto"/>
          <w:highlight w:val="none"/>
          <w:lang w:val="en-US" w:eastAsia="zh-CN"/>
        </w:rPr>
        <w:t>群众文化活动服务</w:t>
      </w:r>
      <w:r>
        <w:rPr>
          <w:rFonts w:hint="eastAsia" w:ascii="宋体" w:hAnsi="宋体"/>
          <w:color w:val="auto"/>
          <w:highlight w:val="none"/>
        </w:rPr>
        <w:t>；预算金额：</w:t>
      </w:r>
      <w:r>
        <w:rPr>
          <w:rFonts w:hint="eastAsia" w:ascii="宋体" w:hAnsi="宋体"/>
          <w:color w:val="auto"/>
          <w:highlight w:val="none"/>
          <w:lang w:val="en-US" w:eastAsia="zh-CN"/>
        </w:rPr>
        <w:t>142.78万元</w:t>
      </w:r>
      <w:r>
        <w:rPr>
          <w:rFonts w:hint="eastAsia" w:ascii="宋体" w:hAnsi="宋体"/>
          <w:color w:val="auto"/>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供应商邀请方式</w:t>
      </w:r>
    </w:p>
    <w:p>
      <w:pPr>
        <w:keepNext w:val="0"/>
        <w:keepLines w:val="0"/>
        <w:pageBreakBefore w:val="0"/>
        <w:kinsoku/>
        <w:wordWrap/>
        <w:overflowPunct/>
        <w:topLinePunct w:val="0"/>
        <w:bidi w:val="0"/>
        <w:snapToGrid/>
        <w:spacing w:after="120" w:line="460" w:lineRule="exact"/>
        <w:ind w:firstLine="480" w:firstLineChars="200"/>
        <w:textAlignment w:val="auto"/>
        <w:rPr>
          <w:color w:val="auto"/>
          <w:highlight w:val="none"/>
        </w:rPr>
      </w:pPr>
      <w:r>
        <w:rPr>
          <w:rFonts w:hint="eastAsia" w:ascii="宋体" w:hAnsi="宋体"/>
          <w:bCs/>
          <w:color w:val="auto"/>
          <w:highlight w:val="none"/>
        </w:rPr>
        <w:t>公告方式：本次竞争性磋商邀请在四川政府采购网（www.sczfcg.com）上以公告形式发布。</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供应商参加本次政府采购活动应具备的条件</w:t>
      </w:r>
    </w:p>
    <w:p>
      <w:pPr>
        <w:pStyle w:val="169"/>
        <w:keepNext w:val="0"/>
        <w:keepLines w:val="0"/>
        <w:pageBreakBefore w:val="0"/>
        <w:numPr>
          <w:ilvl w:val="1"/>
          <w:numId w:val="7"/>
        </w:numPr>
        <w:tabs>
          <w:tab w:val="left" w:pos="1260"/>
          <w:tab w:val="clear" w:pos="1130"/>
        </w:tabs>
        <w:kinsoku/>
        <w:wordWrap/>
        <w:overflowPunct/>
        <w:topLinePunct w:val="0"/>
        <w:bidi w:val="0"/>
        <w:snapToGrid/>
        <w:spacing w:line="460" w:lineRule="exact"/>
        <w:ind w:left="0" w:firstLine="63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具备《中华人民共和国政府采购法》第二十二条规定的条件：</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3、具有履行合同所必须的设备和专业技术能力；</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w:t>
      </w:r>
    </w:p>
    <w:p>
      <w:pPr>
        <w:pStyle w:val="169"/>
        <w:keepNext w:val="0"/>
        <w:keepLines w:val="0"/>
        <w:pageBreakBefore w:val="0"/>
        <w:tabs>
          <w:tab w:val="left" w:pos="1260"/>
        </w:tabs>
        <w:kinsoku/>
        <w:wordWrap/>
        <w:overflowPunct/>
        <w:topLinePunct w:val="0"/>
        <w:autoSpaceDE/>
        <w:autoSpaceDN/>
        <w:bidi w:val="0"/>
        <w:adjustRightInd/>
        <w:snapToGrid/>
        <w:spacing w:line="460" w:lineRule="exact"/>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169"/>
        <w:keepNext w:val="0"/>
        <w:keepLines w:val="0"/>
        <w:pageBreakBefore w:val="0"/>
        <w:numPr>
          <w:ilvl w:val="1"/>
          <w:numId w:val="7"/>
        </w:numPr>
        <w:tabs>
          <w:tab w:val="left" w:pos="1260"/>
          <w:tab w:val="clear" w:pos="1130"/>
        </w:tabs>
        <w:kinsoku/>
        <w:wordWrap/>
        <w:overflowPunct/>
        <w:topLinePunct w:val="0"/>
        <w:autoSpaceDE/>
        <w:autoSpaceDN/>
        <w:bidi w:val="0"/>
        <w:adjustRightInd/>
        <w:snapToGrid/>
        <w:spacing w:line="460" w:lineRule="exact"/>
        <w:ind w:left="0" w:firstLine="63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根据本项目的特殊要求，供应商还须具备的其它特定条件：</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未被列入经营异常名录；</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未被列入失信被执行人、重大税收违法案件当事人名单、政府采购严重违法失信行为记录名单； </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在行贿犯罪信息查询期限内，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及其现任法定代表人、主要负责人没有行贿犯罪记录； </w:t>
      </w:r>
    </w:p>
    <w:p>
      <w:pPr>
        <w:keepNext w:val="0"/>
        <w:keepLines w:val="0"/>
        <w:pageBreakBefore w:val="0"/>
        <w:numPr>
          <w:ilvl w:val="0"/>
          <w:numId w:val="8"/>
        </w:numPr>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本项目专门面向中小企业采购；（供应商为监狱企业、残疾人福利性单位的视同小型、微型企业）</w:t>
      </w:r>
      <w:r>
        <w:rPr>
          <w:rFonts w:hint="eastAsia" w:ascii="宋体" w:hAnsi="宋体" w:cs="宋体"/>
          <w:color w:val="auto"/>
          <w:sz w:val="24"/>
          <w:szCs w:val="24"/>
          <w:highlight w:val="none"/>
          <w:lang w:val="en-US" w:eastAsia="zh-CN"/>
        </w:rPr>
        <w:t>；</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供应商应</w:t>
      </w:r>
      <w:r>
        <w:rPr>
          <w:rFonts w:hint="eastAsia" w:ascii="宋体" w:hAnsi="宋体" w:eastAsia="宋体" w:cs="宋体"/>
          <w:sz w:val="24"/>
          <w:szCs w:val="24"/>
          <w:highlight w:val="none"/>
          <w:lang w:eastAsia="zh-CN"/>
        </w:rPr>
        <w:t>具有营业性演出许可证；</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不属于其他国家相关法律法规规定的禁止参加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的供应商； </w:t>
      </w:r>
    </w:p>
    <w:p>
      <w:pPr>
        <w:pStyle w:val="169"/>
        <w:keepNext w:val="0"/>
        <w:keepLines w:val="0"/>
        <w:pageBreakBefore w:val="0"/>
        <w:numPr>
          <w:ilvl w:val="0"/>
          <w:numId w:val="8"/>
        </w:numPr>
        <w:tabs>
          <w:tab w:val="left" w:pos="0"/>
          <w:tab w:val="left" w:pos="126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本项目</w:t>
      </w:r>
      <w:r>
        <w:rPr>
          <w:rFonts w:hint="eastAsia" w:ascii="宋体" w:hAnsi="宋体" w:eastAsia="宋体" w:cs="宋体"/>
          <w:color w:val="auto"/>
          <w:kern w:val="2"/>
          <w:sz w:val="24"/>
          <w:highlight w:val="none"/>
          <w:lang w:val="en-US" w:eastAsia="zh-CN"/>
        </w:rPr>
        <w:t>不</w:t>
      </w:r>
      <w:r>
        <w:rPr>
          <w:rFonts w:hint="eastAsia" w:ascii="宋体" w:hAnsi="宋体" w:eastAsia="宋体" w:cs="宋体"/>
          <w:color w:val="auto"/>
          <w:kern w:val="2"/>
          <w:sz w:val="24"/>
          <w:highlight w:val="none"/>
        </w:rPr>
        <w:t>接受联合体</w:t>
      </w:r>
      <w:r>
        <w:rPr>
          <w:rFonts w:hint="eastAsia" w:ascii="宋体" w:hAnsi="宋体" w:eastAsia="宋体" w:cs="宋体"/>
          <w:color w:val="auto"/>
          <w:kern w:val="2"/>
          <w:sz w:val="24"/>
          <w:highlight w:val="none"/>
          <w:lang w:val="en-US" w:eastAsia="zh-CN"/>
        </w:rPr>
        <w:t>磋商</w:t>
      </w:r>
      <w:r>
        <w:rPr>
          <w:rFonts w:hint="eastAsia" w:ascii="宋体" w:hAnsi="宋体" w:eastAsia="宋体" w:cs="宋体"/>
          <w:color w:val="auto"/>
          <w:kern w:val="2"/>
          <w:sz w:val="24"/>
          <w:highlight w:val="none"/>
        </w:rPr>
        <w:t>。</w:t>
      </w:r>
    </w:p>
    <w:p>
      <w:pPr>
        <w:keepNext w:val="0"/>
        <w:keepLines w:val="0"/>
        <w:pageBreakBefore w:val="0"/>
        <w:numPr>
          <w:ilvl w:val="0"/>
          <w:numId w:val="6"/>
        </w:numPr>
        <w:kinsoku/>
        <w:wordWrap/>
        <w:overflowPunct/>
        <w:topLinePunct w:val="0"/>
        <w:bidi w:val="0"/>
        <w:snapToGrid/>
        <w:spacing w:line="440" w:lineRule="exact"/>
        <w:ind w:left="0" w:firstLine="482" w:firstLineChars="200"/>
        <w:textAlignment w:val="auto"/>
        <w:rPr>
          <w:rFonts w:ascii="宋体" w:hAnsi="宋体"/>
          <w:b/>
          <w:color w:val="auto"/>
          <w:highlight w:val="none"/>
        </w:rPr>
      </w:pPr>
      <w:r>
        <w:rPr>
          <w:rFonts w:hint="eastAsia" w:ascii="宋体" w:hAnsi="宋体" w:cs="宋体"/>
          <w:b/>
          <w:bCs/>
          <w:color w:val="auto"/>
          <w:highlight w:val="none"/>
          <w:lang w:val="zh-CN"/>
        </w:rPr>
        <w:t>竞争性磋商文件</w:t>
      </w:r>
      <w:r>
        <w:rPr>
          <w:rFonts w:hint="eastAsia" w:ascii="宋体" w:hAnsi="宋体" w:cs="宋体"/>
          <w:b/>
          <w:color w:val="auto"/>
          <w:highlight w:val="none"/>
          <w:lang w:val="en-US" w:eastAsia="zh-CN"/>
        </w:rPr>
        <w:t>获取</w:t>
      </w:r>
      <w:r>
        <w:rPr>
          <w:rFonts w:hint="eastAsia" w:ascii="宋体" w:hAnsi="宋体" w:cs="宋体"/>
          <w:b/>
          <w:color w:val="auto"/>
          <w:highlight w:val="none"/>
        </w:rPr>
        <w:t>时间、地点</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获取</w:t>
      </w:r>
      <w:r>
        <w:rPr>
          <w:rFonts w:hint="eastAsia" w:ascii="宋体" w:hAnsi="宋体"/>
          <w:b/>
          <w:color w:val="auto"/>
          <w:highlight w:val="none"/>
        </w:rPr>
        <w:t>时间：</w:t>
      </w:r>
      <w:r>
        <w:rPr>
          <w:rFonts w:hint="eastAsia" w:ascii="宋体" w:hAnsi="宋体"/>
          <w:color w:val="auto"/>
          <w:highlight w:val="none"/>
        </w:rPr>
        <w:t>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6</w:t>
      </w:r>
      <w:r>
        <w:rPr>
          <w:rFonts w:hint="eastAsia" w:ascii="宋体" w:hAnsi="宋体"/>
          <w:color w:val="auto"/>
          <w:highlight w:val="none"/>
        </w:rPr>
        <w:t>月</w:t>
      </w:r>
      <w:r>
        <w:rPr>
          <w:rFonts w:hint="eastAsia" w:ascii="宋体" w:hAnsi="宋体"/>
          <w:color w:val="auto"/>
          <w:highlight w:val="none"/>
          <w:lang w:val="en-US" w:eastAsia="zh-CN"/>
        </w:rPr>
        <w:t>30</w:t>
      </w:r>
      <w:r>
        <w:rPr>
          <w:rFonts w:hint="eastAsia" w:ascii="宋体" w:hAnsi="宋体"/>
          <w:color w:val="auto"/>
          <w:highlight w:val="none"/>
        </w:rPr>
        <w:t>日至202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7</w:t>
      </w:r>
      <w:r>
        <w:rPr>
          <w:rFonts w:hint="eastAsia" w:ascii="宋体" w:hAnsi="宋体"/>
          <w:color w:val="auto"/>
          <w:highlight w:val="none"/>
        </w:rPr>
        <w:t>月</w:t>
      </w:r>
      <w:r>
        <w:rPr>
          <w:rFonts w:hint="eastAsia" w:ascii="宋体" w:hAnsi="宋体"/>
          <w:color w:val="auto"/>
          <w:highlight w:val="none"/>
          <w:lang w:val="en-US" w:eastAsia="zh-CN"/>
        </w:rPr>
        <w:t>6</w:t>
      </w:r>
      <w:r>
        <w:rPr>
          <w:rFonts w:hint="eastAsia" w:ascii="宋体" w:hAnsi="宋体"/>
          <w:color w:val="auto"/>
          <w:highlight w:val="none"/>
        </w:rPr>
        <w:t>日（北京时间，法定公休日、法定节假日除外，每日09：00时至17：00时）。</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免费获取</w:t>
      </w:r>
      <w:r>
        <w:rPr>
          <w:rFonts w:hint="eastAsia" w:ascii="宋体" w:hAnsi="宋体"/>
          <w:color w:val="auto"/>
          <w:highlight w:val="none"/>
        </w:rPr>
        <w:t>（磋商资格不能转让）。</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b/>
          <w:bCs/>
          <w:color w:val="auto"/>
          <w:highlight w:val="none"/>
        </w:rPr>
      </w:pPr>
      <w:r>
        <w:rPr>
          <w:rFonts w:hint="eastAsia" w:ascii="宋体" w:hAnsi="宋体"/>
          <w:b/>
          <w:color w:val="auto"/>
          <w:highlight w:val="none"/>
        </w:rPr>
        <w:t>磋商</w:t>
      </w:r>
      <w:r>
        <w:rPr>
          <w:rFonts w:hint="eastAsia" w:ascii="宋体" w:hAnsi="宋体"/>
          <w:b/>
          <w:bCs/>
          <w:color w:val="auto"/>
          <w:highlight w:val="none"/>
        </w:rPr>
        <w:t>文件</w:t>
      </w:r>
      <w:r>
        <w:rPr>
          <w:rFonts w:hint="eastAsia" w:ascii="宋体" w:hAnsi="宋体"/>
          <w:b/>
          <w:bCs/>
          <w:color w:val="auto"/>
          <w:highlight w:val="none"/>
          <w:lang w:val="en-US" w:eastAsia="zh-CN"/>
        </w:rPr>
        <w:t>获取</w:t>
      </w:r>
      <w:r>
        <w:rPr>
          <w:rFonts w:hint="eastAsia" w:ascii="宋体" w:hAnsi="宋体"/>
          <w:b/>
          <w:bCs/>
          <w:color w:val="auto"/>
          <w:highlight w:val="none"/>
        </w:rPr>
        <w:t>方式（两种</w:t>
      </w:r>
      <w:r>
        <w:rPr>
          <w:rFonts w:hint="eastAsia" w:ascii="宋体" w:hAnsi="宋体"/>
          <w:b/>
          <w:bCs/>
          <w:color w:val="auto"/>
          <w:highlight w:val="none"/>
          <w:lang w:val="en-US" w:eastAsia="zh-CN"/>
        </w:rPr>
        <w:t>获取</w:t>
      </w:r>
      <w:r>
        <w:rPr>
          <w:rFonts w:hint="eastAsia" w:ascii="宋体" w:hAnsi="宋体"/>
          <w:b/>
          <w:bCs/>
          <w:color w:val="auto"/>
          <w:highlight w:val="none"/>
        </w:rPr>
        <w:t>方式2选1）：</w:t>
      </w:r>
    </w:p>
    <w:p>
      <w:pPr>
        <w:keepNext w:val="0"/>
        <w:keepLines w:val="0"/>
        <w:pageBreakBefore w:val="0"/>
        <w:widowControl w:val="0"/>
        <w:numPr>
          <w:ilvl w:val="0"/>
          <w:numId w:val="9"/>
        </w:numPr>
        <w:kinsoku/>
        <w:wordWrap/>
        <w:overflowPunct/>
        <w:topLinePunct w:val="0"/>
        <w:bidi w:val="0"/>
        <w:snapToGrid/>
        <w:spacing w:line="440" w:lineRule="exact"/>
        <w:ind w:firstLine="494"/>
        <w:textAlignment w:val="auto"/>
        <w:rPr>
          <w:rFonts w:ascii="宋体" w:hAnsi="宋体"/>
          <w:b/>
          <w:bCs/>
          <w:color w:val="auto"/>
          <w:highlight w:val="none"/>
        </w:rPr>
      </w:pPr>
      <w:r>
        <w:rPr>
          <w:rFonts w:hint="eastAsia" w:ascii="宋体" w:hAnsi="宋体"/>
          <w:b/>
          <w:bCs/>
          <w:color w:val="auto"/>
          <w:highlight w:val="none"/>
        </w:rPr>
        <w:t>网上</w:t>
      </w:r>
      <w:r>
        <w:rPr>
          <w:rFonts w:hint="eastAsia" w:ascii="宋体" w:hAnsi="宋体"/>
          <w:b/>
          <w:bCs/>
          <w:color w:val="auto"/>
          <w:highlight w:val="none"/>
          <w:lang w:val="en-US" w:eastAsia="zh-CN"/>
        </w:rPr>
        <w:t>获取</w:t>
      </w:r>
      <w:r>
        <w:rPr>
          <w:rFonts w:hint="eastAsia" w:ascii="宋体" w:hAnsi="宋体"/>
          <w:b/>
          <w:bCs/>
          <w:color w:val="auto"/>
          <w:highlight w:val="none"/>
        </w:rPr>
        <w:t>。在本项目</w:t>
      </w:r>
      <w:r>
        <w:rPr>
          <w:rFonts w:hint="eastAsia" w:ascii="宋体" w:hAnsi="宋体"/>
          <w:b/>
          <w:color w:val="auto"/>
          <w:highlight w:val="none"/>
        </w:rPr>
        <w:t>磋商</w:t>
      </w:r>
      <w:r>
        <w:rPr>
          <w:rFonts w:hint="eastAsia" w:ascii="宋体" w:hAnsi="宋体"/>
          <w:b/>
          <w:bCs/>
          <w:color w:val="auto"/>
          <w:highlight w:val="none"/>
        </w:rPr>
        <w:t>文件获取时间期内，在本公司官方网站www.scskgc.com在线</w:t>
      </w:r>
      <w:r>
        <w:rPr>
          <w:rFonts w:hint="eastAsia" w:ascii="宋体" w:hAnsi="宋体"/>
          <w:b/>
          <w:bCs/>
          <w:color w:val="auto"/>
          <w:highlight w:val="none"/>
          <w:lang w:val="en-US" w:eastAsia="zh-CN"/>
        </w:rPr>
        <w:t>获取</w:t>
      </w:r>
      <w:r>
        <w:rPr>
          <w:rFonts w:hint="eastAsia" w:ascii="宋体" w:hAnsi="宋体"/>
          <w:b/>
          <w:bCs/>
          <w:color w:val="auto"/>
          <w:highlight w:val="none"/>
        </w:rPr>
        <w:t>,具体购买流程详请见网站的"供应商服务系统”，关于"供应商服务系统”的使用问题可以在www.scskgc.com下载操作手册。注册及网上报名咨询电话:028-61032618。</w:t>
      </w:r>
    </w:p>
    <w:p>
      <w:pPr>
        <w:keepNext w:val="0"/>
        <w:keepLines w:val="0"/>
        <w:pageBreakBefore w:val="0"/>
        <w:kinsoku/>
        <w:wordWrap/>
        <w:overflowPunct/>
        <w:topLinePunct w:val="0"/>
        <w:bidi w:val="0"/>
        <w:snapToGrid/>
        <w:spacing w:line="440" w:lineRule="exact"/>
        <w:ind w:firstLine="492"/>
        <w:textAlignment w:val="auto"/>
        <w:rPr>
          <w:rFonts w:ascii="宋体" w:hAnsi="宋体"/>
          <w:b/>
          <w:bCs/>
          <w:color w:val="auto"/>
          <w:kern w:val="2"/>
          <w:highlight w:val="none"/>
        </w:rPr>
      </w:pPr>
      <w:r>
        <w:rPr>
          <w:rFonts w:hint="eastAsia" w:ascii="宋体" w:hAnsi="宋体"/>
          <w:b/>
          <w:bCs/>
          <w:color w:val="auto"/>
          <w:kern w:val="2"/>
          <w:highlight w:val="none"/>
        </w:rPr>
        <w:t>2、现场报名。</w:t>
      </w:r>
      <w:r>
        <w:rPr>
          <w:rFonts w:hint="eastAsia" w:ascii="宋体" w:hAnsi="宋体"/>
          <w:b/>
          <w:bCs/>
          <w:color w:val="auto"/>
          <w:highlight w:val="none"/>
        </w:rPr>
        <w:t>在本项目</w:t>
      </w:r>
      <w:r>
        <w:rPr>
          <w:rFonts w:hint="eastAsia" w:ascii="宋体" w:hAnsi="宋体"/>
          <w:b/>
          <w:color w:val="auto"/>
          <w:highlight w:val="none"/>
        </w:rPr>
        <w:t>磋商</w:t>
      </w:r>
      <w:r>
        <w:rPr>
          <w:rFonts w:hint="eastAsia" w:ascii="宋体" w:hAnsi="宋体"/>
          <w:b/>
          <w:bCs/>
          <w:color w:val="auto"/>
          <w:highlight w:val="none"/>
        </w:rPr>
        <w:t>文件获取时间期内，在成都市高新区天府三街288号大有智慧广场迈普大厦10楼1010室现场</w:t>
      </w:r>
      <w:r>
        <w:rPr>
          <w:rFonts w:hint="eastAsia" w:ascii="宋体" w:hAnsi="宋体"/>
          <w:b/>
          <w:bCs/>
          <w:color w:val="auto"/>
          <w:highlight w:val="none"/>
          <w:lang w:val="en-US" w:eastAsia="zh-CN"/>
        </w:rPr>
        <w:t>办理</w:t>
      </w:r>
      <w:r>
        <w:rPr>
          <w:rFonts w:hint="eastAsia" w:ascii="宋体" w:hAnsi="宋体"/>
          <w:b/>
          <w:bCs/>
          <w:color w:val="auto"/>
          <w:highlight w:val="none"/>
        </w:rPr>
        <w:t>。</w:t>
      </w:r>
      <w:r>
        <w:rPr>
          <w:rFonts w:hint="eastAsia" w:ascii="宋体" w:hAnsi="宋体"/>
          <w:b/>
          <w:bCs/>
          <w:color w:val="auto"/>
          <w:highlight w:val="none"/>
          <w:lang w:val="en-US" w:eastAsia="zh-CN"/>
        </w:rPr>
        <w:t>获取</w:t>
      </w:r>
      <w:r>
        <w:rPr>
          <w:rFonts w:hint="eastAsia" w:ascii="宋体" w:hAnsi="宋体"/>
          <w:b/>
          <w:color w:val="auto"/>
          <w:highlight w:val="none"/>
        </w:rPr>
        <w:t>磋商</w:t>
      </w:r>
      <w:r>
        <w:rPr>
          <w:rFonts w:hint="eastAsia" w:ascii="宋体" w:hAnsi="宋体"/>
          <w:b/>
          <w:bCs/>
          <w:color w:val="auto"/>
          <w:highlight w:val="none"/>
        </w:rPr>
        <w:t>文件时必须携带</w:t>
      </w:r>
      <w:r>
        <w:rPr>
          <w:rFonts w:hint="eastAsia" w:ascii="宋体" w:hAnsi="宋体"/>
          <w:color w:val="auto"/>
          <w:highlight w:val="none"/>
        </w:rPr>
        <w:t>：</w:t>
      </w:r>
      <w:r>
        <w:rPr>
          <w:rFonts w:hint="eastAsia" w:ascii="宋体" w:hAnsi="宋体"/>
          <w:b/>
          <w:bCs/>
          <w:color w:val="auto"/>
          <w:highlight w:val="none"/>
        </w:rPr>
        <w:t>1. 供应商为法人或者其他组织的提供加盖单位公章的介绍信原件和加盖单位公章的被介绍人身份证复印件（需注明项目名称及项目编号）；2.供应商为自然人的，只需提供本人身份证复印件。</w:t>
      </w:r>
    </w:p>
    <w:p>
      <w:pPr>
        <w:keepNext w:val="0"/>
        <w:keepLines w:val="0"/>
        <w:pageBreakBefore w:val="0"/>
        <w:numPr>
          <w:ilvl w:val="0"/>
          <w:numId w:val="6"/>
        </w:numPr>
        <w:kinsoku/>
        <w:wordWrap/>
        <w:overflowPunct/>
        <w:topLinePunct w:val="0"/>
        <w:bidi w:val="0"/>
        <w:snapToGrid/>
        <w:spacing w:line="440" w:lineRule="exact"/>
        <w:ind w:left="0" w:firstLine="482" w:firstLineChars="200"/>
        <w:textAlignment w:val="auto"/>
        <w:rPr>
          <w:rFonts w:ascii="宋体" w:hAnsi="宋体"/>
          <w:color w:val="auto"/>
          <w:highlight w:val="none"/>
        </w:rPr>
      </w:pPr>
      <w:r>
        <w:rPr>
          <w:rFonts w:hint="eastAsia" w:ascii="宋体" w:hAnsi="宋体" w:cs="宋体"/>
          <w:b/>
          <w:color w:val="auto"/>
          <w:highlight w:val="none"/>
        </w:rPr>
        <w:t>响应文件递交截止时间：202</w:t>
      </w:r>
      <w:r>
        <w:rPr>
          <w:rFonts w:hint="eastAsia" w:ascii="宋体" w:hAnsi="宋体" w:cs="宋体"/>
          <w:b/>
          <w:color w:val="auto"/>
          <w:highlight w:val="none"/>
          <w:lang w:val="en-US" w:eastAsia="zh-CN"/>
        </w:rPr>
        <w:t>1</w:t>
      </w:r>
      <w:r>
        <w:rPr>
          <w:rFonts w:hint="eastAsia" w:ascii="宋体" w:hAnsi="宋体" w:cs="宋体"/>
          <w:b/>
          <w:color w:val="auto"/>
          <w:highlight w:val="none"/>
        </w:rPr>
        <w:t>年</w:t>
      </w:r>
      <w:r>
        <w:rPr>
          <w:rFonts w:hint="eastAsia" w:ascii="宋体" w:hAnsi="宋体" w:cs="宋体"/>
          <w:b/>
          <w:color w:val="auto"/>
          <w:highlight w:val="none"/>
          <w:lang w:val="en-US" w:eastAsia="zh-CN"/>
        </w:rPr>
        <w:t>7</w:t>
      </w:r>
      <w:r>
        <w:rPr>
          <w:rFonts w:hint="eastAsia" w:ascii="宋体" w:hAnsi="宋体" w:cs="宋体"/>
          <w:b/>
          <w:color w:val="auto"/>
          <w:highlight w:val="none"/>
        </w:rPr>
        <w:t>月</w:t>
      </w:r>
      <w:r>
        <w:rPr>
          <w:rFonts w:hint="eastAsia" w:ascii="宋体" w:hAnsi="宋体" w:cs="宋体"/>
          <w:b/>
          <w:color w:val="auto"/>
          <w:highlight w:val="none"/>
          <w:lang w:val="en-US" w:eastAsia="zh-CN"/>
        </w:rPr>
        <w:t>12</w:t>
      </w:r>
      <w:r>
        <w:rPr>
          <w:rFonts w:hint="eastAsia" w:ascii="宋体" w:hAnsi="宋体" w:cs="宋体"/>
          <w:b/>
          <w:color w:val="auto"/>
          <w:highlight w:val="none"/>
        </w:rPr>
        <w:t>日10:30(北京时间)。</w:t>
      </w:r>
      <w:r>
        <w:rPr>
          <w:rFonts w:hint="eastAsia" w:ascii="宋体" w:hAnsi="宋体" w:cs="宋体"/>
          <w:color w:val="auto"/>
          <w:highlight w:val="none"/>
          <w:lang w:val="zh-CN"/>
        </w:rPr>
        <w:t>响应文件</w:t>
      </w:r>
      <w:r>
        <w:rPr>
          <w:rFonts w:hint="eastAsia" w:ascii="宋体" w:hAnsi="宋体"/>
          <w:color w:val="auto"/>
          <w:highlight w:val="none"/>
        </w:rPr>
        <w:t>应在磋商当日磋商截止时间前送达开标地点。</w:t>
      </w:r>
      <w:r>
        <w:rPr>
          <w:rFonts w:hint="eastAsia"/>
          <w:color w:val="auto"/>
          <w:highlight w:val="none"/>
        </w:rPr>
        <w:t>逾期送达或未按竞争性磋商文件要求密封的响应文件将被拒收</w:t>
      </w:r>
      <w:r>
        <w:rPr>
          <w:rFonts w:hint="eastAsia" w:ascii="宋体" w:hAnsi="宋体"/>
          <w:color w:val="auto"/>
          <w:highlight w:val="none"/>
        </w:rPr>
        <w:t>。本次磋商不接受以电子邮件、传真及邮寄方式递交的响应文件</w:t>
      </w:r>
      <w:r>
        <w:rPr>
          <w:rFonts w:hint="eastAsia" w:ascii="宋体"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40" w:lineRule="exact"/>
        <w:ind w:left="0" w:firstLine="482" w:firstLineChars="200"/>
        <w:textAlignment w:val="auto"/>
        <w:rPr>
          <w:rFonts w:ascii="宋体" w:hAnsi="宋体"/>
          <w:color w:val="auto"/>
          <w:highlight w:val="none"/>
        </w:rPr>
      </w:pPr>
      <w:r>
        <w:rPr>
          <w:rFonts w:hint="eastAsia" w:ascii="宋体" w:hAnsi="宋体"/>
          <w:b/>
          <w:color w:val="auto"/>
          <w:highlight w:val="none"/>
        </w:rPr>
        <w:t>响应文件递交地点</w:t>
      </w:r>
      <w:r>
        <w:rPr>
          <w:rFonts w:hint="eastAsia" w:ascii="宋体" w:hAnsi="宋体"/>
          <w:color w:val="auto"/>
          <w:highlight w:val="none"/>
        </w:rPr>
        <w:t>：</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本项目开标室</w:t>
      </w:r>
      <w:r>
        <w:rPr>
          <w:rFonts w:hint="eastAsia" w:ascii="宋体"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40" w:lineRule="exact"/>
        <w:ind w:left="0" w:firstLine="482" w:firstLineChars="200"/>
        <w:textAlignment w:val="auto"/>
        <w:rPr>
          <w:rFonts w:ascii="宋体" w:hAnsi="宋体"/>
          <w:b/>
          <w:color w:val="auto"/>
          <w:highlight w:val="none"/>
        </w:rPr>
      </w:pPr>
      <w:r>
        <w:rPr>
          <w:rFonts w:hint="eastAsia" w:ascii="宋体" w:hAnsi="宋体"/>
          <w:b/>
          <w:color w:val="auto"/>
          <w:highlight w:val="none"/>
        </w:rPr>
        <w:t>磋商地点：</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本项目评标室。</w:t>
      </w:r>
    </w:p>
    <w:p>
      <w:pPr>
        <w:keepNext w:val="0"/>
        <w:keepLines w:val="0"/>
        <w:pageBreakBefore w:val="0"/>
        <w:numPr>
          <w:ilvl w:val="0"/>
          <w:numId w:val="6"/>
        </w:numPr>
        <w:kinsoku/>
        <w:wordWrap/>
        <w:overflowPunct/>
        <w:topLinePunct w:val="0"/>
        <w:bidi w:val="0"/>
        <w:snapToGrid/>
        <w:spacing w:line="440" w:lineRule="exact"/>
        <w:ind w:left="0" w:firstLine="482" w:firstLineChars="200"/>
        <w:textAlignment w:val="auto"/>
        <w:rPr>
          <w:rFonts w:ascii="宋体" w:hAnsi="宋体"/>
          <w:b/>
          <w:color w:val="auto"/>
          <w:highlight w:val="none"/>
        </w:rPr>
      </w:pPr>
      <w:r>
        <w:rPr>
          <w:rFonts w:hint="eastAsia" w:ascii="宋体" w:hAnsi="宋体"/>
          <w:b/>
          <w:color w:val="auto"/>
          <w:highlight w:val="none"/>
        </w:rPr>
        <w:t>联系人及联系电话</w:t>
      </w:r>
      <w:bookmarkStart w:id="366" w:name="_GoBack"/>
      <w:bookmarkEnd w:id="366"/>
    </w:p>
    <w:p>
      <w:pPr>
        <w:pStyle w:val="20"/>
        <w:keepNext w:val="0"/>
        <w:keepLines w:val="0"/>
        <w:pageBreakBefore w:val="0"/>
        <w:kinsoku/>
        <w:wordWrap/>
        <w:overflowPunct/>
        <w:topLinePunct w:val="0"/>
        <w:bidi w:val="0"/>
        <w:snapToGrid/>
        <w:spacing w:line="440" w:lineRule="exact"/>
        <w:ind w:firstLineChars="0"/>
        <w:textAlignment w:val="auto"/>
        <w:rPr>
          <w:rFonts w:hAnsi="宋体"/>
          <w:sz w:val="24"/>
          <w:highlight w:val="none"/>
          <w:lang w:val="zh-CN"/>
        </w:rPr>
      </w:pPr>
      <w:bookmarkStart w:id="10" w:name="_Toc391885334"/>
      <w:bookmarkStart w:id="11" w:name="_Toc381263230"/>
      <w:bookmarkStart w:id="12" w:name="_Toc287623638"/>
      <w:r>
        <w:rPr>
          <w:rFonts w:hint="eastAsia" w:hAnsi="宋体"/>
          <w:sz w:val="24"/>
          <w:highlight w:val="none"/>
        </w:rPr>
        <w:t>采 购 人：</w:t>
      </w:r>
      <w:r>
        <w:rPr>
          <w:rFonts w:hint="eastAsia" w:hAnsi="宋体"/>
          <w:sz w:val="24"/>
          <w:highlight w:val="none"/>
          <w:lang w:val="zh-CN"/>
        </w:rPr>
        <w:t>成都市双流区文化馆</w:t>
      </w:r>
    </w:p>
    <w:p>
      <w:pPr>
        <w:pStyle w:val="20"/>
        <w:keepNext w:val="0"/>
        <w:keepLines w:val="0"/>
        <w:pageBreakBefore w:val="0"/>
        <w:kinsoku/>
        <w:wordWrap/>
        <w:overflowPunct/>
        <w:topLinePunct w:val="0"/>
        <w:bidi w:val="0"/>
        <w:snapToGrid/>
        <w:spacing w:line="44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地 址：成都市双流区东升街道淳化街93号</w:t>
      </w:r>
    </w:p>
    <w:p>
      <w:pPr>
        <w:pStyle w:val="20"/>
        <w:keepNext w:val="0"/>
        <w:keepLines w:val="0"/>
        <w:pageBreakBefore w:val="0"/>
        <w:kinsoku/>
        <w:wordWrap/>
        <w:overflowPunct/>
        <w:topLinePunct w:val="0"/>
        <w:bidi w:val="0"/>
        <w:snapToGrid/>
        <w:spacing w:line="44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联系人：</w:t>
      </w:r>
      <w:r>
        <w:rPr>
          <w:rFonts w:hint="eastAsia" w:hAnsi="宋体" w:cs="宋体"/>
          <w:bCs/>
          <w:color w:val="auto"/>
          <w:sz w:val="24"/>
          <w:highlight w:val="none"/>
          <w:lang w:val="en-US" w:eastAsia="zh-CN"/>
        </w:rPr>
        <w:t>周</w:t>
      </w:r>
      <w:r>
        <w:rPr>
          <w:rFonts w:hint="eastAsia" w:hAnsi="宋体" w:cs="宋体"/>
          <w:bCs/>
          <w:color w:val="auto"/>
          <w:sz w:val="24"/>
          <w:highlight w:val="none"/>
        </w:rPr>
        <w:t>老师</w:t>
      </w:r>
    </w:p>
    <w:p>
      <w:pPr>
        <w:pStyle w:val="20"/>
        <w:keepNext w:val="0"/>
        <w:keepLines w:val="0"/>
        <w:pageBreakBefore w:val="0"/>
        <w:kinsoku/>
        <w:wordWrap/>
        <w:overflowPunct/>
        <w:topLinePunct w:val="0"/>
        <w:bidi w:val="0"/>
        <w:snapToGrid/>
        <w:spacing w:line="44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联系电话：028-85823635</w:t>
      </w:r>
    </w:p>
    <w:p>
      <w:pPr>
        <w:pStyle w:val="20"/>
        <w:keepNext w:val="0"/>
        <w:keepLines w:val="0"/>
        <w:pageBreakBefore w:val="0"/>
        <w:kinsoku/>
        <w:wordWrap/>
        <w:overflowPunct/>
        <w:topLinePunct w:val="0"/>
        <w:bidi w:val="0"/>
        <w:snapToGrid/>
        <w:spacing w:line="44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采购代理机构：四川世科工程咨询有限公司 </w:t>
      </w:r>
    </w:p>
    <w:p>
      <w:pPr>
        <w:pStyle w:val="20"/>
        <w:keepNext w:val="0"/>
        <w:keepLines w:val="0"/>
        <w:pageBreakBefore w:val="0"/>
        <w:kinsoku/>
        <w:wordWrap/>
        <w:overflowPunct/>
        <w:topLinePunct w:val="0"/>
        <w:bidi w:val="0"/>
        <w:snapToGrid/>
        <w:spacing w:line="440" w:lineRule="exact"/>
        <w:ind w:firstLine="480" w:firstLineChars="200"/>
        <w:jc w:val="left"/>
        <w:textAlignment w:val="auto"/>
        <w:rPr>
          <w:rFonts w:hAnsi="宋体"/>
          <w:bCs/>
          <w:color w:val="auto"/>
          <w:sz w:val="24"/>
          <w:highlight w:val="none"/>
        </w:rPr>
      </w:pPr>
      <w:r>
        <w:rPr>
          <w:rFonts w:hint="eastAsia" w:hAnsi="宋体" w:cs="宋体"/>
          <w:bCs/>
          <w:color w:val="auto"/>
          <w:sz w:val="24"/>
          <w:highlight w:val="none"/>
        </w:rPr>
        <w:t>地 址：</w:t>
      </w:r>
      <w:r>
        <w:rPr>
          <w:rFonts w:hint="eastAsia" w:hAnsi="宋体"/>
          <w:bCs/>
          <w:color w:val="auto"/>
          <w:sz w:val="24"/>
          <w:highlight w:val="none"/>
        </w:rPr>
        <w:t>高新区天府三街288号大有智慧广场迈普大厦10楼1010室</w:t>
      </w:r>
    </w:p>
    <w:p>
      <w:pPr>
        <w:pStyle w:val="20"/>
        <w:keepNext w:val="0"/>
        <w:keepLines w:val="0"/>
        <w:pageBreakBefore w:val="0"/>
        <w:kinsoku/>
        <w:wordWrap/>
        <w:overflowPunct/>
        <w:topLinePunct w:val="0"/>
        <w:bidi w:val="0"/>
        <w:snapToGrid/>
        <w:spacing w:line="44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联 系 人：高老师</w:t>
      </w:r>
    </w:p>
    <w:p>
      <w:pPr>
        <w:pStyle w:val="20"/>
        <w:keepNext w:val="0"/>
        <w:keepLines w:val="0"/>
        <w:pageBreakBefore w:val="0"/>
        <w:kinsoku/>
        <w:wordWrap/>
        <w:overflowPunct/>
        <w:topLinePunct w:val="0"/>
        <w:bidi w:val="0"/>
        <w:snapToGrid/>
        <w:spacing w:line="44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联系电话：028-61032618 </w:t>
      </w:r>
    </w:p>
    <w:p>
      <w:pPr>
        <w:pStyle w:val="20"/>
        <w:keepNext w:val="0"/>
        <w:keepLines w:val="0"/>
        <w:pageBreakBefore w:val="0"/>
        <w:kinsoku/>
        <w:wordWrap/>
        <w:overflowPunct/>
        <w:topLinePunct w:val="0"/>
        <w:bidi w:val="0"/>
        <w:snapToGrid/>
        <w:spacing w:line="440" w:lineRule="exact"/>
        <w:ind w:firstLine="480" w:firstLineChars="200"/>
        <w:jc w:val="left"/>
        <w:textAlignment w:val="auto"/>
        <w:rPr>
          <w:rFonts w:hint="eastAsia" w:hAnsi="宋体" w:cs="宋体"/>
          <w:bCs/>
          <w:color w:val="auto"/>
          <w:sz w:val="24"/>
          <w:highlight w:val="none"/>
        </w:rPr>
      </w:pPr>
      <w:r>
        <w:rPr>
          <w:rFonts w:hint="eastAsia" w:hAnsi="宋体" w:cs="宋体"/>
          <w:bCs/>
          <w:color w:val="auto"/>
          <w:sz w:val="24"/>
          <w:highlight w:val="none"/>
        </w:rPr>
        <w:t>传 真：028-61032618</w:t>
      </w:r>
    </w:p>
    <w:p>
      <w:pPr>
        <w:pStyle w:val="20"/>
        <w:ind w:firstLine="480" w:firstLineChars="200"/>
        <w:jc w:val="left"/>
        <w:rPr>
          <w:rFonts w:hint="eastAsia" w:hAnsi="宋体" w:cs="宋体"/>
          <w:bCs/>
          <w:color w:val="auto"/>
          <w:sz w:val="24"/>
          <w:highlight w:val="none"/>
        </w:rPr>
        <w:sectPr>
          <w:pgSz w:w="11906" w:h="16838"/>
          <w:pgMar w:top="1417" w:right="1417" w:bottom="1417" w:left="1417" w:header="851" w:footer="850" w:gutter="0"/>
          <w:cols w:space="0" w:num="1"/>
          <w:titlePg/>
          <w:docGrid w:type="lines" w:linePitch="312" w:charSpace="0"/>
        </w:sectPr>
      </w:pPr>
    </w:p>
    <w:p>
      <w:pPr>
        <w:pStyle w:val="3"/>
        <w:rPr>
          <w:rFonts w:hint="eastAsia"/>
          <w:color w:val="auto"/>
          <w:highlight w:val="none"/>
        </w:rPr>
      </w:pPr>
      <w:bookmarkStart w:id="13" w:name="_Toc13365"/>
      <w:r>
        <w:rPr>
          <w:rFonts w:hint="eastAsia"/>
          <w:color w:val="auto"/>
          <w:highlight w:val="none"/>
        </w:rPr>
        <w:t>磋商供应商须知</w:t>
      </w:r>
      <w:bookmarkEnd w:id="10"/>
      <w:bookmarkEnd w:id="13"/>
    </w:p>
    <w:p>
      <w:pPr>
        <w:pStyle w:val="4"/>
        <w:rPr>
          <w:color w:val="auto"/>
          <w:highlight w:val="none"/>
        </w:rPr>
      </w:pPr>
      <w:bookmarkStart w:id="14" w:name="_Toc12767"/>
      <w:r>
        <w:rPr>
          <w:rFonts w:hint="eastAsia"/>
          <w:color w:val="auto"/>
          <w:highlight w:val="none"/>
        </w:rPr>
        <w:t>磋商供应商须知附表</w:t>
      </w:r>
      <w:bookmarkEnd w:id="14"/>
    </w:p>
    <w:tbl>
      <w:tblPr>
        <w:tblStyle w:val="44"/>
        <w:tblW w:w="973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995"/>
        <w:gridCol w:w="1675"/>
        <w:gridCol w:w="706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66" w:hRule="exact"/>
          <w:tblHeader/>
          <w:jc w:val="center"/>
        </w:trPr>
        <w:tc>
          <w:tcPr>
            <w:tcW w:w="995"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序号</w:t>
            </w:r>
          </w:p>
        </w:tc>
        <w:tc>
          <w:tcPr>
            <w:tcW w:w="1675"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条款名称</w:t>
            </w:r>
          </w:p>
        </w:tc>
        <w:tc>
          <w:tcPr>
            <w:tcW w:w="7063"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95" w:type="dxa"/>
            <w:vAlign w:val="center"/>
          </w:tcPr>
          <w:p>
            <w:pPr>
              <w:numPr>
                <w:ilvl w:val="0"/>
                <w:numId w:val="10"/>
              </w:numPr>
              <w:spacing w:line="360" w:lineRule="exact"/>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采购预算</w:t>
            </w:r>
            <w:r>
              <w:rPr>
                <w:rFonts w:hint="eastAsia" w:hAnsi="宋体" w:cs="宋体"/>
                <w:color w:val="auto"/>
                <w:highlight w:val="none"/>
              </w:rPr>
              <w:t>（实质性要求）</w:t>
            </w:r>
          </w:p>
        </w:tc>
        <w:tc>
          <w:tcPr>
            <w:tcW w:w="7063" w:type="dxa"/>
            <w:vAlign w:val="center"/>
          </w:tcPr>
          <w:p>
            <w:pPr>
              <w:pStyle w:val="20"/>
              <w:spacing w:after="156" w:afterLines="50" w:line="360" w:lineRule="exact"/>
              <w:ind w:firstLine="0" w:firstLineChars="0"/>
              <w:rPr>
                <w:rFonts w:hAnsi="宋体" w:cs="宋体"/>
                <w:color w:val="auto"/>
                <w:sz w:val="24"/>
                <w:highlight w:val="none"/>
              </w:rPr>
            </w:pPr>
            <w:r>
              <w:rPr>
                <w:rFonts w:hint="eastAsia" w:hAnsi="宋体" w:cs="宋体"/>
                <w:color w:val="auto"/>
                <w:sz w:val="24"/>
                <w:highlight w:val="none"/>
              </w:rPr>
              <w:t>本项目采购预算：</w:t>
            </w:r>
            <w:r>
              <w:rPr>
                <w:rFonts w:hint="eastAsia" w:hAnsi="宋体" w:cs="宋体"/>
                <w:color w:val="auto"/>
                <w:sz w:val="24"/>
                <w:highlight w:val="none"/>
                <w:lang w:val="en-US" w:eastAsia="zh-CN"/>
              </w:rPr>
              <w:t>142.78万元</w:t>
            </w:r>
            <w:r>
              <w:rPr>
                <w:rFonts w:hint="eastAsia" w:hAnsi="宋体" w:cs="宋体"/>
                <w:color w:val="auto"/>
                <w:sz w:val="24"/>
                <w:highlight w:val="none"/>
              </w:rPr>
              <w:t>，超过采购预算为无效磋商。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95" w:type="dxa"/>
            <w:vAlign w:val="center"/>
          </w:tcPr>
          <w:p>
            <w:pPr>
              <w:numPr>
                <w:ilvl w:val="0"/>
                <w:numId w:val="10"/>
              </w:numPr>
              <w:spacing w:line="360" w:lineRule="exact"/>
              <w:jc w:val="center"/>
              <w:rPr>
                <w:rFonts w:ascii="宋体" w:hAnsi="宋体" w:cs="宋体"/>
                <w:color w:val="auto"/>
                <w:highlight w:val="none"/>
              </w:rPr>
            </w:pPr>
          </w:p>
        </w:tc>
        <w:tc>
          <w:tcPr>
            <w:tcW w:w="1675" w:type="dxa"/>
            <w:vAlign w:val="center"/>
          </w:tcPr>
          <w:p>
            <w:pPr>
              <w:jc w:val="center"/>
              <w:rPr>
                <w:rFonts w:hAnsi="宋体" w:cs="宋体"/>
                <w:color w:val="auto"/>
                <w:highlight w:val="none"/>
              </w:rPr>
            </w:pPr>
            <w:r>
              <w:rPr>
                <w:rFonts w:hint="eastAsia" w:hAnsi="宋体" w:cs="宋体"/>
                <w:color w:val="auto"/>
                <w:highlight w:val="none"/>
              </w:rPr>
              <w:t>低于成本价不正当</w:t>
            </w:r>
          </w:p>
          <w:p>
            <w:pPr>
              <w:jc w:val="center"/>
              <w:rPr>
                <w:rFonts w:hAnsi="宋体" w:cs="宋体"/>
                <w:color w:val="auto"/>
                <w:highlight w:val="none"/>
              </w:rPr>
            </w:pPr>
            <w:r>
              <w:rPr>
                <w:rFonts w:hint="eastAsia" w:hAnsi="宋体" w:cs="宋体"/>
                <w:color w:val="auto"/>
                <w:highlight w:val="none"/>
              </w:rPr>
              <w:t>竞争预防措施</w:t>
            </w:r>
          </w:p>
          <w:p>
            <w:pPr>
              <w:jc w:val="center"/>
              <w:rPr>
                <w:rFonts w:ascii="宋体" w:hAnsi="宋体" w:cs="宋体"/>
                <w:color w:val="auto"/>
                <w:highlight w:val="none"/>
              </w:rPr>
            </w:pPr>
            <w:r>
              <w:rPr>
                <w:rFonts w:hint="eastAsia" w:hAnsi="宋体" w:cs="宋体"/>
                <w:color w:val="auto"/>
                <w:highlight w:val="none"/>
              </w:rPr>
              <w:t>（实质性要求）</w:t>
            </w:r>
          </w:p>
        </w:tc>
        <w:tc>
          <w:tcPr>
            <w:tcW w:w="7063" w:type="dxa"/>
            <w:vAlign w:val="center"/>
          </w:tcPr>
          <w:p>
            <w:pPr>
              <w:spacing w:line="360" w:lineRule="auto"/>
              <w:rPr>
                <w:rFonts w:ascii="宋体" w:hAnsi="宋体" w:cs="宋体"/>
                <w:color w:val="auto"/>
                <w:highlight w:val="none"/>
              </w:rPr>
            </w:pPr>
            <w:r>
              <w:rPr>
                <w:rFonts w:ascii="宋体" w:hAnsi="宋体" w:cs="宋体"/>
                <w:color w:val="auto"/>
                <w:highlight w:val="none"/>
              </w:rPr>
              <w:t>在评审过程中，供应商报价有可能影响产品质量或者不能诚信履约的，评审委员会应当要求其在评审现场合理的时间内提供成本构成书面说明，并提交相关证明材料。</w:t>
            </w:r>
            <w:r>
              <w:rPr>
                <w:rFonts w:hint="eastAsia" w:ascii="宋体" w:hAnsi="宋体" w:cs="宋体"/>
                <w:color w:val="auto"/>
                <w:highlight w:val="none"/>
              </w:rPr>
              <w:t>供应商不能证明其报价合理性的，评审委员会应当将其作为无效处理。</w:t>
            </w:r>
          </w:p>
          <w:p>
            <w:pPr>
              <w:spacing w:line="360" w:lineRule="auto"/>
              <w:rPr>
                <w:rFonts w:ascii="宋体" w:hAnsi="宋体" w:cs="宋体"/>
                <w:color w:val="auto"/>
                <w:highlight w:val="none"/>
              </w:rPr>
            </w:pPr>
            <w:r>
              <w:rPr>
                <w:rFonts w:ascii="宋体" w:hAnsi="宋体" w:cs="宋体"/>
                <w:color w:val="auto"/>
                <w:highlight w:val="none"/>
              </w:rPr>
              <w:t>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ascii="宋体" w:hAnsi="宋体" w:cs="宋体"/>
                <w:color w:val="auto"/>
                <w:highlight w:val="none"/>
                <w:lang w:val="zh-CN"/>
              </w:rPr>
            </w:pPr>
            <w:r>
              <w:rPr>
                <w:rFonts w:ascii="宋体" w:hAnsi="宋体" w:cs="宋体"/>
                <w:color w:val="auto"/>
                <w:highlight w:val="none"/>
              </w:rPr>
              <w:t>供应商书面说明应当签字确认或者加盖公章，否则无效。</w:t>
            </w:r>
            <w:r>
              <w:rPr>
                <w:rFonts w:hint="eastAsia" w:ascii="宋体" w:hAnsi="宋体" w:cs="宋体"/>
                <w:color w:val="auto"/>
                <w:highlight w:val="none"/>
                <w:lang w:val="zh-CN"/>
              </w:rPr>
              <w:t>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ascii="宋体" w:hAnsi="宋体" w:cs="宋体"/>
                <w:color w:val="auto"/>
                <w:highlight w:val="none"/>
              </w:rPr>
            </w:pPr>
            <w:r>
              <w:rPr>
                <w:rFonts w:hint="eastAsia" w:ascii="宋体" w:hAnsi="宋体" w:cs="宋体"/>
                <w:color w:val="auto"/>
                <w:highlight w:val="none"/>
              </w:rPr>
              <w:t>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报价作为无效报价处理，不允许进入综合评审。</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shd w:val="clear" w:color="auto" w:fill="auto"/>
            <w:vAlign w:val="center"/>
          </w:tcPr>
          <w:p>
            <w:pPr>
              <w:pStyle w:val="123"/>
              <w:spacing w:line="380" w:lineRule="exact"/>
              <w:jc w:val="both"/>
              <w:rPr>
                <w:rFonts w:hint="default" w:eastAsia="宋体"/>
                <w:color w:val="auto"/>
                <w:kern w:val="2"/>
                <w:highlight w:val="none"/>
                <w:lang w:val="en-US" w:eastAsia="zh-CN"/>
              </w:rPr>
            </w:pPr>
            <w:r>
              <w:rPr>
                <w:rFonts w:hint="eastAsia"/>
                <w:color w:val="auto"/>
                <w:kern w:val="2"/>
                <w:highlight w:val="none"/>
                <w:lang w:val="zh-CN"/>
              </w:rPr>
              <w:t>失信企业</w:t>
            </w:r>
            <w:r>
              <w:rPr>
                <w:rFonts w:hint="eastAsia"/>
                <w:color w:val="auto"/>
                <w:kern w:val="2"/>
                <w:highlight w:val="none"/>
                <w:lang w:val="en-US" w:eastAsia="zh-CN"/>
              </w:rPr>
              <w:t>惩戒措施</w:t>
            </w:r>
          </w:p>
          <w:p>
            <w:pPr>
              <w:pStyle w:val="123"/>
              <w:spacing w:line="360" w:lineRule="auto"/>
              <w:jc w:val="both"/>
              <w:rPr>
                <w:color w:val="auto"/>
                <w:highlight w:val="none"/>
                <w:lang w:val="zh-CN"/>
              </w:rPr>
            </w:pPr>
          </w:p>
        </w:tc>
        <w:tc>
          <w:tcPr>
            <w:tcW w:w="7063" w:type="dxa"/>
            <w:shd w:val="clear" w:color="auto" w:fill="auto"/>
            <w:vAlign w:val="center"/>
          </w:tcPr>
          <w:p>
            <w:pPr>
              <w:spacing w:line="360" w:lineRule="auto"/>
              <w:rPr>
                <w:color w:val="auto"/>
                <w:highlight w:val="none"/>
                <w:lang w:val="zh-CN"/>
              </w:rPr>
            </w:pPr>
            <w:r>
              <w:rPr>
                <w:rFonts w:hint="eastAsia"/>
                <w:color w:val="auto"/>
                <w:highlight w:val="none"/>
                <w:lang w:val="en-US" w:eastAsia="zh-CN"/>
              </w:rPr>
              <w:t>严格按照《四川省公共资源交易领域严重失信联合惩戒实施办法》（川发改信用规【2019】405号）、《关于对政府采购领域严重违法失信主体开展联合惩戒的合作备案录》（发改财经【2018】1614号）等相关文件的规定执行。</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磋商保证金（实质性要求）</w:t>
            </w:r>
          </w:p>
        </w:tc>
        <w:tc>
          <w:tcPr>
            <w:tcW w:w="7063" w:type="dxa"/>
            <w:vAlign w:val="center"/>
          </w:tcPr>
          <w:p>
            <w:pPr>
              <w:spacing w:line="360" w:lineRule="exact"/>
              <w:ind w:left="137" w:leftChars="57"/>
              <w:rPr>
                <w:rFonts w:ascii="宋体" w:hAnsi="宋体" w:cs="宋体"/>
                <w:b/>
                <w:color w:val="auto"/>
                <w:highlight w:val="none"/>
                <w:lang w:val="zh-CN"/>
              </w:rPr>
            </w:pPr>
            <w:r>
              <w:rPr>
                <w:rFonts w:hint="eastAsia" w:ascii="宋体" w:hAnsi="宋体" w:cs="宋体"/>
                <w:color w:val="auto"/>
                <w:highlight w:val="none"/>
              </w:rPr>
              <w:t>本项目无磋商保证金。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pStyle w:val="123"/>
              <w:spacing w:line="380" w:lineRule="exact"/>
              <w:rPr>
                <w:color w:val="auto"/>
                <w:highlight w:val="none"/>
              </w:rPr>
            </w:pPr>
            <w:r>
              <w:rPr>
                <w:rFonts w:hint="eastAsia"/>
                <w:color w:val="auto"/>
                <w:kern w:val="2"/>
                <w:highlight w:val="none"/>
              </w:rPr>
              <w:t>采购文件咨询</w:t>
            </w:r>
          </w:p>
        </w:tc>
        <w:tc>
          <w:tcPr>
            <w:tcW w:w="7063" w:type="dxa"/>
          </w:tcPr>
          <w:p>
            <w:pPr>
              <w:spacing w:line="380" w:lineRule="exact"/>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91"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80" w:lineRule="exact"/>
              <w:outlineLvl w:val="5"/>
              <w:rPr>
                <w:rFonts w:ascii="宋体" w:hAnsi="宋体" w:cs="宋体"/>
                <w:color w:val="auto"/>
                <w:highlight w:val="none"/>
              </w:rPr>
            </w:pPr>
            <w:r>
              <w:rPr>
                <w:rFonts w:hint="eastAsia" w:ascii="宋体" w:hAnsi="宋体" w:cs="宋体"/>
                <w:color w:val="auto"/>
                <w:highlight w:val="none"/>
              </w:rPr>
              <w:t>开标、</w:t>
            </w:r>
            <w:r>
              <w:rPr>
                <w:rFonts w:hint="eastAsia" w:ascii="宋体" w:hAnsi="宋体" w:cs="宋体"/>
                <w:color w:val="auto"/>
                <w:highlight w:val="none"/>
                <w:lang w:val="en-US" w:eastAsia="zh-CN"/>
              </w:rPr>
              <w:t>评审</w:t>
            </w:r>
            <w:r>
              <w:rPr>
                <w:rFonts w:hint="eastAsia" w:ascii="宋体" w:hAnsi="宋体" w:cs="宋体"/>
                <w:color w:val="auto"/>
                <w:highlight w:val="none"/>
              </w:rPr>
              <w:t>工作咨询</w:t>
            </w:r>
          </w:p>
        </w:tc>
        <w:tc>
          <w:tcPr>
            <w:tcW w:w="7063" w:type="dxa"/>
            <w:vAlign w:val="center"/>
          </w:tcPr>
          <w:p>
            <w:pPr>
              <w:spacing w:line="380" w:lineRule="exact"/>
              <w:outlineLvl w:val="5"/>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80" w:lineRule="exact"/>
              <w:rPr>
                <w:rFonts w:ascii="宋体" w:hAnsi="宋体" w:cs="宋体"/>
                <w:color w:val="auto"/>
                <w:highlight w:val="none"/>
              </w:rPr>
            </w:pPr>
            <w:r>
              <w:rPr>
                <w:rFonts w:hint="eastAsia" w:ascii="宋体" w:hAnsi="宋体" w:cs="宋体"/>
                <w:color w:val="auto"/>
                <w:highlight w:val="none"/>
              </w:rPr>
              <w:t>成交通知书领取</w:t>
            </w:r>
          </w:p>
        </w:tc>
        <w:tc>
          <w:tcPr>
            <w:tcW w:w="7063" w:type="dxa"/>
            <w:vAlign w:val="center"/>
          </w:tcPr>
          <w:p>
            <w:pPr>
              <w:tabs>
                <w:tab w:val="left" w:pos="7665"/>
              </w:tabs>
              <w:spacing w:line="380" w:lineRule="exact"/>
              <w:rPr>
                <w:color w:val="auto"/>
                <w:highlight w:val="none"/>
              </w:rPr>
            </w:pPr>
            <w:r>
              <w:rPr>
                <w:rFonts w:hint="eastAsia" w:ascii="宋体" w:hAnsi="宋体" w:cs="宋体"/>
                <w:color w:val="auto"/>
                <w:highlight w:val="none"/>
              </w:rPr>
              <w:t>成交公告在四川政府采购网上公告后，成交供应商凭有效身份证明证件到四川世科工程咨询有限公司领取成交通知书。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82"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tcPr>
          <w:p>
            <w:pPr>
              <w:pStyle w:val="123"/>
              <w:spacing w:line="380" w:lineRule="exact"/>
              <w:jc w:val="center"/>
              <w:rPr>
                <w:color w:val="auto"/>
                <w:kern w:val="2"/>
                <w:highlight w:val="none"/>
              </w:rPr>
            </w:pPr>
          </w:p>
          <w:p>
            <w:pPr>
              <w:pStyle w:val="123"/>
              <w:spacing w:line="380" w:lineRule="exact"/>
              <w:jc w:val="center"/>
              <w:rPr>
                <w:color w:val="auto"/>
                <w:highlight w:val="none"/>
              </w:rPr>
            </w:pPr>
            <w:r>
              <w:rPr>
                <w:rFonts w:hint="eastAsia"/>
                <w:color w:val="auto"/>
                <w:kern w:val="2"/>
                <w:highlight w:val="none"/>
              </w:rPr>
              <w:t>供应商询问、质疑</w:t>
            </w:r>
          </w:p>
        </w:tc>
        <w:tc>
          <w:tcPr>
            <w:tcW w:w="7063" w:type="dxa"/>
          </w:tcPr>
          <w:p>
            <w:pPr>
              <w:numPr>
                <w:ilvl w:val="0"/>
                <w:numId w:val="11"/>
              </w:numPr>
              <w:spacing w:line="380" w:lineRule="exact"/>
              <w:rPr>
                <w:rFonts w:ascii="宋体" w:hAnsi="宋体" w:cs="宋体"/>
                <w:color w:val="auto"/>
                <w:highlight w:val="none"/>
                <w:lang w:val="zh-CN"/>
              </w:rPr>
            </w:pPr>
            <w:r>
              <w:rPr>
                <w:rFonts w:hint="eastAsia" w:ascii="宋体" w:hAnsi="宋体" w:cs="宋体"/>
                <w:color w:val="auto"/>
                <w:highlight w:val="none"/>
              </w:rPr>
              <w:t>询问：根据委托代理协议约定，供应商询问由四川世科工程咨询有限公司</w:t>
            </w:r>
            <w:r>
              <w:rPr>
                <w:rFonts w:hint="eastAsia" w:ascii="宋体" w:hAnsi="宋体" w:cs="宋体"/>
                <w:color w:val="auto"/>
                <w:highlight w:val="none"/>
                <w:lang w:val="zh-CN"/>
              </w:rPr>
              <w:t>负责答复。</w:t>
            </w:r>
          </w:p>
          <w:p>
            <w:pPr>
              <w:numPr>
                <w:ilvl w:val="0"/>
                <w:numId w:val="11"/>
              </w:numPr>
              <w:spacing w:line="380" w:lineRule="exact"/>
              <w:rPr>
                <w:rFonts w:ascii="宋体" w:hAnsi="宋体" w:cs="宋体"/>
                <w:color w:val="auto"/>
                <w:highlight w:val="none"/>
                <w:lang w:val="zh-CN"/>
              </w:rPr>
            </w:pPr>
            <w:r>
              <w:rPr>
                <w:rFonts w:hint="eastAsia" w:ascii="宋体" w:hAnsi="宋体" w:cs="宋体"/>
                <w:color w:val="auto"/>
                <w:highlight w:val="none"/>
              </w:rPr>
              <w:t>质疑：根据委托代理协议约定，对于采购文件的质疑由四川世科工程咨询有限公司</w:t>
            </w:r>
            <w:r>
              <w:rPr>
                <w:rFonts w:hint="eastAsia" w:ascii="宋体" w:hAnsi="宋体" w:cs="宋体"/>
                <w:color w:val="auto"/>
                <w:highlight w:val="none"/>
                <w:lang w:val="zh-CN"/>
              </w:rPr>
              <w:t>负责答复；对于采购过程</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负责答复；对于采购结果</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w:t>
            </w:r>
            <w:r>
              <w:rPr>
                <w:rFonts w:hint="eastAsia" w:ascii="宋体" w:hAnsi="宋体" w:cs="宋体"/>
                <w:color w:val="auto"/>
                <w:highlight w:val="none"/>
              </w:rPr>
              <w:t>。</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联系人：</w:t>
            </w:r>
            <w:r>
              <w:rPr>
                <w:rFonts w:hint="eastAsia" w:ascii="宋体" w:hAnsi="宋体" w:cs="宋体"/>
                <w:color w:val="auto"/>
                <w:highlight w:val="none"/>
                <w:lang w:val="en-US" w:eastAsia="zh-CN"/>
              </w:rPr>
              <w:t>高</w:t>
            </w:r>
            <w:r>
              <w:rPr>
                <w:rFonts w:hint="eastAsia" w:ascii="宋体" w:hAnsi="宋体" w:cs="宋体"/>
                <w:color w:val="auto"/>
                <w:highlight w:val="none"/>
              </w:rPr>
              <w:t>老师</w:t>
            </w:r>
            <w:r>
              <w:rPr>
                <w:rFonts w:hint="eastAsia" w:ascii="宋体" w:hAnsi="宋体" w:cs="宋体"/>
                <w:color w:val="auto"/>
                <w:highlight w:val="none"/>
                <w:lang w:val="zh-CN"/>
              </w:rPr>
              <w:t>。</w:t>
            </w:r>
            <w:r>
              <w:rPr>
                <w:rFonts w:hint="eastAsia" w:ascii="宋体" w:hAnsi="宋体" w:cs="宋体"/>
                <w:color w:val="auto"/>
                <w:highlight w:val="none"/>
              </w:rPr>
              <w:t xml:space="preserve">   </w:t>
            </w:r>
            <w:r>
              <w:rPr>
                <w:rFonts w:hint="eastAsia" w:ascii="宋体" w:hAnsi="宋体" w:cs="宋体"/>
                <w:color w:val="auto"/>
                <w:highlight w:val="none"/>
                <w:lang w:val="zh-CN"/>
              </w:rPr>
              <w:t>联系电话：</w:t>
            </w:r>
            <w:r>
              <w:rPr>
                <w:rFonts w:hint="eastAsia" w:ascii="宋体" w:hAnsi="宋体" w:cs="宋体"/>
                <w:color w:val="auto"/>
                <w:highlight w:val="none"/>
              </w:rPr>
              <w:t>61032618</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地址：</w:t>
            </w:r>
            <w:r>
              <w:rPr>
                <w:rFonts w:hint="eastAsia" w:ascii="宋体" w:hAnsi="宋体" w:cs="宋体"/>
                <w:color w:val="auto"/>
                <w:highlight w:val="none"/>
              </w:rPr>
              <w:t>成都市高新区天府三街288号大有智慧广场迈普大厦10楼1010室</w:t>
            </w:r>
            <w:r>
              <w:rPr>
                <w:rFonts w:hint="eastAsia" w:ascii="宋体" w:hAnsi="宋体" w:cs="宋体"/>
                <w:color w:val="auto"/>
                <w:highlight w:val="none"/>
                <w:lang w:val="zh-CN"/>
              </w:rPr>
              <w:t>。</w:t>
            </w:r>
          </w:p>
          <w:p>
            <w:pPr>
              <w:spacing w:line="380" w:lineRule="exact"/>
              <w:rPr>
                <w:rFonts w:ascii="宋体" w:hAnsi="宋体" w:cs="宋体"/>
                <w:color w:val="auto"/>
                <w:highlight w:val="none"/>
                <w:lang w:val="zh-CN"/>
              </w:rPr>
            </w:pPr>
            <w:r>
              <w:rPr>
                <w:rFonts w:hint="eastAsia" w:ascii="宋体" w:hAnsi="宋体" w:cs="宋体"/>
                <w:color w:val="auto"/>
                <w:highlight w:val="none"/>
              </w:rPr>
              <w:t>邮编：610020</w:t>
            </w:r>
            <w:r>
              <w:rPr>
                <w:rFonts w:hint="eastAsia" w:ascii="宋体" w:hAnsi="宋体" w:cs="宋体"/>
                <w:color w:val="auto"/>
                <w:highlight w:val="none"/>
                <w:lang w:val="zh-CN"/>
              </w:rPr>
              <w:t>。</w:t>
            </w:r>
            <w:r>
              <w:rPr>
                <w:rFonts w:hint="eastAsia" w:ascii="宋体" w:hAnsi="宋体" w:cs="宋体"/>
                <w:color w:val="auto"/>
                <w:highlight w:val="none"/>
              </w:rPr>
              <w:t>注：根据《中华人民共和国政府采购法》的规定，供应商质疑不得超出采购文件、采购过程、采购结果的范围。</w:t>
            </w:r>
            <w:r>
              <w:rPr>
                <w:rFonts w:hint="eastAsia" w:ascii="宋体" w:hAnsi="宋体" w:cs="宋体"/>
                <w:color w:val="auto"/>
                <w:highlight w:val="none"/>
                <w:lang w:val="zh-CN"/>
              </w:rPr>
              <w:t>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33"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pStyle w:val="123"/>
              <w:spacing w:line="380" w:lineRule="exact"/>
              <w:jc w:val="center"/>
              <w:rPr>
                <w:color w:val="auto"/>
                <w:highlight w:val="none"/>
              </w:rPr>
            </w:pPr>
            <w:r>
              <w:rPr>
                <w:rFonts w:hint="eastAsia"/>
                <w:color w:val="auto"/>
                <w:kern w:val="2"/>
                <w:highlight w:val="none"/>
              </w:rPr>
              <w:t>供应商投诉</w:t>
            </w:r>
          </w:p>
        </w:tc>
        <w:tc>
          <w:tcPr>
            <w:tcW w:w="7063" w:type="dxa"/>
            <w:vAlign w:val="center"/>
          </w:tcPr>
          <w:p>
            <w:pPr>
              <w:spacing w:line="380" w:lineRule="exact"/>
              <w:jc w:val="both"/>
              <w:rPr>
                <w:rFonts w:hint="eastAsia" w:ascii="宋体" w:hAnsi="宋体" w:eastAsia="宋体" w:cs="宋体"/>
                <w:color w:val="auto"/>
                <w:highlight w:val="none"/>
                <w:lang w:val="en-US" w:eastAsia="zh-CN"/>
              </w:rPr>
            </w:pPr>
            <w:r>
              <w:rPr>
                <w:rFonts w:hint="eastAsia" w:ascii="宋体" w:hAnsi="宋体" w:cs="宋体"/>
                <w:color w:val="auto"/>
                <w:highlight w:val="none"/>
              </w:rPr>
              <w:t>投诉受理单位：本采购项目同级财政部门即</w:t>
            </w:r>
            <w:r>
              <w:rPr>
                <w:rFonts w:hint="eastAsia" w:ascii="宋体" w:hAnsi="宋体" w:cs="宋体"/>
                <w:color w:val="auto"/>
                <w:highlight w:val="none"/>
                <w:lang w:val="en-US" w:eastAsia="zh-CN"/>
              </w:rPr>
              <w:t>双流区</w:t>
            </w:r>
            <w:r>
              <w:rPr>
                <w:rFonts w:hint="eastAsia" w:ascii="宋体" w:hAnsi="宋体" w:cs="宋体"/>
                <w:color w:val="auto"/>
                <w:highlight w:val="none"/>
              </w:rPr>
              <w:t>财政局</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 xml:space="preserve"> 028</w:t>
            </w:r>
            <w:r>
              <w:rPr>
                <w:rFonts w:hint="eastAsia" w:ascii="宋体" w:hAnsi="宋体" w:cs="宋体"/>
                <w:color w:val="auto"/>
                <w:highlight w:val="none"/>
              </w:rPr>
              <w:t>-</w:t>
            </w:r>
            <w:r>
              <w:rPr>
                <w:rFonts w:hint="eastAsia" w:ascii="宋体" w:hAnsi="宋体" w:cs="宋体"/>
                <w:color w:val="auto"/>
                <w:highlight w:val="none"/>
                <w:lang w:val="en-US" w:eastAsia="zh-CN"/>
              </w:rPr>
              <w:t>85804726。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开标时递交的资料</w:t>
            </w:r>
          </w:p>
        </w:tc>
        <w:tc>
          <w:tcPr>
            <w:tcW w:w="7063" w:type="dxa"/>
            <w:vAlign w:val="center"/>
          </w:tcPr>
          <w:p>
            <w:pPr>
              <w:spacing w:line="360" w:lineRule="exact"/>
              <w:ind w:left="120" w:leftChars="50"/>
              <w:rPr>
                <w:color w:val="auto"/>
                <w:highlight w:val="none"/>
              </w:rPr>
            </w:pPr>
            <w:r>
              <w:rPr>
                <w:rFonts w:hint="eastAsia"/>
                <w:color w:val="auto"/>
                <w:highlight w:val="none"/>
              </w:rPr>
              <w:t>（1）资格性响应文件正本1份，副本2份；</w:t>
            </w:r>
          </w:p>
          <w:p>
            <w:pPr>
              <w:spacing w:line="360" w:lineRule="exact"/>
              <w:ind w:left="120" w:leftChars="50"/>
              <w:rPr>
                <w:color w:val="auto"/>
                <w:highlight w:val="none"/>
              </w:rPr>
            </w:pPr>
            <w:r>
              <w:rPr>
                <w:rFonts w:hint="eastAsia"/>
                <w:color w:val="auto"/>
                <w:highlight w:val="none"/>
              </w:rPr>
              <w:t>（2）技术、服务性响应文件正本1份，副本2份；</w:t>
            </w:r>
          </w:p>
          <w:p>
            <w:pPr>
              <w:pStyle w:val="2"/>
              <w:rPr>
                <w:color w:val="auto"/>
                <w:highlight w:val="none"/>
              </w:rPr>
            </w:pPr>
            <w:r>
              <w:rPr>
                <w:rFonts w:hint="eastAsia"/>
                <w:color w:val="auto"/>
                <w:highlight w:val="none"/>
              </w:rPr>
              <w:t>注：逾期送达或未按竞争性磋商文件要求密封的响应文件将被拒收。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300"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outlineLvl w:val="5"/>
              <w:rPr>
                <w:rFonts w:ascii="宋体" w:hAnsi="宋体" w:cs="宋体"/>
                <w:color w:val="auto"/>
                <w:highlight w:val="none"/>
              </w:rPr>
            </w:pPr>
            <w:r>
              <w:rPr>
                <w:rFonts w:hint="eastAsia" w:ascii="宋体" w:hAnsi="宋体" w:cs="宋体"/>
                <w:color w:val="auto"/>
                <w:highlight w:val="none"/>
                <w:lang w:val="zh-CN"/>
              </w:rPr>
              <w:t>代理服务费</w:t>
            </w:r>
          </w:p>
        </w:tc>
        <w:tc>
          <w:tcPr>
            <w:tcW w:w="7063" w:type="dxa"/>
            <w:vAlign w:val="center"/>
          </w:tcPr>
          <w:p>
            <w:pPr>
              <w:spacing w:line="360" w:lineRule="exact"/>
              <w:ind w:firstLine="240" w:firstLineChars="100"/>
              <w:outlineLvl w:val="5"/>
              <w:rPr>
                <w:rFonts w:ascii="宋体" w:hAnsi="宋体" w:cs="宋体"/>
                <w:color w:val="auto"/>
                <w:highlight w:val="none"/>
                <w:lang w:val="zh-CN"/>
              </w:rPr>
            </w:pPr>
            <w:r>
              <w:rPr>
                <w:rFonts w:hint="eastAsia" w:ascii="Times New Roman" w:hAnsi="宋体" w:cs="宋体"/>
                <w:color w:val="auto"/>
                <w:highlight w:val="none"/>
                <w:lang w:val="zh-CN"/>
              </w:rPr>
              <w:t>代理服务费</w:t>
            </w:r>
            <w:r>
              <w:rPr>
                <w:rFonts w:hint="eastAsia" w:ascii="Times New Roman" w:hAnsi="宋体" w:cs="宋体"/>
                <w:color w:val="auto"/>
                <w:highlight w:val="none"/>
                <w:lang w:val="en-US" w:eastAsia="zh-CN"/>
              </w:rPr>
              <w:t>参照</w:t>
            </w:r>
            <w:r>
              <w:rPr>
                <w:rFonts w:hint="eastAsia" w:ascii="Times New Roman" w:hAnsi="宋体" w:cs="宋体"/>
                <w:color w:val="auto"/>
                <w:highlight w:val="none"/>
                <w:lang w:val="zh-CN"/>
              </w:rPr>
              <w:t>国家计委《招标代理服务收费管理暂行办法》（计价格[2002]1980号）标准</w:t>
            </w:r>
            <w:r>
              <w:rPr>
                <w:rFonts w:hint="eastAsia" w:ascii="Times New Roman" w:hAnsi="宋体" w:cs="宋体"/>
                <w:color w:val="auto"/>
                <w:highlight w:val="none"/>
                <w:lang w:val="en-US" w:eastAsia="zh-CN"/>
              </w:rPr>
              <w:t>收取</w:t>
            </w:r>
            <w:r>
              <w:rPr>
                <w:rFonts w:hint="eastAsia" w:ascii="宋体" w:hAnsi="宋体" w:cs="宋体"/>
                <w:color w:val="auto"/>
                <w:highlight w:val="none"/>
                <w:lang w:val="zh-CN"/>
              </w:rPr>
              <w:t>，由</w:t>
            </w:r>
            <w:r>
              <w:rPr>
                <w:rFonts w:hint="eastAsia" w:hAnsi="宋体" w:cs="宋体"/>
                <w:color w:val="auto"/>
                <w:highlight w:val="none"/>
                <w:lang w:val="zh-CN"/>
              </w:rPr>
              <w:t>成交供应商</w:t>
            </w:r>
            <w:r>
              <w:rPr>
                <w:rFonts w:hint="eastAsia" w:ascii="宋体" w:hAnsi="宋体" w:cs="宋体"/>
                <w:color w:val="auto"/>
                <w:highlight w:val="none"/>
                <w:lang w:val="zh-CN"/>
              </w:rPr>
              <w:t>领取</w:t>
            </w:r>
            <w:r>
              <w:rPr>
                <w:rFonts w:hint="eastAsia" w:hAnsi="宋体" w:cs="宋体"/>
                <w:color w:val="auto"/>
                <w:highlight w:val="none"/>
                <w:lang w:val="zh-CN"/>
              </w:rPr>
              <w:t>成交</w:t>
            </w:r>
            <w:r>
              <w:rPr>
                <w:rFonts w:hint="eastAsia" w:ascii="宋体" w:hAnsi="宋体" w:cs="宋体"/>
                <w:color w:val="auto"/>
                <w:highlight w:val="none"/>
                <w:lang w:val="zh-CN"/>
              </w:rPr>
              <w:t>通知书</w:t>
            </w:r>
            <w:r>
              <w:rPr>
                <w:rFonts w:hint="eastAsia" w:ascii="宋体" w:hAnsi="宋体" w:cs="宋体"/>
                <w:color w:val="auto"/>
                <w:highlight w:val="none"/>
              </w:rPr>
              <w:t>前</w:t>
            </w:r>
            <w:r>
              <w:rPr>
                <w:rFonts w:hint="eastAsia" w:ascii="宋体" w:hAnsi="宋体" w:cs="宋体"/>
                <w:color w:val="auto"/>
                <w:highlight w:val="none"/>
                <w:lang w:val="zh-CN"/>
              </w:rPr>
              <w:t>支付。可采取现金支付或银行转账。银行转账相关信息如下：</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开户单位：四川世科工程咨询有限公司</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开户银行：中国建设银行股份有限公司双流分行</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银行帐号：5100 1527 9080 5152 8329</w:t>
            </w:r>
          </w:p>
          <w:p>
            <w:pPr>
              <w:spacing w:line="360" w:lineRule="exact"/>
              <w:ind w:firstLine="240" w:firstLineChars="100"/>
              <w:outlineLvl w:val="5"/>
              <w:rPr>
                <w:rFonts w:ascii="宋体" w:hAnsi="宋体" w:cs="宋体"/>
                <w:b/>
                <w:bCs/>
                <w:color w:val="auto"/>
                <w:highlight w:val="none"/>
                <w:lang w:val="zh-CN"/>
              </w:rPr>
            </w:pPr>
            <w:r>
              <w:rPr>
                <w:rFonts w:hint="eastAsia" w:ascii="宋体" w:hAnsi="宋体" w:cs="宋体"/>
                <w:color w:val="auto"/>
                <w:highlight w:val="none"/>
                <w:lang w:val="zh-CN"/>
              </w:rPr>
              <w:t>转账事由：</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510122202100085</w:t>
            </w:r>
            <w:r>
              <w:rPr>
                <w:rFonts w:hint="eastAsia" w:ascii="宋体" w:hAnsi="宋体" w:cs="宋体"/>
                <w:color w:val="auto"/>
                <w:highlight w:val="none"/>
                <w:lang w:val="zh-CN"/>
              </w:rPr>
              <w:t>项目成交服务费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300"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outlineLvl w:val="5"/>
              <w:rPr>
                <w:rFonts w:ascii="宋体" w:hAnsi="宋体" w:cs="宋体"/>
                <w:color w:val="auto"/>
                <w:highlight w:val="none"/>
                <w:lang w:val="zh-CN"/>
              </w:rPr>
            </w:pPr>
            <w:r>
              <w:rPr>
                <w:rFonts w:hint="eastAsia" w:ascii="宋体" w:hAnsi="宋体" w:cs="宋体"/>
                <w:color w:val="auto"/>
                <w:highlight w:val="none"/>
                <w:lang w:val="zh-CN"/>
              </w:rPr>
              <w:t>信用融资</w:t>
            </w:r>
          </w:p>
        </w:tc>
        <w:tc>
          <w:tcPr>
            <w:tcW w:w="7063" w:type="dxa"/>
            <w:vAlign w:val="center"/>
          </w:tcPr>
          <w:p>
            <w:pPr>
              <w:spacing w:line="360" w:lineRule="exact"/>
              <w:outlineLvl w:val="5"/>
              <w:rPr>
                <w:rFonts w:ascii="宋体" w:hAnsi="宋体" w:cs="宋体"/>
                <w:color w:val="auto"/>
                <w:highlight w:val="none"/>
                <w:lang w:val="zh-CN"/>
              </w:rPr>
            </w:pPr>
            <w:r>
              <w:rPr>
                <w:rFonts w:hint="eastAsia" w:ascii="宋体" w:hAnsi="宋体" w:cs="宋体"/>
                <w:szCs w:val="32"/>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双流区银行机构名单如下：1.成都银行双流支行2.中国建设银行双流分行3.交通银行双流分行4.中国农业银行双流支行5.成都农商银行双流支行6.中国银行双流分行7.上海银行成都双流支行8.浙商银行成都双流支行9.中国工商银行成都双流支行10.中国邮政储蓄银行成都双流支行。</w:t>
            </w:r>
          </w:p>
        </w:tc>
      </w:tr>
    </w:tbl>
    <w:p>
      <w:pPr>
        <w:pStyle w:val="4"/>
        <w:rPr>
          <w:color w:val="auto"/>
          <w:sz w:val="24"/>
          <w:szCs w:val="24"/>
          <w:highlight w:val="none"/>
        </w:rPr>
      </w:pPr>
      <w:bookmarkStart w:id="15" w:name="_Toc20213"/>
      <w:r>
        <w:rPr>
          <w:rFonts w:hint="eastAsia"/>
          <w:color w:val="auto"/>
          <w:sz w:val="24"/>
          <w:szCs w:val="24"/>
          <w:highlight w:val="none"/>
        </w:rPr>
        <w:t>适用范围</w:t>
      </w:r>
      <w:bookmarkEnd w:id="11"/>
      <w:bookmarkEnd w:id="12"/>
      <w:bookmarkEnd w:id="15"/>
    </w:p>
    <w:p>
      <w:pPr>
        <w:widowControl w:val="0"/>
        <w:tabs>
          <w:tab w:val="left" w:pos="113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本竞争性磋商文件仅适用于本竞争性磋商邀请中所叙述项目的采购。</w:t>
      </w:r>
    </w:p>
    <w:p>
      <w:pPr>
        <w:pStyle w:val="4"/>
        <w:rPr>
          <w:color w:val="auto"/>
          <w:sz w:val="24"/>
          <w:szCs w:val="24"/>
          <w:highlight w:val="none"/>
        </w:rPr>
      </w:pPr>
      <w:bookmarkStart w:id="16" w:name="_Toc23464"/>
      <w:bookmarkStart w:id="17" w:name="_Toc287623639"/>
      <w:r>
        <w:rPr>
          <w:rFonts w:hint="eastAsia"/>
          <w:color w:val="auto"/>
          <w:sz w:val="24"/>
          <w:szCs w:val="24"/>
          <w:highlight w:val="none"/>
        </w:rPr>
        <w:t>定义</w:t>
      </w:r>
      <w:bookmarkEnd w:id="16"/>
      <w:bookmarkEnd w:id="17"/>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“采购人”、“甲方”系指依法进行政府采购的国家机关、事业单位、团体组织。本次竞争性磋商的采购人是</w:t>
      </w:r>
      <w:r>
        <w:rPr>
          <w:rFonts w:hint="eastAsia" w:ascii="宋体" w:hAnsi="宋体" w:cs="宋体"/>
          <w:b/>
          <w:bCs/>
          <w:color w:val="auto"/>
          <w:highlight w:val="none"/>
          <w:u w:val="single"/>
          <w:lang w:eastAsia="zh-CN"/>
        </w:rPr>
        <w:t>成都市双流区文化馆</w:t>
      </w:r>
      <w:r>
        <w:rPr>
          <w:rFonts w:hint="eastAsia" w:ascii="宋体" w:hAnsi="宋体" w:cs="宋体"/>
          <w:color w:val="auto"/>
          <w:highlight w:val="none"/>
        </w:rPr>
        <w:t>。</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“采购代理机构” 系指根据采购人的委托依法办理竞争性磋商事宜的采购机构。本次竞争性磋商的采购代理机构是</w:t>
      </w:r>
      <w:r>
        <w:rPr>
          <w:rFonts w:hint="eastAsia" w:ascii="宋体" w:hAnsi="宋体" w:cs="宋体"/>
          <w:b/>
          <w:bCs/>
          <w:color w:val="auto"/>
          <w:highlight w:val="none"/>
          <w:u w:val="single"/>
        </w:rPr>
        <w:t>四川世科工程咨询有限公司</w:t>
      </w:r>
      <w:r>
        <w:rPr>
          <w:rFonts w:hint="eastAsia" w:ascii="宋体" w:hAnsi="宋体" w:cs="宋体"/>
          <w:color w:val="auto"/>
          <w:highlight w:val="none"/>
        </w:rPr>
        <w:t>。</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“采购单位”系指“采购人”和“采购代理机构”的统称。</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“磋商供应商”系指购买了竞争性磋商文件拟参加磋商和向采购人提供货物及相应服务的供应商，“乙方”系指成交的供应商。</w:t>
      </w:r>
    </w:p>
    <w:p>
      <w:pPr>
        <w:pStyle w:val="4"/>
        <w:rPr>
          <w:color w:val="auto"/>
          <w:sz w:val="24"/>
          <w:szCs w:val="24"/>
          <w:highlight w:val="none"/>
        </w:rPr>
      </w:pPr>
      <w:bookmarkStart w:id="18" w:name="_Toc22305"/>
      <w:r>
        <w:rPr>
          <w:rFonts w:hint="eastAsia"/>
          <w:color w:val="auto"/>
          <w:sz w:val="24"/>
          <w:szCs w:val="24"/>
          <w:highlight w:val="none"/>
        </w:rPr>
        <w:t>合格供应商的条件（实质性要求）</w:t>
      </w:r>
      <w:bookmarkEnd w:id="18"/>
    </w:p>
    <w:p>
      <w:pPr>
        <w:numPr>
          <w:ilvl w:val="0"/>
          <w:numId w:val="13"/>
        </w:numPr>
        <w:spacing w:line="360" w:lineRule="auto"/>
        <w:ind w:firstLine="480" w:firstLineChars="200"/>
        <w:rPr>
          <w:rFonts w:ascii="宋体" w:hAnsi="宋体" w:cs="宋体"/>
          <w:color w:val="auto"/>
          <w:sz w:val="24"/>
          <w:szCs w:val="24"/>
          <w:highlight w:val="none"/>
        </w:rPr>
      </w:pPr>
      <w:bookmarkStart w:id="19" w:name="_Toc320698717"/>
      <w:r>
        <w:rPr>
          <w:rFonts w:hint="eastAsia" w:ascii="宋体" w:hAnsi="宋体" w:cs="宋体"/>
          <w:color w:val="auto"/>
          <w:sz w:val="24"/>
          <w:szCs w:val="24"/>
          <w:highlight w:val="none"/>
        </w:rPr>
        <w:t>本竞争性磋商文件规定的供应商资格条件；</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向采购代理机构购买了竞争性磋商文件并登记备案；（由代理机构向磋商小组提供供应商购买磋商文件情况表）</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遵守国家有关的法律、法规、规章和其他政策制度；</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竞争性磋商文件和法律、行政法规规定的其他条件。</w:t>
      </w:r>
    </w:p>
    <w:p>
      <w:pPr>
        <w:pStyle w:val="4"/>
        <w:rPr>
          <w:color w:val="auto"/>
          <w:sz w:val="24"/>
          <w:szCs w:val="24"/>
          <w:highlight w:val="none"/>
        </w:rPr>
      </w:pPr>
      <w:bookmarkStart w:id="20" w:name="_Toc22447"/>
      <w:r>
        <w:rPr>
          <w:rFonts w:hint="eastAsia"/>
          <w:color w:val="auto"/>
          <w:sz w:val="24"/>
          <w:szCs w:val="24"/>
          <w:highlight w:val="none"/>
        </w:rPr>
        <w:t>拒绝参加本次采购活动的供应商</w:t>
      </w:r>
      <w:bookmarkEnd w:id="20"/>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  根据《关于在政府采购活动中查询及使用信用记录有关问题的通知》（财库〔2016〕125号）的要求，</w:t>
      </w:r>
      <w:r>
        <w:rPr>
          <w:rFonts w:hint="eastAsia" w:ascii="宋体" w:hAnsi="宋体" w:cs="宋体"/>
          <w:b/>
          <w:bCs/>
          <w:color w:val="auto"/>
          <w:highlight w:val="none"/>
        </w:rPr>
        <w:t>本代理机构将通过“信用中国”网站（www.creditchina.gov.cn）、“中国政府采购网”（http://www.ccgp.gov.cn/）等渠道查询供应商在报名之日前的信用记录</w:t>
      </w:r>
      <w:r>
        <w:rPr>
          <w:rFonts w:hint="eastAsia" w:ascii="宋体" w:hAnsi="宋体" w:cs="宋体"/>
          <w:color w:val="auto"/>
          <w:highlight w:val="none"/>
        </w:rPr>
        <w:t xml:space="preserve">。拒绝列入失信被执行人、重大税收违法案件当事人名单、政府采购严重违法失信行为记录名单中的供应商参加本项目的采购活动。若因供应商为事业单位、团体组织、自然人等原因，在“信用中国”网站等渠道未查询到信息的，视为未被列入失信记录。 </w:t>
      </w:r>
    </w:p>
    <w:bookmarkEnd w:id="19"/>
    <w:p>
      <w:pPr>
        <w:pStyle w:val="4"/>
        <w:rPr>
          <w:color w:val="auto"/>
          <w:highlight w:val="none"/>
        </w:rPr>
      </w:pPr>
      <w:bookmarkStart w:id="21" w:name="_Toc13832"/>
      <w:bookmarkStart w:id="22" w:name="_Toc287623640"/>
      <w:r>
        <w:rPr>
          <w:rFonts w:hint="eastAsia"/>
          <w:color w:val="auto"/>
          <w:highlight w:val="none"/>
        </w:rPr>
        <w:t>充分、公平竞争保障措施（实质性要求）</w:t>
      </w:r>
      <w:bookmarkEnd w:id="21"/>
    </w:p>
    <w:p>
      <w:pPr>
        <w:numPr>
          <w:ilvl w:val="0"/>
          <w:numId w:val="1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总公司、分公司不能以不同的供应商身份同时参加磋商。</w:t>
      </w:r>
    </w:p>
    <w:p>
      <w:pPr>
        <w:numPr>
          <w:ilvl w:val="0"/>
          <w:numId w:val="1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单位负责人为同一人或者存在直接控股、管理关系的不同供应商，不得同时参加本项目的磋商。为采购项目提供前期代理服务的供应商，不得再参与该采购项目的磋商。出现前述情况的单位的磋商均按无效磋商处理。</w:t>
      </w:r>
    </w:p>
    <w:p>
      <w:pPr>
        <w:numPr>
          <w:ilvl w:val="0"/>
          <w:numId w:val="14"/>
        </w:numPr>
        <w:spacing w:line="360" w:lineRule="auto"/>
        <w:ind w:firstLine="480" w:firstLineChars="200"/>
        <w:rPr>
          <w:color w:val="auto"/>
          <w:highlight w:val="none"/>
        </w:rPr>
      </w:pPr>
      <w:r>
        <w:rPr>
          <w:rFonts w:hint="eastAsia" w:ascii="宋体" w:hAnsi="宋体" w:cs="宋体"/>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numPr>
          <w:ilvl w:val="0"/>
          <w:numId w:val="14"/>
        </w:numPr>
        <w:spacing w:line="360" w:lineRule="auto"/>
        <w:ind w:firstLine="480" w:firstLineChars="200"/>
        <w:rPr>
          <w:color w:val="auto"/>
          <w:highlight w:val="none"/>
        </w:rPr>
      </w:pPr>
      <w:r>
        <w:rPr>
          <w:rFonts w:hint="eastAsia" w:ascii="宋体" w:hAnsi="宋体" w:cs="宋体"/>
          <w:color w:val="auto"/>
          <w:highlight w:val="none"/>
        </w:rPr>
        <w:t>2家以上的供应商不得在同一合同项下的采购项目中，同时委托同一个自然人、同一家庭的人员、同一单位的人员作为其代理人，否则，其响应文件作</w:t>
      </w:r>
      <w:r>
        <w:rPr>
          <w:rFonts w:hint="eastAsia" w:ascii="宋体" w:hAnsi="宋体" w:cs="宋体"/>
          <w:color w:val="auto"/>
          <w:highlight w:val="none"/>
          <w:lang w:val="en-US" w:eastAsia="zh-CN"/>
        </w:rPr>
        <w:t xml:space="preserve"> </w:t>
      </w:r>
      <w:r>
        <w:rPr>
          <w:rFonts w:hint="eastAsia" w:ascii="宋体" w:hAnsi="宋体" w:cs="宋体"/>
          <w:color w:val="auto"/>
          <w:highlight w:val="none"/>
        </w:rPr>
        <w:t>为无效处理。</w:t>
      </w:r>
    </w:p>
    <w:p>
      <w:pPr>
        <w:pStyle w:val="4"/>
        <w:rPr>
          <w:color w:val="auto"/>
          <w:highlight w:val="none"/>
        </w:rPr>
      </w:pPr>
      <w:bookmarkStart w:id="23" w:name="_Toc4130"/>
      <w:r>
        <w:rPr>
          <w:rFonts w:hint="eastAsia"/>
          <w:color w:val="auto"/>
          <w:highlight w:val="none"/>
        </w:rPr>
        <w:t>竞争性磋商采购费用</w:t>
      </w:r>
      <w:bookmarkEnd w:id="22"/>
      <w:bookmarkEnd w:id="23"/>
    </w:p>
    <w:p>
      <w:pPr>
        <w:tabs>
          <w:tab w:val="left" w:pos="766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无论磋商采购的结果如何，供应商自行承担所有与参加竞争性磋商采购活动有关的全部费用。</w:t>
      </w:r>
    </w:p>
    <w:p>
      <w:pPr>
        <w:pStyle w:val="4"/>
        <w:rPr>
          <w:color w:val="auto"/>
          <w:highlight w:val="none"/>
        </w:rPr>
      </w:pPr>
      <w:bookmarkStart w:id="24" w:name="_Toc8915"/>
      <w:bookmarkStart w:id="25" w:name="_Toc320698720"/>
      <w:r>
        <w:rPr>
          <w:rFonts w:hint="eastAsia"/>
          <w:color w:val="auto"/>
          <w:highlight w:val="none"/>
        </w:rPr>
        <w:t>响应文件</w:t>
      </w:r>
      <w:bookmarkEnd w:id="24"/>
      <w:bookmarkEnd w:id="25"/>
    </w:p>
    <w:p>
      <w:pPr>
        <w:pStyle w:val="5"/>
        <w:ind w:left="80" w:leftChars="0" w:firstLine="482" w:firstLineChars="0"/>
        <w:rPr>
          <w:rFonts w:cs="宋体"/>
          <w:color w:val="auto"/>
          <w:szCs w:val="24"/>
          <w:highlight w:val="none"/>
        </w:rPr>
      </w:pPr>
      <w:bookmarkStart w:id="26" w:name="_Toc320698721"/>
      <w:r>
        <w:rPr>
          <w:rFonts w:hint="eastAsia" w:cs="宋体"/>
          <w:color w:val="auto"/>
          <w:szCs w:val="24"/>
          <w:highlight w:val="none"/>
        </w:rPr>
        <w:t>响应文件的语言</w:t>
      </w:r>
      <w:bookmarkEnd w:id="26"/>
      <w:r>
        <w:rPr>
          <w:rFonts w:hint="eastAsia" w:cs="宋体"/>
          <w:color w:val="auto"/>
          <w:szCs w:val="24"/>
          <w:highlight w:val="none"/>
        </w:rPr>
        <w:t>、计量单位</w:t>
      </w:r>
      <w:r>
        <w:rPr>
          <w:rFonts w:hint="eastAsia"/>
          <w:color w:val="auto"/>
          <w:highlight w:val="none"/>
        </w:rPr>
        <w:t>（实质性要求）</w:t>
      </w:r>
    </w:p>
    <w:p>
      <w:pPr>
        <w:widowControl w:val="0"/>
        <w:numPr>
          <w:ilvl w:val="0"/>
          <w:numId w:val="1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提交的响应文件以及供应商与四川世科工程咨询有限公司就有关竞争性磋商采购活动的所有来往书面文件均须使用中文，响应文件中所附或引用的外文资料，应翻译成中文（说明：供应商的法定代表人为外籍人士的，则法定代表人的签字和护照除外。）。</w:t>
      </w:r>
    </w:p>
    <w:p>
      <w:pPr>
        <w:widowControl w:val="0"/>
        <w:numPr>
          <w:ilvl w:val="0"/>
          <w:numId w:val="15"/>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对不同文字文本响应文件的解释发生异议的，以中文文本为准。若供应商响应文件中提供的外文资料未翻译成中文，则磋商小组可将其视为无效材料。</w:t>
      </w:r>
    </w:p>
    <w:p>
      <w:pPr>
        <w:widowControl w:val="0"/>
        <w:numPr>
          <w:ilvl w:val="0"/>
          <w:numId w:val="15"/>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除技术参数及要求中另有规定外，计量单位均采用国家法定的计量单位。</w:t>
      </w:r>
    </w:p>
    <w:p>
      <w:pPr>
        <w:pStyle w:val="5"/>
        <w:ind w:left="80" w:leftChars="0" w:firstLine="482" w:firstLineChars="0"/>
        <w:rPr>
          <w:rFonts w:cs="宋体"/>
          <w:color w:val="auto"/>
          <w:szCs w:val="24"/>
          <w:highlight w:val="none"/>
        </w:rPr>
      </w:pPr>
      <w:bookmarkStart w:id="27" w:name="_Toc320698722"/>
      <w:r>
        <w:rPr>
          <w:rFonts w:hint="eastAsia" w:cs="宋体"/>
          <w:color w:val="auto"/>
          <w:szCs w:val="24"/>
          <w:highlight w:val="none"/>
        </w:rPr>
        <w:t>报价货币</w:t>
      </w:r>
      <w:bookmarkEnd w:id="27"/>
      <w:r>
        <w:rPr>
          <w:rFonts w:hint="eastAsia"/>
          <w:color w:val="auto"/>
          <w:highlight w:val="none"/>
        </w:rPr>
        <w:t>（实质性要求）</w:t>
      </w:r>
    </w:p>
    <w:p>
      <w:pPr>
        <w:spacing w:line="400" w:lineRule="exact"/>
        <w:ind w:firstLine="468" w:firstLineChars="195"/>
        <w:rPr>
          <w:rFonts w:ascii="宋体" w:hAnsi="宋体"/>
          <w:bCs/>
          <w:color w:val="auto"/>
          <w:highlight w:val="none"/>
        </w:rPr>
      </w:pPr>
      <w:bookmarkStart w:id="28" w:name="_Toc320698723"/>
      <w:r>
        <w:rPr>
          <w:rFonts w:hint="eastAsia" w:ascii="宋体" w:hAnsi="宋体"/>
          <w:bCs/>
          <w:color w:val="auto"/>
          <w:highlight w:val="none"/>
        </w:rPr>
        <w:t>本次磋商项目的</w:t>
      </w:r>
      <w:r>
        <w:rPr>
          <w:rFonts w:hint="eastAsia" w:ascii="宋体" w:hAnsi="宋体"/>
          <w:color w:val="auto"/>
          <w:highlight w:val="none"/>
        </w:rPr>
        <w:t>报价货币为</w:t>
      </w:r>
      <w:r>
        <w:rPr>
          <w:rFonts w:hint="eastAsia" w:ascii="宋体" w:hAnsi="宋体"/>
          <w:bCs/>
          <w:color w:val="auto"/>
          <w:highlight w:val="none"/>
        </w:rPr>
        <w:t>人民币，报价以磋商文件规定为准。</w:t>
      </w:r>
    </w:p>
    <w:p>
      <w:pPr>
        <w:pStyle w:val="5"/>
        <w:ind w:left="80" w:leftChars="0" w:firstLine="482" w:firstLineChars="0"/>
        <w:rPr>
          <w:rFonts w:cs="宋体"/>
          <w:color w:val="auto"/>
          <w:szCs w:val="24"/>
          <w:highlight w:val="none"/>
        </w:rPr>
      </w:pPr>
      <w:r>
        <w:rPr>
          <w:rFonts w:hint="eastAsia" w:cs="宋体"/>
          <w:color w:val="auto"/>
          <w:szCs w:val="24"/>
          <w:highlight w:val="none"/>
        </w:rPr>
        <w:t>知识产权</w:t>
      </w:r>
      <w:r>
        <w:rPr>
          <w:rFonts w:hint="eastAsia"/>
          <w:color w:val="auto"/>
          <w:highlight w:val="none"/>
        </w:rPr>
        <w:t>（实质性要求）</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如采用供应商所不拥有的知识产权的产品，则在报价中必须包括合法获取该知识产权的相关费用。 </w:t>
      </w:r>
    </w:p>
    <w:p>
      <w:pPr>
        <w:pStyle w:val="5"/>
        <w:ind w:left="80" w:leftChars="0" w:firstLine="482" w:firstLineChars="0"/>
        <w:rPr>
          <w:rFonts w:cs="宋体"/>
          <w:color w:val="auto"/>
          <w:szCs w:val="24"/>
          <w:highlight w:val="none"/>
        </w:rPr>
      </w:pPr>
      <w:r>
        <w:rPr>
          <w:rFonts w:hint="eastAsia" w:cs="宋体"/>
          <w:color w:val="auto"/>
          <w:szCs w:val="24"/>
          <w:highlight w:val="none"/>
        </w:rPr>
        <w:t>联合体</w:t>
      </w:r>
      <w:bookmarkEnd w:id="28"/>
      <w:r>
        <w:rPr>
          <w:rFonts w:hint="eastAsia" w:cs="宋体"/>
          <w:color w:val="auto"/>
          <w:szCs w:val="24"/>
          <w:highlight w:val="none"/>
        </w:rPr>
        <w:t>（实质性要求）</w:t>
      </w:r>
    </w:p>
    <w:p>
      <w:pPr>
        <w:widowControl w:val="0"/>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本次政府采购活动</w:t>
      </w:r>
      <w:r>
        <w:rPr>
          <w:rFonts w:hint="eastAsia" w:ascii="宋体" w:hAnsi="宋体" w:cs="宋体"/>
          <w:b/>
          <w:color w:val="auto"/>
          <w:highlight w:val="none"/>
        </w:rPr>
        <w:t>不接受</w:t>
      </w:r>
      <w:r>
        <w:rPr>
          <w:rFonts w:hint="eastAsia" w:ascii="宋体" w:hAnsi="宋体" w:cs="宋体"/>
          <w:color w:val="auto"/>
          <w:highlight w:val="none"/>
        </w:rPr>
        <w:t>供应商以联合体的形式参加磋商。</w:t>
      </w:r>
    </w:p>
    <w:p>
      <w:pPr>
        <w:pStyle w:val="5"/>
        <w:ind w:left="80" w:leftChars="0" w:firstLine="482" w:firstLineChars="0"/>
        <w:rPr>
          <w:rFonts w:cs="宋体"/>
          <w:color w:val="auto"/>
          <w:szCs w:val="24"/>
          <w:highlight w:val="none"/>
        </w:rPr>
      </w:pPr>
      <w:bookmarkStart w:id="29" w:name="_Toc320698724"/>
      <w:r>
        <w:rPr>
          <w:rFonts w:hint="eastAsia" w:cs="宋体"/>
          <w:color w:val="auto"/>
          <w:szCs w:val="24"/>
          <w:highlight w:val="none"/>
        </w:rPr>
        <w:t>响应文件的组成</w:t>
      </w:r>
      <w:bookmarkEnd w:id="29"/>
      <w:bookmarkStart w:id="30" w:name="_Toc320698725"/>
      <w:r>
        <w:rPr>
          <w:rFonts w:hint="eastAsia" w:cs="宋体"/>
          <w:color w:val="auto"/>
          <w:szCs w:val="24"/>
          <w:highlight w:val="none"/>
        </w:rPr>
        <w:t>（实质性要求）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一、资格性响应文件：用于磋商小组资格性审查；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二、技术、服务性响应文件：用于供应商与磋商小组磋商；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三、最后报价（最后报价格式由磋商小组提供）。</w:t>
      </w:r>
    </w:p>
    <w:p>
      <w:pPr>
        <w:pStyle w:val="5"/>
        <w:numPr>
          <w:ilvl w:val="3"/>
          <w:numId w:val="1"/>
        </w:numPr>
        <w:ind w:left="0" w:firstLine="482"/>
        <w:rPr>
          <w:rFonts w:cs="宋体"/>
          <w:color w:val="auto"/>
          <w:szCs w:val="24"/>
          <w:highlight w:val="none"/>
        </w:rPr>
      </w:pPr>
      <w:r>
        <w:rPr>
          <w:rFonts w:hint="eastAsia" w:cs="宋体"/>
          <w:color w:val="auto"/>
          <w:szCs w:val="24"/>
          <w:highlight w:val="none"/>
        </w:rPr>
        <w:t>资格性响应文件</w:t>
      </w:r>
      <w:bookmarkEnd w:id="30"/>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关于供应商资格声明的函；</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具有独立承担民事责任的能力证明材料；</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健全的财务会计制度的证明材料；</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供应商依法缴纳税收的证明材料；</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供应商依法缴纳社会保障资金的证明材料；</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承诺函；</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eastAsia="宋体" w:cs="宋体"/>
          <w:sz w:val="24"/>
          <w:szCs w:val="24"/>
          <w:highlight w:val="none"/>
          <w:lang w:eastAsia="zh-CN"/>
        </w:rPr>
        <w:t>营业性演出许可证</w:t>
      </w:r>
      <w:r>
        <w:rPr>
          <w:rFonts w:hint="eastAsia" w:ascii="宋体" w:hAnsi="宋体" w:cs="宋体"/>
          <w:sz w:val="24"/>
          <w:szCs w:val="24"/>
          <w:highlight w:val="none"/>
          <w:lang w:val="en-US" w:eastAsia="zh-CN"/>
        </w:rPr>
        <w:t>复印件；</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中小企业声明函</w:t>
      </w:r>
      <w:r>
        <w:rPr>
          <w:rFonts w:hint="eastAsia" w:ascii="宋体" w:hAnsi="宋体" w:cs="宋体"/>
          <w:color w:val="auto"/>
          <w:sz w:val="24"/>
          <w:szCs w:val="24"/>
          <w:highlight w:val="none"/>
          <w:lang w:eastAsia="zh-CN"/>
        </w:rPr>
        <w:t>；</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残疾人福利性单位声明函</w:t>
      </w:r>
      <w:r>
        <w:rPr>
          <w:rFonts w:hint="eastAsia" w:ascii="宋体" w:hAnsi="宋体" w:cs="宋体"/>
          <w:color w:val="auto"/>
          <w:sz w:val="24"/>
          <w:szCs w:val="24"/>
          <w:highlight w:val="none"/>
          <w:lang w:eastAsia="zh-CN"/>
        </w:rPr>
        <w:t>；</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法定代表人身份证明书；</w:t>
      </w:r>
    </w:p>
    <w:p>
      <w:pPr>
        <w:pStyle w:val="169"/>
        <w:numPr>
          <w:ilvl w:val="0"/>
          <w:numId w:val="17"/>
        </w:numPr>
        <w:tabs>
          <w:tab w:val="left" w:pos="1134"/>
        </w:tabs>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法定代表人授权书原件；（响应文件均由供应商法定代表人签字的可不提供）。</w:t>
      </w:r>
    </w:p>
    <w:p>
      <w:pPr>
        <w:pStyle w:val="5"/>
        <w:numPr>
          <w:ilvl w:val="3"/>
          <w:numId w:val="1"/>
        </w:numPr>
        <w:ind w:left="0" w:firstLine="482"/>
        <w:rPr>
          <w:rFonts w:cs="宋体"/>
          <w:color w:val="auto"/>
          <w:szCs w:val="24"/>
          <w:highlight w:val="none"/>
        </w:rPr>
      </w:pPr>
      <w:bookmarkStart w:id="31" w:name="_Toc320698726"/>
      <w:r>
        <w:rPr>
          <w:rFonts w:hint="eastAsia" w:cs="宋体"/>
          <w:color w:val="auto"/>
          <w:szCs w:val="24"/>
          <w:highlight w:val="none"/>
        </w:rPr>
        <w:t>技术、服务性响应文件</w:t>
      </w:r>
      <w:bookmarkEnd w:id="31"/>
    </w:p>
    <w:p>
      <w:pPr>
        <w:pStyle w:val="2"/>
        <w:numPr>
          <w:ilvl w:val="0"/>
          <w:numId w:val="18"/>
        </w:numPr>
        <w:tabs>
          <w:tab w:val="left" w:pos="1134"/>
        </w:tabs>
        <w:spacing w:after="0" w:line="360" w:lineRule="auto"/>
        <w:ind w:firstLine="480" w:firstLineChars="200"/>
        <w:rPr>
          <w:rFonts w:ascii="宋体" w:hAnsi="宋体" w:cs="宋体"/>
          <w:bCs/>
          <w:color w:val="auto"/>
          <w:highlight w:val="none"/>
        </w:rPr>
      </w:pPr>
      <w:bookmarkStart w:id="32" w:name="_Toc320698727"/>
      <w:r>
        <w:rPr>
          <w:rFonts w:hint="eastAsia" w:ascii="宋体" w:hAnsi="宋体" w:cs="宋体"/>
          <w:color w:val="auto"/>
          <w:highlight w:val="none"/>
        </w:rPr>
        <w:t>报价书</w:t>
      </w:r>
      <w:r>
        <w:rPr>
          <w:rFonts w:hint="eastAsia" w:ascii="宋体" w:hAnsi="宋体" w:cs="宋体"/>
          <w:bCs/>
          <w:color w:val="auto"/>
          <w:highlight w:val="none"/>
        </w:rPr>
        <w:t>；</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商务、</w:t>
      </w:r>
      <w:r>
        <w:rPr>
          <w:rFonts w:hint="eastAsia" w:ascii="宋体" w:hAnsi="宋体" w:cs="宋体"/>
          <w:color w:val="auto"/>
          <w:highlight w:val="none"/>
          <w:lang w:val="en-US" w:eastAsia="zh-CN"/>
        </w:rPr>
        <w:t>技术</w:t>
      </w:r>
      <w:r>
        <w:rPr>
          <w:rFonts w:hint="eastAsia" w:ascii="宋体" w:hAnsi="宋体" w:cs="宋体"/>
          <w:color w:val="auto"/>
          <w:highlight w:val="none"/>
        </w:rPr>
        <w:t>条款偏离表</w:t>
      </w:r>
      <w:r>
        <w:rPr>
          <w:rFonts w:hint="eastAsia" w:ascii="宋体" w:hAnsi="宋体" w:cs="宋体"/>
          <w:bCs/>
          <w:color w:val="auto"/>
          <w:highlight w:val="none"/>
        </w:rPr>
        <w:t>；</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方案</w:t>
      </w:r>
      <w:r>
        <w:rPr>
          <w:rFonts w:hint="eastAsia" w:ascii="宋体" w:hAnsi="宋体" w:cs="宋体"/>
          <w:color w:val="auto"/>
          <w:highlight w:val="none"/>
        </w:rPr>
        <w:t>；</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bCs/>
          <w:color w:val="auto"/>
          <w:highlight w:val="none"/>
        </w:rPr>
        <w:t>报价表；</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业绩一览表；</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磋商供应商认为需要提供的文件和资料（如有）。</w:t>
      </w:r>
    </w:p>
    <w:p>
      <w:pPr>
        <w:pStyle w:val="5"/>
        <w:numPr>
          <w:ilvl w:val="3"/>
          <w:numId w:val="1"/>
        </w:numPr>
        <w:ind w:left="0" w:firstLine="482"/>
        <w:rPr>
          <w:rFonts w:cs="宋体"/>
          <w:color w:val="auto"/>
          <w:szCs w:val="24"/>
          <w:highlight w:val="none"/>
        </w:rPr>
      </w:pPr>
      <w:r>
        <w:rPr>
          <w:rFonts w:hint="eastAsia" w:cs="宋体"/>
          <w:color w:val="auto"/>
          <w:szCs w:val="24"/>
          <w:highlight w:val="none"/>
        </w:rPr>
        <w:t>最后报价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结束后，磋商小组应当要求不少于三家(符合《财政部关于政府采购竞争性磋商采购方式管理暂行办法有关问题的补充通知》财库【2015】124号文要求的除外)的供应商在规定时间内提交最后报价，最后报价是供应商响应文件的有效组成部分。</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报价由供应商填写“最后报价”（表格由磋商小组提供），经供应商法定代表人或代理人签字后密封递交给四川世科工程咨询有限公司工作人员，由其收集齐后集中递交磋商小组。</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有效报价应符合下列条件：</w:t>
      </w:r>
      <w:r>
        <w:rPr>
          <w:rFonts w:hint="eastAsia" w:ascii="宋体" w:hAnsi="宋体" w:cs="宋体"/>
          <w:b/>
          <w:bCs/>
          <w:color w:val="auto"/>
          <w:highlight w:val="none"/>
        </w:rPr>
        <w:t>（实质性要求）</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供应商所提供的最后报价是在规定的时间内提交；</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供应商的最后报价具有法定代表人或代理人签字；</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供应商的最后报价符合竞争性磋商文件的要求；</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“最后报价”一旦递交后，供应商不得以任何理由撤回；</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“最后报价”唯一，不高于最高限价，在未提高响应文件中承诺的产品及其服务质量的情况下，且不高于技术、服务性响应文件中的报价。</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最后报价出现下列情况的，不需要供应商澄清，按以下原则处理：</w:t>
      </w:r>
    </w:p>
    <w:p>
      <w:pPr>
        <w:pStyle w:val="187"/>
        <w:numPr>
          <w:ilvl w:val="0"/>
          <w:numId w:val="21"/>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响应文件中的大写金额和小写金额不一致的，以大写金额为准；</w:t>
      </w:r>
    </w:p>
    <w:p>
      <w:pPr>
        <w:pStyle w:val="187"/>
        <w:numPr>
          <w:ilvl w:val="0"/>
          <w:numId w:val="21"/>
        </w:numPr>
        <w:tabs>
          <w:tab w:val="left" w:pos="1050"/>
          <w:tab w:val="clear" w:pos="846"/>
        </w:tabs>
        <w:ind w:left="0" w:firstLine="480"/>
        <w:rPr>
          <w:rFonts w:ascii="宋体" w:hAnsi="宋体"/>
          <w:color w:val="auto"/>
          <w:highlight w:val="none"/>
        </w:rPr>
      </w:pPr>
      <w:r>
        <w:rPr>
          <w:rFonts w:hint="eastAsia" w:ascii="宋体" w:hAnsi="宋体"/>
          <w:color w:val="auto"/>
          <w:highlight w:val="none"/>
        </w:rPr>
        <w:t>单价金额小数点或者百分比有明显错位的，以报价表的总价为准，并修改单价；</w:t>
      </w:r>
    </w:p>
    <w:p>
      <w:pPr>
        <w:pStyle w:val="187"/>
        <w:numPr>
          <w:ilvl w:val="0"/>
          <w:numId w:val="21"/>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总价金额与按单价汇总金额不一致的，以单价金额计算结果为准。</w:t>
      </w:r>
    </w:p>
    <w:p>
      <w:pPr>
        <w:pStyle w:val="187"/>
        <w:tabs>
          <w:tab w:val="left" w:pos="1050"/>
        </w:tabs>
        <w:spacing w:line="360" w:lineRule="auto"/>
        <w:ind w:firstLine="480"/>
        <w:rPr>
          <w:rFonts w:ascii="宋体" w:hAnsi="宋体"/>
          <w:color w:val="auto"/>
          <w:highlight w:val="none"/>
        </w:rPr>
      </w:pPr>
      <w:r>
        <w:rPr>
          <w:rFonts w:hint="eastAsia" w:ascii="宋体" w:hAnsi="宋体"/>
          <w:color w:val="auto"/>
          <w:highlight w:val="none"/>
        </w:rPr>
        <w:t>同时出现两种以上不一致的，按照前款规定的顺序修正。修正后的报价经供应商确认后产生约束力，供应商不确认的，其磋商</w:t>
      </w:r>
      <w:r>
        <w:rPr>
          <w:rFonts w:hint="eastAsia" w:ascii="宋体" w:hAnsi="宋体" w:cs="宋体"/>
          <w:color w:val="auto"/>
          <w:highlight w:val="none"/>
        </w:rPr>
        <w:t>将被拒绝</w:t>
      </w:r>
      <w:r>
        <w:rPr>
          <w:rFonts w:hint="eastAsia" w:ascii="宋体" w:hAnsi="宋体"/>
          <w:color w:val="auto"/>
          <w:highlight w:val="none"/>
        </w:rPr>
        <w:t>。</w:t>
      </w:r>
    </w:p>
    <w:p>
      <w:pPr>
        <w:pStyle w:val="183"/>
        <w:tabs>
          <w:tab w:val="left" w:pos="1134"/>
        </w:tabs>
        <w:spacing w:line="360" w:lineRule="auto"/>
        <w:ind w:firstLine="480"/>
        <w:jc w:val="left"/>
        <w:rPr>
          <w:color w:val="auto"/>
          <w:highlight w:val="none"/>
        </w:rPr>
      </w:pPr>
      <w:r>
        <w:rPr>
          <w:rFonts w:hint="eastAsia" w:ascii="宋体" w:hAnsi="宋体"/>
          <w:color w:val="auto"/>
          <w:sz w:val="24"/>
          <w:szCs w:val="24"/>
          <w:highlight w:val="none"/>
        </w:rPr>
        <w:t>出现本条第（三）项规定情形，单价汇总金额比总价金额高，且超过政府采购预算或者本项目最高限价的，供应商响应文件应作为无效磋商处理；单价汇总金额比总价金额高，但未超过政府采购预算或者本项目最高限价的，应以单价汇总金额作为价格评分依据。</w:t>
      </w:r>
      <w:r>
        <w:rPr>
          <w:rFonts w:hint="eastAsia" w:ascii="宋体" w:hAnsi="宋体" w:cs="宋体"/>
          <w:color w:val="auto"/>
          <w:sz w:val="24"/>
          <w:szCs w:val="24"/>
          <w:highlight w:val="none"/>
        </w:rPr>
        <w:t>按上述修正错误的方法调整的磋商报价应对磋商供应商具有约束力。</w:t>
      </w:r>
    </w:p>
    <w:bookmarkEnd w:id="32"/>
    <w:p>
      <w:pPr>
        <w:pStyle w:val="5"/>
        <w:ind w:left="80" w:leftChars="0" w:firstLine="482" w:firstLineChars="0"/>
        <w:rPr>
          <w:rFonts w:cs="宋体"/>
          <w:color w:val="auto"/>
          <w:szCs w:val="24"/>
          <w:highlight w:val="none"/>
        </w:rPr>
      </w:pPr>
      <w:bookmarkStart w:id="33" w:name="_Toc320698728"/>
      <w:r>
        <w:rPr>
          <w:rFonts w:hint="eastAsia" w:cs="宋体"/>
          <w:color w:val="auto"/>
          <w:szCs w:val="24"/>
          <w:highlight w:val="none"/>
        </w:rPr>
        <w:t>响应文件有效期</w:t>
      </w:r>
      <w:bookmarkEnd w:id="33"/>
      <w:r>
        <w:rPr>
          <w:rFonts w:hint="eastAsia" w:cs="宋体"/>
          <w:color w:val="auto"/>
          <w:szCs w:val="24"/>
          <w:highlight w:val="none"/>
        </w:rPr>
        <w:t>（实质性要求）</w:t>
      </w:r>
    </w:p>
    <w:p>
      <w:pPr>
        <w:numPr>
          <w:ilvl w:val="0"/>
          <w:numId w:val="22"/>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响应文件有效期为递交响应文件截止日期起</w:t>
      </w:r>
      <w:r>
        <w:rPr>
          <w:rFonts w:hint="eastAsia" w:ascii="宋体" w:hAnsi="宋体" w:cs="宋体"/>
          <w:color w:val="auto"/>
          <w:highlight w:val="none"/>
          <w:u w:val="single"/>
        </w:rPr>
        <w:t>90</w:t>
      </w:r>
      <w:r>
        <w:rPr>
          <w:rFonts w:hint="eastAsia" w:ascii="宋体" w:hAnsi="宋体" w:cs="宋体"/>
          <w:color w:val="auto"/>
          <w:highlight w:val="none"/>
        </w:rPr>
        <w:t>天。响应文件有效期短于此规定期限的或不作响应的，则其响应文件将按无效响应文件处理。</w:t>
      </w:r>
    </w:p>
    <w:p>
      <w:pPr>
        <w:numPr>
          <w:ilvl w:val="0"/>
          <w:numId w:val="22"/>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特殊情况下，采购人可于磋商有效期满之前要求磋商供应商同意延长有效期，要求与答复均应为书面形式。磋商供应商可以拒绝上述要求，其磋商保证金</w:t>
      </w:r>
      <w:r>
        <w:rPr>
          <w:rFonts w:hint="eastAsia" w:ascii="宋体" w:hAnsi="宋体" w:cs="宋体"/>
          <w:color w:val="auto"/>
          <w:spacing w:val="8"/>
          <w:highlight w:val="none"/>
        </w:rPr>
        <w:t>不被没收。</w:t>
      </w:r>
      <w:r>
        <w:rPr>
          <w:rFonts w:hint="eastAsia" w:ascii="宋体" w:hAnsi="宋体" w:cs="宋体"/>
          <w:color w:val="auto"/>
          <w:highlight w:val="none"/>
        </w:rPr>
        <w:t>拒绝延长磋商有效期的磋商供应商不得再参与该项目后续采购活动。同意延长磋商有效期的磋商供应商不能修改其响应文件，关于磋商保证金的有关规定在延长的磋商有效期内继续有效。</w:t>
      </w:r>
    </w:p>
    <w:p>
      <w:pPr>
        <w:pStyle w:val="5"/>
        <w:ind w:left="80" w:leftChars="0" w:firstLine="482" w:firstLineChars="0"/>
        <w:rPr>
          <w:rFonts w:cs="宋体"/>
          <w:color w:val="auto"/>
          <w:szCs w:val="24"/>
          <w:highlight w:val="none"/>
        </w:rPr>
      </w:pPr>
      <w:bookmarkStart w:id="34" w:name="_Toc320698729"/>
      <w:r>
        <w:rPr>
          <w:rFonts w:hint="eastAsia" w:cs="宋体"/>
          <w:color w:val="auto"/>
          <w:szCs w:val="24"/>
          <w:highlight w:val="none"/>
        </w:rPr>
        <w:t>响应文件编制、签署</w:t>
      </w:r>
      <w:bookmarkEnd w:id="34"/>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供应商应准备响应文件正本1份、副本2份（即资格性响应文件正本1份、副本2份，技术、服务性响应文件正本1份、副本2份）。若正本和副本有不一致的内容，以正本书面响应文件为准。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响应文件的正本和副本均需打印或用不褪色、不变质的墨水书写。并由磋商供应商的法定代表人或其授权代表在规定签章处签字和盖章。</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响应文件的打印和书写应清楚工整，任何行间插字、涂改或增删，必须由磋商供应商的法定代表人或其授权代表签字或盖个人印鉴。字迹潦草、表达不清或可能导致非唯一理解的响应文件可能视为无效磋商。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响应文件正本和副本必须装订成册（不能使用订书钉或活页夹装订，不能是散页；对响应文件的修改或撤回的书面通知除外）。</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应根据竞争性磋商文件的要求制作，签署、盖章和内容应完整。（说明：1、竞争性磋商文件中要求提供复印件证明材料的，系指提供原件的影印件。2、竞争性磋商文件中要求提供复印件加盖单位公章的证明材料的，复印件所在页按要求加盖了公章或复印件为多页但至少有一页按要求加盖了公章的，视为满足复印件加盖公章的要求）</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响应文件统一用A4幅面纸印制（表、图及证件可以除外）,逐页编码。</w:t>
      </w:r>
    </w:p>
    <w:p>
      <w:pPr>
        <w:pStyle w:val="5"/>
        <w:ind w:left="80" w:leftChars="0" w:firstLine="482" w:firstLineChars="0"/>
        <w:rPr>
          <w:rFonts w:cs="宋体"/>
          <w:color w:val="auto"/>
          <w:szCs w:val="24"/>
          <w:highlight w:val="none"/>
        </w:rPr>
      </w:pPr>
      <w:bookmarkStart w:id="35" w:name="_Toc320698730"/>
      <w:r>
        <w:rPr>
          <w:rFonts w:hint="eastAsia" w:cs="宋体"/>
          <w:color w:val="auto"/>
          <w:szCs w:val="24"/>
          <w:highlight w:val="none"/>
        </w:rPr>
        <w:t>响应文件的包装、密封和标注</w:t>
      </w:r>
      <w:bookmarkEnd w:id="35"/>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响应文件标注要求：</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响应文件封面标注要求：供应商应在响应文件正本和所有副本的封面上注明供应商名称、项目编号、项目名称、日期及包件号（如有分包）并在封面上清晰的标注正本或副本字样。</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响应</w:t>
      </w:r>
      <w:r>
        <w:rPr>
          <w:rFonts w:hint="eastAsia" w:ascii="宋体" w:hAnsi="宋体" w:cs="宋体"/>
          <w:color w:val="auto"/>
          <w:kern w:val="2"/>
          <w:highlight w:val="none"/>
        </w:rPr>
        <w:t>文件密封袋标注要求：</w:t>
      </w:r>
      <w:r>
        <w:rPr>
          <w:rFonts w:hint="eastAsia" w:ascii="宋体" w:hAnsi="宋体" w:cs="宋体"/>
          <w:color w:val="auto"/>
          <w:highlight w:val="none"/>
        </w:rPr>
        <w:t>响应</w:t>
      </w:r>
      <w:r>
        <w:rPr>
          <w:rFonts w:hint="eastAsia" w:ascii="宋体" w:hAnsi="宋体" w:cs="宋体"/>
          <w:color w:val="auto"/>
          <w:kern w:val="2"/>
          <w:highlight w:val="none"/>
        </w:rPr>
        <w:t>文件的密封袋上应当注明</w:t>
      </w:r>
      <w:r>
        <w:rPr>
          <w:rFonts w:hint="eastAsia" w:ascii="宋体" w:hAnsi="宋体" w:cs="宋体"/>
          <w:color w:val="auto"/>
          <w:highlight w:val="none"/>
        </w:rPr>
        <w:t>供应商</w:t>
      </w:r>
      <w:r>
        <w:rPr>
          <w:rFonts w:hint="eastAsia" w:ascii="宋体" w:hAnsi="宋体" w:cs="宋体"/>
          <w:color w:val="auto"/>
          <w:kern w:val="2"/>
          <w:highlight w:val="none"/>
        </w:rPr>
        <w:t>名称、采购</w:t>
      </w:r>
      <w:r>
        <w:rPr>
          <w:rFonts w:hint="eastAsia" w:ascii="宋体" w:hAnsi="宋体" w:cs="宋体"/>
          <w:color w:val="auto"/>
          <w:highlight w:val="none"/>
        </w:rPr>
        <w:t>编号、项目名称、日期及包件号（如有分包）。</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标注格式详见竞争性磋商文件第四章。</w:t>
      </w:r>
    </w:p>
    <w:p>
      <w:pPr>
        <w:widowControl w:val="0"/>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响应文件密封要求：</w:t>
      </w:r>
    </w:p>
    <w:p>
      <w:pPr>
        <w:widowControl w:val="0"/>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资格性响应文件和技术、服务性响应文件需单独密封。其中，资格性响应文件的正本和副本可密封在一起也可单独密封；技术、服务性响应文件的正本和副本可密封在一起也可单独密封。</w:t>
      </w:r>
    </w:p>
    <w:p>
      <w:pPr>
        <w:pStyle w:val="5"/>
        <w:ind w:left="80" w:leftChars="0" w:firstLine="482" w:firstLineChars="0"/>
        <w:rPr>
          <w:rFonts w:cs="宋体"/>
          <w:color w:val="auto"/>
          <w:szCs w:val="24"/>
          <w:highlight w:val="none"/>
        </w:rPr>
      </w:pPr>
      <w:bookmarkStart w:id="36" w:name="_Toc320698731"/>
      <w:r>
        <w:rPr>
          <w:rFonts w:hint="eastAsia" w:cs="宋体"/>
          <w:color w:val="auto"/>
          <w:szCs w:val="24"/>
          <w:highlight w:val="none"/>
        </w:rPr>
        <w:t>响应文件的递交</w:t>
      </w:r>
      <w:bookmarkEnd w:id="36"/>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资格性响应文件和技术、服务性响应文件应于递交响应文件截止时间前送达指定地点。截止时间后送达或</w:t>
      </w:r>
      <w:r>
        <w:rPr>
          <w:rFonts w:hint="eastAsia"/>
          <w:color w:val="auto"/>
          <w:highlight w:val="none"/>
        </w:rPr>
        <w:t>未按竞争性磋商文件要求密封的响应文件将被拒收。</w:t>
      </w:r>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项目技术、服务及其他要求磋商结束后，供应商提交最后报价。</w:t>
      </w:r>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本次竞争性磋商</w:t>
      </w:r>
      <w:r>
        <w:rPr>
          <w:rFonts w:hint="eastAsia" w:ascii="宋体" w:hAnsi="宋体"/>
          <w:color w:val="auto"/>
          <w:highlight w:val="none"/>
        </w:rPr>
        <w:t>不接受以电子邮件、传真及邮寄方式递交的响应文件</w:t>
      </w:r>
      <w:r>
        <w:rPr>
          <w:rFonts w:hint="eastAsia" w:ascii="宋体" w:hAnsi="宋体" w:cs="宋体"/>
          <w:color w:val="auto"/>
          <w:highlight w:val="none"/>
        </w:rPr>
        <w:t>。</w:t>
      </w:r>
    </w:p>
    <w:p>
      <w:pPr>
        <w:pStyle w:val="5"/>
        <w:ind w:left="80" w:leftChars="0" w:firstLine="482" w:firstLineChars="0"/>
        <w:rPr>
          <w:rFonts w:cs="宋体"/>
          <w:color w:val="auto"/>
          <w:szCs w:val="24"/>
          <w:highlight w:val="none"/>
        </w:rPr>
      </w:pPr>
      <w:bookmarkStart w:id="37" w:name="_Toc446487098"/>
      <w:r>
        <w:rPr>
          <w:rFonts w:hint="eastAsia" w:cs="宋体"/>
          <w:color w:val="auto"/>
          <w:szCs w:val="24"/>
          <w:highlight w:val="none"/>
        </w:rPr>
        <w:t>响应文件的补充、修改和撤回</w:t>
      </w:r>
      <w:bookmarkEnd w:id="37"/>
    </w:p>
    <w:p>
      <w:pPr>
        <w:widowControl w:val="0"/>
        <w:numPr>
          <w:ilvl w:val="0"/>
          <w:numId w:val="2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在提交响应文件后可对其响应文件进行补充、修改或者撤回，但该补充、修改或撤回的书面通知须在递交响应文件截止时间之前送达指定地点。补充、修改的内容为响应文件的组成部分，补充、修改的内容与响应文件不一致的，以补充、修改的内容为准；</w:t>
      </w:r>
    </w:p>
    <w:p>
      <w:pPr>
        <w:widowControl w:val="0"/>
        <w:numPr>
          <w:ilvl w:val="0"/>
          <w:numId w:val="2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补充、修改或撤回的书面通知，应由其法定代表人或授权代理人签署并盖供应商公章。补充、修改或撤回的书面通知应按“响应文件编制签署”、“响应文件的包装、密封和标注”的要求进行签署、密封、标注，并在密封包装的最外层标明“补充、修改响应文件”字样。补充、修改的内容为响应文件的组成部分。补充、修改的内容与响应文件不一致的，以补充、修改的内容为准。</w:t>
      </w:r>
    </w:p>
    <w:p>
      <w:pPr>
        <w:pStyle w:val="4"/>
        <w:rPr>
          <w:color w:val="auto"/>
          <w:highlight w:val="none"/>
        </w:rPr>
      </w:pPr>
      <w:bookmarkStart w:id="38" w:name="_Toc18034"/>
      <w:bookmarkStart w:id="39" w:name="_Toc287623645"/>
      <w:r>
        <w:rPr>
          <w:rFonts w:hint="eastAsia"/>
          <w:color w:val="auto"/>
          <w:highlight w:val="none"/>
        </w:rPr>
        <w:t>竞争性磋商程序</w:t>
      </w:r>
      <w:bookmarkEnd w:id="38"/>
      <w:bookmarkEnd w:id="39"/>
    </w:p>
    <w:p>
      <w:pPr>
        <w:pStyle w:val="5"/>
        <w:ind w:left="80" w:leftChars="0" w:firstLine="482" w:firstLineChars="0"/>
        <w:rPr>
          <w:rFonts w:cs="宋体"/>
          <w:color w:val="auto"/>
          <w:szCs w:val="24"/>
          <w:highlight w:val="none"/>
        </w:rPr>
      </w:pPr>
      <w:bookmarkStart w:id="40" w:name="_Toc320698735"/>
      <w:r>
        <w:rPr>
          <w:rFonts w:hint="eastAsia" w:cs="宋体"/>
          <w:color w:val="auto"/>
          <w:szCs w:val="24"/>
          <w:highlight w:val="none"/>
        </w:rPr>
        <w:t>供应商报名</w:t>
      </w:r>
      <w:bookmarkEnd w:id="40"/>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参加报名的供应商不足三家的，本次竞争性磋商采购活动终止，并发布终止竞争性磋商公告。</w:t>
      </w:r>
    </w:p>
    <w:p>
      <w:pPr>
        <w:pStyle w:val="5"/>
        <w:ind w:left="80" w:leftChars="0" w:firstLine="482" w:firstLineChars="0"/>
        <w:rPr>
          <w:rFonts w:cs="宋体"/>
          <w:color w:val="auto"/>
          <w:szCs w:val="24"/>
          <w:highlight w:val="none"/>
        </w:rPr>
      </w:pPr>
      <w:bookmarkStart w:id="41" w:name="_Toc320698736"/>
      <w:r>
        <w:rPr>
          <w:rFonts w:hint="eastAsia" w:cs="宋体"/>
          <w:color w:val="auto"/>
          <w:szCs w:val="24"/>
          <w:highlight w:val="none"/>
        </w:rPr>
        <w:t>接收响应文件</w:t>
      </w:r>
      <w:bookmarkEnd w:id="41"/>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供应商递交响应文件截止时间结束后，递交响应文件的供应商不足三家的，本次竞争性磋商采购活动终止，并发布终止竞争性磋商公告。</w:t>
      </w:r>
    </w:p>
    <w:p>
      <w:pPr>
        <w:pStyle w:val="5"/>
        <w:ind w:left="80" w:leftChars="0" w:firstLine="482" w:firstLineChars="0"/>
        <w:rPr>
          <w:rFonts w:cs="宋体"/>
          <w:color w:val="auto"/>
          <w:szCs w:val="24"/>
          <w:highlight w:val="none"/>
        </w:rPr>
      </w:pPr>
      <w:bookmarkStart w:id="42" w:name="_Toc287623646"/>
      <w:r>
        <w:rPr>
          <w:rFonts w:hint="eastAsia" w:cs="宋体"/>
          <w:color w:val="auto"/>
          <w:szCs w:val="24"/>
          <w:highlight w:val="none"/>
        </w:rPr>
        <w:t>开标</w:t>
      </w:r>
    </w:p>
    <w:p>
      <w:pPr>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开标在竞争性磋商文件规定的时间和地点公开进行。开标由采购代理机构主持，评审专家不参加开标活动。</w:t>
      </w:r>
    </w:p>
    <w:p>
      <w:pPr>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开标时，可能根据具体情况邀请有关监督管理部门对开标活动进行现场监督。</w:t>
      </w:r>
    </w:p>
    <w:p>
      <w:pPr>
        <w:widowControl w:val="0"/>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开标时，由供应商或其推选的代表检查其自己递交的响应文件的密封情况。</w:t>
      </w:r>
    </w:p>
    <w:p>
      <w:pPr>
        <w:widowControl w:val="0"/>
        <w:spacing w:line="360" w:lineRule="auto"/>
        <w:ind w:firstLine="480" w:firstLineChars="200"/>
        <w:rPr>
          <w:color w:val="auto"/>
          <w:highlight w:val="none"/>
        </w:rPr>
      </w:pPr>
      <w:r>
        <w:rPr>
          <w:rFonts w:hint="eastAsia" w:ascii="宋体"/>
          <w:color w:val="auto"/>
          <w:highlight w:val="none"/>
        </w:rPr>
        <w:t>供应商或者其推选的代表确认响应文件密封情况，仅限于确认其自己递交的响应文件的密封情况，不代表对其他供应商的响应文件的密封情况确认。供应商或者其推选的代表对其他供应商的响应文件密封情况有异议的，可以当场反映开标主持人或者现场监督人员，要求开标现场记录人员予以记录，但不得干扰、阻挠开标工作的正常进行。</w:t>
      </w:r>
    </w:p>
    <w:p>
      <w:pPr>
        <w:pStyle w:val="5"/>
        <w:ind w:left="80" w:leftChars="0" w:firstLine="482" w:firstLineChars="0"/>
        <w:rPr>
          <w:rFonts w:cs="宋体"/>
          <w:color w:val="auto"/>
          <w:szCs w:val="24"/>
          <w:highlight w:val="none"/>
        </w:rPr>
      </w:pPr>
      <w:r>
        <w:rPr>
          <w:rFonts w:hint="eastAsia" w:cs="宋体"/>
          <w:color w:val="auto"/>
          <w:szCs w:val="24"/>
          <w:highlight w:val="none"/>
        </w:rPr>
        <w:t>成立磋商小组</w:t>
      </w:r>
      <w:bookmarkEnd w:id="42"/>
    </w:p>
    <w:p>
      <w:pPr>
        <w:pStyle w:val="24"/>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磋商小组由采购人代表和根据采购项目情况确定的技术或经济或法律等有关专家三人以上的单数组成。磋商小组负责本项目的磋商和评审工作。</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如通过资格性审查的供应商不足三家的，采购活动终止，并发布终止竞争性磋商公告。</w:t>
      </w:r>
    </w:p>
    <w:p>
      <w:pPr>
        <w:pStyle w:val="5"/>
        <w:ind w:left="80" w:leftChars="0" w:firstLine="482" w:firstLineChars="0"/>
        <w:rPr>
          <w:rFonts w:cs="宋体"/>
          <w:color w:val="auto"/>
          <w:szCs w:val="24"/>
          <w:highlight w:val="none"/>
        </w:rPr>
      </w:pPr>
      <w:r>
        <w:rPr>
          <w:rFonts w:hint="eastAsia" w:cs="宋体"/>
          <w:color w:val="auto"/>
          <w:szCs w:val="24"/>
          <w:highlight w:val="none"/>
        </w:rPr>
        <w:t>资格性审查</w:t>
      </w:r>
    </w:p>
    <w:p>
      <w:pPr>
        <w:rPr>
          <w:color w:val="auto"/>
          <w:highlight w:val="none"/>
        </w:rPr>
      </w:pPr>
      <w:r>
        <w:rPr>
          <w:rFonts w:hint="eastAsia" w:ascii="宋体" w:hAnsi="宋体" w:cs="宋体"/>
          <w:color w:val="auto"/>
          <w:highlight w:val="none"/>
        </w:rPr>
        <w:t>资格审查内容：</w:t>
      </w:r>
    </w:p>
    <w:tbl>
      <w:tblPr>
        <w:tblStyle w:val="44"/>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1"/>
        <w:gridCol w:w="2594"/>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5" w:type="dxa"/>
            <w:gridSpan w:val="3"/>
            <w:vAlign w:val="center"/>
          </w:tcPr>
          <w:p>
            <w:pPr>
              <w:jc w:val="center"/>
              <w:rPr>
                <w:rFonts w:ascii="宋体" w:hAnsi="宋体" w:cs="宋体"/>
                <w:b/>
                <w:bCs/>
                <w:color w:val="auto"/>
                <w:highlight w:val="none"/>
              </w:rPr>
            </w:pPr>
            <w:r>
              <w:rPr>
                <w:rFonts w:hint="eastAsia" w:ascii="宋体" w:hAnsi="宋体" w:cs="宋体"/>
                <w:b/>
                <w:bCs/>
                <w:color w:val="auto"/>
                <w:highlight w:val="none"/>
              </w:rPr>
              <w:t>审查内容</w:t>
            </w:r>
          </w:p>
        </w:tc>
        <w:tc>
          <w:tcPr>
            <w:tcW w:w="4862" w:type="dxa"/>
            <w:vAlign w:val="center"/>
          </w:tcPr>
          <w:p>
            <w:pPr>
              <w:jc w:val="center"/>
              <w:rPr>
                <w:rFonts w:ascii="宋体" w:hAnsi="宋体" w:cs="宋体"/>
                <w:b/>
                <w:bCs/>
                <w:color w:val="auto"/>
                <w:highlight w:val="none"/>
              </w:rPr>
            </w:pPr>
            <w:r>
              <w:rPr>
                <w:rFonts w:hint="eastAsia" w:ascii="宋体" w:hAnsi="宋体" w:cs="宋体"/>
                <w:b/>
                <w:bCs/>
                <w:color w:val="auto"/>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20" w:type="dxa"/>
            <w:vMerge w:val="restart"/>
            <w:vAlign w:val="center"/>
          </w:tcPr>
          <w:p>
            <w:pPr>
              <w:rPr>
                <w:rFonts w:ascii="宋体" w:hAnsi="宋体" w:cs="宋体"/>
                <w:bCs/>
                <w:color w:val="auto"/>
                <w:highlight w:val="none"/>
              </w:rPr>
            </w:pPr>
            <w:r>
              <w:rPr>
                <w:rFonts w:hint="eastAsia" w:ascii="宋体" w:hAnsi="宋体"/>
                <w:color w:val="auto"/>
                <w:highlight w:val="none"/>
              </w:rPr>
              <w:t>（一）资格要求</w:t>
            </w:r>
            <w:r>
              <w:rPr>
                <w:rFonts w:hint="eastAsia" w:ascii="宋体" w:hAnsi="宋体" w:cs="宋体"/>
                <w:color w:val="auto"/>
                <w:highlight w:val="none"/>
              </w:rPr>
              <w:t>　</w:t>
            </w: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1、具有独立承担民事责任的能力</w:t>
            </w:r>
          </w:p>
        </w:tc>
        <w:tc>
          <w:tcPr>
            <w:tcW w:w="4862" w:type="dxa"/>
            <w:vAlign w:val="center"/>
          </w:tcPr>
          <w:p>
            <w:pPr>
              <w:rPr>
                <w:rFonts w:ascii="宋体" w:hAnsi="宋体" w:cs="宋体"/>
                <w:bCs/>
                <w:color w:val="auto"/>
                <w:highlight w:val="none"/>
              </w:rPr>
            </w:pPr>
            <w:r>
              <w:rPr>
                <w:rFonts w:hint="eastAsia" w:ascii="宋体" w:hAnsi="宋体" w:cs="宋体"/>
                <w:bCs/>
                <w:color w:val="auto"/>
                <w:highlight w:val="none"/>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2、具有良好的商业信誉</w:t>
            </w:r>
          </w:p>
        </w:tc>
        <w:tc>
          <w:tcPr>
            <w:tcW w:w="4862" w:type="dxa"/>
            <w:vMerge w:val="restart"/>
            <w:vAlign w:val="center"/>
          </w:tcPr>
          <w:p>
            <w:pPr>
              <w:shd w:val="clear" w:color="auto" w:fill="FFFFFF"/>
              <w:rPr>
                <w:rFonts w:ascii="宋体" w:hAnsi="宋体"/>
                <w:color w:val="auto"/>
                <w:highlight w:val="none"/>
              </w:rPr>
            </w:pPr>
            <w:r>
              <w:rPr>
                <w:rFonts w:hint="eastAsia" w:ascii="宋体" w:hAnsi="宋体"/>
                <w:color w:val="auto"/>
                <w:highlight w:val="none"/>
              </w:rPr>
              <w:t>按第四章的格式及要求提供承诺函原件。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3、具有履行合同所必须的设备和专业技术能力</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4、参加政府采购活动前三年内，在经营活动中没有重大违法记录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5、在行贿犯罪信息查询期限内，供应商及其现任法定代表人、主要负责人无行贿犯罪记录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6、法律、行政法规规定的其他条件</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020" w:type="dxa"/>
            <w:vMerge w:val="continue"/>
            <w:vAlign w:val="center"/>
          </w:tcPr>
          <w:p>
            <w:pPr>
              <w:rPr>
                <w:rFonts w:ascii="宋体" w:hAnsi="宋体" w:cs="宋体"/>
                <w:bCs/>
                <w:color w:val="auto"/>
                <w:highlight w:val="none"/>
              </w:rPr>
            </w:pPr>
          </w:p>
        </w:tc>
        <w:tc>
          <w:tcPr>
            <w:tcW w:w="1321" w:type="dxa"/>
            <w:vMerge w:val="restart"/>
            <w:vAlign w:val="center"/>
          </w:tcPr>
          <w:p>
            <w:pPr>
              <w:rPr>
                <w:rFonts w:ascii="宋体" w:hAnsi="宋体" w:cs="宋体"/>
                <w:bCs/>
                <w:color w:val="auto"/>
                <w:highlight w:val="none"/>
              </w:rPr>
            </w:pPr>
            <w:r>
              <w:rPr>
                <w:rFonts w:hint="eastAsia" w:ascii="宋体" w:hAnsi="宋体"/>
                <w:color w:val="auto"/>
                <w:highlight w:val="none"/>
              </w:rPr>
              <w:t>7、有依法缴纳税收和社会保障资金的良好记录</w:t>
            </w:r>
          </w:p>
        </w:tc>
        <w:tc>
          <w:tcPr>
            <w:tcW w:w="2594" w:type="dxa"/>
            <w:vAlign w:val="center"/>
          </w:tcPr>
          <w:p>
            <w:pPr>
              <w:rPr>
                <w:rFonts w:ascii="宋体" w:hAnsi="宋体" w:cs="宋体"/>
                <w:bCs/>
                <w:color w:val="auto"/>
                <w:highlight w:val="none"/>
              </w:rPr>
            </w:pPr>
            <w:r>
              <w:rPr>
                <w:rFonts w:hint="eastAsia" w:ascii="宋体" w:hAnsi="宋体" w:cs="宋体"/>
                <w:bCs/>
                <w:color w:val="auto"/>
                <w:highlight w:val="none"/>
              </w:rPr>
              <w:t>（1）缴纳社会保障资金的证明材料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任意时段的缴纳社保的银行电子回单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社保部门出具的社保缴纳证明材料复印件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0" w:type="dxa"/>
            <w:vMerge w:val="continue"/>
            <w:vAlign w:val="center"/>
          </w:tcPr>
          <w:p>
            <w:pPr>
              <w:rPr>
                <w:rFonts w:ascii="宋体" w:hAnsi="宋体" w:cs="宋体"/>
                <w:bCs/>
                <w:color w:val="auto"/>
                <w:highlight w:val="none"/>
              </w:rPr>
            </w:pPr>
          </w:p>
        </w:tc>
        <w:tc>
          <w:tcPr>
            <w:tcW w:w="1321" w:type="dxa"/>
            <w:vMerge w:val="continue"/>
            <w:vAlign w:val="center"/>
          </w:tcPr>
          <w:p>
            <w:pPr>
              <w:rPr>
                <w:rFonts w:ascii="宋体" w:hAnsi="宋体"/>
                <w:color w:val="auto"/>
                <w:highlight w:val="none"/>
              </w:rPr>
            </w:pPr>
          </w:p>
        </w:tc>
        <w:tc>
          <w:tcPr>
            <w:tcW w:w="2594" w:type="dxa"/>
            <w:vAlign w:val="center"/>
          </w:tcPr>
          <w:p>
            <w:pPr>
              <w:rPr>
                <w:rFonts w:ascii="宋体" w:hAnsi="宋体"/>
                <w:color w:val="auto"/>
                <w:highlight w:val="none"/>
              </w:rPr>
            </w:pPr>
            <w:r>
              <w:rPr>
                <w:rFonts w:hint="eastAsia" w:ascii="宋体" w:hAnsi="宋体" w:cs="宋体"/>
                <w:bCs/>
                <w:color w:val="auto"/>
                <w:highlight w:val="none"/>
              </w:rPr>
              <w:t>（2）缴纳税收的证明材料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任意时段的缴纳税收的银行电子回单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税务部门出具的纳税证明</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完税证明的复印件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8、</w:t>
            </w:r>
            <w:r>
              <w:rPr>
                <w:rFonts w:hint="eastAsia" w:ascii="宋体" w:hAnsi="宋体" w:cs="宋体"/>
                <w:color w:val="auto"/>
                <w:highlight w:val="none"/>
              </w:rPr>
              <w:t>健全的财务会计制度的证明材料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①可提供2019年度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经审计的财务报告复印件（包含审计报告和审计报告中所涉及的财务报表和报表附注），②</w:t>
            </w:r>
            <w:r>
              <w:rPr>
                <w:rFonts w:hint="eastAsia" w:ascii="宋体" w:hAnsi="宋体" w:eastAsia="宋体" w:cs="宋体"/>
                <w:color w:val="auto"/>
                <w:sz w:val="24"/>
                <w:szCs w:val="24"/>
                <w:highlight w:val="none"/>
                <w:lang w:val="en-US" w:eastAsia="zh-CN"/>
              </w:rPr>
              <w:t>也</w:t>
            </w:r>
            <w:r>
              <w:rPr>
                <w:rFonts w:hint="eastAsia" w:ascii="宋体" w:hAnsi="宋体" w:eastAsia="宋体" w:cs="宋体"/>
                <w:color w:val="auto"/>
                <w:sz w:val="24"/>
                <w:szCs w:val="24"/>
                <w:highlight w:val="none"/>
              </w:rPr>
              <w:t>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内部</w:t>
            </w:r>
            <w:r>
              <w:rPr>
                <w:rFonts w:hint="eastAsia" w:ascii="宋体" w:hAnsi="宋体" w:eastAsia="宋体" w:cs="宋体"/>
                <w:color w:val="auto"/>
                <w:sz w:val="24"/>
                <w:szCs w:val="24"/>
                <w:highlight w:val="none"/>
              </w:rPr>
              <w:t>财务报表复印件（</w:t>
            </w:r>
            <w:r>
              <w:rPr>
                <w:rFonts w:hint="eastAsia" w:ascii="宋体" w:hAnsi="宋体" w:cs="宋体"/>
                <w:color w:val="auto"/>
                <w:sz w:val="24"/>
                <w:szCs w:val="24"/>
                <w:highlight w:val="none"/>
                <w:lang w:val="en-US" w:eastAsia="zh-CN"/>
              </w:rPr>
              <w:t>至少包含</w:t>
            </w:r>
            <w:r>
              <w:rPr>
                <w:rFonts w:hint="eastAsia" w:ascii="宋体" w:hAnsi="宋体" w:eastAsia="宋体" w:cs="宋体"/>
                <w:color w:val="auto"/>
                <w:sz w:val="24"/>
                <w:szCs w:val="24"/>
                <w:highlight w:val="none"/>
              </w:rPr>
              <w:t>资产</w:t>
            </w:r>
            <w:r>
              <w:rPr>
                <w:rFonts w:hint="eastAsia" w:ascii="宋体" w:hAnsi="宋体" w:cs="宋体"/>
                <w:color w:val="auto"/>
                <w:sz w:val="24"/>
                <w:szCs w:val="24"/>
                <w:highlight w:val="none"/>
                <w:lang w:val="en-US" w:eastAsia="zh-CN"/>
              </w:rPr>
              <w:t>负债</w:t>
            </w:r>
            <w:r>
              <w:rPr>
                <w:rFonts w:hint="eastAsia" w:ascii="宋体" w:hAnsi="宋体" w:eastAsia="宋体" w:cs="宋体"/>
                <w:color w:val="auto"/>
                <w:sz w:val="24"/>
                <w:szCs w:val="24"/>
                <w:highlight w:val="none"/>
              </w:rPr>
              <w:t>表），③也可提供截至响应文件递交截止日一年内银行出具的资信证明（复印件），④供应商注册时间截至响应文件递交截止日不足一年的，也可提供公司章程（复印件），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9、法定代表人身份证明书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法定代表人身份证明书原件（自然人参加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的不须提供身份证明书）及身份证复印件或护照复印件【注：（1）法定代表人身份证明书符合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10、法定代表人授权委托书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法定代表人授权书原件及身份证复印件【注：（1）代理人身份证复印件（身份证两面均应复印，在有效期内）；（2）如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文件均由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法定代表人签字的或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11、联合体磋商</w:t>
            </w:r>
          </w:p>
        </w:tc>
        <w:tc>
          <w:tcPr>
            <w:tcW w:w="4862" w:type="dxa"/>
            <w:vAlign w:val="center"/>
          </w:tcPr>
          <w:p>
            <w:pPr>
              <w:rPr>
                <w:rFonts w:ascii="宋体" w:hAnsi="宋体"/>
                <w:color w:val="auto"/>
                <w:highlight w:val="none"/>
              </w:rPr>
            </w:pPr>
            <w:r>
              <w:rPr>
                <w:rFonts w:hint="eastAsia" w:ascii="宋体" w:hAnsi="宋体"/>
                <w:color w:val="auto"/>
                <w:highlight w:val="none"/>
              </w:rPr>
              <w:t>非联合体磋商。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hint="default" w:ascii="宋体" w:hAnsi="宋体" w:eastAsia="宋体"/>
                <w:color w:val="auto"/>
                <w:highlight w:val="none"/>
                <w:lang w:val="en-US" w:eastAsia="zh-CN"/>
              </w:rPr>
            </w:pPr>
            <w:r>
              <w:rPr>
                <w:rFonts w:hint="eastAsia" w:ascii="宋体" w:hAnsi="宋体"/>
                <w:color w:val="auto"/>
                <w:highlight w:val="none"/>
                <w:lang w:val="en-US" w:eastAsia="zh-CN"/>
              </w:rPr>
              <w:t>12、本项目专门面向中小企业采购</w:t>
            </w:r>
          </w:p>
        </w:tc>
        <w:tc>
          <w:tcPr>
            <w:tcW w:w="4862" w:type="dxa"/>
            <w:vAlign w:val="center"/>
          </w:tcPr>
          <w:p>
            <w:pPr>
              <w:rPr>
                <w:rFonts w:hint="eastAsia" w:ascii="宋体" w:hAnsi="宋体"/>
                <w:color w:val="auto"/>
                <w:highlight w:val="none"/>
              </w:rPr>
            </w:pPr>
            <w:r>
              <w:rPr>
                <w:rFonts w:hint="eastAsia" w:ascii="宋体" w:hAnsi="宋体"/>
                <w:color w:val="auto"/>
                <w:highlight w:val="none"/>
                <w:lang w:val="en-US" w:eastAsia="zh-CN"/>
              </w:rPr>
              <w:t>提供中小企业声明函（注：</w:t>
            </w:r>
            <w:r>
              <w:rPr>
                <w:rFonts w:hint="eastAsia" w:ascii="宋体" w:hAnsi="宋体"/>
                <w:szCs w:val="24"/>
                <w:highlight w:val="none"/>
              </w:rPr>
              <w:t>供应商为监狱企业、残疾人福利性单位的视同小型、微型企业</w:t>
            </w:r>
            <w:r>
              <w:rPr>
                <w:rFonts w:hint="eastAsia" w:ascii="宋体" w:hAnsi="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0" w:type="dxa"/>
            <w:vAlign w:val="center"/>
          </w:tcPr>
          <w:p>
            <w:pPr>
              <w:rPr>
                <w:rFonts w:ascii="宋体" w:hAnsi="宋体" w:cs="宋体"/>
                <w:color w:val="auto"/>
                <w:highlight w:val="none"/>
              </w:rPr>
            </w:pPr>
            <w:r>
              <w:rPr>
                <w:rFonts w:hint="eastAsia" w:ascii="宋体" w:hAnsi="宋体" w:cs="宋体"/>
                <w:color w:val="auto"/>
                <w:highlight w:val="none"/>
              </w:rPr>
              <w:t>（二）资质要求</w:t>
            </w:r>
          </w:p>
        </w:tc>
        <w:tc>
          <w:tcPr>
            <w:tcW w:w="3915" w:type="dxa"/>
            <w:gridSpan w:val="2"/>
            <w:vAlign w:val="center"/>
          </w:tcPr>
          <w:p>
            <w:pPr>
              <w:spacing w:line="240" w:lineRule="auto"/>
              <w:ind w:firstLine="0" w:firstLineChars="0"/>
              <w:rPr>
                <w:rFonts w:hint="default" w:ascii="宋体" w:hAnsi="宋体" w:eastAsia="宋体" w:cs="宋体"/>
                <w:color w:val="auto"/>
                <w:kern w:val="0"/>
                <w:sz w:val="24"/>
                <w:szCs w:val="24"/>
                <w:highlight w:val="none"/>
                <w:lang w:val="en-US" w:eastAsia="zh-CN"/>
              </w:rPr>
            </w:pPr>
            <w:r>
              <w:rPr>
                <w:rFonts w:hint="eastAsia" w:ascii="宋体" w:hAnsi="宋体" w:cs="宋体"/>
                <w:sz w:val="24"/>
                <w:szCs w:val="24"/>
                <w:highlight w:val="none"/>
                <w:lang w:val="en-US" w:eastAsia="zh-CN"/>
              </w:rPr>
              <w:t>具有</w:t>
            </w:r>
            <w:r>
              <w:rPr>
                <w:rFonts w:hint="eastAsia" w:ascii="宋体" w:hAnsi="宋体" w:eastAsia="宋体" w:cs="宋体"/>
                <w:sz w:val="24"/>
                <w:szCs w:val="24"/>
                <w:highlight w:val="none"/>
                <w:lang w:eastAsia="zh-CN"/>
              </w:rPr>
              <w:t>营业性演出许可证</w:t>
            </w:r>
          </w:p>
        </w:tc>
        <w:tc>
          <w:tcPr>
            <w:tcW w:w="4862" w:type="dxa"/>
            <w:vAlign w:val="center"/>
          </w:tcPr>
          <w:p>
            <w:pPr>
              <w:spacing w:line="240" w:lineRule="auto"/>
              <w:ind w:firstLine="0" w:firstLineChars="0"/>
              <w:rPr>
                <w:rFonts w:hint="default" w:ascii="宋体" w:hAnsi="宋体" w:eastAsia="宋体"/>
                <w:color w:val="auto"/>
                <w:highlight w:val="none"/>
                <w:lang w:val="en-US" w:eastAsia="zh-CN"/>
              </w:rPr>
            </w:pPr>
            <w:r>
              <w:rPr>
                <w:rFonts w:hint="eastAsia" w:ascii="宋体" w:hAnsi="宋体"/>
                <w:color w:val="auto"/>
                <w:highlight w:val="none"/>
                <w:lang w:val="en-US" w:eastAsia="zh-CN"/>
              </w:rPr>
              <w:t>有效的证书复印件</w:t>
            </w:r>
          </w:p>
        </w:tc>
      </w:tr>
    </w:tbl>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一、递交响应文件截止时间结束后，由磋商小组对递交响应文件的供应商进行资格性审查。磋商小组在资格性审查过程中，磋商小组成员对供应商资格是否符合规定存在争议的，应当以少数服从多数的原则处理，但不得违背政府采购法和竞争性磋商文件规定。</w:t>
      </w:r>
    </w:p>
    <w:p>
      <w:pPr>
        <w:pStyle w:val="2"/>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二、磋商小组资格审查结束后，应当向采购组织单位出具资格审查报告。没有通过资格审查的供应商，磋商小组应当在资格审查报告中说明原因。</w:t>
      </w:r>
    </w:p>
    <w:p>
      <w:pPr>
        <w:pStyle w:val="5"/>
        <w:ind w:left="80" w:leftChars="0" w:firstLine="482" w:firstLineChars="0"/>
        <w:rPr>
          <w:rFonts w:cs="宋体"/>
          <w:color w:val="auto"/>
          <w:szCs w:val="24"/>
          <w:highlight w:val="none"/>
        </w:rPr>
      </w:pPr>
      <w:r>
        <w:rPr>
          <w:rFonts w:hint="eastAsia" w:cs="宋体"/>
          <w:color w:val="auto"/>
          <w:szCs w:val="24"/>
          <w:highlight w:val="none"/>
        </w:rPr>
        <w:t>磋商</w:t>
      </w:r>
    </w:p>
    <w:p>
      <w:pPr>
        <w:pStyle w:val="5"/>
        <w:keepNext w:val="0"/>
        <w:keepLines w:val="0"/>
        <w:numPr>
          <w:ilvl w:val="0"/>
          <w:numId w:val="29"/>
        </w:numPr>
        <w:tabs>
          <w:tab w:val="left" w:pos="426"/>
          <w:tab w:val="left" w:pos="567"/>
        </w:tabs>
        <w:outlineLvl w:val="2"/>
        <w:rPr>
          <w:b w:val="0"/>
          <w:color w:val="auto"/>
          <w:sz w:val="24"/>
          <w:szCs w:val="24"/>
          <w:highlight w:val="none"/>
        </w:rPr>
      </w:pPr>
      <w:bookmarkStart w:id="43" w:name="_Toc1823"/>
      <w:bookmarkStart w:id="44" w:name="_Toc43566521"/>
      <w:bookmarkStart w:id="45" w:name="_Toc177"/>
      <w:bookmarkStart w:id="46" w:name="_Toc26653"/>
      <w:bookmarkStart w:id="47" w:name="_Toc25820"/>
      <w:bookmarkStart w:id="48" w:name="_Toc30664"/>
      <w:bookmarkStart w:id="49" w:name="_Toc1186"/>
      <w:bookmarkStart w:id="50" w:name="_Toc8445"/>
      <w:bookmarkStart w:id="51" w:name="_Toc24086"/>
      <w:bookmarkStart w:id="52" w:name="_Toc5957"/>
      <w:bookmarkStart w:id="53" w:name="_Toc28961"/>
      <w:bookmarkStart w:id="54" w:name="_Toc18863"/>
      <w:bookmarkStart w:id="55" w:name="_Toc18778"/>
      <w:bookmarkStart w:id="56" w:name="_Toc30871"/>
      <w:bookmarkStart w:id="57" w:name="_Toc6686"/>
      <w:bookmarkStart w:id="58" w:name="_Toc7480"/>
      <w:bookmarkStart w:id="59" w:name="_Toc12921"/>
      <w:bookmarkStart w:id="60" w:name="_Toc12948"/>
      <w:bookmarkStart w:id="61" w:name="_Toc23472"/>
      <w:bookmarkStart w:id="62" w:name="_Toc13463"/>
      <w:bookmarkStart w:id="63" w:name="_Toc9096"/>
      <w:bookmarkStart w:id="64" w:name="_Toc20686"/>
      <w:bookmarkStart w:id="65" w:name="_Toc19824"/>
      <w:bookmarkStart w:id="66" w:name="_Toc28211"/>
      <w:bookmarkStart w:id="67" w:name="_Toc16430"/>
      <w:bookmarkStart w:id="68" w:name="_Toc21637"/>
      <w:bookmarkStart w:id="69" w:name="_Toc5653"/>
      <w:bookmarkStart w:id="70" w:name="_Toc11240"/>
      <w:bookmarkStart w:id="71" w:name="_Toc234"/>
      <w:bookmarkStart w:id="72" w:name="_Toc28704"/>
      <w:bookmarkStart w:id="73" w:name="_Toc24322"/>
      <w:r>
        <w:rPr>
          <w:rFonts w:hint="eastAsia"/>
          <w:b w:val="0"/>
          <w:color w:val="auto"/>
          <w:sz w:val="24"/>
          <w:szCs w:val="24"/>
          <w:highlight w:val="none"/>
        </w:rPr>
        <w:t>磋商小组所有成员集中与单一供应商分别进行一轮或多轮磋商，并给予所有参加磋商的供应商平等的磋商机会。磋商顺序以现场抽签的方式确定。磋商过程中，磋商小组可以根据磋商情况调整磋商轮次。</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5"/>
        <w:keepNext w:val="0"/>
        <w:keepLines w:val="0"/>
        <w:numPr>
          <w:ilvl w:val="0"/>
          <w:numId w:val="29"/>
        </w:numPr>
        <w:tabs>
          <w:tab w:val="left" w:pos="426"/>
          <w:tab w:val="left" w:pos="567"/>
        </w:tabs>
        <w:outlineLvl w:val="2"/>
        <w:rPr>
          <w:b w:val="0"/>
          <w:color w:val="auto"/>
          <w:sz w:val="24"/>
          <w:szCs w:val="24"/>
          <w:highlight w:val="none"/>
        </w:rPr>
      </w:pPr>
      <w:bookmarkStart w:id="74" w:name="_Toc24798"/>
      <w:bookmarkStart w:id="75" w:name="_Toc19239"/>
      <w:bookmarkStart w:id="76" w:name="_Toc28752"/>
      <w:bookmarkStart w:id="77" w:name="_Toc21274"/>
      <w:bookmarkStart w:id="78" w:name="_Toc18309"/>
      <w:bookmarkStart w:id="79" w:name="_Toc14644"/>
      <w:bookmarkStart w:id="80" w:name="_Toc13670"/>
      <w:bookmarkStart w:id="81" w:name="_Toc10664"/>
      <w:bookmarkStart w:id="82" w:name="_Toc3073"/>
      <w:bookmarkStart w:id="83" w:name="_Toc5547"/>
      <w:bookmarkStart w:id="84" w:name="_Toc28551"/>
      <w:bookmarkStart w:id="85" w:name="_Toc16346"/>
      <w:bookmarkStart w:id="86" w:name="_Toc19501"/>
      <w:bookmarkStart w:id="87" w:name="_Toc14958"/>
      <w:bookmarkStart w:id="88" w:name="_Toc5759"/>
      <w:bookmarkStart w:id="89" w:name="_Toc11203"/>
      <w:bookmarkStart w:id="90" w:name="_Toc20275"/>
      <w:bookmarkStart w:id="91" w:name="_Toc1058"/>
      <w:bookmarkStart w:id="92" w:name="_Toc22424"/>
      <w:bookmarkStart w:id="93" w:name="_Toc16950"/>
      <w:bookmarkStart w:id="94" w:name="_Toc12027"/>
      <w:bookmarkStart w:id="95" w:name="_Toc29643"/>
      <w:bookmarkStart w:id="96" w:name="_Toc26144"/>
      <w:bookmarkStart w:id="97" w:name="_Toc13414"/>
      <w:bookmarkStart w:id="98" w:name="_Toc43566522"/>
      <w:bookmarkStart w:id="99" w:name="_Toc16300"/>
      <w:bookmarkStart w:id="100" w:name="_Toc17010"/>
      <w:bookmarkStart w:id="101" w:name="_Toc7651"/>
      <w:bookmarkStart w:id="102" w:name="_Toc8363"/>
      <w:bookmarkStart w:id="103" w:name="_Toc7100"/>
      <w:bookmarkStart w:id="104" w:name="_Toc5725"/>
      <w:r>
        <w:rPr>
          <w:rFonts w:hint="eastAsia"/>
          <w:b w:val="0"/>
          <w:color w:val="auto"/>
          <w:sz w:val="24"/>
          <w:szCs w:val="24"/>
          <w:highlight w:val="none"/>
        </w:rPr>
        <w:t>每轮磋商开始前，磋商小组应根据磋商文件的规定，并结合各供应商的响应文件拟定磋商内容。</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5"/>
        <w:keepNext w:val="0"/>
        <w:keepLines w:val="0"/>
        <w:numPr>
          <w:ilvl w:val="0"/>
          <w:numId w:val="29"/>
        </w:numPr>
        <w:tabs>
          <w:tab w:val="left" w:pos="426"/>
          <w:tab w:val="left" w:pos="567"/>
        </w:tabs>
        <w:outlineLvl w:val="2"/>
        <w:rPr>
          <w:b w:val="0"/>
          <w:color w:val="auto"/>
          <w:sz w:val="24"/>
          <w:szCs w:val="24"/>
          <w:highlight w:val="none"/>
        </w:rPr>
      </w:pPr>
      <w:bookmarkStart w:id="105" w:name="_Toc32131"/>
      <w:bookmarkStart w:id="106" w:name="_Toc28031"/>
      <w:bookmarkStart w:id="107" w:name="_Toc3093"/>
      <w:bookmarkStart w:id="108" w:name="_Toc24429"/>
      <w:bookmarkStart w:id="109" w:name="_Toc31513"/>
      <w:bookmarkStart w:id="110" w:name="_Toc3129"/>
      <w:bookmarkStart w:id="111" w:name="_Toc12103"/>
      <w:bookmarkStart w:id="112" w:name="_Toc1822"/>
      <w:bookmarkStart w:id="113" w:name="_Toc5655"/>
      <w:bookmarkStart w:id="114" w:name="_Toc8711"/>
      <w:bookmarkStart w:id="115" w:name="_Toc30727"/>
      <w:bookmarkStart w:id="116" w:name="_Toc3854"/>
      <w:bookmarkStart w:id="117" w:name="_Toc1260"/>
      <w:bookmarkStart w:id="118" w:name="_Toc7002"/>
      <w:bookmarkStart w:id="119" w:name="_Toc17631"/>
      <w:bookmarkStart w:id="120" w:name="_Toc22981"/>
      <w:bookmarkStart w:id="121" w:name="_Toc9387"/>
      <w:bookmarkStart w:id="122" w:name="_Toc2076"/>
      <w:bookmarkStart w:id="123" w:name="_Toc12563"/>
      <w:bookmarkStart w:id="124" w:name="_Toc29139"/>
      <w:bookmarkStart w:id="125" w:name="_Toc7955"/>
      <w:bookmarkStart w:id="126" w:name="_Toc14027"/>
      <w:bookmarkStart w:id="127" w:name="_Toc26003"/>
      <w:bookmarkStart w:id="128" w:name="_Toc43566523"/>
      <w:bookmarkStart w:id="129" w:name="_Toc12444"/>
      <w:bookmarkStart w:id="130" w:name="_Toc14318"/>
      <w:bookmarkStart w:id="131" w:name="_Toc31379"/>
      <w:bookmarkStart w:id="132" w:name="_Toc1515"/>
      <w:bookmarkStart w:id="133" w:name="_Toc18130"/>
      <w:bookmarkStart w:id="134" w:name="_Toc11261"/>
      <w:bookmarkStart w:id="135" w:name="_Toc15259"/>
      <w:r>
        <w:rPr>
          <w:rFonts w:hint="eastAsia"/>
          <w:b w:val="0"/>
          <w:color w:val="auto"/>
          <w:sz w:val="24"/>
          <w:szCs w:val="24"/>
          <w:highlight w:val="none"/>
        </w:rPr>
        <w:t>在磋商过程中，磋商小组可以根据磋商文件和磋商情况实质性变动磋商文件第3章中要求以及合同草案条款，但不得变动磋商文件中的其他内容。实质性变动的内容，须经采购人代表书面确认。</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pStyle w:val="5"/>
        <w:keepNext w:val="0"/>
        <w:keepLines w:val="0"/>
        <w:numPr>
          <w:ilvl w:val="0"/>
          <w:numId w:val="29"/>
        </w:numPr>
        <w:tabs>
          <w:tab w:val="left" w:pos="426"/>
          <w:tab w:val="left" w:pos="567"/>
        </w:tabs>
        <w:outlineLvl w:val="2"/>
        <w:rPr>
          <w:b w:val="0"/>
          <w:color w:val="auto"/>
          <w:sz w:val="24"/>
          <w:szCs w:val="24"/>
          <w:highlight w:val="none"/>
        </w:rPr>
      </w:pPr>
      <w:bookmarkStart w:id="136" w:name="_Toc20981"/>
      <w:bookmarkStart w:id="137" w:name="_Toc9861"/>
      <w:bookmarkStart w:id="138" w:name="_Toc23592"/>
      <w:bookmarkStart w:id="139" w:name="_Toc12026"/>
      <w:bookmarkStart w:id="140" w:name="_Toc30395"/>
      <w:bookmarkStart w:id="141" w:name="_Toc15406"/>
      <w:bookmarkStart w:id="142" w:name="_Toc26943"/>
      <w:bookmarkStart w:id="143" w:name="_Toc15891"/>
      <w:bookmarkStart w:id="144" w:name="_Toc18133"/>
      <w:bookmarkStart w:id="145" w:name="_Toc19446"/>
      <w:bookmarkStart w:id="146" w:name="_Toc217"/>
      <w:bookmarkStart w:id="147" w:name="_Toc12380"/>
      <w:bookmarkStart w:id="148" w:name="_Toc24161"/>
      <w:bookmarkStart w:id="149" w:name="_Toc2802"/>
      <w:bookmarkStart w:id="150" w:name="_Toc20165"/>
      <w:bookmarkStart w:id="151" w:name="_Toc1947"/>
      <w:bookmarkStart w:id="152" w:name="_Toc5480"/>
      <w:bookmarkStart w:id="153" w:name="_Toc22086"/>
      <w:bookmarkStart w:id="154" w:name="_Toc5170"/>
      <w:bookmarkStart w:id="155" w:name="_Toc23880"/>
      <w:bookmarkStart w:id="156" w:name="_Toc14624"/>
      <w:bookmarkStart w:id="157" w:name="_Toc20322"/>
      <w:bookmarkStart w:id="158" w:name="_Toc25538"/>
      <w:bookmarkStart w:id="159" w:name="_Toc23230"/>
      <w:bookmarkStart w:id="160" w:name="_Toc20339"/>
      <w:bookmarkStart w:id="161" w:name="_Toc15692"/>
      <w:bookmarkStart w:id="162" w:name="_Toc15411"/>
      <w:bookmarkStart w:id="163" w:name="_Toc30040"/>
      <w:bookmarkStart w:id="164" w:name="_Toc17886"/>
      <w:bookmarkStart w:id="165" w:name="_Toc43566524"/>
      <w:bookmarkStart w:id="166" w:name="_Toc23382"/>
      <w:r>
        <w:rPr>
          <w:rFonts w:hint="eastAsia"/>
          <w:b w:val="0"/>
          <w:color w:val="auto"/>
          <w:sz w:val="24"/>
          <w:szCs w:val="24"/>
          <w:highlight w:val="none"/>
        </w:rPr>
        <w:t>对磋商文件作出的实质性变动是磋商文件的有效组成部分，磋商小组应当及时以书面形式同时通知所有参加磋商的供应商。</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Style w:val="5"/>
        <w:keepNext w:val="0"/>
        <w:keepLines w:val="0"/>
        <w:numPr>
          <w:ilvl w:val="0"/>
          <w:numId w:val="29"/>
        </w:numPr>
        <w:tabs>
          <w:tab w:val="left" w:pos="426"/>
          <w:tab w:val="left" w:pos="567"/>
        </w:tabs>
        <w:outlineLvl w:val="2"/>
        <w:rPr>
          <w:b w:val="0"/>
          <w:color w:val="auto"/>
          <w:sz w:val="24"/>
          <w:szCs w:val="24"/>
          <w:highlight w:val="none"/>
        </w:rPr>
      </w:pPr>
      <w:bookmarkStart w:id="167" w:name="_Toc19631"/>
      <w:bookmarkStart w:id="168" w:name="_Toc15795"/>
      <w:bookmarkStart w:id="169" w:name="_Toc22606"/>
      <w:bookmarkStart w:id="170" w:name="_Toc18549"/>
      <w:bookmarkStart w:id="171" w:name="_Toc7936"/>
      <w:bookmarkStart w:id="172" w:name="_Toc23403"/>
      <w:bookmarkStart w:id="173" w:name="_Toc22337"/>
      <w:bookmarkStart w:id="174" w:name="_Toc15620"/>
      <w:bookmarkStart w:id="175" w:name="_Toc31030"/>
      <w:bookmarkStart w:id="176" w:name="_Toc29632"/>
      <w:bookmarkStart w:id="177" w:name="_Toc25838"/>
      <w:bookmarkStart w:id="178" w:name="_Toc31776"/>
      <w:bookmarkStart w:id="179" w:name="_Toc7148"/>
      <w:bookmarkStart w:id="180" w:name="_Toc13764"/>
      <w:bookmarkStart w:id="181" w:name="_Toc17566"/>
      <w:bookmarkStart w:id="182" w:name="_Toc18974"/>
      <w:bookmarkStart w:id="183" w:name="_Toc43566525"/>
      <w:bookmarkStart w:id="184" w:name="_Toc5435"/>
      <w:bookmarkStart w:id="185" w:name="_Toc18506"/>
      <w:bookmarkStart w:id="186" w:name="_Toc16727"/>
      <w:bookmarkStart w:id="187" w:name="_Toc29518"/>
      <w:bookmarkStart w:id="188" w:name="_Toc2784"/>
      <w:bookmarkStart w:id="189" w:name="_Toc26817"/>
      <w:bookmarkStart w:id="190" w:name="_Toc6250"/>
      <w:bookmarkStart w:id="191" w:name="_Toc20410"/>
      <w:bookmarkStart w:id="192" w:name="_Toc19144"/>
      <w:bookmarkStart w:id="193" w:name="_Toc12219"/>
      <w:bookmarkStart w:id="194" w:name="_Toc11224"/>
      <w:bookmarkStart w:id="195" w:name="_Toc7430"/>
      <w:bookmarkStart w:id="196" w:name="_Toc7401"/>
      <w:bookmarkStart w:id="197" w:name="_Toc25226"/>
      <w:r>
        <w:rPr>
          <w:rFonts w:hint="eastAsia"/>
          <w:b w:val="0"/>
          <w:color w:val="auto"/>
          <w:sz w:val="24"/>
          <w:szCs w:val="24"/>
          <w:highlight w:val="none"/>
        </w:rPr>
        <w:t>磋商过程中，磋商文件变动的，供应商应当按照磋商文件的变动情况和磋商小组的要求重新提交响应文件，并由其法定代表人/主要负责人/本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5"/>
        <w:keepNext w:val="0"/>
        <w:keepLines w:val="0"/>
        <w:numPr>
          <w:ilvl w:val="0"/>
          <w:numId w:val="29"/>
        </w:numPr>
        <w:tabs>
          <w:tab w:val="left" w:pos="426"/>
          <w:tab w:val="left" w:pos="567"/>
        </w:tabs>
        <w:outlineLvl w:val="2"/>
        <w:rPr>
          <w:b w:val="0"/>
          <w:color w:val="auto"/>
          <w:sz w:val="24"/>
          <w:szCs w:val="24"/>
          <w:highlight w:val="none"/>
        </w:rPr>
      </w:pPr>
      <w:bookmarkStart w:id="198" w:name="_Toc4895"/>
      <w:bookmarkStart w:id="199" w:name="_Toc28606"/>
      <w:bookmarkStart w:id="200" w:name="_Toc12081"/>
      <w:bookmarkStart w:id="201" w:name="_Toc1180"/>
      <w:bookmarkStart w:id="202" w:name="_Toc25847"/>
      <w:bookmarkStart w:id="203" w:name="_Toc15180"/>
      <w:bookmarkStart w:id="204" w:name="_Toc4343"/>
      <w:bookmarkStart w:id="205" w:name="_Toc11758"/>
      <w:bookmarkStart w:id="206" w:name="_Toc30181"/>
      <w:bookmarkStart w:id="207" w:name="_Toc26127"/>
      <w:bookmarkStart w:id="208" w:name="_Toc18387"/>
      <w:bookmarkStart w:id="209" w:name="_Toc685"/>
      <w:bookmarkStart w:id="210" w:name="_Toc11494"/>
      <w:bookmarkStart w:id="211" w:name="_Toc5575"/>
      <w:bookmarkStart w:id="212" w:name="_Toc43566526"/>
      <w:bookmarkStart w:id="213" w:name="_Toc10100"/>
      <w:bookmarkStart w:id="214" w:name="_Toc6692"/>
      <w:bookmarkStart w:id="215" w:name="_Toc7926"/>
      <w:bookmarkStart w:id="216" w:name="_Toc3023"/>
      <w:bookmarkStart w:id="217" w:name="_Toc14295"/>
      <w:bookmarkStart w:id="218" w:name="_Toc22757"/>
      <w:bookmarkStart w:id="219" w:name="_Toc961"/>
      <w:bookmarkStart w:id="220" w:name="_Toc13223"/>
      <w:bookmarkStart w:id="221" w:name="_Toc9008"/>
      <w:bookmarkStart w:id="222" w:name="_Toc7797"/>
      <w:bookmarkStart w:id="223" w:name="_Toc14008"/>
      <w:bookmarkStart w:id="224" w:name="_Toc32216"/>
      <w:bookmarkStart w:id="225" w:name="_Toc6346"/>
      <w:bookmarkStart w:id="226" w:name="_Toc4947"/>
      <w:bookmarkStart w:id="227" w:name="_Toc27402"/>
      <w:bookmarkStart w:id="228" w:name="_Toc4052"/>
      <w:r>
        <w:rPr>
          <w:rFonts w:hint="eastAsia"/>
          <w:b w:val="0"/>
          <w:color w:val="auto"/>
          <w:sz w:val="24"/>
          <w:szCs w:val="24"/>
          <w:highlight w:val="none"/>
        </w:rPr>
        <w:t>磋商过程中，磋商的任何一方不得透露与磋商有关的其他供应商的技术资料、价格和其他信息。</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pStyle w:val="5"/>
        <w:keepNext w:val="0"/>
        <w:keepLines w:val="0"/>
        <w:numPr>
          <w:ilvl w:val="0"/>
          <w:numId w:val="29"/>
        </w:numPr>
        <w:tabs>
          <w:tab w:val="left" w:pos="426"/>
          <w:tab w:val="left" w:pos="567"/>
        </w:tabs>
        <w:outlineLvl w:val="2"/>
        <w:rPr>
          <w:b w:val="0"/>
          <w:color w:val="auto"/>
          <w:sz w:val="24"/>
          <w:szCs w:val="24"/>
          <w:highlight w:val="none"/>
        </w:rPr>
      </w:pPr>
      <w:bookmarkStart w:id="229" w:name="_Toc43566527"/>
      <w:bookmarkStart w:id="230" w:name="_Toc9431"/>
      <w:bookmarkStart w:id="231" w:name="_Toc5251"/>
      <w:bookmarkStart w:id="232" w:name="_Toc9766"/>
      <w:bookmarkStart w:id="233" w:name="_Toc8490"/>
      <w:bookmarkStart w:id="234" w:name="_Toc30938"/>
      <w:bookmarkStart w:id="235" w:name="_Toc20292"/>
      <w:bookmarkStart w:id="236" w:name="_Toc19525"/>
      <w:bookmarkStart w:id="237" w:name="_Toc1340"/>
      <w:bookmarkStart w:id="238" w:name="_Toc31442"/>
      <w:bookmarkStart w:id="239" w:name="_Toc30367"/>
      <w:bookmarkStart w:id="240" w:name="_Toc3944"/>
      <w:bookmarkStart w:id="241" w:name="_Toc4159"/>
      <w:bookmarkStart w:id="242" w:name="_Toc7697"/>
      <w:bookmarkStart w:id="243" w:name="_Toc4662"/>
      <w:bookmarkStart w:id="244" w:name="_Toc10212"/>
      <w:bookmarkStart w:id="245" w:name="_Toc30506"/>
      <w:bookmarkStart w:id="246" w:name="_Toc25172"/>
      <w:bookmarkStart w:id="247" w:name="_Toc22105"/>
      <w:bookmarkStart w:id="248" w:name="_Toc31972"/>
      <w:bookmarkStart w:id="249" w:name="_Toc18334"/>
      <w:bookmarkStart w:id="250" w:name="_Toc9842"/>
      <w:bookmarkStart w:id="251" w:name="_Toc20680"/>
      <w:bookmarkStart w:id="252" w:name="_Toc4331"/>
      <w:bookmarkStart w:id="253" w:name="_Toc23573"/>
      <w:bookmarkStart w:id="254" w:name="_Toc6585"/>
      <w:bookmarkStart w:id="255" w:name="_Toc15744"/>
      <w:bookmarkStart w:id="256" w:name="_Toc16194"/>
      <w:bookmarkStart w:id="257" w:name="_Toc26261"/>
      <w:bookmarkStart w:id="258" w:name="_Toc30011"/>
      <w:bookmarkStart w:id="259" w:name="_Toc3164"/>
      <w:r>
        <w:rPr>
          <w:rFonts w:hint="eastAsia"/>
          <w:b w:val="0"/>
          <w:color w:val="auto"/>
          <w:sz w:val="24"/>
          <w:szCs w:val="24"/>
          <w:highlight w:val="none"/>
        </w:rPr>
        <w:t>磋商过程中，磋商小组发现或者知晓供应商存在违法、违纪行为的，磋商小组应当将该供应商响应文件作无效处理，不允许其提交最后报价。</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numPr>
          <w:ilvl w:val="0"/>
          <w:numId w:val="29"/>
        </w:numPr>
        <w:spacing w:line="360" w:lineRule="auto"/>
        <w:outlineLvl w:val="2"/>
        <w:rPr>
          <w:color w:val="auto"/>
          <w:highlight w:val="none"/>
        </w:rPr>
      </w:pPr>
      <w:r>
        <w:rPr>
          <w:rFonts w:hint="eastAsia" w:ascii="宋体" w:hAnsi="宋体"/>
          <w:color w:val="auto"/>
          <w:highlight w:val="none"/>
        </w:rPr>
        <w:t xml:space="preserve">磋商完成后，磋商小组应出具磋商情况记录表，磋商情况记录表需包含磋商内容、磋商意见、实质性变动内容等。   </w:t>
      </w:r>
    </w:p>
    <w:p>
      <w:pPr>
        <w:pStyle w:val="5"/>
        <w:ind w:left="80" w:leftChars="0" w:firstLine="482" w:firstLineChars="0"/>
        <w:rPr>
          <w:rFonts w:cs="宋体"/>
          <w:color w:val="auto"/>
          <w:szCs w:val="24"/>
          <w:highlight w:val="none"/>
        </w:rPr>
      </w:pPr>
      <w:r>
        <w:rPr>
          <w:rFonts w:hint="eastAsia" w:cs="宋体"/>
          <w:color w:val="auto"/>
          <w:szCs w:val="24"/>
          <w:highlight w:val="none"/>
        </w:rPr>
        <w:t>供应商的澄清、说明或者更正</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w:t>
      </w:r>
    </w:p>
    <w:p>
      <w:pPr>
        <w:pStyle w:val="5"/>
        <w:ind w:left="80" w:leftChars="0" w:firstLine="482" w:firstLineChars="0"/>
        <w:rPr>
          <w:rFonts w:cs="宋体"/>
          <w:color w:val="auto"/>
          <w:szCs w:val="24"/>
          <w:highlight w:val="none"/>
        </w:rPr>
      </w:pPr>
      <w:r>
        <w:rPr>
          <w:rFonts w:hint="eastAsia" w:cs="宋体"/>
          <w:color w:val="auto"/>
          <w:szCs w:val="24"/>
          <w:highlight w:val="none"/>
        </w:rPr>
        <w:t>磋商失败情形</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磋商过程中，如有下列情形之一的，磋商失败：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一、参加本节规定的磋商的供应商不足三家的，通过资格性审查不足三家的；</w:t>
      </w:r>
    </w:p>
    <w:p>
      <w:pPr>
        <w:tabs>
          <w:tab w:val="left" w:pos="851"/>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二、磋商结束，响应文件满足竞争性磋商文件规定的采购项目最低要求的供应商不足三家的(符合《财政部关于政府采购竞争性磋商采购方式管理暂行办法有关问题的补充通知》财库【2015】124号文要求的除外)；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三、提交最后报价的供应商不足三家的(符合《财政部关于政府采购竞争性磋商采购方式管理暂行办法有关问题的补充通知》财库【2015】124号文要求的除外)；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四、经磋商小组评审，最后报价符合竞争性磋商文件要求的供应商不足三家的(符合《财政部关于政府采购竞争性磋商采购方式管理暂行办法有关问题的补充通知》财库【2015】124号文要求的除外)。</w:t>
      </w:r>
    </w:p>
    <w:p>
      <w:pPr>
        <w:pStyle w:val="5"/>
        <w:ind w:left="80" w:leftChars="0" w:firstLine="482" w:firstLineChars="0"/>
        <w:rPr>
          <w:rFonts w:cs="宋体"/>
          <w:color w:val="auto"/>
          <w:szCs w:val="24"/>
          <w:highlight w:val="none"/>
        </w:rPr>
      </w:pPr>
      <w:r>
        <w:rPr>
          <w:rFonts w:hint="eastAsia" w:cs="宋体"/>
          <w:color w:val="auto"/>
          <w:szCs w:val="24"/>
          <w:highlight w:val="none"/>
        </w:rPr>
        <w:t>综合评分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综合评分法，是指响应文件满足竞争性磋商文件全部实质性要求且按评审因素的量化指标评审得分最高的供应商为成交候选供应商的评审方法。</w:t>
      </w:r>
    </w:p>
    <w:p>
      <w:pPr>
        <w:pStyle w:val="24"/>
        <w:snapToGrid w:val="0"/>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一、评分细则及标准</w:t>
      </w:r>
    </w:p>
    <w:p>
      <w:pPr>
        <w:pStyle w:val="2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（一）经磋商确定最终采购需求和提交最后报价的供应商后，由磋商小组采用综合评分法对提交最后报价的供应商的响应文件和最后报价进行综合评分；</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（二）本次综合评分的因素是：价格、技术、服务等；</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（三）评审时，磋商小组各成员应当独立对每个有效响应的文件进行评价、打分，然后汇总每个供应商每项评分因素的得分。</w:t>
      </w:r>
    </w:p>
    <w:p>
      <w:pPr>
        <w:widowControl w:val="0"/>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二、评分办法</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磋商小组各成员独立对每个有效响应文件进行评审和打分，各位评委得分的算术平均数为供应商的最终得分。</w:t>
      </w:r>
    </w:p>
    <w:p>
      <w:pPr>
        <w:spacing w:line="360" w:lineRule="auto"/>
        <w:ind w:firstLine="480" w:firstLineChars="200"/>
        <w:rPr>
          <w:rFonts w:ascii="宋体" w:hAnsi="宋体"/>
          <w:color w:val="auto"/>
          <w:highlight w:val="none"/>
        </w:rPr>
      </w:pPr>
      <w:r>
        <w:rPr>
          <w:rFonts w:hint="eastAsia" w:ascii="宋体" w:hAnsi="宋体"/>
          <w:color w:val="auto"/>
          <w:highlight w:val="none"/>
        </w:rPr>
        <w:t>评审得分＝（A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）/n</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3</w:t>
      </w:r>
    </w:p>
    <w:p>
      <w:pPr>
        <w:spacing w:line="360" w:lineRule="auto"/>
        <w:ind w:firstLine="480" w:firstLineChars="200"/>
        <w:rPr>
          <w:rFonts w:ascii="宋体" w:hAnsi="宋体"/>
          <w:color w:val="auto"/>
          <w:highlight w:val="none"/>
        </w:rPr>
      </w:pPr>
      <w:r>
        <w:rPr>
          <w:rFonts w:hint="eastAsia" w:ascii="宋体" w:hAnsi="宋体"/>
          <w:color w:val="auto"/>
          <w:highlight w:val="none"/>
        </w:rPr>
        <w:t>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分别为每个</w:t>
      </w:r>
      <w:r>
        <w:rPr>
          <w:rFonts w:hint="eastAsia" w:ascii="宋体" w:hAnsi="宋体" w:cs="宋体"/>
          <w:color w:val="auto"/>
          <w:highlight w:val="none"/>
        </w:rPr>
        <w:t>经济类</w:t>
      </w:r>
      <w:r>
        <w:rPr>
          <w:rFonts w:hint="eastAsia" w:ascii="宋体" w:hAnsi="宋体"/>
          <w:color w:val="auto"/>
          <w:highlight w:val="none"/>
        </w:rPr>
        <w:t>评委的打分，n</w:t>
      </w:r>
      <w:r>
        <w:rPr>
          <w:rFonts w:hint="eastAsia" w:ascii="宋体" w:hAnsi="宋体"/>
          <w:color w:val="auto"/>
          <w:highlight w:val="none"/>
          <w:vertAlign w:val="subscript"/>
        </w:rPr>
        <w:t>1</w:t>
      </w:r>
      <w:r>
        <w:rPr>
          <w:rFonts w:hint="eastAsia" w:ascii="宋体" w:hAnsi="宋体"/>
          <w:color w:val="auto"/>
          <w:highlight w:val="none"/>
        </w:rPr>
        <w:t>为</w:t>
      </w:r>
      <w:r>
        <w:rPr>
          <w:rFonts w:hint="eastAsia" w:ascii="宋体" w:hAnsi="宋体" w:cs="宋体"/>
          <w:color w:val="auto"/>
          <w:highlight w:val="none"/>
        </w:rPr>
        <w:t>经济类</w:t>
      </w:r>
      <w:r>
        <w:rPr>
          <w:rFonts w:hint="eastAsia" w:ascii="宋体" w:hAnsi="宋体"/>
          <w:color w:val="auto"/>
          <w:highlight w:val="none"/>
        </w:rPr>
        <w:t>评委人数；B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xml:space="preserve"> 分别为每个技术类评委（含采购人代表）的打分，n</w:t>
      </w:r>
      <w:r>
        <w:rPr>
          <w:rFonts w:hint="eastAsia" w:ascii="宋体" w:hAnsi="宋体"/>
          <w:color w:val="auto"/>
          <w:highlight w:val="none"/>
          <w:vertAlign w:val="subscript"/>
        </w:rPr>
        <w:t>2</w:t>
      </w:r>
      <w:r>
        <w:rPr>
          <w:rFonts w:hint="eastAsia" w:ascii="宋体" w:hAnsi="宋体"/>
          <w:color w:val="auto"/>
          <w:highlight w:val="none"/>
        </w:rPr>
        <w:t>为</w:t>
      </w:r>
      <w:r>
        <w:rPr>
          <w:rFonts w:hint="eastAsia" w:ascii="宋体" w:hAnsi="宋体" w:cs="宋体"/>
          <w:color w:val="auto"/>
          <w:highlight w:val="none"/>
        </w:rPr>
        <w:t>技术类</w:t>
      </w:r>
      <w:r>
        <w:rPr>
          <w:rFonts w:hint="eastAsia" w:ascii="宋体" w:hAnsi="宋体"/>
          <w:color w:val="auto"/>
          <w:highlight w:val="none"/>
        </w:rPr>
        <w:t>评委（含采购人代表）人数；C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xml:space="preserve"> 分别为评审委员会每个成员的打分，n</w:t>
      </w:r>
      <w:r>
        <w:rPr>
          <w:rFonts w:hint="eastAsia" w:ascii="宋体" w:hAnsi="宋体"/>
          <w:color w:val="auto"/>
          <w:highlight w:val="none"/>
          <w:vertAlign w:val="subscript"/>
        </w:rPr>
        <w:t>3</w:t>
      </w:r>
      <w:r>
        <w:rPr>
          <w:rFonts w:hint="eastAsia" w:ascii="宋体" w:hAnsi="宋体"/>
          <w:color w:val="auto"/>
          <w:highlight w:val="none"/>
        </w:rPr>
        <w:t>为评委人数。</w:t>
      </w:r>
    </w:p>
    <w:p>
      <w:pPr>
        <w:widowControl w:val="0"/>
        <w:numPr>
          <w:ilvl w:val="0"/>
          <w:numId w:val="30"/>
        </w:numPr>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评分标准</w:t>
      </w:r>
    </w:p>
    <w:tbl>
      <w:tblPr>
        <w:tblStyle w:val="44"/>
        <w:tblpPr w:leftFromText="180" w:rightFromText="180" w:vertAnchor="text" w:horzAnchor="page" w:tblpX="1259" w:tblpY="450"/>
        <w:tblOverlap w:val="never"/>
        <w:tblW w:w="98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170"/>
        <w:gridCol w:w="6960"/>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065"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评委类型</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65"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共同评审</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报价评审</w:t>
            </w:r>
          </w:p>
        </w:tc>
        <w:tc>
          <w:tcPr>
            <w:tcW w:w="6960" w:type="dxa"/>
            <w:noWrap w:val="0"/>
            <w:tcMar>
              <w:top w:w="0" w:type="dxa"/>
              <w:left w:w="80" w:type="dxa"/>
              <w:bottom w:w="0" w:type="dxa"/>
              <w:right w:w="0" w:type="dxa"/>
            </w:tcMar>
            <w:vAlign w:val="top"/>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经评审的最低有效</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作为评审基准价；</w:t>
            </w:r>
          </w:p>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报价得分=(评审基准价／</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1065" w:type="dxa"/>
            <w:vMerge w:val="restart"/>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技术类评委</w:t>
            </w:r>
          </w:p>
        </w:tc>
        <w:tc>
          <w:tcPr>
            <w:tcW w:w="1170" w:type="dxa"/>
            <w:vMerge w:val="restart"/>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w:t>
            </w:r>
          </w:p>
        </w:tc>
        <w:tc>
          <w:tcPr>
            <w:tcW w:w="696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left="24" w:leftChars="10" w:right="24" w:rightChars="1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针对本项目提供的策划方案进行综合比较评分，策划方案分为巡演方案和精品汇演方案。</w:t>
            </w:r>
          </w:p>
          <w:p>
            <w:pPr>
              <w:keepNext w:val="0"/>
              <w:keepLines w:val="0"/>
              <w:pageBreakBefore w:val="0"/>
              <w:widowControl/>
              <w:kinsoku/>
              <w:wordWrap/>
              <w:overflowPunct/>
              <w:topLinePunct w:val="0"/>
              <w:bidi w:val="0"/>
              <w:snapToGrid/>
              <w:spacing w:line="360" w:lineRule="auto"/>
              <w:ind w:left="24" w:leftChars="10" w:right="24" w:rightChars="1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演方案至少包含：1、演出主题；2、节目演出形式（至少包含演出形式种类、各类形式的节目清单）；3、新创节目创作方案不低于3个（至少包含创作大纲、创作思路）；4、宣传策划方案（包含宣传方式、媒体资源、宣传计划等）；5、备选节目计划；共得10分。每缺一项或某项不合理或存在缺陷的，一个扣2分，扣完为止。</w:t>
            </w:r>
          </w:p>
          <w:p>
            <w:pPr>
              <w:keepNext w:val="0"/>
              <w:keepLines w:val="0"/>
              <w:pageBreakBefore w:val="0"/>
              <w:widowControl/>
              <w:kinsoku/>
              <w:wordWrap/>
              <w:overflowPunct/>
              <w:topLinePunct w:val="0"/>
              <w:bidi w:val="0"/>
              <w:snapToGrid/>
              <w:spacing w:line="360" w:lineRule="auto"/>
              <w:ind w:left="24" w:leftChars="10" w:right="24" w:rightChars="1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精品汇演方案至少包含：1、演出主题；2、节目演出形式（至少包含演出形式种类、各类形式的节目清单）；3、新创节目创作方案不低于3个（至少包含创作大纲、创作思路）；4、宣传策划方案（包含宣传方式、媒体资源、宣传计划等）；5、备选节目计划；共得10分。每缺一项或某项不合理或存在缺陷的，一个扣2分，扣完为止。</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vMerge w:val="continue"/>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p>
        </w:tc>
        <w:tc>
          <w:tcPr>
            <w:tcW w:w="696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left="24" w:leftChars="10" w:right="24" w:rightChars="1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针对本项目提供的单场演出方案进行综合比较评分，单场演出方案分为单场巡演和单场精品汇演。</w:t>
            </w:r>
          </w:p>
          <w:p>
            <w:pPr>
              <w:keepNext w:val="0"/>
              <w:keepLines w:val="0"/>
              <w:pageBreakBefore w:val="0"/>
              <w:widowControl/>
              <w:kinsoku/>
              <w:wordWrap/>
              <w:overflowPunct/>
              <w:topLinePunct w:val="0"/>
              <w:bidi w:val="0"/>
              <w:snapToGrid/>
              <w:spacing w:line="360" w:lineRule="auto"/>
              <w:ind w:left="24" w:leftChars="10" w:right="24" w:rightChars="1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场巡演方案至少包含：1、人员配置清单（包括所有团队人员，列明岗位职责、相关的专业证书等）；2、设施设备配置计划；3、氛围营造方案（包含：融入的互动节目类型、氛围的形成效果和目的等）；4、舞台搭建方案（包含：搭建完成时间计划、舞台的美术设计、搭建舞台规模等）；共得8分。每缺一项方案或某个方案不合理或存在缺陷的，一个扣2分，扣完为止。</w:t>
            </w:r>
          </w:p>
          <w:p>
            <w:pPr>
              <w:keepNext w:val="0"/>
              <w:keepLines w:val="0"/>
              <w:pageBreakBefore w:val="0"/>
              <w:widowControl/>
              <w:kinsoku/>
              <w:wordWrap/>
              <w:overflowPunct/>
              <w:topLinePunct w:val="0"/>
              <w:bidi w:val="0"/>
              <w:snapToGrid/>
              <w:spacing w:line="360" w:lineRule="auto"/>
              <w:ind w:left="24" w:leftChars="10" w:right="24" w:rightChars="1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单场精品汇演方案至少包含：1、人员配置清单（包括所有团队人员，列明岗位职责、相关的专业证书等）；2、设施设备配置计划；3、氛围营造方案（包含：融入的互动节目类型、氛围的形成效果和目的等）；4、舞台搭建方案（包含：搭建完成时间计划、舞台的美术设计、搭建舞台规模等）；共得8分。每缺一项方案或某个方案不合理或存在缺陷的，一个扣2分，扣完为止。</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vMerge w:val="continue"/>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default" w:ascii="宋体" w:hAnsi="宋体" w:eastAsia="宋体" w:cs="宋体"/>
                <w:color w:val="auto"/>
                <w:sz w:val="24"/>
                <w:szCs w:val="24"/>
                <w:highlight w:val="none"/>
                <w:lang w:val="en-US" w:eastAsia="zh-CN"/>
              </w:rPr>
            </w:pP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的应急方案，应急方案至少包含：1、演出过程中及演出准备过程中的意外处理；2、灾害天气的应对措施；3、设施设备故障处理；4、演出活动中的突发事件处理；共得8分。每缺一项方案或某个方案不合理或存在缺陷的，一个扣2分，扣完为止。</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1065" w:type="dxa"/>
            <w:vMerge w:val="restart"/>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共同评审</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人员配置</w:t>
            </w: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的单场演出的演员在32人及以上（不包括音响灯光师、主持人、领队及其他剧务人员），演出队伍由受过艺术院校教育或专门艺术训练的专业演员组成，均具有国家颁发的专业证书或学历证明（提供相关证明材料），得6分。</w:t>
            </w:r>
          </w:p>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供应商针对本项目拟投入的演出人员中，国家一级演员的，一个得1.5分，国家二级演员，一个得1分，国家三级演员，一个得0.5分。本项最多得9分。（说明：提供国家级演员相关证明材料）</w:t>
            </w:r>
          </w:p>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2、供应商针对本项目提供的灯光师具有灯光师证的 ，1个得1分（最多得2分）；音响师具有音响师证的，1个得1分（最多得2分）；舞美视频工程师1个得1分（最多得2分）。本项目最多得6分。（说明：提供证书复印件。）</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供应商2017年1月1日至今，每一年成功承办类似演出项目40场及以上的得4分，最多得8分。（说明：提供合同复印件，同时提供资金往来的银行票据或开具的正式发票复印件）</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综合实力</w:t>
            </w:r>
          </w:p>
        </w:tc>
        <w:tc>
          <w:tcPr>
            <w:tcW w:w="6960" w:type="dxa"/>
            <w:noWrap w:val="0"/>
            <w:tcMar>
              <w:top w:w="0" w:type="dxa"/>
              <w:left w:w="80" w:type="dxa"/>
              <w:bottom w:w="0" w:type="dxa"/>
              <w:right w:w="0" w:type="dxa"/>
            </w:tcMar>
            <w:vAlign w:val="top"/>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供应商拟用于本项目演出的创编节目，自2018年1月1日至今获得过：市级奖项的每个得0.5分；省级奖项每个1分；国家级及以上奖项的每个得2分。本项最多得10分。（说明：提供相关证明材料复印件。）</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065"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noWrap w:val="0"/>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设备配置</w:t>
            </w: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供应商针对本项目提供的舞台设施设备清单符合本项目要求的，得4分，未提供或提供的设备不符合本项目要求的不得分。</w:t>
            </w:r>
          </w:p>
        </w:tc>
        <w:tc>
          <w:tcPr>
            <w:tcW w:w="630"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65"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noWrap w:val="0"/>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的规范性</w:t>
            </w: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制作规范，没有细微偏差情形的得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分；有一项细微偏差扣0.5分，直至该项分值扣完为止。</w:t>
            </w:r>
          </w:p>
        </w:tc>
        <w:tc>
          <w:tcPr>
            <w:tcW w:w="630"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65"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p>
        </w:tc>
        <w:tc>
          <w:tcPr>
            <w:tcW w:w="117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不发达地区或少数民族地区</w:t>
            </w: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如为不发达地区或少数民族地区的，得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sz w:val="24"/>
                <w:szCs w:val="24"/>
                <w:highlight w:val="none"/>
              </w:rPr>
              <w:t>注：</w:t>
            </w:r>
            <w:r>
              <w:rPr>
                <w:rFonts w:hint="eastAsia" w:ascii="宋体" w:hAnsi="宋体" w:eastAsia="宋体" w:cs="宋体"/>
                <w:color w:val="000000"/>
                <w:sz w:val="24"/>
                <w:szCs w:val="24"/>
                <w:highlight w:val="none"/>
              </w:rPr>
              <w:t>以</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营业执照上注册地为准</w:t>
            </w:r>
            <w:r>
              <w:rPr>
                <w:rFonts w:hint="eastAsia" w:ascii="宋体" w:hAnsi="宋体" w:eastAsia="宋体" w:cs="宋体"/>
                <w:sz w:val="24"/>
                <w:szCs w:val="24"/>
                <w:highlight w:val="none"/>
              </w:rPr>
              <w:t>。</w:t>
            </w:r>
          </w:p>
        </w:tc>
        <w:tc>
          <w:tcPr>
            <w:tcW w:w="630"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bl>
    <w:p>
      <w:pPr>
        <w:pStyle w:val="2"/>
        <w:rPr>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说明：</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1、评分的取值按四舍五入法，保留小数点后两位；</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2、评分标准中要求提供复印件的证明材料须清晰可辨。</w:t>
      </w:r>
    </w:p>
    <w:p>
      <w:pPr>
        <w:pStyle w:val="5"/>
        <w:ind w:left="80" w:leftChars="0" w:firstLine="482" w:firstLineChars="0"/>
        <w:rPr>
          <w:rFonts w:cs="宋体"/>
          <w:color w:val="auto"/>
          <w:szCs w:val="24"/>
          <w:highlight w:val="none"/>
        </w:rPr>
      </w:pPr>
      <w:r>
        <w:rPr>
          <w:rFonts w:hint="eastAsia" w:cs="宋体"/>
          <w:color w:val="auto"/>
          <w:szCs w:val="24"/>
          <w:highlight w:val="none"/>
        </w:rPr>
        <w:t>推荐成交候选供应商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应当根据综合评分情况，按照评审得分由高到低顺序推荐3名以上成交候选供应商(符合《财政部关于政府采购竞争性磋商采购方式管理暂行办法有关问题的补充通知》财库【2015】124号文要求的除外)，并编写评审报告。评审得分相同的，按照最后报价由低到高的顺序推荐。评审得分且最后报价相同的，按照技术指标优劣顺序推荐。</w:t>
      </w:r>
    </w:p>
    <w:p>
      <w:pPr>
        <w:pStyle w:val="4"/>
        <w:rPr>
          <w:color w:val="auto"/>
          <w:highlight w:val="none"/>
        </w:rPr>
      </w:pPr>
      <w:bookmarkStart w:id="260" w:name="_Toc287623648"/>
      <w:bookmarkStart w:id="261" w:name="_Toc19572"/>
      <w:r>
        <w:rPr>
          <w:rFonts w:hint="eastAsia"/>
          <w:color w:val="auto"/>
          <w:highlight w:val="none"/>
        </w:rPr>
        <w:t>确定成交供应商</w:t>
      </w:r>
      <w:bookmarkEnd w:id="260"/>
      <w:bookmarkEnd w:id="261"/>
    </w:p>
    <w:p>
      <w:pPr>
        <w:pStyle w:val="5"/>
        <w:ind w:left="80" w:leftChars="0" w:firstLine="482" w:firstLineChars="0"/>
        <w:rPr>
          <w:rFonts w:cs="宋体"/>
          <w:color w:val="auto"/>
          <w:szCs w:val="24"/>
          <w:highlight w:val="none"/>
        </w:rPr>
      </w:pPr>
      <w:r>
        <w:rPr>
          <w:rFonts w:hint="eastAsia" w:cs="宋体"/>
          <w:color w:val="auto"/>
          <w:szCs w:val="24"/>
          <w:highlight w:val="none"/>
        </w:rPr>
        <w:t>原则</w:t>
      </w:r>
    </w:p>
    <w:p>
      <w:p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本项目根据磋商小组推荐的成交候选人名单，按顺序确定成交供应商。</w:t>
      </w:r>
    </w:p>
    <w:p>
      <w:pPr>
        <w:pStyle w:val="5"/>
        <w:ind w:left="80" w:leftChars="0" w:firstLine="482" w:firstLineChars="0"/>
        <w:rPr>
          <w:rFonts w:cs="宋体"/>
          <w:color w:val="auto"/>
          <w:szCs w:val="24"/>
          <w:highlight w:val="none"/>
        </w:rPr>
      </w:pPr>
      <w:r>
        <w:rPr>
          <w:rFonts w:hint="eastAsia" w:cs="宋体"/>
          <w:color w:val="auto"/>
          <w:szCs w:val="24"/>
          <w:highlight w:val="none"/>
        </w:rPr>
        <w:t>定标程序</w:t>
      </w:r>
    </w:p>
    <w:p>
      <w:pPr>
        <w:numPr>
          <w:ilvl w:val="0"/>
          <w:numId w:val="31"/>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评审结束后，四川世科工程咨询有限公司于2个工作日将评审报告及有关资料送交采购人确定成交供应商。</w:t>
      </w:r>
    </w:p>
    <w:p>
      <w:pPr>
        <w:numPr>
          <w:ilvl w:val="0"/>
          <w:numId w:val="31"/>
        </w:numPr>
        <w:tabs>
          <w:tab w:val="left" w:pos="1155"/>
        </w:tabs>
        <w:snapToGrid w:val="0"/>
        <w:spacing w:line="360" w:lineRule="auto"/>
        <w:ind w:firstLine="480" w:firstLineChars="200"/>
        <w:rPr>
          <w:color w:val="auto"/>
          <w:highlight w:val="none"/>
        </w:rPr>
      </w:pPr>
      <w:r>
        <w:rPr>
          <w:rFonts w:hint="eastAsia" w:ascii="宋体" w:hAnsi="宋体" w:cs="宋体"/>
          <w:color w:val="auto"/>
          <w:highlight w:val="none"/>
        </w:rPr>
        <w:t>采购人在收到评审报告后，5个工作日内按照评审报告中推荐的成交候选人顺序确定成交供应商。如果成交候选人及其现任法定代表人、主要负责人存在行贿犯罪记录，采购人不确定其为成交人。</w:t>
      </w:r>
    </w:p>
    <w:p>
      <w:pPr>
        <w:numPr>
          <w:ilvl w:val="0"/>
          <w:numId w:val="31"/>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31"/>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采购人确定成交供应商过程中，发现成交候选供应商有下列情形之一的，应当不予确定其为成交供应商, 由后一位成交候选供应商接替，依次类推，或重新组织采购：</w:t>
      </w:r>
    </w:p>
    <w:p>
      <w:pPr>
        <w:numPr>
          <w:ilvl w:val="1"/>
          <w:numId w:val="32"/>
        </w:numPr>
        <w:tabs>
          <w:tab w:val="left" w:pos="851"/>
          <w:tab w:val="left" w:pos="1134"/>
          <w:tab w:val="left" w:pos="1276"/>
        </w:tabs>
        <w:snapToGrid w:val="0"/>
        <w:spacing w:line="360" w:lineRule="auto"/>
        <w:ind w:left="0" w:firstLine="480" w:firstLineChars="200"/>
        <w:rPr>
          <w:rFonts w:ascii="宋体" w:hAnsi="宋体" w:cs="宋体"/>
          <w:color w:val="auto"/>
          <w:highlight w:val="none"/>
        </w:rPr>
      </w:pPr>
      <w:bookmarkStart w:id="262" w:name="_Toc287623649"/>
      <w:r>
        <w:rPr>
          <w:rFonts w:hint="eastAsia" w:ascii="宋体" w:hAnsi="宋体" w:cs="宋体"/>
          <w:color w:val="auto"/>
          <w:highlight w:val="none"/>
        </w:rPr>
        <w:t>成交候选供应商存在违法、违纪行为的；</w:t>
      </w:r>
    </w:p>
    <w:p>
      <w:pPr>
        <w:numPr>
          <w:ilvl w:val="1"/>
          <w:numId w:val="32"/>
        </w:numPr>
        <w:tabs>
          <w:tab w:val="left" w:pos="851"/>
          <w:tab w:val="left" w:pos="1134"/>
          <w:tab w:val="left" w:pos="1276"/>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成交候选供应商因不可抗力、社会经济形势发生重大变化、破产、重组等原因确定无法履行政府采购合同的。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采购人不按要求确定候选供应商为成交供应商的，应提供相关证明材料并报财政部门备案。</w:t>
      </w:r>
    </w:p>
    <w:p>
      <w:pPr>
        <w:pStyle w:val="4"/>
        <w:rPr>
          <w:color w:val="auto"/>
          <w:highlight w:val="none"/>
        </w:rPr>
      </w:pPr>
      <w:bookmarkStart w:id="263" w:name="_Toc7169"/>
      <w:r>
        <w:rPr>
          <w:rFonts w:hint="eastAsia"/>
          <w:color w:val="auto"/>
          <w:highlight w:val="none"/>
        </w:rPr>
        <w:t>成交</w:t>
      </w:r>
      <w:bookmarkEnd w:id="262"/>
      <w:r>
        <w:rPr>
          <w:rFonts w:hint="eastAsia"/>
          <w:color w:val="auto"/>
          <w:highlight w:val="none"/>
        </w:rPr>
        <w:t>结果</w:t>
      </w:r>
      <w:bookmarkEnd w:id="263"/>
    </w:p>
    <w:p>
      <w:pPr>
        <w:widowControl w:val="0"/>
        <w:numPr>
          <w:ilvl w:val="0"/>
          <w:numId w:val="33"/>
        </w:numPr>
        <w:spacing w:line="360" w:lineRule="auto"/>
        <w:ind w:firstLine="480" w:firstLineChars="200"/>
        <w:rPr>
          <w:rFonts w:ascii="宋体" w:hAnsi="宋体"/>
          <w:color w:val="auto"/>
          <w:highlight w:val="none"/>
        </w:rPr>
      </w:pPr>
      <w:r>
        <w:rPr>
          <w:rFonts w:hint="eastAsia" w:ascii="宋体" w:hAnsi="宋体"/>
          <w:color w:val="auto"/>
          <w:highlight w:val="none"/>
        </w:rPr>
        <w:t>根据采购人确定的成交供应商，采购代理机构自采购人确定成交之日起2个工作日内在《四川政府采购网》上发布成交公告，同时向成交供应商发出成交通知书。</w:t>
      </w:r>
    </w:p>
    <w:p>
      <w:pPr>
        <w:widowControl w:val="0"/>
        <w:numPr>
          <w:ilvl w:val="0"/>
          <w:numId w:val="33"/>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成交结果公告发布后，成交供应商应当按照公告规定及时领取成交通知书。需要交纳履约保证金的，应当及时向采购人交纳。</w:t>
      </w:r>
      <w:r>
        <w:rPr>
          <w:rFonts w:hint="eastAsia" w:ascii="宋体" w:hAnsi="宋体"/>
          <w:color w:val="auto"/>
          <w:highlight w:val="none"/>
        </w:rPr>
        <w:t>采购单位不退回</w:t>
      </w:r>
      <w:r>
        <w:rPr>
          <w:rFonts w:hint="eastAsia" w:ascii="宋体" w:hAnsi="宋体"/>
          <w:color w:val="auto"/>
          <w:highlight w:val="none"/>
          <w:lang w:val="en-US" w:eastAsia="zh-CN"/>
        </w:rPr>
        <w:t>响应</w:t>
      </w:r>
      <w:r>
        <w:rPr>
          <w:rFonts w:hint="eastAsia" w:ascii="宋体" w:hAnsi="宋体"/>
          <w:color w:val="auto"/>
          <w:highlight w:val="none"/>
        </w:rPr>
        <w:t>文件和其他磋商资料。</w:t>
      </w:r>
    </w:p>
    <w:p>
      <w:pPr>
        <w:pStyle w:val="4"/>
        <w:rPr>
          <w:color w:val="auto"/>
          <w:highlight w:val="none"/>
        </w:rPr>
      </w:pPr>
      <w:bookmarkStart w:id="264" w:name="_Toc405886181"/>
      <w:bookmarkStart w:id="265" w:name="_Toc11283"/>
      <w:r>
        <w:rPr>
          <w:rFonts w:hint="eastAsia"/>
          <w:color w:val="auto"/>
          <w:highlight w:val="none"/>
        </w:rPr>
        <w:t>询问、质疑</w:t>
      </w:r>
      <w:bookmarkEnd w:id="264"/>
      <w:r>
        <w:rPr>
          <w:rFonts w:hint="eastAsia"/>
          <w:color w:val="auto"/>
          <w:highlight w:val="none"/>
        </w:rPr>
        <w:t>和投诉</w:t>
      </w:r>
      <w:bookmarkEnd w:id="265"/>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询问、质疑、投诉的接收和处理严格按照《中华人民共和国政府采购法》(主席令【2002】第68号)、《中华人民共和国政府采购法实施条例》(国务院令第658号)、《政府采购质疑和投诉办法》(财政部令第94号)以及《关于贯彻落实</w:t>
      </w:r>
      <w:r>
        <w:rPr>
          <w:rFonts w:hint="eastAsia" w:ascii="宋体" w:hAnsi="宋体" w:cs="宋体"/>
          <w:bCs/>
          <w:color w:val="auto"/>
          <w:kern w:val="36"/>
          <w:sz w:val="24"/>
          <w:highlight w:val="none"/>
        </w:rPr>
        <w:t>&lt;中华人民共和国政府采购法实施条例&gt;等的若干规定</w:t>
      </w:r>
      <w:r>
        <w:rPr>
          <w:rFonts w:hint="eastAsia" w:ascii="宋体" w:hAnsi="宋体" w:cs="宋体"/>
          <w:color w:val="auto"/>
          <w:sz w:val="24"/>
          <w:highlight w:val="none"/>
        </w:rPr>
        <w:t>》的规定办理。</w:t>
      </w:r>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遵守“实事求是”和“谨慎性”原则，不得进行虚假、恶意质疑，不得以质疑为手段获取不当得利、实现非法目的。</w:t>
      </w:r>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供应商对采购人、代理机构的质疑答复不满意，或者采购人、代理机构未在规定期限内作出答复的，供应商可以在答复期满后15个工作日内向同级财政部门提起投诉。</w:t>
      </w:r>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供应商在法定质疑期内一次性提出针对同一采购程序环节的质疑。</w:t>
      </w:r>
    </w:p>
    <w:p>
      <w:pPr>
        <w:pStyle w:val="4"/>
        <w:rPr>
          <w:color w:val="auto"/>
          <w:highlight w:val="none"/>
        </w:rPr>
      </w:pPr>
      <w:bookmarkStart w:id="266" w:name="_Toc287623650"/>
      <w:bookmarkStart w:id="267" w:name="_Toc21855"/>
      <w:r>
        <w:rPr>
          <w:rFonts w:hint="eastAsia"/>
          <w:color w:val="auto"/>
          <w:highlight w:val="none"/>
        </w:rPr>
        <w:t>签订合同</w:t>
      </w:r>
      <w:bookmarkEnd w:id="266"/>
      <w:bookmarkEnd w:id="267"/>
    </w:p>
    <w:p>
      <w:pPr>
        <w:numPr>
          <w:ilvl w:val="0"/>
          <w:numId w:val="35"/>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收到四川世科工程咨询有限公司发出的成交通知书30天内与采购人签订采购合同。由于成交供应商的原因逾期未与采购人签订采购合同的，将视为放弃成交，取消其成交资格并将按相关规定进行处理。</w:t>
      </w:r>
    </w:p>
    <w:p>
      <w:pPr>
        <w:numPr>
          <w:ilvl w:val="0"/>
          <w:numId w:val="35"/>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采购人不得向成交供应商提出任何不合理的要求，作为签订合同的条件，不得与成交供应商私下订立背离合同实质性内容的任何协议，所签订的合同不得对竞争性磋商文件和成交供应商响应文件作实质性修改。</w:t>
      </w:r>
    </w:p>
    <w:p>
      <w:pPr>
        <w:numPr>
          <w:ilvl w:val="0"/>
          <w:numId w:val="35"/>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成交供应商在合同签订之后三个工作日内，将签订的合同(原件一份)送至采购代理公司备案。联系人：李老师，联系电话：028-61032618。</w:t>
      </w:r>
    </w:p>
    <w:p>
      <w:pPr>
        <w:numPr>
          <w:ilvl w:val="0"/>
          <w:numId w:val="35"/>
        </w:numPr>
        <w:tabs>
          <w:tab w:val="left" w:pos="1134"/>
        </w:tabs>
        <w:snapToGrid w:val="0"/>
        <w:spacing w:line="360" w:lineRule="auto"/>
        <w:ind w:firstLine="480" w:firstLineChars="200"/>
        <w:rPr>
          <w:rFonts w:ascii="宋体" w:hAnsi="宋体" w:cs="宋体"/>
          <w:color w:val="auto"/>
          <w:highlight w:val="none"/>
        </w:rPr>
      </w:pPr>
      <w:bookmarkStart w:id="268" w:name="_Toc217446069"/>
      <w:r>
        <w:rPr>
          <w:rFonts w:hint="eastAsia" w:ascii="宋体" w:hAnsi="宋体" w:cs="宋体"/>
          <w:color w:val="auto"/>
          <w:highlight w:val="none"/>
        </w:rPr>
        <w:t>询问或者质疑事项可能影响成交结果的，采购人应当暂停签订合同，已经签订合同的，应当中止履行合同。</w:t>
      </w:r>
    </w:p>
    <w:bookmarkEnd w:id="268"/>
    <w:p>
      <w:pPr>
        <w:pStyle w:val="4"/>
        <w:rPr>
          <w:color w:val="auto"/>
          <w:highlight w:val="none"/>
        </w:rPr>
      </w:pPr>
      <w:bookmarkStart w:id="269" w:name="_Toc3041"/>
      <w:bookmarkStart w:id="270" w:name="_Toc217446070"/>
      <w:r>
        <w:rPr>
          <w:rFonts w:hint="eastAsia"/>
          <w:color w:val="auto"/>
          <w:highlight w:val="none"/>
        </w:rPr>
        <w:t>采购人增加合同的权利</w:t>
      </w:r>
      <w:bookmarkEnd w:id="269"/>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rPr>
          <w:color w:val="auto"/>
          <w:highlight w:val="none"/>
        </w:rPr>
      </w:pPr>
      <w:bookmarkStart w:id="271" w:name="_Toc21591"/>
      <w:r>
        <w:rPr>
          <w:rFonts w:hint="eastAsia"/>
          <w:color w:val="auto"/>
          <w:highlight w:val="none"/>
        </w:rPr>
        <w:t>履行合同</w:t>
      </w:r>
      <w:bookmarkEnd w:id="271"/>
    </w:p>
    <w:p>
      <w:pPr>
        <w:widowControl w:val="0"/>
        <w:numPr>
          <w:ilvl w:val="0"/>
          <w:numId w:val="3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合同一经签订，双方应严格履行合同规定的义务。</w:t>
      </w:r>
    </w:p>
    <w:p>
      <w:pPr>
        <w:widowControl w:val="0"/>
        <w:numPr>
          <w:ilvl w:val="0"/>
          <w:numId w:val="3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在合同履行过程中，如发生合同纠纷，合同双方应按照《</w:t>
      </w:r>
      <w:r>
        <w:rPr>
          <w:rFonts w:hint="eastAsia" w:ascii="宋体" w:hAnsi="宋体" w:cs="宋体"/>
          <w:color w:val="auto"/>
          <w:highlight w:val="none"/>
          <w:lang w:val="en-US" w:eastAsia="zh-CN"/>
        </w:rPr>
        <w:t>中华人民共和国民法典</w:t>
      </w:r>
      <w:r>
        <w:rPr>
          <w:rFonts w:hint="eastAsia" w:ascii="宋体" w:hAnsi="宋体" w:cs="宋体"/>
          <w:color w:val="auto"/>
          <w:highlight w:val="none"/>
        </w:rPr>
        <w:t>》及合同条款的有关规定进行处理。</w:t>
      </w:r>
    </w:p>
    <w:bookmarkEnd w:id="270"/>
    <w:p>
      <w:pPr>
        <w:pStyle w:val="4"/>
        <w:rPr>
          <w:color w:val="auto"/>
          <w:highlight w:val="none"/>
        </w:rPr>
      </w:pPr>
      <w:bookmarkStart w:id="272" w:name="_Toc28021"/>
      <w:r>
        <w:rPr>
          <w:rFonts w:hint="eastAsia"/>
          <w:color w:val="auto"/>
          <w:highlight w:val="none"/>
        </w:rPr>
        <w:t>竞争性磋商工作纪律及要求</w:t>
      </w:r>
      <w:bookmarkEnd w:id="272"/>
    </w:p>
    <w:p>
      <w:pPr>
        <w:pStyle w:val="5"/>
        <w:ind w:left="80" w:leftChars="0" w:firstLine="482" w:firstLineChars="0"/>
        <w:rPr>
          <w:rFonts w:cs="宋体"/>
          <w:color w:val="auto"/>
          <w:szCs w:val="24"/>
          <w:highlight w:val="none"/>
        </w:rPr>
      </w:pPr>
      <w:bookmarkStart w:id="273" w:name="_Toc421781446"/>
      <w:bookmarkStart w:id="274" w:name="_Toc320698748"/>
      <w:r>
        <w:rPr>
          <w:rFonts w:hint="eastAsia" w:cs="宋体"/>
          <w:color w:val="auto"/>
          <w:szCs w:val="24"/>
          <w:highlight w:val="none"/>
        </w:rPr>
        <w:t>采购人工作职责</w:t>
      </w:r>
      <w:bookmarkEnd w:id="273"/>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竞争性磋商采购活动中，采购人应当履行下列工作职责：</w:t>
      </w:r>
      <w:bookmarkEnd w:id="274"/>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提出科学合理的采购需求；</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委托采购人代表；</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配合采购执行机构制定没有倾向性、歧视性的竞争性磋商文件；</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依法确定成交供应商；</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依法开展供应商履约验收；</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按照合同约定及时支付采购资金；</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75" w:name="_Toc421781447"/>
      <w:bookmarkStart w:id="276" w:name="_Toc320698749"/>
      <w:r>
        <w:rPr>
          <w:rFonts w:hint="eastAsia" w:cs="宋体"/>
          <w:color w:val="auto"/>
          <w:szCs w:val="24"/>
          <w:highlight w:val="none"/>
        </w:rPr>
        <w:t>采购执行机构工作职责</w:t>
      </w:r>
      <w:bookmarkEnd w:id="275"/>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竞争性磋商采购活动中，采购执行机构应当履行下列工作职责：</w:t>
      </w:r>
      <w:bookmarkEnd w:id="276"/>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依法组建磋商小组；</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制定没有倾向性、歧视性的竞争性磋商文件；</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依法发布政府采购信息公告；</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支付磋商小组成员报酬；</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严格执行采购程序；</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组织采购活动；</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依法处理供应商质疑；</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77" w:name="_Toc421781448"/>
      <w:bookmarkStart w:id="278" w:name="_Toc320698750"/>
      <w:r>
        <w:rPr>
          <w:rFonts w:hint="eastAsia" w:cs="宋体"/>
          <w:color w:val="auto"/>
          <w:szCs w:val="24"/>
          <w:highlight w:val="none"/>
        </w:rPr>
        <w:t>磋商小组工作职责</w:t>
      </w:r>
      <w:bookmarkEnd w:id="277"/>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竞争性磋商采购活动中，磋商小组成员应当履行下列工作职责：</w:t>
      </w:r>
      <w:bookmarkEnd w:id="278"/>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确认或者制定竞争性磋商文件；</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参加竞争性磋商活动；</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依法、客观、公平、公正开展供应商资格审查、磋商和推荐成交候选供应商；</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保守供应商的商业秘密；</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配合处理供应商投诉；</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79" w:name="_Toc421781449"/>
      <w:bookmarkStart w:id="280" w:name="_Toc320698751"/>
      <w:r>
        <w:rPr>
          <w:rFonts w:hint="eastAsia" w:cs="宋体"/>
          <w:color w:val="auto"/>
          <w:szCs w:val="24"/>
          <w:highlight w:val="none"/>
        </w:rPr>
        <w:t>供应商职责</w:t>
      </w:r>
      <w:bookmarkEnd w:id="279"/>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竞争性磋商采购活动中，供应商应当履行下列职责：</w:t>
      </w:r>
      <w:bookmarkEnd w:id="280"/>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依法、诚信参加政府采购活动；</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严格履行政府采购合同约定；</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其他需要履行的职责。</w:t>
      </w:r>
    </w:p>
    <w:p>
      <w:pPr>
        <w:pStyle w:val="4"/>
        <w:rPr>
          <w:color w:val="auto"/>
          <w:highlight w:val="none"/>
        </w:rPr>
      </w:pPr>
      <w:bookmarkStart w:id="281" w:name="_Toc26445"/>
      <w:r>
        <w:rPr>
          <w:rFonts w:hint="eastAsia"/>
          <w:color w:val="auto"/>
          <w:highlight w:val="none"/>
        </w:rPr>
        <w:t>回避</w:t>
      </w:r>
      <w:bookmarkEnd w:id="281"/>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（一）参加采购活动前3年内与供应商存在劳动关系；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（二）参加采购活动前3年内担任供应商的董事、监事；</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（三）参加采购活动前3年内是供应商的控股股东或者实际控制人；</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（四）与供应商的法定代表人或者负责人有夫妻、直系血亲、三代以内旁系血亲或者近姻亲关系；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（五）与供应商有其他可能影响政府采购活动公平、公正进行的关系。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rPr>
          <w:color w:val="auto"/>
          <w:highlight w:val="none"/>
        </w:rPr>
      </w:pPr>
      <w:bookmarkStart w:id="282" w:name="_Toc5151"/>
      <w:r>
        <w:rPr>
          <w:rFonts w:hint="eastAsia"/>
          <w:color w:val="auto"/>
          <w:highlight w:val="none"/>
        </w:rPr>
        <w:t>其他</w:t>
      </w:r>
      <w:bookmarkEnd w:id="282"/>
    </w:p>
    <w:p>
      <w:p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采购人可以要求参加政府采购的供应商提供有关资质证明文件和业绩情况，并根据《中华人民共和国政府采购法》规定的供应商条件和采购项目对供应商的特定要求，对供应商的资格进行审查。</w:t>
      </w:r>
    </w:p>
    <w:p>
      <w:pPr>
        <w:widowControl w:val="0"/>
        <w:numPr>
          <w:ilvl w:val="2"/>
          <w:numId w:val="41"/>
        </w:numPr>
        <w:tabs>
          <w:tab w:val="left" w:pos="1200"/>
        </w:tabs>
        <w:spacing w:line="360" w:lineRule="auto"/>
        <w:ind w:left="0" w:firstLine="480" w:firstLineChars="200"/>
        <w:rPr>
          <w:rFonts w:ascii="宋体" w:hAnsi="宋体" w:cs="宋体"/>
          <w:color w:val="auto"/>
          <w:highlight w:val="none"/>
        </w:rPr>
        <w:sectPr>
          <w:pgSz w:w="11906" w:h="16838"/>
          <w:pgMar w:top="1417" w:right="1417" w:bottom="1417" w:left="1417" w:header="851" w:footer="850" w:gutter="0"/>
          <w:cols w:space="0" w:num="1"/>
          <w:titlePg/>
          <w:docGrid w:type="lines" w:linePitch="312" w:charSpace="0"/>
        </w:sectPr>
      </w:pPr>
    </w:p>
    <w:p>
      <w:pPr>
        <w:pStyle w:val="3"/>
        <w:rPr>
          <w:rFonts w:hint="eastAsia"/>
          <w:color w:val="auto"/>
          <w:highlight w:val="none"/>
        </w:rPr>
      </w:pPr>
      <w:bookmarkStart w:id="283" w:name="_Toc16585"/>
      <w:r>
        <w:rPr>
          <w:rFonts w:hint="eastAsia"/>
          <w:color w:val="auto"/>
          <w:highlight w:val="none"/>
        </w:rPr>
        <w:t>项目技术、服务及其他要求</w:t>
      </w:r>
      <w:bookmarkEnd w:id="283"/>
    </w:p>
    <w:p>
      <w:pPr>
        <w:pStyle w:val="4"/>
        <w:pageBreakBefore w:val="0"/>
        <w:kinsoku/>
        <w:wordWrap/>
        <w:overflowPunct/>
        <w:topLinePunct w:val="0"/>
        <w:bidi w:val="0"/>
        <w:spacing w:line="420" w:lineRule="exact"/>
        <w:textAlignment w:val="auto"/>
        <w:rPr>
          <w:color w:val="auto"/>
          <w:sz w:val="24"/>
          <w:szCs w:val="24"/>
          <w:highlight w:val="none"/>
        </w:rPr>
      </w:pPr>
      <w:bookmarkStart w:id="284" w:name="_Toc23259"/>
      <w:bookmarkStart w:id="285" w:name="_Toc23195"/>
      <w:r>
        <w:rPr>
          <w:rFonts w:hint="eastAsia"/>
          <w:color w:val="auto"/>
          <w:sz w:val="24"/>
          <w:szCs w:val="24"/>
          <w:highlight w:val="none"/>
          <w:lang w:val="en-US" w:eastAsia="zh-CN"/>
        </w:rPr>
        <w:t>采购内容</w:t>
      </w:r>
      <w:bookmarkEnd w:id="284"/>
    </w:p>
    <w:p>
      <w:pPr>
        <w:pageBreakBefore w:val="0"/>
        <w:kinsoku/>
        <w:wordWrap/>
        <w:overflowPunct/>
        <w:topLinePunct w:val="0"/>
        <w:bidi w:val="0"/>
        <w:spacing w:after="163" w:line="420" w:lineRule="exact"/>
        <w:ind w:firstLine="480" w:firstLineChars="200"/>
        <w:textAlignment w:val="auto"/>
        <w:rPr>
          <w:rFonts w:hint="eastAsia"/>
          <w:color w:val="auto"/>
          <w:highlight w:val="none"/>
        </w:rPr>
      </w:pPr>
      <w:r>
        <w:rPr>
          <w:rFonts w:hint="eastAsia" w:ascii="宋体" w:hAnsi="宋体" w:eastAsia="宋体" w:cs="宋体"/>
          <w:color w:val="auto"/>
          <w:kern w:val="2"/>
          <w:sz w:val="24"/>
          <w:highlight w:val="none"/>
        </w:rPr>
        <w:t>202</w:t>
      </w:r>
      <w:r>
        <w:rPr>
          <w:rFonts w:hint="eastAsia" w:ascii="宋体" w:hAnsi="宋体" w:cs="宋体"/>
          <w:color w:val="auto"/>
          <w:kern w:val="2"/>
          <w:sz w:val="24"/>
          <w:highlight w:val="none"/>
          <w:lang w:val="en-US" w:eastAsia="zh-CN"/>
        </w:rPr>
        <w:t>1</w:t>
      </w:r>
      <w:r>
        <w:rPr>
          <w:rFonts w:hint="eastAsia" w:ascii="宋体" w:hAnsi="宋体" w:eastAsia="宋体" w:cs="宋体"/>
          <w:color w:val="auto"/>
          <w:kern w:val="2"/>
          <w:sz w:val="24"/>
          <w:highlight w:val="none"/>
        </w:rPr>
        <w:t>年开展“走基层”文化惠民活动演出40场。其中专家考核精品汇演2场，巡演38场。本项目拟通过</w:t>
      </w:r>
      <w:r>
        <w:rPr>
          <w:rFonts w:hint="eastAsia" w:ascii="宋体" w:hAnsi="宋体" w:cs="宋体"/>
          <w:color w:val="auto"/>
          <w:kern w:val="2"/>
          <w:sz w:val="24"/>
          <w:highlight w:val="none"/>
          <w:lang w:val="en-US" w:eastAsia="zh-CN"/>
        </w:rPr>
        <w:t>竞争性磋商</w:t>
      </w:r>
      <w:r>
        <w:rPr>
          <w:rFonts w:hint="eastAsia" w:ascii="宋体" w:hAnsi="宋体" w:eastAsia="宋体" w:cs="宋体"/>
          <w:color w:val="auto"/>
          <w:kern w:val="2"/>
          <w:sz w:val="24"/>
          <w:highlight w:val="none"/>
        </w:rPr>
        <w:t>确定一名供应商为本项目提供相关服务</w:t>
      </w:r>
      <w:r>
        <w:rPr>
          <w:rFonts w:hint="default" w:ascii="宋体" w:hAnsi="宋体" w:eastAsia="宋体" w:cs="宋体"/>
          <w:color w:val="auto"/>
          <w:sz w:val="24"/>
          <w:szCs w:val="24"/>
          <w:highlight w:val="none"/>
          <w:lang w:val="en-US" w:eastAsia="zh-CN"/>
        </w:rPr>
        <w:t>。</w:t>
      </w:r>
    </w:p>
    <w:p>
      <w:pPr>
        <w:pStyle w:val="4"/>
        <w:pageBreakBefore w:val="0"/>
        <w:kinsoku/>
        <w:wordWrap/>
        <w:overflowPunct/>
        <w:topLinePunct w:val="0"/>
        <w:bidi w:val="0"/>
        <w:spacing w:line="420" w:lineRule="exact"/>
        <w:textAlignment w:val="auto"/>
        <w:rPr>
          <w:rFonts w:hint="eastAsia" w:ascii="宋体" w:hAnsi="宋体" w:eastAsia="宋体" w:cs="宋体"/>
          <w:color w:val="auto"/>
          <w:sz w:val="24"/>
          <w:szCs w:val="24"/>
          <w:highlight w:val="none"/>
          <w:lang w:val="en-US" w:eastAsia="zh-CN"/>
        </w:rPr>
      </w:pPr>
      <w:bookmarkStart w:id="286" w:name="_Toc16419"/>
      <w:r>
        <w:rPr>
          <w:rFonts w:hint="eastAsia" w:ascii="宋体" w:hAnsi="宋体" w:eastAsia="宋体" w:cs="宋体"/>
          <w:color w:val="auto"/>
          <w:sz w:val="24"/>
          <w:szCs w:val="24"/>
          <w:highlight w:val="none"/>
          <w:lang w:val="en-US" w:eastAsia="zh-CN"/>
        </w:rPr>
        <w:t>服务</w:t>
      </w:r>
      <w:bookmarkEnd w:id="285"/>
      <w:bookmarkStart w:id="287" w:name="_Toc26098"/>
      <w:r>
        <w:rPr>
          <w:rFonts w:hint="eastAsia" w:cs="宋体"/>
          <w:color w:val="auto"/>
          <w:sz w:val="24"/>
          <w:szCs w:val="24"/>
          <w:highlight w:val="none"/>
          <w:lang w:val="en-US" w:eastAsia="zh-CN"/>
        </w:rPr>
        <w:t>要求</w:t>
      </w:r>
      <w:bookmarkEnd w:id="286"/>
    </w:p>
    <w:p>
      <w:pPr>
        <w:pStyle w:val="5"/>
        <w:pageBreakBefore w:val="0"/>
        <w:kinsoku/>
        <w:wordWrap/>
        <w:overflowPunct/>
        <w:topLinePunct w:val="0"/>
        <w:bidi w:val="0"/>
        <w:spacing w:line="420" w:lineRule="exact"/>
        <w:ind w:left="0" w:leftChars="0" w:firstLine="482" w:firstLineChars="200"/>
        <w:textAlignment w:val="auto"/>
        <w:rPr>
          <w:rFonts w:hint="eastAsia"/>
          <w:highlight w:val="none"/>
        </w:rPr>
      </w:pPr>
      <w:r>
        <w:rPr>
          <w:rFonts w:hint="eastAsia"/>
          <w:highlight w:val="none"/>
          <w:lang w:val="en-US" w:eastAsia="zh-CN"/>
        </w:rPr>
        <w:t>节目内容要求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所有节目内容符合党和国家的政策，主题以中共成都市委宣传部、成都市文化广电旅游局相关文件精神以及“爱成都·迎大运”、庆祝建党百年等为准。节目积极健康、喜闻乐见，具有较高的艺术水平，充分体现思想性、艺术性和观赏性的统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（2）演出单位应具有较高的文艺作品创作水平和专业演出能力。节目创作和演出要求如下：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 1 \* GB3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①</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主题鲜明：围绕2021年成都市“走基层”文化惠民活动宗旨，以庆祝建党百年、中国梦、社会主义核心价值观、“三城三都”建设、喜迎大运、依法治市、廉洁成都、“文明餐桌·公筷公勺”行动、防控疫情、双流区打造天府文创之港为重点，结合精准扶贫、依法治区、安全生产、党风廉政等进行编创具有双流特色、反应双流经济社会各项事业取得的辉煌成就的综艺类节目2台，以综艺节目、专题演出等为载体，结合道德模范宣讲、百姓故事会、文艺志愿者服务等活动开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 2 \* GB3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②</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形式多样：每场演出节目艺术形式不低于五种（歌曲、舞蹈、器乐、杂技、曲艺、小品等）， 其中歌曲类节目不少于2个、舞蹈类节目不少于2个、曲艺类节目不少于2个。</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 3 \* GB3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③</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内容丰富：每场演出节目不低于12个，其中原创节目不少于3个（注：另备不少于3个完整的备用节目，可应对临时变动或突发状况，以保证演出工作的顺利进行），演出时长不少于90分钟。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 4 \* GB3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④</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巡演要求：至少提供两场完全不同的巡演节目、每场巡演不低于15个节目的清单及简介。同时报送原创节目数量及介绍材料：歌舞类节目附词曲创作者姓名、乐谱、图片等，语言类节目附编剧姓名、剧本、图片等。两场演出的节目应从内容、形式等完全不同（如只修改了名称或调整了演出顺序，对内容、形式上没有实质性变化的节目均视为一台节目）。每周演出主题，需书面向</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报备，经</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同意后予以实施。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 5 \* GB3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⑤</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作品创作：原创节目（作品）不少于3个。作品拥有权、使用权、演出权、荣誉权为采购方所有。可以有2020年创作的节目（作品），但不包括2019年及以前的节目（作品）和在2020年1月1日之前双流已经参加过惠民演出及送文化下乡的节目（作品）。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创作过程或节目展演、评选过程中，所涉及知识产权、著作权等法律问题均由</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承担并负责解释。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 6 \* GB3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⑥</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氛围营造：每场演出应根据时间、地点、观众的不同，合理在演出期间融入以党史党建知识、重大节庆节日、重要方针政策、法制宣传等互动节目，让观众在享受热情氛围的同时受到教育。</w:t>
      </w:r>
    </w:p>
    <w:p>
      <w:pPr>
        <w:pStyle w:val="5"/>
        <w:pageBreakBefore w:val="0"/>
        <w:kinsoku/>
        <w:wordWrap/>
        <w:overflowPunct/>
        <w:topLinePunct w:val="0"/>
        <w:bidi w:val="0"/>
        <w:spacing w:line="42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演员人员要求</w:t>
      </w:r>
    </w:p>
    <w:p>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单场演出的演员在32人以上（不包括音响灯光师、主持人、领队及其他剧务人员）。演出队伍必须由受过艺术院校教育或专门艺术训练的专业演员组成，均具有国家颁发的专业证书及学历证明（需提供相关证明材料），其中应包含不少于4名的国家三级及以上演员（需提供国家级演员相关证明材料）。</w:t>
      </w:r>
    </w:p>
    <w:p>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（2）单场演出的灯光师、音响师在2人及以上、专业主持人1人及以上、其它剧务人员等。</w:t>
      </w:r>
    </w:p>
    <w:p>
      <w:pPr>
        <w:pStyle w:val="5"/>
        <w:pageBreakBefore w:val="0"/>
        <w:kinsoku/>
        <w:wordWrap/>
        <w:overflowPunct/>
        <w:topLinePunct w:val="0"/>
        <w:bidi w:val="0"/>
        <w:spacing w:line="420" w:lineRule="exact"/>
        <w:ind w:left="0" w:leftChars="0" w:firstLine="482" w:firstLineChars="200"/>
        <w:textAlignment w:val="auto"/>
        <w:rPr>
          <w:rFonts w:hint="default" w:cs="宋体"/>
          <w:b/>
          <w:bCs/>
          <w:color w:val="auto"/>
          <w:sz w:val="24"/>
          <w:szCs w:val="24"/>
          <w:highlight w:val="none"/>
          <w:lang w:val="en-US" w:eastAsia="zh-CN"/>
        </w:rPr>
      </w:pPr>
      <w:r>
        <w:rPr>
          <w:rFonts w:hint="eastAsia" w:cs="宋体"/>
          <w:b/>
          <w:bCs/>
          <w:color w:val="auto"/>
          <w:sz w:val="24"/>
          <w:szCs w:val="24"/>
          <w:highlight w:val="none"/>
          <w:lang w:val="en-US" w:eastAsia="zh-CN"/>
        </w:rPr>
        <w:t>设施设备要求</w:t>
      </w:r>
    </w:p>
    <w:p>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（1）有专业舞台设备或专业流动演出车，自有或租赁的均可。</w:t>
      </w:r>
    </w:p>
    <w:p>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（2）需承诺根据</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要求，负责进行演出现场的舞台的美术设计及搭建实施工作，并确保舞台安全牢固（</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应有明确且详细的突发事件处理方案）；若因舞台、背景、电源、电线等问题造成的损失或事故由</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全权负责）。</w:t>
      </w:r>
    </w:p>
    <w:p>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舞美音响效果好，要求具有满足2000人观看所需的品质优良的灯光、音响设备，舞台美术能很好地满足演出呈现需要，能使演出视觉冲击力达到最大化（需提供设备清单）。其中：不少于2场（专家考核）演出需搭建不小于160平米、高度不低于60厘米，背景为P5以上、不小于260平米的LED屏底幕舞台；不少于38场演出需搭建面积不小于80平米、高度不低于60厘米，富有设计感背景的舞台。在可以搭建舞台的情况下，优先搭建舞台，若因演出场地限制只能使用流动舞台车的，需同样做好背景设计搭建、横幅等。</w:t>
      </w:r>
    </w:p>
    <w:p>
      <w:pPr>
        <w:pStyle w:val="5"/>
        <w:pageBreakBefore w:val="0"/>
        <w:kinsoku/>
        <w:wordWrap/>
        <w:overflowPunct/>
        <w:topLinePunct w:val="0"/>
        <w:bidi w:val="0"/>
        <w:spacing w:line="420" w:lineRule="exact"/>
        <w:ind w:left="0" w:leftChars="0" w:firstLine="482" w:firstLineChars="200"/>
        <w:textAlignment w:val="auto"/>
        <w:rPr>
          <w:rFonts w:hint="default" w:cs="宋体"/>
          <w:b/>
          <w:bCs/>
          <w:color w:val="auto"/>
          <w:sz w:val="24"/>
          <w:szCs w:val="24"/>
          <w:highlight w:val="none"/>
          <w:lang w:val="en-US" w:eastAsia="zh-CN"/>
        </w:rPr>
      </w:pPr>
      <w:r>
        <w:rPr>
          <w:rFonts w:hint="eastAsia" w:cs="宋体"/>
          <w:b/>
          <w:bCs/>
          <w:color w:val="auto"/>
          <w:sz w:val="24"/>
          <w:szCs w:val="24"/>
          <w:highlight w:val="none"/>
          <w:lang w:val="en-US" w:eastAsia="zh-CN"/>
        </w:rPr>
        <w:t>其他相关要求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具有良好的组织、策划、协调能力及市级（含）以上媒体资源，对巡演活动制定具有可行及影响力的活动实施、宣传及氛围营造方案。根据演出活动宣传工作方案，在演出前两天在演出现场及周边地区以海报等方式广泛宣传，演出现场还要进行适度的氛围营造，确保演出地群众知晓率达到80%以上，邀请国家、省、市、区各级主流媒体（包括平媒、电媒、网媒）围绕创作演出活动开展全面的宣传报道，要求国家级媒体、省级媒体、市级媒体、区级媒体开展内容不同的宣传报道分别不少于1次、2次、3次、4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（2）根据</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要求或提供的标准格式制作惠民演出活动所需的相关材料（如：舞台背景板、横幅、节目单等）。每场演出发放具有设计感、由铜版纸印刷的节目单不少于200份。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（3）能够有序组织巡演活动，具备完备的突发事件应急预案，有效确保演出活动安全、有序开展。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确定演出活动后，根据演出时间安排，提前一周确定演出地点并和当地负责人取得联系进行协调；确定演出时间后前一天到达现场，测量场地安排舞台搭建；在演出前两小时完成舞台搭建、设备调试等工作并完成彩排，保证演出的顺利进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需按照</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要求做好至少两场符合要求、高水准的专家评审节目，并进行全程专业录像及专业剪辑，确保符合市级评审要求。</w:t>
      </w:r>
    </w:p>
    <w:p>
      <w:pPr>
        <w:pStyle w:val="4"/>
        <w:pageBreakBefore w:val="0"/>
        <w:kinsoku/>
        <w:wordWrap/>
        <w:overflowPunct/>
        <w:topLinePunct w:val="0"/>
        <w:bidi w:val="0"/>
        <w:spacing w:line="420" w:lineRule="exact"/>
        <w:textAlignment w:val="auto"/>
        <w:rPr>
          <w:rFonts w:hint="eastAsia" w:ascii="宋体" w:hAnsi="宋体" w:eastAsia="宋体" w:cs="宋体"/>
          <w:sz w:val="24"/>
          <w:szCs w:val="24"/>
          <w:highlight w:val="none"/>
          <w:lang w:val="en-US" w:eastAsia="zh-CN"/>
        </w:rPr>
      </w:pPr>
      <w:bookmarkStart w:id="288" w:name="_Toc31428"/>
      <w:r>
        <w:rPr>
          <w:rFonts w:hint="eastAsia" w:ascii="宋体" w:hAnsi="宋体" w:eastAsia="宋体" w:cs="宋体"/>
          <w:sz w:val="24"/>
          <w:szCs w:val="24"/>
          <w:highlight w:val="none"/>
          <w:lang w:val="en-US" w:eastAsia="zh-CN"/>
        </w:rPr>
        <w:t>商务要求</w:t>
      </w:r>
      <w:bookmarkEnd w:id="288"/>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服务期限</w:t>
      </w:r>
    </w:p>
    <w:p>
      <w:pPr>
        <w:pStyle w:val="24"/>
        <w:pageBreakBefore w:val="0"/>
        <w:kinsoku/>
        <w:wordWrap/>
        <w:overflowPunct/>
        <w:topLinePunct w:val="0"/>
        <w:bidi w:val="0"/>
        <w:snapToGrid w:val="0"/>
        <w:spacing w:line="420" w:lineRule="exact"/>
        <w:ind w:firstLine="660" w:firstLineChars="275"/>
        <w:textAlignment w:val="auto"/>
        <w:rPr>
          <w:rFonts w:hint="eastAsia" w:hAnsi="宋体" w:cs="宋体"/>
          <w:bCs/>
          <w:sz w:val="24"/>
          <w:highlight w:val="none"/>
          <w:lang w:val="en-US" w:eastAsia="zh-CN"/>
        </w:rPr>
      </w:pPr>
      <w:r>
        <w:rPr>
          <w:rFonts w:hint="eastAsia" w:asciiTheme="minorEastAsia" w:hAnsiTheme="minorEastAsia" w:eastAsiaTheme="minorEastAsia" w:cstheme="minorEastAsia"/>
          <w:sz w:val="24"/>
          <w:szCs w:val="24"/>
          <w:highlight w:val="none"/>
        </w:rPr>
        <w:t>合同签订之日起至2022年3月31日止</w:t>
      </w:r>
      <w:r>
        <w:rPr>
          <w:rFonts w:hint="eastAsia" w:hAnsi="宋体" w:cs="宋体"/>
          <w:bCs/>
          <w:sz w:val="24"/>
          <w:highlight w:val="none"/>
          <w:lang w:val="en-US" w:eastAsia="zh-CN"/>
        </w:rPr>
        <w:t>。</w:t>
      </w:r>
    </w:p>
    <w:p>
      <w:pPr>
        <w:pStyle w:val="5"/>
        <w:pageBreakBefore w:val="0"/>
        <w:kinsoku/>
        <w:wordWrap/>
        <w:overflowPunct/>
        <w:topLinePunct w:val="0"/>
        <w:bidi w:val="0"/>
        <w:spacing w:line="420" w:lineRule="exact"/>
        <w:ind w:left="0" w:leftChars="0" w:firstLine="480" w:firstLineChars="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服务地点</w:t>
      </w:r>
    </w:p>
    <w:p>
      <w:pPr>
        <w:pStyle w:val="24"/>
        <w:pageBreakBefore w:val="0"/>
        <w:kinsoku/>
        <w:wordWrap/>
        <w:overflowPunct/>
        <w:topLinePunct w:val="0"/>
        <w:bidi w:val="0"/>
        <w:snapToGrid w:val="0"/>
        <w:spacing w:line="420" w:lineRule="exact"/>
        <w:ind w:firstLine="660" w:firstLineChars="275"/>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双流区各镇（街道）等采购方指定地点</w:t>
      </w:r>
      <w:r>
        <w:rPr>
          <w:rFonts w:hint="eastAsia" w:asciiTheme="minorEastAsia" w:hAnsiTheme="minorEastAsia" w:eastAsiaTheme="minorEastAsia" w:cstheme="minorEastAsia"/>
          <w:sz w:val="24"/>
          <w:szCs w:val="24"/>
          <w:highlight w:val="none"/>
          <w:lang w:eastAsia="zh-CN"/>
        </w:rPr>
        <w:t>。</w:t>
      </w:r>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付款方式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第一次支付：合同签订后按相关要求完成支付程序</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支付供应商合同总金额的30%作为预付款。</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第二次支付：2021年8月30日之前，</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按要求完成演出场次（原则上8月30日需完成20场演出），向</w:t>
      </w: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rPr>
        <w:t>提供每场演出照片、视频等验收资料，经验收合格后，根据实际演出场次和单价，扣除已经预付的30%后据实支付。（即本次支付金额=8月30号之前演出场次对应的应付费用减去已经预付的30%。因特殊原因8月30号之前演出场次对应的应付费用小于合同总金额的30%，则本次不予支付）。</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第三次支付：</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完成所有场次演出后（原则上12月15日之前完成所有演出场次），向</w:t>
      </w: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rPr>
        <w:t>提供每场演出照片、视频等验收资料及第三方机构出具的本项目绩效评价报告，经验收合格后，根据演出场次和单价据实支付8月30日之后演出的费用。</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每次付款前</w:t>
      </w:r>
      <w:r>
        <w:rPr>
          <w:rFonts w:hint="eastAsia" w:asciiTheme="minorEastAsia" w:hAnsiTheme="minorEastAsia" w:eastAsiaTheme="minorEastAsia" w:cstheme="minorEastAsia"/>
          <w:sz w:val="24"/>
          <w:szCs w:val="24"/>
          <w:highlight w:val="none"/>
          <w:lang w:val="en-US" w:eastAsia="zh-CN"/>
        </w:rPr>
        <w:t>供应</w:t>
      </w:r>
      <w:r>
        <w:rPr>
          <w:rFonts w:hint="eastAsia" w:asciiTheme="minorEastAsia" w:hAnsiTheme="minorEastAsia" w:eastAsiaTheme="minorEastAsia" w:cstheme="minorEastAsia"/>
          <w:sz w:val="24"/>
          <w:szCs w:val="24"/>
          <w:highlight w:val="none"/>
        </w:rPr>
        <w:t>需向</w:t>
      </w: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rPr>
        <w:t>提供相应金额的正式发票</w:t>
      </w:r>
      <w:r>
        <w:rPr>
          <w:rFonts w:hint="eastAsia" w:asciiTheme="minorEastAsia" w:hAnsiTheme="minorEastAsia" w:eastAsiaTheme="minorEastAsia" w:cstheme="minorEastAsia"/>
          <w:sz w:val="24"/>
          <w:szCs w:val="24"/>
          <w:highlight w:val="none"/>
          <w:lang w:eastAsia="zh-CN"/>
        </w:rPr>
        <w:t>。</w:t>
      </w:r>
    </w:p>
    <w:p>
      <w:pPr>
        <w:pStyle w:val="5"/>
        <w:pageBreakBefore w:val="0"/>
        <w:kinsoku/>
        <w:wordWrap/>
        <w:overflowPunct/>
        <w:topLinePunct w:val="0"/>
        <w:autoSpaceDE/>
        <w:autoSpaceDN/>
        <w:bidi w:val="0"/>
        <w:adjustRightInd/>
        <w:snapToGrid/>
        <w:spacing w:line="420" w:lineRule="exact"/>
        <w:ind w:left="0" w:leftChars="0" w:firstLine="480" w:firstLineChars="0"/>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bidi="ar"/>
        </w:rPr>
        <w:t xml:space="preserve">验收方法和标准 </w:t>
      </w:r>
    </w:p>
    <w:bookmarkEnd w:id="287"/>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bookmarkStart w:id="289" w:name="_Toc21146"/>
      <w:r>
        <w:rPr>
          <w:rFonts w:hint="eastAsia" w:asciiTheme="minorEastAsia" w:hAnsiTheme="minorEastAsia" w:eastAsiaTheme="minorEastAsia" w:cstheme="minorEastAsia"/>
          <w:sz w:val="24"/>
          <w:szCs w:val="24"/>
          <w:highlight w:val="none"/>
        </w:rPr>
        <w:t>（1）在每场演出活动实施过程中，必须做好活动影像（提供40场演出优质完整影像资料，DVD格式、音频内录、720P高清，其中2场专家评审演出需专业摄像并剪辑）、图片资料收集（每场均需提供能够反映演出内容、效果、演出所在地及演出使用设备等的图片资料不少于10张，JPG格式）、群众意见反馈表收集（每场均需提供不少于100张的群众意见反馈表）并上报采购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演出结束后，提供《2021年成都市双流区“走基层”文化惠民活动演出地质量反馈表（演出承办单位用表）》，由所在演出地的镇（街道）、村（社区）、居委会及其它演出接收方填写并签字盖章，及时上报采购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（3）市级宣传部门或其指派的第三方测评机构反馈情况。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（4）区级文化、宣传部门或其指派的第三方测评机构反馈情况。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（5）采购方或其指派的验收组成员反馈情况。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（6）配合采购方选送节目参赛、参评、参演情况。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（7）报送的创新节目数量及介绍材料：歌舞类节目附词曲创作者姓名、乐谱、图片等，语言类节目附上编剧姓名、剧本、图片等。</w:t>
      </w:r>
    </w:p>
    <w:p>
      <w:pPr>
        <w:pageBreakBefore w:val="0"/>
        <w:widowControl w:val="0"/>
        <w:kinsoku/>
        <w:wordWrap/>
        <w:overflowPunct/>
        <w:topLinePunct w:val="0"/>
        <w:bidi w:val="0"/>
        <w:spacing w:line="42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（8）如群众意见反馈表及演出接收方意见反馈表满意度低于80%则视为项目验收不合格。</w:t>
      </w:r>
    </w:p>
    <w:p>
      <w:pPr>
        <w:pStyle w:val="5"/>
        <w:pageBreakBefore w:val="0"/>
        <w:kinsoku/>
        <w:wordWrap/>
        <w:overflowPunct/>
        <w:topLinePunct w:val="0"/>
        <w:autoSpaceDE/>
        <w:autoSpaceDN/>
        <w:bidi w:val="0"/>
        <w:adjustRightInd/>
        <w:snapToGrid/>
        <w:spacing w:line="420" w:lineRule="exact"/>
        <w:ind w:left="0" w:leftChars="0" w:firstLine="480" w:firstLineChars="0"/>
        <w:textAlignment w:val="auto"/>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考核办法</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（1）演出效果由考核方根据演出的整体效果、流畅程度、节目编排、演员的专业水平等综合评定。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（2）考核细则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①演出需提前一周确定演出地点并和当地负责人取得联系进行协调，整改3次仍未有问题的按2000元/次的标准从服务费扣除相应费用。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②确定演出时间后前一天到达现场，测量场地安排舞台搭建，在演出前两小时完成舞台搭建、设备调试等工作并完成彩排，保证演出的顺利进行。整改3次仍未有问题的按2000元/次的标准从服务费扣除相应费用。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③有完整的应急、备选方案，能在演出出现状况时迅速反应并解决，维持良好的现场次序，保证演出的顺利进行。整改3次仍未有问题的按2000元/次的标准从服务费扣除相应费。</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pPr>
      <w:r>
        <w:rPr>
          <w:rFonts w:hint="eastAsia" w:asciiTheme="minorEastAsia" w:hAnsiTheme="minorEastAsia" w:eastAsiaTheme="minorEastAsia" w:cstheme="minorEastAsia"/>
          <w:sz w:val="24"/>
          <w:szCs w:val="24"/>
          <w:highlight w:val="none"/>
        </w:rPr>
        <w:t>④演出现场由采购人、专家以及现场观众代表进行满意度调查。采购人占30%，专家占30%，现场观众代表占 40%。满意度超过 80%视为合格， 否则视为不合格。调查结果反馈演出方进行整改，若整改3次仍未有问题的按5000元/次的标准从服务费扣除相应费。</w:t>
      </w:r>
    </w:p>
    <w:p>
      <w:pPr>
        <w:pStyle w:val="5"/>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最高限价</w:t>
      </w:r>
      <w:bookmarkEnd w:id="289"/>
    </w:p>
    <w:p>
      <w:pPr>
        <w:pageBreakBefore w:val="0"/>
        <w:tabs>
          <w:tab w:val="left" w:pos="0"/>
          <w:tab w:val="left" w:pos="585"/>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本项目最高限价为</w:t>
      </w:r>
      <w:r>
        <w:rPr>
          <w:rFonts w:hint="eastAsia" w:ascii="宋体" w:hAnsi="宋体" w:cs="宋体"/>
          <w:b/>
          <w:color w:val="auto"/>
          <w:sz w:val="24"/>
          <w:szCs w:val="24"/>
          <w:highlight w:val="none"/>
          <w:lang w:val="en-US" w:eastAsia="zh-CN"/>
        </w:rPr>
        <w:t>142.54</w:t>
      </w:r>
      <w:r>
        <w:rPr>
          <w:rFonts w:hint="eastAsia" w:ascii="宋体" w:hAnsi="宋体" w:eastAsia="宋体" w:cs="宋体"/>
          <w:b/>
          <w:color w:val="auto"/>
          <w:sz w:val="24"/>
          <w:szCs w:val="24"/>
          <w:highlight w:val="none"/>
        </w:rPr>
        <w:t>万元,其中精品汇演单价最高限价</w:t>
      </w:r>
      <w:r>
        <w:rPr>
          <w:rFonts w:hint="eastAsia" w:ascii="宋体" w:hAnsi="宋体" w:cs="宋体"/>
          <w:b/>
          <w:color w:val="auto"/>
          <w:sz w:val="24"/>
          <w:szCs w:val="24"/>
          <w:highlight w:val="none"/>
          <w:lang w:val="en-US" w:eastAsia="zh-CN"/>
        </w:rPr>
        <w:t>12.5</w:t>
      </w:r>
      <w:r>
        <w:rPr>
          <w:rFonts w:hint="eastAsia" w:ascii="宋体" w:hAnsi="宋体" w:eastAsia="宋体" w:cs="宋体"/>
          <w:b/>
          <w:color w:val="auto"/>
          <w:sz w:val="24"/>
          <w:szCs w:val="24"/>
          <w:highlight w:val="none"/>
        </w:rPr>
        <w:t>万元/场，巡演单价最高限价</w:t>
      </w:r>
      <w:r>
        <w:rPr>
          <w:rFonts w:hint="eastAsia" w:ascii="宋体" w:hAnsi="宋体" w:cs="宋体"/>
          <w:b/>
          <w:color w:val="auto"/>
          <w:sz w:val="24"/>
          <w:szCs w:val="24"/>
          <w:highlight w:val="none"/>
          <w:lang w:val="en-US" w:eastAsia="zh-CN"/>
        </w:rPr>
        <w:t>2.83</w:t>
      </w:r>
      <w:r>
        <w:rPr>
          <w:rFonts w:hint="eastAsia" w:ascii="宋体" w:hAnsi="宋体" w:eastAsia="宋体" w:cs="宋体"/>
          <w:b/>
          <w:color w:val="auto"/>
          <w:sz w:val="24"/>
          <w:szCs w:val="24"/>
          <w:highlight w:val="none"/>
        </w:rPr>
        <w:t>万元/场。</w:t>
      </w:r>
      <w:r>
        <w:rPr>
          <w:rFonts w:hint="eastAsia" w:ascii="宋体" w:hAnsi="宋体" w:cs="宋体"/>
          <w:b/>
          <w:color w:val="auto"/>
          <w:sz w:val="24"/>
          <w:szCs w:val="24"/>
          <w:highlight w:val="none"/>
          <w:lang w:eastAsia="zh-CN"/>
        </w:rPr>
        <w:t>供应商报价</w:t>
      </w:r>
      <w:r>
        <w:rPr>
          <w:rFonts w:hint="eastAsia" w:ascii="宋体" w:hAnsi="宋体" w:eastAsia="宋体" w:cs="宋体"/>
          <w:b/>
          <w:color w:val="auto"/>
          <w:sz w:val="24"/>
          <w:szCs w:val="24"/>
          <w:highlight w:val="none"/>
        </w:rPr>
        <w:t>超过最高限价或精品汇演单价超过其最高限价或巡演单价超过其最高限价</w:t>
      </w:r>
      <w:r>
        <w:rPr>
          <w:rFonts w:hint="eastAsia" w:ascii="宋体" w:hAnsi="宋体" w:cs="宋体"/>
          <w:b/>
          <w:color w:val="auto"/>
          <w:sz w:val="24"/>
          <w:szCs w:val="24"/>
          <w:highlight w:val="none"/>
          <w:lang w:val="en-US" w:eastAsia="zh-CN"/>
        </w:rPr>
        <w:t>或新创剧目报价超过其最高限价</w:t>
      </w:r>
      <w:r>
        <w:rPr>
          <w:rFonts w:hint="eastAsia" w:ascii="宋体" w:hAnsi="宋体" w:eastAsia="宋体" w:cs="宋体"/>
          <w:b/>
          <w:color w:val="auto"/>
          <w:sz w:val="24"/>
          <w:szCs w:val="24"/>
          <w:highlight w:val="none"/>
        </w:rPr>
        <w:t>的，则其</w:t>
      </w:r>
      <w:r>
        <w:rPr>
          <w:rFonts w:hint="eastAsia" w:ascii="宋体" w:hAnsi="宋体" w:cs="宋体"/>
          <w:b/>
          <w:color w:val="auto"/>
          <w:sz w:val="24"/>
          <w:szCs w:val="24"/>
          <w:highlight w:val="none"/>
          <w:lang w:eastAsia="zh-CN"/>
        </w:rPr>
        <w:t>响应文件</w:t>
      </w:r>
      <w:r>
        <w:rPr>
          <w:rFonts w:hint="eastAsia" w:ascii="宋体" w:hAnsi="宋体" w:eastAsia="宋体" w:cs="宋体"/>
          <w:b/>
          <w:color w:val="auto"/>
          <w:sz w:val="24"/>
          <w:szCs w:val="24"/>
          <w:highlight w:val="none"/>
        </w:rPr>
        <w:t>按无效</w:t>
      </w:r>
      <w:r>
        <w:rPr>
          <w:rFonts w:hint="eastAsia" w:ascii="宋体" w:hAnsi="宋体" w:cs="宋体"/>
          <w:b/>
          <w:color w:val="auto"/>
          <w:sz w:val="24"/>
          <w:szCs w:val="24"/>
          <w:highlight w:val="none"/>
          <w:lang w:eastAsia="zh-CN"/>
        </w:rPr>
        <w:t>响应文件</w:t>
      </w:r>
      <w:r>
        <w:rPr>
          <w:rFonts w:hint="eastAsia" w:ascii="宋体" w:hAnsi="宋体" w:eastAsia="宋体" w:cs="宋体"/>
          <w:b/>
          <w:color w:val="auto"/>
          <w:sz w:val="24"/>
          <w:szCs w:val="24"/>
          <w:highlight w:val="none"/>
        </w:rPr>
        <w:t>处理。</w:t>
      </w:r>
    </w:p>
    <w:p>
      <w:pPr>
        <w:pStyle w:val="53"/>
        <w:rPr>
          <w:rFonts w:hint="eastAsia"/>
          <w:highlight w:val="none"/>
        </w:rPr>
      </w:pPr>
    </w:p>
    <w:p>
      <w:pPr>
        <w:pStyle w:val="2"/>
        <w:pageBreakBefore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注：本章及合同条款均属于磋商内容，在磋商过程中均可变更（含实质性变更）。</w:t>
      </w:r>
    </w:p>
    <w:p>
      <w:pPr>
        <w:pStyle w:val="2"/>
        <w:pageBreakBefore w:val="0"/>
        <w:kinsoku/>
        <w:wordWrap/>
        <w:overflowPunct/>
        <w:topLinePunct w:val="0"/>
        <w:bidi w:val="0"/>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本章加★条款为采购项目实质性要求，不允许有负偏离。</w:t>
      </w:r>
    </w:p>
    <w:p>
      <w:pPr>
        <w:pStyle w:val="2"/>
        <w:pageBreakBefore w:val="0"/>
        <w:kinsoku/>
        <w:wordWrap/>
        <w:overflowPunct/>
        <w:topLinePunct w:val="0"/>
        <w:bidi w:val="0"/>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本章所列内容（含加★的）均可在磋商过程中进行响应。</w:t>
      </w:r>
    </w:p>
    <w:p>
      <w:pPr>
        <w:pStyle w:val="2"/>
        <w:rPr>
          <w:color w:val="auto"/>
          <w:highlight w:val="none"/>
        </w:rPr>
      </w:pPr>
    </w:p>
    <w:p>
      <w:pPr>
        <w:rPr>
          <w:color w:val="auto"/>
          <w:highlight w:val="none"/>
        </w:rPr>
      </w:pPr>
    </w:p>
    <w:p>
      <w:pPr>
        <w:pStyle w:val="2"/>
        <w:rPr>
          <w:color w:val="auto"/>
          <w:highlight w:val="none"/>
        </w:rPr>
      </w:pPr>
    </w:p>
    <w:p>
      <w:pPr>
        <w:rPr>
          <w:highlight w:val="none"/>
        </w:rPr>
        <w:sectPr>
          <w:pgSz w:w="11906" w:h="16838"/>
          <w:pgMar w:top="1440" w:right="1274" w:bottom="1440" w:left="1418" w:header="851" w:footer="992" w:gutter="0"/>
          <w:cols w:space="720" w:num="1"/>
          <w:docGrid w:type="lines" w:linePitch="312" w:charSpace="0"/>
        </w:sectPr>
      </w:pPr>
    </w:p>
    <w:p>
      <w:pPr>
        <w:pStyle w:val="3"/>
        <w:rPr>
          <w:rFonts w:hint="eastAsia"/>
          <w:color w:val="auto"/>
          <w:highlight w:val="none"/>
        </w:rPr>
      </w:pPr>
      <w:bookmarkStart w:id="290" w:name="_Toc238581781"/>
      <w:bookmarkStart w:id="291" w:name="_Toc15521"/>
      <w:r>
        <w:rPr>
          <w:rFonts w:hint="eastAsia"/>
          <w:color w:val="auto"/>
          <w:highlight w:val="none"/>
        </w:rPr>
        <w:t>响应</w:t>
      </w:r>
      <w:bookmarkEnd w:id="290"/>
      <w:r>
        <w:rPr>
          <w:rFonts w:hint="eastAsia"/>
          <w:color w:val="auto"/>
          <w:highlight w:val="none"/>
        </w:rPr>
        <w:t>文件格式</w:t>
      </w:r>
      <w:bookmarkEnd w:id="291"/>
    </w:p>
    <w:p>
      <w:pPr>
        <w:pStyle w:val="4"/>
        <w:rPr>
          <w:color w:val="auto"/>
          <w:highlight w:val="none"/>
        </w:rPr>
      </w:pPr>
      <w:bookmarkStart w:id="292" w:name="_Toc20027"/>
      <w:r>
        <w:rPr>
          <w:rFonts w:hint="eastAsia"/>
          <w:color w:val="auto"/>
          <w:highlight w:val="none"/>
        </w:rPr>
        <w:t>资格性响应文件格式</w:t>
      </w:r>
      <w:bookmarkEnd w:id="292"/>
    </w:p>
    <w:p>
      <w:pPr>
        <w:pStyle w:val="5"/>
        <w:ind w:left="80" w:leftChars="0" w:firstLine="482" w:firstLineChars="0"/>
        <w:rPr>
          <w:color w:val="auto"/>
          <w:highlight w:val="none"/>
        </w:rPr>
      </w:pPr>
      <w:bookmarkStart w:id="293" w:name="_Toc320698761"/>
      <w:r>
        <w:rPr>
          <w:rFonts w:hint="eastAsia"/>
          <w:color w:val="auto"/>
          <w:highlight w:val="none"/>
        </w:rPr>
        <w:t>资格性响应件密封包装最外层格式</w:t>
      </w:r>
      <w:bookmarkEnd w:id="293"/>
    </w:p>
    <w:tbl>
      <w:tblPr>
        <w:tblStyle w:val="4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946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 xml:space="preserve">成都市双流区文化馆2021年双流区“走基层”文化惠民活动采购项目（第二次） </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510122202100085</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pStyle w:val="5"/>
        <w:ind w:left="80" w:leftChars="0" w:firstLine="482" w:firstLineChars="0"/>
        <w:rPr>
          <w:color w:val="auto"/>
          <w:highlight w:val="none"/>
        </w:rPr>
      </w:pPr>
      <w:bookmarkStart w:id="294" w:name="_Toc320698762"/>
      <w:r>
        <w:rPr>
          <w:rFonts w:hint="eastAsia"/>
          <w:color w:val="auto"/>
          <w:highlight w:val="none"/>
        </w:rPr>
        <w:t>资格性响应文件封面格式</w:t>
      </w:r>
      <w:bookmarkEnd w:id="294"/>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 xml:space="preserve">成都市双流区文化馆2021年双流区“走基层”文化惠民活动采购项目（第二次） </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510122202100085</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spacing w:line="360" w:lineRule="auto"/>
              <w:ind w:left="1900" w:leftChars="150" w:hanging="1540" w:hangingChars="642"/>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240" w:firstLineChars="100"/>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spacing w:line="360" w:lineRule="auto"/>
        <w:ind w:firstLine="482" w:firstLineChars="200"/>
        <w:rPr>
          <w:rFonts w:ascii="宋体" w:hAnsi="宋体"/>
          <w:b/>
          <w:color w:val="auto"/>
          <w:highlight w:val="none"/>
        </w:rPr>
      </w:pPr>
      <w:r>
        <w:rPr>
          <w:rFonts w:hint="eastAsia" w:ascii="宋体" w:hAnsi="宋体"/>
          <w:b/>
          <w:color w:val="auto"/>
          <w:highlight w:val="none"/>
        </w:rPr>
        <w:t>温馨提示：</w:t>
      </w:r>
    </w:p>
    <w:p>
      <w:pPr>
        <w:numPr>
          <w:ilvl w:val="0"/>
          <w:numId w:val="42"/>
        </w:numPr>
        <w:spacing w:line="360" w:lineRule="auto"/>
        <w:ind w:firstLine="482" w:firstLineChars="200"/>
        <w:rPr>
          <w:rFonts w:ascii="宋体" w:hAnsi="宋体"/>
          <w:b/>
          <w:color w:val="auto"/>
          <w:highlight w:val="none"/>
        </w:rPr>
      </w:pPr>
      <w:r>
        <w:rPr>
          <w:rFonts w:hint="eastAsia" w:ascii="宋体" w:hAnsi="宋体"/>
          <w:b/>
          <w:color w:val="auto"/>
          <w:highlight w:val="none"/>
        </w:rPr>
        <w:t>资格性响应文件正本一份、副本二份；（实质性要求）</w:t>
      </w:r>
    </w:p>
    <w:p>
      <w:pPr>
        <w:numPr>
          <w:ilvl w:val="0"/>
          <w:numId w:val="42"/>
        </w:numPr>
        <w:spacing w:line="360" w:lineRule="auto"/>
        <w:ind w:firstLine="482" w:firstLineChars="200"/>
        <w:rPr>
          <w:rFonts w:ascii="宋体" w:hAnsi="宋体"/>
          <w:b/>
          <w:color w:val="auto"/>
          <w:highlight w:val="none"/>
        </w:rPr>
      </w:pPr>
      <w:r>
        <w:rPr>
          <w:rFonts w:hint="eastAsia" w:ascii="宋体" w:hAnsi="宋体"/>
          <w:b/>
          <w:color w:val="auto"/>
          <w:highlight w:val="none"/>
        </w:rPr>
        <w:t>资格性响应文件应单独密封包装，并于截止时间前送达指定地点；</w:t>
      </w:r>
    </w:p>
    <w:p>
      <w:pPr>
        <w:numPr>
          <w:ilvl w:val="0"/>
          <w:numId w:val="42"/>
        </w:numPr>
        <w:spacing w:line="360" w:lineRule="auto"/>
        <w:ind w:firstLine="482" w:firstLineChars="200"/>
        <w:rPr>
          <w:rFonts w:ascii="宋体" w:hAnsi="宋体"/>
          <w:color w:val="auto"/>
          <w:highlight w:val="none"/>
        </w:rPr>
      </w:pPr>
      <w:r>
        <w:rPr>
          <w:rFonts w:hint="eastAsia" w:ascii="宋体" w:hAnsi="宋体"/>
          <w:b/>
          <w:color w:val="auto"/>
          <w:highlight w:val="none"/>
        </w:rPr>
        <w:t>签字、盖章应符合竞争性磋商文件要求。（实质性要求）</w:t>
      </w:r>
    </w:p>
    <w:p>
      <w:pPr>
        <w:numPr>
          <w:ilvl w:val="0"/>
          <w:numId w:val="42"/>
        </w:numPr>
        <w:spacing w:line="360" w:lineRule="auto"/>
        <w:ind w:left="5" w:firstLine="716" w:firstLineChars="297"/>
        <w:rPr>
          <w:rFonts w:ascii="宋体" w:hAnsi="宋体"/>
          <w:color w:val="auto"/>
          <w:highlight w:val="none"/>
        </w:rPr>
      </w:pPr>
      <w:r>
        <w:rPr>
          <w:rFonts w:hint="eastAsia" w:ascii="宋体" w:hAnsi="宋体"/>
          <w:b/>
          <w:color w:val="auto"/>
          <w:highlight w:val="none"/>
        </w:rPr>
        <w:t>供应商提供的资格证明材料如发证机关有年检要求的则应通过年检且年检章要清楚，如有有效期的则应提供在有效内的证明材料。</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pStyle w:val="2"/>
        <w:spacing w:after="0" w:line="360" w:lineRule="auto"/>
        <w:rPr>
          <w:color w:val="auto"/>
          <w:highlight w:val="none"/>
        </w:rPr>
      </w:pPr>
    </w:p>
    <w:p>
      <w:pPr>
        <w:pStyle w:val="5"/>
        <w:ind w:left="80" w:leftChars="0" w:firstLine="482" w:firstLineChars="0"/>
        <w:rPr>
          <w:color w:val="auto"/>
          <w:highlight w:val="none"/>
        </w:rPr>
      </w:pPr>
      <w:r>
        <w:rPr>
          <w:rFonts w:hint="eastAsia"/>
          <w:color w:val="auto"/>
          <w:highlight w:val="none"/>
        </w:rPr>
        <w:t>关于供应商资格申明的函（格式）</w:t>
      </w:r>
    </w:p>
    <w:p>
      <w:pPr>
        <w:spacing w:line="360" w:lineRule="auto"/>
        <w:rPr>
          <w:rFonts w:ascii="宋体" w:hAnsi="宋体"/>
          <w:color w:val="auto"/>
          <w:highlight w:val="none"/>
        </w:rPr>
      </w:pPr>
      <w:bookmarkStart w:id="295" w:name="_Toc238581782"/>
      <w:bookmarkStart w:id="296" w:name="_Toc119295087"/>
      <w:bookmarkStart w:id="297" w:name="_Toc119203988"/>
      <w:bookmarkStart w:id="298" w:name="_Toc52184753"/>
      <w:bookmarkStart w:id="299" w:name="_Toc146903609"/>
      <w:bookmarkStart w:id="300" w:name="_Toc119296788"/>
      <w:r>
        <w:rPr>
          <w:rFonts w:hint="eastAsia" w:ascii="宋体" w:hAnsi="宋体"/>
          <w:color w:val="auto"/>
          <w:highlight w:val="none"/>
        </w:rPr>
        <w:t>致：</w:t>
      </w:r>
      <w:bookmarkEnd w:id="295"/>
      <w:r>
        <w:rPr>
          <w:rFonts w:hint="eastAsia" w:ascii="宋体" w:hAnsi="宋体"/>
          <w:color w:val="auto"/>
          <w:highlight w:val="none"/>
        </w:rPr>
        <w:t>四川世科工程咨询有限公司</w:t>
      </w:r>
    </w:p>
    <w:p>
      <w:pPr>
        <w:pStyle w:val="27"/>
        <w:spacing w:line="360" w:lineRule="auto"/>
        <w:ind w:firstLine="480" w:firstLineChars="200"/>
        <w:jc w:val="left"/>
        <w:rPr>
          <w:rFonts w:ascii="宋体" w:hAnsi="宋体" w:cs="宋体"/>
          <w:color w:val="auto"/>
          <w:sz w:val="24"/>
          <w:highlight w:val="none"/>
        </w:rPr>
      </w:pPr>
      <w:bookmarkStart w:id="301" w:name="_Toc238581783"/>
      <w:r>
        <w:rPr>
          <w:rFonts w:hint="eastAsia" w:ascii="宋体" w:hAnsi="宋体"/>
          <w:color w:val="auto"/>
          <w:sz w:val="24"/>
          <w:highlight w:val="none"/>
        </w:rPr>
        <w:t>关于我方对</w:t>
      </w:r>
      <w:r>
        <w:rPr>
          <w:rFonts w:hint="eastAsia" w:ascii="宋体" w:hAnsi="宋体"/>
          <w:b/>
          <w:color w:val="auto"/>
          <w:sz w:val="24"/>
          <w:highlight w:val="none"/>
          <w:lang w:eastAsia="zh-CN"/>
        </w:rPr>
        <w:t xml:space="preserve">成都市双流区文化馆2021年双流区“走基层”文化惠民活动采购项目（第二次） </w:t>
      </w:r>
      <w:r>
        <w:rPr>
          <w:rFonts w:hint="eastAsia" w:ascii="宋体" w:hAnsi="宋体"/>
          <w:b/>
          <w:color w:val="auto"/>
          <w:sz w:val="24"/>
          <w:highlight w:val="none"/>
        </w:rPr>
        <w:t>（项目编号：</w:t>
      </w:r>
      <w:r>
        <w:rPr>
          <w:rFonts w:hint="eastAsia" w:ascii="宋体" w:hAnsi="宋体"/>
          <w:b/>
          <w:color w:val="auto"/>
          <w:sz w:val="24"/>
          <w:highlight w:val="none"/>
          <w:lang w:eastAsia="zh-CN"/>
        </w:rPr>
        <w:t>510122202100085</w:t>
      </w:r>
      <w:r>
        <w:rPr>
          <w:rFonts w:hint="eastAsia" w:ascii="宋体" w:hAnsi="宋体"/>
          <w:b/>
          <w:color w:val="auto"/>
          <w:sz w:val="24"/>
          <w:highlight w:val="none"/>
        </w:rPr>
        <w:t xml:space="preserve">） </w:t>
      </w:r>
      <w:r>
        <w:rPr>
          <w:rFonts w:hint="eastAsia" w:ascii="宋体" w:hAnsi="宋体"/>
          <w:color w:val="auto"/>
          <w:sz w:val="24"/>
          <w:highlight w:val="none"/>
        </w:rPr>
        <w:t>的竞争性磋商，本签字人愿意参加磋商，并证明提交的下列文件和说明是准确的和真实的。</w:t>
      </w:r>
    </w:p>
    <w:p>
      <w:pPr>
        <w:numPr>
          <w:ilvl w:val="2"/>
          <w:numId w:val="43"/>
        </w:numPr>
        <w:spacing w:line="360" w:lineRule="auto"/>
        <w:ind w:left="0" w:firstLine="480" w:firstLineChars="200"/>
        <w:rPr>
          <w:rFonts w:ascii="宋体" w:hAnsi="宋体"/>
          <w:color w:val="auto"/>
          <w:highlight w:val="none"/>
        </w:rPr>
      </w:pPr>
      <w:bookmarkStart w:id="302" w:name="_Toc238581784"/>
      <w:r>
        <w:rPr>
          <w:rFonts w:hint="eastAsia" w:ascii="宋体" w:hAnsi="宋体"/>
          <w:color w:val="auto"/>
          <w:highlight w:val="none"/>
        </w:rPr>
        <w:t>供应商名称及概况：</w:t>
      </w:r>
      <w:bookmarkEnd w:id="302"/>
    </w:p>
    <w:p>
      <w:pPr>
        <w:numPr>
          <w:ilvl w:val="0"/>
          <w:numId w:val="44"/>
        </w:numPr>
        <w:spacing w:line="360" w:lineRule="auto"/>
        <w:ind w:left="0"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numPr>
          <w:ilvl w:val="0"/>
          <w:numId w:val="44"/>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pPr>
        <w:numPr>
          <w:ilvl w:val="0"/>
          <w:numId w:val="44"/>
        </w:numPr>
        <w:spacing w:line="360" w:lineRule="auto"/>
        <w:ind w:left="0" w:firstLine="480" w:firstLineChars="200"/>
        <w:rPr>
          <w:rFonts w:ascii="宋体" w:hAnsi="宋体"/>
          <w:color w:val="auto"/>
          <w:highlight w:val="none"/>
        </w:rPr>
      </w:pPr>
      <w:r>
        <w:rPr>
          <w:rFonts w:hint="eastAsia" w:ascii="宋体" w:hAnsi="宋体"/>
          <w:color w:val="auto"/>
          <w:highlight w:val="none"/>
        </w:rPr>
        <w:t>成立日期或注册日期：</w:t>
      </w:r>
      <w:r>
        <w:rPr>
          <w:rFonts w:hint="eastAsia" w:ascii="宋体" w:hAnsi="宋体"/>
          <w:color w:val="auto"/>
          <w:highlight w:val="none"/>
          <w:u w:val="single"/>
        </w:rPr>
        <w:t xml:space="preserve">           </w:t>
      </w:r>
    </w:p>
    <w:p>
      <w:pPr>
        <w:numPr>
          <w:ilvl w:val="0"/>
          <w:numId w:val="44"/>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法定代表人姓名：</w:t>
      </w:r>
      <w:r>
        <w:rPr>
          <w:rFonts w:hint="eastAsia" w:ascii="宋体" w:hAnsi="宋体"/>
          <w:color w:val="auto"/>
          <w:highlight w:val="none"/>
          <w:u w:val="single"/>
        </w:rPr>
        <w:t xml:space="preserve">           </w:t>
      </w:r>
    </w:p>
    <w:p>
      <w:pPr>
        <w:numPr>
          <w:ilvl w:val="2"/>
          <w:numId w:val="43"/>
        </w:numPr>
        <w:spacing w:line="360" w:lineRule="auto"/>
        <w:ind w:left="0" w:firstLine="480" w:firstLineChars="200"/>
        <w:rPr>
          <w:rFonts w:ascii="宋体" w:hAnsi="宋体"/>
          <w:color w:val="auto"/>
          <w:highlight w:val="none"/>
        </w:rPr>
      </w:pPr>
      <w:r>
        <w:rPr>
          <w:rFonts w:hint="eastAsia" w:ascii="宋体" w:hAnsi="宋体"/>
          <w:color w:val="auto"/>
          <w:highlight w:val="none"/>
        </w:rPr>
        <w:t>相关资格证明材料附后</w:t>
      </w:r>
    </w:p>
    <w:bookmarkEnd w:id="296"/>
    <w:bookmarkEnd w:id="297"/>
    <w:bookmarkEnd w:id="298"/>
    <w:bookmarkEnd w:id="299"/>
    <w:bookmarkEnd w:id="300"/>
    <w:bookmarkEnd w:id="301"/>
    <w:p>
      <w:pPr>
        <w:pStyle w:val="27"/>
        <w:spacing w:line="360" w:lineRule="auto"/>
        <w:ind w:firstLine="480" w:firstLineChars="200"/>
        <w:jc w:val="left"/>
        <w:rPr>
          <w:rFonts w:hAnsi="宋体"/>
          <w:color w:val="auto"/>
          <w:sz w:val="24"/>
          <w:highlight w:val="none"/>
        </w:rPr>
      </w:pPr>
      <w:r>
        <w:rPr>
          <w:rFonts w:hint="eastAsia" w:hAnsi="宋体"/>
          <w:bCs/>
          <w:color w:val="auto"/>
          <w:sz w:val="24"/>
          <w:highlight w:val="none"/>
        </w:rPr>
        <w:t>我方愿意提供贵公司可能另外要求的，与竞争性磋商有关的文件资料，并保证我方已提供和将要提供的文件资料是真实、准确的</w:t>
      </w:r>
      <w:r>
        <w:rPr>
          <w:rFonts w:hint="eastAsia" w:hAnsi="宋体"/>
          <w:color w:val="auto"/>
          <w:sz w:val="24"/>
          <w:highlight w:val="none"/>
        </w:rPr>
        <w:t>，并对此承担一切法律后果。</w:t>
      </w: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80" w:lineRule="exact"/>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5"/>
        <w:ind w:left="80" w:leftChars="0" w:firstLine="482" w:firstLineChars="0"/>
        <w:rPr>
          <w:color w:val="auto"/>
          <w:highlight w:val="none"/>
        </w:rPr>
      </w:pPr>
      <w:bookmarkStart w:id="303" w:name="_Toc320698765"/>
      <w:r>
        <w:rPr>
          <w:rFonts w:hint="eastAsia"/>
          <w:color w:val="auto"/>
          <w:highlight w:val="none"/>
        </w:rPr>
        <w:t>具有独立承担民事责任的能力证明材料</w:t>
      </w:r>
    </w:p>
    <w:p>
      <w:pPr>
        <w:rPr>
          <w:rFonts w:ascii="宋体" w:hAnsi="宋体"/>
          <w:color w:val="auto"/>
          <w:sz w:val="28"/>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ascii="宋体" w:hAnsi="宋体" w:cs="宋体"/>
          <w:bCs/>
          <w:color w:val="auto"/>
          <w:highlight w:val="none"/>
        </w:rPr>
      </w:pPr>
    </w:p>
    <w:p>
      <w:pPr>
        <w:rPr>
          <w:color w:val="auto"/>
          <w:highlight w:val="none"/>
        </w:rPr>
      </w:pPr>
    </w:p>
    <w:p>
      <w:pPr>
        <w:pStyle w:val="2"/>
        <w:rPr>
          <w:color w:val="auto"/>
          <w:highlight w:val="none"/>
        </w:rPr>
      </w:pPr>
    </w:p>
    <w:p>
      <w:pPr>
        <w:rPr>
          <w:color w:val="auto"/>
          <w:highlight w:val="none"/>
        </w:rPr>
      </w:pPr>
    </w:p>
    <w:p>
      <w:pPr>
        <w:pStyle w:val="5"/>
        <w:ind w:left="80" w:leftChars="0" w:firstLine="482" w:firstLineChars="0"/>
        <w:rPr>
          <w:rFonts w:cs="宋体"/>
          <w:color w:val="auto"/>
          <w:szCs w:val="24"/>
          <w:highlight w:val="none"/>
        </w:rPr>
      </w:pPr>
      <w:r>
        <w:rPr>
          <w:rFonts w:hint="eastAsia" w:cs="宋体"/>
          <w:color w:val="auto"/>
          <w:szCs w:val="24"/>
          <w:highlight w:val="none"/>
        </w:rPr>
        <w:t>健全的财务会计制度的证明材料</w:t>
      </w:r>
    </w:p>
    <w:p>
      <w:pPr>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left="80" w:leftChars="0" w:firstLine="482" w:firstLineChars="0"/>
        <w:rPr>
          <w:color w:val="auto"/>
          <w:highlight w:val="none"/>
        </w:rPr>
      </w:pPr>
      <w:r>
        <w:rPr>
          <w:rFonts w:hint="eastAsia"/>
          <w:color w:val="auto"/>
          <w:highlight w:val="none"/>
        </w:rPr>
        <w:t>供应商缴纳税收的证明材料</w:t>
      </w:r>
    </w:p>
    <w:p>
      <w:pPr>
        <w:rPr>
          <w:color w:val="auto"/>
          <w:highlight w:val="none"/>
        </w:rPr>
      </w:pPr>
    </w:p>
    <w:p>
      <w:pPr>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rPr>
          <w:color w:val="auto"/>
          <w:highlight w:val="none"/>
        </w:rPr>
      </w:pPr>
    </w:p>
    <w:p>
      <w:pPr>
        <w:pStyle w:val="2"/>
        <w:rPr>
          <w:color w:val="auto"/>
          <w:highlight w:val="none"/>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5"/>
        <w:ind w:left="80" w:leftChars="0" w:firstLine="482" w:firstLineChars="0"/>
        <w:rPr>
          <w:color w:val="auto"/>
          <w:highlight w:val="none"/>
        </w:rPr>
      </w:pPr>
      <w:r>
        <w:rPr>
          <w:rFonts w:hint="eastAsia"/>
          <w:color w:val="auto"/>
          <w:highlight w:val="none"/>
        </w:rPr>
        <w:t>供应商缴纳社会保障资金的证明材料</w:t>
      </w:r>
    </w:p>
    <w:p>
      <w:pPr>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left="80" w:leftChars="0" w:firstLine="482" w:firstLineChars="0"/>
        <w:rPr>
          <w:color w:val="auto"/>
          <w:highlight w:val="none"/>
        </w:rPr>
      </w:pPr>
      <w:r>
        <w:rPr>
          <w:rFonts w:hint="eastAsia"/>
          <w:color w:val="auto"/>
          <w:highlight w:val="none"/>
        </w:rPr>
        <w:t>承诺函</w:t>
      </w:r>
    </w:p>
    <w:p>
      <w:pPr>
        <w:widowControl w:val="0"/>
        <w:spacing w:line="360" w:lineRule="auto"/>
        <w:rPr>
          <w:rFonts w:ascii="宋体" w:hAnsi="宋体"/>
          <w:color w:val="auto"/>
          <w:highlight w:val="none"/>
        </w:rPr>
      </w:pPr>
      <w:r>
        <w:rPr>
          <w:rFonts w:hint="eastAsia" w:ascii="宋体" w:hAnsi="宋体"/>
          <w:b/>
          <w:bCs/>
          <w:color w:val="auto"/>
          <w:highlight w:val="none"/>
        </w:rPr>
        <w:t>四川世科工程咨询有限公司：</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我公司作为本次采购项目的供应商，根据竞争性磋商文件的要求，在此郑重承诺：</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我公司具有良好的商业信誉。</w:t>
      </w:r>
    </w:p>
    <w:p>
      <w:pPr>
        <w:pStyle w:val="2"/>
        <w:widowControl w:val="0"/>
        <w:numPr>
          <w:ilvl w:val="0"/>
          <w:numId w:val="45"/>
        </w:numPr>
        <w:spacing w:after="0" w:line="360" w:lineRule="auto"/>
        <w:ind w:firstLine="480" w:firstLineChars="200"/>
        <w:rPr>
          <w:color w:val="auto"/>
          <w:highlight w:val="none"/>
        </w:rPr>
      </w:pPr>
      <w:r>
        <w:rPr>
          <w:rFonts w:hint="eastAsia"/>
          <w:color w:val="auto"/>
          <w:highlight w:val="none"/>
        </w:rPr>
        <w:t>我公司具有履行合同所必须的设备和专业技术能力。</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我公司参加政府采购活动前三年内（成立不足三年的，从成立之日起算），在经营活动中无重大违法记录。（</w:t>
      </w:r>
      <w:r>
        <w:rPr>
          <w:rFonts w:hint="eastAsia" w:asciiTheme="minorEastAsia" w:hAnsiTheme="minorEastAsia" w:eastAsiaTheme="minorEastAsia" w:cstheme="minorEastAsia"/>
          <w:color w:val="auto"/>
          <w:highlight w:val="none"/>
        </w:rPr>
        <w:t>重大违法记录是指供应商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现定的行政处罚罚款听证标准金额为准。本规定所称较大数额，是指对非经营活动职业培训教育网民的违法行为处以罚款或者没收财产2000元以上、法人或者其他 组织的违法行为处以罚款或者没收财产2万元以上；对在经营活动中的违法行为处以罚款或者没收财产5万元以上。国务院有关部门规定的较大数额标准低于前 款规定的，从其规定。</w:t>
      </w:r>
      <w:r>
        <w:rPr>
          <w:rFonts w:hint="eastAsia" w:ascii="宋体" w:hAnsi="宋体"/>
          <w:color w:val="auto"/>
          <w:highlight w:val="none"/>
        </w:rPr>
        <w:t>）</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我公司及我公司法定代表人或主要负责人</w:t>
      </w:r>
      <w:r>
        <w:rPr>
          <w:rFonts w:hint="eastAsia" w:ascii="宋体" w:hAnsi="宋体" w:cs="宋体"/>
          <w:color w:val="auto"/>
          <w:highlight w:val="none"/>
        </w:rPr>
        <w:t>不具有行贿犯罪记录</w:t>
      </w:r>
      <w:r>
        <w:rPr>
          <w:rFonts w:hint="eastAsia" w:ascii="宋体" w:hAnsi="宋体"/>
          <w:color w:val="auto"/>
          <w:highlight w:val="none"/>
        </w:rPr>
        <w:t>。</w:t>
      </w:r>
    </w:p>
    <w:p>
      <w:pPr>
        <w:widowControl w:val="0"/>
        <w:numPr>
          <w:ilvl w:val="0"/>
          <w:numId w:val="45"/>
        </w:numPr>
        <w:spacing w:line="360" w:lineRule="auto"/>
        <w:ind w:firstLine="480" w:firstLineChars="200"/>
        <w:rPr>
          <w:rFonts w:ascii="宋体" w:hAnsi="宋体"/>
          <w:color w:val="auto"/>
          <w:highlight w:val="none"/>
        </w:rPr>
      </w:pPr>
      <w:r>
        <w:rPr>
          <w:color w:val="auto"/>
          <w:highlight w:val="none"/>
        </w:rPr>
        <w:t>完全接受和满足本项目</w:t>
      </w:r>
      <w:r>
        <w:rPr>
          <w:rFonts w:hint="eastAsia"/>
          <w:color w:val="auto"/>
          <w:highlight w:val="none"/>
        </w:rPr>
        <w:t>竞争性磋商</w:t>
      </w:r>
      <w:r>
        <w:rPr>
          <w:color w:val="auto"/>
          <w:highlight w:val="none"/>
        </w:rPr>
        <w:t>文件中规定的实质性要求，如对</w:t>
      </w:r>
      <w:r>
        <w:rPr>
          <w:rFonts w:hint="eastAsia"/>
          <w:color w:val="auto"/>
          <w:highlight w:val="none"/>
        </w:rPr>
        <w:t>竞争性磋商</w:t>
      </w:r>
      <w:r>
        <w:rPr>
          <w:color w:val="auto"/>
          <w:highlight w:val="none"/>
        </w:rPr>
        <w:t>文件有异议，已经在</w:t>
      </w:r>
      <w:r>
        <w:rPr>
          <w:rFonts w:hint="eastAsia"/>
          <w:color w:val="auto"/>
          <w:highlight w:val="none"/>
        </w:rPr>
        <w:t>响应文件递交</w:t>
      </w:r>
      <w:r>
        <w:rPr>
          <w:color w:val="auto"/>
          <w:highlight w:val="none"/>
        </w:rPr>
        <w:t>截止时间届满前依法进行维权救济，不存在对</w:t>
      </w:r>
      <w:r>
        <w:rPr>
          <w:rFonts w:hint="eastAsia"/>
          <w:color w:val="auto"/>
          <w:highlight w:val="none"/>
        </w:rPr>
        <w:t>竞争性磋商</w:t>
      </w:r>
      <w:r>
        <w:rPr>
          <w:color w:val="auto"/>
          <w:highlight w:val="none"/>
        </w:rPr>
        <w:t>文件有异议的同时又参加</w:t>
      </w:r>
      <w:r>
        <w:rPr>
          <w:rFonts w:hint="eastAsia"/>
          <w:color w:val="auto"/>
          <w:highlight w:val="none"/>
        </w:rPr>
        <w:t>磋商</w:t>
      </w:r>
      <w:r>
        <w:rPr>
          <w:color w:val="auto"/>
          <w:highlight w:val="none"/>
        </w:rPr>
        <w:t>以求侥幸</w:t>
      </w:r>
      <w:r>
        <w:rPr>
          <w:rFonts w:hint="eastAsia"/>
          <w:color w:val="auto"/>
          <w:highlight w:val="none"/>
        </w:rPr>
        <w:t>成交</w:t>
      </w:r>
      <w:r>
        <w:rPr>
          <w:color w:val="auto"/>
          <w:highlight w:val="none"/>
        </w:rPr>
        <w:t>或者为实现其他非法目的的行为。</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参加本次采购活动，我公司不存在和其他供应商在同一合同项下的采购项目中，同时委托同一个自然人、同一家庭的人员、同一单位的人员作为代理人的行为。</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参加本次采购活动，我公司不存在与单位负责人为同一人或者存在直接控股、管理关系的其他供应商参与同一合同项下的政府采购活动的行为。</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我公司没有为本项目提供过整体设计、规范编制或者项目管理、监理、检测等服务。</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我公司如果有</w:t>
      </w:r>
      <w:r>
        <w:rPr>
          <w:rFonts w:hint="eastAsia"/>
          <w:color w:val="auto"/>
          <w:highlight w:val="none"/>
          <w:lang w:val="en-US" w:eastAsia="zh-CN"/>
        </w:rPr>
        <w:t>《四川省公共资源交易领域严重失信联合惩戒实施办法》（川发改信用规【2019】405号）、《关于对政府采购领域严重违法失信主体开展联合惩戒的合作备案录》（发改财经【2018】1614号）</w:t>
      </w:r>
      <w:r>
        <w:rPr>
          <w:rFonts w:hint="eastAsia" w:ascii="宋体" w:hAnsi="宋体"/>
          <w:color w:val="auto"/>
          <w:highlight w:val="none"/>
        </w:rPr>
        <w:t>规定的失信行为，将在磋商文件中全面如实反映。</w:t>
      </w:r>
    </w:p>
    <w:p>
      <w:pPr>
        <w:widowControl w:val="0"/>
        <w:numPr>
          <w:ilvl w:val="0"/>
          <w:numId w:val="45"/>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olor w:val="auto"/>
          <w:highlight w:val="none"/>
        </w:rPr>
        <w:t>我公司</w:t>
      </w:r>
      <w:r>
        <w:rPr>
          <w:rFonts w:hint="eastAsia" w:ascii="宋体" w:hAnsi="宋体" w:cs="宋体"/>
          <w:color w:val="auto"/>
          <w:highlight w:val="none"/>
        </w:rPr>
        <w:t>承担所有相关责任。</w:t>
      </w:r>
    </w:p>
    <w:p>
      <w:pPr>
        <w:widowControl w:val="0"/>
        <w:numPr>
          <w:ilvl w:val="0"/>
          <w:numId w:val="45"/>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widowControl w:val="0"/>
        <w:numPr>
          <w:ilvl w:val="0"/>
          <w:numId w:val="45"/>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如欲在项目实施过程中采用自有知识成果，将在响应文件中声明，并提供相关知识产权证明文件。使用该知识成果后，</w:t>
      </w:r>
      <w:r>
        <w:rPr>
          <w:rFonts w:hint="eastAsia" w:ascii="宋体" w:hAnsi="宋体"/>
          <w:color w:val="auto"/>
          <w:highlight w:val="none"/>
        </w:rPr>
        <w:t>我公司将</w:t>
      </w:r>
      <w:r>
        <w:rPr>
          <w:rFonts w:hint="eastAsia" w:ascii="宋体" w:hAnsi="宋体" w:cs="宋体"/>
          <w:color w:val="auto"/>
          <w:highlight w:val="none"/>
        </w:rPr>
        <w:t>提供开发接口和开发手册等技术文档，并提供无限期技术支持，采购人享有永久使用权（含采购人委托第三方在该项目后续开发的使用权）。</w:t>
      </w:r>
    </w:p>
    <w:p>
      <w:pPr>
        <w:widowControl w:val="0"/>
        <w:numPr>
          <w:ilvl w:val="0"/>
          <w:numId w:val="45"/>
        </w:numPr>
        <w:spacing w:line="360" w:lineRule="auto"/>
        <w:ind w:firstLine="480" w:firstLineChars="200"/>
        <w:rPr>
          <w:rFonts w:ascii="宋体" w:hAnsi="宋体"/>
          <w:color w:val="auto"/>
          <w:kern w:val="2"/>
          <w:highlight w:val="none"/>
        </w:rPr>
      </w:pPr>
      <w:r>
        <w:rPr>
          <w:rFonts w:hint="eastAsia" w:ascii="宋体" w:hAnsi="宋体" w:cs="宋体"/>
          <w:color w:val="auto"/>
          <w:highlight w:val="none"/>
        </w:rPr>
        <w:t>如采用</w:t>
      </w:r>
      <w:r>
        <w:rPr>
          <w:rFonts w:hint="eastAsia" w:ascii="宋体" w:hAnsi="宋体"/>
          <w:color w:val="auto"/>
          <w:highlight w:val="none"/>
        </w:rPr>
        <w:t>我公司</w:t>
      </w:r>
      <w:r>
        <w:rPr>
          <w:rFonts w:hint="eastAsia" w:ascii="宋体" w:hAnsi="宋体" w:cs="宋体"/>
          <w:color w:val="auto"/>
          <w:highlight w:val="none"/>
        </w:rPr>
        <w:t xml:space="preserve">所不拥有的知识产权的产品，则在报价中已包括合法获取该知识产权的相关费用。 </w:t>
      </w:r>
    </w:p>
    <w:p>
      <w:pPr>
        <w:pStyle w:val="2"/>
        <w:widowControl w:val="0"/>
        <w:numPr>
          <w:ilvl w:val="0"/>
          <w:numId w:val="45"/>
        </w:numPr>
        <w:spacing w:after="0" w:line="360" w:lineRule="auto"/>
        <w:ind w:firstLine="480" w:firstLineChars="200"/>
        <w:rPr>
          <w:rFonts w:ascii="宋体" w:hAnsi="宋体"/>
          <w:color w:val="auto"/>
          <w:kern w:val="2"/>
          <w:highlight w:val="none"/>
        </w:rPr>
      </w:pPr>
      <w:r>
        <w:rPr>
          <w:rFonts w:hint="eastAsia" w:ascii="宋体" w:hAnsi="宋体"/>
          <w:color w:val="auto"/>
          <w:kern w:val="2"/>
          <w:highlight w:val="none"/>
        </w:rPr>
        <w:t>我公司参与本项目非联合体磋商。</w:t>
      </w:r>
    </w:p>
    <w:p>
      <w:pPr>
        <w:pStyle w:val="2"/>
        <w:widowControl w:val="0"/>
        <w:numPr>
          <w:ilvl w:val="0"/>
          <w:numId w:val="45"/>
        </w:numPr>
        <w:spacing w:after="0" w:line="360" w:lineRule="auto"/>
        <w:ind w:firstLine="480" w:firstLineChars="200"/>
        <w:rPr>
          <w:rFonts w:ascii="宋体" w:hAnsi="宋体"/>
          <w:color w:val="auto"/>
          <w:kern w:val="2"/>
          <w:highlight w:val="none"/>
        </w:rPr>
      </w:pPr>
      <w:r>
        <w:rPr>
          <w:rFonts w:hint="eastAsia" w:ascii="宋体" w:hAnsi="宋体"/>
          <w:color w:val="auto"/>
          <w:kern w:val="2"/>
          <w:highlight w:val="none"/>
        </w:rPr>
        <w:t>我公司符合法律、行政法规规定的其他条件。</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如违反以上承诺，本公司愿承担一切法律责任。</w:t>
      </w:r>
    </w:p>
    <w:p>
      <w:pPr>
        <w:pStyle w:val="2"/>
        <w:widowControl w:val="0"/>
        <w:spacing w:after="0" w:line="360" w:lineRule="auto"/>
        <w:ind w:firstLine="480" w:firstLineChars="200"/>
        <w:rPr>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hint="eastAsia" w:ascii="宋体" w:hAnsi="宋体"/>
          <w:color w:val="auto"/>
          <w:highlight w:val="none"/>
        </w:rPr>
        <w:sectPr>
          <w:pgSz w:w="11906" w:h="16838"/>
          <w:pgMar w:top="1440" w:right="1274" w:bottom="1440" w:left="1418" w:header="851" w:footer="992" w:gutter="0"/>
          <w:cols w:space="720" w:num="1"/>
          <w:docGrid w:type="lines" w:linePitch="312" w:charSpace="0"/>
        </w:sectPr>
      </w:pPr>
    </w:p>
    <w:p>
      <w:pPr>
        <w:pStyle w:val="5"/>
        <w:ind w:left="80" w:leftChars="0" w:firstLine="482" w:firstLineChars="0"/>
        <w:rPr>
          <w:rFonts w:hint="eastAsia" w:ascii="宋体" w:hAnsi="宋体" w:eastAsia="宋体" w:cs="Times New Roman"/>
          <w:color w:val="auto"/>
          <w:highlight w:val="none"/>
        </w:rPr>
      </w:pPr>
      <w:r>
        <w:rPr>
          <w:rFonts w:hint="eastAsia" w:ascii="宋体" w:hAnsi="宋体" w:eastAsia="宋体" w:cs="宋体"/>
          <w:sz w:val="24"/>
          <w:szCs w:val="24"/>
          <w:highlight w:val="none"/>
          <w:lang w:eastAsia="zh-CN"/>
        </w:rPr>
        <w:t>营业性演出许可证</w:t>
      </w:r>
      <w:r>
        <w:rPr>
          <w:rFonts w:hint="eastAsia" w:cs="宋体"/>
          <w:sz w:val="24"/>
          <w:szCs w:val="24"/>
          <w:highlight w:val="none"/>
          <w:lang w:val="en-US" w:eastAsia="zh-CN"/>
        </w:rPr>
        <w:t>复印件</w:t>
      </w: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cs="宋体"/>
          <w:sz w:val="24"/>
          <w:szCs w:val="24"/>
          <w:highlight w:val="none"/>
          <w:lang w:val="en-US" w:eastAsia="zh-CN"/>
        </w:rPr>
      </w:pPr>
    </w:p>
    <w:p>
      <w:pPr>
        <w:pStyle w:val="2"/>
        <w:rPr>
          <w:rFonts w:hint="eastAsia" w:cs="宋体"/>
          <w:sz w:val="24"/>
          <w:szCs w:val="24"/>
          <w:highlight w:val="none"/>
          <w:lang w:val="en-US" w:eastAsia="zh-CN"/>
        </w:rPr>
      </w:pPr>
    </w:p>
    <w:p>
      <w:pPr>
        <w:rPr>
          <w:rFonts w:hint="eastAsia"/>
          <w:highlight w:val="none"/>
          <w:lang w:val="en-US" w:eastAsia="zh-CN"/>
        </w:rPr>
      </w:pPr>
    </w:p>
    <w:p>
      <w:pPr>
        <w:rPr>
          <w:rFonts w:hint="eastAsia"/>
          <w:highlight w:val="none"/>
        </w:rPr>
      </w:pPr>
    </w:p>
    <w:p>
      <w:pPr>
        <w:pStyle w:val="5"/>
        <w:ind w:left="80" w:leftChars="0" w:firstLine="482" w:firstLineChars="0"/>
        <w:rPr>
          <w:rFonts w:hint="eastAsia" w:ascii="宋体" w:hAnsi="宋体" w:eastAsia="宋体" w:cs="Times New Roman"/>
          <w:color w:val="auto"/>
          <w:highlight w:val="none"/>
        </w:rPr>
      </w:pPr>
      <w:r>
        <w:rPr>
          <w:rFonts w:hint="eastAsia" w:cs="Times New Roman"/>
          <w:color w:val="auto"/>
          <w:highlight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本公司（联合体）郑重声明，根据《政府采购促进中小企业发展管理办法》（财库﹝2020﹞46 号）的规定，本公司（联合体）参加（单位名称）的（项目名称）采购活动，工 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1.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（采购文件中明确的所属行业）</w:t>
      </w:r>
      <w:r>
        <w:rPr>
          <w:rFonts w:hint="eastAsia" w:ascii="宋体" w:hAnsi="宋体" w:eastAsia="宋体" w:cs="宋体"/>
          <w:i w:val="0"/>
          <w:iCs w:val="0"/>
          <w:color w:val="000000"/>
          <w:kern w:val="0"/>
          <w:sz w:val="24"/>
          <w:szCs w:val="24"/>
          <w:highlight w:val="none"/>
          <w:lang w:val="en-US" w:eastAsia="zh-CN" w:bidi="ar"/>
        </w:rPr>
        <w:t>；承建（承接）企业为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人，营业收入</w:t>
      </w:r>
      <w:r>
        <w:rPr>
          <w:rFonts w:hint="eastAsia" w:ascii="宋体" w:hAnsi="宋体" w:cs="宋体"/>
          <w:i w:val="0"/>
          <w:iCs w:val="0"/>
          <w:color w:val="000000"/>
          <w:kern w:val="0"/>
          <w:sz w:val="24"/>
          <w:szCs w:val="24"/>
          <w:highlight w:val="none"/>
          <w:lang w:val="en-US" w:eastAsia="zh-CN" w:bidi="ar"/>
        </w:rPr>
        <w:t>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2.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（采购文件中明确的所属行业）；承建（承接）企业为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人</w:t>
      </w:r>
      <w:r>
        <w:rPr>
          <w:rFonts w:hint="eastAsia" w:ascii="宋体" w:hAnsi="宋体" w:eastAsia="宋体" w:cs="宋体"/>
          <w:i w:val="0"/>
          <w:iCs w:val="0"/>
          <w:color w:val="000000"/>
          <w:kern w:val="0"/>
          <w:sz w:val="24"/>
          <w:szCs w:val="24"/>
          <w:highlight w:val="none"/>
          <w:lang w:val="en-US" w:eastAsia="zh-CN" w:bidi="ar"/>
        </w:rPr>
        <w:t>，营业收入为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ascii="宋体" w:hAnsi="宋体" w:eastAsia="宋体" w:cs="宋体"/>
          <w:i w:val="0"/>
          <w:iCs w:val="0"/>
          <w:color w:val="000000"/>
          <w:kern w:val="0"/>
          <w:sz w:val="24"/>
          <w:szCs w:val="24"/>
          <w:highlight w:val="none"/>
          <w:lang w:val="en-US" w:eastAsia="zh-CN" w:bidi="ar"/>
        </w:rPr>
        <w:t>，资产总额为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00" w:firstLineChars="1500"/>
        <w:jc w:val="both"/>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val="en-US" w:eastAsia="zh-CN" w:bidi="ar"/>
        </w:rPr>
        <w:t>从业人员、营业收入、资产总额填报上一年度数据，无上一年度数据的新成立企业可不填报。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eastAsia="宋体"/>
          <w:highlight w:val="none"/>
          <w:lang w:eastAsia="zh-CN"/>
        </w:rPr>
        <w:sectPr>
          <w:pgSz w:w="11906" w:h="16838"/>
          <w:pgMar w:top="1440" w:right="1274" w:bottom="1440" w:left="1418" w:header="851" w:footer="992" w:gutter="0"/>
          <w:cols w:space="720" w:num="1"/>
          <w:docGrid w:type="lines" w:linePitch="312" w:charSpace="0"/>
        </w:sectPr>
      </w:pPr>
      <w:r>
        <w:rPr>
          <w:rFonts w:hint="eastAsia" w:ascii="宋体" w:hAnsi="宋体" w:eastAsia="宋体" w:cs="宋体"/>
          <w:b/>
          <w:bCs/>
          <w:color w:val="000000"/>
          <w:kern w:val="0"/>
          <w:sz w:val="24"/>
          <w:szCs w:val="24"/>
          <w:highlight w:val="none"/>
          <w:lang w:val="en-US" w:eastAsia="zh-CN" w:bidi="ar"/>
        </w:rPr>
        <w:t>说明： 供应商为监狱企业的，提供由省级以上监狱管理局、戒毒管理局（含新疆生产建设兵团）出具的供应商属于监狱企业的证明文件复印件。监狱企业视同小型、微型企业。如提供虚假中小企业声明函的，则采购人有权取消参加磋商、成交资格，有权终止合同，并报政府采购监管部门。本项目采购标的对应的中小企业划分标准所属行业为</w:t>
      </w:r>
      <w:r>
        <w:rPr>
          <w:rFonts w:hint="eastAsia" w:ascii="宋体" w:hAnsi="宋体" w:cs="宋体"/>
          <w:b/>
          <w:bCs/>
          <w:color w:val="000000"/>
          <w:kern w:val="0"/>
          <w:sz w:val="24"/>
          <w:szCs w:val="24"/>
          <w:highlight w:val="none"/>
          <w:lang w:val="en-US" w:eastAsia="zh-CN" w:bidi="ar"/>
        </w:rPr>
        <w:t>租赁和商务服务业</w:t>
      </w:r>
      <w:r>
        <w:rPr>
          <w:rFonts w:hint="eastAsia" w:ascii="宋体" w:hAnsi="宋体" w:cs="宋体"/>
          <w:b/>
          <w:szCs w:val="24"/>
          <w:highlight w:val="none"/>
          <w:lang w:eastAsia="zh-CN"/>
        </w:rPr>
        <w:t>。</w:t>
      </w:r>
    </w:p>
    <w:p>
      <w:pPr>
        <w:pStyle w:val="5"/>
        <w:ind w:left="80" w:leftChars="0" w:firstLine="482" w:firstLineChars="0"/>
        <w:rPr>
          <w:color w:val="auto"/>
          <w:highlight w:val="none"/>
        </w:rPr>
      </w:pPr>
      <w:r>
        <w:rPr>
          <w:rFonts w:hint="eastAsia"/>
          <w:color w:val="auto"/>
          <w:highlight w:val="none"/>
          <w:lang w:val="en-US" w:eastAsia="zh-CN"/>
        </w:rPr>
        <w:t>残疾人福利性单位</w:t>
      </w:r>
      <w:r>
        <w:rPr>
          <w:rFonts w:hint="eastAsia" w:ascii="宋体" w:hAnsi="宋体" w:cs="宋体"/>
          <w:b/>
          <w:color w:val="auto"/>
          <w:highlight w:val="none"/>
        </w:rPr>
        <w:t>声明函</w:t>
      </w:r>
    </w:p>
    <w:p>
      <w:pPr>
        <w:spacing w:line="360" w:lineRule="auto"/>
        <w:ind w:firstLine="482" w:firstLineChars="200"/>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
        <w:rPr>
          <w:color w:val="auto"/>
          <w:highlight w:val="none"/>
        </w:rPr>
      </w:pP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（请填写：本单位或XX单位）制造的货物，该单位为符合条件的残疾人福利性单位，不包括使用非残疾人福利性单位注册商标的货物。</w:t>
      </w: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tabs>
          <w:tab w:val="left" w:pos="3969"/>
        </w:tabs>
        <w:spacing w:line="360" w:lineRule="auto"/>
        <w:ind w:right="-58" w:firstLine="504" w:firstLineChars="200"/>
        <w:rPr>
          <w:rFonts w:ascii="宋体" w:hAnsi="宋体" w:cs="宋体"/>
          <w:color w:val="auto"/>
          <w:spacing w:val="6"/>
          <w:highlight w:val="none"/>
        </w:rPr>
      </w:pPr>
      <w:r>
        <w:rPr>
          <w:rFonts w:hint="eastAsia" w:ascii="宋体" w:hAnsi="宋体" w:cs="宋体"/>
          <w:color w:val="auto"/>
          <w:spacing w:val="6"/>
          <w:highlight w:val="none"/>
        </w:rPr>
        <w:t>供应商名称：</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3969"/>
        </w:tabs>
        <w:spacing w:line="360" w:lineRule="auto"/>
        <w:ind w:right="-58" w:firstLine="504" w:firstLineChars="200"/>
        <w:rPr>
          <w:rFonts w:ascii="宋体" w:hAnsi="宋体" w:cs="宋体"/>
          <w:color w:val="auto"/>
          <w:spacing w:val="6"/>
          <w:highlight w:val="none"/>
        </w:rPr>
      </w:pPr>
    </w:p>
    <w:p>
      <w:pPr>
        <w:spacing w:line="520" w:lineRule="exact"/>
        <w:ind w:firstLine="561" w:firstLineChars="0"/>
        <w:jc w:val="both"/>
        <w:rPr>
          <w:rFonts w:hint="eastAsia" w:ascii="宋体" w:hAnsi="宋体"/>
          <w:b/>
          <w:spacing w:val="6"/>
          <w:szCs w:val="24"/>
          <w:highlight w:val="none"/>
        </w:rPr>
      </w:pPr>
      <w:r>
        <w:rPr>
          <w:rFonts w:hint="eastAsia" w:ascii="宋体" w:hAnsi="宋体"/>
          <w:b/>
          <w:spacing w:val="6"/>
          <w:szCs w:val="24"/>
          <w:highlight w:val="none"/>
        </w:rPr>
        <w:t>说明：</w:t>
      </w:r>
      <w:r>
        <w:rPr>
          <w:rFonts w:hint="eastAsia" w:ascii="宋体" w:hAnsi="宋体"/>
          <w:b/>
          <w:color w:val="auto"/>
          <w:spacing w:val="6"/>
          <w:highlight w:val="none"/>
        </w:rPr>
        <w:t>非残疾人福利性单位不提供此声明函</w:t>
      </w:r>
      <w:r>
        <w:rPr>
          <w:rFonts w:hint="eastAsia" w:ascii="宋体" w:hAnsi="宋体"/>
          <w:b/>
          <w:spacing w:val="6"/>
          <w:szCs w:val="24"/>
          <w:highlight w:val="none"/>
        </w:rPr>
        <w:t>。</w:t>
      </w:r>
      <w:r>
        <w:rPr>
          <w:rFonts w:hint="eastAsia" w:ascii="宋体" w:hAnsi="宋体"/>
          <w:b/>
          <w:spacing w:val="6"/>
          <w:szCs w:val="24"/>
          <w:highlight w:val="none"/>
          <w:lang w:val="en-US" w:eastAsia="zh-CN"/>
        </w:rPr>
        <w:t>成交</w:t>
      </w:r>
      <w:r>
        <w:rPr>
          <w:rFonts w:hint="eastAsia" w:ascii="宋体" w:hAnsi="宋体"/>
          <w:b/>
          <w:spacing w:val="6"/>
          <w:szCs w:val="24"/>
          <w:highlight w:val="none"/>
        </w:rPr>
        <w:t>供应商为残疾人福利性单位的，采购人或者其委托的采购代理机构应当随</w:t>
      </w:r>
      <w:r>
        <w:rPr>
          <w:rFonts w:hint="eastAsia" w:ascii="宋体" w:hAnsi="宋体"/>
          <w:b/>
          <w:spacing w:val="6"/>
          <w:szCs w:val="24"/>
          <w:highlight w:val="none"/>
          <w:lang w:val="en-US" w:eastAsia="zh-CN"/>
        </w:rPr>
        <w:t>成交</w:t>
      </w:r>
      <w:r>
        <w:rPr>
          <w:rFonts w:hint="eastAsia" w:ascii="宋体" w:hAnsi="宋体"/>
          <w:b/>
          <w:spacing w:val="6"/>
          <w:szCs w:val="24"/>
          <w:highlight w:val="none"/>
        </w:rPr>
        <w:t>结果同时公告其《残疾人福利性单位声明函》，接受社会监督。供应商提供的《残疾人福利性单位声明函》与事实不符的，依照《政府采购法》第七十七条第一款的规定追究法律责任。</w:t>
      </w:r>
    </w:p>
    <w:p>
      <w:pPr>
        <w:pStyle w:val="2"/>
        <w:rPr>
          <w:rFonts w:hint="eastAsia" w:ascii="宋体" w:hAnsi="宋体"/>
          <w:b/>
          <w:spacing w:val="6"/>
          <w:szCs w:val="24"/>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5"/>
        <w:ind w:left="80" w:leftChars="0" w:firstLine="482" w:firstLineChars="0"/>
        <w:rPr>
          <w:color w:val="auto"/>
          <w:highlight w:val="none"/>
        </w:rPr>
      </w:pPr>
      <w:r>
        <w:rPr>
          <w:rFonts w:hint="eastAsia"/>
          <w:color w:val="auto"/>
          <w:highlight w:val="none"/>
        </w:rPr>
        <w:t>法定代表人身份证明书（格式）</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u w:val="single"/>
          <w:lang w:val="zh-CN"/>
        </w:rPr>
        <w:t>（法定代表人姓名）</w:t>
      </w:r>
      <w:r>
        <w:rPr>
          <w:rFonts w:hint="eastAsia" w:ascii="宋体" w:hAnsi="宋体"/>
          <w:color w:val="auto"/>
          <w:highlight w:val="none"/>
          <w:lang w:val="zh-CN"/>
        </w:rPr>
        <w:t>在</w:t>
      </w:r>
      <w:r>
        <w:rPr>
          <w:rFonts w:hint="eastAsia" w:ascii="宋体" w:hAnsi="宋体"/>
          <w:color w:val="auto"/>
          <w:highlight w:val="none"/>
          <w:u w:val="single"/>
          <w:lang w:val="zh-CN"/>
        </w:rPr>
        <w:t>（供应商名称）</w:t>
      </w:r>
      <w:r>
        <w:rPr>
          <w:rFonts w:hint="eastAsia" w:ascii="宋体" w:hAnsi="宋体"/>
          <w:color w:val="auto"/>
          <w:highlight w:val="none"/>
          <w:lang w:val="zh-CN"/>
        </w:rPr>
        <w:t>处任</w:t>
      </w:r>
      <w:r>
        <w:rPr>
          <w:rFonts w:hint="eastAsia" w:ascii="宋体" w:hAnsi="宋体"/>
          <w:color w:val="auto"/>
          <w:highlight w:val="none"/>
          <w:u w:val="single"/>
          <w:lang w:val="zh-CN"/>
        </w:rPr>
        <w:t>（职务名称）</w:t>
      </w:r>
      <w:r>
        <w:rPr>
          <w:rFonts w:hint="eastAsia" w:ascii="宋体" w:hAnsi="宋体"/>
          <w:color w:val="auto"/>
          <w:highlight w:val="none"/>
          <w:lang w:val="zh-CN"/>
        </w:rPr>
        <w:t>职务，是</w:t>
      </w:r>
      <w:r>
        <w:rPr>
          <w:rFonts w:hint="eastAsia" w:ascii="宋体" w:hAnsi="宋体"/>
          <w:color w:val="auto"/>
          <w:highlight w:val="none"/>
          <w:u w:val="single"/>
          <w:lang w:val="zh-CN"/>
        </w:rPr>
        <w:t xml:space="preserve">（供应商名称）    </w:t>
      </w:r>
      <w:r>
        <w:rPr>
          <w:rFonts w:hint="eastAsia" w:ascii="宋体" w:hAnsi="宋体"/>
          <w:color w:val="auto"/>
          <w:highlight w:val="none"/>
          <w:lang w:val="zh-CN"/>
        </w:rPr>
        <w:t>的法定代表人。</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特此证明。</w:t>
      </w: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lang w:val="zh-CN"/>
        </w:rPr>
      </w:pP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说明：上述证明文件在</w:t>
      </w:r>
      <w:r>
        <w:rPr>
          <w:rFonts w:hint="eastAsia" w:ascii="宋体" w:hAnsi="宋体"/>
          <w:b/>
          <w:color w:val="auto"/>
          <w:highlight w:val="none"/>
          <w:lang w:val="zh-CN"/>
        </w:rPr>
        <w:t>资格性</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文件中附有法定代表人身份证复印件（身份证两面均应复印）或护照复印件（</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的法定代表人为外籍人士的，则提供护照复印件）时才能生效。</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为自然人无须提供身份证明书，仅提供身份证复印件或护照复印件。</w:t>
      </w:r>
    </w:p>
    <w:p>
      <w:pPr>
        <w:spacing w:line="360" w:lineRule="auto"/>
        <w:ind w:firstLine="482" w:firstLineChars="200"/>
        <w:rPr>
          <w:color w:val="auto"/>
          <w:highlight w:val="none"/>
          <w:lang w:val="zh-CN"/>
        </w:rPr>
      </w:pPr>
      <w:r>
        <w:rPr>
          <w:rFonts w:hint="eastAsia" w:ascii="宋体" w:hAnsi="宋体"/>
          <w:b/>
          <w:color w:val="auto"/>
          <w:highlight w:val="none"/>
          <w:lang w:val="zh-CN"/>
        </w:rPr>
        <w:br w:type="page"/>
      </w:r>
    </w:p>
    <w:p>
      <w:pPr>
        <w:pStyle w:val="5"/>
        <w:ind w:left="80" w:leftChars="0" w:firstLine="482" w:firstLineChars="0"/>
        <w:rPr>
          <w:color w:val="auto"/>
          <w:highlight w:val="none"/>
        </w:rPr>
      </w:pPr>
      <w:r>
        <w:rPr>
          <w:rFonts w:hint="eastAsia"/>
          <w:color w:val="auto"/>
          <w:highlight w:val="none"/>
        </w:rPr>
        <w:t>法定代表人授权委托书（格式）</w:t>
      </w:r>
    </w:p>
    <w:p>
      <w:pPr>
        <w:spacing w:line="360" w:lineRule="auto"/>
        <w:ind w:firstLine="480" w:firstLineChars="200"/>
        <w:rPr>
          <w:rFonts w:ascii="宋体" w:hAnsi="宋体"/>
          <w:color w:val="auto"/>
          <w:highlight w:val="none"/>
        </w:rPr>
      </w:pPr>
      <w:r>
        <w:rPr>
          <w:rFonts w:hint="eastAsia" w:ascii="宋体" w:hAnsi="宋体"/>
          <w:color w:val="auto"/>
          <w:highlight w:val="none"/>
        </w:rPr>
        <w:t>四川世科工程咨询有限公司：</w:t>
      </w:r>
    </w:p>
    <w:p>
      <w:pPr>
        <w:spacing w:line="360" w:lineRule="auto"/>
        <w:ind w:firstLine="480" w:firstLineChars="200"/>
        <w:rPr>
          <w:rFonts w:ascii="宋体" w:hAnsi="宋体"/>
          <w:color w:val="auto"/>
          <w:highlight w:val="none"/>
        </w:rPr>
      </w:pPr>
      <w:r>
        <w:rPr>
          <w:rFonts w:hint="eastAsia" w:ascii="宋体" w:hAnsi="宋体"/>
          <w:color w:val="auto"/>
          <w:highlight w:val="none"/>
          <w:u w:val="single"/>
        </w:rPr>
        <w:t xml:space="preserve">            （供应商名称）</w:t>
      </w:r>
      <w:r>
        <w:rPr>
          <w:rFonts w:hint="eastAsia" w:ascii="宋体" w:hAnsi="宋体"/>
          <w:color w:val="auto"/>
          <w:highlight w:val="none"/>
        </w:rPr>
        <w:t>法定代表人</w:t>
      </w:r>
      <w:r>
        <w:rPr>
          <w:rFonts w:hint="eastAsia" w:ascii="宋体" w:hAnsi="宋体"/>
          <w:color w:val="auto"/>
          <w:highlight w:val="none"/>
          <w:u w:val="single"/>
        </w:rPr>
        <w:t xml:space="preserve">  （法定代表人姓名）  </w:t>
      </w:r>
      <w:r>
        <w:rPr>
          <w:rFonts w:hint="eastAsia" w:ascii="宋体" w:hAnsi="宋体"/>
          <w:color w:val="auto"/>
          <w:highlight w:val="none"/>
        </w:rPr>
        <w:t>授权委托</w:t>
      </w:r>
      <w:r>
        <w:rPr>
          <w:rFonts w:hint="eastAsia" w:ascii="宋体" w:hAnsi="宋体"/>
          <w:color w:val="auto"/>
          <w:highlight w:val="none"/>
          <w:u w:val="single"/>
        </w:rPr>
        <w:t xml:space="preserve">   （代理人姓名）</w:t>
      </w:r>
      <w:r>
        <w:rPr>
          <w:rFonts w:hint="eastAsia" w:ascii="宋体" w:hAnsi="宋体"/>
          <w:color w:val="auto"/>
          <w:highlight w:val="none"/>
        </w:rPr>
        <w:t>为我的代理人，参加贵单位组织的</w:t>
      </w:r>
      <w:r>
        <w:rPr>
          <w:rFonts w:hint="eastAsia" w:ascii="宋体" w:hAnsi="宋体"/>
          <w:b/>
          <w:color w:val="auto"/>
          <w:highlight w:val="none"/>
          <w:u w:val="single"/>
          <w:lang w:eastAsia="zh-CN"/>
        </w:rPr>
        <w:t xml:space="preserve">成都市双流区文化馆2021年双流区“走基层”文化惠民活动采购项目（第二次） </w:t>
      </w:r>
      <w:r>
        <w:rPr>
          <w:rFonts w:hint="eastAsia" w:ascii="宋体" w:hAnsi="宋体" w:cs="宋体"/>
          <w:b/>
          <w:color w:val="auto"/>
          <w:highlight w:val="none"/>
        </w:rPr>
        <w:t>（</w:t>
      </w:r>
      <w:r>
        <w:rPr>
          <w:rFonts w:hint="eastAsia" w:ascii="宋体" w:hAnsi="宋体" w:cs="宋体"/>
          <w:b/>
          <w:color w:val="auto"/>
          <w:highlight w:val="none"/>
          <w:u w:val="single"/>
        </w:rPr>
        <w:t>项目编号：</w:t>
      </w:r>
      <w:r>
        <w:rPr>
          <w:rFonts w:hint="eastAsia" w:ascii="宋体" w:hAnsi="宋体"/>
          <w:b/>
          <w:color w:val="auto"/>
          <w:highlight w:val="none"/>
          <w:u w:val="single"/>
          <w:lang w:eastAsia="zh-CN"/>
        </w:rPr>
        <w:t>510122202100085</w:t>
      </w:r>
      <w:r>
        <w:rPr>
          <w:rFonts w:hint="eastAsia" w:ascii="宋体" w:hAnsi="宋体"/>
          <w:b/>
          <w:color w:val="auto"/>
          <w:highlight w:val="none"/>
        </w:rPr>
        <w:t>）</w:t>
      </w:r>
      <w:r>
        <w:rPr>
          <w:rFonts w:hint="eastAsia" w:ascii="宋体" w:hAnsi="宋体"/>
          <w:color w:val="auto"/>
          <w:highlight w:val="none"/>
        </w:rPr>
        <w:t>的竞争性磋商。代理人在本次竞争性磋商中所签署的一切文件和处理的一切有关事宜，我单位均予承认，所产生的法律后果均由我单位承担。</w:t>
      </w:r>
    </w:p>
    <w:p>
      <w:pPr>
        <w:spacing w:line="360" w:lineRule="auto"/>
        <w:ind w:firstLine="480" w:firstLineChars="200"/>
        <w:rPr>
          <w:rFonts w:ascii="宋体" w:hAnsi="宋体"/>
          <w:b/>
          <w:color w:val="auto"/>
          <w:highlight w:val="none"/>
        </w:rPr>
      </w:pPr>
      <w:r>
        <w:rPr>
          <w:rFonts w:hint="eastAsia" w:ascii="宋体" w:hAnsi="宋体"/>
          <w:color w:val="auto"/>
          <w:highlight w:val="none"/>
        </w:rPr>
        <w:t>代理人无转委托权，本授权书自</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日签字生效，特此声明。</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w:t>
      </w:r>
      <w:r>
        <w:rPr>
          <w:rFonts w:hint="eastAsia" w:ascii="宋体" w:hAnsi="宋体"/>
          <w:b/>
          <w:color w:val="auto"/>
          <w:highlight w:val="none"/>
          <w:u w:val="single"/>
        </w:rPr>
        <w:t xml:space="preserve">                   </w:t>
      </w:r>
      <w:r>
        <w:rPr>
          <w:rFonts w:hint="eastAsia" w:ascii="宋体" w:hAnsi="宋体"/>
          <w:color w:val="auto"/>
          <w:highlight w:val="none"/>
        </w:rPr>
        <w:t>（签字或盖法定代表人印章）</w:t>
      </w:r>
    </w:p>
    <w:p>
      <w:pPr>
        <w:spacing w:line="360" w:lineRule="auto"/>
        <w:ind w:firstLine="480" w:firstLineChars="200"/>
        <w:rPr>
          <w:rFonts w:ascii="宋体" w:hAnsi="宋体"/>
          <w:color w:val="auto"/>
          <w:highlight w:val="none"/>
        </w:rPr>
      </w:pPr>
      <w:r>
        <w:rPr>
          <w:rFonts w:hint="eastAsia" w:ascii="宋体" w:hAnsi="宋体"/>
          <w:color w:val="auto"/>
          <w:highlight w:val="none"/>
        </w:rPr>
        <w:t>代理人：</w:t>
      </w:r>
      <w:r>
        <w:rPr>
          <w:rFonts w:hint="eastAsia" w:ascii="宋体" w:hAnsi="宋体"/>
          <w:b/>
          <w:color w:val="auto"/>
          <w:highlight w:val="none"/>
          <w:u w:val="single"/>
        </w:rPr>
        <w:t xml:space="preserve">                   </w:t>
      </w:r>
      <w:r>
        <w:rPr>
          <w:rFonts w:hint="eastAsia" w:ascii="宋体" w:hAnsi="宋体"/>
          <w:color w:val="auto"/>
          <w:highlight w:val="none"/>
        </w:rPr>
        <w:t>（签字）</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ind w:firstLine="482" w:firstLineChars="200"/>
        <w:rPr>
          <w:rFonts w:ascii="宋体" w:hAnsi="宋体"/>
          <w:b/>
          <w:color w:val="auto"/>
          <w:highlight w:val="none"/>
        </w:rPr>
      </w:pPr>
    </w:p>
    <w:p>
      <w:pPr>
        <w:pStyle w:val="27"/>
        <w:spacing w:line="360" w:lineRule="auto"/>
        <w:ind w:left="0" w:leftChars="0" w:firstLine="366" w:firstLineChars="152"/>
        <w:rPr>
          <w:rFonts w:hint="eastAsia" w:ascii="宋体" w:hAnsi="宋体" w:eastAsia="宋体" w:cs="Times New Roman"/>
          <w:b/>
          <w:color w:val="auto"/>
          <w:sz w:val="24"/>
          <w:szCs w:val="32"/>
          <w:highlight w:val="none"/>
          <w:lang w:val="zh-CN"/>
        </w:rPr>
        <w:sectPr>
          <w:pgSz w:w="11906" w:h="16838"/>
          <w:pgMar w:top="1440" w:right="1274" w:bottom="1440" w:left="1418" w:header="851" w:footer="992" w:gutter="0"/>
          <w:cols w:space="720" w:num="1"/>
          <w:docGrid w:type="lines" w:linePitch="312" w:charSpace="0"/>
        </w:sectPr>
      </w:pPr>
      <w:r>
        <w:rPr>
          <w:rFonts w:hint="eastAsia" w:ascii="宋体" w:hAnsi="宋体"/>
          <w:b/>
          <w:color w:val="auto"/>
          <w:sz w:val="24"/>
          <w:szCs w:val="32"/>
          <w:highlight w:val="none"/>
        </w:rPr>
        <w:t>说明：</w:t>
      </w:r>
      <w:r>
        <w:rPr>
          <w:rFonts w:hint="eastAsia" w:ascii="宋体" w:hAnsi="宋体"/>
          <w:b/>
          <w:color w:val="auto"/>
          <w:sz w:val="24"/>
          <w:szCs w:val="32"/>
          <w:highlight w:val="none"/>
          <w:lang w:val="en-US" w:eastAsia="zh-CN"/>
        </w:rPr>
        <w:t>1、</w:t>
      </w:r>
      <w:r>
        <w:rPr>
          <w:rFonts w:hint="eastAsia" w:ascii="宋体" w:hAnsi="宋体" w:eastAsia="宋体" w:cs="Times New Roman"/>
          <w:b/>
          <w:color w:val="auto"/>
          <w:sz w:val="24"/>
          <w:szCs w:val="32"/>
          <w:highlight w:val="none"/>
          <w:lang w:val="zh-CN"/>
        </w:rPr>
        <w:t>上述证明文件在资格性</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文件中附有代理人身份证复印件（身份证两面均应复印）时才能生效。2、</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文件均由</w:t>
      </w:r>
      <w:r>
        <w:rPr>
          <w:rFonts w:hint="eastAsia" w:ascii="宋体" w:hAnsi="宋体" w:eastAsia="宋体" w:cs="Times New Roman"/>
          <w:b/>
          <w:color w:val="auto"/>
          <w:sz w:val="24"/>
          <w:szCs w:val="32"/>
          <w:highlight w:val="none"/>
          <w:lang w:val="en-US" w:eastAsia="zh-CN"/>
        </w:rPr>
        <w:t>供应商</w:t>
      </w:r>
      <w:r>
        <w:rPr>
          <w:rFonts w:hint="eastAsia" w:ascii="宋体" w:hAnsi="宋体" w:eastAsia="宋体" w:cs="Times New Roman"/>
          <w:b/>
          <w:color w:val="auto"/>
          <w:sz w:val="24"/>
          <w:szCs w:val="32"/>
          <w:highlight w:val="none"/>
          <w:lang w:val="zh-CN"/>
        </w:rPr>
        <w:t>法定代表人签字的,可不提供该附件的内容。</w:t>
      </w:r>
    </w:p>
    <w:p>
      <w:pPr>
        <w:pStyle w:val="4"/>
        <w:rPr>
          <w:color w:val="auto"/>
          <w:highlight w:val="none"/>
        </w:rPr>
      </w:pPr>
      <w:bookmarkStart w:id="304" w:name="_Toc20112"/>
      <w:bookmarkStart w:id="305" w:name="_Toc448403805"/>
      <w:r>
        <w:rPr>
          <w:rFonts w:hint="eastAsia"/>
          <w:color w:val="auto"/>
          <w:highlight w:val="none"/>
        </w:rPr>
        <w:t>技术、服务性响应文件格式</w:t>
      </w:r>
      <w:bookmarkEnd w:id="304"/>
      <w:bookmarkEnd w:id="305"/>
    </w:p>
    <w:p>
      <w:pPr>
        <w:pStyle w:val="5"/>
        <w:ind w:left="80" w:leftChars="0" w:firstLine="482" w:firstLineChars="0"/>
        <w:rPr>
          <w:color w:val="auto"/>
          <w:highlight w:val="none"/>
        </w:rPr>
      </w:pPr>
      <w:r>
        <w:rPr>
          <w:rFonts w:hint="eastAsia"/>
          <w:color w:val="auto"/>
          <w:highlight w:val="none"/>
        </w:rPr>
        <w:t>技术、服务性响应件密封包装最外层格式</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606"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 xml:space="preserve">成都市双流区文化馆2021年双流区“走基层”文化惠民活动采购项目（第二次） </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510122202100085</w:t>
            </w:r>
          </w:p>
          <w:p>
            <w:pPr>
              <w:pStyle w:val="2"/>
              <w:rPr>
                <w:color w:val="auto"/>
                <w:highlight w:val="none"/>
              </w:rPr>
            </w:pP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技术、服务性响应文件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pStyle w:val="5"/>
        <w:ind w:left="80" w:leftChars="0" w:firstLine="482" w:firstLineChars="0"/>
        <w:rPr>
          <w:color w:val="auto"/>
          <w:highlight w:val="none"/>
        </w:rPr>
      </w:pPr>
      <w:r>
        <w:rPr>
          <w:rFonts w:hint="eastAsia"/>
          <w:color w:val="auto"/>
          <w:highlight w:val="none"/>
        </w:rPr>
        <w:t>技术、服务性响应文件封面格式</w:t>
      </w:r>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 xml:space="preserve">成都市双流区文化馆2021年双流区“走基层”文化惠民活动采购项目（第二次） </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510122202100085</w:t>
            </w:r>
          </w:p>
          <w:p>
            <w:pPr>
              <w:spacing w:line="360" w:lineRule="auto"/>
              <w:rPr>
                <w:rFonts w:ascii="宋体" w:hAnsi="宋体"/>
                <w:color w:val="auto"/>
                <w:sz w:val="28"/>
                <w:szCs w:val="28"/>
                <w:highlight w:val="none"/>
              </w:rPr>
            </w:pPr>
            <w:r>
              <w:rPr>
                <w:rFonts w:hint="eastAsia" w:ascii="宋体" w:hAnsi="宋体"/>
                <w:b/>
                <w:color w:val="auto"/>
                <w:sz w:val="28"/>
                <w:szCs w:val="28"/>
                <w:highlight w:val="none"/>
              </w:rPr>
              <w:t xml:space="preserve"> </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
              <w:rPr>
                <w:color w:val="auto"/>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spacing w:line="360" w:lineRule="auto"/>
        <w:rPr>
          <w:rFonts w:ascii="宋体" w:hAnsi="宋体"/>
          <w:b/>
          <w:color w:val="auto"/>
          <w:highlight w:val="none"/>
        </w:rPr>
      </w:pPr>
      <w:r>
        <w:rPr>
          <w:rFonts w:hint="eastAsia" w:ascii="宋体" w:hAnsi="宋体"/>
          <w:b/>
          <w:color w:val="auto"/>
          <w:highlight w:val="none"/>
        </w:rPr>
        <w:t>温馨提示：</w:t>
      </w:r>
    </w:p>
    <w:p>
      <w:pPr>
        <w:spacing w:line="360" w:lineRule="auto"/>
        <w:rPr>
          <w:rFonts w:ascii="宋体" w:hAnsi="宋体"/>
          <w:b/>
          <w:color w:val="auto"/>
          <w:highlight w:val="none"/>
        </w:rPr>
      </w:pPr>
      <w:r>
        <w:rPr>
          <w:rFonts w:hint="eastAsia" w:ascii="宋体" w:hAnsi="宋体"/>
          <w:b/>
          <w:color w:val="auto"/>
          <w:highlight w:val="none"/>
        </w:rPr>
        <w:t>一、技术、服务性响应文件正本一份、副本二份；（实质性要求）</w:t>
      </w:r>
    </w:p>
    <w:p>
      <w:pPr>
        <w:spacing w:line="360" w:lineRule="auto"/>
        <w:rPr>
          <w:rFonts w:ascii="宋体" w:hAnsi="宋体"/>
          <w:b/>
          <w:color w:val="auto"/>
          <w:highlight w:val="none"/>
        </w:rPr>
      </w:pPr>
      <w:r>
        <w:rPr>
          <w:rFonts w:hint="eastAsia" w:ascii="宋体" w:hAnsi="宋体"/>
          <w:b/>
          <w:color w:val="auto"/>
          <w:highlight w:val="none"/>
        </w:rPr>
        <w:t>二、技术、服务性响应文件应单独密封包装，并于截止时间前送指定地点；</w:t>
      </w:r>
    </w:p>
    <w:p>
      <w:pPr>
        <w:spacing w:line="360" w:lineRule="auto"/>
        <w:rPr>
          <w:rFonts w:ascii="宋体" w:hAnsi="宋体"/>
          <w:b/>
          <w:color w:val="auto"/>
          <w:highlight w:val="none"/>
        </w:rPr>
      </w:pPr>
      <w:r>
        <w:rPr>
          <w:rFonts w:hint="eastAsia" w:ascii="宋体" w:hAnsi="宋体"/>
          <w:b/>
          <w:color w:val="auto"/>
          <w:highlight w:val="none"/>
        </w:rPr>
        <w:t>三、签字、盖章应符合竞争性磋商文件要求。（实质性要求）</w:t>
      </w:r>
    </w:p>
    <w:p>
      <w:pPr>
        <w:spacing w:line="360" w:lineRule="auto"/>
        <w:rPr>
          <w:color w:val="auto"/>
          <w:highlight w:val="none"/>
        </w:rPr>
      </w:pPr>
      <w:r>
        <w:rPr>
          <w:rFonts w:hint="eastAsia" w:ascii="宋体" w:hAnsi="宋体"/>
          <w:b/>
          <w:color w:val="auto"/>
          <w:highlight w:val="none"/>
        </w:rPr>
        <w:br w:type="page"/>
      </w:r>
    </w:p>
    <w:p>
      <w:pPr>
        <w:pStyle w:val="5"/>
        <w:ind w:left="80" w:leftChars="0" w:firstLine="482" w:firstLineChars="0"/>
        <w:rPr>
          <w:color w:val="auto"/>
          <w:highlight w:val="none"/>
        </w:rPr>
      </w:pPr>
      <w:r>
        <w:rPr>
          <w:rFonts w:hint="eastAsia"/>
          <w:color w:val="auto"/>
          <w:highlight w:val="none"/>
        </w:rPr>
        <w:t>报价书</w:t>
      </w:r>
    </w:p>
    <w:p>
      <w:pPr>
        <w:spacing w:line="360" w:lineRule="auto"/>
        <w:rPr>
          <w:rFonts w:ascii="宋体" w:hAnsi="宋体"/>
          <w:b/>
          <w:color w:val="auto"/>
          <w:highlight w:val="none"/>
        </w:rPr>
      </w:pPr>
      <w:r>
        <w:rPr>
          <w:rFonts w:hint="eastAsia" w:ascii="宋体" w:hAnsi="宋体"/>
          <w:b/>
          <w:color w:val="auto"/>
          <w:highlight w:val="none"/>
        </w:rPr>
        <w:t>致：四川世科工程咨询有限公司</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根据贵方为</w:t>
      </w:r>
      <w:r>
        <w:rPr>
          <w:rFonts w:hint="eastAsia" w:ascii="宋体" w:hAnsi="宋体"/>
          <w:b/>
          <w:color w:val="auto"/>
          <w:highlight w:val="none"/>
          <w:u w:val="single"/>
          <w:lang w:eastAsia="zh-CN"/>
        </w:rPr>
        <w:t xml:space="preserve">成都市双流区文化馆2021年双流区“走基层”文化惠民活动采购项目（第二次） </w:t>
      </w:r>
      <w:r>
        <w:rPr>
          <w:rFonts w:hint="eastAsia" w:ascii="宋体" w:hAnsi="宋体" w:cs="宋体"/>
          <w:color w:val="auto"/>
          <w:highlight w:val="none"/>
        </w:rPr>
        <w:t>（项目编号：</w:t>
      </w:r>
      <w:r>
        <w:rPr>
          <w:rFonts w:hint="eastAsia" w:ascii="宋体" w:hAnsi="宋体"/>
          <w:b/>
          <w:color w:val="auto"/>
          <w:highlight w:val="none"/>
          <w:u w:val="single"/>
          <w:lang w:eastAsia="zh-CN"/>
        </w:rPr>
        <w:t>510122202100085</w:t>
      </w:r>
      <w:r>
        <w:rPr>
          <w:rFonts w:hint="eastAsia" w:ascii="宋体" w:hAnsi="宋体" w:cs="宋体"/>
          <w:color w:val="auto"/>
          <w:highlight w:val="none"/>
        </w:rPr>
        <w:t xml:space="preserve">） </w:t>
      </w:r>
      <w:r>
        <w:rPr>
          <w:rFonts w:hint="eastAsia" w:ascii="宋体" w:hAnsi="宋体"/>
          <w:color w:val="auto"/>
          <w:highlight w:val="none"/>
        </w:rPr>
        <w:t>的</w:t>
      </w:r>
      <w:r>
        <w:rPr>
          <w:rFonts w:hint="eastAsia" w:ascii="宋体" w:hAnsi="宋体" w:cs="宋体"/>
          <w:color w:val="auto"/>
          <w:highlight w:val="none"/>
        </w:rPr>
        <w:t>磋商邀请，代理人_________（姓名、职务）经正式授权并代表供应商___________（供应商名称、地址）提交相关文件正本1份和副本2份。</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据此函，签字代表宣布同意如下：</w:t>
      </w:r>
    </w:p>
    <w:p>
      <w:pPr>
        <w:pStyle w:val="140"/>
        <w:numPr>
          <w:ilvl w:val="1"/>
          <w:numId w:val="4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我方将按报价表中的报价为</w:t>
      </w:r>
      <w:r>
        <w:rPr>
          <w:rFonts w:hint="eastAsia" w:ascii="宋体" w:hAnsi="宋体"/>
          <w:b/>
          <w:color w:val="auto"/>
          <w:highlight w:val="none"/>
          <w:u w:val="single"/>
          <w:lang w:eastAsia="zh-CN"/>
        </w:rPr>
        <w:t xml:space="preserve">成都市双流区文化馆2021年双流区“走基层”文化惠民活动采购项目（第二次） </w:t>
      </w:r>
      <w:r>
        <w:rPr>
          <w:rFonts w:hint="eastAsia" w:ascii="宋体" w:hAnsi="宋体" w:cs="宋体"/>
          <w:color w:val="auto"/>
          <w:highlight w:val="none"/>
        </w:rPr>
        <w:t xml:space="preserve"> </w:t>
      </w:r>
      <w:r>
        <w:rPr>
          <w:rFonts w:hint="eastAsia" w:ascii="宋体" w:hAnsi="宋体" w:cs="宋体"/>
          <w:bCs/>
          <w:color w:val="auto"/>
          <w:highlight w:val="none"/>
        </w:rPr>
        <w:t>提供货物及服务；</w:t>
      </w:r>
    </w:p>
    <w:p>
      <w:pPr>
        <w:pStyle w:val="140"/>
        <w:numPr>
          <w:ilvl w:val="1"/>
          <w:numId w:val="4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项目进度和质量严格按竞争性磋商文件的规定执行，否则将承担由此产生的一切责任；</w:t>
      </w:r>
    </w:p>
    <w:p>
      <w:pPr>
        <w:pStyle w:val="140"/>
        <w:numPr>
          <w:ilvl w:val="1"/>
          <w:numId w:val="4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我方已详细审查了全部竞争性磋商文件，包括修改文件（如有）以及全部参考资料和有关附件。我们完全理解并同意放弃对这方面有不明及误解的权力；</w:t>
      </w:r>
    </w:p>
    <w:p>
      <w:pPr>
        <w:pStyle w:val="140"/>
        <w:numPr>
          <w:ilvl w:val="1"/>
          <w:numId w:val="4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本响应文件有效期为从递交响应文件截止日期起</w:t>
      </w:r>
      <w:r>
        <w:rPr>
          <w:rFonts w:hint="eastAsia" w:ascii="宋体" w:hAnsi="宋体" w:cs="宋体"/>
          <w:bCs/>
          <w:color w:val="auto"/>
          <w:highlight w:val="none"/>
          <w:u w:val="single"/>
        </w:rPr>
        <w:t>90天</w:t>
      </w:r>
      <w:r>
        <w:rPr>
          <w:rFonts w:hint="eastAsia" w:ascii="宋体" w:hAnsi="宋体" w:cs="宋体"/>
          <w:bCs/>
          <w:color w:val="auto"/>
          <w:highlight w:val="none"/>
        </w:rPr>
        <w:t>内有效；</w:t>
      </w:r>
    </w:p>
    <w:p>
      <w:pPr>
        <w:pStyle w:val="140"/>
        <w:numPr>
          <w:ilvl w:val="1"/>
          <w:numId w:val="4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我方同意提供采购人可能要求的与磋商有关的任何其他资料或数据；</w:t>
      </w:r>
    </w:p>
    <w:p>
      <w:pPr>
        <w:pStyle w:val="140"/>
        <w:numPr>
          <w:ilvl w:val="1"/>
          <w:numId w:val="4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我方将按竞争性磋商文件的规定履行合同责任和义务，并对提交的材料中的所有陈述和声明的真实性和完整性负责</w:t>
      </w:r>
      <w:r>
        <w:rPr>
          <w:rFonts w:hint="eastAsia" w:ascii="宋体" w:hAnsi="宋体"/>
          <w:color w:val="auto"/>
          <w:highlight w:val="none"/>
        </w:rPr>
        <w:t>，并对此承担一切法律后果；</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303"/>
    <w:p>
      <w:pPr>
        <w:pStyle w:val="5"/>
        <w:ind w:left="80" w:leftChars="0" w:firstLine="482" w:firstLineChars="0"/>
        <w:rPr>
          <w:color w:val="auto"/>
          <w:highlight w:val="none"/>
        </w:rPr>
      </w:pPr>
      <w:bookmarkStart w:id="306" w:name="_Toc320698766"/>
      <w:r>
        <w:rPr>
          <w:rFonts w:hint="eastAsia"/>
          <w:color w:val="auto"/>
          <w:highlight w:val="none"/>
        </w:rPr>
        <w:t>商务、</w:t>
      </w:r>
      <w:r>
        <w:rPr>
          <w:rFonts w:hint="eastAsia"/>
          <w:color w:val="auto"/>
          <w:highlight w:val="none"/>
          <w:lang w:val="en-US" w:eastAsia="zh-CN"/>
        </w:rPr>
        <w:t>技术</w:t>
      </w:r>
      <w:r>
        <w:rPr>
          <w:rFonts w:hint="eastAsia"/>
          <w:color w:val="auto"/>
          <w:highlight w:val="none"/>
        </w:rPr>
        <w:t>条款偏离表</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 xml:space="preserve">成都市双流区文化馆2021年双流区“走基层”文化惠民活动采购项目（第二次） </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510122202100085</w:t>
      </w:r>
    </w:p>
    <w:tbl>
      <w:tblPr>
        <w:tblStyle w:val="44"/>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竞争性磋商文件的商务、</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响应文件的商务、</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
        <w:spacing w:after="0"/>
        <w:ind w:firstLine="480"/>
        <w:rPr>
          <w:rFonts w:ascii="宋体" w:hAnsi="宋体"/>
          <w:highlight w:val="none"/>
        </w:rPr>
      </w:pPr>
      <w:r>
        <w:rPr>
          <w:rFonts w:hint="eastAsia" w:ascii="宋体" w:hAnsi="宋体"/>
          <w:color w:val="auto"/>
          <w:highlight w:val="none"/>
        </w:rPr>
        <w:t>声明：1、</w:t>
      </w:r>
      <w:r>
        <w:rPr>
          <w:rFonts w:hint="eastAsia" w:ascii="宋体" w:hAnsi="宋体"/>
          <w:highlight w:val="none"/>
        </w:rPr>
        <w:t>本表只填写响应文件中与竞争性</w:t>
      </w:r>
      <w:r>
        <w:rPr>
          <w:rFonts w:hint="eastAsia" w:ascii="宋体" w:hAnsi="宋体"/>
          <w:highlight w:val="none"/>
          <w:lang w:val="en-US" w:eastAsia="zh-CN"/>
        </w:rPr>
        <w:t>磋商</w:t>
      </w:r>
      <w:r>
        <w:rPr>
          <w:rFonts w:hint="eastAsia" w:ascii="宋体" w:hAnsi="宋体"/>
          <w:highlight w:val="none"/>
        </w:rPr>
        <w:t>文件有偏离（包括正偏离和负偏离）的内容，响应文件中</w:t>
      </w:r>
      <w:r>
        <w:rPr>
          <w:rFonts w:hint="eastAsia" w:ascii="宋体" w:hAnsi="宋体"/>
          <w:highlight w:val="none"/>
          <w:lang w:val="en-US" w:eastAsia="zh-CN"/>
        </w:rPr>
        <w:t>商务</w:t>
      </w:r>
      <w:r>
        <w:rPr>
          <w:rFonts w:hint="eastAsia" w:ascii="宋体" w:hAnsi="宋体"/>
          <w:highlight w:val="none"/>
        </w:rPr>
        <w:t>、</w:t>
      </w:r>
      <w:r>
        <w:rPr>
          <w:rFonts w:hint="eastAsia" w:ascii="宋体" w:hAnsi="宋体"/>
          <w:color w:val="auto"/>
          <w:highlight w:val="none"/>
          <w:lang w:val="en-US" w:eastAsia="zh-CN"/>
        </w:rPr>
        <w:t>技术</w:t>
      </w:r>
      <w:r>
        <w:rPr>
          <w:rFonts w:hint="eastAsia" w:ascii="宋体" w:hAnsi="宋体"/>
          <w:highlight w:val="none"/>
        </w:rPr>
        <w:t>条款响应与竞争性</w:t>
      </w:r>
      <w:r>
        <w:rPr>
          <w:rFonts w:hint="eastAsia" w:ascii="宋体" w:hAnsi="宋体"/>
          <w:highlight w:val="none"/>
          <w:lang w:val="en-US" w:eastAsia="zh-CN"/>
        </w:rPr>
        <w:t>磋商</w:t>
      </w:r>
      <w:r>
        <w:rPr>
          <w:rFonts w:hint="eastAsia" w:ascii="宋体" w:hAnsi="宋体"/>
          <w:highlight w:val="none"/>
        </w:rPr>
        <w:t>文件要求完全一致的，可以不用在此表中列出。</w:t>
      </w:r>
    </w:p>
    <w:p>
      <w:pPr>
        <w:pStyle w:val="2"/>
        <w:spacing w:after="0" w:line="360" w:lineRule="auto"/>
        <w:ind w:firstLine="480" w:firstLineChars="200"/>
        <w:rPr>
          <w:rFonts w:ascii="宋体" w:hAnsi="宋体"/>
          <w:color w:val="auto"/>
          <w:highlight w:val="none"/>
        </w:rPr>
      </w:pPr>
      <w:r>
        <w:rPr>
          <w:rFonts w:hint="eastAsia" w:ascii="宋体" w:hAnsi="宋体"/>
          <w:color w:val="auto"/>
          <w:highlight w:val="none"/>
        </w:rPr>
        <w:t>2、供应商不得虚假填写，否则一切责任由供应商承担。</w:t>
      </w:r>
    </w:p>
    <w:p>
      <w:pPr>
        <w:spacing w:line="360" w:lineRule="auto"/>
        <w:ind w:firstLine="480" w:firstLineChars="200"/>
        <w:rPr>
          <w:rFonts w:ascii="宋体" w:hAnsi="宋体"/>
          <w:color w:val="auto"/>
          <w:highlight w:val="none"/>
        </w:rPr>
      </w:pPr>
    </w:p>
    <w:p>
      <w:pPr>
        <w:pStyle w:val="2"/>
        <w:rPr>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306"/>
    <w:p>
      <w:pPr>
        <w:pStyle w:val="5"/>
        <w:ind w:left="80" w:leftChars="0" w:firstLine="482" w:firstLineChars="0"/>
        <w:rPr>
          <w:color w:val="auto"/>
          <w:highlight w:val="none"/>
        </w:rPr>
      </w:pPr>
      <w:bookmarkStart w:id="307" w:name="_Toc360696963"/>
      <w:bookmarkStart w:id="308" w:name="_Toc238273564"/>
      <w:bookmarkStart w:id="309" w:name="_Toc205604899"/>
      <w:bookmarkStart w:id="310" w:name="_Toc236285891"/>
      <w:r>
        <w:rPr>
          <w:rFonts w:hint="eastAsia" w:cs="宋体"/>
          <w:sz w:val="24"/>
          <w:szCs w:val="24"/>
          <w:highlight w:val="none"/>
          <w:lang w:val="en-US" w:eastAsia="zh-CN"/>
        </w:rPr>
        <w:t>服务</w:t>
      </w:r>
      <w:r>
        <w:rPr>
          <w:rFonts w:hint="eastAsia" w:ascii="宋体" w:hAnsi="宋体" w:eastAsia="宋体" w:cs="宋体"/>
          <w:sz w:val="24"/>
          <w:szCs w:val="24"/>
          <w:highlight w:val="none"/>
        </w:rPr>
        <w:t>方案</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 xml:space="preserve">成都市双流区文化馆2021年双流区“走基层”文化惠民活动采购项目（第二次） </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510122202100085</w:t>
      </w: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7"/>
        <w:ind w:firstLine="480" w:firstLineChars="200"/>
        <w:jc w:val="left"/>
        <w:rPr>
          <w:rFonts w:ascii="宋体" w:hAnsi="宋体"/>
          <w:color w:val="auto"/>
          <w:sz w:val="24"/>
          <w:szCs w:val="24"/>
          <w:highlight w:val="none"/>
        </w:rPr>
      </w:pPr>
    </w:p>
    <w:p>
      <w:pPr>
        <w:pStyle w:val="67"/>
        <w:ind w:firstLine="480" w:firstLineChars="200"/>
        <w:jc w:val="left"/>
        <w:rPr>
          <w:rFonts w:ascii="宋体" w:hAnsi="宋体"/>
          <w:color w:val="auto"/>
          <w:sz w:val="24"/>
          <w:szCs w:val="24"/>
          <w:highlight w:val="none"/>
        </w:rPr>
      </w:pPr>
    </w:p>
    <w:p>
      <w:pPr>
        <w:pStyle w:val="5"/>
        <w:ind w:left="80" w:leftChars="0" w:firstLine="482" w:firstLineChars="0"/>
        <w:rPr>
          <w:color w:val="auto"/>
          <w:highlight w:val="none"/>
        </w:rPr>
      </w:pPr>
      <w:r>
        <w:rPr>
          <w:rFonts w:hint="eastAsia"/>
          <w:color w:val="auto"/>
          <w:highlight w:val="none"/>
        </w:rPr>
        <w:t>报价表</w:t>
      </w:r>
    </w:p>
    <w:p>
      <w:pPr>
        <w:spacing w:line="360" w:lineRule="auto"/>
        <w:ind w:firstLine="480" w:firstLineChars="200"/>
        <w:rPr>
          <w:color w:val="auto"/>
          <w:highlight w:val="none"/>
        </w:rPr>
      </w:pP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 xml:space="preserve">成都市双流区文化馆2021年双流区“走基层”文化惠民活动采购项目（第二次） </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510122202100085</w:t>
      </w:r>
    </w:p>
    <w:p>
      <w:pPr>
        <w:pStyle w:val="2"/>
        <w:rPr>
          <w:color w:val="auto"/>
          <w:highlight w:val="none"/>
        </w:rPr>
      </w:pPr>
    </w:p>
    <w:tbl>
      <w:tblPr>
        <w:tblStyle w:val="44"/>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049"/>
        <w:gridCol w:w="1800"/>
        <w:gridCol w:w="2175"/>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42"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序号</w:t>
            </w:r>
          </w:p>
        </w:tc>
        <w:tc>
          <w:tcPr>
            <w:tcW w:w="3049"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内容</w:t>
            </w:r>
          </w:p>
        </w:tc>
        <w:tc>
          <w:tcPr>
            <w:tcW w:w="1800" w:type="dxa"/>
            <w:vAlign w:val="center"/>
          </w:tcPr>
          <w:p>
            <w:pPr>
              <w:spacing w:line="240" w:lineRule="auto"/>
              <w:ind w:firstLine="0" w:firstLineChars="0"/>
              <w:jc w:val="center"/>
              <w:rPr>
                <w:rFonts w:ascii="宋体" w:hAnsi="宋体" w:cs="宋体"/>
                <w:szCs w:val="24"/>
                <w:highlight w:val="none"/>
              </w:rPr>
            </w:pPr>
            <w:r>
              <w:rPr>
                <w:rFonts w:hint="eastAsia" w:ascii="宋体" w:hAnsi="宋体" w:cs="宋体"/>
                <w:szCs w:val="24"/>
                <w:highlight w:val="none"/>
              </w:rPr>
              <w:t>数量</w:t>
            </w:r>
          </w:p>
        </w:tc>
        <w:tc>
          <w:tcPr>
            <w:tcW w:w="2175" w:type="dxa"/>
            <w:vAlign w:val="center"/>
          </w:tcPr>
          <w:p>
            <w:pPr>
              <w:spacing w:line="240" w:lineRule="auto"/>
              <w:ind w:firstLine="0" w:firstLineChars="0"/>
              <w:jc w:val="center"/>
              <w:rPr>
                <w:rFonts w:ascii="宋体" w:hAnsi="宋体" w:cs="宋体"/>
                <w:szCs w:val="24"/>
                <w:highlight w:val="none"/>
              </w:rPr>
            </w:pPr>
            <w:r>
              <w:rPr>
                <w:rFonts w:hint="eastAsia" w:ascii="宋体" w:hAnsi="宋体" w:cs="宋体"/>
                <w:szCs w:val="24"/>
                <w:highlight w:val="none"/>
              </w:rPr>
              <w:t>单价</w:t>
            </w:r>
          </w:p>
        </w:tc>
        <w:tc>
          <w:tcPr>
            <w:tcW w:w="2529" w:type="dxa"/>
            <w:vAlign w:val="center"/>
          </w:tcPr>
          <w:p>
            <w:pPr>
              <w:spacing w:line="240" w:lineRule="auto"/>
              <w:ind w:firstLine="0" w:firstLineChars="0"/>
              <w:jc w:val="center"/>
              <w:rPr>
                <w:rFonts w:ascii="宋体" w:hAnsi="宋体" w:cs="宋体"/>
                <w:szCs w:val="24"/>
                <w:highlight w:val="none"/>
              </w:rPr>
            </w:pPr>
            <w:r>
              <w:rPr>
                <w:rFonts w:hint="eastAsia" w:ascii="宋体" w:hAnsi="宋体" w:cs="宋体"/>
                <w:szCs w:val="24"/>
                <w:highlight w:val="none"/>
              </w:rPr>
              <w:t>总价（单价×数量）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42"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1</w:t>
            </w:r>
          </w:p>
          <w:p>
            <w:pPr>
              <w:spacing w:line="240" w:lineRule="auto"/>
              <w:ind w:firstLine="0" w:firstLineChars="0"/>
              <w:jc w:val="center"/>
              <w:rPr>
                <w:rFonts w:ascii="宋体" w:hAnsi="宋体" w:cs="宋体"/>
                <w:b/>
                <w:szCs w:val="24"/>
                <w:highlight w:val="none"/>
              </w:rPr>
            </w:pPr>
          </w:p>
        </w:tc>
        <w:tc>
          <w:tcPr>
            <w:tcW w:w="3049" w:type="dxa"/>
            <w:vAlign w:val="center"/>
          </w:tcPr>
          <w:p>
            <w:pPr>
              <w:widowControl/>
              <w:spacing w:line="240" w:lineRule="auto"/>
              <w:ind w:firstLine="0" w:firstLineChars="0"/>
              <w:textAlignment w:val="center"/>
              <w:rPr>
                <w:rFonts w:ascii="宋体" w:hAnsi="宋体" w:cs="宋体"/>
                <w:kern w:val="0"/>
                <w:szCs w:val="24"/>
                <w:highlight w:val="none"/>
              </w:rPr>
            </w:pPr>
            <w:r>
              <w:rPr>
                <w:rFonts w:hint="eastAsia" w:ascii="宋体" w:hAnsi="宋体" w:cs="宋体"/>
                <w:kern w:val="0"/>
                <w:szCs w:val="24"/>
                <w:highlight w:val="none"/>
              </w:rPr>
              <w:t>精品汇演</w:t>
            </w:r>
          </w:p>
        </w:tc>
        <w:tc>
          <w:tcPr>
            <w:tcW w:w="1800"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rPr>
              <w:t>2场</w:t>
            </w:r>
          </w:p>
        </w:tc>
        <w:tc>
          <w:tcPr>
            <w:tcW w:w="2175"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u w:val="single"/>
              </w:rPr>
              <w:t xml:space="preserve">           </w:t>
            </w:r>
            <w:r>
              <w:rPr>
                <w:rFonts w:hint="eastAsia" w:ascii="宋体" w:hAnsi="宋体" w:cs="宋体"/>
                <w:snapToGrid w:val="0"/>
                <w:highlight w:val="none"/>
              </w:rPr>
              <w:t>元/场</w:t>
            </w:r>
          </w:p>
        </w:tc>
        <w:tc>
          <w:tcPr>
            <w:tcW w:w="2529"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u w:val="single"/>
              </w:rPr>
              <w:t xml:space="preserve">           </w:t>
            </w:r>
            <w:r>
              <w:rPr>
                <w:rFonts w:hint="eastAsia" w:ascii="宋体" w:hAnsi="宋体" w:cs="宋体"/>
                <w:snapToGrid w:val="0"/>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42"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2</w:t>
            </w:r>
          </w:p>
        </w:tc>
        <w:tc>
          <w:tcPr>
            <w:tcW w:w="3049" w:type="dxa"/>
            <w:vAlign w:val="center"/>
          </w:tcPr>
          <w:p>
            <w:pPr>
              <w:widowControl/>
              <w:spacing w:line="240" w:lineRule="auto"/>
              <w:ind w:firstLine="0" w:firstLineChars="0"/>
              <w:textAlignment w:val="center"/>
              <w:rPr>
                <w:rFonts w:ascii="宋体" w:hAnsi="宋体" w:cs="宋体"/>
                <w:szCs w:val="24"/>
                <w:highlight w:val="none"/>
              </w:rPr>
            </w:pPr>
            <w:r>
              <w:rPr>
                <w:rFonts w:hint="eastAsia" w:ascii="宋体" w:hAnsi="宋体" w:cs="宋体"/>
                <w:szCs w:val="24"/>
                <w:highlight w:val="none"/>
              </w:rPr>
              <w:t>巡演</w:t>
            </w:r>
          </w:p>
        </w:tc>
        <w:tc>
          <w:tcPr>
            <w:tcW w:w="1800"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rPr>
              <w:t>38场</w:t>
            </w:r>
          </w:p>
        </w:tc>
        <w:tc>
          <w:tcPr>
            <w:tcW w:w="2175"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u w:val="single"/>
              </w:rPr>
              <w:t xml:space="preserve">           </w:t>
            </w:r>
            <w:r>
              <w:rPr>
                <w:rFonts w:hint="eastAsia" w:ascii="宋体" w:hAnsi="宋体" w:cs="宋体"/>
                <w:snapToGrid w:val="0"/>
                <w:highlight w:val="none"/>
              </w:rPr>
              <w:t>元/场</w:t>
            </w:r>
          </w:p>
        </w:tc>
        <w:tc>
          <w:tcPr>
            <w:tcW w:w="2529"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u w:val="single"/>
              </w:rPr>
              <w:t xml:space="preserve">            </w:t>
            </w:r>
            <w:r>
              <w:rPr>
                <w:rFonts w:hint="eastAsia" w:ascii="宋体" w:hAnsi="宋体" w:cs="宋体"/>
                <w:snapToGrid w:val="0"/>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42" w:type="dxa"/>
            <w:vAlign w:val="center"/>
          </w:tcPr>
          <w:p>
            <w:pPr>
              <w:spacing w:line="240" w:lineRule="auto"/>
              <w:ind w:firstLine="0" w:firstLineChars="0"/>
              <w:jc w:val="center"/>
              <w:rPr>
                <w:rFonts w:hint="eastAsia" w:ascii="宋体" w:hAnsi="宋体" w:eastAsia="宋体" w:cs="宋体"/>
                <w:b/>
                <w:szCs w:val="24"/>
                <w:highlight w:val="none"/>
                <w:lang w:val="en-US" w:eastAsia="zh-CN"/>
              </w:rPr>
            </w:pPr>
            <w:r>
              <w:rPr>
                <w:rFonts w:hint="eastAsia" w:ascii="宋体" w:hAnsi="宋体" w:cs="宋体"/>
                <w:b/>
                <w:szCs w:val="24"/>
                <w:highlight w:val="none"/>
                <w:lang w:val="en-US" w:eastAsia="zh-CN"/>
              </w:rPr>
              <w:t>3</w:t>
            </w:r>
          </w:p>
        </w:tc>
        <w:tc>
          <w:tcPr>
            <w:tcW w:w="3049" w:type="dxa"/>
            <w:vAlign w:val="center"/>
          </w:tcPr>
          <w:p>
            <w:pPr>
              <w:widowControl/>
              <w:spacing w:line="240" w:lineRule="auto"/>
              <w:ind w:firstLine="0" w:firstLineChars="0"/>
              <w:textAlignment w:val="center"/>
              <w:rPr>
                <w:rFonts w:hint="eastAsia" w:ascii="宋体" w:hAnsi="宋体" w:cs="宋体"/>
                <w:snapToGrid w:val="0"/>
                <w:highlight w:val="none"/>
              </w:rPr>
            </w:pPr>
            <w:r>
              <w:rPr>
                <w:rFonts w:hint="eastAsia" w:ascii="宋体" w:hAnsi="宋体" w:cs="宋体"/>
                <w:snapToGrid w:val="0"/>
                <w:highlight w:val="none"/>
                <w:lang w:val="en-US" w:eastAsia="zh-CN"/>
              </w:rPr>
              <w:t>新创剧目孵化</w:t>
            </w:r>
          </w:p>
        </w:tc>
        <w:tc>
          <w:tcPr>
            <w:tcW w:w="1800" w:type="dxa"/>
            <w:vAlign w:val="center"/>
          </w:tcPr>
          <w:p>
            <w:pPr>
              <w:widowControl/>
              <w:spacing w:line="240" w:lineRule="auto"/>
              <w:ind w:firstLine="0" w:firstLineChars="0"/>
              <w:textAlignment w:val="center"/>
              <w:rPr>
                <w:rFonts w:hint="default" w:ascii="宋体" w:hAnsi="宋体" w:cs="宋体"/>
                <w:snapToGrid w:val="0"/>
                <w:highlight w:val="none"/>
                <w:lang w:val="en-US" w:eastAsia="zh-CN"/>
              </w:rPr>
            </w:pPr>
            <w:r>
              <w:rPr>
                <w:rFonts w:hint="eastAsia" w:ascii="宋体" w:hAnsi="宋体" w:cs="宋体"/>
                <w:snapToGrid w:val="0"/>
                <w:highlight w:val="none"/>
                <w:lang w:val="en-US" w:eastAsia="zh-CN"/>
              </w:rPr>
              <w:t>1项</w:t>
            </w:r>
          </w:p>
        </w:tc>
        <w:tc>
          <w:tcPr>
            <w:tcW w:w="2175" w:type="dxa"/>
            <w:vAlign w:val="center"/>
          </w:tcPr>
          <w:p>
            <w:pPr>
              <w:widowControl/>
              <w:spacing w:line="240" w:lineRule="auto"/>
              <w:ind w:firstLine="0" w:firstLineChars="0"/>
              <w:textAlignment w:val="center"/>
              <w:rPr>
                <w:rFonts w:hint="default" w:ascii="宋体" w:hAnsi="宋体" w:cs="宋体"/>
                <w:snapToGrid w:val="0"/>
                <w:highlight w:val="none"/>
                <w:lang w:val="en-US" w:eastAsia="zh-CN"/>
              </w:rPr>
            </w:pPr>
            <w:r>
              <w:rPr>
                <w:rFonts w:hint="eastAsia" w:ascii="宋体" w:hAnsi="宋体" w:cs="宋体"/>
                <w:snapToGrid w:val="0"/>
                <w:highlight w:val="none"/>
                <w:lang w:val="en-US" w:eastAsia="zh-CN"/>
              </w:rPr>
              <w:t>10万元/项</w:t>
            </w:r>
          </w:p>
        </w:tc>
        <w:tc>
          <w:tcPr>
            <w:tcW w:w="2529" w:type="dxa"/>
            <w:vAlign w:val="center"/>
          </w:tcPr>
          <w:p>
            <w:pPr>
              <w:widowControl/>
              <w:spacing w:line="240" w:lineRule="auto"/>
              <w:ind w:firstLine="0" w:firstLineChars="0"/>
              <w:jc w:val="center"/>
              <w:textAlignment w:val="center"/>
              <w:rPr>
                <w:rFonts w:hint="eastAsia" w:ascii="宋体" w:hAnsi="宋体" w:cs="宋体"/>
                <w:snapToGrid w:val="0"/>
                <w:highlight w:val="none"/>
              </w:rPr>
            </w:pPr>
            <w:r>
              <w:rPr>
                <w:rFonts w:hint="eastAsia" w:ascii="宋体" w:hAnsi="宋体" w:cs="宋体"/>
                <w:snapToGrid w:val="0"/>
                <w:highlight w:val="no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42" w:type="dxa"/>
            <w:vAlign w:val="center"/>
          </w:tcPr>
          <w:p>
            <w:pPr>
              <w:spacing w:line="240" w:lineRule="auto"/>
              <w:ind w:firstLine="0" w:firstLineChars="0"/>
              <w:jc w:val="center"/>
              <w:rPr>
                <w:rFonts w:hint="eastAsia" w:ascii="宋体" w:hAnsi="宋体" w:eastAsia="宋体" w:cs="宋体"/>
                <w:b/>
                <w:szCs w:val="24"/>
                <w:highlight w:val="none"/>
                <w:lang w:eastAsia="zh-CN"/>
              </w:rPr>
            </w:pPr>
            <w:r>
              <w:rPr>
                <w:rFonts w:hint="eastAsia" w:ascii="宋体" w:hAnsi="宋体" w:cs="宋体"/>
                <w:b/>
                <w:szCs w:val="24"/>
                <w:highlight w:val="none"/>
                <w:lang w:val="en-US" w:eastAsia="zh-CN"/>
              </w:rPr>
              <w:t>4</w:t>
            </w:r>
          </w:p>
        </w:tc>
        <w:tc>
          <w:tcPr>
            <w:tcW w:w="7024" w:type="dxa"/>
            <w:gridSpan w:val="3"/>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rPr>
              <w:t>报价（总价合计）</w:t>
            </w:r>
          </w:p>
        </w:tc>
        <w:tc>
          <w:tcPr>
            <w:tcW w:w="2529"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u w:val="single"/>
              </w:rPr>
              <w:t xml:space="preserve">            </w:t>
            </w:r>
            <w:r>
              <w:rPr>
                <w:rFonts w:hint="eastAsia" w:ascii="宋体" w:hAnsi="宋体" w:cs="宋体"/>
                <w:snapToGrid w:val="0"/>
                <w:highlight w:val="none"/>
              </w:rPr>
              <w:t>元</w:t>
            </w:r>
          </w:p>
        </w:tc>
      </w:tr>
    </w:tbl>
    <w:p>
      <w:pPr>
        <w:ind w:firstLine="494"/>
        <w:rPr>
          <w:rFonts w:ascii="宋体" w:hAnsi="宋体"/>
          <w:b/>
          <w:color w:val="auto"/>
          <w:highlight w:val="none"/>
        </w:rPr>
      </w:pPr>
    </w:p>
    <w:p>
      <w:pPr>
        <w:ind w:firstLine="494"/>
        <w:rPr>
          <w:rFonts w:hint="eastAsia" w:ascii="宋体" w:hAnsi="宋体"/>
          <w:b/>
          <w:color w:val="auto"/>
          <w:highlight w:val="none"/>
          <w:lang w:val="en-US" w:eastAsia="zh-CN"/>
        </w:rPr>
      </w:pPr>
    </w:p>
    <w:p>
      <w:pPr>
        <w:ind w:firstLine="494"/>
        <w:rPr>
          <w:rFonts w:hint="eastAsia" w:ascii="宋体" w:hAnsi="宋体"/>
          <w:b/>
          <w:color w:val="auto"/>
          <w:highlight w:val="none"/>
          <w:lang w:val="en-US" w:eastAsia="zh-CN"/>
        </w:rPr>
      </w:pPr>
    </w:p>
    <w:p>
      <w:pPr>
        <w:ind w:firstLine="494"/>
        <w:rPr>
          <w:rFonts w:hint="eastAsia" w:ascii="宋体" w:hAnsi="宋体" w:eastAsia="宋体"/>
          <w:b/>
          <w:color w:val="auto"/>
          <w:highlight w:val="none"/>
          <w:u w:val="single"/>
          <w:lang w:eastAsia="zh-CN"/>
        </w:rPr>
      </w:pPr>
      <w:r>
        <w:rPr>
          <w:rFonts w:hint="eastAsia" w:ascii="宋体" w:hAnsi="宋体"/>
          <w:b/>
          <w:color w:val="auto"/>
          <w:highlight w:val="none"/>
        </w:rPr>
        <w:t>报价（人民币大写）：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 xml:space="preserve">      </w:t>
      </w: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ageBreakBefore w:val="0"/>
        <w:kinsoku/>
        <w:wordWrap/>
        <w:overflowPunct/>
        <w:topLinePunct w:val="0"/>
        <w:autoSpaceDE/>
        <w:autoSpaceDN/>
        <w:bidi w:val="0"/>
        <w:adjustRightInd/>
        <w:snapToGrid/>
        <w:spacing w:line="360" w:lineRule="auto"/>
        <w:ind w:firstLine="442" w:firstLineChars="200"/>
        <w:textAlignment w:val="auto"/>
        <w:rPr>
          <w:rFonts w:hint="default" w:eastAsia="宋体"/>
          <w:highlight w:val="none"/>
          <w:lang w:val="en-US" w:eastAsia="zh-CN"/>
        </w:rPr>
      </w:pPr>
      <w:r>
        <w:rPr>
          <w:rFonts w:hint="eastAsia" w:ascii="宋体" w:hAnsi="宋体"/>
          <w:b/>
          <w:color w:val="auto"/>
          <w:sz w:val="22"/>
          <w:szCs w:val="22"/>
          <w:highlight w:val="none"/>
        </w:rPr>
        <w:t>说明：</w:t>
      </w:r>
      <w:r>
        <w:rPr>
          <w:rFonts w:hint="eastAsia" w:ascii="宋体" w:hAnsi="宋体" w:eastAsia="宋体" w:cs="Times New Roman"/>
          <w:color w:val="auto"/>
          <w:kern w:val="0"/>
          <w:sz w:val="24"/>
          <w:szCs w:val="24"/>
          <w:highlight w:val="none"/>
          <w:lang w:val="en-US" w:eastAsia="zh-CN" w:bidi="ar-SA"/>
        </w:rPr>
        <w:t>报价为综合包干价，包括完成本项目所需的所有服务、货物、利润、税金、保险及管理费等所有费用。</w:t>
      </w:r>
      <w:r>
        <w:rPr>
          <w:rFonts w:hint="eastAsia"/>
          <w:highlight w:val="none"/>
          <w:lang w:val="en-US" w:eastAsia="zh-CN"/>
        </w:rPr>
        <w:t>本项目报价中包含一个新创剧目孵化费用10万元，此项费用不列入报价竞争，该新创剧目已具备初步演出条件，需要成交供应商对该剧目进行孵化并进行深入创作。</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420" w:firstLine="480" w:firstLineChars="200"/>
        <w:textAlignment w:val="auto"/>
        <w:rPr>
          <w:rFonts w:hint="default" w:ascii="宋体" w:hAnsi="宋体" w:eastAsia="宋体" w:cs="宋体"/>
          <w:color w:val="auto"/>
          <w:highlight w:val="none"/>
          <w:lang w:val="en-US" w:eastAsia="zh-CN"/>
        </w:rPr>
      </w:pPr>
    </w:p>
    <w:p>
      <w:pPr>
        <w:pStyle w:val="2"/>
        <w:rPr>
          <w:rFonts w:ascii="宋体" w:hAnsi="宋体" w:cs="宋体"/>
          <w:color w:val="auto"/>
          <w:highlight w:val="none"/>
        </w:rPr>
      </w:pPr>
    </w:p>
    <w:p>
      <w:pPr>
        <w:widowControl w:val="0"/>
        <w:spacing w:line="360" w:lineRule="auto"/>
        <w:ind w:firstLine="480" w:firstLineChars="200"/>
        <w:rPr>
          <w:color w:val="auto"/>
          <w:highlight w:val="none"/>
        </w:rPr>
      </w:pPr>
      <w:r>
        <w:rPr>
          <w:rFonts w:hint="eastAsia" w:ascii="宋体" w:hAnsi="宋体" w:cs="宋体"/>
          <w:color w:val="auto"/>
          <w:highlight w:val="none"/>
        </w:rPr>
        <w:br w:type="page"/>
      </w:r>
    </w:p>
    <w:p>
      <w:pPr>
        <w:pStyle w:val="5"/>
        <w:ind w:left="80" w:leftChars="0" w:firstLine="482" w:firstLineChars="0"/>
        <w:rPr>
          <w:color w:val="auto"/>
          <w:highlight w:val="none"/>
        </w:rPr>
      </w:pPr>
      <w:bookmarkStart w:id="311" w:name="_Toc451340457"/>
      <w:r>
        <w:rPr>
          <w:rFonts w:hint="eastAsia"/>
          <w:color w:val="auto"/>
          <w:highlight w:val="none"/>
        </w:rPr>
        <w:t>业绩一览表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 xml:space="preserve">成都市双流区文化馆2021年双流区“走基层”文化惠民活动采购项目（第二次） </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510122202100085</w:t>
      </w:r>
    </w:p>
    <w:tbl>
      <w:tblPr>
        <w:tblStyle w:val="44"/>
        <w:tblW w:w="98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2"/>
        <w:gridCol w:w="1533"/>
        <w:gridCol w:w="1975"/>
        <w:gridCol w:w="1724"/>
        <w:gridCol w:w="1435"/>
        <w:gridCol w:w="2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top w:val="single" w:color="auto" w:sz="4" w:space="0"/>
            </w:tcBorders>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年份</w:t>
            </w:r>
          </w:p>
        </w:tc>
        <w:tc>
          <w:tcPr>
            <w:tcW w:w="1533"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用户名称</w:t>
            </w:r>
          </w:p>
        </w:tc>
        <w:tc>
          <w:tcPr>
            <w:tcW w:w="1975"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1724"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完成时间</w:t>
            </w:r>
          </w:p>
        </w:tc>
        <w:tc>
          <w:tcPr>
            <w:tcW w:w="1435" w:type="dxa"/>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合同金额</w:t>
            </w: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1533"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97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724"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43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rPr>
                <w:rFonts w:ascii="宋体" w:hAnsi="宋体" w:cs="宋体"/>
                <w:color w:val="auto"/>
                <w:sz w:val="28"/>
                <w:szCs w:val="28"/>
                <w:highlight w:val="none"/>
              </w:rPr>
            </w:pPr>
          </w:p>
        </w:tc>
        <w:tc>
          <w:tcPr>
            <w:tcW w:w="1533" w:type="dxa"/>
            <w:vAlign w:val="center"/>
          </w:tcPr>
          <w:p>
            <w:pPr>
              <w:spacing w:line="520" w:lineRule="exact"/>
              <w:rPr>
                <w:rFonts w:ascii="宋体" w:hAnsi="宋体" w:cs="宋体"/>
                <w:color w:val="auto"/>
                <w:sz w:val="28"/>
                <w:szCs w:val="28"/>
                <w:highlight w:val="none"/>
              </w:rPr>
            </w:pPr>
          </w:p>
        </w:tc>
        <w:tc>
          <w:tcPr>
            <w:tcW w:w="1975" w:type="dxa"/>
            <w:vAlign w:val="center"/>
          </w:tcPr>
          <w:p>
            <w:pPr>
              <w:spacing w:line="520" w:lineRule="exact"/>
              <w:rPr>
                <w:rFonts w:ascii="宋体" w:hAnsi="宋体" w:cs="宋体"/>
                <w:color w:val="auto"/>
                <w:sz w:val="28"/>
                <w:szCs w:val="28"/>
                <w:highlight w:val="none"/>
              </w:rPr>
            </w:pPr>
          </w:p>
        </w:tc>
        <w:tc>
          <w:tcPr>
            <w:tcW w:w="1724" w:type="dxa"/>
            <w:vAlign w:val="center"/>
          </w:tcPr>
          <w:p>
            <w:pPr>
              <w:spacing w:line="520" w:lineRule="exact"/>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82"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82"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top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top w:val="single" w:color="auto" w:sz="4" w:space="0"/>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注：以上业绩仅限于磋商人自己实施的，对于供应商不涉及的项目可不填写，如无业绩可不提供本页内容。</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bookmarkEnd w:id="307"/>
    <w:bookmarkEnd w:id="311"/>
    <w:p>
      <w:pPr>
        <w:pStyle w:val="5"/>
        <w:ind w:left="80" w:leftChars="0" w:firstLine="482" w:firstLineChars="0"/>
        <w:rPr>
          <w:rFonts w:cs="宋体"/>
          <w:color w:val="auto"/>
          <w:szCs w:val="24"/>
          <w:highlight w:val="none"/>
        </w:rPr>
      </w:pPr>
      <w:r>
        <w:rPr>
          <w:rFonts w:hint="eastAsia"/>
          <w:color w:val="auto"/>
          <w:highlight w:val="none"/>
        </w:rPr>
        <w:t>磋商供应商认为需要提供的文件和资料</w:t>
      </w: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b/>
          <w:bCs/>
          <w:color w:val="auto"/>
          <w:highlight w:val="none"/>
        </w:rPr>
      </w:pPr>
    </w:p>
    <w:p>
      <w:pPr>
        <w:pStyle w:val="2"/>
        <w:rPr>
          <w:b/>
          <w:bCs/>
          <w:color w:val="auto"/>
          <w:highlight w:val="none"/>
        </w:rPr>
      </w:pPr>
      <w:r>
        <w:rPr>
          <w:rFonts w:hint="eastAsia"/>
          <w:b/>
          <w:bCs/>
          <w:color w:val="auto"/>
          <w:highlight w:val="none"/>
        </w:rPr>
        <w:t>注：如供应商没有认为需要提供的文件和资料可不提供。</w:t>
      </w:r>
    </w:p>
    <w:p>
      <w:pPr>
        <w:pStyle w:val="2"/>
        <w:rPr>
          <w:color w:val="auto"/>
          <w:highlight w:val="none"/>
        </w:rPr>
      </w:pPr>
    </w:p>
    <w:p>
      <w:pPr>
        <w:pStyle w:val="2"/>
        <w:rPr>
          <w:color w:val="auto"/>
          <w:highlight w:val="none"/>
        </w:rPr>
      </w:pPr>
    </w:p>
    <w:p>
      <w:pPr>
        <w:rPr>
          <w:color w:val="auto"/>
          <w:highlight w:val="none"/>
        </w:rPr>
      </w:pPr>
      <w:r>
        <w:rPr>
          <w:rFonts w:hint="eastAsia"/>
          <w:color w:val="auto"/>
          <w:highlight w:val="none"/>
        </w:rPr>
        <w:br w:type="page"/>
      </w:r>
    </w:p>
    <w:p>
      <w:pPr>
        <w:pStyle w:val="4"/>
        <w:rPr>
          <w:color w:val="auto"/>
          <w:highlight w:val="none"/>
        </w:rPr>
      </w:pPr>
      <w:bookmarkStart w:id="312" w:name="_Toc15895"/>
      <w:r>
        <w:rPr>
          <w:rFonts w:hint="eastAsia"/>
          <w:color w:val="auto"/>
          <w:highlight w:val="none"/>
        </w:rPr>
        <w:t>最后报价（格式）</w:t>
      </w:r>
      <w:bookmarkEnd w:id="312"/>
    </w:p>
    <w:p>
      <w:pPr>
        <w:snapToGrid w:val="0"/>
        <w:spacing w:line="360" w:lineRule="auto"/>
        <w:ind w:firstLine="482" w:firstLineChars="200"/>
        <w:rPr>
          <w:rFonts w:hint="eastAsia" w:ascii="宋体" w:hAnsi="宋体"/>
          <w:b/>
          <w:color w:val="auto"/>
          <w:highlight w:val="none"/>
        </w:rPr>
      </w:pPr>
    </w:p>
    <w:p>
      <w:pPr>
        <w:snapToGrid w:val="0"/>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项目名称：</w:t>
      </w:r>
      <w:r>
        <w:rPr>
          <w:rFonts w:hint="eastAsia" w:ascii="宋体" w:hAnsi="宋体"/>
          <w:b/>
          <w:color w:val="auto"/>
          <w:highlight w:val="none"/>
          <w:u w:val="single"/>
          <w:lang w:eastAsia="zh-CN"/>
        </w:rPr>
        <w:t xml:space="preserve">成都市双流区文化馆2021年双流区“走基层”文化惠民活动采购项目（第二次） </w:t>
      </w:r>
    </w:p>
    <w:p>
      <w:pPr>
        <w:snapToGrid w:val="0"/>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510122202100085</w:t>
      </w:r>
    </w:p>
    <w:p>
      <w:pPr>
        <w:pStyle w:val="2"/>
        <w:rPr>
          <w:rFonts w:hint="eastAsia"/>
          <w:highlight w:val="none"/>
          <w:lang w:eastAsia="zh-CN"/>
        </w:rPr>
      </w:pPr>
    </w:p>
    <w:tbl>
      <w:tblPr>
        <w:tblStyle w:val="44"/>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049"/>
        <w:gridCol w:w="1800"/>
        <w:gridCol w:w="2175"/>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42"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序号</w:t>
            </w:r>
          </w:p>
        </w:tc>
        <w:tc>
          <w:tcPr>
            <w:tcW w:w="3049"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内容</w:t>
            </w:r>
          </w:p>
        </w:tc>
        <w:tc>
          <w:tcPr>
            <w:tcW w:w="1800" w:type="dxa"/>
            <w:vAlign w:val="center"/>
          </w:tcPr>
          <w:p>
            <w:pPr>
              <w:spacing w:line="240" w:lineRule="auto"/>
              <w:ind w:firstLine="0" w:firstLineChars="0"/>
              <w:jc w:val="center"/>
              <w:rPr>
                <w:rFonts w:ascii="宋体" w:hAnsi="宋体" w:cs="宋体"/>
                <w:szCs w:val="24"/>
                <w:highlight w:val="none"/>
              </w:rPr>
            </w:pPr>
            <w:r>
              <w:rPr>
                <w:rFonts w:hint="eastAsia" w:ascii="宋体" w:hAnsi="宋体" w:cs="宋体"/>
                <w:szCs w:val="24"/>
                <w:highlight w:val="none"/>
              </w:rPr>
              <w:t>数量</w:t>
            </w:r>
          </w:p>
        </w:tc>
        <w:tc>
          <w:tcPr>
            <w:tcW w:w="2175" w:type="dxa"/>
            <w:vAlign w:val="center"/>
          </w:tcPr>
          <w:p>
            <w:pPr>
              <w:spacing w:line="240" w:lineRule="auto"/>
              <w:ind w:firstLine="0" w:firstLineChars="0"/>
              <w:jc w:val="center"/>
              <w:rPr>
                <w:rFonts w:ascii="宋体" w:hAnsi="宋体" w:cs="宋体"/>
                <w:szCs w:val="24"/>
                <w:highlight w:val="none"/>
              </w:rPr>
            </w:pPr>
            <w:r>
              <w:rPr>
                <w:rFonts w:hint="eastAsia" w:ascii="宋体" w:hAnsi="宋体" w:cs="宋体"/>
                <w:szCs w:val="24"/>
                <w:highlight w:val="none"/>
              </w:rPr>
              <w:t>单价</w:t>
            </w:r>
          </w:p>
        </w:tc>
        <w:tc>
          <w:tcPr>
            <w:tcW w:w="2529" w:type="dxa"/>
            <w:vAlign w:val="center"/>
          </w:tcPr>
          <w:p>
            <w:pPr>
              <w:spacing w:line="240" w:lineRule="auto"/>
              <w:ind w:firstLine="0" w:firstLineChars="0"/>
              <w:jc w:val="center"/>
              <w:rPr>
                <w:rFonts w:ascii="宋体" w:hAnsi="宋体" w:cs="宋体"/>
                <w:szCs w:val="24"/>
                <w:highlight w:val="none"/>
              </w:rPr>
            </w:pPr>
            <w:r>
              <w:rPr>
                <w:rFonts w:hint="eastAsia" w:ascii="宋体" w:hAnsi="宋体" w:cs="宋体"/>
                <w:szCs w:val="24"/>
                <w:highlight w:val="none"/>
              </w:rPr>
              <w:t>总价（单价×数量）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42"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1</w:t>
            </w:r>
          </w:p>
          <w:p>
            <w:pPr>
              <w:spacing w:line="240" w:lineRule="auto"/>
              <w:ind w:firstLine="0" w:firstLineChars="0"/>
              <w:jc w:val="center"/>
              <w:rPr>
                <w:rFonts w:ascii="宋体" w:hAnsi="宋体" w:cs="宋体"/>
                <w:b/>
                <w:szCs w:val="24"/>
                <w:highlight w:val="none"/>
              </w:rPr>
            </w:pPr>
          </w:p>
        </w:tc>
        <w:tc>
          <w:tcPr>
            <w:tcW w:w="3049" w:type="dxa"/>
            <w:vAlign w:val="center"/>
          </w:tcPr>
          <w:p>
            <w:pPr>
              <w:widowControl/>
              <w:spacing w:line="240" w:lineRule="auto"/>
              <w:ind w:firstLine="0" w:firstLineChars="0"/>
              <w:textAlignment w:val="center"/>
              <w:rPr>
                <w:rFonts w:ascii="宋体" w:hAnsi="宋体" w:cs="宋体"/>
                <w:kern w:val="0"/>
                <w:szCs w:val="24"/>
                <w:highlight w:val="none"/>
              </w:rPr>
            </w:pPr>
            <w:r>
              <w:rPr>
                <w:rFonts w:hint="eastAsia" w:ascii="宋体" w:hAnsi="宋体" w:cs="宋体"/>
                <w:kern w:val="0"/>
                <w:szCs w:val="24"/>
                <w:highlight w:val="none"/>
              </w:rPr>
              <w:t>精品汇演</w:t>
            </w:r>
          </w:p>
        </w:tc>
        <w:tc>
          <w:tcPr>
            <w:tcW w:w="1800"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rPr>
              <w:t>2场</w:t>
            </w:r>
          </w:p>
        </w:tc>
        <w:tc>
          <w:tcPr>
            <w:tcW w:w="2175"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u w:val="single"/>
              </w:rPr>
              <w:t xml:space="preserve">           </w:t>
            </w:r>
            <w:r>
              <w:rPr>
                <w:rFonts w:hint="eastAsia" w:ascii="宋体" w:hAnsi="宋体" w:cs="宋体"/>
                <w:snapToGrid w:val="0"/>
                <w:highlight w:val="none"/>
              </w:rPr>
              <w:t>元/场</w:t>
            </w:r>
          </w:p>
        </w:tc>
        <w:tc>
          <w:tcPr>
            <w:tcW w:w="2529"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u w:val="single"/>
              </w:rPr>
              <w:t xml:space="preserve">           </w:t>
            </w:r>
            <w:r>
              <w:rPr>
                <w:rFonts w:hint="eastAsia" w:ascii="宋体" w:hAnsi="宋体" w:cs="宋体"/>
                <w:snapToGrid w:val="0"/>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42"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2</w:t>
            </w:r>
          </w:p>
        </w:tc>
        <w:tc>
          <w:tcPr>
            <w:tcW w:w="3049" w:type="dxa"/>
            <w:vAlign w:val="center"/>
          </w:tcPr>
          <w:p>
            <w:pPr>
              <w:widowControl/>
              <w:spacing w:line="240" w:lineRule="auto"/>
              <w:ind w:firstLine="0" w:firstLineChars="0"/>
              <w:textAlignment w:val="center"/>
              <w:rPr>
                <w:rFonts w:ascii="宋体" w:hAnsi="宋体" w:cs="宋体"/>
                <w:szCs w:val="24"/>
                <w:highlight w:val="none"/>
              </w:rPr>
            </w:pPr>
            <w:r>
              <w:rPr>
                <w:rFonts w:hint="eastAsia" w:ascii="宋体" w:hAnsi="宋体" w:cs="宋体"/>
                <w:szCs w:val="24"/>
                <w:highlight w:val="none"/>
              </w:rPr>
              <w:t>巡演</w:t>
            </w:r>
          </w:p>
        </w:tc>
        <w:tc>
          <w:tcPr>
            <w:tcW w:w="1800"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rPr>
              <w:t>38场</w:t>
            </w:r>
          </w:p>
        </w:tc>
        <w:tc>
          <w:tcPr>
            <w:tcW w:w="2175"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u w:val="single"/>
              </w:rPr>
              <w:t xml:space="preserve">           </w:t>
            </w:r>
            <w:r>
              <w:rPr>
                <w:rFonts w:hint="eastAsia" w:ascii="宋体" w:hAnsi="宋体" w:cs="宋体"/>
                <w:snapToGrid w:val="0"/>
                <w:highlight w:val="none"/>
              </w:rPr>
              <w:t>元/场</w:t>
            </w:r>
          </w:p>
        </w:tc>
        <w:tc>
          <w:tcPr>
            <w:tcW w:w="2529"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u w:val="single"/>
              </w:rPr>
              <w:t xml:space="preserve">            </w:t>
            </w:r>
            <w:r>
              <w:rPr>
                <w:rFonts w:hint="eastAsia" w:ascii="宋体" w:hAnsi="宋体" w:cs="宋体"/>
                <w:snapToGrid w:val="0"/>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42" w:type="dxa"/>
            <w:vAlign w:val="center"/>
          </w:tcPr>
          <w:p>
            <w:pPr>
              <w:spacing w:line="240" w:lineRule="auto"/>
              <w:ind w:firstLine="0" w:firstLineChars="0"/>
              <w:jc w:val="center"/>
              <w:rPr>
                <w:rFonts w:hint="eastAsia" w:ascii="宋体" w:hAnsi="宋体" w:eastAsia="宋体" w:cs="宋体"/>
                <w:b/>
                <w:szCs w:val="24"/>
                <w:highlight w:val="none"/>
                <w:lang w:val="en-US" w:eastAsia="zh-CN"/>
              </w:rPr>
            </w:pPr>
            <w:r>
              <w:rPr>
                <w:rFonts w:hint="eastAsia" w:ascii="宋体" w:hAnsi="宋体" w:cs="宋体"/>
                <w:b/>
                <w:szCs w:val="24"/>
                <w:highlight w:val="none"/>
                <w:lang w:val="en-US" w:eastAsia="zh-CN"/>
              </w:rPr>
              <w:t>3</w:t>
            </w:r>
          </w:p>
        </w:tc>
        <w:tc>
          <w:tcPr>
            <w:tcW w:w="3049" w:type="dxa"/>
            <w:vAlign w:val="center"/>
          </w:tcPr>
          <w:p>
            <w:pPr>
              <w:widowControl/>
              <w:spacing w:line="240" w:lineRule="auto"/>
              <w:ind w:firstLine="0" w:firstLineChars="0"/>
              <w:textAlignment w:val="center"/>
              <w:rPr>
                <w:rFonts w:hint="eastAsia" w:ascii="宋体" w:hAnsi="宋体" w:cs="宋体"/>
                <w:szCs w:val="24"/>
                <w:highlight w:val="none"/>
              </w:rPr>
            </w:pPr>
            <w:r>
              <w:rPr>
                <w:rFonts w:hint="eastAsia" w:ascii="宋体" w:hAnsi="宋体" w:cs="宋体"/>
                <w:snapToGrid w:val="0"/>
                <w:highlight w:val="none"/>
                <w:lang w:val="en-US" w:eastAsia="zh-CN"/>
              </w:rPr>
              <w:t>新创剧目孵化</w:t>
            </w:r>
          </w:p>
        </w:tc>
        <w:tc>
          <w:tcPr>
            <w:tcW w:w="1800" w:type="dxa"/>
            <w:vAlign w:val="center"/>
          </w:tcPr>
          <w:p>
            <w:pPr>
              <w:widowControl/>
              <w:spacing w:line="240" w:lineRule="auto"/>
              <w:ind w:firstLine="0" w:firstLineChars="0"/>
              <w:textAlignment w:val="center"/>
              <w:rPr>
                <w:rFonts w:hint="eastAsia" w:ascii="宋体" w:hAnsi="宋体" w:cs="宋体"/>
                <w:snapToGrid w:val="0"/>
                <w:highlight w:val="none"/>
              </w:rPr>
            </w:pPr>
            <w:r>
              <w:rPr>
                <w:rFonts w:hint="eastAsia" w:ascii="宋体" w:hAnsi="宋体" w:cs="宋体"/>
                <w:snapToGrid w:val="0"/>
                <w:highlight w:val="none"/>
                <w:lang w:val="en-US" w:eastAsia="zh-CN"/>
              </w:rPr>
              <w:t>1项</w:t>
            </w:r>
          </w:p>
        </w:tc>
        <w:tc>
          <w:tcPr>
            <w:tcW w:w="2175" w:type="dxa"/>
            <w:vAlign w:val="center"/>
          </w:tcPr>
          <w:p>
            <w:pPr>
              <w:widowControl/>
              <w:spacing w:line="240" w:lineRule="auto"/>
              <w:ind w:firstLine="0" w:firstLineChars="0"/>
              <w:textAlignment w:val="center"/>
              <w:rPr>
                <w:rFonts w:hint="eastAsia" w:ascii="宋体" w:hAnsi="宋体" w:cs="宋体"/>
                <w:snapToGrid w:val="0"/>
                <w:highlight w:val="none"/>
                <w:u w:val="single"/>
              </w:rPr>
            </w:pPr>
            <w:r>
              <w:rPr>
                <w:rFonts w:hint="eastAsia" w:ascii="宋体" w:hAnsi="宋体" w:cs="宋体"/>
                <w:snapToGrid w:val="0"/>
                <w:highlight w:val="none"/>
                <w:lang w:val="en-US" w:eastAsia="zh-CN"/>
              </w:rPr>
              <w:t>10万元/项</w:t>
            </w:r>
          </w:p>
        </w:tc>
        <w:tc>
          <w:tcPr>
            <w:tcW w:w="2529" w:type="dxa"/>
            <w:vAlign w:val="center"/>
          </w:tcPr>
          <w:p>
            <w:pPr>
              <w:widowControl/>
              <w:spacing w:line="240" w:lineRule="auto"/>
              <w:ind w:firstLine="0" w:firstLineChars="0"/>
              <w:jc w:val="center"/>
              <w:textAlignment w:val="center"/>
              <w:rPr>
                <w:rFonts w:hint="eastAsia" w:ascii="宋体" w:hAnsi="宋体" w:cs="宋体"/>
                <w:snapToGrid w:val="0"/>
                <w:highlight w:val="none"/>
                <w:u w:val="single"/>
              </w:rPr>
            </w:pPr>
            <w:r>
              <w:rPr>
                <w:rFonts w:hint="eastAsia" w:ascii="宋体" w:hAnsi="宋体" w:cs="宋体"/>
                <w:snapToGrid w:val="0"/>
                <w:highlight w:val="no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42" w:type="dxa"/>
            <w:vAlign w:val="center"/>
          </w:tcPr>
          <w:p>
            <w:pPr>
              <w:spacing w:line="240" w:lineRule="auto"/>
              <w:ind w:firstLine="0" w:firstLineChars="0"/>
              <w:jc w:val="center"/>
              <w:rPr>
                <w:rFonts w:hint="eastAsia" w:ascii="宋体" w:hAnsi="宋体" w:eastAsia="宋体" w:cs="宋体"/>
                <w:b/>
                <w:szCs w:val="24"/>
                <w:highlight w:val="none"/>
                <w:lang w:eastAsia="zh-CN"/>
              </w:rPr>
            </w:pPr>
            <w:r>
              <w:rPr>
                <w:rFonts w:hint="eastAsia" w:ascii="宋体" w:hAnsi="宋体" w:cs="宋体"/>
                <w:b/>
                <w:szCs w:val="24"/>
                <w:highlight w:val="none"/>
                <w:lang w:val="en-US" w:eastAsia="zh-CN"/>
              </w:rPr>
              <w:t>4</w:t>
            </w:r>
          </w:p>
        </w:tc>
        <w:tc>
          <w:tcPr>
            <w:tcW w:w="7024" w:type="dxa"/>
            <w:gridSpan w:val="3"/>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lang w:val="en-US" w:eastAsia="zh-CN"/>
              </w:rPr>
              <w:t>最后</w:t>
            </w:r>
            <w:r>
              <w:rPr>
                <w:rFonts w:hint="eastAsia" w:ascii="宋体" w:hAnsi="宋体" w:cs="宋体"/>
                <w:snapToGrid w:val="0"/>
                <w:highlight w:val="none"/>
              </w:rPr>
              <w:t>报价（总价合计）</w:t>
            </w:r>
          </w:p>
        </w:tc>
        <w:tc>
          <w:tcPr>
            <w:tcW w:w="2529"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u w:val="single"/>
              </w:rPr>
              <w:t xml:space="preserve">            </w:t>
            </w:r>
            <w:r>
              <w:rPr>
                <w:rFonts w:hint="eastAsia" w:ascii="宋体" w:hAnsi="宋体" w:cs="宋体"/>
                <w:snapToGrid w:val="0"/>
                <w:highlight w:val="none"/>
              </w:rPr>
              <w:t>元</w:t>
            </w:r>
          </w:p>
        </w:tc>
      </w:tr>
    </w:tbl>
    <w:p>
      <w:pPr>
        <w:pStyle w:val="2"/>
        <w:rPr>
          <w:color w:val="auto"/>
          <w:highlight w:val="none"/>
        </w:rPr>
      </w:pPr>
    </w:p>
    <w:p>
      <w:pPr>
        <w:rPr>
          <w:color w:val="auto"/>
          <w:highlight w:val="none"/>
          <w:lang w:val="zh-CN"/>
        </w:rPr>
      </w:pPr>
    </w:p>
    <w:p>
      <w:pPr>
        <w:ind w:firstLine="494"/>
        <w:rPr>
          <w:rFonts w:ascii="宋体" w:hAnsi="宋体"/>
          <w:b/>
          <w:color w:val="auto"/>
          <w:highlight w:val="none"/>
          <w:u w:val="single"/>
        </w:rPr>
      </w:pPr>
      <w:r>
        <w:rPr>
          <w:rFonts w:hint="eastAsia" w:ascii="宋体" w:hAnsi="宋体"/>
          <w:b/>
          <w:color w:val="auto"/>
          <w:highlight w:val="none"/>
        </w:rPr>
        <w:t>最后报价（人民币大写）：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p>
    <w:p>
      <w:pPr>
        <w:pStyle w:val="2"/>
        <w:spacing w:after="0"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7"/>
        <w:ind w:left="0" w:leftChars="0" w:firstLine="0" w:firstLineChars="0"/>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说明：</w:t>
      </w:r>
    </w:p>
    <w:p>
      <w:pPr>
        <w:pStyle w:val="67"/>
        <w:ind w:left="0" w:leftChars="0" w:firstLine="0" w:firstLineChars="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报价为综合包干价，包括完成本项目所需的所有服务、货物、利润、税金、保险及管理费等所有费用。本项目报价中包含一个新创剧目孵化费用10万元，此项费用不列入报价竞争，该新创剧目已具备初步演出条件，需要成交供应商对该剧目进行孵化并进行深入创作。</w:t>
      </w:r>
    </w:p>
    <w:p>
      <w:pPr>
        <w:pStyle w:val="67"/>
        <w:ind w:left="0" w:leftChars="0" w:firstLine="0" w:firstLineChars="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供应商可不在响应文件中填写并提供此表。此表为磋商结束后，由供应商填写“最后报价”（表格由磋商小组提供），经供应商法定代表人或代理人签字后密封递交给四川世科工程咨询有限公司工作人员，由其收集齐后集中递交磋商小组。</w:t>
      </w:r>
    </w:p>
    <w:p>
      <w:pPr>
        <w:pStyle w:val="67"/>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pStyle w:val="3"/>
        <w:rPr>
          <w:color w:val="auto"/>
          <w:highlight w:val="none"/>
        </w:rPr>
      </w:pPr>
      <w:bookmarkStart w:id="313" w:name="_Toc11806"/>
      <w:r>
        <w:rPr>
          <w:rFonts w:hint="eastAsia"/>
          <w:color w:val="auto"/>
          <w:highlight w:val="none"/>
        </w:rPr>
        <w:t>合同主要条款</w:t>
      </w:r>
      <w:bookmarkEnd w:id="313"/>
    </w:p>
    <w:bookmarkEnd w:id="308"/>
    <w:bookmarkEnd w:id="309"/>
    <w:bookmarkEnd w:id="310"/>
    <w:p>
      <w:pPr>
        <w:spacing w:line="360" w:lineRule="auto"/>
        <w:ind w:firstLine="480" w:firstLineChars="200"/>
        <w:rPr>
          <w:color w:val="auto"/>
          <w:highlight w:val="none"/>
        </w:rPr>
      </w:pPr>
      <w:r>
        <w:rPr>
          <w:rFonts w:hint="eastAsia"/>
          <w:color w:val="auto"/>
          <w:highlight w:val="none"/>
        </w:rPr>
        <w:t>（仅供参考，特别提醒：采购合同的签订不得偏离竞争性磋商文件要约及磋商文件承诺的实质性内容）</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政府采购合同编号：XXXX。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签订地点：XXXX。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签订时间：XXXX年XX月XX日。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供应商（乙方）：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依据《中华人民共和国</w:t>
      </w:r>
      <w:r>
        <w:rPr>
          <w:rFonts w:hint="eastAsia" w:ascii="宋体" w:hAnsi="宋体" w:cs="宋体"/>
          <w:color w:val="auto"/>
          <w:highlight w:val="none"/>
          <w:lang w:val="en-US" w:eastAsia="zh-CN"/>
        </w:rPr>
        <w:t>民法典</w:t>
      </w:r>
      <w:r>
        <w:rPr>
          <w:rFonts w:hint="eastAsia" w:ascii="宋体" w:hAnsi="宋体" w:cs="宋体"/>
          <w:color w:val="auto"/>
          <w:highlight w:val="none"/>
        </w:rPr>
        <w:t xml:space="preserve">》、《中华人民共和国政府采购法》与项目行业有关的法律法规，以及XXXX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项目基本情况</w:t>
      </w:r>
    </w:p>
    <w:p>
      <w:pPr>
        <w:numPr>
          <w:ilvl w:val="0"/>
          <w:numId w:val="47"/>
        </w:numPr>
        <w:spacing w:line="360" w:lineRule="auto"/>
        <w:ind w:left="0" w:firstLine="482" w:firstLineChars="200"/>
        <w:rPr>
          <w:rFonts w:ascii="宋体" w:hAnsi="宋体" w:cs="宋体"/>
          <w:color w:val="auto"/>
          <w:highlight w:val="none"/>
        </w:rPr>
      </w:pPr>
      <w:r>
        <w:rPr>
          <w:rFonts w:hint="eastAsia" w:ascii="宋体" w:hAnsi="宋体" w:cs="宋体"/>
          <w:b/>
          <w:color w:val="auto"/>
          <w:highlight w:val="none"/>
        </w:rPr>
        <w:t>合同期限</w:t>
      </w:r>
    </w:p>
    <w:p>
      <w:pPr>
        <w:numPr>
          <w:ilvl w:val="0"/>
          <w:numId w:val="47"/>
        </w:numPr>
        <w:spacing w:line="360" w:lineRule="auto"/>
        <w:ind w:left="0" w:firstLine="482" w:firstLineChars="200"/>
        <w:rPr>
          <w:rFonts w:ascii="宋体" w:hAnsi="宋体" w:cs="宋体"/>
          <w:b/>
          <w:color w:val="auto"/>
          <w:highlight w:val="none"/>
        </w:rPr>
      </w:pPr>
      <w:bookmarkStart w:id="314" w:name="_Toc211854449"/>
      <w:bookmarkStart w:id="315" w:name="_Toc225654644"/>
      <w:bookmarkStart w:id="316" w:name="_Toc225244852"/>
      <w:bookmarkStart w:id="317" w:name="_Toc225670751"/>
      <w:bookmarkStart w:id="318" w:name="_Toc247334841"/>
      <w:bookmarkStart w:id="319" w:name="_Toc211911348"/>
      <w:bookmarkStart w:id="320" w:name="_Toc237145406"/>
      <w:bookmarkStart w:id="321" w:name="_Toc286993786"/>
      <w:bookmarkStart w:id="322" w:name="_Toc251768862"/>
      <w:bookmarkStart w:id="323" w:name="_Toc212019594"/>
      <w:bookmarkStart w:id="324" w:name="_Toc239233914"/>
      <w:bookmarkStart w:id="325" w:name="_Toc283019214"/>
      <w:bookmarkStart w:id="326" w:name="_Toc232492928"/>
      <w:bookmarkStart w:id="327" w:name="_Toc241833903"/>
      <w:bookmarkStart w:id="328" w:name="_Toc238984975"/>
      <w:bookmarkStart w:id="329" w:name="_Toc282696226"/>
      <w:bookmarkStart w:id="330" w:name="_Toc239568418"/>
      <w:bookmarkStart w:id="331" w:name="_Toc185395249"/>
      <w:r>
        <w:rPr>
          <w:rFonts w:hint="eastAsia" w:ascii="宋体" w:hAnsi="宋体" w:cs="宋体"/>
          <w:b/>
          <w:color w:val="auto"/>
          <w:highlight w:val="none"/>
        </w:rPr>
        <w:t>服务内容与质量标准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服务费用及支付方式</w:t>
      </w:r>
    </w:p>
    <w:p>
      <w:pPr>
        <w:numPr>
          <w:ilvl w:val="0"/>
          <w:numId w:val="48"/>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本项目服务费用由以下组成：</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48"/>
        </w:numPr>
        <w:tabs>
          <w:tab w:val="left" w:pos="780"/>
        </w:tabs>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 xml:space="preserve">服务费支付方式：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知识产权</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乙方应保证所提供的服务或其任何一部分均不会侵犯任何第三方的专利权、商标权或著作权。</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无产权瑕疵条款</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甲方的权利和义务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3、负责检查监督乙方管理工作的实施及制度的执行情况。</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4、根据本合同规定，按时向乙方支付应付服务费用。</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5、国家法律、法规所规定由甲方承担的其它责任。</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乙方的权利和义务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1、对本合同规定的委托服务范围内的项目享有管理权及服务义务。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2、根据本合同的规定向甲方收取相关服务费用，并有权在本项目管理范围内管理及合理使用。</w:t>
      </w:r>
    </w:p>
    <w:p>
      <w:pPr>
        <w:adjustRightInd w:val="0"/>
        <w:spacing w:line="360" w:lineRule="auto"/>
        <w:ind w:firstLine="480" w:firstLineChars="200"/>
        <w:textAlignment w:val="baseline"/>
        <w:rPr>
          <w:rFonts w:ascii="宋体" w:hAnsi="宋体" w:cs="宋体"/>
          <w:color w:val="auto"/>
          <w:highlight w:val="none"/>
        </w:rPr>
      </w:pPr>
      <w:r>
        <w:rPr>
          <w:rFonts w:hint="eastAsia" w:ascii="宋体" w:hAnsi="宋体" w:cs="宋体"/>
          <w:color w:val="auto"/>
          <w:highlight w:val="none"/>
        </w:rPr>
        <w:t>3、及时向甲方通告本项目服务范围内有关服务的重大事项，及时配合处理投诉。</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color w:val="auto"/>
          <w:highlight w:val="none"/>
        </w:rPr>
        <w:t>4、</w:t>
      </w:r>
      <w:r>
        <w:rPr>
          <w:rFonts w:hint="eastAsia" w:ascii="宋体" w:hAnsi="宋体" w:cs="宋体"/>
          <w:bCs/>
          <w:color w:val="auto"/>
          <w:highlight w:val="none"/>
        </w:rPr>
        <w:t>接受项目行业管理部门及政府有关部门的指导，接受甲方的监督。</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5、国家法律、法规所规定由乙方承担的其它责任。</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违约责任</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1、甲乙双方必须遵守本合同并执行合同中的各项规定，保证本合同的正常履行。</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不可抗力事件处理</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3、不可抗力事件延续XX天以上，双方应通过友好协商，确定是否继续履行合同。</w:t>
      </w:r>
    </w:p>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numPr>
          <w:ilvl w:val="0"/>
          <w:numId w:val="47"/>
        </w:numPr>
        <w:spacing w:line="360" w:lineRule="auto"/>
        <w:ind w:left="0" w:firstLine="482" w:firstLineChars="200"/>
        <w:rPr>
          <w:rFonts w:ascii="宋体" w:hAnsi="宋体" w:cs="宋体"/>
          <w:b/>
          <w:color w:val="auto"/>
          <w:highlight w:val="none"/>
        </w:rPr>
      </w:pPr>
      <w:bookmarkStart w:id="332" w:name="_Toc239233919"/>
      <w:bookmarkStart w:id="333" w:name="_Toc286993792"/>
      <w:bookmarkStart w:id="334" w:name="_Toc225654649"/>
      <w:bookmarkStart w:id="335" w:name="_Toc241833908"/>
      <w:bookmarkStart w:id="336" w:name="_Toc225244857"/>
      <w:bookmarkStart w:id="337" w:name="_Toc212019599"/>
      <w:bookmarkStart w:id="338" w:name="_Toc238984980"/>
      <w:bookmarkStart w:id="339" w:name="_Toc232492933"/>
      <w:bookmarkStart w:id="340" w:name="_Toc211911353"/>
      <w:bookmarkStart w:id="341" w:name="_Toc211854454"/>
      <w:bookmarkStart w:id="342" w:name="_Toc237145411"/>
      <w:bookmarkStart w:id="343" w:name="_Toc251768867"/>
      <w:bookmarkStart w:id="344" w:name="_Toc225670756"/>
      <w:bookmarkStart w:id="345" w:name="_Toc239568423"/>
      <w:bookmarkStart w:id="346" w:name="_Toc185395254"/>
      <w:bookmarkStart w:id="347" w:name="_Toc247334846"/>
      <w:r>
        <w:rPr>
          <w:rFonts w:hint="eastAsia" w:ascii="宋体" w:hAnsi="宋体" w:cs="宋体"/>
          <w:b/>
          <w:color w:val="auto"/>
          <w:highlight w:val="none"/>
        </w:rPr>
        <w:t>解决合同纠纷的方式</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1、在执行本合同中发生的或与本合同有关的争端，双方应通过友好协商解决，经协商在</w:t>
      </w:r>
      <w:r>
        <w:rPr>
          <w:rFonts w:hint="eastAsia" w:ascii="宋体" w:hAnsi="宋体" w:cs="宋体"/>
          <w:color w:val="auto"/>
          <w:highlight w:val="none"/>
          <w:u w:val="single"/>
        </w:rPr>
        <w:t xml:space="preserve">      </w:t>
      </w:r>
      <w:r>
        <w:rPr>
          <w:rFonts w:hint="eastAsia" w:ascii="宋体" w:hAnsi="宋体" w:cs="宋体"/>
          <w:color w:val="auto"/>
          <w:highlight w:val="none"/>
        </w:rPr>
        <w:t>天内不能达成协议时，应提交成都仲裁委员会仲裁。</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2、仲裁裁决应为最终决定，并对双方具有约束力。</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3、除另有裁决外，仲裁费应由败诉方负担。 </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4、在仲裁期间，除正在进行仲裁部分外，合同其他部分继续执行。  </w:t>
      </w:r>
    </w:p>
    <w:p>
      <w:pPr>
        <w:numPr>
          <w:ilvl w:val="0"/>
          <w:numId w:val="47"/>
        </w:numPr>
        <w:spacing w:line="360" w:lineRule="auto"/>
        <w:ind w:left="0" w:firstLine="482" w:firstLineChars="200"/>
        <w:rPr>
          <w:rFonts w:ascii="宋体" w:hAnsi="宋体" w:cs="宋体"/>
          <w:b/>
          <w:color w:val="auto"/>
          <w:highlight w:val="none"/>
        </w:rPr>
      </w:pPr>
      <w:bookmarkStart w:id="348" w:name="_Toc211911354"/>
      <w:bookmarkStart w:id="349" w:name="_Toc239233920"/>
      <w:bookmarkStart w:id="350" w:name="_Toc251768868"/>
      <w:bookmarkStart w:id="351" w:name="_Toc212019600"/>
      <w:bookmarkStart w:id="352" w:name="_Toc225244858"/>
      <w:bookmarkStart w:id="353" w:name="_Toc238984981"/>
      <w:bookmarkStart w:id="354" w:name="_Toc237145412"/>
      <w:bookmarkStart w:id="355" w:name="_Toc211854455"/>
      <w:bookmarkStart w:id="356" w:name="_Toc282696231"/>
      <w:bookmarkStart w:id="357" w:name="_Toc239568424"/>
      <w:bookmarkStart w:id="358" w:name="_Toc283019219"/>
      <w:bookmarkStart w:id="359" w:name="_Toc241833909"/>
      <w:bookmarkStart w:id="360" w:name="_Toc225654650"/>
      <w:bookmarkStart w:id="361" w:name="_Toc225670757"/>
      <w:bookmarkStart w:id="362" w:name="_Toc185395255"/>
      <w:bookmarkStart w:id="363" w:name="_Toc286993793"/>
      <w:bookmarkStart w:id="364" w:name="_Toc247334847"/>
      <w:bookmarkStart w:id="365" w:name="_Toc232492934"/>
      <w:r>
        <w:rPr>
          <w:rFonts w:hint="eastAsia" w:ascii="宋体" w:hAnsi="宋体" w:cs="宋体"/>
          <w:b/>
          <w:color w:val="auto"/>
          <w:highlight w:val="none"/>
        </w:rPr>
        <w:t>合同</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rFonts w:hint="eastAsia" w:ascii="宋体" w:hAnsi="宋体" w:cs="宋体"/>
          <w:b/>
          <w:color w:val="auto"/>
          <w:highlight w:val="none"/>
        </w:rPr>
        <w:t>生效及其他</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1、合同经双方法定代表人或授权委托代理人签字并加盖单位公章后生效。</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2、合同执行中涉及采购资金和采购内容修改或补充的，须经政府采购监管部门审批，并签书面补充协议报政府采购监督管理部门备案，方可作为主合同不可分割的一部分。</w:t>
      </w:r>
    </w:p>
    <w:p>
      <w:pPr>
        <w:pStyle w:val="65"/>
        <w:spacing w:line="360" w:lineRule="auto"/>
        <w:ind w:firstLine="480"/>
        <w:rPr>
          <w:rFonts w:ascii="宋体" w:hAnsi="宋体" w:cs="宋体"/>
          <w:color w:val="auto"/>
          <w:highlight w:val="none"/>
        </w:rPr>
      </w:pPr>
      <w:r>
        <w:rPr>
          <w:rFonts w:hint="eastAsia" w:ascii="宋体" w:hAnsi="宋体" w:cs="宋体"/>
          <w:color w:val="auto"/>
          <w:highlight w:val="none"/>
        </w:rPr>
        <w:t>3、本合同一式XX份，自双方签章之日起起效。甲方XX份，乙方XX份，政府采购代理机构XX份，同级财政部门备案XX份，具有同等法律效力。</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附件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1、项目竞争性磋商文件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2、项目响应文件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3、成交通知书</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4、其他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甲方：   （盖章）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乙方：   （盖章）</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法定代表人（授权代表）：           法定代表人（授权代表）：</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地    址：                         地    址：</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开户银行：                         开户银行：</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账号：                             账号：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    话：                         电    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传    真：                         传    真：</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签约日期：XX年XX月XX日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签约日期：XX年XX月XX日</w:t>
      </w:r>
    </w:p>
    <w:p>
      <w:pPr>
        <w:pStyle w:val="156"/>
        <w:spacing w:line="360" w:lineRule="auto"/>
        <w:rPr>
          <w:rFonts w:ascii="宋体" w:hAnsi="宋体" w:cs="宋体"/>
          <w:color w:val="auto"/>
          <w:sz w:val="28"/>
          <w:szCs w:val="28"/>
          <w:highlight w:val="none"/>
        </w:rPr>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方正仿宋">
    <w:altName w:val="仿宋"/>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24</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60288" behindDoc="1" locked="0" layoutInCell="1" allowOverlap="1">
          <wp:simplePos x="0" y="0"/>
          <wp:positionH relativeFrom="column">
            <wp:posOffset>15240</wp:posOffset>
          </wp:positionH>
          <wp:positionV relativeFrom="paragraph">
            <wp:posOffset>-381000</wp:posOffset>
          </wp:positionV>
          <wp:extent cx="2762250" cy="518160"/>
          <wp:effectExtent l="0" t="0" r="0" b="1524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59264" behindDoc="1" locked="0" layoutInCell="1" allowOverlap="1">
          <wp:simplePos x="0" y="0"/>
          <wp:positionH relativeFrom="column">
            <wp:posOffset>-89535</wp:posOffset>
          </wp:positionH>
          <wp:positionV relativeFrom="paragraph">
            <wp:posOffset>-333375</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B4B3C"/>
    <w:multiLevelType w:val="singleLevel"/>
    <w:tmpl w:val="C47B4B3C"/>
    <w:lvl w:ilvl="0" w:tentative="0">
      <w:start w:val="1"/>
      <w:numFmt w:val="decimal"/>
      <w:lvlText w:val="%1、"/>
      <w:lvlJc w:val="left"/>
      <w:pPr>
        <w:tabs>
          <w:tab w:val="left" w:pos="420"/>
        </w:tabs>
        <w:ind w:left="425" w:leftChars="0" w:hanging="425" w:firstLineChars="0"/>
      </w:pPr>
      <w:rPr>
        <w:rFonts w:hint="default"/>
      </w:rPr>
    </w:lvl>
  </w:abstractNum>
  <w:abstractNum w:abstractNumId="1">
    <w:nsid w:val="E2FDC636"/>
    <w:multiLevelType w:val="singleLevel"/>
    <w:tmpl w:val="E2FDC636"/>
    <w:lvl w:ilvl="0" w:tentative="0">
      <w:start w:val="1"/>
      <w:numFmt w:val="chineseCounting"/>
      <w:suff w:val="nothing"/>
      <w:lvlText w:val="%1、"/>
      <w:lvlJc w:val="left"/>
      <w:pPr>
        <w:ind w:left="0" w:firstLine="420"/>
      </w:pPr>
      <w:rPr>
        <w:rFonts w:hint="eastAsia"/>
      </w:rPr>
    </w:lvl>
  </w:abstractNum>
  <w:abstractNum w:abstractNumId="2">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851"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931"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1843"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3">
    <w:nsid w:val="0A92227D"/>
    <w:multiLevelType w:val="multilevel"/>
    <w:tmpl w:val="0A92227D"/>
    <w:lvl w:ilvl="0" w:tentative="0">
      <w:start w:val="1"/>
      <w:numFmt w:val="bullet"/>
      <w:pStyle w:val="107"/>
      <w:lvlText w:val=""/>
      <w:lvlJc w:val="left"/>
      <w:pPr>
        <w:ind w:left="900" w:hanging="420"/>
      </w:pPr>
      <w:rPr>
        <w:rFonts w:hint="default" w:ascii="Wingdings" w:hAnsi="Wingdings"/>
      </w:rPr>
    </w:lvl>
    <w:lvl w:ilvl="1" w:tentative="0">
      <w:start w:val="1"/>
      <w:numFmt w:val="bullet"/>
      <w:pStyle w:val="106"/>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5">
    <w:nsid w:val="13A54C46"/>
    <w:multiLevelType w:val="multilevel"/>
    <w:tmpl w:val="13A54C46"/>
    <w:lvl w:ilvl="0" w:tentative="0">
      <w:start w:val="1"/>
      <w:numFmt w:val="decimal"/>
      <w:lvlText w:val="第%1章"/>
      <w:lvlJc w:val="left"/>
      <w:pPr>
        <w:tabs>
          <w:tab w:val="left" w:pos="425"/>
        </w:tabs>
        <w:ind w:left="425" w:hanging="425"/>
      </w:pPr>
      <w:rPr>
        <w:rFonts w:hint="default" w:ascii="Times New Roman" w:hAnsi="Times New Roman" w:eastAsia="宋体"/>
        <w:b/>
        <w:i w:val="0"/>
        <w:sz w:val="28"/>
        <w:szCs w:val="28"/>
      </w:rPr>
    </w:lvl>
    <w:lvl w:ilvl="1" w:tentative="0">
      <w:start w:val="1"/>
      <w:numFmt w:val="decimal"/>
      <w:lvlText w:val="%1.%2."/>
      <w:lvlJc w:val="left"/>
      <w:pPr>
        <w:tabs>
          <w:tab w:val="left" w:pos="927"/>
        </w:tabs>
        <w:ind w:left="927" w:hanging="567"/>
      </w:pPr>
      <w:rPr>
        <w:rFonts w:hint="default" w:ascii="Times New Roman" w:hAnsi="Times New Roman" w:eastAsia="宋体"/>
        <w:b/>
        <w:i w:val="0"/>
        <w:sz w:val="28"/>
        <w:szCs w:val="28"/>
      </w:rPr>
    </w:lvl>
    <w:lvl w:ilvl="2" w:tentative="0">
      <w:start w:val="1"/>
      <w:numFmt w:val="decimal"/>
      <w:lvlText w:val="%1.%2.%3."/>
      <w:lvlJc w:val="left"/>
      <w:pPr>
        <w:tabs>
          <w:tab w:val="left" w:pos="1429"/>
        </w:tabs>
        <w:ind w:left="1429" w:hanging="709"/>
      </w:pPr>
      <w:rPr>
        <w:rFonts w:hint="default" w:ascii="Times New Roman" w:hAnsi="Times New Roman" w:eastAsia="宋体"/>
        <w:b/>
        <w:i w:val="0"/>
        <w:sz w:val="28"/>
        <w:szCs w:val="28"/>
      </w:rPr>
    </w:lvl>
    <w:lvl w:ilvl="3" w:tentative="0">
      <w:start w:val="1"/>
      <w:numFmt w:val="decimal"/>
      <w:lvlText w:val="%1.1.%2.%4."/>
      <w:lvlJc w:val="left"/>
      <w:pPr>
        <w:tabs>
          <w:tab w:val="left" w:pos="2291"/>
        </w:tabs>
        <w:ind w:left="229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7"/>
      <w:lvlText w:val="%1.%2.%3.%4.%5."/>
      <w:lvlJc w:val="left"/>
      <w:pPr>
        <w:tabs>
          <w:tab w:val="left" w:pos="992"/>
        </w:tabs>
        <w:ind w:left="99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6B52FFE"/>
    <w:multiLevelType w:val="multilevel"/>
    <w:tmpl w:val="26B52FFE"/>
    <w:lvl w:ilvl="0" w:tentative="0">
      <w:start w:val="1"/>
      <w:numFmt w:val="decimal"/>
      <w:lvlText w:val="第%1章"/>
      <w:lvlJc w:val="left"/>
      <w:pPr>
        <w:ind w:left="431" w:hanging="431"/>
      </w:pPr>
      <w:rPr>
        <w:rFonts w:hint="default" w:ascii="Calibri" w:hAnsi="Calibri" w:eastAsia="黑体"/>
        <w:b/>
        <w:i w:val="0"/>
        <w:sz w:val="32"/>
      </w:rPr>
    </w:lvl>
    <w:lvl w:ilvl="1" w:tentative="0">
      <w:start w:val="1"/>
      <w:numFmt w:val="decimal"/>
      <w:pStyle w:val="71"/>
      <w:lvlText w:val="%1.%2"/>
      <w:lvlJc w:val="left"/>
      <w:pPr>
        <w:ind w:left="431" w:hanging="431"/>
      </w:pPr>
      <w:rPr>
        <w:rFonts w:hint="default" w:ascii="Calibri" w:hAnsi="Calibri" w:eastAsia="宋体"/>
        <w:b/>
        <w:i w:val="0"/>
        <w:sz w:val="28"/>
      </w:rPr>
    </w:lvl>
    <w:lvl w:ilvl="2" w:tentative="0">
      <w:start w:val="1"/>
      <w:numFmt w:val="decimal"/>
      <w:lvlText w:val="%1.%2.%3"/>
      <w:lvlJc w:val="left"/>
      <w:pPr>
        <w:ind w:left="431" w:hanging="431"/>
      </w:pPr>
      <w:rPr>
        <w:rFonts w:hint="default" w:ascii="Calibri" w:hAnsi="Calibri" w:eastAsia="宋体"/>
        <w:b/>
        <w:i w:val="0"/>
        <w:sz w:val="28"/>
      </w:rPr>
    </w:lvl>
    <w:lvl w:ilvl="3" w:tentative="0">
      <w:start w:val="1"/>
      <w:numFmt w:val="decimal"/>
      <w:isLgl/>
      <w:lvlText w:val="%1.%2.%3.%4"/>
      <w:lvlJc w:val="left"/>
      <w:pPr>
        <w:ind w:left="431" w:hanging="431"/>
      </w:pPr>
      <w:rPr>
        <w:rFonts w:hint="default" w:ascii="Calibri" w:hAnsi="Calibri" w:eastAsia="宋体"/>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8">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9">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10">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3">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4F1336D"/>
    <w:multiLevelType w:val="singleLevel"/>
    <w:tmpl w:val="54F1336D"/>
    <w:lvl w:ilvl="0" w:tentative="0">
      <w:start w:val="1"/>
      <w:numFmt w:val="decimal"/>
      <w:lvlText w:val="%1"/>
      <w:lvlJc w:val="left"/>
      <w:pPr>
        <w:tabs>
          <w:tab w:val="left" w:pos="425"/>
        </w:tabs>
        <w:ind w:left="425" w:hanging="425"/>
      </w:pPr>
      <w:rPr>
        <w:rFonts w:hint="default"/>
      </w:rPr>
    </w:lvl>
  </w:abstractNum>
  <w:abstractNum w:abstractNumId="15">
    <w:nsid w:val="5508678B"/>
    <w:multiLevelType w:val="multilevel"/>
    <w:tmpl w:val="5508678B"/>
    <w:lvl w:ilvl="0" w:tentative="0">
      <w:start w:val="1"/>
      <w:numFmt w:val="decimal"/>
      <w:pStyle w:val="6"/>
      <w:lvlText w:val="3.3.1.%1"/>
      <w:lvlJc w:val="left"/>
      <w:pPr>
        <w:ind w:left="1130" w:hanging="420"/>
      </w:pPr>
      <w:rPr>
        <w:rFonts w:hint="default" w:ascii="Times New Roman" w:hAnsi="Times New Roman" w:cs="Times New Roman"/>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6">
    <w:nsid w:val="58E489F3"/>
    <w:multiLevelType w:val="singleLevel"/>
    <w:tmpl w:val="58E489F3"/>
    <w:lvl w:ilvl="0" w:tentative="0">
      <w:start w:val="1"/>
      <w:numFmt w:val="chineseCounting"/>
      <w:suff w:val="nothing"/>
      <w:lvlText w:val="%1、"/>
      <w:lvlJc w:val="left"/>
      <w:pPr>
        <w:ind w:left="0" w:firstLine="420"/>
      </w:pPr>
      <w:rPr>
        <w:rFonts w:hint="eastAsia"/>
      </w:rPr>
    </w:lvl>
  </w:abstractNum>
  <w:abstractNum w:abstractNumId="17">
    <w:nsid w:val="58E48AF3"/>
    <w:multiLevelType w:val="singleLevel"/>
    <w:tmpl w:val="58E48AF3"/>
    <w:lvl w:ilvl="0" w:tentative="0">
      <w:start w:val="1"/>
      <w:numFmt w:val="chineseCounting"/>
      <w:suff w:val="nothing"/>
      <w:lvlText w:val="%1、"/>
      <w:lvlJc w:val="left"/>
      <w:pPr>
        <w:ind w:left="0" w:firstLine="420"/>
      </w:pPr>
      <w:rPr>
        <w:rFonts w:hint="eastAsia"/>
      </w:rPr>
    </w:lvl>
  </w:abstractNum>
  <w:abstractNum w:abstractNumId="18">
    <w:nsid w:val="58E48E05"/>
    <w:multiLevelType w:val="singleLevel"/>
    <w:tmpl w:val="58E48E05"/>
    <w:lvl w:ilvl="0" w:tentative="0">
      <w:start w:val="1"/>
      <w:numFmt w:val="chineseCounting"/>
      <w:suff w:val="nothing"/>
      <w:lvlText w:val="%1、"/>
      <w:lvlJc w:val="left"/>
      <w:pPr>
        <w:ind w:left="0" w:firstLine="420"/>
      </w:pPr>
      <w:rPr>
        <w:rFonts w:hint="eastAsia"/>
      </w:rPr>
    </w:lvl>
  </w:abstractNum>
  <w:abstractNum w:abstractNumId="19">
    <w:nsid w:val="58E71217"/>
    <w:multiLevelType w:val="singleLevel"/>
    <w:tmpl w:val="58E71217"/>
    <w:lvl w:ilvl="0" w:tentative="0">
      <w:start w:val="1"/>
      <w:numFmt w:val="chineseCounting"/>
      <w:suff w:val="nothing"/>
      <w:lvlText w:val="%1、"/>
      <w:lvlJc w:val="left"/>
      <w:pPr>
        <w:ind w:left="0" w:firstLine="420"/>
      </w:pPr>
      <w:rPr>
        <w:rFonts w:hint="eastAsia"/>
      </w:rPr>
    </w:lvl>
  </w:abstractNum>
  <w:abstractNum w:abstractNumId="20">
    <w:nsid w:val="58E72D27"/>
    <w:multiLevelType w:val="singleLevel"/>
    <w:tmpl w:val="58E72D27"/>
    <w:lvl w:ilvl="0" w:tentative="0">
      <w:start w:val="1"/>
      <w:numFmt w:val="decimal"/>
      <w:lvlText w:val="%1."/>
      <w:lvlJc w:val="left"/>
      <w:pPr>
        <w:ind w:left="425" w:hanging="425"/>
      </w:pPr>
      <w:rPr>
        <w:rFonts w:hint="default"/>
      </w:rPr>
    </w:lvl>
  </w:abstractNum>
  <w:abstractNum w:abstractNumId="21">
    <w:nsid w:val="58F5EE34"/>
    <w:multiLevelType w:val="singleLevel"/>
    <w:tmpl w:val="58F5EE34"/>
    <w:lvl w:ilvl="0" w:tentative="0">
      <w:start w:val="3"/>
      <w:numFmt w:val="chineseCounting"/>
      <w:suff w:val="nothing"/>
      <w:lvlText w:val="%1、"/>
      <w:lvlJc w:val="left"/>
    </w:lvl>
  </w:abstractNum>
  <w:abstractNum w:abstractNumId="22">
    <w:nsid w:val="59DEF6EB"/>
    <w:multiLevelType w:val="singleLevel"/>
    <w:tmpl w:val="59DEF6EB"/>
    <w:lvl w:ilvl="0" w:tentative="0">
      <w:start w:val="1"/>
      <w:numFmt w:val="chineseCounting"/>
      <w:suff w:val="nothing"/>
      <w:lvlText w:val="%1、"/>
      <w:lvlJc w:val="left"/>
    </w:lvl>
  </w:abstractNum>
  <w:abstractNum w:abstractNumId="23">
    <w:nsid w:val="5A1BBB23"/>
    <w:multiLevelType w:val="singleLevel"/>
    <w:tmpl w:val="5A1BBB23"/>
    <w:lvl w:ilvl="0" w:tentative="0">
      <w:start w:val="1"/>
      <w:numFmt w:val="chineseCounting"/>
      <w:suff w:val="nothing"/>
      <w:lvlText w:val="（%1）"/>
      <w:lvlJc w:val="left"/>
    </w:lvl>
  </w:abstractNum>
  <w:abstractNum w:abstractNumId="24">
    <w:nsid w:val="5A1BCDD6"/>
    <w:multiLevelType w:val="singleLevel"/>
    <w:tmpl w:val="5A1BCDD6"/>
    <w:lvl w:ilvl="0" w:tentative="0">
      <w:start w:val="1"/>
      <w:numFmt w:val="chineseCounting"/>
      <w:suff w:val="nothing"/>
      <w:lvlText w:val="%1、"/>
      <w:lvlJc w:val="left"/>
      <w:pPr>
        <w:ind w:left="0" w:firstLine="420"/>
      </w:pPr>
      <w:rPr>
        <w:rFonts w:hint="eastAsia"/>
      </w:rPr>
    </w:lvl>
  </w:abstractNum>
  <w:abstractNum w:abstractNumId="25">
    <w:nsid w:val="5A1BCF5D"/>
    <w:multiLevelType w:val="singleLevel"/>
    <w:tmpl w:val="5A1BCF5D"/>
    <w:lvl w:ilvl="0" w:tentative="0">
      <w:start w:val="1"/>
      <w:numFmt w:val="decimal"/>
      <w:suff w:val="nothing"/>
      <w:lvlText w:val="%1、"/>
      <w:lvlJc w:val="left"/>
    </w:lvl>
  </w:abstractNum>
  <w:abstractNum w:abstractNumId="26">
    <w:nsid w:val="5A1D1E6C"/>
    <w:multiLevelType w:val="singleLevel"/>
    <w:tmpl w:val="5A1D1E6C"/>
    <w:lvl w:ilvl="0" w:tentative="0">
      <w:start w:val="1"/>
      <w:numFmt w:val="chineseCounting"/>
      <w:suff w:val="nothing"/>
      <w:lvlText w:val="%1、"/>
      <w:lvlJc w:val="left"/>
      <w:pPr>
        <w:ind w:left="0" w:firstLine="420"/>
      </w:pPr>
      <w:rPr>
        <w:rFonts w:hint="eastAsia"/>
      </w:rPr>
    </w:lvl>
  </w:abstractNum>
  <w:abstractNum w:abstractNumId="27">
    <w:nsid w:val="5A1FABBC"/>
    <w:multiLevelType w:val="singleLevel"/>
    <w:tmpl w:val="5A1FABBC"/>
    <w:lvl w:ilvl="0" w:tentative="0">
      <w:start w:val="1"/>
      <w:numFmt w:val="chineseCounting"/>
      <w:suff w:val="nothing"/>
      <w:lvlText w:val="%1、"/>
      <w:lvlJc w:val="left"/>
      <w:pPr>
        <w:ind w:left="0" w:firstLine="420"/>
      </w:pPr>
      <w:rPr>
        <w:rFonts w:hint="eastAsia"/>
      </w:rPr>
    </w:lvl>
  </w:abstractNum>
  <w:abstractNum w:abstractNumId="28">
    <w:nsid w:val="5A1FB4C1"/>
    <w:multiLevelType w:val="singleLevel"/>
    <w:tmpl w:val="5A1FB4C1"/>
    <w:lvl w:ilvl="0" w:tentative="0">
      <w:start w:val="1"/>
      <w:numFmt w:val="chineseCounting"/>
      <w:suff w:val="nothing"/>
      <w:lvlText w:val="%1、"/>
      <w:lvlJc w:val="left"/>
      <w:pPr>
        <w:ind w:left="0" w:firstLine="420"/>
      </w:pPr>
      <w:rPr>
        <w:rFonts w:hint="eastAsia"/>
      </w:rPr>
    </w:lvl>
  </w:abstractNum>
  <w:abstractNum w:abstractNumId="29">
    <w:nsid w:val="5A1FB537"/>
    <w:multiLevelType w:val="singleLevel"/>
    <w:tmpl w:val="5A1FB537"/>
    <w:lvl w:ilvl="0" w:tentative="0">
      <w:start w:val="1"/>
      <w:numFmt w:val="decimal"/>
      <w:suff w:val="nothing"/>
      <w:lvlText w:val="%1、"/>
      <w:lvlJc w:val="left"/>
    </w:lvl>
  </w:abstractNum>
  <w:abstractNum w:abstractNumId="30">
    <w:nsid w:val="5A1FB623"/>
    <w:multiLevelType w:val="singleLevel"/>
    <w:tmpl w:val="5A1FB623"/>
    <w:lvl w:ilvl="0" w:tentative="0">
      <w:start w:val="1"/>
      <w:numFmt w:val="chineseCounting"/>
      <w:suff w:val="nothing"/>
      <w:lvlText w:val="%1、"/>
      <w:lvlJc w:val="left"/>
      <w:pPr>
        <w:ind w:left="0" w:firstLine="420"/>
      </w:pPr>
      <w:rPr>
        <w:rFonts w:hint="eastAsia"/>
      </w:rPr>
    </w:lvl>
  </w:abstractNum>
  <w:abstractNum w:abstractNumId="31">
    <w:nsid w:val="5A1FB64C"/>
    <w:multiLevelType w:val="singleLevel"/>
    <w:tmpl w:val="5A1FB64C"/>
    <w:lvl w:ilvl="0" w:tentative="0">
      <w:start w:val="1"/>
      <w:numFmt w:val="chineseCounting"/>
      <w:suff w:val="nothing"/>
      <w:lvlText w:val="%1、"/>
      <w:lvlJc w:val="left"/>
      <w:pPr>
        <w:ind w:left="0" w:firstLine="420"/>
      </w:pPr>
      <w:rPr>
        <w:rFonts w:hint="eastAsia"/>
      </w:rPr>
    </w:lvl>
  </w:abstractNum>
  <w:abstractNum w:abstractNumId="32">
    <w:nsid w:val="5A1FB65C"/>
    <w:multiLevelType w:val="singleLevel"/>
    <w:tmpl w:val="5A1FB65C"/>
    <w:lvl w:ilvl="0" w:tentative="0">
      <w:start w:val="1"/>
      <w:numFmt w:val="chineseCounting"/>
      <w:suff w:val="nothing"/>
      <w:lvlText w:val="%1、"/>
      <w:lvlJc w:val="left"/>
      <w:pPr>
        <w:ind w:left="0" w:firstLine="420"/>
      </w:pPr>
      <w:rPr>
        <w:rFonts w:hint="eastAsia"/>
      </w:rPr>
    </w:lvl>
  </w:abstractNum>
  <w:abstractNum w:abstractNumId="33">
    <w:nsid w:val="5A1FB66B"/>
    <w:multiLevelType w:val="singleLevel"/>
    <w:tmpl w:val="5A1FB66B"/>
    <w:lvl w:ilvl="0" w:tentative="0">
      <w:start w:val="1"/>
      <w:numFmt w:val="chineseCounting"/>
      <w:suff w:val="nothing"/>
      <w:lvlText w:val="%1、"/>
      <w:lvlJc w:val="left"/>
      <w:pPr>
        <w:ind w:left="0" w:firstLine="420"/>
      </w:pPr>
      <w:rPr>
        <w:rFonts w:hint="eastAsia"/>
      </w:rPr>
    </w:lvl>
  </w:abstractNum>
  <w:abstractNum w:abstractNumId="34">
    <w:nsid w:val="5A1FB67A"/>
    <w:multiLevelType w:val="singleLevel"/>
    <w:tmpl w:val="5A1FB67A"/>
    <w:lvl w:ilvl="0" w:tentative="0">
      <w:start w:val="1"/>
      <w:numFmt w:val="chineseCounting"/>
      <w:suff w:val="nothing"/>
      <w:lvlText w:val="%1、"/>
      <w:lvlJc w:val="left"/>
      <w:pPr>
        <w:ind w:left="0" w:firstLine="420"/>
      </w:pPr>
      <w:rPr>
        <w:rFonts w:hint="eastAsia"/>
      </w:rPr>
    </w:lvl>
  </w:abstractNum>
  <w:abstractNum w:abstractNumId="35">
    <w:nsid w:val="5A20FF5A"/>
    <w:multiLevelType w:val="singleLevel"/>
    <w:tmpl w:val="5A20FF5A"/>
    <w:lvl w:ilvl="0" w:tentative="0">
      <w:start w:val="1"/>
      <w:numFmt w:val="chineseCounting"/>
      <w:suff w:val="nothing"/>
      <w:lvlText w:val="%1、"/>
      <w:lvlJc w:val="left"/>
      <w:pPr>
        <w:ind w:left="0" w:firstLine="420"/>
      </w:pPr>
      <w:rPr>
        <w:rFonts w:hint="eastAsia"/>
      </w:rPr>
    </w:lvl>
  </w:abstractNum>
  <w:abstractNum w:abstractNumId="36">
    <w:nsid w:val="5A20FFFE"/>
    <w:multiLevelType w:val="singleLevel"/>
    <w:tmpl w:val="5A20FFFE"/>
    <w:lvl w:ilvl="0" w:tentative="0">
      <w:start w:val="1"/>
      <w:numFmt w:val="chineseCounting"/>
      <w:suff w:val="nothing"/>
      <w:lvlText w:val="%1、"/>
      <w:lvlJc w:val="left"/>
      <w:pPr>
        <w:ind w:left="0" w:firstLine="420"/>
      </w:pPr>
      <w:rPr>
        <w:rFonts w:hint="eastAsia"/>
      </w:rPr>
    </w:lvl>
  </w:abstractNum>
  <w:abstractNum w:abstractNumId="37">
    <w:nsid w:val="5A21000D"/>
    <w:multiLevelType w:val="singleLevel"/>
    <w:tmpl w:val="5A21000D"/>
    <w:lvl w:ilvl="0" w:tentative="0">
      <w:start w:val="1"/>
      <w:numFmt w:val="chineseCounting"/>
      <w:suff w:val="nothing"/>
      <w:lvlText w:val="%1、"/>
      <w:lvlJc w:val="left"/>
      <w:pPr>
        <w:ind w:left="0" w:firstLine="420"/>
      </w:pPr>
      <w:rPr>
        <w:rFonts w:hint="eastAsia"/>
      </w:rPr>
    </w:lvl>
  </w:abstractNum>
  <w:abstractNum w:abstractNumId="38">
    <w:nsid w:val="5A210054"/>
    <w:multiLevelType w:val="singleLevel"/>
    <w:tmpl w:val="5A210054"/>
    <w:lvl w:ilvl="0" w:tentative="0">
      <w:start w:val="1"/>
      <w:numFmt w:val="chineseCounting"/>
      <w:suff w:val="nothing"/>
      <w:lvlText w:val="%1、"/>
      <w:lvlJc w:val="left"/>
      <w:pPr>
        <w:ind w:left="0" w:firstLine="420"/>
      </w:pPr>
      <w:rPr>
        <w:rFonts w:hint="eastAsia"/>
      </w:rPr>
    </w:lvl>
  </w:abstractNum>
  <w:abstractNum w:abstractNumId="39">
    <w:nsid w:val="5A24DE94"/>
    <w:multiLevelType w:val="singleLevel"/>
    <w:tmpl w:val="5A24DE94"/>
    <w:lvl w:ilvl="0" w:tentative="0">
      <w:start w:val="1"/>
      <w:numFmt w:val="chineseCounting"/>
      <w:suff w:val="nothing"/>
      <w:lvlText w:val="%1、"/>
      <w:lvlJc w:val="left"/>
      <w:pPr>
        <w:ind w:left="0" w:firstLine="420"/>
      </w:pPr>
      <w:rPr>
        <w:rFonts w:hint="eastAsia"/>
      </w:rPr>
    </w:lvl>
  </w:abstractNum>
  <w:abstractNum w:abstractNumId="40">
    <w:nsid w:val="5A24DEAD"/>
    <w:multiLevelType w:val="singleLevel"/>
    <w:tmpl w:val="5A24DEAD"/>
    <w:lvl w:ilvl="0" w:tentative="0">
      <w:start w:val="1"/>
      <w:numFmt w:val="chineseCounting"/>
      <w:suff w:val="nothing"/>
      <w:lvlText w:val="%1、"/>
      <w:lvlJc w:val="left"/>
      <w:pPr>
        <w:ind w:left="0" w:firstLine="420"/>
      </w:pPr>
      <w:rPr>
        <w:rFonts w:hint="eastAsia"/>
      </w:rPr>
    </w:lvl>
  </w:abstractNum>
  <w:abstractNum w:abstractNumId="41">
    <w:nsid w:val="5A24ED39"/>
    <w:multiLevelType w:val="singleLevel"/>
    <w:tmpl w:val="5A24ED39"/>
    <w:lvl w:ilvl="0" w:tentative="0">
      <w:start w:val="1"/>
      <w:numFmt w:val="chineseCounting"/>
      <w:suff w:val="nothing"/>
      <w:lvlText w:val="%1、"/>
      <w:lvlJc w:val="left"/>
      <w:pPr>
        <w:ind w:left="0" w:firstLine="420"/>
      </w:pPr>
      <w:rPr>
        <w:rFonts w:hint="eastAsia"/>
      </w:rPr>
    </w:lvl>
  </w:abstractNum>
  <w:abstractNum w:abstractNumId="42">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43">
    <w:nsid w:val="638064AA"/>
    <w:multiLevelType w:val="multilevel"/>
    <w:tmpl w:val="638064AA"/>
    <w:lvl w:ilvl="0" w:tentative="0">
      <w:start w:val="1"/>
      <w:numFmt w:val="japaneseCounting"/>
      <w:lvlText w:val="%1、"/>
      <w:lvlJc w:val="left"/>
      <w:pPr>
        <w:ind w:left="1856" w:hanging="1005"/>
      </w:pPr>
      <w:rPr>
        <w:rFonts w:hint="default"/>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4">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45">
    <w:nsid w:val="6FCB37F9"/>
    <w:multiLevelType w:val="singleLevel"/>
    <w:tmpl w:val="6FCB37F9"/>
    <w:lvl w:ilvl="0" w:tentative="0">
      <w:start w:val="1"/>
      <w:numFmt w:val="decimal"/>
      <w:suff w:val="nothing"/>
      <w:lvlText w:val="%1、"/>
      <w:lvlJc w:val="left"/>
    </w:lvl>
  </w:abstractNum>
  <w:abstractNum w:abstractNumId="46">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7">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2"/>
  </w:num>
  <w:num w:numId="2">
    <w:abstractNumId w:val="15"/>
  </w:num>
  <w:num w:numId="3">
    <w:abstractNumId w:val="5"/>
  </w:num>
  <w:num w:numId="4">
    <w:abstractNumId w:val="7"/>
  </w:num>
  <w:num w:numId="5">
    <w:abstractNumId w:val="3"/>
  </w:num>
  <w:num w:numId="6">
    <w:abstractNumId w:val="8"/>
  </w:num>
  <w:num w:numId="7">
    <w:abstractNumId w:val="13"/>
  </w:num>
  <w:num w:numId="8">
    <w:abstractNumId w:val="0"/>
  </w:num>
  <w:num w:numId="9">
    <w:abstractNumId w:val="45"/>
  </w:num>
  <w:num w:numId="10">
    <w:abstractNumId w:val="14"/>
  </w:num>
  <w:num w:numId="11">
    <w:abstractNumId w:val="23"/>
  </w:num>
  <w:num w:numId="12">
    <w:abstractNumId w:val="16"/>
  </w:num>
  <w:num w:numId="13">
    <w:abstractNumId w:val="17"/>
  </w:num>
  <w:num w:numId="14">
    <w:abstractNumId w:val="18"/>
  </w:num>
  <w:num w:numId="15">
    <w:abstractNumId w:val="26"/>
  </w:num>
  <w:num w:numId="16">
    <w:abstractNumId w:val="19"/>
  </w:num>
  <w:num w:numId="17">
    <w:abstractNumId w:val="36"/>
  </w:num>
  <w:num w:numId="18">
    <w:abstractNumId w:val="37"/>
  </w:num>
  <w:num w:numId="19">
    <w:abstractNumId w:val="35"/>
  </w:num>
  <w:num w:numId="20">
    <w:abstractNumId w:val="47"/>
  </w:num>
  <w:num w:numId="21">
    <w:abstractNumId w:val="12"/>
  </w:num>
  <w:num w:numId="22">
    <w:abstractNumId w:val="42"/>
  </w:num>
  <w:num w:numId="23">
    <w:abstractNumId w:val="24"/>
  </w:num>
  <w:num w:numId="24">
    <w:abstractNumId w:val="27"/>
  </w:num>
  <w:num w:numId="25">
    <w:abstractNumId w:val="25"/>
  </w:num>
  <w:num w:numId="26">
    <w:abstractNumId w:val="39"/>
  </w:num>
  <w:num w:numId="27">
    <w:abstractNumId w:val="40"/>
  </w:num>
  <w:num w:numId="28">
    <w:abstractNumId w:val="41"/>
  </w:num>
  <w:num w:numId="29">
    <w:abstractNumId w:val="1"/>
  </w:num>
  <w:num w:numId="30">
    <w:abstractNumId w:val="21"/>
  </w:num>
  <w:num w:numId="31">
    <w:abstractNumId w:val="28"/>
  </w:num>
  <w:num w:numId="32">
    <w:abstractNumId w:val="4"/>
  </w:num>
  <w:num w:numId="33">
    <w:abstractNumId w:val="29"/>
  </w:num>
  <w:num w:numId="34">
    <w:abstractNumId w:val="43"/>
  </w:num>
  <w:num w:numId="35">
    <w:abstractNumId w:val="30"/>
  </w:num>
  <w:num w:numId="36">
    <w:abstractNumId w:val="38"/>
  </w:num>
  <w:num w:numId="37">
    <w:abstractNumId w:val="31"/>
  </w:num>
  <w:num w:numId="38">
    <w:abstractNumId w:val="32"/>
  </w:num>
  <w:num w:numId="39">
    <w:abstractNumId w:val="33"/>
  </w:num>
  <w:num w:numId="40">
    <w:abstractNumId w:val="34"/>
  </w:num>
  <w:num w:numId="41">
    <w:abstractNumId w:val="44"/>
  </w:num>
  <w:num w:numId="42">
    <w:abstractNumId w:val="20"/>
  </w:num>
  <w:num w:numId="43">
    <w:abstractNumId w:val="10"/>
  </w:num>
  <w:num w:numId="44">
    <w:abstractNumId w:val="46"/>
  </w:num>
  <w:num w:numId="45">
    <w:abstractNumId w:val="22"/>
  </w:num>
  <w:num w:numId="46">
    <w:abstractNumId w:val="11"/>
  </w:num>
  <w:num w:numId="47">
    <w:abstractNumId w:val="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C7"/>
    <w:rsid w:val="00002748"/>
    <w:rsid w:val="00004585"/>
    <w:rsid w:val="00004BD0"/>
    <w:rsid w:val="00006B5C"/>
    <w:rsid w:val="00014FAA"/>
    <w:rsid w:val="0002765F"/>
    <w:rsid w:val="00040AD5"/>
    <w:rsid w:val="00045BA4"/>
    <w:rsid w:val="00055169"/>
    <w:rsid w:val="00055794"/>
    <w:rsid w:val="00061C52"/>
    <w:rsid w:val="000667CF"/>
    <w:rsid w:val="00074CEE"/>
    <w:rsid w:val="00091DFD"/>
    <w:rsid w:val="000B3A9C"/>
    <w:rsid w:val="000B671D"/>
    <w:rsid w:val="000E0745"/>
    <w:rsid w:val="000E1553"/>
    <w:rsid w:val="000E7192"/>
    <w:rsid w:val="000E7F25"/>
    <w:rsid w:val="000F7803"/>
    <w:rsid w:val="0010136F"/>
    <w:rsid w:val="00112BCD"/>
    <w:rsid w:val="0011369B"/>
    <w:rsid w:val="001165EE"/>
    <w:rsid w:val="00122D9F"/>
    <w:rsid w:val="001402DF"/>
    <w:rsid w:val="00140A43"/>
    <w:rsid w:val="00144C1E"/>
    <w:rsid w:val="00145390"/>
    <w:rsid w:val="00161422"/>
    <w:rsid w:val="00167521"/>
    <w:rsid w:val="00171DB1"/>
    <w:rsid w:val="001847C2"/>
    <w:rsid w:val="00192D34"/>
    <w:rsid w:val="00194F3B"/>
    <w:rsid w:val="001A0D37"/>
    <w:rsid w:val="001A5BC7"/>
    <w:rsid w:val="001D6EF5"/>
    <w:rsid w:val="001D7496"/>
    <w:rsid w:val="001D7BB7"/>
    <w:rsid w:val="001E0F23"/>
    <w:rsid w:val="001E13DC"/>
    <w:rsid w:val="00200FD2"/>
    <w:rsid w:val="0020432F"/>
    <w:rsid w:val="002151C1"/>
    <w:rsid w:val="0021656D"/>
    <w:rsid w:val="002235C3"/>
    <w:rsid w:val="00231A2B"/>
    <w:rsid w:val="00234F4B"/>
    <w:rsid w:val="002463D4"/>
    <w:rsid w:val="00246D30"/>
    <w:rsid w:val="00265554"/>
    <w:rsid w:val="002842EC"/>
    <w:rsid w:val="00291CD8"/>
    <w:rsid w:val="00296751"/>
    <w:rsid w:val="002976E9"/>
    <w:rsid w:val="002977C4"/>
    <w:rsid w:val="002B4F71"/>
    <w:rsid w:val="002B62F9"/>
    <w:rsid w:val="002C08EC"/>
    <w:rsid w:val="002C199F"/>
    <w:rsid w:val="002D6267"/>
    <w:rsid w:val="002E4181"/>
    <w:rsid w:val="002F0EE6"/>
    <w:rsid w:val="00314467"/>
    <w:rsid w:val="003160AF"/>
    <w:rsid w:val="003178B1"/>
    <w:rsid w:val="00325380"/>
    <w:rsid w:val="00333938"/>
    <w:rsid w:val="0033632F"/>
    <w:rsid w:val="00346C55"/>
    <w:rsid w:val="0034767F"/>
    <w:rsid w:val="00362298"/>
    <w:rsid w:val="003774FC"/>
    <w:rsid w:val="003965F5"/>
    <w:rsid w:val="003A2987"/>
    <w:rsid w:val="003C0D43"/>
    <w:rsid w:val="003D21FA"/>
    <w:rsid w:val="003F245B"/>
    <w:rsid w:val="003F6399"/>
    <w:rsid w:val="004052A3"/>
    <w:rsid w:val="00412C46"/>
    <w:rsid w:val="00417DAE"/>
    <w:rsid w:val="0042473C"/>
    <w:rsid w:val="00443511"/>
    <w:rsid w:val="00451774"/>
    <w:rsid w:val="00456454"/>
    <w:rsid w:val="004677C1"/>
    <w:rsid w:val="00481600"/>
    <w:rsid w:val="00481B9F"/>
    <w:rsid w:val="00487980"/>
    <w:rsid w:val="0049319D"/>
    <w:rsid w:val="0049678F"/>
    <w:rsid w:val="004B7B6D"/>
    <w:rsid w:val="004D1306"/>
    <w:rsid w:val="004D6148"/>
    <w:rsid w:val="004D7F93"/>
    <w:rsid w:val="004F5223"/>
    <w:rsid w:val="005258C8"/>
    <w:rsid w:val="00527C02"/>
    <w:rsid w:val="0053109F"/>
    <w:rsid w:val="0053366A"/>
    <w:rsid w:val="00541B0A"/>
    <w:rsid w:val="00562E5A"/>
    <w:rsid w:val="00585331"/>
    <w:rsid w:val="0059459B"/>
    <w:rsid w:val="005A1F7A"/>
    <w:rsid w:val="005B13D8"/>
    <w:rsid w:val="005C208D"/>
    <w:rsid w:val="005C44A8"/>
    <w:rsid w:val="005D3BEF"/>
    <w:rsid w:val="005D7CC8"/>
    <w:rsid w:val="005E60E9"/>
    <w:rsid w:val="005E6160"/>
    <w:rsid w:val="00612D54"/>
    <w:rsid w:val="00616A25"/>
    <w:rsid w:val="00617899"/>
    <w:rsid w:val="00617E86"/>
    <w:rsid w:val="006346E7"/>
    <w:rsid w:val="0063536B"/>
    <w:rsid w:val="00635629"/>
    <w:rsid w:val="006369E6"/>
    <w:rsid w:val="006379BE"/>
    <w:rsid w:val="00646AB5"/>
    <w:rsid w:val="0064771F"/>
    <w:rsid w:val="006554E9"/>
    <w:rsid w:val="00665045"/>
    <w:rsid w:val="006707FF"/>
    <w:rsid w:val="006718A4"/>
    <w:rsid w:val="00675834"/>
    <w:rsid w:val="006A100D"/>
    <w:rsid w:val="006A1CF2"/>
    <w:rsid w:val="006A7C93"/>
    <w:rsid w:val="006B2875"/>
    <w:rsid w:val="006B7283"/>
    <w:rsid w:val="006C497A"/>
    <w:rsid w:val="006D3BC6"/>
    <w:rsid w:val="006D7CE4"/>
    <w:rsid w:val="006E2540"/>
    <w:rsid w:val="006F28EE"/>
    <w:rsid w:val="006F4563"/>
    <w:rsid w:val="006F5B18"/>
    <w:rsid w:val="007039EC"/>
    <w:rsid w:val="007056A7"/>
    <w:rsid w:val="007106B2"/>
    <w:rsid w:val="00710EDE"/>
    <w:rsid w:val="007235B7"/>
    <w:rsid w:val="00730040"/>
    <w:rsid w:val="007325EA"/>
    <w:rsid w:val="00751DFF"/>
    <w:rsid w:val="007846F4"/>
    <w:rsid w:val="0078703D"/>
    <w:rsid w:val="0079001F"/>
    <w:rsid w:val="007B1013"/>
    <w:rsid w:val="007B4B1E"/>
    <w:rsid w:val="007C2288"/>
    <w:rsid w:val="007D5DE8"/>
    <w:rsid w:val="007E68A7"/>
    <w:rsid w:val="007F2D8E"/>
    <w:rsid w:val="00803ED4"/>
    <w:rsid w:val="00811D71"/>
    <w:rsid w:val="00822132"/>
    <w:rsid w:val="00825D2B"/>
    <w:rsid w:val="00847726"/>
    <w:rsid w:val="00862D41"/>
    <w:rsid w:val="00884C87"/>
    <w:rsid w:val="008908F9"/>
    <w:rsid w:val="0089342A"/>
    <w:rsid w:val="0089421E"/>
    <w:rsid w:val="008965DA"/>
    <w:rsid w:val="00896E9D"/>
    <w:rsid w:val="008A0786"/>
    <w:rsid w:val="008C1543"/>
    <w:rsid w:val="008C33B6"/>
    <w:rsid w:val="00923BE0"/>
    <w:rsid w:val="009444D2"/>
    <w:rsid w:val="0095488E"/>
    <w:rsid w:val="009579E0"/>
    <w:rsid w:val="0096206A"/>
    <w:rsid w:val="00965A80"/>
    <w:rsid w:val="00975A9C"/>
    <w:rsid w:val="009806C5"/>
    <w:rsid w:val="0098128A"/>
    <w:rsid w:val="009A02F7"/>
    <w:rsid w:val="009A0B51"/>
    <w:rsid w:val="009C245C"/>
    <w:rsid w:val="009D11CA"/>
    <w:rsid w:val="009E4AB2"/>
    <w:rsid w:val="009F32B0"/>
    <w:rsid w:val="00A20EC6"/>
    <w:rsid w:val="00A37269"/>
    <w:rsid w:val="00A6184A"/>
    <w:rsid w:val="00A64782"/>
    <w:rsid w:val="00A83343"/>
    <w:rsid w:val="00A83E16"/>
    <w:rsid w:val="00A8583B"/>
    <w:rsid w:val="00A94952"/>
    <w:rsid w:val="00AA37F4"/>
    <w:rsid w:val="00AA441A"/>
    <w:rsid w:val="00AA60D9"/>
    <w:rsid w:val="00AA6897"/>
    <w:rsid w:val="00AB353A"/>
    <w:rsid w:val="00AB37D7"/>
    <w:rsid w:val="00AB5750"/>
    <w:rsid w:val="00AC12CA"/>
    <w:rsid w:val="00AC4A8C"/>
    <w:rsid w:val="00AD387B"/>
    <w:rsid w:val="00AD4678"/>
    <w:rsid w:val="00B06F60"/>
    <w:rsid w:val="00B1744C"/>
    <w:rsid w:val="00B332B5"/>
    <w:rsid w:val="00B42AC7"/>
    <w:rsid w:val="00B43923"/>
    <w:rsid w:val="00B50417"/>
    <w:rsid w:val="00B51787"/>
    <w:rsid w:val="00B66ACE"/>
    <w:rsid w:val="00B85969"/>
    <w:rsid w:val="00B93DCC"/>
    <w:rsid w:val="00BA7681"/>
    <w:rsid w:val="00BB18AA"/>
    <w:rsid w:val="00BB41F8"/>
    <w:rsid w:val="00BB6E37"/>
    <w:rsid w:val="00BC761C"/>
    <w:rsid w:val="00BD3F8E"/>
    <w:rsid w:val="00BD7280"/>
    <w:rsid w:val="00BD7E5E"/>
    <w:rsid w:val="00BE55B2"/>
    <w:rsid w:val="00BF4EEA"/>
    <w:rsid w:val="00BF7D28"/>
    <w:rsid w:val="00C05A55"/>
    <w:rsid w:val="00C05DE7"/>
    <w:rsid w:val="00C25DEC"/>
    <w:rsid w:val="00C42CBD"/>
    <w:rsid w:val="00C513B5"/>
    <w:rsid w:val="00C51BCF"/>
    <w:rsid w:val="00C73556"/>
    <w:rsid w:val="00C756AA"/>
    <w:rsid w:val="00C92C9A"/>
    <w:rsid w:val="00C9346E"/>
    <w:rsid w:val="00CA10EC"/>
    <w:rsid w:val="00CA50B8"/>
    <w:rsid w:val="00CB5F33"/>
    <w:rsid w:val="00CC74E6"/>
    <w:rsid w:val="00CE61A7"/>
    <w:rsid w:val="00CE6C18"/>
    <w:rsid w:val="00CF1FCF"/>
    <w:rsid w:val="00D0771C"/>
    <w:rsid w:val="00D17C6A"/>
    <w:rsid w:val="00D20864"/>
    <w:rsid w:val="00D230B1"/>
    <w:rsid w:val="00D31A2B"/>
    <w:rsid w:val="00D45E18"/>
    <w:rsid w:val="00D46DD1"/>
    <w:rsid w:val="00D53107"/>
    <w:rsid w:val="00D551C2"/>
    <w:rsid w:val="00D674C5"/>
    <w:rsid w:val="00D959B9"/>
    <w:rsid w:val="00DA1159"/>
    <w:rsid w:val="00DA2B5A"/>
    <w:rsid w:val="00DA5842"/>
    <w:rsid w:val="00DB1DDB"/>
    <w:rsid w:val="00DB2FC7"/>
    <w:rsid w:val="00DB4D26"/>
    <w:rsid w:val="00DB776D"/>
    <w:rsid w:val="00DC4BDB"/>
    <w:rsid w:val="00DD1848"/>
    <w:rsid w:val="00DE1376"/>
    <w:rsid w:val="00DE1E9C"/>
    <w:rsid w:val="00DE2646"/>
    <w:rsid w:val="00DE44B6"/>
    <w:rsid w:val="00E054A0"/>
    <w:rsid w:val="00E15047"/>
    <w:rsid w:val="00E21194"/>
    <w:rsid w:val="00E221A5"/>
    <w:rsid w:val="00E24E35"/>
    <w:rsid w:val="00E25F3C"/>
    <w:rsid w:val="00E46330"/>
    <w:rsid w:val="00E608E9"/>
    <w:rsid w:val="00E62CF2"/>
    <w:rsid w:val="00E64704"/>
    <w:rsid w:val="00E856A1"/>
    <w:rsid w:val="00E86A48"/>
    <w:rsid w:val="00EA17C7"/>
    <w:rsid w:val="00EA3AE1"/>
    <w:rsid w:val="00EF00A2"/>
    <w:rsid w:val="00EF1BEE"/>
    <w:rsid w:val="00EF6B1F"/>
    <w:rsid w:val="00F0212D"/>
    <w:rsid w:val="00F0400D"/>
    <w:rsid w:val="00F1182F"/>
    <w:rsid w:val="00F136D3"/>
    <w:rsid w:val="00F207F2"/>
    <w:rsid w:val="00F216E3"/>
    <w:rsid w:val="00F4137D"/>
    <w:rsid w:val="00F415D5"/>
    <w:rsid w:val="00F4400B"/>
    <w:rsid w:val="00F44ACA"/>
    <w:rsid w:val="00F45DAE"/>
    <w:rsid w:val="00F50D6D"/>
    <w:rsid w:val="00F5103E"/>
    <w:rsid w:val="00F51BD0"/>
    <w:rsid w:val="00F554C5"/>
    <w:rsid w:val="00F61275"/>
    <w:rsid w:val="00F62753"/>
    <w:rsid w:val="00F62DFD"/>
    <w:rsid w:val="00F72A46"/>
    <w:rsid w:val="00FA733E"/>
    <w:rsid w:val="00FB20D1"/>
    <w:rsid w:val="00FB2141"/>
    <w:rsid w:val="00FB426B"/>
    <w:rsid w:val="00FC0878"/>
    <w:rsid w:val="00FC785A"/>
    <w:rsid w:val="00FD435B"/>
    <w:rsid w:val="00FD66D6"/>
    <w:rsid w:val="00FE02ED"/>
    <w:rsid w:val="00FF024F"/>
    <w:rsid w:val="01253502"/>
    <w:rsid w:val="013A34D2"/>
    <w:rsid w:val="017C4C4A"/>
    <w:rsid w:val="019845E5"/>
    <w:rsid w:val="01B0348D"/>
    <w:rsid w:val="01C1532E"/>
    <w:rsid w:val="01DC7096"/>
    <w:rsid w:val="01E2682C"/>
    <w:rsid w:val="020716AE"/>
    <w:rsid w:val="02507A52"/>
    <w:rsid w:val="02596255"/>
    <w:rsid w:val="025E45AD"/>
    <w:rsid w:val="02632E79"/>
    <w:rsid w:val="028242D4"/>
    <w:rsid w:val="02B9172A"/>
    <w:rsid w:val="02DD68E2"/>
    <w:rsid w:val="02E9497F"/>
    <w:rsid w:val="030C0571"/>
    <w:rsid w:val="03164D3E"/>
    <w:rsid w:val="03451B7A"/>
    <w:rsid w:val="03511D53"/>
    <w:rsid w:val="03766AE1"/>
    <w:rsid w:val="03A240C0"/>
    <w:rsid w:val="03E812EC"/>
    <w:rsid w:val="04346E96"/>
    <w:rsid w:val="043F1946"/>
    <w:rsid w:val="045B7DE7"/>
    <w:rsid w:val="049A4A23"/>
    <w:rsid w:val="04CB1844"/>
    <w:rsid w:val="04D70CB5"/>
    <w:rsid w:val="04EA6A74"/>
    <w:rsid w:val="050D16BA"/>
    <w:rsid w:val="054A171F"/>
    <w:rsid w:val="055C340A"/>
    <w:rsid w:val="05625D31"/>
    <w:rsid w:val="058013F8"/>
    <w:rsid w:val="058B3782"/>
    <w:rsid w:val="0591421E"/>
    <w:rsid w:val="059A1517"/>
    <w:rsid w:val="05E71667"/>
    <w:rsid w:val="06273AC5"/>
    <w:rsid w:val="06701CF1"/>
    <w:rsid w:val="068E2877"/>
    <w:rsid w:val="06C40031"/>
    <w:rsid w:val="06C55BEF"/>
    <w:rsid w:val="06CF3C7F"/>
    <w:rsid w:val="06E21332"/>
    <w:rsid w:val="07156F47"/>
    <w:rsid w:val="07310670"/>
    <w:rsid w:val="07487F64"/>
    <w:rsid w:val="074F1D72"/>
    <w:rsid w:val="07607573"/>
    <w:rsid w:val="07641B88"/>
    <w:rsid w:val="079C6C34"/>
    <w:rsid w:val="07C17285"/>
    <w:rsid w:val="07E464D4"/>
    <w:rsid w:val="07EB65E3"/>
    <w:rsid w:val="07F124E0"/>
    <w:rsid w:val="07FE3A66"/>
    <w:rsid w:val="082F71E8"/>
    <w:rsid w:val="084D34A3"/>
    <w:rsid w:val="08624F55"/>
    <w:rsid w:val="087D32AA"/>
    <w:rsid w:val="08947E10"/>
    <w:rsid w:val="089E3657"/>
    <w:rsid w:val="08AB3374"/>
    <w:rsid w:val="08B0644D"/>
    <w:rsid w:val="08C14A52"/>
    <w:rsid w:val="08C35B2B"/>
    <w:rsid w:val="08DD3EDA"/>
    <w:rsid w:val="08E80A7C"/>
    <w:rsid w:val="08FD1694"/>
    <w:rsid w:val="08FF7646"/>
    <w:rsid w:val="09195F9B"/>
    <w:rsid w:val="0938692D"/>
    <w:rsid w:val="09423CB2"/>
    <w:rsid w:val="09551105"/>
    <w:rsid w:val="09732BAA"/>
    <w:rsid w:val="09957E1A"/>
    <w:rsid w:val="099B7A84"/>
    <w:rsid w:val="09AB0222"/>
    <w:rsid w:val="09AD23BE"/>
    <w:rsid w:val="09B124FA"/>
    <w:rsid w:val="09CD7056"/>
    <w:rsid w:val="09D83573"/>
    <w:rsid w:val="09EC0C7C"/>
    <w:rsid w:val="0A14574B"/>
    <w:rsid w:val="0A39670A"/>
    <w:rsid w:val="0A744052"/>
    <w:rsid w:val="0A8254DA"/>
    <w:rsid w:val="0A9C41F4"/>
    <w:rsid w:val="0AA862B1"/>
    <w:rsid w:val="0AAF104A"/>
    <w:rsid w:val="0AAF3E31"/>
    <w:rsid w:val="0ADE6EA2"/>
    <w:rsid w:val="0AED7139"/>
    <w:rsid w:val="0B151573"/>
    <w:rsid w:val="0B4A0AB1"/>
    <w:rsid w:val="0B6E3207"/>
    <w:rsid w:val="0B73301E"/>
    <w:rsid w:val="0BAC0F2F"/>
    <w:rsid w:val="0C106DAE"/>
    <w:rsid w:val="0C1959E9"/>
    <w:rsid w:val="0C220AE9"/>
    <w:rsid w:val="0C316499"/>
    <w:rsid w:val="0C643F71"/>
    <w:rsid w:val="0C7F7977"/>
    <w:rsid w:val="0CA777FB"/>
    <w:rsid w:val="0CB25156"/>
    <w:rsid w:val="0CC90ECA"/>
    <w:rsid w:val="0CF95E06"/>
    <w:rsid w:val="0CF970C7"/>
    <w:rsid w:val="0D772A74"/>
    <w:rsid w:val="0D7D3D59"/>
    <w:rsid w:val="0D827683"/>
    <w:rsid w:val="0D8619FC"/>
    <w:rsid w:val="0D915916"/>
    <w:rsid w:val="0DD724F6"/>
    <w:rsid w:val="0DE05730"/>
    <w:rsid w:val="0DFB07CE"/>
    <w:rsid w:val="0E0148DC"/>
    <w:rsid w:val="0E0A3926"/>
    <w:rsid w:val="0E1C168C"/>
    <w:rsid w:val="0E1C6CD1"/>
    <w:rsid w:val="0E2F361C"/>
    <w:rsid w:val="0E3C5788"/>
    <w:rsid w:val="0E8A0397"/>
    <w:rsid w:val="0EA20E7A"/>
    <w:rsid w:val="0EAF3D7B"/>
    <w:rsid w:val="0EB04E92"/>
    <w:rsid w:val="0ECB0ECB"/>
    <w:rsid w:val="0ED80953"/>
    <w:rsid w:val="0EE47081"/>
    <w:rsid w:val="0EE923AC"/>
    <w:rsid w:val="0EF46447"/>
    <w:rsid w:val="0EFF300A"/>
    <w:rsid w:val="0F181FC8"/>
    <w:rsid w:val="0F333702"/>
    <w:rsid w:val="0F401705"/>
    <w:rsid w:val="0F4E4E37"/>
    <w:rsid w:val="0F6D0D24"/>
    <w:rsid w:val="0F806FED"/>
    <w:rsid w:val="0F8D0BE8"/>
    <w:rsid w:val="0F900FC5"/>
    <w:rsid w:val="0FA91797"/>
    <w:rsid w:val="0FB33A4E"/>
    <w:rsid w:val="10126394"/>
    <w:rsid w:val="104C2A9E"/>
    <w:rsid w:val="107B4D2F"/>
    <w:rsid w:val="10F748EC"/>
    <w:rsid w:val="10FF7F0B"/>
    <w:rsid w:val="11085F6F"/>
    <w:rsid w:val="11097388"/>
    <w:rsid w:val="113B63CB"/>
    <w:rsid w:val="11686758"/>
    <w:rsid w:val="117B5CBE"/>
    <w:rsid w:val="118A1171"/>
    <w:rsid w:val="11985EF8"/>
    <w:rsid w:val="11C8127F"/>
    <w:rsid w:val="11E44062"/>
    <w:rsid w:val="11EB42EE"/>
    <w:rsid w:val="11F95B44"/>
    <w:rsid w:val="122C300C"/>
    <w:rsid w:val="12345CE1"/>
    <w:rsid w:val="12443276"/>
    <w:rsid w:val="1252238F"/>
    <w:rsid w:val="12A254E6"/>
    <w:rsid w:val="12A94F39"/>
    <w:rsid w:val="12B10A4C"/>
    <w:rsid w:val="12B130B4"/>
    <w:rsid w:val="12CF0A95"/>
    <w:rsid w:val="12DE1B3B"/>
    <w:rsid w:val="12E27BAC"/>
    <w:rsid w:val="12E76BDB"/>
    <w:rsid w:val="13133401"/>
    <w:rsid w:val="134D4C40"/>
    <w:rsid w:val="13575E34"/>
    <w:rsid w:val="136900C9"/>
    <w:rsid w:val="13722F5D"/>
    <w:rsid w:val="139765D8"/>
    <w:rsid w:val="13DC39F1"/>
    <w:rsid w:val="13E9682A"/>
    <w:rsid w:val="13F516F1"/>
    <w:rsid w:val="13FB2D0D"/>
    <w:rsid w:val="14052EBB"/>
    <w:rsid w:val="14305551"/>
    <w:rsid w:val="14386FD6"/>
    <w:rsid w:val="14432CB6"/>
    <w:rsid w:val="146035E6"/>
    <w:rsid w:val="14C115D5"/>
    <w:rsid w:val="14CD6141"/>
    <w:rsid w:val="14DD4386"/>
    <w:rsid w:val="150B47D4"/>
    <w:rsid w:val="1521731E"/>
    <w:rsid w:val="1545428F"/>
    <w:rsid w:val="15480EAF"/>
    <w:rsid w:val="156D64AB"/>
    <w:rsid w:val="1580785E"/>
    <w:rsid w:val="1592432C"/>
    <w:rsid w:val="1593133A"/>
    <w:rsid w:val="15967133"/>
    <w:rsid w:val="15B86808"/>
    <w:rsid w:val="15D943E3"/>
    <w:rsid w:val="15F55D96"/>
    <w:rsid w:val="15F743BB"/>
    <w:rsid w:val="16011788"/>
    <w:rsid w:val="16145E18"/>
    <w:rsid w:val="161A2D22"/>
    <w:rsid w:val="162E6015"/>
    <w:rsid w:val="16300C8C"/>
    <w:rsid w:val="165D3CF8"/>
    <w:rsid w:val="16612092"/>
    <w:rsid w:val="168122B3"/>
    <w:rsid w:val="1688674A"/>
    <w:rsid w:val="16D400EF"/>
    <w:rsid w:val="16DD42E0"/>
    <w:rsid w:val="16F9234C"/>
    <w:rsid w:val="170F2880"/>
    <w:rsid w:val="17115465"/>
    <w:rsid w:val="17223771"/>
    <w:rsid w:val="17884105"/>
    <w:rsid w:val="179405EF"/>
    <w:rsid w:val="17A70F3F"/>
    <w:rsid w:val="17AD26A7"/>
    <w:rsid w:val="17CB0F48"/>
    <w:rsid w:val="17D406F7"/>
    <w:rsid w:val="17D8322F"/>
    <w:rsid w:val="1816511F"/>
    <w:rsid w:val="184F35DE"/>
    <w:rsid w:val="187D529B"/>
    <w:rsid w:val="1886755A"/>
    <w:rsid w:val="18983047"/>
    <w:rsid w:val="18A41337"/>
    <w:rsid w:val="18B50E36"/>
    <w:rsid w:val="18C30DC2"/>
    <w:rsid w:val="18CF5CB8"/>
    <w:rsid w:val="18DC6978"/>
    <w:rsid w:val="18F6604F"/>
    <w:rsid w:val="1936128D"/>
    <w:rsid w:val="193B5CC8"/>
    <w:rsid w:val="19A9567A"/>
    <w:rsid w:val="19BF527F"/>
    <w:rsid w:val="19C92DE2"/>
    <w:rsid w:val="19F32656"/>
    <w:rsid w:val="19F46A76"/>
    <w:rsid w:val="1A2F2A0B"/>
    <w:rsid w:val="1A4030A6"/>
    <w:rsid w:val="1A956D0C"/>
    <w:rsid w:val="1AA73CED"/>
    <w:rsid w:val="1AB5503B"/>
    <w:rsid w:val="1AC2553A"/>
    <w:rsid w:val="1ADE2C24"/>
    <w:rsid w:val="1AF6038F"/>
    <w:rsid w:val="1AFE7A29"/>
    <w:rsid w:val="1B073922"/>
    <w:rsid w:val="1B5D08FA"/>
    <w:rsid w:val="1B604066"/>
    <w:rsid w:val="1B9B0BC6"/>
    <w:rsid w:val="1BBA2302"/>
    <w:rsid w:val="1C020069"/>
    <w:rsid w:val="1C507121"/>
    <w:rsid w:val="1C7A32F9"/>
    <w:rsid w:val="1C9242A4"/>
    <w:rsid w:val="1C931CB9"/>
    <w:rsid w:val="1CBE3649"/>
    <w:rsid w:val="1CC33C80"/>
    <w:rsid w:val="1D9C0926"/>
    <w:rsid w:val="1DA710C8"/>
    <w:rsid w:val="1E1A3FF8"/>
    <w:rsid w:val="1E26654D"/>
    <w:rsid w:val="1E323109"/>
    <w:rsid w:val="1E555EE9"/>
    <w:rsid w:val="1EA10F3E"/>
    <w:rsid w:val="1EB51DD8"/>
    <w:rsid w:val="1EC61F82"/>
    <w:rsid w:val="1EC93386"/>
    <w:rsid w:val="1EED0F1B"/>
    <w:rsid w:val="1EFF7244"/>
    <w:rsid w:val="1F280757"/>
    <w:rsid w:val="1F59427A"/>
    <w:rsid w:val="1F6406C1"/>
    <w:rsid w:val="1FD945B0"/>
    <w:rsid w:val="1FEF1FFA"/>
    <w:rsid w:val="20090507"/>
    <w:rsid w:val="20AF05BD"/>
    <w:rsid w:val="20BB2E96"/>
    <w:rsid w:val="20DA6C2C"/>
    <w:rsid w:val="20DD668A"/>
    <w:rsid w:val="20E633FF"/>
    <w:rsid w:val="210D65EB"/>
    <w:rsid w:val="2119335A"/>
    <w:rsid w:val="211A5B8C"/>
    <w:rsid w:val="21592782"/>
    <w:rsid w:val="215A2EC4"/>
    <w:rsid w:val="217627D9"/>
    <w:rsid w:val="21A0370E"/>
    <w:rsid w:val="21B1797A"/>
    <w:rsid w:val="21B814FB"/>
    <w:rsid w:val="21C52D02"/>
    <w:rsid w:val="21C52F88"/>
    <w:rsid w:val="220E3210"/>
    <w:rsid w:val="226E02A2"/>
    <w:rsid w:val="228D0852"/>
    <w:rsid w:val="229D03B1"/>
    <w:rsid w:val="22A355B8"/>
    <w:rsid w:val="22B00566"/>
    <w:rsid w:val="22C471DB"/>
    <w:rsid w:val="22D03D34"/>
    <w:rsid w:val="22D66746"/>
    <w:rsid w:val="231F769B"/>
    <w:rsid w:val="23422E27"/>
    <w:rsid w:val="235201DB"/>
    <w:rsid w:val="2359393E"/>
    <w:rsid w:val="238F1CC8"/>
    <w:rsid w:val="23BE0B86"/>
    <w:rsid w:val="243F1DE7"/>
    <w:rsid w:val="248A3A7F"/>
    <w:rsid w:val="249F4236"/>
    <w:rsid w:val="24C377D0"/>
    <w:rsid w:val="24D01574"/>
    <w:rsid w:val="24E52D6B"/>
    <w:rsid w:val="25046EA2"/>
    <w:rsid w:val="25251A25"/>
    <w:rsid w:val="25474606"/>
    <w:rsid w:val="256228E0"/>
    <w:rsid w:val="258F7DD5"/>
    <w:rsid w:val="25AC0E5C"/>
    <w:rsid w:val="25C25E13"/>
    <w:rsid w:val="25C908AF"/>
    <w:rsid w:val="25CE5311"/>
    <w:rsid w:val="25D3637D"/>
    <w:rsid w:val="25FA061E"/>
    <w:rsid w:val="260374EC"/>
    <w:rsid w:val="261F0590"/>
    <w:rsid w:val="2644580B"/>
    <w:rsid w:val="264C2EC7"/>
    <w:rsid w:val="26966E13"/>
    <w:rsid w:val="26A419A9"/>
    <w:rsid w:val="26AC1452"/>
    <w:rsid w:val="26B4785C"/>
    <w:rsid w:val="26B94E95"/>
    <w:rsid w:val="26DC0CB6"/>
    <w:rsid w:val="26F11CDD"/>
    <w:rsid w:val="26FA16D0"/>
    <w:rsid w:val="270123FB"/>
    <w:rsid w:val="27086393"/>
    <w:rsid w:val="270C20F8"/>
    <w:rsid w:val="27124CA5"/>
    <w:rsid w:val="27135815"/>
    <w:rsid w:val="271925EC"/>
    <w:rsid w:val="272E0FE5"/>
    <w:rsid w:val="273435F1"/>
    <w:rsid w:val="27752D78"/>
    <w:rsid w:val="27A10A77"/>
    <w:rsid w:val="27B93768"/>
    <w:rsid w:val="27D95F36"/>
    <w:rsid w:val="281D243D"/>
    <w:rsid w:val="283322C9"/>
    <w:rsid w:val="285C72E1"/>
    <w:rsid w:val="285E1F2B"/>
    <w:rsid w:val="28932F3A"/>
    <w:rsid w:val="28B142D5"/>
    <w:rsid w:val="28BA0DD2"/>
    <w:rsid w:val="28C052EC"/>
    <w:rsid w:val="28C50201"/>
    <w:rsid w:val="28C608F6"/>
    <w:rsid w:val="28D1042F"/>
    <w:rsid w:val="28DD4BE9"/>
    <w:rsid w:val="290C77C3"/>
    <w:rsid w:val="290D3996"/>
    <w:rsid w:val="29136CF0"/>
    <w:rsid w:val="29777818"/>
    <w:rsid w:val="29C80887"/>
    <w:rsid w:val="29F64D34"/>
    <w:rsid w:val="29FF6391"/>
    <w:rsid w:val="2A2F63F2"/>
    <w:rsid w:val="2A474027"/>
    <w:rsid w:val="2A4C44CF"/>
    <w:rsid w:val="2A7A5071"/>
    <w:rsid w:val="2A911A4E"/>
    <w:rsid w:val="2ADD7D86"/>
    <w:rsid w:val="2B0459FF"/>
    <w:rsid w:val="2B0F2074"/>
    <w:rsid w:val="2B4116FF"/>
    <w:rsid w:val="2B5258B1"/>
    <w:rsid w:val="2B8653EF"/>
    <w:rsid w:val="2BFE19D6"/>
    <w:rsid w:val="2C1B5789"/>
    <w:rsid w:val="2C3118DD"/>
    <w:rsid w:val="2C3562D8"/>
    <w:rsid w:val="2C5A63C9"/>
    <w:rsid w:val="2CB07001"/>
    <w:rsid w:val="2CB3280D"/>
    <w:rsid w:val="2CB922C1"/>
    <w:rsid w:val="2CD25725"/>
    <w:rsid w:val="2CF70F9E"/>
    <w:rsid w:val="2D124A1E"/>
    <w:rsid w:val="2D323752"/>
    <w:rsid w:val="2D3373D5"/>
    <w:rsid w:val="2D39787B"/>
    <w:rsid w:val="2D3B78BA"/>
    <w:rsid w:val="2D4340BD"/>
    <w:rsid w:val="2D4910C7"/>
    <w:rsid w:val="2D4A3339"/>
    <w:rsid w:val="2D6C2573"/>
    <w:rsid w:val="2D9A0AB9"/>
    <w:rsid w:val="2DCD259E"/>
    <w:rsid w:val="2DD97074"/>
    <w:rsid w:val="2E090193"/>
    <w:rsid w:val="2E0A7E69"/>
    <w:rsid w:val="2E3A03E5"/>
    <w:rsid w:val="2E5C26B6"/>
    <w:rsid w:val="2E7608C5"/>
    <w:rsid w:val="2E9D4664"/>
    <w:rsid w:val="2EAD6E42"/>
    <w:rsid w:val="2F046F53"/>
    <w:rsid w:val="2F154571"/>
    <w:rsid w:val="2F2F5279"/>
    <w:rsid w:val="2F314A30"/>
    <w:rsid w:val="2F385D1F"/>
    <w:rsid w:val="2F592C0A"/>
    <w:rsid w:val="2F6076E3"/>
    <w:rsid w:val="2F992B76"/>
    <w:rsid w:val="2F9F7149"/>
    <w:rsid w:val="2FD276BA"/>
    <w:rsid w:val="2FF61F3A"/>
    <w:rsid w:val="2FF76ADE"/>
    <w:rsid w:val="3012581E"/>
    <w:rsid w:val="30427DA1"/>
    <w:rsid w:val="30703AED"/>
    <w:rsid w:val="30D87142"/>
    <w:rsid w:val="30F90615"/>
    <w:rsid w:val="311427E1"/>
    <w:rsid w:val="31144F45"/>
    <w:rsid w:val="311E12EC"/>
    <w:rsid w:val="31263671"/>
    <w:rsid w:val="313D0673"/>
    <w:rsid w:val="313D7621"/>
    <w:rsid w:val="32096628"/>
    <w:rsid w:val="320F7CDE"/>
    <w:rsid w:val="321D07ED"/>
    <w:rsid w:val="321F2F90"/>
    <w:rsid w:val="321F3DAE"/>
    <w:rsid w:val="324003D4"/>
    <w:rsid w:val="3256419C"/>
    <w:rsid w:val="32571548"/>
    <w:rsid w:val="32A07FFE"/>
    <w:rsid w:val="32BD5DCB"/>
    <w:rsid w:val="32C574EA"/>
    <w:rsid w:val="32DD612C"/>
    <w:rsid w:val="32DF1E88"/>
    <w:rsid w:val="32E45B7F"/>
    <w:rsid w:val="32EC1396"/>
    <w:rsid w:val="33155747"/>
    <w:rsid w:val="33245E41"/>
    <w:rsid w:val="3331756A"/>
    <w:rsid w:val="33413B81"/>
    <w:rsid w:val="33460DBD"/>
    <w:rsid w:val="33690A64"/>
    <w:rsid w:val="3372638F"/>
    <w:rsid w:val="33781C4C"/>
    <w:rsid w:val="33C544C3"/>
    <w:rsid w:val="33D347BC"/>
    <w:rsid w:val="33DA0657"/>
    <w:rsid w:val="33EC666B"/>
    <w:rsid w:val="33F062D6"/>
    <w:rsid w:val="33F37344"/>
    <w:rsid w:val="33F50D78"/>
    <w:rsid w:val="33FD4196"/>
    <w:rsid w:val="341E6368"/>
    <w:rsid w:val="342F4322"/>
    <w:rsid w:val="34552CFD"/>
    <w:rsid w:val="34662C2B"/>
    <w:rsid w:val="346E04E1"/>
    <w:rsid w:val="34994215"/>
    <w:rsid w:val="34C539E4"/>
    <w:rsid w:val="34FE35BC"/>
    <w:rsid w:val="352422D0"/>
    <w:rsid w:val="35270D48"/>
    <w:rsid w:val="35312EA4"/>
    <w:rsid w:val="353B001C"/>
    <w:rsid w:val="354B78A0"/>
    <w:rsid w:val="355043BB"/>
    <w:rsid w:val="35593CAE"/>
    <w:rsid w:val="358C70A8"/>
    <w:rsid w:val="35C176A9"/>
    <w:rsid w:val="35DF2327"/>
    <w:rsid w:val="3607269A"/>
    <w:rsid w:val="3629503A"/>
    <w:rsid w:val="367B3297"/>
    <w:rsid w:val="36960637"/>
    <w:rsid w:val="36970D27"/>
    <w:rsid w:val="36E804BC"/>
    <w:rsid w:val="36ED7E3E"/>
    <w:rsid w:val="372B4C0C"/>
    <w:rsid w:val="37480859"/>
    <w:rsid w:val="376D2BCC"/>
    <w:rsid w:val="37B750BF"/>
    <w:rsid w:val="37CD02D8"/>
    <w:rsid w:val="37E54B0B"/>
    <w:rsid w:val="38A0322F"/>
    <w:rsid w:val="38B44C92"/>
    <w:rsid w:val="38E0066F"/>
    <w:rsid w:val="38F81F10"/>
    <w:rsid w:val="38FF1F77"/>
    <w:rsid w:val="39001EE9"/>
    <w:rsid w:val="39050C3E"/>
    <w:rsid w:val="391425B7"/>
    <w:rsid w:val="39226068"/>
    <w:rsid w:val="3925063D"/>
    <w:rsid w:val="39387926"/>
    <w:rsid w:val="39585C08"/>
    <w:rsid w:val="395E5DDB"/>
    <w:rsid w:val="39673DEE"/>
    <w:rsid w:val="3993401A"/>
    <w:rsid w:val="39975AFB"/>
    <w:rsid w:val="399D4762"/>
    <w:rsid w:val="39A21DBC"/>
    <w:rsid w:val="3A233ECF"/>
    <w:rsid w:val="3A2D7BAB"/>
    <w:rsid w:val="3A4F2B4C"/>
    <w:rsid w:val="3A610625"/>
    <w:rsid w:val="3A684F39"/>
    <w:rsid w:val="3A764FDE"/>
    <w:rsid w:val="3A953982"/>
    <w:rsid w:val="3AC37553"/>
    <w:rsid w:val="3ACD34EE"/>
    <w:rsid w:val="3B291E32"/>
    <w:rsid w:val="3B4C1448"/>
    <w:rsid w:val="3B550C57"/>
    <w:rsid w:val="3B5653C0"/>
    <w:rsid w:val="3B5D79A7"/>
    <w:rsid w:val="3B64241F"/>
    <w:rsid w:val="3B934208"/>
    <w:rsid w:val="3B953CB8"/>
    <w:rsid w:val="3BBB63B0"/>
    <w:rsid w:val="3BEA6A4D"/>
    <w:rsid w:val="3BF975B9"/>
    <w:rsid w:val="3C0C324B"/>
    <w:rsid w:val="3C11779A"/>
    <w:rsid w:val="3C300073"/>
    <w:rsid w:val="3C3263C3"/>
    <w:rsid w:val="3C347876"/>
    <w:rsid w:val="3C3D7350"/>
    <w:rsid w:val="3C5077F0"/>
    <w:rsid w:val="3C5631C1"/>
    <w:rsid w:val="3C6319A5"/>
    <w:rsid w:val="3C6A4416"/>
    <w:rsid w:val="3C6D28C0"/>
    <w:rsid w:val="3CA16B01"/>
    <w:rsid w:val="3CA25450"/>
    <w:rsid w:val="3CB16C19"/>
    <w:rsid w:val="3CBD5B21"/>
    <w:rsid w:val="3CCA3030"/>
    <w:rsid w:val="3CCC585E"/>
    <w:rsid w:val="3CF306F7"/>
    <w:rsid w:val="3CF92AB7"/>
    <w:rsid w:val="3D0521B8"/>
    <w:rsid w:val="3D1F7B03"/>
    <w:rsid w:val="3D4E048A"/>
    <w:rsid w:val="3DE72505"/>
    <w:rsid w:val="3DFF3F57"/>
    <w:rsid w:val="3E2E1195"/>
    <w:rsid w:val="3E325ADE"/>
    <w:rsid w:val="3E3D5AF9"/>
    <w:rsid w:val="3EBE0637"/>
    <w:rsid w:val="3EDC43B2"/>
    <w:rsid w:val="3EF04D32"/>
    <w:rsid w:val="3F0424CF"/>
    <w:rsid w:val="3F4F0730"/>
    <w:rsid w:val="3F5564E5"/>
    <w:rsid w:val="3F576913"/>
    <w:rsid w:val="3F874ABF"/>
    <w:rsid w:val="3F886E54"/>
    <w:rsid w:val="3FC02FF0"/>
    <w:rsid w:val="3FCE7634"/>
    <w:rsid w:val="40094869"/>
    <w:rsid w:val="400D38CA"/>
    <w:rsid w:val="401D13AA"/>
    <w:rsid w:val="402446DA"/>
    <w:rsid w:val="4031155A"/>
    <w:rsid w:val="40526CB6"/>
    <w:rsid w:val="40E07E77"/>
    <w:rsid w:val="40F92E90"/>
    <w:rsid w:val="41155838"/>
    <w:rsid w:val="412D4B19"/>
    <w:rsid w:val="416D6101"/>
    <w:rsid w:val="418A3309"/>
    <w:rsid w:val="419838B5"/>
    <w:rsid w:val="41BD03DB"/>
    <w:rsid w:val="41C14BA5"/>
    <w:rsid w:val="41DA7D36"/>
    <w:rsid w:val="42001452"/>
    <w:rsid w:val="42107036"/>
    <w:rsid w:val="422100AF"/>
    <w:rsid w:val="42296309"/>
    <w:rsid w:val="422A4B00"/>
    <w:rsid w:val="42484C51"/>
    <w:rsid w:val="424851D2"/>
    <w:rsid w:val="4249668B"/>
    <w:rsid w:val="425E7D14"/>
    <w:rsid w:val="42635FEF"/>
    <w:rsid w:val="426A2760"/>
    <w:rsid w:val="42DC6B49"/>
    <w:rsid w:val="42F913BC"/>
    <w:rsid w:val="42FE5587"/>
    <w:rsid w:val="434C0275"/>
    <w:rsid w:val="43642F5E"/>
    <w:rsid w:val="43BE37E1"/>
    <w:rsid w:val="43EA034A"/>
    <w:rsid w:val="44273C51"/>
    <w:rsid w:val="44443148"/>
    <w:rsid w:val="444824FB"/>
    <w:rsid w:val="44AA77F2"/>
    <w:rsid w:val="44AB3EBA"/>
    <w:rsid w:val="44AB6827"/>
    <w:rsid w:val="44B249B7"/>
    <w:rsid w:val="44B335CA"/>
    <w:rsid w:val="44B546E7"/>
    <w:rsid w:val="44C2688A"/>
    <w:rsid w:val="44D91FD9"/>
    <w:rsid w:val="44DE32E5"/>
    <w:rsid w:val="44FB2F62"/>
    <w:rsid w:val="44FF0F3A"/>
    <w:rsid w:val="451D414B"/>
    <w:rsid w:val="45407AD6"/>
    <w:rsid w:val="45553894"/>
    <w:rsid w:val="45671A03"/>
    <w:rsid w:val="457D260A"/>
    <w:rsid w:val="45903BF5"/>
    <w:rsid w:val="46100733"/>
    <w:rsid w:val="46331463"/>
    <w:rsid w:val="467C7DAD"/>
    <w:rsid w:val="468E066B"/>
    <w:rsid w:val="469C5960"/>
    <w:rsid w:val="46A120C6"/>
    <w:rsid w:val="46B12D45"/>
    <w:rsid w:val="46C05E45"/>
    <w:rsid w:val="46EB204D"/>
    <w:rsid w:val="46FC4CEF"/>
    <w:rsid w:val="471B2B70"/>
    <w:rsid w:val="475964A8"/>
    <w:rsid w:val="47CE2905"/>
    <w:rsid w:val="47F83359"/>
    <w:rsid w:val="47FC25FC"/>
    <w:rsid w:val="482D597D"/>
    <w:rsid w:val="488E64B7"/>
    <w:rsid w:val="48952A15"/>
    <w:rsid w:val="48967C88"/>
    <w:rsid w:val="489D7312"/>
    <w:rsid w:val="48A474BC"/>
    <w:rsid w:val="48A633B7"/>
    <w:rsid w:val="48B6678D"/>
    <w:rsid w:val="48C8208F"/>
    <w:rsid w:val="48CD54FC"/>
    <w:rsid w:val="490D6EF1"/>
    <w:rsid w:val="49607C35"/>
    <w:rsid w:val="496A2326"/>
    <w:rsid w:val="496C770C"/>
    <w:rsid w:val="49833086"/>
    <w:rsid w:val="49E70C75"/>
    <w:rsid w:val="4A06251A"/>
    <w:rsid w:val="4A113DC0"/>
    <w:rsid w:val="4A2F2B46"/>
    <w:rsid w:val="4A547916"/>
    <w:rsid w:val="4A563835"/>
    <w:rsid w:val="4A5A4578"/>
    <w:rsid w:val="4A75653D"/>
    <w:rsid w:val="4A9470AF"/>
    <w:rsid w:val="4B0C4481"/>
    <w:rsid w:val="4B1D7FF9"/>
    <w:rsid w:val="4B3C1FE1"/>
    <w:rsid w:val="4B412FE7"/>
    <w:rsid w:val="4B50629D"/>
    <w:rsid w:val="4B5216F0"/>
    <w:rsid w:val="4B873C90"/>
    <w:rsid w:val="4BA82573"/>
    <w:rsid w:val="4BD319EC"/>
    <w:rsid w:val="4C0F3894"/>
    <w:rsid w:val="4C1603ED"/>
    <w:rsid w:val="4C265C32"/>
    <w:rsid w:val="4C5110C3"/>
    <w:rsid w:val="4C7607DD"/>
    <w:rsid w:val="4C77450A"/>
    <w:rsid w:val="4C935296"/>
    <w:rsid w:val="4C9C05A8"/>
    <w:rsid w:val="4CA93DA4"/>
    <w:rsid w:val="4D105E89"/>
    <w:rsid w:val="4D39550D"/>
    <w:rsid w:val="4D7E343F"/>
    <w:rsid w:val="4D853B8B"/>
    <w:rsid w:val="4DA82B08"/>
    <w:rsid w:val="4DB552EA"/>
    <w:rsid w:val="4DEA4DFF"/>
    <w:rsid w:val="4DF90F86"/>
    <w:rsid w:val="4E34085A"/>
    <w:rsid w:val="4E4E41E8"/>
    <w:rsid w:val="4E52351E"/>
    <w:rsid w:val="4E586CD5"/>
    <w:rsid w:val="4E6679FD"/>
    <w:rsid w:val="4E7E704C"/>
    <w:rsid w:val="4E995F96"/>
    <w:rsid w:val="4EAB3D0C"/>
    <w:rsid w:val="4EB418A0"/>
    <w:rsid w:val="4ECC738A"/>
    <w:rsid w:val="4F0F5F83"/>
    <w:rsid w:val="4F767DE0"/>
    <w:rsid w:val="4FB71FA5"/>
    <w:rsid w:val="4FE11B58"/>
    <w:rsid w:val="4FF22F51"/>
    <w:rsid w:val="50061349"/>
    <w:rsid w:val="502571C3"/>
    <w:rsid w:val="502C7252"/>
    <w:rsid w:val="50330BAD"/>
    <w:rsid w:val="503F2AAA"/>
    <w:rsid w:val="506D2822"/>
    <w:rsid w:val="506F7531"/>
    <w:rsid w:val="508101EA"/>
    <w:rsid w:val="50AC380C"/>
    <w:rsid w:val="50C13ED4"/>
    <w:rsid w:val="50CD580A"/>
    <w:rsid w:val="50E16CEE"/>
    <w:rsid w:val="51364EAB"/>
    <w:rsid w:val="5137695B"/>
    <w:rsid w:val="515D6CC8"/>
    <w:rsid w:val="518F40A5"/>
    <w:rsid w:val="51AD00C1"/>
    <w:rsid w:val="51DB0A7E"/>
    <w:rsid w:val="51EB6355"/>
    <w:rsid w:val="51F135EC"/>
    <w:rsid w:val="51F8067D"/>
    <w:rsid w:val="520D61E9"/>
    <w:rsid w:val="5236299C"/>
    <w:rsid w:val="52403723"/>
    <w:rsid w:val="52420C2A"/>
    <w:rsid w:val="524F1B93"/>
    <w:rsid w:val="525B7281"/>
    <w:rsid w:val="52630775"/>
    <w:rsid w:val="526627D1"/>
    <w:rsid w:val="526E4E8E"/>
    <w:rsid w:val="52706486"/>
    <w:rsid w:val="527D6C07"/>
    <w:rsid w:val="527F35E6"/>
    <w:rsid w:val="52964727"/>
    <w:rsid w:val="52ED2480"/>
    <w:rsid w:val="52FA6AE0"/>
    <w:rsid w:val="53101841"/>
    <w:rsid w:val="53465512"/>
    <w:rsid w:val="5376019D"/>
    <w:rsid w:val="5397438F"/>
    <w:rsid w:val="539B6DCD"/>
    <w:rsid w:val="54106881"/>
    <w:rsid w:val="541B28DE"/>
    <w:rsid w:val="54337620"/>
    <w:rsid w:val="54361AD6"/>
    <w:rsid w:val="543D7553"/>
    <w:rsid w:val="54771906"/>
    <w:rsid w:val="547C14C6"/>
    <w:rsid w:val="548F7C85"/>
    <w:rsid w:val="54A01754"/>
    <w:rsid w:val="54C35373"/>
    <w:rsid w:val="54D37F7A"/>
    <w:rsid w:val="54D46F91"/>
    <w:rsid w:val="54F915DA"/>
    <w:rsid w:val="5522753E"/>
    <w:rsid w:val="552E29AD"/>
    <w:rsid w:val="556866BD"/>
    <w:rsid w:val="55783F05"/>
    <w:rsid w:val="557E31B0"/>
    <w:rsid w:val="55821F23"/>
    <w:rsid w:val="558656D0"/>
    <w:rsid w:val="55953EBF"/>
    <w:rsid w:val="55A71EC6"/>
    <w:rsid w:val="55D95FFB"/>
    <w:rsid w:val="55E70A99"/>
    <w:rsid w:val="55FD1528"/>
    <w:rsid w:val="5603491C"/>
    <w:rsid w:val="56401B87"/>
    <w:rsid w:val="56733201"/>
    <w:rsid w:val="568C20C6"/>
    <w:rsid w:val="568D5773"/>
    <w:rsid w:val="569C61A7"/>
    <w:rsid w:val="56CD2B8A"/>
    <w:rsid w:val="56D3688C"/>
    <w:rsid w:val="56D400C1"/>
    <w:rsid w:val="56D95440"/>
    <w:rsid w:val="56FB7A14"/>
    <w:rsid w:val="570304E9"/>
    <w:rsid w:val="570E18BA"/>
    <w:rsid w:val="57151246"/>
    <w:rsid w:val="574C49B4"/>
    <w:rsid w:val="57C919EB"/>
    <w:rsid w:val="57E6237B"/>
    <w:rsid w:val="57EC51AE"/>
    <w:rsid w:val="58427D22"/>
    <w:rsid w:val="58551AFF"/>
    <w:rsid w:val="587A31A5"/>
    <w:rsid w:val="58A72E55"/>
    <w:rsid w:val="58AC5C6F"/>
    <w:rsid w:val="58CD3534"/>
    <w:rsid w:val="58DB67BC"/>
    <w:rsid w:val="58DC7FF8"/>
    <w:rsid w:val="58FC5A0D"/>
    <w:rsid w:val="59074E50"/>
    <w:rsid w:val="59257BBA"/>
    <w:rsid w:val="59291040"/>
    <w:rsid w:val="595E18B4"/>
    <w:rsid w:val="596F6B90"/>
    <w:rsid w:val="5972330C"/>
    <w:rsid w:val="59960F0D"/>
    <w:rsid w:val="599D7DC6"/>
    <w:rsid w:val="59A37C3C"/>
    <w:rsid w:val="59A72AB3"/>
    <w:rsid w:val="59E17C1A"/>
    <w:rsid w:val="59E859EC"/>
    <w:rsid w:val="5A01585A"/>
    <w:rsid w:val="5A064113"/>
    <w:rsid w:val="5A1B1406"/>
    <w:rsid w:val="5A4C6153"/>
    <w:rsid w:val="5A4D351C"/>
    <w:rsid w:val="5A5055E7"/>
    <w:rsid w:val="5A590DD3"/>
    <w:rsid w:val="5A5D7326"/>
    <w:rsid w:val="5A8D7A31"/>
    <w:rsid w:val="5AA92DA4"/>
    <w:rsid w:val="5ACA3EE7"/>
    <w:rsid w:val="5ACE7F27"/>
    <w:rsid w:val="5AEF78B5"/>
    <w:rsid w:val="5B0F40E8"/>
    <w:rsid w:val="5B18388D"/>
    <w:rsid w:val="5B2179CB"/>
    <w:rsid w:val="5B4C30C2"/>
    <w:rsid w:val="5B54540F"/>
    <w:rsid w:val="5B686D47"/>
    <w:rsid w:val="5B7331EF"/>
    <w:rsid w:val="5BBC63FA"/>
    <w:rsid w:val="5BC421DF"/>
    <w:rsid w:val="5BD769EA"/>
    <w:rsid w:val="5BE82415"/>
    <w:rsid w:val="5C085AF9"/>
    <w:rsid w:val="5C171659"/>
    <w:rsid w:val="5C222B39"/>
    <w:rsid w:val="5C6E50AB"/>
    <w:rsid w:val="5C724CD0"/>
    <w:rsid w:val="5C783EF8"/>
    <w:rsid w:val="5C797997"/>
    <w:rsid w:val="5CAD2CE8"/>
    <w:rsid w:val="5CB52BAD"/>
    <w:rsid w:val="5CB836EE"/>
    <w:rsid w:val="5CD65063"/>
    <w:rsid w:val="5CFE733E"/>
    <w:rsid w:val="5D133FCC"/>
    <w:rsid w:val="5D1B059D"/>
    <w:rsid w:val="5D1E6004"/>
    <w:rsid w:val="5D376CBC"/>
    <w:rsid w:val="5D941A06"/>
    <w:rsid w:val="5DBA7B73"/>
    <w:rsid w:val="5DC219E4"/>
    <w:rsid w:val="5DE07F60"/>
    <w:rsid w:val="5E215894"/>
    <w:rsid w:val="5E6A5417"/>
    <w:rsid w:val="5E9964FC"/>
    <w:rsid w:val="5EA527EB"/>
    <w:rsid w:val="5EA8001D"/>
    <w:rsid w:val="5EB6537C"/>
    <w:rsid w:val="5F772BB7"/>
    <w:rsid w:val="5F7770CC"/>
    <w:rsid w:val="5F843B10"/>
    <w:rsid w:val="5F923324"/>
    <w:rsid w:val="5F9516DC"/>
    <w:rsid w:val="5FC02283"/>
    <w:rsid w:val="6009601C"/>
    <w:rsid w:val="601E45D8"/>
    <w:rsid w:val="601F2556"/>
    <w:rsid w:val="60595F1D"/>
    <w:rsid w:val="60C91D88"/>
    <w:rsid w:val="60C96A5B"/>
    <w:rsid w:val="60E33A8A"/>
    <w:rsid w:val="60EC12B4"/>
    <w:rsid w:val="61576E4B"/>
    <w:rsid w:val="61BF22D5"/>
    <w:rsid w:val="61E3116A"/>
    <w:rsid w:val="62092D04"/>
    <w:rsid w:val="6257385F"/>
    <w:rsid w:val="62661F44"/>
    <w:rsid w:val="62806004"/>
    <w:rsid w:val="62863DF4"/>
    <w:rsid w:val="62986E29"/>
    <w:rsid w:val="629D419A"/>
    <w:rsid w:val="62AB7395"/>
    <w:rsid w:val="62C14349"/>
    <w:rsid w:val="62C16539"/>
    <w:rsid w:val="62DD7032"/>
    <w:rsid w:val="631B31EA"/>
    <w:rsid w:val="633E0BF6"/>
    <w:rsid w:val="635B0ADD"/>
    <w:rsid w:val="636C77D3"/>
    <w:rsid w:val="63C952A8"/>
    <w:rsid w:val="63D622B5"/>
    <w:rsid w:val="63D80532"/>
    <w:rsid w:val="63E547B2"/>
    <w:rsid w:val="63E66104"/>
    <w:rsid w:val="64157661"/>
    <w:rsid w:val="64171B21"/>
    <w:rsid w:val="64254827"/>
    <w:rsid w:val="644E32E2"/>
    <w:rsid w:val="644F08D2"/>
    <w:rsid w:val="644F22F7"/>
    <w:rsid w:val="64560745"/>
    <w:rsid w:val="646D2F9C"/>
    <w:rsid w:val="64B95B48"/>
    <w:rsid w:val="64E345D4"/>
    <w:rsid w:val="64ED2876"/>
    <w:rsid w:val="64F87F36"/>
    <w:rsid w:val="64FE57EB"/>
    <w:rsid w:val="6500669E"/>
    <w:rsid w:val="652B6960"/>
    <w:rsid w:val="652F4EAA"/>
    <w:rsid w:val="65536597"/>
    <w:rsid w:val="656C494A"/>
    <w:rsid w:val="659B2D80"/>
    <w:rsid w:val="65A51523"/>
    <w:rsid w:val="65B24D42"/>
    <w:rsid w:val="65F84382"/>
    <w:rsid w:val="660601A5"/>
    <w:rsid w:val="664F0C16"/>
    <w:rsid w:val="666D548D"/>
    <w:rsid w:val="667F0710"/>
    <w:rsid w:val="6694281E"/>
    <w:rsid w:val="669E749A"/>
    <w:rsid w:val="66A940F4"/>
    <w:rsid w:val="66AF25D7"/>
    <w:rsid w:val="66FA1F77"/>
    <w:rsid w:val="67363882"/>
    <w:rsid w:val="674628E6"/>
    <w:rsid w:val="67511783"/>
    <w:rsid w:val="67646470"/>
    <w:rsid w:val="676573C8"/>
    <w:rsid w:val="67947420"/>
    <w:rsid w:val="679D0397"/>
    <w:rsid w:val="67C95746"/>
    <w:rsid w:val="67E605BE"/>
    <w:rsid w:val="67F60E3F"/>
    <w:rsid w:val="67FD2B4E"/>
    <w:rsid w:val="680A3C32"/>
    <w:rsid w:val="68210723"/>
    <w:rsid w:val="682B4FCB"/>
    <w:rsid w:val="688658EC"/>
    <w:rsid w:val="68BA26EC"/>
    <w:rsid w:val="68CE53BB"/>
    <w:rsid w:val="68D02FF4"/>
    <w:rsid w:val="68EA2AA8"/>
    <w:rsid w:val="69033287"/>
    <w:rsid w:val="690925D1"/>
    <w:rsid w:val="69871D5C"/>
    <w:rsid w:val="69914C31"/>
    <w:rsid w:val="6993308B"/>
    <w:rsid w:val="699F0A4B"/>
    <w:rsid w:val="69C03C0D"/>
    <w:rsid w:val="69C20B17"/>
    <w:rsid w:val="69C95365"/>
    <w:rsid w:val="69F04F3A"/>
    <w:rsid w:val="6A090D04"/>
    <w:rsid w:val="6A120357"/>
    <w:rsid w:val="6A2479FA"/>
    <w:rsid w:val="6A4A15B1"/>
    <w:rsid w:val="6A6D5135"/>
    <w:rsid w:val="6A7062A5"/>
    <w:rsid w:val="6A81457D"/>
    <w:rsid w:val="6A862DD0"/>
    <w:rsid w:val="6A932AB3"/>
    <w:rsid w:val="6ACE2F7D"/>
    <w:rsid w:val="6B074CBB"/>
    <w:rsid w:val="6B227D5F"/>
    <w:rsid w:val="6B2E5607"/>
    <w:rsid w:val="6B546867"/>
    <w:rsid w:val="6B572E41"/>
    <w:rsid w:val="6B58707C"/>
    <w:rsid w:val="6B6343EB"/>
    <w:rsid w:val="6B740145"/>
    <w:rsid w:val="6B746B02"/>
    <w:rsid w:val="6B782FC9"/>
    <w:rsid w:val="6BC2624C"/>
    <w:rsid w:val="6BD823E9"/>
    <w:rsid w:val="6BDF0D50"/>
    <w:rsid w:val="6BEA03C1"/>
    <w:rsid w:val="6C1063EA"/>
    <w:rsid w:val="6C180CD2"/>
    <w:rsid w:val="6C247095"/>
    <w:rsid w:val="6C482EED"/>
    <w:rsid w:val="6C82039E"/>
    <w:rsid w:val="6C852D49"/>
    <w:rsid w:val="6C8908D8"/>
    <w:rsid w:val="6C8F1565"/>
    <w:rsid w:val="6C995782"/>
    <w:rsid w:val="6C9D0FB1"/>
    <w:rsid w:val="6D0A4265"/>
    <w:rsid w:val="6D164AC1"/>
    <w:rsid w:val="6D1F5F98"/>
    <w:rsid w:val="6D4E48F3"/>
    <w:rsid w:val="6D857735"/>
    <w:rsid w:val="6D8B427F"/>
    <w:rsid w:val="6D9B2DA9"/>
    <w:rsid w:val="6D9D3859"/>
    <w:rsid w:val="6DAA0F1E"/>
    <w:rsid w:val="6DEF3DE7"/>
    <w:rsid w:val="6DF219F0"/>
    <w:rsid w:val="6E200312"/>
    <w:rsid w:val="6E263A16"/>
    <w:rsid w:val="6E2F7E25"/>
    <w:rsid w:val="6E351DC2"/>
    <w:rsid w:val="6E7A34C8"/>
    <w:rsid w:val="6E822806"/>
    <w:rsid w:val="6EE06260"/>
    <w:rsid w:val="6EEA4C6C"/>
    <w:rsid w:val="6F17521C"/>
    <w:rsid w:val="6F7D00B0"/>
    <w:rsid w:val="6F9C689E"/>
    <w:rsid w:val="6FAB66F6"/>
    <w:rsid w:val="6FB361BB"/>
    <w:rsid w:val="6FD86C44"/>
    <w:rsid w:val="6FFB3BCE"/>
    <w:rsid w:val="6FFC5D64"/>
    <w:rsid w:val="70305B2F"/>
    <w:rsid w:val="70432C36"/>
    <w:rsid w:val="704A2680"/>
    <w:rsid w:val="70577091"/>
    <w:rsid w:val="706E7AC8"/>
    <w:rsid w:val="70901668"/>
    <w:rsid w:val="709B272B"/>
    <w:rsid w:val="70BD07B0"/>
    <w:rsid w:val="70C0153A"/>
    <w:rsid w:val="70C9728E"/>
    <w:rsid w:val="71291DF8"/>
    <w:rsid w:val="712B0DA0"/>
    <w:rsid w:val="712D43F2"/>
    <w:rsid w:val="715251DD"/>
    <w:rsid w:val="717479DE"/>
    <w:rsid w:val="71842C09"/>
    <w:rsid w:val="71906A7F"/>
    <w:rsid w:val="71B2171A"/>
    <w:rsid w:val="71B51EDE"/>
    <w:rsid w:val="71C56127"/>
    <w:rsid w:val="71E16922"/>
    <w:rsid w:val="71E5591F"/>
    <w:rsid w:val="72194DCA"/>
    <w:rsid w:val="7231134F"/>
    <w:rsid w:val="724B7FD3"/>
    <w:rsid w:val="72632151"/>
    <w:rsid w:val="729E2AD1"/>
    <w:rsid w:val="72BD364C"/>
    <w:rsid w:val="72E12F64"/>
    <w:rsid w:val="730125F2"/>
    <w:rsid w:val="733A3AC2"/>
    <w:rsid w:val="734E4869"/>
    <w:rsid w:val="73983F11"/>
    <w:rsid w:val="740A6A4A"/>
    <w:rsid w:val="74123AF5"/>
    <w:rsid w:val="74193428"/>
    <w:rsid w:val="741B1524"/>
    <w:rsid w:val="742522EA"/>
    <w:rsid w:val="742B43B3"/>
    <w:rsid w:val="7459417B"/>
    <w:rsid w:val="7471785E"/>
    <w:rsid w:val="74832C68"/>
    <w:rsid w:val="74C154BC"/>
    <w:rsid w:val="74C17090"/>
    <w:rsid w:val="74E837F7"/>
    <w:rsid w:val="74F74698"/>
    <w:rsid w:val="75105DB9"/>
    <w:rsid w:val="755B7303"/>
    <w:rsid w:val="756A42EA"/>
    <w:rsid w:val="75894D67"/>
    <w:rsid w:val="758F0B5D"/>
    <w:rsid w:val="75C31666"/>
    <w:rsid w:val="75C865CB"/>
    <w:rsid w:val="75DB6F21"/>
    <w:rsid w:val="75E95796"/>
    <w:rsid w:val="75FE1C50"/>
    <w:rsid w:val="760653F5"/>
    <w:rsid w:val="76382D09"/>
    <w:rsid w:val="768250F6"/>
    <w:rsid w:val="76BE5497"/>
    <w:rsid w:val="76CE49B5"/>
    <w:rsid w:val="76CF0232"/>
    <w:rsid w:val="76D83568"/>
    <w:rsid w:val="76E35D13"/>
    <w:rsid w:val="76E51098"/>
    <w:rsid w:val="76FC0BDC"/>
    <w:rsid w:val="7734127E"/>
    <w:rsid w:val="77384934"/>
    <w:rsid w:val="77400BCC"/>
    <w:rsid w:val="77577B6E"/>
    <w:rsid w:val="77780912"/>
    <w:rsid w:val="7785352B"/>
    <w:rsid w:val="77B75520"/>
    <w:rsid w:val="77BF49EB"/>
    <w:rsid w:val="77E97109"/>
    <w:rsid w:val="77E974BA"/>
    <w:rsid w:val="77FF0768"/>
    <w:rsid w:val="780920A2"/>
    <w:rsid w:val="781D06DC"/>
    <w:rsid w:val="781F41DD"/>
    <w:rsid w:val="782829F9"/>
    <w:rsid w:val="78381A5E"/>
    <w:rsid w:val="7855248D"/>
    <w:rsid w:val="788F2D63"/>
    <w:rsid w:val="789A28C7"/>
    <w:rsid w:val="78A57199"/>
    <w:rsid w:val="78AB163D"/>
    <w:rsid w:val="78B404AE"/>
    <w:rsid w:val="78BF1A88"/>
    <w:rsid w:val="78DB705D"/>
    <w:rsid w:val="791075CB"/>
    <w:rsid w:val="791302D5"/>
    <w:rsid w:val="796419CB"/>
    <w:rsid w:val="79794F50"/>
    <w:rsid w:val="7984239D"/>
    <w:rsid w:val="79991EEA"/>
    <w:rsid w:val="79B92076"/>
    <w:rsid w:val="79C47176"/>
    <w:rsid w:val="79E978EB"/>
    <w:rsid w:val="79F0317F"/>
    <w:rsid w:val="7AAB1658"/>
    <w:rsid w:val="7AB00F74"/>
    <w:rsid w:val="7AC52F60"/>
    <w:rsid w:val="7AEB58E2"/>
    <w:rsid w:val="7B117C64"/>
    <w:rsid w:val="7B48105E"/>
    <w:rsid w:val="7B534BF1"/>
    <w:rsid w:val="7B6B259F"/>
    <w:rsid w:val="7B980680"/>
    <w:rsid w:val="7BAD1212"/>
    <w:rsid w:val="7BF70CB6"/>
    <w:rsid w:val="7BF95732"/>
    <w:rsid w:val="7C11538B"/>
    <w:rsid w:val="7C220378"/>
    <w:rsid w:val="7C613D65"/>
    <w:rsid w:val="7C6723BD"/>
    <w:rsid w:val="7C8F4102"/>
    <w:rsid w:val="7C961098"/>
    <w:rsid w:val="7C9C0F16"/>
    <w:rsid w:val="7C9E7950"/>
    <w:rsid w:val="7CAA2DAF"/>
    <w:rsid w:val="7CB510B4"/>
    <w:rsid w:val="7CBD4E49"/>
    <w:rsid w:val="7CE25225"/>
    <w:rsid w:val="7CE31DA8"/>
    <w:rsid w:val="7CF2390F"/>
    <w:rsid w:val="7D166575"/>
    <w:rsid w:val="7D230305"/>
    <w:rsid w:val="7D2462B5"/>
    <w:rsid w:val="7D252BEB"/>
    <w:rsid w:val="7D287BAE"/>
    <w:rsid w:val="7D4234C4"/>
    <w:rsid w:val="7D606AA6"/>
    <w:rsid w:val="7D6336D6"/>
    <w:rsid w:val="7D671C04"/>
    <w:rsid w:val="7D843919"/>
    <w:rsid w:val="7DBD7FEA"/>
    <w:rsid w:val="7E077300"/>
    <w:rsid w:val="7E225C2D"/>
    <w:rsid w:val="7E297044"/>
    <w:rsid w:val="7E486FB4"/>
    <w:rsid w:val="7E7B758A"/>
    <w:rsid w:val="7EB115E8"/>
    <w:rsid w:val="7EB44151"/>
    <w:rsid w:val="7EFD417D"/>
    <w:rsid w:val="7F5401B9"/>
    <w:rsid w:val="7F6E2CB5"/>
    <w:rsid w:val="7F6F0485"/>
    <w:rsid w:val="7F6F7C74"/>
    <w:rsid w:val="7F736901"/>
    <w:rsid w:val="7F89110D"/>
    <w:rsid w:val="7FB336A4"/>
    <w:rsid w:val="7FBE2CAA"/>
    <w:rsid w:val="7FD657C5"/>
    <w:rsid w:val="7FF816EC"/>
    <w:rsid w:val="7FFA74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3"/>
    <w:qFormat/>
    <w:uiPriority w:val="0"/>
    <w:pPr>
      <w:keepNext/>
      <w:keepLines/>
      <w:numPr>
        <w:ilvl w:val="0"/>
        <w:numId w:val="1"/>
      </w:numPr>
      <w:spacing w:line="360" w:lineRule="auto"/>
      <w:ind w:left="0" w:firstLine="0"/>
      <w:jc w:val="center"/>
      <w:outlineLvl w:val="0"/>
    </w:pPr>
    <w:rPr>
      <w:rFonts w:ascii="宋体" w:hAnsi="宋体"/>
      <w:b/>
      <w:bCs/>
      <w:kern w:val="44"/>
      <w:sz w:val="32"/>
      <w:szCs w:val="32"/>
    </w:rPr>
  </w:style>
  <w:style w:type="paragraph" w:styleId="4">
    <w:name w:val="heading 2"/>
    <w:basedOn w:val="1"/>
    <w:next w:val="1"/>
    <w:link w:val="97"/>
    <w:qFormat/>
    <w:uiPriority w:val="0"/>
    <w:pPr>
      <w:keepNext/>
      <w:keepLines/>
      <w:widowControl w:val="0"/>
      <w:numPr>
        <w:ilvl w:val="1"/>
        <w:numId w:val="1"/>
      </w:numPr>
      <w:tabs>
        <w:tab w:val="left" w:pos="426"/>
        <w:tab w:val="left" w:pos="567"/>
      </w:tabs>
      <w:spacing w:line="360" w:lineRule="auto"/>
      <w:ind w:left="0" w:firstLine="0"/>
      <w:outlineLvl w:val="1"/>
    </w:pPr>
    <w:rPr>
      <w:rFonts w:ascii="宋体" w:hAnsi="宋体"/>
      <w:b/>
      <w:bCs/>
      <w:iCs/>
      <w:sz w:val="28"/>
      <w:szCs w:val="28"/>
    </w:rPr>
  </w:style>
  <w:style w:type="paragraph" w:styleId="5">
    <w:name w:val="heading 3"/>
    <w:basedOn w:val="1"/>
    <w:next w:val="1"/>
    <w:link w:val="99"/>
    <w:qFormat/>
    <w:uiPriority w:val="0"/>
    <w:pPr>
      <w:keepNext/>
      <w:keepLines/>
      <w:widowControl w:val="0"/>
      <w:numPr>
        <w:ilvl w:val="2"/>
        <w:numId w:val="1"/>
      </w:numPr>
      <w:spacing w:line="360" w:lineRule="auto"/>
      <w:ind w:left="0" w:firstLine="640" w:firstLineChars="200"/>
      <w:outlineLvl w:val="2"/>
    </w:pPr>
    <w:rPr>
      <w:rFonts w:ascii="宋体" w:hAnsi="宋体"/>
      <w:b/>
      <w:bCs/>
      <w:color w:val="000000"/>
      <w:kern w:val="2"/>
      <w:szCs w:val="28"/>
    </w:rPr>
  </w:style>
  <w:style w:type="paragraph" w:styleId="6">
    <w:name w:val="heading 4"/>
    <w:basedOn w:val="1"/>
    <w:next w:val="1"/>
    <w:link w:val="95"/>
    <w:qFormat/>
    <w:uiPriority w:val="0"/>
    <w:pPr>
      <w:keepNext/>
      <w:keepLines/>
      <w:widowControl w:val="0"/>
      <w:numPr>
        <w:ilvl w:val="0"/>
        <w:numId w:val="2"/>
      </w:numPr>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89"/>
    <w:qFormat/>
    <w:uiPriority w:val="0"/>
    <w:pPr>
      <w:keepNext/>
      <w:keepLines/>
      <w:widowControl w:val="0"/>
      <w:numPr>
        <w:ilvl w:val="4"/>
        <w:numId w:val="3"/>
      </w:numPr>
      <w:tabs>
        <w:tab w:val="left" w:pos="709"/>
        <w:tab w:val="clear" w:pos="992"/>
      </w:tabs>
      <w:autoSpaceDE w:val="0"/>
      <w:autoSpaceDN w:val="0"/>
      <w:adjustRightInd w:val="0"/>
      <w:spacing w:before="280" w:after="290" w:line="376" w:lineRule="auto"/>
      <w:ind w:left="0" w:firstLine="0"/>
      <w:jc w:val="both"/>
      <w:outlineLvl w:val="4"/>
    </w:pPr>
    <w:rPr>
      <w:b/>
      <w:bCs/>
      <w:sz w:val="28"/>
      <w:szCs w:val="28"/>
    </w:rPr>
  </w:style>
  <w:style w:type="paragraph" w:styleId="8">
    <w:name w:val="heading 6"/>
    <w:basedOn w:val="1"/>
    <w:next w:val="1"/>
    <w:link w:val="87"/>
    <w:qFormat/>
    <w:uiPriority w:val="0"/>
    <w:pPr>
      <w:keepNext/>
      <w:keepLines/>
      <w:widowControl w:val="0"/>
      <w:numPr>
        <w:ilvl w:val="5"/>
        <w:numId w:val="3"/>
      </w:numPr>
      <w:spacing w:before="240" w:after="64" w:line="320" w:lineRule="auto"/>
      <w:jc w:val="both"/>
      <w:outlineLvl w:val="5"/>
    </w:pPr>
    <w:rPr>
      <w:rFonts w:ascii="Arial" w:hAnsi="Arial" w:eastAsia="黑体"/>
      <w:b/>
      <w:bCs/>
      <w:kern w:val="2"/>
    </w:rPr>
  </w:style>
  <w:style w:type="paragraph" w:styleId="9">
    <w:name w:val="heading 7"/>
    <w:basedOn w:val="1"/>
    <w:next w:val="1"/>
    <w:link w:val="79"/>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56"/>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84"/>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5"/>
    <w:qFormat/>
    <w:uiPriority w:val="0"/>
    <w:pPr>
      <w:spacing w:after="120"/>
    </w:pPr>
  </w:style>
  <w:style w:type="paragraph" w:styleId="12">
    <w:name w:val="toc 7"/>
    <w:basedOn w:val="1"/>
    <w:next w:val="1"/>
    <w:qFormat/>
    <w:uiPriority w:val="0"/>
    <w:pPr>
      <w:widowControl w:val="0"/>
      <w:ind w:left="1080"/>
    </w:pPr>
    <w:rPr>
      <w:kern w:val="2"/>
      <w:sz w:val="18"/>
      <w:szCs w:val="20"/>
    </w:rPr>
  </w:style>
  <w:style w:type="paragraph" w:styleId="13">
    <w:name w:val="index 8"/>
    <w:basedOn w:val="1"/>
    <w:next w:val="1"/>
    <w:qFormat/>
    <w:uiPriority w:val="0"/>
    <w:pPr>
      <w:ind w:left="1400" w:leftChars="1400"/>
    </w:pPr>
    <w:rPr>
      <w:rFonts w:ascii="Times New Roman" w:hAnsi="Times New Roman"/>
      <w:szCs w:val="20"/>
    </w:rPr>
  </w:style>
  <w:style w:type="paragraph" w:styleId="14">
    <w:name w:val="Normal Indent"/>
    <w:basedOn w:val="1"/>
    <w:link w:val="82"/>
    <w:qFormat/>
    <w:uiPriority w:val="0"/>
    <w:pPr>
      <w:widowControl w:val="0"/>
      <w:spacing w:line="360" w:lineRule="auto"/>
      <w:ind w:firstLine="420" w:firstLineChars="200"/>
      <w:jc w:val="both"/>
    </w:pPr>
    <w:rPr>
      <w:kern w:val="2"/>
      <w:sz w:val="21"/>
    </w:rPr>
  </w:style>
  <w:style w:type="paragraph" w:styleId="15">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75"/>
    <w:unhideWhenUsed/>
    <w:qFormat/>
    <w:uiPriority w:val="99"/>
    <w:rPr>
      <w:rFonts w:ascii="宋体"/>
      <w:sz w:val="18"/>
      <w:szCs w:val="18"/>
    </w:rPr>
  </w:style>
  <w:style w:type="paragraph" w:styleId="17">
    <w:name w:val="annotation text"/>
    <w:basedOn w:val="1"/>
    <w:link w:val="57"/>
    <w:qFormat/>
    <w:uiPriority w:val="0"/>
    <w:pPr>
      <w:widowControl w:val="0"/>
    </w:pPr>
    <w:rPr>
      <w:kern w:val="2"/>
      <w:sz w:val="18"/>
      <w:szCs w:val="20"/>
    </w:rPr>
  </w:style>
  <w:style w:type="paragraph" w:styleId="18">
    <w:name w:val="Salutation"/>
    <w:basedOn w:val="1"/>
    <w:next w:val="1"/>
    <w:link w:val="83"/>
    <w:qFormat/>
    <w:uiPriority w:val="0"/>
    <w:pPr>
      <w:widowControl w:val="0"/>
      <w:jc w:val="both"/>
    </w:pPr>
    <w:rPr>
      <w:rFonts w:eastAsia="黑体"/>
      <w:kern w:val="2"/>
      <w:szCs w:val="20"/>
    </w:rPr>
  </w:style>
  <w:style w:type="paragraph" w:styleId="19">
    <w:name w:val="Body Text 3"/>
    <w:basedOn w:val="1"/>
    <w:link w:val="96"/>
    <w:qFormat/>
    <w:uiPriority w:val="0"/>
    <w:pPr>
      <w:spacing w:after="120"/>
    </w:pPr>
    <w:rPr>
      <w:sz w:val="16"/>
      <w:szCs w:val="16"/>
    </w:rPr>
  </w:style>
  <w:style w:type="paragraph" w:styleId="20">
    <w:name w:val="Body Text Indent"/>
    <w:basedOn w:val="1"/>
    <w:link w:val="80"/>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1">
    <w:name w:val="Block Text"/>
    <w:basedOn w:val="1"/>
    <w:qFormat/>
    <w:uiPriority w:val="0"/>
    <w:pPr>
      <w:widowControl w:val="0"/>
      <w:ind w:left="-540" w:leftChars="-257" w:right="-334" w:rightChars="-159" w:firstLine="540" w:firstLineChars="180"/>
      <w:jc w:val="both"/>
    </w:pPr>
    <w:rPr>
      <w:kern w:val="2"/>
      <w:sz w:val="30"/>
    </w:rPr>
  </w:style>
  <w:style w:type="paragraph" w:styleId="22">
    <w:name w:val="toc 5"/>
    <w:basedOn w:val="1"/>
    <w:next w:val="1"/>
    <w:qFormat/>
    <w:uiPriority w:val="0"/>
    <w:pPr>
      <w:widowControl w:val="0"/>
      <w:ind w:left="720"/>
    </w:pPr>
    <w:rPr>
      <w:kern w:val="2"/>
      <w:sz w:val="18"/>
      <w:szCs w:val="20"/>
    </w:rPr>
  </w:style>
  <w:style w:type="paragraph" w:styleId="23">
    <w:name w:val="toc 3"/>
    <w:basedOn w:val="1"/>
    <w:next w:val="1"/>
    <w:qFormat/>
    <w:uiPriority w:val="0"/>
    <w:pPr>
      <w:widowControl w:val="0"/>
      <w:ind w:left="360"/>
    </w:pPr>
    <w:rPr>
      <w:i/>
      <w:kern w:val="2"/>
      <w:sz w:val="20"/>
      <w:szCs w:val="20"/>
    </w:rPr>
  </w:style>
  <w:style w:type="paragraph" w:styleId="24">
    <w:name w:val="Plain Text"/>
    <w:basedOn w:val="1"/>
    <w:link w:val="101"/>
    <w:qFormat/>
    <w:uiPriority w:val="0"/>
    <w:pPr>
      <w:widowControl w:val="0"/>
      <w:autoSpaceDE w:val="0"/>
      <w:autoSpaceDN w:val="0"/>
      <w:adjustRightInd w:val="0"/>
      <w:jc w:val="both"/>
    </w:pPr>
    <w:rPr>
      <w:rFonts w:ascii="宋体" w:hAnsi="Tms Rmn"/>
      <w:sz w:val="21"/>
      <w:szCs w:val="21"/>
    </w:rPr>
  </w:style>
  <w:style w:type="paragraph" w:styleId="25">
    <w:name w:val="toc 8"/>
    <w:basedOn w:val="1"/>
    <w:next w:val="1"/>
    <w:qFormat/>
    <w:uiPriority w:val="0"/>
    <w:pPr>
      <w:widowControl w:val="0"/>
      <w:ind w:left="1260"/>
    </w:pPr>
    <w:rPr>
      <w:kern w:val="2"/>
      <w:sz w:val="18"/>
      <w:szCs w:val="20"/>
    </w:rPr>
  </w:style>
  <w:style w:type="paragraph" w:styleId="26">
    <w:name w:val="Date"/>
    <w:basedOn w:val="1"/>
    <w:next w:val="1"/>
    <w:link w:val="76"/>
    <w:qFormat/>
    <w:uiPriority w:val="0"/>
    <w:pPr>
      <w:ind w:left="100" w:leftChars="2500"/>
    </w:pPr>
  </w:style>
  <w:style w:type="paragraph" w:styleId="27">
    <w:name w:val="Body Text Indent 2"/>
    <w:basedOn w:val="1"/>
    <w:link w:val="94"/>
    <w:qFormat/>
    <w:uiPriority w:val="0"/>
    <w:pPr>
      <w:widowControl w:val="0"/>
      <w:ind w:firstLine="540" w:firstLineChars="257"/>
      <w:jc w:val="both"/>
    </w:pPr>
    <w:rPr>
      <w:kern w:val="2"/>
      <w:sz w:val="21"/>
    </w:rPr>
  </w:style>
  <w:style w:type="paragraph" w:styleId="28">
    <w:name w:val="Balloon Text"/>
    <w:basedOn w:val="1"/>
    <w:link w:val="88"/>
    <w:semiHidden/>
    <w:qFormat/>
    <w:uiPriority w:val="0"/>
    <w:rPr>
      <w:sz w:val="18"/>
      <w:szCs w:val="18"/>
    </w:rPr>
  </w:style>
  <w:style w:type="paragraph" w:styleId="29">
    <w:name w:val="footer"/>
    <w:basedOn w:val="1"/>
    <w:link w:val="73"/>
    <w:qFormat/>
    <w:uiPriority w:val="99"/>
    <w:pPr>
      <w:tabs>
        <w:tab w:val="center" w:pos="4153"/>
        <w:tab w:val="right" w:pos="8306"/>
      </w:tabs>
      <w:snapToGrid w:val="0"/>
    </w:pPr>
    <w:rPr>
      <w:sz w:val="18"/>
      <w:szCs w:val="18"/>
    </w:rPr>
  </w:style>
  <w:style w:type="paragraph" w:styleId="30">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0"/>
    <w:pPr>
      <w:widowControl w:val="0"/>
      <w:ind w:left="540"/>
    </w:pPr>
    <w:rPr>
      <w:kern w:val="2"/>
      <w:sz w:val="18"/>
      <w:szCs w:val="20"/>
    </w:rPr>
  </w:style>
  <w:style w:type="paragraph" w:styleId="33">
    <w:name w:val="Subtitle"/>
    <w:basedOn w:val="1"/>
    <w:next w:val="1"/>
    <w:qFormat/>
    <w:uiPriority w:val="0"/>
    <w:rPr>
      <w:rFonts w:ascii="宋体"/>
      <w:sz w:val="28"/>
      <w:szCs w:val="20"/>
    </w:rPr>
  </w:style>
  <w:style w:type="paragraph" w:styleId="34">
    <w:name w:val="toc 6"/>
    <w:basedOn w:val="1"/>
    <w:next w:val="1"/>
    <w:semiHidden/>
    <w:qFormat/>
    <w:uiPriority w:val="0"/>
    <w:pPr>
      <w:ind w:left="1200"/>
    </w:pPr>
    <w:rPr>
      <w:sz w:val="18"/>
      <w:szCs w:val="18"/>
    </w:rPr>
  </w:style>
  <w:style w:type="paragraph" w:styleId="35">
    <w:name w:val="Body Text Indent 3"/>
    <w:basedOn w:val="1"/>
    <w:link w:val="78"/>
    <w:qFormat/>
    <w:uiPriority w:val="0"/>
    <w:pPr>
      <w:widowControl w:val="0"/>
      <w:spacing w:after="120"/>
      <w:ind w:left="420" w:leftChars="200"/>
      <w:jc w:val="both"/>
    </w:pPr>
    <w:rPr>
      <w:kern w:val="2"/>
      <w:sz w:val="16"/>
      <w:szCs w:val="16"/>
    </w:rPr>
  </w:style>
  <w:style w:type="paragraph" w:styleId="36">
    <w:name w:val="toc 2"/>
    <w:basedOn w:val="1"/>
    <w:next w:val="1"/>
    <w:qFormat/>
    <w:uiPriority w:val="39"/>
    <w:pPr>
      <w:ind w:left="240"/>
    </w:pPr>
    <w:rPr>
      <w:smallCaps/>
      <w:szCs w:val="20"/>
    </w:rPr>
  </w:style>
  <w:style w:type="paragraph" w:styleId="37">
    <w:name w:val="toc 9"/>
    <w:basedOn w:val="1"/>
    <w:next w:val="1"/>
    <w:qFormat/>
    <w:uiPriority w:val="0"/>
    <w:pPr>
      <w:widowControl w:val="0"/>
      <w:ind w:left="1440"/>
    </w:pPr>
    <w:rPr>
      <w:kern w:val="2"/>
      <w:sz w:val="18"/>
      <w:szCs w:val="20"/>
    </w:rPr>
  </w:style>
  <w:style w:type="paragraph" w:styleId="38">
    <w:name w:val="Body Text 2"/>
    <w:basedOn w:val="1"/>
    <w:link w:val="69"/>
    <w:qFormat/>
    <w:uiPriority w:val="0"/>
    <w:pPr>
      <w:widowControl w:val="0"/>
      <w:autoSpaceDE w:val="0"/>
      <w:autoSpaceDN w:val="0"/>
      <w:adjustRightInd w:val="0"/>
      <w:spacing w:after="120" w:line="480" w:lineRule="auto"/>
      <w:jc w:val="both"/>
    </w:pPr>
    <w:rPr>
      <w:sz w:val="21"/>
      <w:szCs w:val="21"/>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00"/>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7"/>
    <w:next w:val="17"/>
    <w:link w:val="55"/>
    <w:qFormat/>
    <w:uiPriority w:val="0"/>
    <w:rPr>
      <w:b/>
    </w:rPr>
  </w:style>
  <w:style w:type="paragraph" w:styleId="42">
    <w:name w:val="Body Text First Indent"/>
    <w:basedOn w:val="2"/>
    <w:link w:val="81"/>
    <w:qFormat/>
    <w:uiPriority w:val="0"/>
    <w:pPr>
      <w:widowControl w:val="0"/>
      <w:ind w:firstLine="420" w:firstLineChars="100"/>
      <w:jc w:val="both"/>
    </w:pPr>
    <w:rPr>
      <w:rFonts w:ascii="宋体" w:hAnsi="宋体"/>
      <w:kern w:val="2"/>
      <w:sz w:val="21"/>
    </w:rPr>
  </w:style>
  <w:style w:type="paragraph" w:styleId="43">
    <w:name w:val="Body Text First Indent 2"/>
    <w:basedOn w:val="20"/>
    <w:qFormat/>
    <w:uiPriority w:val="0"/>
    <w:pPr>
      <w:spacing w:before="100" w:beforeAutospacing="1"/>
      <w:ind w:firstLine="420" w:firstLineChars="200"/>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rPr>
  </w:style>
  <w:style w:type="paragraph" w:styleId="53">
    <w:name w:val="Quote"/>
    <w:basedOn w:val="1"/>
    <w:next w:val="1"/>
    <w:qFormat/>
    <w:uiPriority w:val="0"/>
    <w:pPr>
      <w:wordWrap w:val="0"/>
      <w:spacing w:before="200" w:after="160"/>
      <w:ind w:left="864" w:right="864"/>
      <w:jc w:val="center"/>
    </w:pPr>
    <w:rPr>
      <w:i/>
    </w:rPr>
  </w:style>
  <w:style w:type="paragraph" w:customStyle="1" w:styleId="54">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55">
    <w:name w:val="批注主题 Char"/>
    <w:link w:val="41"/>
    <w:qFormat/>
    <w:uiPriority w:val="0"/>
    <w:rPr>
      <w:b/>
      <w:kern w:val="2"/>
      <w:sz w:val="18"/>
    </w:rPr>
  </w:style>
  <w:style w:type="character" w:customStyle="1" w:styleId="56">
    <w:name w:val="标题 8 Char"/>
    <w:link w:val="10"/>
    <w:qFormat/>
    <w:uiPriority w:val="0"/>
    <w:rPr>
      <w:rFonts w:ascii="Arial" w:hAnsi="Arial" w:eastAsia="黑体"/>
      <w:kern w:val="2"/>
      <w:sz w:val="24"/>
    </w:rPr>
  </w:style>
  <w:style w:type="character" w:customStyle="1" w:styleId="57">
    <w:name w:val="批注文字 Char"/>
    <w:link w:val="17"/>
    <w:qFormat/>
    <w:uiPriority w:val="0"/>
    <w:rPr>
      <w:kern w:val="2"/>
      <w:sz w:val="18"/>
    </w:rPr>
  </w:style>
  <w:style w:type="character" w:customStyle="1" w:styleId="58">
    <w:name w:val="fontblank12"/>
    <w:basedOn w:val="47"/>
    <w:qFormat/>
    <w:uiPriority w:val="0"/>
  </w:style>
  <w:style w:type="character" w:customStyle="1" w:styleId="59">
    <w:name w:val="标书（正文） Char"/>
    <w:link w:val="60"/>
    <w:qFormat/>
    <w:uiPriority w:val="0"/>
    <w:rPr>
      <w:rFonts w:ascii="宋体" w:hAnsi="宋体"/>
      <w:b/>
      <w:kern w:val="10"/>
      <w:sz w:val="21"/>
    </w:rPr>
  </w:style>
  <w:style w:type="paragraph" w:customStyle="1" w:styleId="60">
    <w:name w:val="标书（正文）"/>
    <w:basedOn w:val="1"/>
    <w:link w:val="59"/>
    <w:qFormat/>
    <w:uiPriority w:val="0"/>
    <w:pPr>
      <w:widowControl w:val="0"/>
      <w:spacing w:line="360" w:lineRule="auto"/>
      <w:ind w:firstLine="560" w:firstLineChars="200"/>
      <w:jc w:val="both"/>
    </w:pPr>
    <w:rPr>
      <w:rFonts w:ascii="宋体" w:hAnsi="宋体"/>
      <w:b/>
      <w:kern w:val="10"/>
      <w:sz w:val="21"/>
      <w:szCs w:val="20"/>
    </w:rPr>
  </w:style>
  <w:style w:type="character" w:customStyle="1" w:styleId="61">
    <w:name w:val="Char Char4"/>
    <w:qFormat/>
    <w:uiPriority w:val="0"/>
    <w:rPr>
      <w:rFonts w:ascii="宋体" w:hAnsi="Courier New" w:eastAsia="宋体"/>
      <w:kern w:val="2"/>
      <w:sz w:val="21"/>
      <w:lang w:val="en-US" w:eastAsia="zh-CN"/>
    </w:rPr>
  </w:style>
  <w:style w:type="character" w:customStyle="1" w:styleId="62">
    <w:name w:val="textnormchn1"/>
    <w:basedOn w:val="47"/>
    <w:qFormat/>
    <w:uiPriority w:val="0"/>
  </w:style>
  <w:style w:type="character" w:customStyle="1" w:styleId="63">
    <w:name w:val="标题 1 Char"/>
    <w:link w:val="3"/>
    <w:qFormat/>
    <w:uiPriority w:val="0"/>
    <w:rPr>
      <w:rFonts w:ascii="宋体" w:hAnsi="宋体"/>
      <w:b/>
      <w:bCs/>
      <w:kern w:val="44"/>
      <w:sz w:val="32"/>
      <w:szCs w:val="32"/>
    </w:rPr>
  </w:style>
  <w:style w:type="character" w:customStyle="1" w:styleId="64">
    <w:name w:val="列出段落 Char"/>
    <w:link w:val="65"/>
    <w:qFormat/>
    <w:uiPriority w:val="0"/>
    <w:rPr>
      <w:sz w:val="24"/>
      <w:szCs w:val="24"/>
    </w:rPr>
  </w:style>
  <w:style w:type="paragraph" w:customStyle="1" w:styleId="65">
    <w:name w:val="列出段落1"/>
    <w:basedOn w:val="1"/>
    <w:link w:val="64"/>
    <w:qFormat/>
    <w:uiPriority w:val="0"/>
    <w:pPr>
      <w:ind w:firstLine="420" w:firstLineChars="200"/>
    </w:pPr>
  </w:style>
  <w:style w:type="character" w:customStyle="1" w:styleId="66">
    <w:name w:val="CD正文 Char"/>
    <w:link w:val="67"/>
    <w:qFormat/>
    <w:uiPriority w:val="0"/>
    <w:rPr>
      <w:kern w:val="2"/>
      <w:sz w:val="30"/>
      <w:szCs w:val="28"/>
    </w:rPr>
  </w:style>
  <w:style w:type="paragraph" w:customStyle="1" w:styleId="67">
    <w:name w:val="CD正文"/>
    <w:basedOn w:val="68"/>
    <w:link w:val="66"/>
    <w:qFormat/>
    <w:uiPriority w:val="0"/>
    <w:pPr>
      <w:ind w:firstLine="493"/>
    </w:pPr>
    <w:rPr>
      <w:sz w:val="30"/>
      <w:szCs w:val="28"/>
    </w:rPr>
  </w:style>
  <w:style w:type="paragraph" w:customStyle="1" w:styleId="68">
    <w:name w:val="文章正文"/>
    <w:basedOn w:val="1"/>
    <w:link w:val="77"/>
    <w:qFormat/>
    <w:uiPriority w:val="0"/>
    <w:pPr>
      <w:widowControl w:val="0"/>
      <w:spacing w:line="360" w:lineRule="auto"/>
      <w:ind w:firstLine="420"/>
      <w:jc w:val="both"/>
    </w:pPr>
    <w:rPr>
      <w:kern w:val="2"/>
    </w:rPr>
  </w:style>
  <w:style w:type="character" w:customStyle="1" w:styleId="69">
    <w:name w:val="正文文本 2 Char"/>
    <w:link w:val="38"/>
    <w:qFormat/>
    <w:uiPriority w:val="0"/>
    <w:rPr>
      <w:sz w:val="21"/>
      <w:szCs w:val="21"/>
    </w:rPr>
  </w:style>
  <w:style w:type="character" w:customStyle="1" w:styleId="70">
    <w:name w:val="（符号）三标题1.1 Char Char"/>
    <w:link w:val="71"/>
    <w:qFormat/>
    <w:uiPriority w:val="0"/>
    <w:rPr>
      <w:rFonts w:ascii="宋体" w:hAnsi="宋体"/>
      <w:kern w:val="2"/>
      <w:sz w:val="24"/>
      <w:szCs w:val="24"/>
    </w:rPr>
  </w:style>
  <w:style w:type="paragraph" w:customStyle="1" w:styleId="71">
    <w:name w:val="（符号）三标题1.1"/>
    <w:basedOn w:val="1"/>
    <w:link w:val="70"/>
    <w:qFormat/>
    <w:uiPriority w:val="0"/>
    <w:pPr>
      <w:widowControl w:val="0"/>
      <w:numPr>
        <w:ilvl w:val="1"/>
        <w:numId w:val="4"/>
      </w:numPr>
      <w:tabs>
        <w:tab w:val="left" w:pos="700"/>
        <w:tab w:val="left" w:pos="840"/>
      </w:tabs>
      <w:spacing w:line="500" w:lineRule="exact"/>
      <w:jc w:val="both"/>
    </w:pPr>
    <w:rPr>
      <w:rFonts w:ascii="宋体" w:hAnsi="宋体"/>
      <w:kern w:val="2"/>
    </w:rPr>
  </w:style>
  <w:style w:type="character" w:customStyle="1" w:styleId="72">
    <w:name w:val="grame"/>
    <w:basedOn w:val="47"/>
    <w:qFormat/>
    <w:uiPriority w:val="0"/>
  </w:style>
  <w:style w:type="character" w:customStyle="1" w:styleId="73">
    <w:name w:val="页脚 Char"/>
    <w:link w:val="29"/>
    <w:qFormat/>
    <w:uiPriority w:val="99"/>
    <w:rPr>
      <w:sz w:val="18"/>
      <w:szCs w:val="18"/>
    </w:rPr>
  </w:style>
  <w:style w:type="character" w:customStyle="1" w:styleId="74">
    <w:name w:val="keyword"/>
    <w:basedOn w:val="47"/>
    <w:qFormat/>
    <w:uiPriority w:val="0"/>
  </w:style>
  <w:style w:type="character" w:customStyle="1" w:styleId="75">
    <w:name w:val="文档结构图 Char"/>
    <w:link w:val="16"/>
    <w:semiHidden/>
    <w:qFormat/>
    <w:uiPriority w:val="99"/>
    <w:rPr>
      <w:rFonts w:ascii="宋体"/>
      <w:sz w:val="18"/>
      <w:szCs w:val="18"/>
    </w:rPr>
  </w:style>
  <w:style w:type="character" w:customStyle="1" w:styleId="76">
    <w:name w:val="日期 Char"/>
    <w:link w:val="26"/>
    <w:qFormat/>
    <w:uiPriority w:val="0"/>
    <w:rPr>
      <w:sz w:val="24"/>
      <w:szCs w:val="24"/>
    </w:rPr>
  </w:style>
  <w:style w:type="character" w:customStyle="1" w:styleId="77">
    <w:name w:val="文章正文 Char"/>
    <w:link w:val="68"/>
    <w:qFormat/>
    <w:uiPriority w:val="0"/>
    <w:rPr>
      <w:kern w:val="2"/>
      <w:sz w:val="24"/>
      <w:szCs w:val="24"/>
    </w:rPr>
  </w:style>
  <w:style w:type="character" w:customStyle="1" w:styleId="78">
    <w:name w:val="正文文本缩进 3 Char"/>
    <w:link w:val="35"/>
    <w:qFormat/>
    <w:uiPriority w:val="0"/>
    <w:rPr>
      <w:kern w:val="2"/>
      <w:sz w:val="16"/>
      <w:szCs w:val="16"/>
    </w:rPr>
  </w:style>
  <w:style w:type="character" w:customStyle="1" w:styleId="79">
    <w:name w:val="标题 7 Char"/>
    <w:link w:val="9"/>
    <w:qFormat/>
    <w:uiPriority w:val="0"/>
    <w:rPr>
      <w:rFonts w:ascii="Arial Narrow" w:hAnsi="Arial Narrow"/>
      <w:b/>
      <w:lang w:eastAsia="en-US"/>
    </w:rPr>
  </w:style>
  <w:style w:type="character" w:customStyle="1" w:styleId="80">
    <w:name w:val="正文文本缩进 Char"/>
    <w:link w:val="20"/>
    <w:qFormat/>
    <w:uiPriority w:val="0"/>
    <w:rPr>
      <w:rFonts w:ascii="宋体"/>
      <w:sz w:val="30"/>
      <w:szCs w:val="24"/>
    </w:rPr>
  </w:style>
  <w:style w:type="character" w:customStyle="1" w:styleId="81">
    <w:name w:val="正文首行缩进 Char"/>
    <w:link w:val="42"/>
    <w:qFormat/>
    <w:uiPriority w:val="0"/>
    <w:rPr>
      <w:rFonts w:ascii="宋体" w:hAnsi="宋体"/>
      <w:kern w:val="2"/>
      <w:sz w:val="21"/>
      <w:szCs w:val="24"/>
    </w:rPr>
  </w:style>
  <w:style w:type="character" w:customStyle="1" w:styleId="82">
    <w:name w:val="正文缩进 Char"/>
    <w:link w:val="14"/>
    <w:qFormat/>
    <w:uiPriority w:val="0"/>
    <w:rPr>
      <w:kern w:val="2"/>
      <w:sz w:val="21"/>
      <w:szCs w:val="24"/>
    </w:rPr>
  </w:style>
  <w:style w:type="character" w:customStyle="1" w:styleId="83">
    <w:name w:val="称呼 Char"/>
    <w:link w:val="18"/>
    <w:qFormat/>
    <w:uiPriority w:val="0"/>
    <w:rPr>
      <w:rFonts w:eastAsia="黑体"/>
      <w:kern w:val="2"/>
      <w:sz w:val="24"/>
    </w:rPr>
  </w:style>
  <w:style w:type="character" w:customStyle="1" w:styleId="84">
    <w:name w:val="标题 9 Char"/>
    <w:link w:val="11"/>
    <w:qFormat/>
    <w:uiPriority w:val="0"/>
    <w:rPr>
      <w:rFonts w:ascii="Arial" w:hAnsi="Arial" w:eastAsia="黑体"/>
      <w:kern w:val="2"/>
      <w:sz w:val="21"/>
    </w:rPr>
  </w:style>
  <w:style w:type="character" w:customStyle="1" w:styleId="85">
    <w:name w:val="正文文本 Char"/>
    <w:link w:val="2"/>
    <w:qFormat/>
    <w:uiPriority w:val="0"/>
    <w:rPr>
      <w:sz w:val="24"/>
      <w:szCs w:val="24"/>
    </w:rPr>
  </w:style>
  <w:style w:type="character" w:customStyle="1" w:styleId="86">
    <w:name w:val="Char Char40"/>
    <w:qFormat/>
    <w:uiPriority w:val="0"/>
    <w:rPr>
      <w:kern w:val="2"/>
      <w:sz w:val="24"/>
      <w:szCs w:val="24"/>
    </w:rPr>
  </w:style>
  <w:style w:type="character" w:customStyle="1" w:styleId="87">
    <w:name w:val="标题 6 Char"/>
    <w:link w:val="8"/>
    <w:qFormat/>
    <w:uiPriority w:val="0"/>
    <w:rPr>
      <w:rFonts w:ascii="Arial" w:hAnsi="Arial" w:eastAsia="黑体"/>
      <w:b/>
      <w:bCs/>
      <w:kern w:val="2"/>
      <w:sz w:val="24"/>
      <w:szCs w:val="24"/>
    </w:rPr>
  </w:style>
  <w:style w:type="character" w:customStyle="1" w:styleId="88">
    <w:name w:val="批注框文本 Char"/>
    <w:link w:val="28"/>
    <w:semiHidden/>
    <w:qFormat/>
    <w:uiPriority w:val="0"/>
    <w:rPr>
      <w:sz w:val="18"/>
      <w:szCs w:val="18"/>
    </w:rPr>
  </w:style>
  <w:style w:type="character" w:customStyle="1" w:styleId="89">
    <w:name w:val="标题 5 Char"/>
    <w:link w:val="7"/>
    <w:qFormat/>
    <w:uiPriority w:val="0"/>
    <w:rPr>
      <w:rFonts w:ascii="Times New Roman" w:hAnsi="Times New Roman"/>
      <w:b/>
      <w:bCs/>
      <w:sz w:val="28"/>
      <w:szCs w:val="28"/>
    </w:rPr>
  </w:style>
  <w:style w:type="character" w:customStyle="1" w:styleId="90">
    <w:name w:val="WW8Num9z0"/>
    <w:qFormat/>
    <w:uiPriority w:val="0"/>
    <w:rPr>
      <w:rFonts w:ascii="Wingdings" w:hAnsi="Wingdings"/>
    </w:rPr>
  </w:style>
  <w:style w:type="character" w:customStyle="1" w:styleId="91">
    <w:name w:val="magic-list1"/>
    <w:qFormat/>
    <w:uiPriority w:val="0"/>
    <w:rPr>
      <w:rFonts w:hint="default" w:ascii="ˎ̥" w:hAnsi="ˎ̥"/>
      <w:color w:val="000000"/>
      <w:sz w:val="20"/>
      <w:u w:val="none"/>
    </w:rPr>
  </w:style>
  <w:style w:type="character" w:customStyle="1" w:styleId="92">
    <w:name w:val="small"/>
    <w:basedOn w:val="47"/>
    <w:qFormat/>
    <w:uiPriority w:val="0"/>
  </w:style>
  <w:style w:type="character" w:customStyle="1" w:styleId="93">
    <w:name w:val="页眉 Char"/>
    <w:link w:val="30"/>
    <w:qFormat/>
    <w:uiPriority w:val="0"/>
    <w:rPr>
      <w:sz w:val="18"/>
      <w:szCs w:val="18"/>
    </w:rPr>
  </w:style>
  <w:style w:type="character" w:customStyle="1" w:styleId="94">
    <w:name w:val="正文文本缩进 2 Char"/>
    <w:link w:val="27"/>
    <w:qFormat/>
    <w:uiPriority w:val="0"/>
    <w:rPr>
      <w:kern w:val="2"/>
      <w:sz w:val="21"/>
      <w:szCs w:val="24"/>
    </w:rPr>
  </w:style>
  <w:style w:type="character" w:customStyle="1" w:styleId="95">
    <w:name w:val="标题 4 Char"/>
    <w:link w:val="6"/>
    <w:qFormat/>
    <w:uiPriority w:val="0"/>
    <w:rPr>
      <w:rFonts w:ascii="宋体" w:hAnsi="宋体"/>
      <w:b/>
      <w:bCs/>
      <w:sz w:val="28"/>
      <w:szCs w:val="28"/>
    </w:rPr>
  </w:style>
  <w:style w:type="character" w:customStyle="1" w:styleId="96">
    <w:name w:val="正文文本 3 Char"/>
    <w:link w:val="19"/>
    <w:qFormat/>
    <w:uiPriority w:val="0"/>
    <w:rPr>
      <w:sz w:val="16"/>
      <w:szCs w:val="16"/>
    </w:rPr>
  </w:style>
  <w:style w:type="character" w:customStyle="1" w:styleId="97">
    <w:name w:val="标题 2 Char"/>
    <w:link w:val="4"/>
    <w:qFormat/>
    <w:uiPriority w:val="0"/>
    <w:rPr>
      <w:rFonts w:ascii="宋体" w:hAnsi="宋体"/>
      <w:b/>
      <w:bCs/>
      <w:iCs/>
      <w:sz w:val="28"/>
      <w:szCs w:val="28"/>
    </w:rPr>
  </w:style>
  <w:style w:type="character" w:customStyle="1" w:styleId="98">
    <w:name w:val="纯文本 Char1"/>
    <w:unhideWhenUsed/>
    <w:qFormat/>
    <w:uiPriority w:val="99"/>
    <w:rPr>
      <w:rFonts w:hint="eastAsia" w:ascii="宋体" w:hAnsi="Tms Rmn" w:eastAsia="宋体"/>
      <w:sz w:val="21"/>
      <w:lang w:val="en-US" w:eastAsia="zh-CN"/>
    </w:rPr>
  </w:style>
  <w:style w:type="character" w:customStyle="1" w:styleId="99">
    <w:name w:val="标题 3 Char"/>
    <w:link w:val="5"/>
    <w:qFormat/>
    <w:uiPriority w:val="0"/>
    <w:rPr>
      <w:rFonts w:ascii="宋体" w:hAnsi="宋体"/>
      <w:b/>
      <w:bCs/>
      <w:color w:val="000000"/>
      <w:kern w:val="2"/>
      <w:sz w:val="24"/>
      <w:szCs w:val="28"/>
    </w:rPr>
  </w:style>
  <w:style w:type="character" w:customStyle="1" w:styleId="100">
    <w:name w:val="标题 Char"/>
    <w:link w:val="40"/>
    <w:qFormat/>
    <w:uiPriority w:val="0"/>
    <w:rPr>
      <w:rFonts w:ascii="Cambria" w:hAnsi="Cambria"/>
      <w:b/>
      <w:bCs/>
      <w:kern w:val="2"/>
      <w:sz w:val="32"/>
      <w:szCs w:val="32"/>
    </w:rPr>
  </w:style>
  <w:style w:type="character" w:customStyle="1" w:styleId="101">
    <w:name w:val="纯文本 Char"/>
    <w:link w:val="24"/>
    <w:qFormat/>
    <w:uiPriority w:val="0"/>
    <w:rPr>
      <w:rFonts w:ascii="宋体" w:hAnsi="Tms Rmn" w:cs="宋体"/>
      <w:sz w:val="21"/>
      <w:szCs w:val="21"/>
    </w:rPr>
  </w:style>
  <w:style w:type="character" w:customStyle="1" w:styleId="102">
    <w:name w:val="H4 Char"/>
    <w:qFormat/>
    <w:uiPriority w:val="0"/>
    <w:rPr>
      <w:rFonts w:ascii="Arial" w:hAnsi="Arial" w:eastAsia="宋体"/>
      <w:b/>
      <w:kern w:val="2"/>
      <w:sz w:val="28"/>
      <w:lang w:val="en-US" w:eastAsia="zh-CN"/>
    </w:rPr>
  </w:style>
  <w:style w:type="character" w:customStyle="1" w:styleId="103">
    <w:name w:val="正文缩进 Char1"/>
    <w:qFormat/>
    <w:uiPriority w:val="0"/>
    <w:rPr>
      <w:kern w:val="2"/>
      <w:sz w:val="21"/>
      <w:szCs w:val="24"/>
    </w:rPr>
  </w:style>
  <w:style w:type="paragraph" w:customStyle="1" w:styleId="104">
    <w:name w:val="MM Topic 9"/>
    <w:basedOn w:val="11"/>
    <w:qFormat/>
    <w:uiPriority w:val="0"/>
    <w:pPr>
      <w:tabs>
        <w:tab w:val="left" w:pos="5102"/>
      </w:tabs>
    </w:pPr>
  </w:style>
  <w:style w:type="paragraph" w:customStyle="1" w:styleId="105">
    <w:name w:val="默认段落字体 Para Char Char Char Char Char Char Char Char Char Char Char Char Char Char Char Char"/>
    <w:basedOn w:val="16"/>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06">
    <w:name w:val="强调2"/>
    <w:basedOn w:val="107"/>
    <w:qFormat/>
    <w:uiPriority w:val="0"/>
    <w:pPr>
      <w:numPr>
        <w:ilvl w:val="1"/>
      </w:numPr>
      <w:tabs>
        <w:tab w:val="left" w:pos="360"/>
        <w:tab w:val="left" w:pos="1918"/>
      </w:tabs>
      <w:ind w:left="1918"/>
    </w:pPr>
  </w:style>
  <w:style w:type="paragraph" w:customStyle="1" w:styleId="107">
    <w:name w:val="强调1"/>
    <w:basedOn w:val="1"/>
    <w:qFormat/>
    <w:uiPriority w:val="0"/>
    <w:pPr>
      <w:widowControl w:val="0"/>
      <w:numPr>
        <w:ilvl w:val="0"/>
        <w:numId w:val="5"/>
      </w:numPr>
      <w:spacing w:line="360" w:lineRule="auto"/>
      <w:ind w:firstLine="0"/>
      <w:jc w:val="both"/>
    </w:pPr>
    <w:rPr>
      <w:rFonts w:ascii="楷体_GB2312" w:hAnsi="仿宋" w:eastAsia="楷体_GB2312"/>
      <w:kern w:val="2"/>
      <w:sz w:val="28"/>
      <w:szCs w:val="28"/>
    </w:rPr>
  </w:style>
  <w:style w:type="paragraph" w:customStyle="1" w:styleId="108">
    <w:name w:val="Char Char Char Char"/>
    <w:basedOn w:val="1"/>
    <w:next w:val="1"/>
    <w:qFormat/>
    <w:uiPriority w:val="0"/>
    <w:pPr>
      <w:widowControl w:val="0"/>
      <w:spacing w:line="240" w:lineRule="atLeast"/>
      <w:ind w:left="420" w:firstLine="420"/>
    </w:pPr>
    <w:rPr>
      <w:sz w:val="21"/>
      <w:szCs w:val="21"/>
    </w:rPr>
  </w:style>
  <w:style w:type="paragraph" w:customStyle="1" w:styleId="109">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0">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1">
    <w:name w:val="默认段落字体 Para Char Char Char Char"/>
    <w:basedOn w:val="1"/>
    <w:qFormat/>
    <w:uiPriority w:val="0"/>
    <w:pPr>
      <w:widowControl w:val="0"/>
      <w:jc w:val="both"/>
    </w:pPr>
    <w:rPr>
      <w:kern w:val="2"/>
      <w:sz w:val="21"/>
    </w:rPr>
  </w:style>
  <w:style w:type="paragraph" w:customStyle="1" w:styleId="112">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13">
    <w:name w:val="MM Topic 3"/>
    <w:basedOn w:val="5"/>
    <w:qFormat/>
    <w:uiPriority w:val="0"/>
    <w:pPr>
      <w:numPr>
        <w:ilvl w:val="0"/>
        <w:numId w:val="0"/>
      </w:numPr>
      <w:tabs>
        <w:tab w:val="left" w:pos="1418"/>
      </w:tabs>
    </w:pPr>
    <w:rPr>
      <w:rFonts w:ascii="Times New Roman" w:hAnsi="Times New Roman"/>
      <w:bCs w:val="0"/>
      <w:szCs w:val="20"/>
    </w:rPr>
  </w:style>
  <w:style w:type="paragraph" w:customStyle="1" w:styleId="11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15">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16">
    <w:name w:val="MM Topic 4"/>
    <w:basedOn w:val="6"/>
    <w:qFormat/>
    <w:uiPriority w:val="0"/>
    <w:pPr>
      <w:numPr>
        <w:numId w:val="0"/>
      </w:numPr>
      <w:tabs>
        <w:tab w:val="left" w:pos="1984"/>
      </w:tabs>
      <w:spacing w:before="280" w:after="290" w:line="372" w:lineRule="auto"/>
      <w:jc w:val="both"/>
    </w:pPr>
    <w:rPr>
      <w:bCs w:val="0"/>
      <w:kern w:val="2"/>
      <w:szCs w:val="20"/>
    </w:rPr>
  </w:style>
  <w:style w:type="paragraph" w:customStyle="1" w:styleId="117">
    <w:name w:val="MM Topic 6"/>
    <w:basedOn w:val="8"/>
    <w:qFormat/>
    <w:uiPriority w:val="0"/>
    <w:pPr>
      <w:numPr>
        <w:ilvl w:val="0"/>
        <w:numId w:val="0"/>
      </w:numPr>
      <w:tabs>
        <w:tab w:val="left" w:pos="3260"/>
      </w:tabs>
      <w:spacing w:line="317" w:lineRule="auto"/>
    </w:pPr>
    <w:rPr>
      <w:bCs w:val="0"/>
      <w:sz w:val="28"/>
      <w:szCs w:val="20"/>
    </w:rPr>
  </w:style>
  <w:style w:type="paragraph" w:customStyle="1" w:styleId="118">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19">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20">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21">
    <w:name w:val="标题 5 + 首行缩进:  2 字符"/>
    <w:basedOn w:val="7"/>
    <w:next w:val="20"/>
    <w:qFormat/>
    <w:uiPriority w:val="0"/>
    <w:pPr>
      <w:keepNext w:val="0"/>
      <w:keepLines w:val="0"/>
      <w:numPr>
        <w:ilvl w:val="0"/>
        <w:numId w:val="0"/>
      </w:numPr>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2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4">
    <w:name w:val="Char11"/>
    <w:basedOn w:val="1"/>
    <w:next w:val="1"/>
    <w:qFormat/>
    <w:uiPriority w:val="0"/>
    <w:pPr>
      <w:widowControl w:val="0"/>
      <w:spacing w:line="240" w:lineRule="atLeast"/>
      <w:ind w:left="420" w:firstLine="420"/>
    </w:pPr>
    <w:rPr>
      <w:sz w:val="21"/>
      <w:szCs w:val="21"/>
    </w:rPr>
  </w:style>
  <w:style w:type="paragraph" w:customStyle="1" w:styleId="125">
    <w:name w:val="MM Topic 5"/>
    <w:basedOn w:val="7"/>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126">
    <w:name w:val="默认段落字体 Para Char Char Char Char Char Char Char"/>
    <w:basedOn w:val="1"/>
    <w:qFormat/>
    <w:uiPriority w:val="0"/>
    <w:pPr>
      <w:widowControl w:val="0"/>
      <w:jc w:val="both"/>
    </w:pPr>
    <w:rPr>
      <w:rFonts w:ascii="Tahoma" w:hAnsi="Tahoma"/>
      <w:kern w:val="2"/>
      <w:szCs w:val="20"/>
    </w:rPr>
  </w:style>
  <w:style w:type="paragraph" w:customStyle="1" w:styleId="127">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28">
    <w:name w:val="样式2"/>
    <w:basedOn w:val="1"/>
    <w:qFormat/>
    <w:uiPriority w:val="0"/>
    <w:pPr>
      <w:widowControl w:val="0"/>
      <w:adjustRightInd w:val="0"/>
      <w:spacing w:line="410" w:lineRule="atLeast"/>
      <w:jc w:val="both"/>
      <w:textAlignment w:val="baseline"/>
    </w:pPr>
    <w:rPr>
      <w:szCs w:val="20"/>
    </w:rPr>
  </w:style>
  <w:style w:type="paragraph" w:customStyle="1" w:styleId="129">
    <w:name w:val="列出段落11"/>
    <w:basedOn w:val="1"/>
    <w:qFormat/>
    <w:uiPriority w:val="34"/>
    <w:pPr>
      <w:ind w:firstLine="420" w:firstLineChars="200"/>
    </w:pPr>
    <w:rPr>
      <w:lang w:val="zh-CN"/>
    </w:rPr>
  </w:style>
  <w:style w:type="paragraph" w:customStyle="1" w:styleId="130">
    <w:name w:val="p4"/>
    <w:basedOn w:val="1"/>
    <w:qFormat/>
    <w:uiPriority w:val="0"/>
    <w:pPr>
      <w:spacing w:before="100" w:beforeAutospacing="1" w:after="100" w:afterAutospacing="1" w:line="360" w:lineRule="auto"/>
      <w:ind w:firstLine="360"/>
    </w:pPr>
    <w:rPr>
      <w:rFonts w:ascii="宋体" w:hAnsi="宋体"/>
    </w:rPr>
  </w:style>
  <w:style w:type="paragraph" w:customStyle="1" w:styleId="131">
    <w:name w:val="样式 首行缩进:  2 字符"/>
    <w:basedOn w:val="1"/>
    <w:qFormat/>
    <w:uiPriority w:val="0"/>
    <w:pPr>
      <w:widowControl w:val="0"/>
      <w:ind w:firstLine="420" w:firstLineChars="200"/>
      <w:jc w:val="both"/>
    </w:pPr>
    <w:rPr>
      <w:rFonts w:cs="宋体"/>
      <w:kern w:val="2"/>
      <w:sz w:val="21"/>
      <w:szCs w:val="20"/>
    </w:rPr>
  </w:style>
  <w:style w:type="paragraph" w:customStyle="1" w:styleId="132">
    <w:name w:val="默认段落字体 Para Char Char"/>
    <w:basedOn w:val="1"/>
    <w:qFormat/>
    <w:uiPriority w:val="0"/>
    <w:pPr>
      <w:widowControl w:val="0"/>
      <w:jc w:val="both"/>
    </w:pPr>
    <w:rPr>
      <w:kern w:val="2"/>
      <w:sz w:val="21"/>
      <w:szCs w:val="20"/>
    </w:rPr>
  </w:style>
  <w:style w:type="paragraph" w:customStyle="1" w:styleId="133">
    <w:name w:val="Char1 Char Char Char"/>
    <w:basedOn w:val="1"/>
    <w:next w:val="1"/>
    <w:qFormat/>
    <w:uiPriority w:val="0"/>
    <w:pPr>
      <w:widowControl w:val="0"/>
      <w:spacing w:line="240" w:lineRule="atLeast"/>
      <w:ind w:left="420" w:firstLine="420"/>
    </w:pPr>
    <w:rPr>
      <w:sz w:val="21"/>
      <w:szCs w:val="20"/>
    </w:rPr>
  </w:style>
  <w:style w:type="paragraph" w:customStyle="1" w:styleId="134">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35">
    <w:name w:val="1 Char"/>
    <w:basedOn w:val="1"/>
    <w:qFormat/>
    <w:uiPriority w:val="0"/>
    <w:pPr>
      <w:spacing w:after="160" w:line="240" w:lineRule="exact"/>
    </w:pPr>
    <w:rPr>
      <w:rFonts w:ascii="Tahoma" w:hAnsi="Tahoma" w:eastAsia="Times New Roman"/>
      <w:lang w:eastAsia="en-US"/>
    </w:rPr>
  </w:style>
  <w:style w:type="paragraph" w:customStyle="1" w:styleId="136">
    <w:name w:val="MM Topic 8"/>
    <w:basedOn w:val="10"/>
    <w:qFormat/>
    <w:uiPriority w:val="0"/>
    <w:pPr>
      <w:tabs>
        <w:tab w:val="left" w:pos="4394"/>
      </w:tabs>
    </w:pPr>
  </w:style>
  <w:style w:type="paragraph" w:customStyle="1" w:styleId="137">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9">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40">
    <w:name w:val="论文正文"/>
    <w:basedOn w:val="1"/>
    <w:qFormat/>
    <w:uiPriority w:val="0"/>
    <w:pPr>
      <w:widowControl w:val="0"/>
      <w:spacing w:line="300" w:lineRule="auto"/>
      <w:ind w:firstLine="200" w:firstLineChars="200"/>
      <w:jc w:val="both"/>
    </w:pPr>
    <w:rPr>
      <w:kern w:val="2"/>
    </w:rPr>
  </w:style>
  <w:style w:type="paragraph" w:customStyle="1" w:styleId="141">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42">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43">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44">
    <w:name w:val="正文段落"/>
    <w:basedOn w:val="1"/>
    <w:qFormat/>
    <w:uiPriority w:val="0"/>
    <w:pPr>
      <w:widowControl w:val="0"/>
      <w:spacing w:line="300" w:lineRule="auto"/>
      <w:ind w:firstLine="510"/>
      <w:jc w:val="both"/>
    </w:pPr>
    <w:rPr>
      <w:kern w:val="2"/>
      <w:szCs w:val="20"/>
    </w:rPr>
  </w:style>
  <w:style w:type="paragraph" w:customStyle="1" w:styleId="145">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46">
    <w:name w:val="Char1 Char Char Char Char Char Char"/>
    <w:basedOn w:val="1"/>
    <w:qFormat/>
    <w:uiPriority w:val="0"/>
    <w:pPr>
      <w:widowControl w:val="0"/>
      <w:jc w:val="both"/>
    </w:pPr>
    <w:rPr>
      <w:rFonts w:ascii="Tahoma" w:hAnsi="Tahoma"/>
      <w:kern w:val="2"/>
      <w:szCs w:val="20"/>
    </w:rPr>
  </w:style>
  <w:style w:type="paragraph" w:customStyle="1" w:styleId="147">
    <w:name w:val="文章正文 Char Char1"/>
    <w:basedOn w:val="1"/>
    <w:qFormat/>
    <w:uiPriority w:val="0"/>
    <w:pPr>
      <w:widowControl w:val="0"/>
      <w:spacing w:line="360" w:lineRule="auto"/>
      <w:ind w:firstLine="420"/>
      <w:jc w:val="both"/>
    </w:pPr>
    <w:rPr>
      <w:kern w:val="2"/>
      <w:szCs w:val="20"/>
    </w:rPr>
  </w:style>
  <w:style w:type="paragraph" w:customStyle="1" w:styleId="148">
    <w:name w:val="Char"/>
    <w:basedOn w:val="1"/>
    <w:next w:val="1"/>
    <w:qFormat/>
    <w:uiPriority w:val="0"/>
    <w:pPr>
      <w:widowControl w:val="0"/>
      <w:spacing w:line="240" w:lineRule="atLeast"/>
      <w:ind w:left="420" w:firstLine="420"/>
    </w:pPr>
    <w:rPr>
      <w:sz w:val="21"/>
      <w:szCs w:val="21"/>
    </w:rPr>
  </w:style>
  <w:style w:type="paragraph" w:customStyle="1" w:styleId="149">
    <w:name w:val="样式 标题 1 + 宋体 居中 段前: 17 磅 段后: 16.5 磅"/>
    <w:basedOn w:val="3"/>
    <w:qFormat/>
    <w:uiPriority w:val="0"/>
    <w:pPr>
      <w:pageBreakBefore/>
      <w:numPr>
        <w:numId w:val="0"/>
      </w:numPr>
      <w:tabs>
        <w:tab w:val="left" w:pos="840"/>
      </w:tabs>
      <w:ind w:left="840" w:hanging="420"/>
    </w:pPr>
    <w:rPr>
      <w:rFonts w:cs="宋体"/>
      <w:szCs w:val="20"/>
    </w:rPr>
  </w:style>
  <w:style w:type="paragraph" w:customStyle="1" w:styleId="150">
    <w:name w:val="文章正文 Char Char1 Char"/>
    <w:basedOn w:val="1"/>
    <w:qFormat/>
    <w:uiPriority w:val="0"/>
    <w:pPr>
      <w:widowControl w:val="0"/>
      <w:spacing w:line="360" w:lineRule="auto"/>
      <w:ind w:firstLine="420"/>
      <w:jc w:val="both"/>
    </w:pPr>
    <w:rPr>
      <w:kern w:val="2"/>
    </w:rPr>
  </w:style>
  <w:style w:type="paragraph" w:customStyle="1" w:styleId="151">
    <w:name w:val="正文 首行缩进:  2 字符 Char Char"/>
    <w:basedOn w:val="1"/>
    <w:qFormat/>
    <w:uiPriority w:val="0"/>
    <w:pPr>
      <w:widowControl w:val="0"/>
      <w:spacing w:line="360" w:lineRule="auto"/>
      <w:ind w:firstLine="480"/>
      <w:jc w:val="both"/>
    </w:pPr>
    <w:rPr>
      <w:kern w:val="2"/>
      <w:szCs w:val="20"/>
    </w:rPr>
  </w:style>
  <w:style w:type="paragraph" w:customStyle="1" w:styleId="152">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3">
    <w:name w:val="标题 2 + 楷体_GB2312"/>
    <w:basedOn w:val="1"/>
    <w:qFormat/>
    <w:uiPriority w:val="0"/>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Char12"/>
    <w:basedOn w:val="1"/>
    <w:qFormat/>
    <w:uiPriority w:val="0"/>
    <w:pPr>
      <w:spacing w:after="160" w:line="240" w:lineRule="exact"/>
    </w:pPr>
    <w:rPr>
      <w:rFonts w:ascii="Tahoma" w:hAnsi="Tahoma"/>
      <w:kern w:val="2"/>
      <w:lang w:eastAsia="en-US"/>
    </w:rPr>
  </w:style>
  <w:style w:type="paragraph" w:customStyle="1" w:styleId="156">
    <w:name w:val="p0"/>
    <w:basedOn w:val="1"/>
    <w:qFormat/>
    <w:uiPriority w:val="0"/>
    <w:pPr>
      <w:jc w:val="both"/>
    </w:pPr>
    <w:rPr>
      <w:sz w:val="21"/>
      <w:szCs w:val="20"/>
    </w:rPr>
  </w:style>
  <w:style w:type="paragraph" w:customStyle="1" w:styleId="157">
    <w:name w:val="gb_master正文"/>
    <w:basedOn w:val="1"/>
    <w:qFormat/>
    <w:uiPriority w:val="0"/>
    <w:pPr>
      <w:widowControl w:val="0"/>
      <w:ind w:firstLine="200" w:firstLineChars="200"/>
      <w:jc w:val="both"/>
    </w:pPr>
    <w:rPr>
      <w:kern w:val="2"/>
      <w:sz w:val="21"/>
    </w:rPr>
  </w:style>
  <w:style w:type="paragraph" w:customStyle="1" w:styleId="158">
    <w:name w:val="Char1"/>
    <w:basedOn w:val="1"/>
    <w:next w:val="1"/>
    <w:qFormat/>
    <w:uiPriority w:val="0"/>
    <w:pPr>
      <w:widowControl w:val="0"/>
      <w:spacing w:line="240" w:lineRule="atLeast"/>
      <w:ind w:left="420" w:firstLine="420"/>
    </w:pPr>
    <w:rPr>
      <w:sz w:val="21"/>
      <w:szCs w:val="21"/>
    </w:rPr>
  </w:style>
  <w:style w:type="paragraph" w:customStyle="1" w:styleId="159">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60">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61">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62">
    <w:name w:val="MM Topic 1"/>
    <w:basedOn w:val="3"/>
    <w:qFormat/>
    <w:uiPriority w:val="0"/>
    <w:pPr>
      <w:widowControl w:val="0"/>
      <w:numPr>
        <w:numId w:val="0"/>
      </w:numPr>
      <w:tabs>
        <w:tab w:val="left" w:pos="425"/>
      </w:tabs>
      <w:spacing w:line="576" w:lineRule="auto"/>
    </w:pPr>
    <w:rPr>
      <w:rFonts w:ascii="Times New Roman" w:hAnsi="Times New Roman"/>
      <w:bCs w:val="0"/>
      <w:sz w:val="44"/>
      <w:szCs w:val="20"/>
    </w:rPr>
  </w:style>
  <w:style w:type="paragraph" w:customStyle="1" w:styleId="163">
    <w:name w:val="样式 正文缩进 + (中文) 仿宋_GB2312 小四 Char"/>
    <w:basedOn w:val="14"/>
    <w:qFormat/>
    <w:uiPriority w:val="0"/>
    <w:pPr>
      <w:ind w:firstLine="480"/>
    </w:pPr>
    <w:rPr>
      <w:rFonts w:ascii="宋体" w:hAnsi="宋体"/>
      <w:sz w:val="24"/>
      <w:szCs w:val="20"/>
    </w:rPr>
  </w:style>
  <w:style w:type="paragraph" w:customStyle="1" w:styleId="164">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5">
    <w:name w:val="Char2 Char Char Char Char Char Char"/>
    <w:basedOn w:val="1"/>
    <w:qFormat/>
    <w:uiPriority w:val="0"/>
    <w:pPr>
      <w:widowControl w:val="0"/>
      <w:jc w:val="both"/>
    </w:pPr>
    <w:rPr>
      <w:rFonts w:ascii="仿宋_GB2312"/>
      <w:b/>
      <w:kern w:val="2"/>
      <w:sz w:val="30"/>
      <w:szCs w:val="20"/>
    </w:rPr>
  </w:style>
  <w:style w:type="paragraph" w:customStyle="1" w:styleId="166">
    <w:name w:val="项目符号：一级"/>
    <w:basedOn w:val="161"/>
    <w:next w:val="161"/>
    <w:qFormat/>
    <w:uiPriority w:val="0"/>
    <w:pPr>
      <w:tabs>
        <w:tab w:val="left" w:pos="700"/>
      </w:tabs>
      <w:spacing w:beforeLines="0"/>
      <w:ind w:left="630" w:hanging="290" w:firstLineChars="0"/>
    </w:pPr>
  </w:style>
  <w:style w:type="paragraph" w:customStyle="1" w:styleId="167">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68">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69">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70">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71">
    <w:name w:val="Char Char Char Char Char Char Char Char Char Char Char Char Char"/>
    <w:basedOn w:val="16"/>
    <w:qFormat/>
    <w:uiPriority w:val="0"/>
    <w:pPr>
      <w:widowControl w:val="0"/>
      <w:shd w:val="clear" w:color="auto" w:fill="000080"/>
      <w:jc w:val="both"/>
    </w:pPr>
    <w:rPr>
      <w:rFonts w:ascii="Tahoma" w:hAnsi="Tahoma"/>
      <w:kern w:val="2"/>
      <w:sz w:val="24"/>
      <w:szCs w:val="20"/>
    </w:rPr>
  </w:style>
  <w:style w:type="paragraph" w:customStyle="1" w:styleId="172">
    <w:name w:val="大纲正文"/>
    <w:basedOn w:val="1"/>
    <w:qFormat/>
    <w:uiPriority w:val="0"/>
    <w:pPr>
      <w:widowControl w:val="0"/>
      <w:spacing w:line="360" w:lineRule="auto"/>
      <w:ind w:firstLine="480" w:firstLineChars="200"/>
      <w:jc w:val="both"/>
    </w:pPr>
    <w:rPr>
      <w:kern w:val="2"/>
      <w:szCs w:val="20"/>
    </w:rPr>
  </w:style>
  <w:style w:type="paragraph" w:customStyle="1" w:styleId="173">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74">
    <w:name w:val="Char2"/>
    <w:basedOn w:val="1"/>
    <w:next w:val="1"/>
    <w:qFormat/>
    <w:uiPriority w:val="0"/>
    <w:pPr>
      <w:widowControl w:val="0"/>
      <w:spacing w:line="240" w:lineRule="atLeast"/>
      <w:ind w:left="420" w:firstLine="420"/>
    </w:pPr>
    <w:rPr>
      <w:kern w:val="2"/>
      <w:szCs w:val="20"/>
    </w:rPr>
  </w:style>
  <w:style w:type="paragraph" w:customStyle="1" w:styleId="175">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6">
    <w:name w:val="Char2 Char Char Char"/>
    <w:basedOn w:val="1"/>
    <w:qFormat/>
    <w:uiPriority w:val="0"/>
    <w:pPr>
      <w:widowControl w:val="0"/>
      <w:jc w:val="both"/>
    </w:pPr>
    <w:rPr>
      <w:rFonts w:ascii="仿宋_GB2312"/>
      <w:b/>
      <w:kern w:val="2"/>
      <w:sz w:val="30"/>
      <w:szCs w:val="20"/>
    </w:rPr>
  </w:style>
  <w:style w:type="paragraph" w:customStyle="1" w:styleId="177">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178">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79">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80">
    <w:name w:val="列出段落2"/>
    <w:basedOn w:val="1"/>
    <w:qFormat/>
    <w:uiPriority w:val="34"/>
    <w:pPr>
      <w:widowControl w:val="0"/>
      <w:ind w:firstLine="420" w:firstLineChars="200"/>
      <w:jc w:val="both"/>
    </w:pPr>
    <w:rPr>
      <w:rFonts w:eastAsia="方正仿宋"/>
      <w:kern w:val="2"/>
      <w:sz w:val="32"/>
    </w:rPr>
  </w:style>
  <w:style w:type="paragraph" w:customStyle="1" w:styleId="181">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82">
    <w:name w:val="彩色列表 - 强调文字颜色 1 Char"/>
    <w:link w:val="183"/>
    <w:qFormat/>
    <w:uiPriority w:val="0"/>
    <w:rPr>
      <w:rFonts w:ascii="Calibri" w:hAnsi="Calibri"/>
      <w:kern w:val="2"/>
      <w:sz w:val="21"/>
      <w:szCs w:val="22"/>
    </w:rPr>
  </w:style>
  <w:style w:type="paragraph" w:customStyle="1" w:styleId="183">
    <w:name w:val="彩色列表 - 强调文字颜色 11"/>
    <w:basedOn w:val="1"/>
    <w:link w:val="182"/>
    <w:qFormat/>
    <w:uiPriority w:val="0"/>
    <w:pPr>
      <w:widowControl w:val="0"/>
      <w:ind w:firstLine="420" w:firstLineChars="200"/>
      <w:jc w:val="both"/>
    </w:pPr>
    <w:rPr>
      <w:rFonts w:ascii="Calibri" w:hAnsi="Calibri"/>
      <w:kern w:val="2"/>
      <w:sz w:val="21"/>
      <w:szCs w:val="22"/>
    </w:rPr>
  </w:style>
  <w:style w:type="character" w:customStyle="1" w:styleId="184">
    <w:name w:val="*正文 Char Char"/>
    <w:link w:val="185"/>
    <w:qFormat/>
    <w:locked/>
    <w:uiPriority w:val="99"/>
    <w:rPr>
      <w:rFonts w:ascii="宋体"/>
      <w:sz w:val="24"/>
    </w:rPr>
  </w:style>
  <w:style w:type="paragraph" w:customStyle="1" w:styleId="185">
    <w:name w:val="*正文"/>
    <w:basedOn w:val="1"/>
    <w:link w:val="184"/>
    <w:qFormat/>
    <w:uiPriority w:val="99"/>
    <w:pPr>
      <w:widowControl w:val="0"/>
      <w:spacing w:line="360" w:lineRule="auto"/>
      <w:ind w:firstLine="200" w:firstLineChars="200"/>
      <w:jc w:val="both"/>
    </w:pPr>
    <w:rPr>
      <w:rFonts w:ascii="宋体"/>
      <w:szCs w:val="20"/>
    </w:rPr>
  </w:style>
  <w:style w:type="paragraph" w:customStyle="1" w:styleId="186">
    <w:name w:val="_Style 1"/>
    <w:basedOn w:val="1"/>
    <w:qFormat/>
    <w:uiPriority w:val="0"/>
    <w:pPr>
      <w:ind w:firstLine="420" w:firstLineChars="200"/>
    </w:pPr>
  </w:style>
  <w:style w:type="paragraph" w:customStyle="1" w:styleId="187">
    <w:name w:val="彩色列表 - 强调文字颜色 12"/>
    <w:basedOn w:val="1"/>
    <w:qFormat/>
    <w:uiPriority w:val="0"/>
    <w:pPr>
      <w:ind w:firstLine="420" w:firstLineChars="200"/>
    </w:pPr>
  </w:style>
  <w:style w:type="character" w:customStyle="1" w:styleId="188">
    <w:name w:val="font21"/>
    <w:basedOn w:val="47"/>
    <w:qFormat/>
    <w:uiPriority w:val="0"/>
    <w:rPr>
      <w:rFonts w:hint="eastAsia" w:ascii="宋体" w:hAnsi="宋体" w:eastAsia="宋体" w:cs="宋体"/>
      <w:color w:val="000000"/>
      <w:sz w:val="20"/>
      <w:szCs w:val="20"/>
      <w:u w:val="none"/>
    </w:rPr>
  </w:style>
  <w:style w:type="character" w:customStyle="1" w:styleId="189">
    <w:name w:val="font31"/>
    <w:basedOn w:val="47"/>
    <w:qFormat/>
    <w:uiPriority w:val="0"/>
    <w:rPr>
      <w:rFonts w:ascii="Tahoma" w:hAnsi="Tahoma" w:eastAsia="Tahoma" w:cs="Tahoma"/>
      <w:color w:val="000000"/>
      <w:sz w:val="20"/>
      <w:szCs w:val="20"/>
      <w:u w:val="none"/>
    </w:rPr>
  </w:style>
  <w:style w:type="paragraph" w:customStyle="1" w:styleId="19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styleId="191">
    <w:name w:val="List Paragraph"/>
    <w:basedOn w:val="1"/>
    <w:qFormat/>
    <w:uiPriority w:val="34"/>
    <w:pPr>
      <w:spacing w:after="100" w:line="360" w:lineRule="auto"/>
      <w:ind w:firstLine="420" w:firstLineChars="200"/>
    </w:pPr>
    <w:rPr>
      <w:szCs w:val="22"/>
      <w:lang w:eastAsia="en-US" w:bidi="en-US"/>
    </w:rPr>
  </w:style>
  <w:style w:type="character" w:customStyle="1" w:styleId="192">
    <w:name w:val="font11"/>
    <w:basedOn w:val="47"/>
    <w:qFormat/>
    <w:uiPriority w:val="0"/>
    <w:rPr>
      <w:rFonts w:hint="eastAsia" w:ascii="宋体" w:hAnsi="宋体" w:eastAsia="宋体" w:cs="宋体"/>
      <w:color w:val="000000"/>
      <w:sz w:val="22"/>
      <w:szCs w:val="22"/>
      <w:u w:val="none"/>
    </w:rPr>
  </w:style>
  <w:style w:type="character" w:customStyle="1" w:styleId="193">
    <w:name w:val="font01"/>
    <w:basedOn w:val="47"/>
    <w:qFormat/>
    <w:uiPriority w:val="0"/>
    <w:rPr>
      <w:rFonts w:hint="default" w:ascii="Times New Roman" w:hAnsi="Times New Roman" w:cs="Times New Roman"/>
      <w:color w:val="000000"/>
      <w:sz w:val="22"/>
      <w:szCs w:val="22"/>
      <w:u w:val="none"/>
    </w:rPr>
  </w:style>
  <w:style w:type="paragraph" w:customStyle="1" w:styleId="19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5">
    <w:name w:val="NormalCharacter"/>
    <w:qFormat/>
    <w:uiPriority w:val="0"/>
  </w:style>
  <w:style w:type="paragraph" w:customStyle="1" w:styleId="196">
    <w:name w:val="表格内容"/>
    <w:basedOn w:val="1"/>
    <w:qFormat/>
    <w:uiPriority w:val="0"/>
    <w:pPr>
      <w:spacing w:line="240" w:lineRule="auto"/>
    </w:pPr>
    <w:rPr>
      <w:rFonts w:ascii="Calibri" w:hAnsi="Calibri" w:eastAsia="仿宋"/>
      <w:sz w:val="21"/>
      <w:szCs w:val="22"/>
    </w:rPr>
  </w:style>
  <w:style w:type="paragraph" w:styleId="197">
    <w:name w:val="No Spacing"/>
    <w:qFormat/>
    <w:uiPriority w:val="1"/>
    <w:pPr>
      <w:widowControl w:val="0"/>
    </w:pPr>
    <w:rPr>
      <w:rFonts w:ascii="Calibri" w:hAnsi="Calibri" w:eastAsia="宋体" w:cs="Times New Roman"/>
      <w:kern w:val="2"/>
      <w:sz w:val="21"/>
      <w:szCs w:val="22"/>
      <w:lang w:val="en-US" w:eastAsia="zh-CN" w:bidi="ar-SA"/>
    </w:rPr>
  </w:style>
  <w:style w:type="paragraph" w:customStyle="1" w:styleId="198">
    <w:name w:val="闻政表"/>
    <w:basedOn w:val="1"/>
    <w:qFormat/>
    <w:uiPriority w:val="0"/>
    <w:pPr>
      <w:jc w:val="center"/>
    </w:pPr>
    <w:rPr>
      <w:rFonts w:ascii="Calibri" w:hAnsi="Calibri" w:eastAsia="仿宋_GB2312" w:cs="Times New Roman"/>
      <w:b/>
      <w:sz w:val="24"/>
    </w:rPr>
  </w:style>
  <w:style w:type="paragraph" w:customStyle="1" w:styleId="199">
    <w:name w:val="bullet"/>
    <w:basedOn w:val="1"/>
    <w:qFormat/>
    <w:uiPriority w:val="0"/>
    <w:pPr>
      <w:tabs>
        <w:tab w:val="left" w:pos="720"/>
      </w:tabs>
      <w:spacing w:after="0" w:line="240" w:lineRule="auto"/>
    </w:pPr>
    <w:rPr>
      <w:rFonts w:ascii="Times New Roman" w:hAnsi="Times New Roman"/>
    </w:rPr>
  </w:style>
  <w:style w:type="character" w:customStyle="1" w:styleId="200">
    <w:name w:val="font41"/>
    <w:qFormat/>
    <w:uiPriority w:val="0"/>
    <w:rPr>
      <w:rFonts w:hint="eastAsia" w:ascii="宋体" w:hAnsi="宋体" w:eastAsia="宋体" w:cs="宋体"/>
      <w:color w:val="000000"/>
      <w:sz w:val="21"/>
      <w:szCs w:val="21"/>
      <w:u w:val="none"/>
    </w:rPr>
  </w:style>
  <w:style w:type="paragraph" w:customStyle="1" w:styleId="201">
    <w:name w:val="12、表格内左对齐正文"/>
    <w:basedOn w:val="1"/>
    <w:qFormat/>
    <w:uiPriority w:val="0"/>
    <w:pPr>
      <w:tabs>
        <w:tab w:val="left" w:pos="0"/>
      </w:tabs>
      <w:wordWrap w:val="0"/>
      <w:topLinePunct/>
      <w:spacing w:line="360" w:lineRule="exact"/>
      <w:ind w:left="48" w:leftChars="20"/>
    </w:pPr>
    <w:rPr>
      <w:snapToGrid w:val="0"/>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2D5C-3505-439B-B993-981890691B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4202</Words>
  <Characters>23953</Characters>
  <Lines>199</Lines>
  <Paragraphs>56</Paragraphs>
  <TotalTime>61</TotalTime>
  <ScaleCrop>false</ScaleCrop>
  <LinksUpToDate>false</LinksUpToDate>
  <CharactersWithSpaces>28099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2016-12-07T06:14:00Z</dcterms:created>
  <dc:creator>LENOVO</dc:creator>
  <cp:lastModifiedBy>羊咩咩</cp:lastModifiedBy>
  <cp:lastPrinted>2014-07-14T08:51:00Z</cp:lastPrinted>
  <dcterms:modified xsi:type="dcterms:W3CDTF">2021-06-29T06:50:36Z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6904C525E4A149358074F88880DBD05B</vt:lpwstr>
  </property>
</Properties>
</file>